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DE9F" w14:textId="77777777" w:rsidR="009F3A2C" w:rsidRPr="00485F6E" w:rsidRDefault="009F3A2C" w:rsidP="009F3A2C">
      <w:pPr>
        <w:jc w:val="both"/>
        <w:rPr>
          <w:rFonts w:asciiTheme="majorHAnsi" w:hAnsiTheme="majorHAnsi" w:cs="Univers"/>
          <w:b/>
          <w:bCs/>
          <w:sz w:val="22"/>
          <w:szCs w:val="22"/>
        </w:rPr>
      </w:pPr>
      <w:r w:rsidRPr="00485F6E">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64F65A2B" wp14:editId="59EE1C2E">
                <wp:simplePos x="0" y="0"/>
                <wp:positionH relativeFrom="column">
                  <wp:posOffset>-414670</wp:posOffset>
                </wp:positionH>
                <wp:positionV relativeFrom="paragraph">
                  <wp:posOffset>-435935</wp:posOffset>
                </wp:positionV>
                <wp:extent cx="1543050" cy="8761228"/>
                <wp:effectExtent l="0" t="0" r="0" b="1905"/>
                <wp:wrapNone/>
                <wp:docPr id="1" name="Rectangle 1"/>
                <wp:cNvGraphicFramePr/>
                <a:graphic xmlns:a="http://schemas.openxmlformats.org/drawingml/2006/main">
                  <a:graphicData uri="http://schemas.microsoft.com/office/word/2010/wordprocessingShape">
                    <wps:wsp>
                      <wps:cNvSpPr/>
                      <wps:spPr>
                        <a:xfrm>
                          <a:off x="0" y="0"/>
                          <a:ext cx="1543050" cy="8761228"/>
                        </a:xfrm>
                        <a:prstGeom prst="rect">
                          <a:avLst/>
                        </a:prstGeom>
                        <a:solidFill>
                          <a:srgbClr val="73BF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66084" id="Rectangle 1" o:spid="_x0000_s1026" style="position:absolute;margin-left:-32.65pt;margin-top:-34.35pt;width:121.5pt;height:6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" fillcolor="#73bf43" stroked="f" strokeweight="1pt"/>
            </w:pict>
          </mc:Fallback>
        </mc:AlternateContent>
      </w:r>
      <w:r w:rsidRPr="00485F6E">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1EBBF485" wp14:editId="2BA043B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61DB3" w14:textId="77777777" w:rsidR="001963DB" w:rsidRDefault="001963DB" w:rsidP="009F3A2C">
                            <w:r>
                              <w:rPr>
                                <w:noProof/>
                              </w:rPr>
                              <w:drawing>
                                <wp:inline distT="0" distB="0" distL="0" distR="0" wp14:anchorId="0DF5C8CC" wp14:editId="2924F65A">
                                  <wp:extent cx="3409315" cy="80454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chr-en.jpg"/>
                                          <pic:cNvPicPr/>
                                        </pic:nvPicPr>
                                        <pic:blipFill>
                                          <a:blip r:embed="rId8">
                                            <a:extLst>
                                              <a:ext uri="{28A0092B-C50C-407E-A947-70E740481C1C}">
                                                <a14:useLocalDpi xmlns:a14="http://schemas.microsoft.com/office/drawing/2010/main" val="0"/>
                                              </a:ext>
                                            </a:extLst>
                                          </a:blip>
                                          <a:stretch>
                                            <a:fillRect/>
                                          </a:stretch>
                                        </pic:blipFill>
                                        <pic:spPr>
                                          <a:xfrm>
                                            <a:off x="0" y="0"/>
                                            <a:ext cx="3409315" cy="804545"/>
                                          </a:xfrm>
                                          <a:prstGeom prst="rect">
                                            <a:avLst/>
                                          </a:prstGeom>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BF48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AB61DB3" w14:textId="77777777" w:rsidR="001963DB" w:rsidRDefault="001963DB" w:rsidP="009F3A2C">
                      <w:r>
                        <w:rPr>
                          <w:noProof/>
                        </w:rPr>
                        <w:drawing>
                          <wp:inline distT="0" distB="0" distL="0" distR="0" wp14:anchorId="0DF5C8CC" wp14:editId="2924F65A">
                            <wp:extent cx="3409315" cy="80454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chr-en.jpg"/>
                                    <pic:cNvPicPr/>
                                  </pic:nvPicPr>
                                  <pic:blipFill>
                                    <a:blip r:embed="rId8">
                                      <a:extLst>
                                        <a:ext uri="{28A0092B-C50C-407E-A947-70E740481C1C}">
                                          <a14:useLocalDpi xmlns:a14="http://schemas.microsoft.com/office/drawing/2010/main" val="0"/>
                                        </a:ext>
                                      </a:extLst>
                                    </a:blip>
                                    <a:stretch>
                                      <a:fillRect/>
                                    </a:stretch>
                                  </pic:blipFill>
                                  <pic:spPr>
                                    <a:xfrm>
                                      <a:off x="0" y="0"/>
                                      <a:ext cx="3409315" cy="804545"/>
                                    </a:xfrm>
                                    <a:prstGeom prst="rect">
                                      <a:avLst/>
                                    </a:prstGeom>
                                  </pic:spPr>
                                </pic:pic>
                              </a:graphicData>
                            </a:graphic>
                          </wp:inline>
                        </w:drawing>
                      </w:r>
                      <w:r>
                        <w:tab/>
                        <w:t xml:space="preserve">                              </w:t>
                      </w:r>
                    </w:p>
                  </w:txbxContent>
                </v:textbox>
              </v:shape>
            </w:pict>
          </mc:Fallback>
        </mc:AlternateContent>
      </w:r>
    </w:p>
    <w:p w14:paraId="21B5370E" w14:textId="77777777" w:rsidR="009F3A2C" w:rsidRPr="00485F6E" w:rsidRDefault="009F3A2C" w:rsidP="009F3A2C">
      <w:pPr>
        <w:tabs>
          <w:tab w:val="center" w:pos="5400"/>
        </w:tabs>
        <w:suppressAutoHyphens/>
        <w:jc w:val="both"/>
        <w:rPr>
          <w:rFonts w:asciiTheme="majorHAnsi" w:hAnsiTheme="majorHAnsi"/>
          <w:sz w:val="22"/>
          <w:szCs w:val="22"/>
        </w:rPr>
      </w:pPr>
    </w:p>
    <w:p w14:paraId="400DDDE4" w14:textId="77777777" w:rsidR="009F3A2C" w:rsidRPr="00485F6E" w:rsidRDefault="009F3A2C" w:rsidP="009F3A2C">
      <w:pPr>
        <w:tabs>
          <w:tab w:val="center" w:pos="5400"/>
        </w:tabs>
        <w:suppressAutoHyphens/>
        <w:jc w:val="both"/>
        <w:rPr>
          <w:rFonts w:asciiTheme="majorHAnsi" w:hAnsiTheme="majorHAnsi"/>
          <w:sz w:val="22"/>
          <w:szCs w:val="22"/>
        </w:rPr>
      </w:pPr>
    </w:p>
    <w:p w14:paraId="6F064A71" w14:textId="77777777" w:rsidR="009F3A2C" w:rsidRPr="00485F6E" w:rsidRDefault="009F3A2C" w:rsidP="009F3A2C">
      <w:pPr>
        <w:tabs>
          <w:tab w:val="center" w:pos="5400"/>
        </w:tabs>
        <w:suppressAutoHyphens/>
        <w:rPr>
          <w:rFonts w:asciiTheme="majorHAnsi" w:hAnsiTheme="majorHAnsi"/>
          <w:sz w:val="22"/>
          <w:szCs w:val="22"/>
        </w:rPr>
      </w:pPr>
    </w:p>
    <w:p w14:paraId="5F62D05A" w14:textId="77777777" w:rsidR="009F3A2C" w:rsidRPr="00485F6E" w:rsidRDefault="009F3A2C" w:rsidP="009F3A2C">
      <w:pPr>
        <w:tabs>
          <w:tab w:val="center" w:pos="5400"/>
        </w:tabs>
        <w:suppressAutoHyphens/>
        <w:jc w:val="center"/>
        <w:rPr>
          <w:rFonts w:asciiTheme="majorHAnsi" w:hAnsiTheme="majorHAnsi"/>
          <w:sz w:val="22"/>
          <w:szCs w:val="22"/>
        </w:rPr>
      </w:pPr>
    </w:p>
    <w:p w14:paraId="6CDFFDE9" w14:textId="77777777" w:rsidR="009F3A2C" w:rsidRPr="00485F6E" w:rsidRDefault="000E58C0" w:rsidP="009F3A2C">
      <w:pPr>
        <w:tabs>
          <w:tab w:val="center" w:pos="5400"/>
        </w:tabs>
        <w:suppressAutoHyphens/>
        <w:jc w:val="center"/>
        <w:rPr>
          <w:rFonts w:asciiTheme="majorHAnsi" w:hAnsiTheme="majorHAnsi"/>
          <w:sz w:val="22"/>
          <w:szCs w:val="22"/>
        </w:rPr>
      </w:pPr>
      <w:r w:rsidRPr="00485F6E">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E51D20A" wp14:editId="63F3A352">
                <wp:simplePos x="0" y="0"/>
                <wp:positionH relativeFrom="column">
                  <wp:posOffset>-339365</wp:posOffset>
                </wp:positionH>
                <wp:positionV relativeFrom="paragraph">
                  <wp:posOffset>168196</wp:posOffset>
                </wp:positionV>
                <wp:extent cx="1467636" cy="1291473"/>
                <wp:effectExtent l="0" t="0" r="0" b="0"/>
                <wp:wrapNone/>
                <wp:docPr id="8" name="Text Box 8"/>
                <wp:cNvGraphicFramePr/>
                <a:graphic xmlns:a="http://schemas.openxmlformats.org/drawingml/2006/main">
                  <a:graphicData uri="http://schemas.microsoft.com/office/word/2010/wordprocessingShape">
                    <wps:wsp>
                      <wps:cNvSpPr txBox="1"/>
                      <wps:spPr>
                        <a:xfrm>
                          <a:off x="0" y="0"/>
                          <a:ext cx="1467636" cy="12914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39BB7" w14:textId="3D2D10E1" w:rsidR="001963DB" w:rsidRPr="00F02074" w:rsidRDefault="001963DB" w:rsidP="009F3A2C">
                            <w:pPr>
                              <w:spacing w:line="276" w:lineRule="auto"/>
                              <w:jc w:val="right"/>
                              <w:rPr>
                                <w:rFonts w:ascii="Cambria" w:hAnsi="Cambria"/>
                                <w:color w:val="FFFFFF" w:themeColor="background1"/>
                                <w:sz w:val="22"/>
                              </w:rPr>
                            </w:pPr>
                            <w:r w:rsidRPr="00F02074">
                              <w:rPr>
                                <w:rFonts w:ascii="Cambria" w:hAnsi="Cambria"/>
                                <w:color w:val="FFFFFF" w:themeColor="background1"/>
                                <w:sz w:val="22"/>
                              </w:rPr>
                              <w:t>OEA/Ser.L/V/II</w:t>
                            </w:r>
                          </w:p>
                          <w:p w14:paraId="2019ADE6" w14:textId="3AB55306" w:rsidR="001963DB" w:rsidRPr="00626194" w:rsidRDefault="001963DB" w:rsidP="009F3A2C">
                            <w:pPr>
                              <w:spacing w:line="276" w:lineRule="auto"/>
                              <w:jc w:val="right"/>
                              <w:rPr>
                                <w:rFonts w:ascii="Cambria" w:hAnsi="Cambria"/>
                                <w:color w:val="FFFFFF" w:themeColor="background1"/>
                                <w:sz w:val="22"/>
                              </w:rPr>
                            </w:pPr>
                            <w:r w:rsidRPr="00626194">
                              <w:rPr>
                                <w:rFonts w:ascii="Cambria" w:hAnsi="Cambria"/>
                                <w:color w:val="FFFFFF" w:themeColor="background1"/>
                                <w:sz w:val="22"/>
                              </w:rPr>
                              <w:t xml:space="preserve">Doc. </w:t>
                            </w:r>
                            <w:r w:rsidR="00F43938">
                              <w:rPr>
                                <w:rFonts w:ascii="Cambria" w:hAnsi="Cambria"/>
                                <w:color w:val="FFFFFF" w:themeColor="background1"/>
                                <w:sz w:val="22"/>
                              </w:rPr>
                              <w:t>116</w:t>
                            </w:r>
                          </w:p>
                          <w:p w14:paraId="1431121F" w14:textId="0AD9A34D" w:rsidR="001963DB" w:rsidRPr="00010F58" w:rsidRDefault="001963DB" w:rsidP="00054BF2">
                            <w:pPr>
                              <w:spacing w:line="276" w:lineRule="auto"/>
                              <w:ind w:left="284"/>
                              <w:rPr>
                                <w:rFonts w:ascii="Cambria" w:hAnsi="Cambria"/>
                                <w:color w:val="FFFFFF" w:themeColor="background1"/>
                                <w:sz w:val="22"/>
                              </w:rPr>
                            </w:pPr>
                            <w:r w:rsidRPr="00626194">
                              <w:rPr>
                                <w:rFonts w:ascii="Cambria" w:hAnsi="Cambria"/>
                                <w:color w:val="FFFFFF" w:themeColor="background1"/>
                                <w:sz w:val="22"/>
                              </w:rPr>
                              <w:t xml:space="preserve">         </w:t>
                            </w:r>
                            <w:r w:rsidR="000D7D04">
                              <w:rPr>
                                <w:rFonts w:ascii="Cambria" w:hAnsi="Cambria"/>
                                <w:color w:val="FFFFFF" w:themeColor="background1"/>
                                <w:sz w:val="22"/>
                              </w:rPr>
                              <w:t xml:space="preserve">  July 14</w:t>
                            </w:r>
                            <w:r w:rsidRPr="00010F58">
                              <w:rPr>
                                <w:rFonts w:ascii="Cambria" w:hAnsi="Cambria"/>
                                <w:color w:val="FFFFFF" w:themeColor="background1"/>
                                <w:sz w:val="22"/>
                              </w:rPr>
                              <w:t xml:space="preserve"> 20</w:t>
                            </w:r>
                            <w:r w:rsidR="00626194">
                              <w:rPr>
                                <w:rFonts w:ascii="Cambria" w:hAnsi="Cambria"/>
                                <w:color w:val="FFFFFF" w:themeColor="background1"/>
                                <w:sz w:val="22"/>
                              </w:rPr>
                              <w:t>25</w:t>
                            </w:r>
                          </w:p>
                          <w:p w14:paraId="3990E044" w14:textId="77777777" w:rsidR="001963DB" w:rsidRPr="00010F58" w:rsidRDefault="001963DB" w:rsidP="009F3A2C">
                            <w:pPr>
                              <w:spacing w:line="276" w:lineRule="auto"/>
                              <w:jc w:val="right"/>
                              <w:rPr>
                                <w:rFonts w:ascii="Cambria" w:hAnsi="Cambria"/>
                                <w:color w:val="FFFFFF" w:themeColor="background1"/>
                                <w:sz w:val="22"/>
                              </w:rPr>
                            </w:pPr>
                            <w:r w:rsidRPr="00010F58">
                              <w:rPr>
                                <w:rFonts w:ascii="Cambria" w:hAnsi="Cambria"/>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D20A" id="Text Box 8" o:spid="_x0000_s1027" type="#_x0000_t202" style="position:absolute;left:0;text-align:left;margin-left:-26.7pt;margin-top:13.25pt;width:115.55pt;height:10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" filled="f" stroked="f" strokeweight=".5pt">
                <v:textbox>
                  <w:txbxContent>
                    <w:p w14:paraId="7B239BB7" w14:textId="3D2D10E1" w:rsidR="001963DB" w:rsidRPr="00F02074" w:rsidRDefault="001963DB" w:rsidP="009F3A2C">
                      <w:pPr>
                        <w:spacing w:line="276" w:lineRule="auto"/>
                        <w:jc w:val="right"/>
                        <w:rPr>
                          <w:rFonts w:ascii="Cambria" w:hAnsi="Cambria"/>
                          <w:color w:val="FFFFFF" w:themeColor="background1"/>
                          <w:sz w:val="22"/>
                        </w:rPr>
                      </w:pPr>
                      <w:r w:rsidRPr="00F02074">
                        <w:rPr>
                          <w:rFonts w:ascii="Cambria" w:hAnsi="Cambria"/>
                          <w:color w:val="FFFFFF" w:themeColor="background1"/>
                          <w:sz w:val="22"/>
                        </w:rPr>
                        <w:t>OEA/Ser.L/V/II</w:t>
                      </w:r>
                    </w:p>
                    <w:p w14:paraId="2019ADE6" w14:textId="3AB55306" w:rsidR="001963DB" w:rsidRPr="00626194" w:rsidRDefault="001963DB" w:rsidP="009F3A2C">
                      <w:pPr>
                        <w:spacing w:line="276" w:lineRule="auto"/>
                        <w:jc w:val="right"/>
                        <w:rPr>
                          <w:rFonts w:ascii="Cambria" w:hAnsi="Cambria"/>
                          <w:color w:val="FFFFFF" w:themeColor="background1"/>
                          <w:sz w:val="22"/>
                        </w:rPr>
                      </w:pPr>
                      <w:r w:rsidRPr="00626194">
                        <w:rPr>
                          <w:rFonts w:ascii="Cambria" w:hAnsi="Cambria"/>
                          <w:color w:val="FFFFFF" w:themeColor="background1"/>
                          <w:sz w:val="22"/>
                        </w:rPr>
                        <w:t xml:space="preserve">Doc. </w:t>
                      </w:r>
                      <w:r w:rsidR="00F43938">
                        <w:rPr>
                          <w:rFonts w:ascii="Cambria" w:hAnsi="Cambria"/>
                          <w:color w:val="FFFFFF" w:themeColor="background1"/>
                          <w:sz w:val="22"/>
                        </w:rPr>
                        <w:t>116</w:t>
                      </w:r>
                    </w:p>
                    <w:p w14:paraId="1431121F" w14:textId="0AD9A34D" w:rsidR="001963DB" w:rsidRPr="00010F58" w:rsidRDefault="001963DB" w:rsidP="00054BF2">
                      <w:pPr>
                        <w:spacing w:line="276" w:lineRule="auto"/>
                        <w:ind w:left="284"/>
                        <w:rPr>
                          <w:rFonts w:ascii="Cambria" w:hAnsi="Cambria"/>
                          <w:color w:val="FFFFFF" w:themeColor="background1"/>
                          <w:sz w:val="22"/>
                        </w:rPr>
                      </w:pPr>
                      <w:r w:rsidRPr="00626194">
                        <w:rPr>
                          <w:rFonts w:ascii="Cambria" w:hAnsi="Cambria"/>
                          <w:color w:val="FFFFFF" w:themeColor="background1"/>
                          <w:sz w:val="22"/>
                        </w:rPr>
                        <w:t xml:space="preserve">         </w:t>
                      </w:r>
                      <w:r w:rsidR="000D7D04">
                        <w:rPr>
                          <w:rFonts w:ascii="Cambria" w:hAnsi="Cambria"/>
                          <w:color w:val="FFFFFF" w:themeColor="background1"/>
                          <w:sz w:val="22"/>
                        </w:rPr>
                        <w:t xml:space="preserve">  July 14</w:t>
                      </w:r>
                      <w:r w:rsidRPr="00010F58">
                        <w:rPr>
                          <w:rFonts w:ascii="Cambria" w:hAnsi="Cambria"/>
                          <w:color w:val="FFFFFF" w:themeColor="background1"/>
                          <w:sz w:val="22"/>
                        </w:rPr>
                        <w:t xml:space="preserve"> 20</w:t>
                      </w:r>
                      <w:r w:rsidR="00626194">
                        <w:rPr>
                          <w:rFonts w:ascii="Cambria" w:hAnsi="Cambria"/>
                          <w:color w:val="FFFFFF" w:themeColor="background1"/>
                          <w:sz w:val="22"/>
                        </w:rPr>
                        <w:t>25</w:t>
                      </w:r>
                    </w:p>
                    <w:p w14:paraId="3990E044" w14:textId="77777777" w:rsidR="001963DB" w:rsidRPr="00010F58" w:rsidRDefault="001963DB" w:rsidP="009F3A2C">
                      <w:pPr>
                        <w:spacing w:line="276" w:lineRule="auto"/>
                        <w:jc w:val="right"/>
                        <w:rPr>
                          <w:rFonts w:ascii="Cambria" w:hAnsi="Cambria"/>
                          <w:color w:val="FFFFFF" w:themeColor="background1"/>
                          <w:sz w:val="22"/>
                        </w:rPr>
                      </w:pPr>
                      <w:r w:rsidRPr="00010F58">
                        <w:rPr>
                          <w:rFonts w:ascii="Cambria" w:hAnsi="Cambria"/>
                          <w:color w:val="FFFFFF" w:themeColor="background1"/>
                          <w:sz w:val="22"/>
                        </w:rPr>
                        <w:t>Original: Spanish</w:t>
                      </w:r>
                    </w:p>
                  </w:txbxContent>
                </v:textbox>
              </v:shape>
            </w:pict>
          </mc:Fallback>
        </mc:AlternateContent>
      </w:r>
      <w:r w:rsidR="009F3A2C" w:rsidRPr="00485F6E">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14CD6AE4" wp14:editId="278A681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B75E1" w14:textId="7C891D9C" w:rsidR="001963DB" w:rsidRPr="000A0461" w:rsidRDefault="001963DB" w:rsidP="009F3A2C">
                            <w:pPr>
                              <w:spacing w:line="276" w:lineRule="auto"/>
                              <w:rPr>
                                <w:rFonts w:ascii="Cambria" w:hAnsi="Cambria" w:cs="Arial"/>
                                <w:b/>
                                <w:bCs/>
                                <w:color w:val="0D0D0D" w:themeColor="text1" w:themeTint="F2"/>
                                <w:sz w:val="36"/>
                                <w:szCs w:val="22"/>
                              </w:rPr>
                            </w:pPr>
                            <w:r w:rsidRPr="000A0461">
                              <w:rPr>
                                <w:rFonts w:ascii="Cambria" w:hAnsi="Cambria" w:cs="Arial"/>
                                <w:b/>
                                <w:bCs/>
                                <w:color w:val="0D0D0D" w:themeColor="text1" w:themeTint="F2"/>
                                <w:sz w:val="36"/>
                                <w:szCs w:val="22"/>
                              </w:rPr>
                              <w:t xml:space="preserve">REPORT </w:t>
                            </w:r>
                            <w:r w:rsidRPr="000A0461">
                              <w:rPr>
                                <w:rFonts w:ascii="Cambria" w:hAnsi="Cambria" w:cs="Arial"/>
                                <w:b/>
                                <w:bCs/>
                                <w:color w:val="0D0D0D" w:themeColor="text1" w:themeTint="F2"/>
                                <w:sz w:val="36"/>
                                <w:szCs w:val="40"/>
                              </w:rPr>
                              <w:t>No.</w:t>
                            </w:r>
                            <w:r w:rsidRPr="000A0461">
                              <w:rPr>
                                <w:rFonts w:ascii="Cambria" w:hAnsi="Cambria" w:cs="Arial"/>
                                <w:b/>
                                <w:bCs/>
                                <w:color w:val="0D0D0D" w:themeColor="text1" w:themeTint="F2"/>
                                <w:sz w:val="36"/>
                                <w:szCs w:val="22"/>
                              </w:rPr>
                              <w:t xml:space="preserve"> </w:t>
                            </w:r>
                            <w:r w:rsidR="00F43938">
                              <w:rPr>
                                <w:rFonts w:ascii="Cambria" w:hAnsi="Cambria" w:cs="Arial"/>
                                <w:b/>
                                <w:bCs/>
                                <w:color w:val="0D0D0D" w:themeColor="text1" w:themeTint="F2"/>
                                <w:sz w:val="36"/>
                                <w:szCs w:val="22"/>
                              </w:rPr>
                              <w:t>111</w:t>
                            </w:r>
                            <w:r w:rsidRPr="000A0461">
                              <w:rPr>
                                <w:rFonts w:ascii="Cambria" w:hAnsi="Cambria" w:cs="Arial"/>
                                <w:b/>
                                <w:bCs/>
                                <w:color w:val="0D0D0D" w:themeColor="text1" w:themeTint="F2"/>
                                <w:sz w:val="36"/>
                                <w:szCs w:val="22"/>
                              </w:rPr>
                              <w:t>/2</w:t>
                            </w:r>
                            <w:r w:rsidR="008C0FB1">
                              <w:rPr>
                                <w:rFonts w:ascii="Cambria" w:hAnsi="Cambria" w:cs="Arial"/>
                                <w:b/>
                                <w:bCs/>
                                <w:color w:val="0D0D0D" w:themeColor="text1" w:themeTint="F2"/>
                                <w:sz w:val="36"/>
                                <w:szCs w:val="22"/>
                              </w:rPr>
                              <w:t>5</w:t>
                            </w:r>
                          </w:p>
                          <w:p w14:paraId="7815FA99" w14:textId="77777777" w:rsidR="001963DB" w:rsidRPr="00010F58" w:rsidRDefault="001963DB" w:rsidP="009F3A2C">
                            <w:pPr>
                              <w:spacing w:line="276" w:lineRule="auto"/>
                              <w:rPr>
                                <w:rFonts w:ascii="Cambria" w:hAnsi="Cambria" w:cs="Arial"/>
                                <w:b/>
                                <w:color w:val="0D0D0D" w:themeColor="text1" w:themeTint="F2"/>
                                <w:sz w:val="36"/>
                                <w:szCs w:val="22"/>
                              </w:rPr>
                            </w:pPr>
                            <w:r w:rsidRPr="00010F58">
                              <w:rPr>
                                <w:rFonts w:ascii="Cambria" w:hAnsi="Cambria" w:cs="Arial"/>
                                <w:b/>
                                <w:color w:val="0D0D0D" w:themeColor="text1" w:themeTint="F2"/>
                                <w:sz w:val="36"/>
                                <w:szCs w:val="22"/>
                              </w:rPr>
                              <w:t>CASE 13.079</w:t>
                            </w:r>
                          </w:p>
                          <w:p w14:paraId="7E3BB2D1" w14:textId="05040D38" w:rsidR="001963DB" w:rsidRPr="00010F58" w:rsidRDefault="001963DB" w:rsidP="009F3A2C">
                            <w:pPr>
                              <w:spacing w:line="276" w:lineRule="auto"/>
                              <w:rPr>
                                <w:rFonts w:ascii="Cambria" w:hAnsi="Cambria" w:cs="Arial"/>
                                <w:color w:val="0D0D0D" w:themeColor="text1" w:themeTint="F2"/>
                                <w:szCs w:val="22"/>
                              </w:rPr>
                            </w:pPr>
                            <w:r>
                              <w:rPr>
                                <w:rFonts w:ascii="Cambria" w:hAnsi="Cambria" w:cs="Arial"/>
                                <w:color w:val="0D0D0D" w:themeColor="text1" w:themeTint="F2"/>
                                <w:szCs w:val="22"/>
                              </w:rPr>
                              <w:t>REPORT ON ADMISSIBILITY AND MERITS</w:t>
                            </w:r>
                            <w:r w:rsidR="00B115D5">
                              <w:rPr>
                                <w:rFonts w:ascii="Cambria" w:hAnsi="Cambria" w:cs="Arial"/>
                                <w:color w:val="0D0D0D" w:themeColor="text1" w:themeTint="F2"/>
                                <w:szCs w:val="22"/>
                              </w:rPr>
                              <w:t xml:space="preserve"> </w:t>
                            </w:r>
                            <w:r w:rsidR="00B115D5" w:rsidRPr="000D7D04">
                              <w:rPr>
                                <w:rFonts w:ascii="Cambria" w:hAnsi="Cambria" w:cs="Arial"/>
                                <w:color w:val="0D0D0D" w:themeColor="text1" w:themeTint="F2"/>
                                <w:szCs w:val="22"/>
                              </w:rPr>
                              <w:t>(PUBLICATION)</w:t>
                            </w:r>
                          </w:p>
                          <w:p w14:paraId="53480A37" w14:textId="77777777" w:rsidR="001963DB" w:rsidRPr="00010F58" w:rsidRDefault="001963DB" w:rsidP="009F3A2C">
                            <w:pPr>
                              <w:spacing w:line="276" w:lineRule="auto"/>
                              <w:rPr>
                                <w:rFonts w:ascii="Cambria" w:hAnsi="Cambria" w:cs="Arial"/>
                                <w:color w:val="0D0D0D" w:themeColor="text1" w:themeTint="F2"/>
                                <w:szCs w:val="22"/>
                              </w:rPr>
                            </w:pPr>
                            <w:r w:rsidRPr="00010F58">
                              <w:rPr>
                                <w:rFonts w:ascii="Cambria" w:hAnsi="Cambria" w:cs="Arial"/>
                                <w:color w:val="0D0D0D" w:themeColor="text1" w:themeTint="F2"/>
                                <w:szCs w:val="22"/>
                              </w:rPr>
                              <w:t xml:space="preserve"> </w:t>
                            </w:r>
                            <w:bookmarkStart w:id="0" w:name="_ftnref1"/>
                          </w:p>
                          <w:p w14:paraId="0DBCB76D" w14:textId="77777777" w:rsidR="001963DB" w:rsidRPr="00010F58" w:rsidRDefault="001963DB" w:rsidP="009F3A2C">
                            <w:pPr>
                              <w:spacing w:line="276" w:lineRule="auto"/>
                              <w:rPr>
                                <w:rFonts w:ascii="Cambria" w:hAnsi="Cambria" w:cs="Arial"/>
                                <w:color w:val="0D0D0D" w:themeColor="text1" w:themeTint="F2"/>
                                <w:szCs w:val="22"/>
                              </w:rPr>
                            </w:pPr>
                            <w:r w:rsidRPr="00010F58">
                              <w:rPr>
                                <w:rFonts w:ascii="Cambria" w:hAnsi="Cambria" w:cs="Arial"/>
                                <w:color w:val="0D0D0D" w:themeColor="text1" w:themeTint="F2"/>
                                <w:szCs w:val="22"/>
                              </w:rPr>
                              <w:t xml:space="preserve">DIEGO ARMANDO PACHECO </w:t>
                            </w:r>
                            <w:bookmarkEnd w:id="0"/>
                          </w:p>
                          <w:p w14:paraId="1BD5831A" w14:textId="77777777" w:rsidR="001963DB" w:rsidRPr="009F3A2C" w:rsidRDefault="001963DB" w:rsidP="009F3A2C">
                            <w:pPr>
                              <w:spacing w:line="276" w:lineRule="auto"/>
                              <w:rPr>
                                <w:rFonts w:ascii="Cambria" w:hAnsi="Cambria" w:cs="Arial"/>
                                <w:color w:val="0D0D0D" w:themeColor="text1" w:themeTint="F2"/>
                                <w:szCs w:val="22"/>
                              </w:rPr>
                            </w:pPr>
                            <w:r w:rsidRPr="00B115D5">
                              <w:rPr>
                                <w:rFonts w:ascii="Cambria" w:hAnsi="Cambria" w:cs="Arial"/>
                                <w:color w:val="0D0D0D" w:themeColor="text1" w:themeTint="F2"/>
                                <w:szCs w:val="22"/>
                              </w:rPr>
                              <w:t>ARGENTINA</w:t>
                            </w:r>
                          </w:p>
                          <w:p w14:paraId="69134041" w14:textId="77777777" w:rsidR="001963DB" w:rsidRPr="00B115D5" w:rsidRDefault="001963DB" w:rsidP="009F3A2C">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6AE4" id="Text Box 5" o:spid="_x0000_s1028"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24EB75E1" w14:textId="7C891D9C" w:rsidR="001963DB" w:rsidRPr="000A0461" w:rsidRDefault="001963DB" w:rsidP="009F3A2C">
                      <w:pPr>
                        <w:spacing w:line="276" w:lineRule="auto"/>
                        <w:rPr>
                          <w:rFonts w:ascii="Cambria" w:hAnsi="Cambria" w:cs="Arial"/>
                          <w:b/>
                          <w:bCs/>
                          <w:color w:val="0D0D0D" w:themeColor="text1" w:themeTint="F2"/>
                          <w:sz w:val="36"/>
                          <w:szCs w:val="22"/>
                        </w:rPr>
                      </w:pPr>
                      <w:r w:rsidRPr="000A0461">
                        <w:rPr>
                          <w:rFonts w:ascii="Cambria" w:hAnsi="Cambria" w:cs="Arial"/>
                          <w:b/>
                          <w:bCs/>
                          <w:color w:val="0D0D0D" w:themeColor="text1" w:themeTint="F2"/>
                          <w:sz w:val="36"/>
                          <w:szCs w:val="22"/>
                        </w:rPr>
                        <w:t xml:space="preserve">REPORT </w:t>
                      </w:r>
                      <w:r w:rsidRPr="000A0461">
                        <w:rPr>
                          <w:rFonts w:ascii="Cambria" w:hAnsi="Cambria" w:cs="Arial"/>
                          <w:b/>
                          <w:bCs/>
                          <w:color w:val="0D0D0D" w:themeColor="text1" w:themeTint="F2"/>
                          <w:sz w:val="36"/>
                          <w:szCs w:val="40"/>
                        </w:rPr>
                        <w:t>No.</w:t>
                      </w:r>
                      <w:r w:rsidRPr="000A0461">
                        <w:rPr>
                          <w:rFonts w:ascii="Cambria" w:hAnsi="Cambria" w:cs="Arial"/>
                          <w:b/>
                          <w:bCs/>
                          <w:color w:val="0D0D0D" w:themeColor="text1" w:themeTint="F2"/>
                          <w:sz w:val="36"/>
                          <w:szCs w:val="22"/>
                        </w:rPr>
                        <w:t xml:space="preserve"> </w:t>
                      </w:r>
                      <w:r w:rsidR="00F43938">
                        <w:rPr>
                          <w:rFonts w:ascii="Cambria" w:hAnsi="Cambria" w:cs="Arial"/>
                          <w:b/>
                          <w:bCs/>
                          <w:color w:val="0D0D0D" w:themeColor="text1" w:themeTint="F2"/>
                          <w:sz w:val="36"/>
                          <w:szCs w:val="22"/>
                        </w:rPr>
                        <w:t>111</w:t>
                      </w:r>
                      <w:r w:rsidRPr="000A0461">
                        <w:rPr>
                          <w:rFonts w:ascii="Cambria" w:hAnsi="Cambria" w:cs="Arial"/>
                          <w:b/>
                          <w:bCs/>
                          <w:color w:val="0D0D0D" w:themeColor="text1" w:themeTint="F2"/>
                          <w:sz w:val="36"/>
                          <w:szCs w:val="22"/>
                        </w:rPr>
                        <w:t>/2</w:t>
                      </w:r>
                      <w:r w:rsidR="008C0FB1">
                        <w:rPr>
                          <w:rFonts w:ascii="Cambria" w:hAnsi="Cambria" w:cs="Arial"/>
                          <w:b/>
                          <w:bCs/>
                          <w:color w:val="0D0D0D" w:themeColor="text1" w:themeTint="F2"/>
                          <w:sz w:val="36"/>
                          <w:szCs w:val="22"/>
                        </w:rPr>
                        <w:t>5</w:t>
                      </w:r>
                    </w:p>
                    <w:p w14:paraId="7815FA99" w14:textId="77777777" w:rsidR="001963DB" w:rsidRPr="00010F58" w:rsidRDefault="001963DB" w:rsidP="009F3A2C">
                      <w:pPr>
                        <w:spacing w:line="276" w:lineRule="auto"/>
                        <w:rPr>
                          <w:rFonts w:ascii="Cambria" w:hAnsi="Cambria" w:cs="Arial"/>
                          <w:b/>
                          <w:color w:val="0D0D0D" w:themeColor="text1" w:themeTint="F2"/>
                          <w:sz w:val="36"/>
                          <w:szCs w:val="22"/>
                        </w:rPr>
                      </w:pPr>
                      <w:r w:rsidRPr="00010F58">
                        <w:rPr>
                          <w:rFonts w:ascii="Cambria" w:hAnsi="Cambria" w:cs="Arial"/>
                          <w:b/>
                          <w:color w:val="0D0D0D" w:themeColor="text1" w:themeTint="F2"/>
                          <w:sz w:val="36"/>
                          <w:szCs w:val="22"/>
                        </w:rPr>
                        <w:t>CASE 13.079</w:t>
                      </w:r>
                    </w:p>
                    <w:p w14:paraId="7E3BB2D1" w14:textId="05040D38" w:rsidR="001963DB" w:rsidRPr="00010F58" w:rsidRDefault="001963DB" w:rsidP="009F3A2C">
                      <w:pPr>
                        <w:spacing w:line="276" w:lineRule="auto"/>
                        <w:rPr>
                          <w:rFonts w:ascii="Cambria" w:hAnsi="Cambria" w:cs="Arial"/>
                          <w:color w:val="0D0D0D" w:themeColor="text1" w:themeTint="F2"/>
                          <w:szCs w:val="22"/>
                        </w:rPr>
                      </w:pPr>
                      <w:r>
                        <w:rPr>
                          <w:rFonts w:ascii="Cambria" w:hAnsi="Cambria" w:cs="Arial"/>
                          <w:color w:val="0D0D0D" w:themeColor="text1" w:themeTint="F2"/>
                          <w:szCs w:val="22"/>
                        </w:rPr>
                        <w:t>REPORT ON ADMISSIBILITY AND MERITS</w:t>
                      </w:r>
                      <w:r w:rsidR="00B115D5">
                        <w:rPr>
                          <w:rFonts w:ascii="Cambria" w:hAnsi="Cambria" w:cs="Arial"/>
                          <w:color w:val="0D0D0D" w:themeColor="text1" w:themeTint="F2"/>
                          <w:szCs w:val="22"/>
                        </w:rPr>
                        <w:t xml:space="preserve"> </w:t>
                      </w:r>
                      <w:r w:rsidR="00B115D5" w:rsidRPr="000D7D04">
                        <w:rPr>
                          <w:rFonts w:ascii="Cambria" w:hAnsi="Cambria" w:cs="Arial"/>
                          <w:color w:val="0D0D0D" w:themeColor="text1" w:themeTint="F2"/>
                          <w:szCs w:val="22"/>
                        </w:rPr>
                        <w:t>(PUBLICATION)</w:t>
                      </w:r>
                    </w:p>
                    <w:p w14:paraId="53480A37" w14:textId="77777777" w:rsidR="001963DB" w:rsidRPr="00010F58" w:rsidRDefault="001963DB" w:rsidP="009F3A2C">
                      <w:pPr>
                        <w:spacing w:line="276" w:lineRule="auto"/>
                        <w:rPr>
                          <w:rFonts w:ascii="Cambria" w:hAnsi="Cambria" w:cs="Arial"/>
                          <w:color w:val="0D0D0D" w:themeColor="text1" w:themeTint="F2"/>
                          <w:szCs w:val="22"/>
                        </w:rPr>
                      </w:pPr>
                      <w:r w:rsidRPr="00010F58">
                        <w:rPr>
                          <w:rFonts w:ascii="Cambria" w:hAnsi="Cambria" w:cs="Arial"/>
                          <w:color w:val="0D0D0D" w:themeColor="text1" w:themeTint="F2"/>
                          <w:szCs w:val="22"/>
                        </w:rPr>
                        <w:t xml:space="preserve"> </w:t>
                      </w:r>
                      <w:bookmarkStart w:id="1" w:name="_ftnref1"/>
                    </w:p>
                    <w:p w14:paraId="0DBCB76D" w14:textId="77777777" w:rsidR="001963DB" w:rsidRPr="00010F58" w:rsidRDefault="001963DB" w:rsidP="009F3A2C">
                      <w:pPr>
                        <w:spacing w:line="276" w:lineRule="auto"/>
                        <w:rPr>
                          <w:rFonts w:ascii="Cambria" w:hAnsi="Cambria" w:cs="Arial"/>
                          <w:color w:val="0D0D0D" w:themeColor="text1" w:themeTint="F2"/>
                          <w:szCs w:val="22"/>
                        </w:rPr>
                      </w:pPr>
                      <w:r w:rsidRPr="00010F58">
                        <w:rPr>
                          <w:rFonts w:ascii="Cambria" w:hAnsi="Cambria" w:cs="Arial"/>
                          <w:color w:val="0D0D0D" w:themeColor="text1" w:themeTint="F2"/>
                          <w:szCs w:val="22"/>
                        </w:rPr>
                        <w:t xml:space="preserve">DIEGO ARMANDO PACHECO </w:t>
                      </w:r>
                      <w:bookmarkEnd w:id="1"/>
                    </w:p>
                    <w:p w14:paraId="1BD5831A" w14:textId="77777777" w:rsidR="001963DB" w:rsidRPr="009F3A2C" w:rsidRDefault="001963DB" w:rsidP="009F3A2C">
                      <w:pPr>
                        <w:spacing w:line="276" w:lineRule="auto"/>
                        <w:rPr>
                          <w:rFonts w:ascii="Cambria" w:hAnsi="Cambria" w:cs="Arial"/>
                          <w:color w:val="0D0D0D" w:themeColor="text1" w:themeTint="F2"/>
                          <w:szCs w:val="22"/>
                        </w:rPr>
                      </w:pPr>
                      <w:r w:rsidRPr="00B115D5">
                        <w:rPr>
                          <w:rFonts w:ascii="Cambria" w:hAnsi="Cambria" w:cs="Arial"/>
                          <w:color w:val="0D0D0D" w:themeColor="text1" w:themeTint="F2"/>
                          <w:szCs w:val="22"/>
                        </w:rPr>
                        <w:t>ARGENTINA</w:t>
                      </w:r>
                    </w:p>
                    <w:p w14:paraId="69134041" w14:textId="77777777" w:rsidR="001963DB" w:rsidRPr="00B115D5" w:rsidRDefault="001963DB" w:rsidP="009F3A2C">
                      <w:pPr>
                        <w:rPr>
                          <w:color w:val="0D0D0D" w:themeColor="text1" w:themeTint="F2"/>
                        </w:rPr>
                      </w:pPr>
                    </w:p>
                  </w:txbxContent>
                </v:textbox>
              </v:shape>
            </w:pict>
          </mc:Fallback>
        </mc:AlternateContent>
      </w:r>
    </w:p>
    <w:p w14:paraId="681CBF17" w14:textId="77777777" w:rsidR="009F3A2C" w:rsidRPr="00485F6E" w:rsidRDefault="009F3A2C" w:rsidP="009F3A2C">
      <w:pPr>
        <w:tabs>
          <w:tab w:val="center" w:pos="5400"/>
        </w:tabs>
        <w:suppressAutoHyphens/>
        <w:jc w:val="center"/>
        <w:rPr>
          <w:rFonts w:asciiTheme="majorHAnsi" w:hAnsiTheme="majorHAnsi"/>
          <w:sz w:val="22"/>
          <w:szCs w:val="22"/>
        </w:rPr>
      </w:pPr>
    </w:p>
    <w:p w14:paraId="31DBC17A" w14:textId="77777777" w:rsidR="009F3A2C" w:rsidRPr="00485F6E" w:rsidRDefault="009F3A2C" w:rsidP="009F3A2C">
      <w:pPr>
        <w:tabs>
          <w:tab w:val="center" w:pos="5400"/>
        </w:tabs>
        <w:suppressAutoHyphens/>
        <w:jc w:val="center"/>
        <w:rPr>
          <w:rFonts w:asciiTheme="majorHAnsi" w:hAnsiTheme="majorHAnsi"/>
          <w:sz w:val="22"/>
          <w:szCs w:val="22"/>
        </w:rPr>
      </w:pPr>
    </w:p>
    <w:p w14:paraId="569A4348" w14:textId="77777777" w:rsidR="009F3A2C" w:rsidRPr="00485F6E" w:rsidRDefault="009F3A2C" w:rsidP="009F3A2C">
      <w:pPr>
        <w:tabs>
          <w:tab w:val="center" w:pos="5400"/>
        </w:tabs>
        <w:suppressAutoHyphens/>
        <w:jc w:val="center"/>
        <w:rPr>
          <w:rFonts w:asciiTheme="majorHAnsi" w:hAnsiTheme="majorHAnsi" w:cs="Arial"/>
          <w:sz w:val="22"/>
          <w:szCs w:val="22"/>
        </w:rPr>
      </w:pPr>
    </w:p>
    <w:p w14:paraId="7713F273" w14:textId="77777777" w:rsidR="009F3A2C" w:rsidRPr="00485F6E" w:rsidRDefault="009F3A2C" w:rsidP="009F3A2C">
      <w:pPr>
        <w:tabs>
          <w:tab w:val="center" w:pos="5400"/>
        </w:tabs>
        <w:suppressAutoHyphens/>
        <w:jc w:val="center"/>
        <w:rPr>
          <w:rFonts w:asciiTheme="majorHAnsi" w:hAnsiTheme="majorHAnsi"/>
          <w:sz w:val="22"/>
          <w:szCs w:val="22"/>
        </w:rPr>
      </w:pPr>
    </w:p>
    <w:p w14:paraId="5349290D" w14:textId="77777777" w:rsidR="009F3A2C" w:rsidRPr="00485F6E" w:rsidRDefault="009F3A2C" w:rsidP="009F3A2C">
      <w:pPr>
        <w:tabs>
          <w:tab w:val="center" w:pos="5400"/>
        </w:tabs>
        <w:suppressAutoHyphens/>
        <w:jc w:val="center"/>
        <w:rPr>
          <w:rFonts w:asciiTheme="majorHAnsi" w:hAnsiTheme="majorHAnsi"/>
          <w:sz w:val="22"/>
          <w:szCs w:val="22"/>
        </w:rPr>
      </w:pPr>
    </w:p>
    <w:p w14:paraId="38B8BA8E" w14:textId="77777777" w:rsidR="009F3A2C" w:rsidRPr="00485F6E" w:rsidRDefault="009F3A2C" w:rsidP="009F3A2C">
      <w:pPr>
        <w:tabs>
          <w:tab w:val="center" w:pos="5400"/>
        </w:tabs>
        <w:suppressAutoHyphens/>
        <w:jc w:val="center"/>
        <w:rPr>
          <w:rFonts w:asciiTheme="majorHAnsi" w:hAnsiTheme="majorHAnsi"/>
          <w:sz w:val="22"/>
          <w:szCs w:val="22"/>
        </w:rPr>
      </w:pPr>
    </w:p>
    <w:p w14:paraId="21D9A378" w14:textId="77777777" w:rsidR="009F3A2C" w:rsidRPr="00485F6E" w:rsidRDefault="009F3A2C" w:rsidP="009F3A2C">
      <w:pPr>
        <w:tabs>
          <w:tab w:val="center" w:pos="5400"/>
        </w:tabs>
        <w:suppressAutoHyphens/>
        <w:jc w:val="center"/>
        <w:rPr>
          <w:rFonts w:asciiTheme="majorHAnsi" w:hAnsiTheme="majorHAnsi"/>
          <w:sz w:val="22"/>
          <w:szCs w:val="22"/>
        </w:rPr>
      </w:pPr>
    </w:p>
    <w:p w14:paraId="3560E9D1" w14:textId="77777777" w:rsidR="009F3A2C" w:rsidRPr="00485F6E" w:rsidRDefault="009F3A2C" w:rsidP="009F3A2C">
      <w:pPr>
        <w:tabs>
          <w:tab w:val="center" w:pos="5400"/>
        </w:tabs>
        <w:suppressAutoHyphens/>
        <w:jc w:val="center"/>
        <w:rPr>
          <w:rFonts w:asciiTheme="majorHAnsi" w:hAnsiTheme="majorHAnsi"/>
          <w:sz w:val="22"/>
          <w:szCs w:val="22"/>
        </w:rPr>
      </w:pPr>
    </w:p>
    <w:p w14:paraId="61F6CBBE" w14:textId="77777777" w:rsidR="009F3A2C" w:rsidRPr="00485F6E" w:rsidRDefault="009F3A2C" w:rsidP="009F3A2C">
      <w:pPr>
        <w:tabs>
          <w:tab w:val="center" w:pos="5400"/>
        </w:tabs>
        <w:suppressAutoHyphens/>
        <w:jc w:val="center"/>
        <w:rPr>
          <w:rFonts w:asciiTheme="majorHAnsi" w:hAnsiTheme="majorHAnsi"/>
          <w:sz w:val="22"/>
          <w:szCs w:val="22"/>
        </w:rPr>
      </w:pPr>
    </w:p>
    <w:p w14:paraId="53F3298A" w14:textId="77777777" w:rsidR="009F3A2C" w:rsidRPr="00485F6E" w:rsidRDefault="009F3A2C" w:rsidP="009F3A2C">
      <w:pPr>
        <w:tabs>
          <w:tab w:val="center" w:pos="5400"/>
        </w:tabs>
        <w:suppressAutoHyphens/>
        <w:jc w:val="center"/>
        <w:rPr>
          <w:rFonts w:asciiTheme="majorHAnsi" w:hAnsiTheme="majorHAnsi"/>
          <w:sz w:val="22"/>
          <w:szCs w:val="22"/>
        </w:rPr>
      </w:pPr>
    </w:p>
    <w:p w14:paraId="328D7417" w14:textId="77777777" w:rsidR="009F3A2C" w:rsidRPr="00485F6E" w:rsidRDefault="009F3A2C" w:rsidP="009F3A2C">
      <w:pPr>
        <w:tabs>
          <w:tab w:val="center" w:pos="5400"/>
        </w:tabs>
        <w:suppressAutoHyphens/>
        <w:jc w:val="center"/>
        <w:rPr>
          <w:rFonts w:asciiTheme="majorHAnsi" w:hAnsiTheme="majorHAnsi"/>
          <w:sz w:val="22"/>
          <w:szCs w:val="22"/>
        </w:rPr>
      </w:pPr>
    </w:p>
    <w:p w14:paraId="77AB71D7" w14:textId="77777777" w:rsidR="009F3A2C" w:rsidRPr="00485F6E" w:rsidRDefault="009F3A2C" w:rsidP="009F3A2C">
      <w:pPr>
        <w:tabs>
          <w:tab w:val="center" w:pos="5400"/>
        </w:tabs>
        <w:suppressAutoHyphens/>
        <w:jc w:val="center"/>
        <w:rPr>
          <w:rFonts w:asciiTheme="majorHAnsi" w:hAnsiTheme="majorHAnsi"/>
          <w:sz w:val="22"/>
          <w:szCs w:val="22"/>
        </w:rPr>
      </w:pPr>
    </w:p>
    <w:p w14:paraId="073B3CFF" w14:textId="77777777" w:rsidR="009F3A2C" w:rsidRPr="00485F6E" w:rsidRDefault="009F3A2C" w:rsidP="009F3A2C">
      <w:pPr>
        <w:tabs>
          <w:tab w:val="center" w:pos="5400"/>
        </w:tabs>
        <w:suppressAutoHyphens/>
        <w:jc w:val="center"/>
        <w:rPr>
          <w:rFonts w:asciiTheme="majorHAnsi" w:hAnsiTheme="majorHAnsi"/>
          <w:sz w:val="22"/>
          <w:szCs w:val="22"/>
        </w:rPr>
      </w:pPr>
    </w:p>
    <w:p w14:paraId="069FA7BB" w14:textId="77777777" w:rsidR="009F3A2C" w:rsidRPr="00485F6E" w:rsidRDefault="009F3A2C" w:rsidP="009F3A2C">
      <w:pPr>
        <w:tabs>
          <w:tab w:val="center" w:pos="5400"/>
        </w:tabs>
        <w:suppressAutoHyphens/>
        <w:jc w:val="center"/>
        <w:rPr>
          <w:rFonts w:asciiTheme="majorHAnsi" w:hAnsiTheme="majorHAnsi"/>
          <w:sz w:val="22"/>
          <w:szCs w:val="22"/>
        </w:rPr>
      </w:pPr>
    </w:p>
    <w:p w14:paraId="35F2610A" w14:textId="77777777" w:rsidR="009F3A2C" w:rsidRPr="00485F6E" w:rsidRDefault="009F3A2C" w:rsidP="009F3A2C">
      <w:pPr>
        <w:tabs>
          <w:tab w:val="center" w:pos="5400"/>
        </w:tabs>
        <w:suppressAutoHyphens/>
        <w:jc w:val="center"/>
        <w:rPr>
          <w:rFonts w:asciiTheme="majorHAnsi" w:hAnsiTheme="majorHAnsi"/>
          <w:sz w:val="18"/>
          <w:szCs w:val="22"/>
        </w:rPr>
      </w:pPr>
    </w:p>
    <w:p w14:paraId="2E8187A3" w14:textId="77777777" w:rsidR="009F3A2C" w:rsidRPr="00485F6E" w:rsidRDefault="009F3A2C" w:rsidP="009F3A2C">
      <w:pPr>
        <w:tabs>
          <w:tab w:val="center" w:pos="5400"/>
        </w:tabs>
        <w:suppressAutoHyphens/>
        <w:jc w:val="center"/>
        <w:rPr>
          <w:rFonts w:asciiTheme="majorHAnsi" w:hAnsiTheme="majorHAnsi"/>
          <w:sz w:val="18"/>
          <w:szCs w:val="22"/>
        </w:rPr>
      </w:pPr>
    </w:p>
    <w:p w14:paraId="3A3D4B3C" w14:textId="77777777" w:rsidR="009F3A2C" w:rsidRPr="00485F6E" w:rsidRDefault="009F3A2C" w:rsidP="009F3A2C">
      <w:pPr>
        <w:tabs>
          <w:tab w:val="center" w:pos="5400"/>
        </w:tabs>
        <w:suppressAutoHyphens/>
        <w:jc w:val="center"/>
        <w:rPr>
          <w:rFonts w:asciiTheme="majorHAnsi" w:hAnsiTheme="majorHAnsi"/>
          <w:sz w:val="18"/>
          <w:szCs w:val="22"/>
        </w:rPr>
      </w:pPr>
    </w:p>
    <w:p w14:paraId="5C7C2086" w14:textId="77777777" w:rsidR="009F3A2C" w:rsidRPr="00485F6E" w:rsidRDefault="009F3A2C" w:rsidP="009F3A2C">
      <w:pPr>
        <w:tabs>
          <w:tab w:val="center" w:pos="5400"/>
        </w:tabs>
        <w:suppressAutoHyphens/>
        <w:jc w:val="center"/>
        <w:rPr>
          <w:rFonts w:asciiTheme="majorHAnsi" w:hAnsiTheme="majorHAnsi"/>
          <w:sz w:val="18"/>
          <w:szCs w:val="22"/>
        </w:rPr>
      </w:pPr>
    </w:p>
    <w:p w14:paraId="20F8ABD1" w14:textId="77777777" w:rsidR="009F3A2C" w:rsidRPr="00485F6E" w:rsidRDefault="009F3A2C" w:rsidP="009F3A2C">
      <w:pPr>
        <w:tabs>
          <w:tab w:val="center" w:pos="5400"/>
        </w:tabs>
        <w:suppressAutoHyphens/>
        <w:jc w:val="center"/>
        <w:rPr>
          <w:rFonts w:asciiTheme="majorHAnsi" w:hAnsiTheme="majorHAnsi"/>
          <w:sz w:val="18"/>
          <w:szCs w:val="22"/>
        </w:rPr>
      </w:pPr>
    </w:p>
    <w:p w14:paraId="7EE4436B" w14:textId="77777777" w:rsidR="009F3A2C" w:rsidRPr="00485F6E" w:rsidRDefault="009F3A2C" w:rsidP="009F3A2C">
      <w:pPr>
        <w:tabs>
          <w:tab w:val="center" w:pos="5400"/>
        </w:tabs>
        <w:suppressAutoHyphens/>
        <w:jc w:val="center"/>
        <w:rPr>
          <w:rFonts w:asciiTheme="majorHAnsi" w:hAnsiTheme="majorHAnsi"/>
          <w:sz w:val="18"/>
          <w:szCs w:val="22"/>
        </w:rPr>
      </w:pPr>
    </w:p>
    <w:p w14:paraId="15FB5F8D" w14:textId="77777777" w:rsidR="00B849AE" w:rsidRPr="00485F6E" w:rsidRDefault="00B849AE" w:rsidP="00B849AE">
      <w:pPr>
        <w:tabs>
          <w:tab w:val="center" w:pos="5400"/>
        </w:tabs>
        <w:suppressAutoHyphens/>
        <w:rPr>
          <w:rFonts w:asciiTheme="majorHAnsi" w:hAnsiTheme="majorHAnsi"/>
          <w:sz w:val="18"/>
          <w:szCs w:val="22"/>
        </w:rPr>
      </w:pPr>
    </w:p>
    <w:p w14:paraId="678D6B7A" w14:textId="77777777" w:rsidR="00B849AE" w:rsidRPr="00485F6E" w:rsidRDefault="00B849AE" w:rsidP="009F3A2C">
      <w:pPr>
        <w:tabs>
          <w:tab w:val="center" w:pos="5400"/>
        </w:tabs>
        <w:suppressAutoHyphens/>
        <w:jc w:val="center"/>
        <w:rPr>
          <w:rFonts w:asciiTheme="majorHAnsi" w:hAnsiTheme="majorHAnsi"/>
          <w:sz w:val="18"/>
          <w:szCs w:val="22"/>
        </w:rPr>
      </w:pPr>
    </w:p>
    <w:p w14:paraId="37611D8F" w14:textId="77777777" w:rsidR="00B849AE" w:rsidRPr="00485F6E" w:rsidRDefault="00B849AE" w:rsidP="009F3A2C">
      <w:pPr>
        <w:tabs>
          <w:tab w:val="center" w:pos="5400"/>
        </w:tabs>
        <w:suppressAutoHyphens/>
        <w:jc w:val="center"/>
        <w:rPr>
          <w:rFonts w:asciiTheme="majorHAnsi" w:hAnsiTheme="majorHAnsi"/>
          <w:sz w:val="18"/>
          <w:szCs w:val="22"/>
        </w:rPr>
      </w:pPr>
    </w:p>
    <w:p w14:paraId="23B7C28E" w14:textId="77777777" w:rsidR="009F3A2C" w:rsidRPr="00485F6E" w:rsidRDefault="009F3A2C" w:rsidP="009F3A2C">
      <w:pPr>
        <w:tabs>
          <w:tab w:val="center" w:pos="5400"/>
        </w:tabs>
        <w:suppressAutoHyphens/>
        <w:jc w:val="center"/>
        <w:rPr>
          <w:rFonts w:asciiTheme="majorHAnsi" w:hAnsiTheme="majorHAnsi"/>
          <w:sz w:val="18"/>
          <w:szCs w:val="22"/>
        </w:rPr>
      </w:pPr>
      <w:r w:rsidRPr="00485F6E">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03C85490" wp14:editId="3760C4B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09556" w14:textId="11FEE1B3" w:rsidR="001963DB" w:rsidRPr="007E6EDF" w:rsidRDefault="001963DB" w:rsidP="009F3A2C">
                            <w:pPr>
                              <w:tabs>
                                <w:tab w:val="center" w:pos="5400"/>
                              </w:tabs>
                              <w:suppressAutoHyphens/>
                              <w:spacing w:before="60"/>
                              <w:rPr>
                                <w:rFonts w:ascii="Cambria" w:hAnsi="Cambria" w:cs="Univers"/>
                                <w:color w:val="0D0D0D" w:themeColor="text1" w:themeTint="F2"/>
                                <w:sz w:val="18"/>
                                <w:szCs w:val="20"/>
                              </w:rPr>
                            </w:pPr>
                            <w:r>
                              <w:rPr>
                                <w:rFonts w:ascii="Cambria" w:hAnsi="Cambria"/>
                                <w:color w:val="0D0D0D" w:themeColor="text1" w:themeTint="F2"/>
                                <w:sz w:val="18"/>
                                <w:szCs w:val="20"/>
                              </w:rPr>
                              <w:t>Approved</w:t>
                            </w:r>
                            <w:r w:rsidR="00626194">
                              <w:rPr>
                                <w:rFonts w:ascii="Cambria" w:hAnsi="Cambria"/>
                                <w:color w:val="0D0D0D" w:themeColor="text1" w:themeTint="F2"/>
                                <w:sz w:val="18"/>
                                <w:szCs w:val="20"/>
                              </w:rPr>
                              <w:t xml:space="preserve"> electronically</w:t>
                            </w:r>
                            <w:r>
                              <w:rPr>
                                <w:rFonts w:ascii="Cambria" w:hAnsi="Cambria"/>
                                <w:color w:val="0D0D0D" w:themeColor="text1" w:themeTint="F2"/>
                                <w:sz w:val="18"/>
                                <w:szCs w:val="20"/>
                              </w:rPr>
                              <w:t xml:space="preserve"> by the Commission</w:t>
                            </w:r>
                            <w:r w:rsidRPr="007E6EDF">
                              <w:rPr>
                                <w:rFonts w:ascii="Cambria" w:hAnsi="Cambria"/>
                                <w:color w:val="0D0D0D" w:themeColor="text1" w:themeTint="F2"/>
                                <w:sz w:val="18"/>
                                <w:szCs w:val="20"/>
                              </w:rPr>
                              <w:t xml:space="preserve"> on </w:t>
                            </w:r>
                            <w:r w:rsidR="00ED0607">
                              <w:rPr>
                                <w:rFonts w:ascii="Cambria" w:hAnsi="Cambria"/>
                                <w:color w:val="0D0D0D" w:themeColor="text1" w:themeTint="F2"/>
                                <w:sz w:val="18"/>
                                <w:szCs w:val="20"/>
                              </w:rPr>
                              <w:t>July 14</w:t>
                            </w:r>
                            <w:r w:rsidRPr="007E6EDF">
                              <w:rPr>
                                <w:rFonts w:ascii="Cambria" w:hAnsi="Cambria"/>
                                <w:color w:val="0D0D0D" w:themeColor="text1" w:themeTint="F2"/>
                                <w:sz w:val="18"/>
                                <w:szCs w:val="20"/>
                              </w:rPr>
                              <w:t>, 20</w:t>
                            </w:r>
                            <w:r w:rsidR="00643B4B">
                              <w:rPr>
                                <w:rFonts w:ascii="Cambria" w:hAnsi="Cambria"/>
                                <w:color w:val="0D0D0D" w:themeColor="text1" w:themeTint="F2"/>
                                <w:sz w:val="18"/>
                                <w:szCs w:val="20"/>
                              </w:rPr>
                              <w:t>25</w:t>
                            </w:r>
                            <w:r w:rsidRPr="007E6EDF">
                              <w:rPr>
                                <w:rFonts w:ascii="Cambria" w:hAnsi="Cambria"/>
                                <w:color w:val="0D0D0D" w:themeColor="text1" w:themeTint="F2"/>
                                <w:sz w:val="18"/>
                                <w:szCs w:val="20"/>
                              </w:rPr>
                              <w:br/>
                            </w:r>
                          </w:p>
                          <w:p w14:paraId="3F7DD76A" w14:textId="77777777" w:rsidR="001963DB" w:rsidRPr="007E6EDF" w:rsidRDefault="001963DB" w:rsidP="009F3A2C">
                            <w:pPr>
                              <w:tabs>
                                <w:tab w:val="center" w:pos="5400"/>
                              </w:tabs>
                              <w:suppressAutoHyphens/>
                              <w:spacing w:before="60"/>
                              <w:rPr>
                                <w:rFonts w:asciiTheme="minorHAnsi" w:hAnsiTheme="minorHAnsi" w:cs="Univers"/>
                                <w:color w:val="0D0D0D" w:themeColor="text1" w:themeTint="F2"/>
                                <w:sz w:val="20"/>
                                <w:szCs w:val="20"/>
                              </w:rPr>
                            </w:pPr>
                          </w:p>
                          <w:p w14:paraId="59BDC8CF" w14:textId="77777777" w:rsidR="001963DB" w:rsidRPr="007E6EDF" w:rsidRDefault="001963DB" w:rsidP="009F3A2C">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85490"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5509556" w14:textId="11FEE1B3" w:rsidR="001963DB" w:rsidRPr="007E6EDF" w:rsidRDefault="001963DB" w:rsidP="009F3A2C">
                      <w:pPr>
                        <w:tabs>
                          <w:tab w:val="center" w:pos="5400"/>
                        </w:tabs>
                        <w:suppressAutoHyphens/>
                        <w:spacing w:before="60"/>
                        <w:rPr>
                          <w:rFonts w:ascii="Cambria" w:hAnsi="Cambria" w:cs="Univers"/>
                          <w:color w:val="0D0D0D" w:themeColor="text1" w:themeTint="F2"/>
                          <w:sz w:val="18"/>
                          <w:szCs w:val="20"/>
                        </w:rPr>
                      </w:pPr>
                      <w:r>
                        <w:rPr>
                          <w:rFonts w:ascii="Cambria" w:hAnsi="Cambria"/>
                          <w:color w:val="0D0D0D" w:themeColor="text1" w:themeTint="F2"/>
                          <w:sz w:val="18"/>
                          <w:szCs w:val="20"/>
                        </w:rPr>
                        <w:t>Approved</w:t>
                      </w:r>
                      <w:r w:rsidR="00626194">
                        <w:rPr>
                          <w:rFonts w:ascii="Cambria" w:hAnsi="Cambria"/>
                          <w:color w:val="0D0D0D" w:themeColor="text1" w:themeTint="F2"/>
                          <w:sz w:val="18"/>
                          <w:szCs w:val="20"/>
                        </w:rPr>
                        <w:t xml:space="preserve"> electronically</w:t>
                      </w:r>
                      <w:r>
                        <w:rPr>
                          <w:rFonts w:ascii="Cambria" w:hAnsi="Cambria"/>
                          <w:color w:val="0D0D0D" w:themeColor="text1" w:themeTint="F2"/>
                          <w:sz w:val="18"/>
                          <w:szCs w:val="20"/>
                        </w:rPr>
                        <w:t xml:space="preserve"> by the Commission</w:t>
                      </w:r>
                      <w:r w:rsidRPr="007E6EDF">
                        <w:rPr>
                          <w:rFonts w:ascii="Cambria" w:hAnsi="Cambria"/>
                          <w:color w:val="0D0D0D" w:themeColor="text1" w:themeTint="F2"/>
                          <w:sz w:val="18"/>
                          <w:szCs w:val="20"/>
                        </w:rPr>
                        <w:t xml:space="preserve"> on </w:t>
                      </w:r>
                      <w:r w:rsidR="00ED0607">
                        <w:rPr>
                          <w:rFonts w:ascii="Cambria" w:hAnsi="Cambria"/>
                          <w:color w:val="0D0D0D" w:themeColor="text1" w:themeTint="F2"/>
                          <w:sz w:val="18"/>
                          <w:szCs w:val="20"/>
                        </w:rPr>
                        <w:t>July 14</w:t>
                      </w:r>
                      <w:r w:rsidRPr="007E6EDF">
                        <w:rPr>
                          <w:rFonts w:ascii="Cambria" w:hAnsi="Cambria"/>
                          <w:color w:val="0D0D0D" w:themeColor="text1" w:themeTint="F2"/>
                          <w:sz w:val="18"/>
                          <w:szCs w:val="20"/>
                        </w:rPr>
                        <w:t>, 20</w:t>
                      </w:r>
                      <w:r w:rsidR="00643B4B">
                        <w:rPr>
                          <w:rFonts w:ascii="Cambria" w:hAnsi="Cambria"/>
                          <w:color w:val="0D0D0D" w:themeColor="text1" w:themeTint="F2"/>
                          <w:sz w:val="18"/>
                          <w:szCs w:val="20"/>
                        </w:rPr>
                        <w:t>25</w:t>
                      </w:r>
                      <w:r w:rsidRPr="007E6EDF">
                        <w:rPr>
                          <w:rFonts w:ascii="Cambria" w:hAnsi="Cambria"/>
                          <w:color w:val="0D0D0D" w:themeColor="text1" w:themeTint="F2"/>
                          <w:sz w:val="18"/>
                          <w:szCs w:val="20"/>
                        </w:rPr>
                        <w:br/>
                      </w:r>
                    </w:p>
                    <w:p w14:paraId="3F7DD76A" w14:textId="77777777" w:rsidR="001963DB" w:rsidRPr="007E6EDF" w:rsidRDefault="001963DB" w:rsidP="009F3A2C">
                      <w:pPr>
                        <w:tabs>
                          <w:tab w:val="center" w:pos="5400"/>
                        </w:tabs>
                        <w:suppressAutoHyphens/>
                        <w:spacing w:before="60"/>
                        <w:rPr>
                          <w:rFonts w:asciiTheme="minorHAnsi" w:hAnsiTheme="minorHAnsi" w:cs="Univers"/>
                          <w:color w:val="0D0D0D" w:themeColor="text1" w:themeTint="F2"/>
                          <w:sz w:val="20"/>
                          <w:szCs w:val="20"/>
                        </w:rPr>
                      </w:pPr>
                    </w:p>
                    <w:p w14:paraId="59BDC8CF" w14:textId="77777777" w:rsidR="001963DB" w:rsidRPr="007E6EDF" w:rsidRDefault="001963DB" w:rsidP="009F3A2C">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5BAF7FA0" w14:textId="77777777" w:rsidR="009F3A2C" w:rsidRPr="00485F6E" w:rsidRDefault="009F3A2C" w:rsidP="009F3A2C">
      <w:pPr>
        <w:tabs>
          <w:tab w:val="center" w:pos="5400"/>
        </w:tabs>
        <w:suppressAutoHyphens/>
        <w:jc w:val="center"/>
        <w:rPr>
          <w:rFonts w:asciiTheme="majorHAnsi" w:hAnsiTheme="majorHAnsi"/>
          <w:sz w:val="18"/>
          <w:szCs w:val="22"/>
        </w:rPr>
      </w:pPr>
    </w:p>
    <w:p w14:paraId="76C0063F" w14:textId="77777777" w:rsidR="009F3A2C" w:rsidRPr="00485F6E" w:rsidRDefault="009F3A2C" w:rsidP="009F3A2C">
      <w:pPr>
        <w:tabs>
          <w:tab w:val="center" w:pos="5400"/>
        </w:tabs>
        <w:suppressAutoHyphens/>
        <w:jc w:val="center"/>
        <w:rPr>
          <w:rFonts w:asciiTheme="majorHAnsi" w:hAnsiTheme="majorHAnsi"/>
          <w:sz w:val="18"/>
          <w:szCs w:val="22"/>
        </w:rPr>
      </w:pPr>
    </w:p>
    <w:p w14:paraId="3FBC9905" w14:textId="77777777" w:rsidR="009F3A2C" w:rsidRPr="00485F6E" w:rsidRDefault="009F3A2C" w:rsidP="009F3A2C">
      <w:pPr>
        <w:tabs>
          <w:tab w:val="center" w:pos="5400"/>
        </w:tabs>
        <w:suppressAutoHyphens/>
        <w:jc w:val="center"/>
        <w:rPr>
          <w:rFonts w:asciiTheme="majorHAnsi" w:hAnsiTheme="majorHAnsi"/>
          <w:sz w:val="18"/>
          <w:szCs w:val="22"/>
        </w:rPr>
      </w:pPr>
    </w:p>
    <w:p w14:paraId="414731A7" w14:textId="77777777" w:rsidR="009F3A2C" w:rsidRPr="00485F6E" w:rsidRDefault="009F3A2C" w:rsidP="009F3A2C">
      <w:pPr>
        <w:tabs>
          <w:tab w:val="center" w:pos="5400"/>
        </w:tabs>
        <w:suppressAutoHyphens/>
        <w:jc w:val="center"/>
        <w:rPr>
          <w:rFonts w:asciiTheme="majorHAnsi" w:hAnsiTheme="majorHAnsi"/>
          <w:sz w:val="18"/>
          <w:szCs w:val="22"/>
        </w:rPr>
      </w:pPr>
    </w:p>
    <w:p w14:paraId="6348AF87" w14:textId="77777777" w:rsidR="009F3A2C" w:rsidRPr="00485F6E" w:rsidRDefault="009F3A2C" w:rsidP="009F3A2C">
      <w:pPr>
        <w:tabs>
          <w:tab w:val="center" w:pos="5400"/>
        </w:tabs>
        <w:suppressAutoHyphens/>
        <w:jc w:val="center"/>
        <w:rPr>
          <w:rFonts w:asciiTheme="majorHAnsi" w:hAnsiTheme="majorHAnsi"/>
          <w:sz w:val="18"/>
          <w:szCs w:val="22"/>
        </w:rPr>
      </w:pPr>
      <w:r w:rsidRPr="00485F6E">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668A237" wp14:editId="4723CEC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A17F7" w14:textId="784FBD0F" w:rsidR="001963DB" w:rsidRPr="00643B4B" w:rsidRDefault="001963DB" w:rsidP="009F3A2C">
                            <w:pPr>
                              <w:spacing w:line="276" w:lineRule="auto"/>
                              <w:rPr>
                                <w:rFonts w:ascii="Cambria" w:hAnsi="Cambria"/>
                                <w:color w:val="595959" w:themeColor="text1" w:themeTint="A6"/>
                                <w:sz w:val="18"/>
                                <w:szCs w:val="18"/>
                                <w:lang w:val="pt-BR"/>
                              </w:rPr>
                            </w:pPr>
                            <w:r w:rsidRPr="00F02074">
                              <w:rPr>
                                <w:rFonts w:ascii="Cambria" w:hAnsi="Cambria"/>
                                <w:b/>
                                <w:color w:val="595959" w:themeColor="text1" w:themeTint="A6"/>
                                <w:sz w:val="18"/>
                                <w:szCs w:val="18"/>
                              </w:rPr>
                              <w:t>Cite as:</w:t>
                            </w:r>
                            <w:r w:rsidRPr="00F02074">
                              <w:rPr>
                                <w:rFonts w:ascii="Cambria" w:hAnsi="Cambria"/>
                                <w:color w:val="595959" w:themeColor="text1" w:themeTint="A6"/>
                                <w:sz w:val="18"/>
                                <w:szCs w:val="18"/>
                              </w:rPr>
                              <w:t xml:space="preserve"> IACHR, Report No. </w:t>
                            </w:r>
                            <w:r w:rsidR="00ED0607">
                              <w:rPr>
                                <w:rFonts w:ascii="Cambria" w:hAnsi="Cambria"/>
                                <w:color w:val="595959" w:themeColor="text1" w:themeTint="A6"/>
                                <w:sz w:val="18"/>
                                <w:szCs w:val="18"/>
                              </w:rPr>
                              <w:t>111</w:t>
                            </w:r>
                            <w:r w:rsidRPr="00F02074">
                              <w:rPr>
                                <w:rFonts w:ascii="Cambria" w:hAnsi="Cambria"/>
                                <w:color w:val="595959" w:themeColor="text1" w:themeTint="A6"/>
                                <w:sz w:val="18"/>
                                <w:szCs w:val="18"/>
                              </w:rPr>
                              <w:t>/2</w:t>
                            </w:r>
                            <w:r w:rsidR="00643B4B" w:rsidRPr="00F02074">
                              <w:rPr>
                                <w:rFonts w:ascii="Cambria" w:hAnsi="Cambria"/>
                                <w:color w:val="595959" w:themeColor="text1" w:themeTint="A6"/>
                                <w:sz w:val="18"/>
                                <w:szCs w:val="18"/>
                              </w:rPr>
                              <w:t>5</w:t>
                            </w:r>
                            <w:r w:rsidRPr="00F02074">
                              <w:rPr>
                                <w:rFonts w:ascii="Cambria" w:hAnsi="Cambria"/>
                                <w:color w:val="595959" w:themeColor="text1" w:themeTint="A6"/>
                                <w:sz w:val="18"/>
                                <w:szCs w:val="18"/>
                              </w:rPr>
                              <w:t xml:space="preserve">, Case 13.079. </w:t>
                            </w:r>
                            <w:r>
                              <w:rPr>
                                <w:rFonts w:ascii="Cambria" w:hAnsi="Cambria"/>
                                <w:color w:val="595959" w:themeColor="text1" w:themeTint="A6"/>
                                <w:sz w:val="18"/>
                                <w:szCs w:val="18"/>
                                <w:lang w:val="pt-BR"/>
                              </w:rPr>
                              <w:t>Merits</w:t>
                            </w:r>
                            <w:r w:rsidR="00B115D5">
                              <w:rPr>
                                <w:rFonts w:ascii="Cambria" w:hAnsi="Cambria"/>
                                <w:color w:val="595959" w:themeColor="text1" w:themeTint="A6"/>
                                <w:sz w:val="18"/>
                                <w:szCs w:val="18"/>
                                <w:lang w:val="pt-BR"/>
                              </w:rPr>
                              <w:t xml:space="preserve"> (Publication)</w:t>
                            </w:r>
                            <w:r w:rsidRPr="00643B4B">
                              <w:rPr>
                                <w:rFonts w:ascii="Cambria" w:hAnsi="Cambria"/>
                                <w:color w:val="595959" w:themeColor="text1" w:themeTint="A6"/>
                                <w:sz w:val="18"/>
                                <w:szCs w:val="18"/>
                                <w:lang w:val="pt-BR"/>
                              </w:rPr>
                              <w:t xml:space="preserve">. Diego Armando Pacheco. Argentina. </w:t>
                            </w:r>
                            <w:r w:rsidR="00ED0607">
                              <w:rPr>
                                <w:rFonts w:ascii="Cambria" w:hAnsi="Cambria"/>
                                <w:color w:val="595959" w:themeColor="text1" w:themeTint="A6"/>
                                <w:sz w:val="18"/>
                                <w:szCs w:val="18"/>
                                <w:lang w:val="pt-BR"/>
                              </w:rPr>
                              <w:t>July 14</w:t>
                            </w:r>
                            <w:r w:rsidRPr="00643B4B">
                              <w:rPr>
                                <w:rFonts w:ascii="Cambria" w:hAnsi="Cambria"/>
                                <w:color w:val="595959" w:themeColor="text1" w:themeTint="A6"/>
                                <w:sz w:val="18"/>
                                <w:szCs w:val="18"/>
                                <w:lang w:val="pt-BR"/>
                              </w:rPr>
                              <w:t>, 20</w:t>
                            </w:r>
                            <w:r w:rsidR="00643B4B">
                              <w:rPr>
                                <w:rFonts w:ascii="Cambria" w:hAnsi="Cambria"/>
                                <w:color w:val="595959" w:themeColor="text1" w:themeTint="A6"/>
                                <w:sz w:val="18"/>
                                <w:szCs w:val="18"/>
                                <w:lang w:val="pt-BR"/>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8A237"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AEA17F7" w14:textId="784FBD0F" w:rsidR="001963DB" w:rsidRPr="00643B4B" w:rsidRDefault="001963DB" w:rsidP="009F3A2C">
                      <w:pPr>
                        <w:spacing w:line="276" w:lineRule="auto"/>
                        <w:rPr>
                          <w:rFonts w:ascii="Cambria" w:hAnsi="Cambria"/>
                          <w:color w:val="595959" w:themeColor="text1" w:themeTint="A6"/>
                          <w:sz w:val="18"/>
                          <w:szCs w:val="18"/>
                          <w:lang w:val="pt-BR"/>
                        </w:rPr>
                      </w:pPr>
                      <w:r w:rsidRPr="00F02074">
                        <w:rPr>
                          <w:rFonts w:ascii="Cambria" w:hAnsi="Cambria"/>
                          <w:b/>
                          <w:color w:val="595959" w:themeColor="text1" w:themeTint="A6"/>
                          <w:sz w:val="18"/>
                          <w:szCs w:val="18"/>
                        </w:rPr>
                        <w:t>Cite as:</w:t>
                      </w:r>
                      <w:r w:rsidRPr="00F02074">
                        <w:rPr>
                          <w:rFonts w:ascii="Cambria" w:hAnsi="Cambria"/>
                          <w:color w:val="595959" w:themeColor="text1" w:themeTint="A6"/>
                          <w:sz w:val="18"/>
                          <w:szCs w:val="18"/>
                        </w:rPr>
                        <w:t xml:space="preserve"> IACHR, Report No. </w:t>
                      </w:r>
                      <w:r w:rsidR="00ED0607">
                        <w:rPr>
                          <w:rFonts w:ascii="Cambria" w:hAnsi="Cambria"/>
                          <w:color w:val="595959" w:themeColor="text1" w:themeTint="A6"/>
                          <w:sz w:val="18"/>
                          <w:szCs w:val="18"/>
                        </w:rPr>
                        <w:t>111</w:t>
                      </w:r>
                      <w:r w:rsidRPr="00F02074">
                        <w:rPr>
                          <w:rFonts w:ascii="Cambria" w:hAnsi="Cambria"/>
                          <w:color w:val="595959" w:themeColor="text1" w:themeTint="A6"/>
                          <w:sz w:val="18"/>
                          <w:szCs w:val="18"/>
                        </w:rPr>
                        <w:t>/2</w:t>
                      </w:r>
                      <w:r w:rsidR="00643B4B" w:rsidRPr="00F02074">
                        <w:rPr>
                          <w:rFonts w:ascii="Cambria" w:hAnsi="Cambria"/>
                          <w:color w:val="595959" w:themeColor="text1" w:themeTint="A6"/>
                          <w:sz w:val="18"/>
                          <w:szCs w:val="18"/>
                        </w:rPr>
                        <w:t>5</w:t>
                      </w:r>
                      <w:r w:rsidRPr="00F02074">
                        <w:rPr>
                          <w:rFonts w:ascii="Cambria" w:hAnsi="Cambria"/>
                          <w:color w:val="595959" w:themeColor="text1" w:themeTint="A6"/>
                          <w:sz w:val="18"/>
                          <w:szCs w:val="18"/>
                        </w:rPr>
                        <w:t xml:space="preserve">, Case 13.079. </w:t>
                      </w:r>
                      <w:r>
                        <w:rPr>
                          <w:rFonts w:ascii="Cambria" w:hAnsi="Cambria"/>
                          <w:color w:val="595959" w:themeColor="text1" w:themeTint="A6"/>
                          <w:sz w:val="18"/>
                          <w:szCs w:val="18"/>
                          <w:lang w:val="pt-BR"/>
                        </w:rPr>
                        <w:t>Merits</w:t>
                      </w:r>
                      <w:r w:rsidR="00B115D5">
                        <w:rPr>
                          <w:rFonts w:ascii="Cambria" w:hAnsi="Cambria"/>
                          <w:color w:val="595959" w:themeColor="text1" w:themeTint="A6"/>
                          <w:sz w:val="18"/>
                          <w:szCs w:val="18"/>
                          <w:lang w:val="pt-BR"/>
                        </w:rPr>
                        <w:t xml:space="preserve"> (Publication)</w:t>
                      </w:r>
                      <w:r w:rsidRPr="00643B4B">
                        <w:rPr>
                          <w:rFonts w:ascii="Cambria" w:hAnsi="Cambria"/>
                          <w:color w:val="595959" w:themeColor="text1" w:themeTint="A6"/>
                          <w:sz w:val="18"/>
                          <w:szCs w:val="18"/>
                          <w:lang w:val="pt-BR"/>
                        </w:rPr>
                        <w:t xml:space="preserve">. Diego Armando Pacheco. Argentina. </w:t>
                      </w:r>
                      <w:r w:rsidR="00ED0607">
                        <w:rPr>
                          <w:rFonts w:ascii="Cambria" w:hAnsi="Cambria"/>
                          <w:color w:val="595959" w:themeColor="text1" w:themeTint="A6"/>
                          <w:sz w:val="18"/>
                          <w:szCs w:val="18"/>
                          <w:lang w:val="pt-BR"/>
                        </w:rPr>
                        <w:t>July 14</w:t>
                      </w:r>
                      <w:r w:rsidRPr="00643B4B">
                        <w:rPr>
                          <w:rFonts w:ascii="Cambria" w:hAnsi="Cambria"/>
                          <w:color w:val="595959" w:themeColor="text1" w:themeTint="A6"/>
                          <w:sz w:val="18"/>
                          <w:szCs w:val="18"/>
                          <w:lang w:val="pt-BR"/>
                        </w:rPr>
                        <w:t>, 20</w:t>
                      </w:r>
                      <w:r w:rsidR="00643B4B">
                        <w:rPr>
                          <w:rFonts w:ascii="Cambria" w:hAnsi="Cambria"/>
                          <w:color w:val="595959" w:themeColor="text1" w:themeTint="A6"/>
                          <w:sz w:val="18"/>
                          <w:szCs w:val="18"/>
                          <w:lang w:val="pt-BR"/>
                        </w:rPr>
                        <w:t>25</w:t>
                      </w:r>
                    </w:p>
                  </w:txbxContent>
                </v:textbox>
              </v:shape>
            </w:pict>
          </mc:Fallback>
        </mc:AlternateContent>
      </w:r>
    </w:p>
    <w:p w14:paraId="7682C267" w14:textId="77777777" w:rsidR="009F3A2C" w:rsidRPr="00485F6E" w:rsidRDefault="009F3A2C" w:rsidP="009F3A2C">
      <w:pPr>
        <w:tabs>
          <w:tab w:val="center" w:pos="5400"/>
        </w:tabs>
        <w:suppressAutoHyphens/>
        <w:jc w:val="center"/>
        <w:rPr>
          <w:rFonts w:asciiTheme="majorHAnsi" w:hAnsiTheme="majorHAnsi"/>
          <w:sz w:val="18"/>
          <w:szCs w:val="22"/>
        </w:rPr>
      </w:pPr>
    </w:p>
    <w:p w14:paraId="1168ECFF" w14:textId="77777777" w:rsidR="00B849AE" w:rsidRPr="00485F6E" w:rsidRDefault="00B849AE" w:rsidP="009F3A2C">
      <w:pPr>
        <w:tabs>
          <w:tab w:val="center" w:pos="5400"/>
        </w:tabs>
        <w:suppressAutoHyphens/>
        <w:jc w:val="center"/>
        <w:rPr>
          <w:rFonts w:asciiTheme="majorHAnsi" w:hAnsiTheme="majorHAnsi"/>
          <w:b/>
          <w:sz w:val="20"/>
        </w:rPr>
      </w:pPr>
    </w:p>
    <w:p w14:paraId="0158A49E" w14:textId="77777777" w:rsidR="00B849AE" w:rsidRPr="00485F6E" w:rsidRDefault="00B849AE" w:rsidP="009F3A2C">
      <w:pPr>
        <w:tabs>
          <w:tab w:val="center" w:pos="5400"/>
        </w:tabs>
        <w:suppressAutoHyphens/>
        <w:jc w:val="center"/>
        <w:rPr>
          <w:rFonts w:asciiTheme="majorHAnsi" w:hAnsiTheme="majorHAnsi"/>
          <w:b/>
          <w:sz w:val="20"/>
        </w:rPr>
      </w:pPr>
    </w:p>
    <w:p w14:paraId="40AFFACB" w14:textId="77777777" w:rsidR="00B849AE" w:rsidRPr="00485F6E" w:rsidRDefault="00B849AE" w:rsidP="009F3A2C">
      <w:pPr>
        <w:tabs>
          <w:tab w:val="center" w:pos="5400"/>
        </w:tabs>
        <w:suppressAutoHyphens/>
        <w:jc w:val="center"/>
        <w:rPr>
          <w:rFonts w:asciiTheme="majorHAnsi" w:hAnsiTheme="majorHAnsi"/>
          <w:b/>
          <w:sz w:val="20"/>
        </w:rPr>
      </w:pPr>
    </w:p>
    <w:p w14:paraId="3A351CD5" w14:textId="77777777" w:rsidR="00B849AE" w:rsidRPr="00485F6E" w:rsidRDefault="00B849AE" w:rsidP="009F3A2C">
      <w:pPr>
        <w:tabs>
          <w:tab w:val="center" w:pos="5400"/>
        </w:tabs>
        <w:suppressAutoHyphens/>
        <w:jc w:val="center"/>
        <w:rPr>
          <w:rFonts w:asciiTheme="majorHAnsi" w:hAnsiTheme="majorHAnsi"/>
          <w:b/>
          <w:sz w:val="20"/>
        </w:rPr>
      </w:pPr>
    </w:p>
    <w:p w14:paraId="229FE994" w14:textId="77777777" w:rsidR="00B849AE" w:rsidRPr="00485F6E" w:rsidRDefault="00B849AE" w:rsidP="009F3A2C">
      <w:pPr>
        <w:tabs>
          <w:tab w:val="center" w:pos="5400"/>
        </w:tabs>
        <w:suppressAutoHyphens/>
        <w:jc w:val="center"/>
        <w:rPr>
          <w:rFonts w:asciiTheme="majorHAnsi" w:hAnsiTheme="majorHAnsi"/>
          <w:b/>
          <w:sz w:val="20"/>
        </w:rPr>
      </w:pPr>
    </w:p>
    <w:p w14:paraId="6BD09034" w14:textId="77777777" w:rsidR="00B849AE" w:rsidRPr="00485F6E" w:rsidRDefault="00B849AE" w:rsidP="009F3A2C">
      <w:pPr>
        <w:tabs>
          <w:tab w:val="center" w:pos="5400"/>
        </w:tabs>
        <w:suppressAutoHyphens/>
        <w:jc w:val="center"/>
        <w:rPr>
          <w:rFonts w:asciiTheme="majorHAnsi" w:hAnsiTheme="majorHAnsi"/>
          <w:b/>
          <w:sz w:val="20"/>
        </w:rPr>
      </w:pPr>
    </w:p>
    <w:p w14:paraId="3B3918FF" w14:textId="77777777" w:rsidR="00B849AE" w:rsidRPr="00485F6E" w:rsidRDefault="00B849AE" w:rsidP="009F3A2C">
      <w:pPr>
        <w:tabs>
          <w:tab w:val="center" w:pos="5400"/>
        </w:tabs>
        <w:suppressAutoHyphens/>
        <w:jc w:val="center"/>
        <w:rPr>
          <w:rFonts w:asciiTheme="majorHAnsi" w:hAnsiTheme="majorHAnsi"/>
          <w:b/>
          <w:sz w:val="20"/>
        </w:rPr>
      </w:pPr>
    </w:p>
    <w:p w14:paraId="1880BD17" w14:textId="77777777" w:rsidR="009F3A2C" w:rsidRPr="00485F6E" w:rsidRDefault="009F3A2C" w:rsidP="009F3A2C">
      <w:pPr>
        <w:tabs>
          <w:tab w:val="center" w:pos="5400"/>
        </w:tabs>
        <w:suppressAutoHyphens/>
        <w:jc w:val="center"/>
        <w:rPr>
          <w:rFonts w:asciiTheme="majorHAnsi" w:hAnsiTheme="majorHAnsi"/>
          <w:b/>
          <w:sz w:val="20"/>
        </w:rPr>
      </w:pPr>
      <w:r w:rsidRPr="00485F6E">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43BF937C" wp14:editId="2789DFEE">
                <wp:simplePos x="0" y="0"/>
                <wp:positionH relativeFrom="column">
                  <wp:posOffset>1329690</wp:posOffset>
                </wp:positionH>
                <wp:positionV relativeFrom="paragraph">
                  <wp:posOffset>680306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2B7C6" w14:textId="77777777" w:rsidR="001963DB" w:rsidRPr="00D72DC6" w:rsidRDefault="001963DB" w:rsidP="009F3A2C">
                            <w:pPr>
                              <w:rPr>
                                <w:color w:val="FFFFFF" w:themeColor="background1"/>
                                <w14:textFill>
                                  <w14:noFill/>
                                </w14:textFill>
                              </w:rPr>
                            </w:pPr>
                            <w:r>
                              <w:rPr>
                                <w:noProof/>
                                <w:color w:val="FFFFFF" w:themeColor="background1"/>
                              </w:rPr>
                              <w:drawing>
                                <wp:inline distT="0" distB="0" distL="0" distR="0" wp14:anchorId="0A0BB609" wp14:editId="7E533ADA">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F937C" id="Text Box 9" o:spid="_x0000_s1031" type="#_x0000_t202" style="position:absolute;left:0;text-align:left;margin-left:104.7pt;margin-top:53.5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" fillcolor="white [3201]" stroked="f" strokeweight=".5pt">
                <v:textbox>
                  <w:txbxContent>
                    <w:p w14:paraId="2FB2B7C6" w14:textId="77777777" w:rsidR="001963DB" w:rsidRPr="00D72DC6" w:rsidRDefault="001963DB" w:rsidP="009F3A2C">
                      <w:pPr>
                        <w:rPr>
                          <w:color w:val="FFFFFF" w:themeColor="background1"/>
                          <w14:textFill>
                            <w14:noFill/>
                          </w14:textFill>
                        </w:rPr>
                      </w:pPr>
                      <w:r>
                        <w:rPr>
                          <w:noProof/>
                          <w:color w:val="FFFFFF" w:themeColor="background1"/>
                        </w:rPr>
                        <w:drawing>
                          <wp:inline distT="0" distB="0" distL="0" distR="0" wp14:anchorId="0A0BB609" wp14:editId="7E533ADA">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Pr="00485F6E">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6F6065CE" wp14:editId="602E807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8C1F9" w14:textId="77777777" w:rsidR="001963DB" w:rsidRPr="004B7EB6" w:rsidRDefault="001963DB" w:rsidP="009F3A2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065CE"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35D8C1F9" w14:textId="77777777" w:rsidR="001963DB" w:rsidRPr="004B7EB6" w:rsidRDefault="001963DB" w:rsidP="009F3A2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B849AE" w:rsidRPr="00485F6E">
        <w:rPr>
          <w:rFonts w:asciiTheme="majorHAnsi" w:hAnsiTheme="majorHAnsi"/>
          <w:b/>
          <w:sz w:val="20"/>
        </w:rPr>
        <w:t xml:space="preserve"> </w:t>
      </w:r>
    </w:p>
    <w:p w14:paraId="1DE2D5A7" w14:textId="77777777" w:rsidR="009F3A2C" w:rsidRPr="00485F6E" w:rsidRDefault="009F3A2C" w:rsidP="008A3AE1">
      <w:pPr>
        <w:tabs>
          <w:tab w:val="center" w:pos="5400"/>
        </w:tabs>
        <w:suppressAutoHyphens/>
        <w:rPr>
          <w:rFonts w:asciiTheme="majorHAnsi" w:hAnsiTheme="majorHAnsi"/>
          <w:b/>
          <w:sz w:val="20"/>
        </w:rPr>
        <w:sectPr w:rsidR="009F3A2C" w:rsidRPr="00485F6E" w:rsidSect="009F3A2C">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222B2749" w14:textId="77777777" w:rsidR="009F3A2C" w:rsidRPr="00485F6E" w:rsidRDefault="009F3A2C" w:rsidP="0000305A">
      <w:pPr>
        <w:tabs>
          <w:tab w:val="center" w:pos="5400"/>
        </w:tabs>
        <w:suppressAutoHyphens/>
        <w:spacing w:line="276" w:lineRule="auto"/>
        <w:rPr>
          <w:rFonts w:ascii="Cambria" w:hAnsi="Cambria"/>
          <w:sz w:val="18"/>
          <w:szCs w:val="20"/>
        </w:rPr>
      </w:pPr>
    </w:p>
    <w:p w14:paraId="334C31F0" w14:textId="77777777" w:rsidR="003A5CCF" w:rsidRDefault="00F461C5" w:rsidP="003A5CCF">
      <w:pPr>
        <w:tabs>
          <w:tab w:val="center" w:pos="5400"/>
        </w:tabs>
        <w:suppressAutoHyphens/>
        <w:spacing w:line="276" w:lineRule="auto"/>
        <w:jc w:val="center"/>
        <w:rPr>
          <w:rFonts w:ascii="Cambria" w:hAnsi="Cambria"/>
          <w:b/>
          <w:szCs w:val="20"/>
        </w:rPr>
      </w:pPr>
      <w:r>
        <w:rPr>
          <w:rFonts w:ascii="Cambria" w:hAnsi="Cambria"/>
          <w:b/>
          <w:szCs w:val="20"/>
        </w:rPr>
        <w:t>INDE</w:t>
      </w:r>
      <w:r w:rsidR="003A5CCF">
        <w:rPr>
          <w:rFonts w:ascii="Cambria" w:hAnsi="Cambria"/>
          <w:b/>
          <w:szCs w:val="20"/>
        </w:rPr>
        <w:t>X</w:t>
      </w:r>
    </w:p>
    <w:p w14:paraId="453A0B47" w14:textId="77777777" w:rsidR="009F3A2C" w:rsidRDefault="009F3A2C" w:rsidP="005C6984">
      <w:pPr>
        <w:tabs>
          <w:tab w:val="center" w:pos="4680"/>
          <w:tab w:val="left" w:pos="6511"/>
        </w:tabs>
        <w:rPr>
          <w:rFonts w:ascii="Cambria" w:hAnsi="Cambria" w:cs="Calibri"/>
          <w:sz w:val="20"/>
          <w:szCs w:val="20"/>
        </w:rPr>
      </w:pPr>
    </w:p>
    <w:sdt>
      <w:sdtPr>
        <w:rPr>
          <w:rFonts w:ascii="Times New Roman" w:eastAsia="Times New Roman" w:hAnsi="Times New Roman" w:cs="Times New Roman"/>
          <w:b w:val="0"/>
          <w:color w:val="auto"/>
          <w:sz w:val="24"/>
          <w:szCs w:val="24"/>
          <w:shd w:val="clear" w:color="auto" w:fill="auto"/>
          <w:lang w:val="en-US" w:eastAsia="en-US"/>
        </w:rPr>
        <w:id w:val="-1015997513"/>
        <w:docPartObj>
          <w:docPartGallery w:val="Table of Contents"/>
          <w:docPartUnique/>
        </w:docPartObj>
      </w:sdtPr>
      <w:sdtEndPr>
        <w:rPr>
          <w:bCs/>
          <w:noProof/>
        </w:rPr>
      </w:sdtEndPr>
      <w:sdtContent>
        <w:p w14:paraId="1F2EF279" w14:textId="36CA2991" w:rsidR="00FB6388" w:rsidRPr="00B20414" w:rsidRDefault="00FB6388">
          <w:pPr>
            <w:pStyle w:val="TOCHeading"/>
          </w:pPr>
        </w:p>
        <w:p w14:paraId="7098404F" w14:textId="1487D9C9" w:rsidR="00B20414" w:rsidRPr="00B20414" w:rsidRDefault="00FB6388">
          <w:pPr>
            <w:pStyle w:val="TOC1"/>
            <w:rPr>
              <w:rFonts w:eastAsiaTheme="minorEastAsia" w:cstheme="minorBidi"/>
              <w:b w:val="0"/>
              <w:bCs w:val="0"/>
              <w:kern w:val="2"/>
              <w:bdr w:val="none" w:sz="0" w:space="0" w:color="auto"/>
              <w:lang w:val="en-US" w:eastAsia="en-US"/>
              <w14:ligatures w14:val="standardContextual"/>
            </w:rPr>
          </w:pPr>
          <w:r w:rsidRPr="00B20414">
            <w:fldChar w:fldCharType="begin"/>
          </w:r>
          <w:r w:rsidRPr="00B20414">
            <w:instrText xml:space="preserve"> TOC \o "1-3" \h \z \u </w:instrText>
          </w:r>
          <w:r w:rsidRPr="00B20414">
            <w:fldChar w:fldCharType="separate"/>
          </w:r>
          <w:hyperlink w:anchor="_Toc203988477" w:history="1">
            <w:r w:rsidR="00B20414" w:rsidRPr="00B20414">
              <w:rPr>
                <w:rStyle w:val="Hyperlink"/>
                <w:lang w:val="en-US"/>
              </w:rPr>
              <w:t>I.</w:t>
            </w:r>
            <w:r w:rsidR="00B20414" w:rsidRPr="00B20414">
              <w:rPr>
                <w:rFonts w:eastAsiaTheme="minorEastAsia" w:cstheme="minorBidi"/>
                <w:b w:val="0"/>
                <w:bCs w:val="0"/>
                <w:kern w:val="2"/>
                <w:bdr w:val="none" w:sz="0" w:space="0" w:color="auto"/>
                <w:lang w:val="en-US" w:eastAsia="en-US"/>
                <w14:ligatures w14:val="standardContextual"/>
              </w:rPr>
              <w:tab/>
            </w:r>
            <w:r w:rsidR="00B20414" w:rsidRPr="00B20414">
              <w:rPr>
                <w:rStyle w:val="Hyperlink"/>
                <w:lang w:val="en-US"/>
              </w:rPr>
              <w:t>INTRODUCTION</w:t>
            </w:r>
            <w:r w:rsidR="00B20414" w:rsidRPr="00B20414">
              <w:rPr>
                <w:webHidden/>
              </w:rPr>
              <w:tab/>
            </w:r>
            <w:r w:rsidR="00B20414" w:rsidRPr="00B20414">
              <w:rPr>
                <w:webHidden/>
              </w:rPr>
              <w:fldChar w:fldCharType="begin"/>
            </w:r>
            <w:r w:rsidR="00B20414" w:rsidRPr="00B20414">
              <w:rPr>
                <w:webHidden/>
              </w:rPr>
              <w:instrText xml:space="preserve"> PAGEREF _Toc203988477 \h </w:instrText>
            </w:r>
            <w:r w:rsidR="00B20414" w:rsidRPr="00B20414">
              <w:rPr>
                <w:webHidden/>
              </w:rPr>
            </w:r>
            <w:r w:rsidR="00B20414" w:rsidRPr="00B20414">
              <w:rPr>
                <w:webHidden/>
              </w:rPr>
              <w:fldChar w:fldCharType="separate"/>
            </w:r>
            <w:r w:rsidR="00C76ECB">
              <w:rPr>
                <w:webHidden/>
              </w:rPr>
              <w:t>2</w:t>
            </w:r>
            <w:r w:rsidR="00B20414" w:rsidRPr="00B20414">
              <w:rPr>
                <w:webHidden/>
              </w:rPr>
              <w:fldChar w:fldCharType="end"/>
            </w:r>
          </w:hyperlink>
        </w:p>
        <w:p w14:paraId="1BE81688" w14:textId="261A406A" w:rsidR="00B20414" w:rsidRPr="00B20414" w:rsidRDefault="00B20414">
          <w:pPr>
            <w:pStyle w:val="TOC1"/>
            <w:rPr>
              <w:rFonts w:eastAsiaTheme="minorEastAsia" w:cstheme="minorBidi"/>
              <w:b w:val="0"/>
              <w:bCs w:val="0"/>
              <w:kern w:val="2"/>
              <w:bdr w:val="none" w:sz="0" w:space="0" w:color="auto"/>
              <w:lang w:val="en-US" w:eastAsia="en-US"/>
              <w14:ligatures w14:val="standardContextual"/>
            </w:rPr>
          </w:pPr>
          <w:hyperlink w:anchor="_Toc203988478" w:history="1">
            <w:r w:rsidRPr="00B20414">
              <w:rPr>
                <w:rStyle w:val="Hyperlink"/>
                <w:lang w:val="en-US"/>
              </w:rPr>
              <w:t>II.</w:t>
            </w:r>
            <w:r w:rsidRPr="00B20414">
              <w:rPr>
                <w:rFonts w:eastAsiaTheme="minorEastAsia" w:cstheme="minorBidi"/>
                <w:b w:val="0"/>
                <w:bCs w:val="0"/>
                <w:kern w:val="2"/>
                <w:bdr w:val="none" w:sz="0" w:space="0" w:color="auto"/>
                <w:lang w:val="en-US" w:eastAsia="en-US"/>
                <w14:ligatures w14:val="standardContextual"/>
              </w:rPr>
              <w:tab/>
            </w:r>
            <w:r w:rsidRPr="00B20414">
              <w:rPr>
                <w:rStyle w:val="Hyperlink"/>
                <w:lang w:val="en-US"/>
              </w:rPr>
              <w:t>ALLEGATIONS OF THE PARTIES</w:t>
            </w:r>
            <w:r w:rsidRPr="00B20414">
              <w:rPr>
                <w:webHidden/>
              </w:rPr>
              <w:tab/>
            </w:r>
            <w:r w:rsidRPr="00B20414">
              <w:rPr>
                <w:webHidden/>
              </w:rPr>
              <w:fldChar w:fldCharType="begin"/>
            </w:r>
            <w:r w:rsidRPr="00B20414">
              <w:rPr>
                <w:webHidden/>
              </w:rPr>
              <w:instrText xml:space="preserve"> PAGEREF _Toc203988478 \h </w:instrText>
            </w:r>
            <w:r w:rsidRPr="00B20414">
              <w:rPr>
                <w:webHidden/>
              </w:rPr>
            </w:r>
            <w:r w:rsidRPr="00B20414">
              <w:rPr>
                <w:webHidden/>
              </w:rPr>
              <w:fldChar w:fldCharType="separate"/>
            </w:r>
            <w:r w:rsidR="00C76ECB">
              <w:rPr>
                <w:webHidden/>
              </w:rPr>
              <w:t>2</w:t>
            </w:r>
            <w:r w:rsidRPr="00B20414">
              <w:rPr>
                <w:webHidden/>
              </w:rPr>
              <w:fldChar w:fldCharType="end"/>
            </w:r>
          </w:hyperlink>
        </w:p>
        <w:p w14:paraId="31B50E63" w14:textId="407D5FFA" w:rsidR="00B20414" w:rsidRPr="00B20414" w:rsidRDefault="00B20414">
          <w:pPr>
            <w:pStyle w:val="TOC2"/>
            <w:tabs>
              <w:tab w:val="left" w:pos="720"/>
              <w:tab w:val="right" w:leader="dot" w:pos="9350"/>
            </w:tabs>
            <w:rPr>
              <w:rFonts w:ascii="Cambria" w:eastAsiaTheme="minorEastAsia" w:hAnsi="Cambria" w:cstheme="minorBidi"/>
              <w:i w:val="0"/>
              <w:iCs w:val="0"/>
              <w:noProof/>
              <w:kern w:val="2"/>
              <w:bdr w:val="none" w:sz="0" w:space="0" w:color="auto"/>
              <w:lang w:val="en-US"/>
              <w14:ligatures w14:val="standardContextual"/>
            </w:rPr>
          </w:pPr>
          <w:hyperlink w:anchor="_Toc203988479" w:history="1">
            <w:r w:rsidRPr="00B20414">
              <w:rPr>
                <w:rStyle w:val="Hyperlink"/>
                <w:rFonts w:ascii="Cambria" w:hAnsi="Cambria"/>
                <w:noProof/>
                <w:lang w:val="en-US"/>
              </w:rPr>
              <w:t>A.</w:t>
            </w:r>
            <w:r w:rsidRPr="00B20414">
              <w:rPr>
                <w:rFonts w:ascii="Cambria" w:eastAsiaTheme="minorEastAsia" w:hAnsi="Cambria" w:cstheme="minorBidi"/>
                <w:i w:val="0"/>
                <w:iCs w:val="0"/>
                <w:noProof/>
                <w:kern w:val="2"/>
                <w:bdr w:val="none" w:sz="0" w:space="0" w:color="auto"/>
                <w:lang w:val="en-US"/>
                <w14:ligatures w14:val="standardContextual"/>
              </w:rPr>
              <w:tab/>
            </w:r>
            <w:r w:rsidRPr="00B20414">
              <w:rPr>
                <w:rStyle w:val="Hyperlink"/>
                <w:rFonts w:ascii="Cambria" w:hAnsi="Cambria"/>
                <w:noProof/>
              </w:rPr>
              <w:t>Petitioners</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_Toc203988479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2</w:t>
            </w:r>
            <w:r w:rsidRPr="00B20414">
              <w:rPr>
                <w:rFonts w:ascii="Cambria" w:hAnsi="Cambria"/>
                <w:noProof/>
                <w:webHidden/>
              </w:rPr>
              <w:fldChar w:fldCharType="end"/>
            </w:r>
          </w:hyperlink>
        </w:p>
        <w:p w14:paraId="09F5C189" w14:textId="04112C67" w:rsidR="00B20414" w:rsidRPr="00B20414" w:rsidRDefault="00B20414">
          <w:pPr>
            <w:pStyle w:val="TOC2"/>
            <w:tabs>
              <w:tab w:val="left" w:pos="720"/>
              <w:tab w:val="right" w:leader="dot" w:pos="9350"/>
            </w:tabs>
            <w:rPr>
              <w:rFonts w:ascii="Cambria" w:eastAsiaTheme="minorEastAsia" w:hAnsi="Cambria" w:cstheme="minorBidi"/>
              <w:i w:val="0"/>
              <w:iCs w:val="0"/>
              <w:noProof/>
              <w:kern w:val="2"/>
              <w:bdr w:val="none" w:sz="0" w:space="0" w:color="auto"/>
              <w:lang w:val="en-US"/>
              <w14:ligatures w14:val="standardContextual"/>
            </w:rPr>
          </w:pPr>
          <w:hyperlink w:anchor="_Toc203988480" w:history="1">
            <w:r w:rsidRPr="00B20414">
              <w:rPr>
                <w:rStyle w:val="Hyperlink"/>
                <w:rFonts w:ascii="Cambria" w:hAnsi="Cambria"/>
                <w:noProof/>
                <w:lang w:val="en-US"/>
              </w:rPr>
              <w:t>B.</w:t>
            </w:r>
            <w:r w:rsidRPr="00B20414">
              <w:rPr>
                <w:rFonts w:ascii="Cambria" w:eastAsiaTheme="minorEastAsia" w:hAnsi="Cambria" w:cstheme="minorBidi"/>
                <w:i w:val="0"/>
                <w:iCs w:val="0"/>
                <w:noProof/>
                <w:kern w:val="2"/>
                <w:bdr w:val="none" w:sz="0" w:space="0" w:color="auto"/>
                <w:lang w:val="en-US"/>
                <w14:ligatures w14:val="standardContextual"/>
              </w:rPr>
              <w:tab/>
            </w:r>
            <w:r w:rsidRPr="00B20414">
              <w:rPr>
                <w:rStyle w:val="Hyperlink"/>
                <w:rFonts w:ascii="Cambria" w:hAnsi="Cambria"/>
                <w:noProof/>
                <w:lang w:val="en-US"/>
              </w:rPr>
              <w:t xml:space="preserve">State of </w:t>
            </w:r>
            <w:r w:rsidRPr="00B20414">
              <w:rPr>
                <w:rStyle w:val="Hyperlink"/>
                <w:rFonts w:ascii="Cambria" w:hAnsi="Cambria"/>
                <w:noProof/>
              </w:rPr>
              <w:t>Argentina</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_Toc203988480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3</w:t>
            </w:r>
            <w:r w:rsidRPr="00B20414">
              <w:rPr>
                <w:rFonts w:ascii="Cambria" w:hAnsi="Cambria"/>
                <w:noProof/>
                <w:webHidden/>
              </w:rPr>
              <w:fldChar w:fldCharType="end"/>
            </w:r>
          </w:hyperlink>
        </w:p>
        <w:p w14:paraId="340E68E1" w14:textId="53851335" w:rsidR="00B20414" w:rsidRPr="00B20414" w:rsidRDefault="00B20414">
          <w:pPr>
            <w:pStyle w:val="TOC1"/>
            <w:rPr>
              <w:rFonts w:eastAsiaTheme="minorEastAsia" w:cstheme="minorBidi"/>
              <w:b w:val="0"/>
              <w:bCs w:val="0"/>
              <w:kern w:val="2"/>
              <w:bdr w:val="none" w:sz="0" w:space="0" w:color="auto"/>
              <w:lang w:val="en-US" w:eastAsia="en-US"/>
              <w14:ligatures w14:val="standardContextual"/>
            </w:rPr>
          </w:pPr>
          <w:hyperlink w:anchor="_Toc203988481" w:history="1">
            <w:r w:rsidRPr="00B20414">
              <w:rPr>
                <w:rStyle w:val="Hyperlink"/>
                <w:lang w:val="en-US"/>
              </w:rPr>
              <w:t>III.</w:t>
            </w:r>
            <w:r w:rsidRPr="00B20414">
              <w:rPr>
                <w:rFonts w:eastAsiaTheme="minorEastAsia" w:cstheme="minorBidi"/>
                <w:b w:val="0"/>
                <w:bCs w:val="0"/>
                <w:kern w:val="2"/>
                <w:bdr w:val="none" w:sz="0" w:space="0" w:color="auto"/>
                <w:lang w:val="en-US" w:eastAsia="en-US"/>
                <w14:ligatures w14:val="standardContextual"/>
              </w:rPr>
              <w:tab/>
            </w:r>
            <w:r w:rsidRPr="00B20414">
              <w:rPr>
                <w:rStyle w:val="Hyperlink"/>
                <w:lang w:val="en-US"/>
              </w:rPr>
              <w:t>ANALYSIS OF ADMISSIBILITY</w:t>
            </w:r>
            <w:r w:rsidRPr="00B20414">
              <w:rPr>
                <w:webHidden/>
              </w:rPr>
              <w:tab/>
            </w:r>
            <w:r w:rsidRPr="00B20414">
              <w:rPr>
                <w:webHidden/>
              </w:rPr>
              <w:fldChar w:fldCharType="begin"/>
            </w:r>
            <w:r w:rsidRPr="00B20414">
              <w:rPr>
                <w:webHidden/>
              </w:rPr>
              <w:instrText xml:space="preserve"> PAGEREF _Toc203988481 \h </w:instrText>
            </w:r>
            <w:r w:rsidRPr="00B20414">
              <w:rPr>
                <w:webHidden/>
              </w:rPr>
            </w:r>
            <w:r w:rsidRPr="00B20414">
              <w:rPr>
                <w:webHidden/>
              </w:rPr>
              <w:fldChar w:fldCharType="separate"/>
            </w:r>
            <w:r w:rsidR="00C76ECB">
              <w:rPr>
                <w:webHidden/>
              </w:rPr>
              <w:t>4</w:t>
            </w:r>
            <w:r w:rsidRPr="00B20414">
              <w:rPr>
                <w:webHidden/>
              </w:rPr>
              <w:fldChar w:fldCharType="end"/>
            </w:r>
          </w:hyperlink>
        </w:p>
        <w:p w14:paraId="27DA5DDA" w14:textId="0A9BADDB" w:rsidR="00B20414" w:rsidRPr="00B20414" w:rsidRDefault="00B20414">
          <w:pPr>
            <w:pStyle w:val="TOC2"/>
            <w:tabs>
              <w:tab w:val="left" w:pos="720"/>
              <w:tab w:val="right" w:leader="dot" w:pos="9350"/>
            </w:tabs>
            <w:rPr>
              <w:rFonts w:ascii="Cambria" w:eastAsiaTheme="minorEastAsia" w:hAnsi="Cambria" w:cstheme="minorBidi"/>
              <w:i w:val="0"/>
              <w:iCs w:val="0"/>
              <w:noProof/>
              <w:kern w:val="2"/>
              <w:bdr w:val="none" w:sz="0" w:space="0" w:color="auto"/>
              <w:lang w:val="en-US"/>
              <w14:ligatures w14:val="standardContextual"/>
            </w:rPr>
          </w:pPr>
          <w:hyperlink w:anchor="_Toc203988482" w:history="1">
            <w:r w:rsidRPr="00B20414">
              <w:rPr>
                <w:rStyle w:val="Hyperlink"/>
                <w:rFonts w:ascii="Cambria" w:hAnsi="Cambria"/>
                <w:b/>
                <w:bCs/>
                <w:noProof/>
              </w:rPr>
              <w:t>A.</w:t>
            </w:r>
            <w:r w:rsidRPr="00B20414">
              <w:rPr>
                <w:rFonts w:ascii="Cambria" w:eastAsiaTheme="minorEastAsia" w:hAnsi="Cambria" w:cstheme="minorBidi"/>
                <w:i w:val="0"/>
                <w:iCs w:val="0"/>
                <w:noProof/>
                <w:kern w:val="2"/>
                <w:bdr w:val="none" w:sz="0" w:space="0" w:color="auto"/>
                <w:lang w:val="en-US"/>
                <w14:ligatures w14:val="standardContextual"/>
              </w:rPr>
              <w:tab/>
            </w:r>
            <w:r w:rsidRPr="00B20414">
              <w:rPr>
                <w:rStyle w:val="Hyperlink"/>
                <w:rFonts w:ascii="Cambria" w:hAnsi="Cambria"/>
                <w:b/>
                <w:bCs/>
                <w:noProof/>
              </w:rPr>
              <w:t>Competence and duplication of proceedings and international res judicata</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_Toc203988482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4</w:t>
            </w:r>
            <w:r w:rsidRPr="00B20414">
              <w:rPr>
                <w:rFonts w:ascii="Cambria" w:hAnsi="Cambria"/>
                <w:noProof/>
                <w:webHidden/>
              </w:rPr>
              <w:fldChar w:fldCharType="end"/>
            </w:r>
          </w:hyperlink>
        </w:p>
        <w:p w14:paraId="7F4F2D10" w14:textId="1226D27F" w:rsidR="00B20414" w:rsidRPr="00B20414" w:rsidRDefault="00B20414">
          <w:pPr>
            <w:pStyle w:val="TOC2"/>
            <w:tabs>
              <w:tab w:val="left" w:pos="720"/>
              <w:tab w:val="right" w:leader="dot" w:pos="9350"/>
            </w:tabs>
            <w:rPr>
              <w:rFonts w:ascii="Cambria" w:eastAsiaTheme="minorEastAsia" w:hAnsi="Cambria" w:cstheme="minorBidi"/>
              <w:i w:val="0"/>
              <w:iCs w:val="0"/>
              <w:noProof/>
              <w:kern w:val="2"/>
              <w:bdr w:val="none" w:sz="0" w:space="0" w:color="auto"/>
              <w:lang w:val="en-US"/>
              <w14:ligatures w14:val="standardContextual"/>
            </w:rPr>
          </w:pPr>
          <w:hyperlink w:anchor="_Toc203988483" w:history="1">
            <w:r w:rsidRPr="00B20414">
              <w:rPr>
                <w:rStyle w:val="Hyperlink"/>
                <w:rFonts w:ascii="Cambria" w:hAnsi="Cambria"/>
                <w:b/>
                <w:bCs/>
                <w:noProof/>
              </w:rPr>
              <w:t>B.</w:t>
            </w:r>
            <w:r w:rsidRPr="00B20414">
              <w:rPr>
                <w:rFonts w:ascii="Cambria" w:eastAsiaTheme="minorEastAsia" w:hAnsi="Cambria" w:cstheme="minorBidi"/>
                <w:i w:val="0"/>
                <w:iCs w:val="0"/>
                <w:noProof/>
                <w:kern w:val="2"/>
                <w:bdr w:val="none" w:sz="0" w:space="0" w:color="auto"/>
                <w:lang w:val="en-US"/>
                <w14:ligatures w14:val="standardContextual"/>
              </w:rPr>
              <w:tab/>
            </w:r>
            <w:r w:rsidRPr="00B20414">
              <w:rPr>
                <w:rStyle w:val="Hyperlink"/>
                <w:rFonts w:ascii="Cambria" w:hAnsi="Cambria"/>
                <w:b/>
                <w:bCs/>
                <w:noProof/>
              </w:rPr>
              <w:t>Exhaustion of remedies under domestic law</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_Toc203988483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4</w:t>
            </w:r>
            <w:r w:rsidRPr="00B20414">
              <w:rPr>
                <w:rFonts w:ascii="Cambria" w:hAnsi="Cambria"/>
                <w:noProof/>
                <w:webHidden/>
              </w:rPr>
              <w:fldChar w:fldCharType="end"/>
            </w:r>
          </w:hyperlink>
        </w:p>
        <w:p w14:paraId="1B80B9D9" w14:textId="448A5758" w:rsidR="00B20414" w:rsidRPr="00B20414" w:rsidRDefault="00B20414">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988484" w:history="1">
            <w:r w:rsidRPr="00B20414">
              <w:rPr>
                <w:rStyle w:val="Hyperlink"/>
                <w:rFonts w:ascii="Cambria" w:hAnsi="Cambria"/>
                <w:b/>
                <w:noProof/>
              </w:rPr>
              <w:t>i)</w:t>
            </w:r>
            <w:r w:rsidRPr="00B20414">
              <w:rPr>
                <w:rFonts w:ascii="Cambria" w:eastAsiaTheme="minorEastAsia" w:hAnsi="Cambria" w:cstheme="minorBidi"/>
                <w:noProof/>
                <w:kern w:val="2"/>
                <w:bdr w:val="none" w:sz="0" w:space="0" w:color="auto"/>
                <w:lang w:val="en-US"/>
                <w14:ligatures w14:val="standardContextual"/>
              </w:rPr>
              <w:tab/>
            </w:r>
            <w:r w:rsidRPr="00B20414">
              <w:rPr>
                <w:rStyle w:val="Hyperlink"/>
                <w:rFonts w:ascii="Cambria" w:hAnsi="Cambria"/>
                <w:b/>
                <w:bCs/>
                <w:noProof/>
              </w:rPr>
              <w:t>Improper exhaustion of remedies under domestic law because of the possible submittal past statutory time-limits of the complaint appeal with the Federal Supreme Court of Justice</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_Toc203988484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4</w:t>
            </w:r>
            <w:r w:rsidRPr="00B20414">
              <w:rPr>
                <w:rFonts w:ascii="Cambria" w:hAnsi="Cambria"/>
                <w:noProof/>
                <w:webHidden/>
              </w:rPr>
              <w:fldChar w:fldCharType="end"/>
            </w:r>
          </w:hyperlink>
        </w:p>
        <w:p w14:paraId="34667733" w14:textId="2B497C76" w:rsidR="00B20414" w:rsidRPr="00B20414" w:rsidRDefault="00B20414">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988485" w:history="1">
            <w:r w:rsidRPr="00B20414">
              <w:rPr>
                <w:rStyle w:val="Hyperlink"/>
                <w:rFonts w:ascii="Cambria" w:hAnsi="Cambria"/>
                <w:b/>
                <w:noProof/>
              </w:rPr>
              <w:t>ii)</w:t>
            </w:r>
            <w:r w:rsidRPr="00B20414">
              <w:rPr>
                <w:rFonts w:ascii="Cambria" w:eastAsiaTheme="minorEastAsia" w:hAnsi="Cambria" w:cstheme="minorBidi"/>
                <w:noProof/>
                <w:kern w:val="2"/>
                <w:bdr w:val="none" w:sz="0" w:space="0" w:color="auto"/>
                <w:lang w:val="en-US"/>
                <w14:ligatures w14:val="standardContextual"/>
              </w:rPr>
              <w:tab/>
            </w:r>
            <w:r w:rsidRPr="00B20414">
              <w:rPr>
                <w:rStyle w:val="Hyperlink"/>
                <w:rFonts w:ascii="Cambria" w:hAnsi="Cambria"/>
                <w:b/>
                <w:bCs/>
                <w:noProof/>
              </w:rPr>
              <w:t>Failure to exhaust remedies under domestic law because of the failure to file an appeal for reversal with the Federal Supreme Court of Justice</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_Toc203988485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6</w:t>
            </w:r>
            <w:r w:rsidRPr="00B20414">
              <w:rPr>
                <w:rFonts w:ascii="Cambria" w:hAnsi="Cambria"/>
                <w:noProof/>
                <w:webHidden/>
              </w:rPr>
              <w:fldChar w:fldCharType="end"/>
            </w:r>
          </w:hyperlink>
        </w:p>
        <w:p w14:paraId="59F7B04C" w14:textId="3C5D9011" w:rsidR="00B20414" w:rsidRPr="00B20414" w:rsidRDefault="00B20414">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988486" w:history="1">
            <w:r w:rsidRPr="00B20414">
              <w:rPr>
                <w:rStyle w:val="Hyperlink"/>
                <w:rFonts w:ascii="Cambria" w:hAnsi="Cambria"/>
                <w:b/>
                <w:noProof/>
              </w:rPr>
              <w:t>iii)</w:t>
            </w:r>
            <w:r w:rsidRPr="00B20414">
              <w:rPr>
                <w:rFonts w:ascii="Cambria" w:eastAsiaTheme="minorEastAsia" w:hAnsi="Cambria" w:cstheme="minorBidi"/>
                <w:noProof/>
                <w:kern w:val="2"/>
                <w:bdr w:val="none" w:sz="0" w:space="0" w:color="auto"/>
                <w:lang w:val="en-US"/>
                <w14:ligatures w14:val="standardContextual"/>
              </w:rPr>
              <w:tab/>
            </w:r>
            <w:r w:rsidRPr="00B20414">
              <w:rPr>
                <w:rStyle w:val="Hyperlink"/>
                <w:rFonts w:ascii="Cambria" w:hAnsi="Cambria"/>
                <w:b/>
                <w:bCs/>
                <w:noProof/>
              </w:rPr>
              <w:t>Filing past statutory limits on the “federal matter”</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_Toc203988486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7</w:t>
            </w:r>
            <w:r w:rsidRPr="00B20414">
              <w:rPr>
                <w:rFonts w:ascii="Cambria" w:hAnsi="Cambria"/>
                <w:noProof/>
                <w:webHidden/>
              </w:rPr>
              <w:fldChar w:fldCharType="end"/>
            </w:r>
          </w:hyperlink>
        </w:p>
        <w:p w14:paraId="0E334C79" w14:textId="223C015E" w:rsidR="00B20414" w:rsidRPr="00B20414" w:rsidRDefault="00B20414">
          <w:pPr>
            <w:pStyle w:val="TOC2"/>
            <w:tabs>
              <w:tab w:val="left" w:pos="720"/>
              <w:tab w:val="right" w:leader="dot" w:pos="9350"/>
            </w:tabs>
            <w:rPr>
              <w:rFonts w:ascii="Cambria" w:eastAsiaTheme="minorEastAsia" w:hAnsi="Cambria" w:cstheme="minorBidi"/>
              <w:i w:val="0"/>
              <w:iCs w:val="0"/>
              <w:noProof/>
              <w:kern w:val="2"/>
              <w:bdr w:val="none" w:sz="0" w:space="0" w:color="auto"/>
              <w:lang w:val="en-US"/>
              <w14:ligatures w14:val="standardContextual"/>
            </w:rPr>
          </w:pPr>
          <w:hyperlink w:anchor="_Toc203988487" w:history="1">
            <w:r w:rsidRPr="00B20414">
              <w:rPr>
                <w:rStyle w:val="Hyperlink"/>
                <w:rFonts w:ascii="Cambria" w:hAnsi="Cambria"/>
                <w:b/>
                <w:bCs/>
                <w:noProof/>
              </w:rPr>
              <w:t>C.</w:t>
            </w:r>
            <w:r w:rsidRPr="00B20414">
              <w:rPr>
                <w:rFonts w:ascii="Cambria" w:eastAsiaTheme="minorEastAsia" w:hAnsi="Cambria" w:cstheme="minorBidi"/>
                <w:i w:val="0"/>
                <w:iCs w:val="0"/>
                <w:noProof/>
                <w:kern w:val="2"/>
                <w:bdr w:val="none" w:sz="0" w:space="0" w:color="auto"/>
                <w:lang w:val="en-US"/>
                <w14:ligatures w14:val="standardContextual"/>
              </w:rPr>
              <w:tab/>
            </w:r>
            <w:r w:rsidRPr="00B20414">
              <w:rPr>
                <w:rStyle w:val="Hyperlink"/>
                <w:rFonts w:ascii="Cambria" w:hAnsi="Cambria"/>
                <w:b/>
                <w:bCs/>
                <w:noProof/>
              </w:rPr>
              <w:t>Time-limits for filing the petition</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_Toc203988487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7</w:t>
            </w:r>
            <w:r w:rsidRPr="00B20414">
              <w:rPr>
                <w:rFonts w:ascii="Cambria" w:hAnsi="Cambria"/>
                <w:noProof/>
                <w:webHidden/>
              </w:rPr>
              <w:fldChar w:fldCharType="end"/>
            </w:r>
          </w:hyperlink>
        </w:p>
        <w:p w14:paraId="610970E8" w14:textId="5DB47596" w:rsidR="00B20414" w:rsidRPr="00B20414" w:rsidRDefault="00B20414">
          <w:pPr>
            <w:pStyle w:val="TOC2"/>
            <w:tabs>
              <w:tab w:val="left" w:pos="720"/>
              <w:tab w:val="right" w:leader="dot" w:pos="9350"/>
            </w:tabs>
            <w:rPr>
              <w:rFonts w:ascii="Cambria" w:eastAsiaTheme="minorEastAsia" w:hAnsi="Cambria" w:cstheme="minorBidi"/>
              <w:i w:val="0"/>
              <w:iCs w:val="0"/>
              <w:noProof/>
              <w:kern w:val="2"/>
              <w:bdr w:val="none" w:sz="0" w:space="0" w:color="auto"/>
              <w:lang w:val="en-US"/>
              <w14:ligatures w14:val="standardContextual"/>
            </w:rPr>
          </w:pPr>
          <w:hyperlink w:anchor="_Toc203988488" w:history="1">
            <w:r w:rsidRPr="00B20414">
              <w:rPr>
                <w:rStyle w:val="Hyperlink"/>
                <w:rFonts w:ascii="Cambria" w:hAnsi="Cambria"/>
                <w:b/>
                <w:noProof/>
              </w:rPr>
              <w:t>D.</w:t>
            </w:r>
            <w:r w:rsidRPr="00B20414">
              <w:rPr>
                <w:rFonts w:ascii="Cambria" w:eastAsiaTheme="minorEastAsia" w:hAnsi="Cambria" w:cstheme="minorBidi"/>
                <w:i w:val="0"/>
                <w:iCs w:val="0"/>
                <w:noProof/>
                <w:kern w:val="2"/>
                <w:bdr w:val="none" w:sz="0" w:space="0" w:color="auto"/>
                <w:lang w:val="en-US"/>
                <w14:ligatures w14:val="standardContextual"/>
              </w:rPr>
              <w:tab/>
            </w:r>
            <w:r w:rsidRPr="00B20414">
              <w:rPr>
                <w:rStyle w:val="Hyperlink"/>
                <w:rFonts w:ascii="Cambria" w:hAnsi="Cambria"/>
                <w:b/>
                <w:noProof/>
              </w:rPr>
              <w:t>Characterization of the facts alleged</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_Toc203988488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8</w:t>
            </w:r>
            <w:r w:rsidRPr="00B20414">
              <w:rPr>
                <w:rFonts w:ascii="Cambria" w:hAnsi="Cambria"/>
                <w:noProof/>
                <w:webHidden/>
              </w:rPr>
              <w:fldChar w:fldCharType="end"/>
            </w:r>
          </w:hyperlink>
        </w:p>
        <w:p w14:paraId="423D61E7" w14:textId="4CF9753E" w:rsidR="00B20414" w:rsidRPr="00B20414" w:rsidRDefault="00B20414">
          <w:pPr>
            <w:pStyle w:val="TOC1"/>
            <w:rPr>
              <w:rFonts w:eastAsiaTheme="minorEastAsia" w:cstheme="minorBidi"/>
              <w:b w:val="0"/>
              <w:bCs w:val="0"/>
              <w:kern w:val="2"/>
              <w:bdr w:val="none" w:sz="0" w:space="0" w:color="auto"/>
              <w:lang w:val="en-US" w:eastAsia="en-US"/>
              <w14:ligatures w14:val="standardContextual"/>
            </w:rPr>
          </w:pPr>
          <w:hyperlink w:anchor="_Toc203988489" w:history="1">
            <w:r w:rsidRPr="00B20414">
              <w:rPr>
                <w:rStyle w:val="Hyperlink"/>
                <w:lang w:val="en-US"/>
              </w:rPr>
              <w:t>IV.</w:t>
            </w:r>
            <w:r w:rsidRPr="00B20414">
              <w:rPr>
                <w:rFonts w:eastAsiaTheme="minorEastAsia" w:cstheme="minorBidi"/>
                <w:b w:val="0"/>
                <w:bCs w:val="0"/>
                <w:kern w:val="2"/>
                <w:bdr w:val="none" w:sz="0" w:space="0" w:color="auto"/>
                <w:lang w:val="en-US" w:eastAsia="en-US"/>
                <w14:ligatures w14:val="standardContextual"/>
              </w:rPr>
              <w:tab/>
            </w:r>
            <w:r w:rsidRPr="00B20414">
              <w:rPr>
                <w:rStyle w:val="Hyperlink"/>
              </w:rPr>
              <w:t>DETERMINATIONS</w:t>
            </w:r>
            <w:r w:rsidRPr="00B20414">
              <w:rPr>
                <w:rStyle w:val="Hyperlink"/>
                <w:lang w:val="en-US"/>
              </w:rPr>
              <w:t xml:space="preserve"> OF FACTS</w:t>
            </w:r>
            <w:r w:rsidRPr="00B20414">
              <w:rPr>
                <w:webHidden/>
              </w:rPr>
              <w:tab/>
            </w:r>
            <w:r w:rsidRPr="00B20414">
              <w:rPr>
                <w:webHidden/>
              </w:rPr>
              <w:fldChar w:fldCharType="begin"/>
            </w:r>
            <w:r w:rsidRPr="00B20414">
              <w:rPr>
                <w:webHidden/>
              </w:rPr>
              <w:instrText xml:space="preserve"> PAGEREF _Toc203988489 \h </w:instrText>
            </w:r>
            <w:r w:rsidRPr="00B20414">
              <w:rPr>
                <w:webHidden/>
              </w:rPr>
            </w:r>
            <w:r w:rsidRPr="00B20414">
              <w:rPr>
                <w:webHidden/>
              </w:rPr>
              <w:fldChar w:fldCharType="separate"/>
            </w:r>
            <w:r w:rsidR="00C76ECB">
              <w:rPr>
                <w:webHidden/>
              </w:rPr>
              <w:t>8</w:t>
            </w:r>
            <w:r w:rsidRPr="00B20414">
              <w:rPr>
                <w:webHidden/>
              </w:rPr>
              <w:fldChar w:fldCharType="end"/>
            </w:r>
          </w:hyperlink>
        </w:p>
        <w:p w14:paraId="47E1AACB" w14:textId="201DC515" w:rsidR="00B20414" w:rsidRPr="00B20414" w:rsidRDefault="00B20414">
          <w:pPr>
            <w:pStyle w:val="TOC2"/>
            <w:tabs>
              <w:tab w:val="left" w:pos="720"/>
              <w:tab w:val="right" w:leader="dot" w:pos="9350"/>
            </w:tabs>
            <w:rPr>
              <w:rFonts w:ascii="Cambria" w:eastAsiaTheme="minorEastAsia" w:hAnsi="Cambria" w:cstheme="minorBidi"/>
              <w:i w:val="0"/>
              <w:iCs w:val="0"/>
              <w:noProof/>
              <w:kern w:val="2"/>
              <w:bdr w:val="none" w:sz="0" w:space="0" w:color="auto"/>
              <w:lang w:val="en-US"/>
              <w14:ligatures w14:val="standardContextual"/>
            </w:rPr>
          </w:pPr>
          <w:hyperlink w:anchor="_Toc203988490" w:history="1">
            <w:r w:rsidRPr="00B20414">
              <w:rPr>
                <w:rStyle w:val="Hyperlink"/>
                <w:rFonts w:ascii="Cambria" w:hAnsi="Cambria"/>
                <w:noProof/>
                <w:lang w:val="en-US"/>
              </w:rPr>
              <w:t>A.</w:t>
            </w:r>
            <w:r w:rsidRPr="00B20414">
              <w:rPr>
                <w:rFonts w:ascii="Cambria" w:eastAsiaTheme="minorEastAsia" w:hAnsi="Cambria" w:cstheme="minorBidi"/>
                <w:i w:val="0"/>
                <w:iCs w:val="0"/>
                <w:noProof/>
                <w:kern w:val="2"/>
                <w:bdr w:val="none" w:sz="0" w:space="0" w:color="auto"/>
                <w:lang w:val="en-US"/>
                <w14:ligatures w14:val="standardContextual"/>
              </w:rPr>
              <w:tab/>
            </w:r>
            <w:r w:rsidRPr="00B20414">
              <w:rPr>
                <w:rStyle w:val="Hyperlink"/>
                <w:rFonts w:ascii="Cambria" w:hAnsi="Cambria"/>
                <w:noProof/>
              </w:rPr>
              <w:t>Criminal</w:t>
            </w:r>
            <w:r w:rsidRPr="00B20414">
              <w:rPr>
                <w:rStyle w:val="Hyperlink"/>
                <w:rFonts w:ascii="Cambria" w:hAnsi="Cambria"/>
                <w:noProof/>
                <w:lang w:val="en-US"/>
              </w:rPr>
              <w:t xml:space="preserve"> proceedings against the petitioner</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_Toc203988490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8</w:t>
            </w:r>
            <w:r w:rsidRPr="00B20414">
              <w:rPr>
                <w:rFonts w:ascii="Cambria" w:hAnsi="Cambria"/>
                <w:noProof/>
                <w:webHidden/>
              </w:rPr>
              <w:fldChar w:fldCharType="end"/>
            </w:r>
          </w:hyperlink>
        </w:p>
        <w:p w14:paraId="3761F959" w14:textId="797A0137" w:rsidR="00B20414" w:rsidRPr="00B20414" w:rsidRDefault="00B20414">
          <w:pPr>
            <w:pStyle w:val="TOC2"/>
            <w:tabs>
              <w:tab w:val="left" w:pos="720"/>
              <w:tab w:val="right" w:leader="dot" w:pos="9350"/>
            </w:tabs>
            <w:rPr>
              <w:rFonts w:ascii="Cambria" w:eastAsiaTheme="minorEastAsia" w:hAnsi="Cambria" w:cstheme="minorBidi"/>
              <w:i w:val="0"/>
              <w:iCs w:val="0"/>
              <w:noProof/>
              <w:kern w:val="2"/>
              <w:bdr w:val="none" w:sz="0" w:space="0" w:color="auto"/>
              <w:lang w:val="en-US"/>
              <w14:ligatures w14:val="standardContextual"/>
            </w:rPr>
          </w:pPr>
          <w:hyperlink w:anchor="_Toc203988491" w:history="1">
            <w:r w:rsidRPr="00B20414">
              <w:rPr>
                <w:rStyle w:val="Hyperlink"/>
                <w:rFonts w:ascii="Cambria" w:hAnsi="Cambria"/>
                <w:noProof/>
                <w:lang w:val="en-US"/>
              </w:rPr>
              <w:t>B.</w:t>
            </w:r>
            <w:r w:rsidRPr="00B20414">
              <w:rPr>
                <w:rFonts w:ascii="Cambria" w:eastAsiaTheme="minorEastAsia" w:hAnsi="Cambria" w:cstheme="minorBidi"/>
                <w:i w:val="0"/>
                <w:iCs w:val="0"/>
                <w:noProof/>
                <w:kern w:val="2"/>
                <w:bdr w:val="none" w:sz="0" w:space="0" w:color="auto"/>
                <w:lang w:val="en-US"/>
                <w14:ligatures w14:val="standardContextual"/>
              </w:rPr>
              <w:tab/>
            </w:r>
            <w:r w:rsidRPr="00B20414">
              <w:rPr>
                <w:rStyle w:val="Hyperlink"/>
                <w:rFonts w:ascii="Cambria" w:hAnsi="Cambria"/>
                <w:noProof/>
                <w:lang w:val="en-US"/>
              </w:rPr>
              <w:t>Remedies filed against the judgment of culpability and sentencing tailored to the individual</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_Toc203988491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9</w:t>
            </w:r>
            <w:r w:rsidRPr="00B20414">
              <w:rPr>
                <w:rFonts w:ascii="Cambria" w:hAnsi="Cambria"/>
                <w:noProof/>
                <w:webHidden/>
              </w:rPr>
              <w:fldChar w:fldCharType="end"/>
            </w:r>
          </w:hyperlink>
        </w:p>
        <w:p w14:paraId="44A7AFBC" w14:textId="4AACB5A6" w:rsidR="00B20414" w:rsidRPr="00B20414" w:rsidRDefault="00B20414">
          <w:pPr>
            <w:pStyle w:val="TOC1"/>
            <w:rPr>
              <w:rFonts w:eastAsiaTheme="minorEastAsia" w:cstheme="minorBidi"/>
              <w:b w:val="0"/>
              <w:bCs w:val="0"/>
              <w:kern w:val="2"/>
              <w:bdr w:val="none" w:sz="0" w:space="0" w:color="auto"/>
              <w:lang w:val="en-US" w:eastAsia="en-US"/>
              <w14:ligatures w14:val="standardContextual"/>
            </w:rPr>
          </w:pPr>
          <w:hyperlink w:anchor="_Toc203988492" w:history="1">
            <w:r w:rsidRPr="00B20414">
              <w:rPr>
                <w:rStyle w:val="Hyperlink"/>
                <w:lang w:val="en-US"/>
              </w:rPr>
              <w:t>V.</w:t>
            </w:r>
            <w:r w:rsidRPr="00B20414">
              <w:rPr>
                <w:rFonts w:eastAsiaTheme="minorEastAsia" w:cstheme="minorBidi"/>
                <w:b w:val="0"/>
                <w:bCs w:val="0"/>
                <w:kern w:val="2"/>
                <w:bdr w:val="none" w:sz="0" w:space="0" w:color="auto"/>
                <w:lang w:val="en-US" w:eastAsia="en-US"/>
                <w14:ligatures w14:val="standardContextual"/>
              </w:rPr>
              <w:tab/>
            </w:r>
            <w:r w:rsidRPr="00B20414">
              <w:rPr>
                <w:rStyle w:val="Hyperlink"/>
                <w:lang w:val="en-US"/>
              </w:rPr>
              <w:t>ANALYSIS OF LAW</w:t>
            </w:r>
            <w:r w:rsidRPr="00B20414">
              <w:rPr>
                <w:webHidden/>
              </w:rPr>
              <w:tab/>
            </w:r>
            <w:r w:rsidRPr="00B20414">
              <w:rPr>
                <w:webHidden/>
              </w:rPr>
              <w:fldChar w:fldCharType="begin"/>
            </w:r>
            <w:r w:rsidRPr="00B20414">
              <w:rPr>
                <w:webHidden/>
              </w:rPr>
              <w:instrText xml:space="preserve"> PAGEREF _Toc203988492 \h </w:instrText>
            </w:r>
            <w:r w:rsidRPr="00B20414">
              <w:rPr>
                <w:webHidden/>
              </w:rPr>
            </w:r>
            <w:r w:rsidRPr="00B20414">
              <w:rPr>
                <w:webHidden/>
              </w:rPr>
              <w:fldChar w:fldCharType="separate"/>
            </w:r>
            <w:r w:rsidR="00C76ECB">
              <w:rPr>
                <w:webHidden/>
              </w:rPr>
              <w:t>11</w:t>
            </w:r>
            <w:r w:rsidRPr="00B20414">
              <w:rPr>
                <w:webHidden/>
              </w:rPr>
              <w:fldChar w:fldCharType="end"/>
            </w:r>
          </w:hyperlink>
        </w:p>
        <w:p w14:paraId="700DA86B" w14:textId="41899600" w:rsidR="00B20414" w:rsidRPr="00B20414" w:rsidRDefault="00B20414">
          <w:pPr>
            <w:pStyle w:val="TOC2"/>
            <w:tabs>
              <w:tab w:val="right" w:leader="dot" w:pos="9350"/>
            </w:tabs>
            <w:rPr>
              <w:rFonts w:ascii="Cambria" w:eastAsiaTheme="minorEastAsia" w:hAnsi="Cambria" w:cstheme="minorBidi"/>
              <w:i w:val="0"/>
              <w:iCs w:val="0"/>
              <w:noProof/>
              <w:kern w:val="2"/>
              <w:bdr w:val="none" w:sz="0" w:space="0" w:color="auto"/>
              <w:lang w:val="en-US"/>
              <w14:ligatures w14:val="standardContextual"/>
            </w:rPr>
          </w:pPr>
          <w:hyperlink w:anchor="_Toc203988493" w:history="1">
            <w:r w:rsidRPr="00B20414">
              <w:rPr>
                <w:rStyle w:val="Hyperlink"/>
                <w:rFonts w:ascii="Cambria" w:hAnsi="Cambria"/>
                <w:noProof/>
                <w:lang w:val="en-US"/>
              </w:rPr>
              <w:t>A. Right to appeal the judgment to a higher court (Article 8(2)(h) of the American Convention on Human Rights, in connection with Articles 1(1) and 2 of the same instrument)</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_Toc203988493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11</w:t>
            </w:r>
            <w:r w:rsidRPr="00B20414">
              <w:rPr>
                <w:rFonts w:ascii="Cambria" w:hAnsi="Cambria"/>
                <w:noProof/>
                <w:webHidden/>
              </w:rPr>
              <w:fldChar w:fldCharType="end"/>
            </w:r>
          </w:hyperlink>
        </w:p>
        <w:p w14:paraId="57030B01" w14:textId="47A21DFF" w:rsidR="00B20414" w:rsidRPr="00B20414" w:rsidRDefault="00B20414">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988494" w:history="1">
            <w:r w:rsidRPr="00B20414">
              <w:rPr>
                <w:rStyle w:val="Hyperlink"/>
                <w:rFonts w:ascii="Cambria" w:hAnsi="Cambria"/>
                <w:b/>
                <w:bCs/>
                <w:noProof/>
              </w:rPr>
              <w:t>i)</w:t>
            </w:r>
            <w:r w:rsidRPr="00B20414">
              <w:rPr>
                <w:rFonts w:ascii="Cambria" w:eastAsiaTheme="minorEastAsia" w:hAnsi="Cambria" w:cstheme="minorBidi"/>
                <w:noProof/>
                <w:kern w:val="2"/>
                <w:bdr w:val="none" w:sz="0" w:space="0" w:color="auto"/>
                <w:lang w:val="en-US"/>
                <w14:ligatures w14:val="standardContextual"/>
              </w:rPr>
              <w:tab/>
            </w:r>
            <w:r w:rsidRPr="00B20414">
              <w:rPr>
                <w:rStyle w:val="Hyperlink"/>
                <w:rFonts w:ascii="Cambria" w:hAnsi="Cambria"/>
                <w:b/>
                <w:bCs/>
                <w:noProof/>
              </w:rPr>
              <w:t>General considerations on the right to appeal a judgment</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_Toc203988494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11</w:t>
            </w:r>
            <w:r w:rsidRPr="00B20414">
              <w:rPr>
                <w:rFonts w:ascii="Cambria" w:hAnsi="Cambria"/>
                <w:noProof/>
                <w:webHidden/>
              </w:rPr>
              <w:fldChar w:fldCharType="end"/>
            </w:r>
          </w:hyperlink>
        </w:p>
        <w:p w14:paraId="2ACA0233" w14:textId="215ED343" w:rsidR="00B20414" w:rsidRPr="00B20414" w:rsidRDefault="00B20414">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988495" w:history="1">
            <w:r w:rsidRPr="00B20414">
              <w:rPr>
                <w:rStyle w:val="Hyperlink"/>
                <w:rFonts w:ascii="Cambria" w:hAnsi="Cambria"/>
                <w:b/>
                <w:bCs/>
                <w:noProof/>
              </w:rPr>
              <w:t>ii)</w:t>
            </w:r>
            <w:r w:rsidRPr="00B20414">
              <w:rPr>
                <w:rFonts w:ascii="Cambria" w:eastAsiaTheme="minorEastAsia" w:hAnsi="Cambria" w:cstheme="minorBidi"/>
                <w:noProof/>
                <w:kern w:val="2"/>
                <w:bdr w:val="none" w:sz="0" w:space="0" w:color="auto"/>
                <w:lang w:val="en-US"/>
                <w14:ligatures w14:val="standardContextual"/>
              </w:rPr>
              <w:tab/>
            </w:r>
            <w:r w:rsidRPr="00B20414">
              <w:rPr>
                <w:rStyle w:val="Hyperlink"/>
                <w:rFonts w:ascii="Cambria" w:hAnsi="Cambria"/>
                <w:b/>
                <w:bCs/>
                <w:noProof/>
              </w:rPr>
              <w:t>Analysis of the case</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_Toc203988495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14</w:t>
            </w:r>
            <w:r w:rsidRPr="00B20414">
              <w:rPr>
                <w:rFonts w:ascii="Cambria" w:hAnsi="Cambria"/>
                <w:noProof/>
                <w:webHidden/>
              </w:rPr>
              <w:fldChar w:fldCharType="end"/>
            </w:r>
          </w:hyperlink>
        </w:p>
        <w:p w14:paraId="22C33A64" w14:textId="77C8344A" w:rsidR="00B20414" w:rsidRPr="00B20414" w:rsidRDefault="00B20414">
          <w:pPr>
            <w:pStyle w:val="TOC2"/>
            <w:tabs>
              <w:tab w:val="right" w:leader="dot" w:pos="9350"/>
            </w:tabs>
            <w:rPr>
              <w:rFonts w:ascii="Cambria" w:eastAsiaTheme="minorEastAsia" w:hAnsi="Cambria" w:cstheme="minorBidi"/>
              <w:i w:val="0"/>
              <w:iCs w:val="0"/>
              <w:noProof/>
              <w:kern w:val="2"/>
              <w:bdr w:val="none" w:sz="0" w:space="0" w:color="auto"/>
              <w:lang w:val="en-US"/>
              <w14:ligatures w14:val="standardContextual"/>
            </w:rPr>
          </w:pPr>
          <w:hyperlink w:anchor="_Toc203988496" w:history="1">
            <w:r w:rsidRPr="00B20414">
              <w:rPr>
                <w:rStyle w:val="Hyperlink"/>
                <w:rFonts w:ascii="Cambria" w:hAnsi="Cambria"/>
                <w:noProof/>
                <w:lang w:val="en-US"/>
              </w:rPr>
              <w:t>B. Right to personal liberty, rights of the child, and principle of legality (Articles 7, 19, and 9 of the American Convention on Human Rights, in connection with Articles 1(1) and 2 of the same treaty)</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_Toc203988496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15</w:t>
            </w:r>
            <w:r w:rsidRPr="00B20414">
              <w:rPr>
                <w:rFonts w:ascii="Cambria" w:hAnsi="Cambria"/>
                <w:noProof/>
                <w:webHidden/>
              </w:rPr>
              <w:fldChar w:fldCharType="end"/>
            </w:r>
          </w:hyperlink>
        </w:p>
        <w:p w14:paraId="36A3DC54" w14:textId="2ADE0330" w:rsidR="00B20414" w:rsidRPr="00B20414" w:rsidRDefault="00B20414">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988497" w:history="1">
            <w:r w:rsidRPr="00B20414">
              <w:rPr>
                <w:rStyle w:val="Hyperlink"/>
                <w:rFonts w:ascii="Cambria" w:hAnsi="Cambria"/>
                <w:b/>
                <w:bCs/>
                <w:noProof/>
              </w:rPr>
              <w:t>i)</w:t>
            </w:r>
            <w:r w:rsidRPr="00B20414">
              <w:rPr>
                <w:rFonts w:ascii="Cambria" w:eastAsiaTheme="minorEastAsia" w:hAnsi="Cambria" w:cstheme="minorBidi"/>
                <w:noProof/>
                <w:kern w:val="2"/>
                <w:bdr w:val="none" w:sz="0" w:space="0" w:color="auto"/>
                <w:lang w:val="en-US"/>
                <w14:ligatures w14:val="standardContextual"/>
              </w:rPr>
              <w:tab/>
            </w:r>
            <w:r w:rsidRPr="00B20414">
              <w:rPr>
                <w:rStyle w:val="Hyperlink"/>
                <w:rFonts w:ascii="Cambria" w:hAnsi="Cambria"/>
                <w:b/>
                <w:bCs/>
                <w:noProof/>
              </w:rPr>
              <w:t>General considerations about the right to personal liberty, the prohibition of deprivation of liberty and arbitrary incarceration, and the principle of legality</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_Toc203988497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15</w:t>
            </w:r>
            <w:r w:rsidRPr="00B20414">
              <w:rPr>
                <w:rFonts w:ascii="Cambria" w:hAnsi="Cambria"/>
                <w:noProof/>
                <w:webHidden/>
              </w:rPr>
              <w:fldChar w:fldCharType="end"/>
            </w:r>
          </w:hyperlink>
        </w:p>
        <w:p w14:paraId="47485FBA" w14:textId="3829F3BC" w:rsidR="00B20414" w:rsidRPr="00B20414" w:rsidRDefault="00B20414">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988498" w:history="1">
            <w:r w:rsidRPr="00B20414">
              <w:rPr>
                <w:rStyle w:val="Hyperlink"/>
                <w:rFonts w:ascii="Cambria" w:hAnsi="Cambria"/>
                <w:b/>
                <w:bCs/>
                <w:noProof/>
              </w:rPr>
              <w:t>ii)</w:t>
            </w:r>
            <w:r w:rsidRPr="00B20414">
              <w:rPr>
                <w:rFonts w:ascii="Cambria" w:eastAsiaTheme="minorEastAsia" w:hAnsi="Cambria" w:cstheme="minorBidi"/>
                <w:noProof/>
                <w:kern w:val="2"/>
                <w:bdr w:val="none" w:sz="0" w:space="0" w:color="auto"/>
                <w:lang w:val="en-US"/>
                <w14:ligatures w14:val="standardContextual"/>
              </w:rPr>
              <w:tab/>
            </w:r>
            <w:r w:rsidRPr="00B20414">
              <w:rPr>
                <w:rStyle w:val="Hyperlink"/>
                <w:rFonts w:ascii="Cambria" w:hAnsi="Cambria"/>
                <w:b/>
                <w:bCs/>
                <w:noProof/>
              </w:rPr>
              <w:t>Relevant standards in criminal justice and the rights of children and adolescents</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_Toc203988498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17</w:t>
            </w:r>
            <w:r w:rsidRPr="00B20414">
              <w:rPr>
                <w:rFonts w:ascii="Cambria" w:hAnsi="Cambria"/>
                <w:noProof/>
                <w:webHidden/>
              </w:rPr>
              <w:fldChar w:fldCharType="end"/>
            </w:r>
          </w:hyperlink>
        </w:p>
        <w:p w14:paraId="3E8D3AE9" w14:textId="6B85084B" w:rsidR="00B20414" w:rsidRPr="00B20414" w:rsidRDefault="00B20414">
          <w:pPr>
            <w:pStyle w:val="TOC3"/>
            <w:tabs>
              <w:tab w:val="left" w:pos="960"/>
              <w:tab w:val="right" w:leader="dot" w:pos="9350"/>
            </w:tabs>
            <w:rPr>
              <w:rFonts w:ascii="Cambria" w:eastAsiaTheme="minorEastAsia" w:hAnsi="Cambria" w:cstheme="minorBidi"/>
              <w:noProof/>
              <w:kern w:val="2"/>
              <w:bdr w:val="none" w:sz="0" w:space="0" w:color="auto"/>
              <w:lang w:val="en-US"/>
              <w14:ligatures w14:val="standardContextual"/>
            </w:rPr>
          </w:pPr>
          <w:hyperlink w:anchor="_Toc203988499" w:history="1">
            <w:r w:rsidRPr="00B20414">
              <w:rPr>
                <w:rStyle w:val="Hyperlink"/>
                <w:rFonts w:ascii="Cambria" w:hAnsi="Cambria"/>
                <w:b/>
                <w:bCs/>
                <w:noProof/>
              </w:rPr>
              <w:t>iii)</w:t>
            </w:r>
            <w:r w:rsidRPr="00B20414">
              <w:rPr>
                <w:rFonts w:ascii="Cambria" w:eastAsiaTheme="minorEastAsia" w:hAnsi="Cambria" w:cstheme="minorBidi"/>
                <w:noProof/>
                <w:kern w:val="2"/>
                <w:bdr w:val="none" w:sz="0" w:space="0" w:color="auto"/>
                <w:lang w:val="en-US"/>
                <w14:ligatures w14:val="standardContextual"/>
              </w:rPr>
              <w:tab/>
            </w:r>
            <w:r w:rsidRPr="00B20414">
              <w:rPr>
                <w:rStyle w:val="Hyperlink"/>
                <w:rFonts w:ascii="Cambria" w:hAnsi="Cambria"/>
                <w:b/>
                <w:bCs/>
                <w:noProof/>
              </w:rPr>
              <w:t>Analysis of the case</w:t>
            </w:r>
            <w:r w:rsidRPr="00B20414">
              <w:rPr>
                <w:rFonts w:ascii="Cambria" w:hAnsi="Cambria"/>
                <w:noProof/>
                <w:webHidden/>
              </w:rPr>
              <w:tab/>
            </w:r>
            <w:r w:rsidRPr="00B20414">
              <w:rPr>
                <w:rFonts w:ascii="Cambria" w:hAnsi="Cambria"/>
                <w:noProof/>
                <w:webHidden/>
              </w:rPr>
              <w:fldChar w:fldCharType="begin"/>
            </w:r>
            <w:r w:rsidRPr="00B20414">
              <w:rPr>
                <w:rFonts w:ascii="Cambria" w:hAnsi="Cambria"/>
                <w:noProof/>
                <w:webHidden/>
              </w:rPr>
              <w:instrText xml:space="preserve"> PAGEREF _Toc203988499 \h </w:instrText>
            </w:r>
            <w:r w:rsidRPr="00B20414">
              <w:rPr>
                <w:rFonts w:ascii="Cambria" w:hAnsi="Cambria"/>
                <w:noProof/>
                <w:webHidden/>
              </w:rPr>
            </w:r>
            <w:r w:rsidRPr="00B20414">
              <w:rPr>
                <w:rFonts w:ascii="Cambria" w:hAnsi="Cambria"/>
                <w:noProof/>
                <w:webHidden/>
              </w:rPr>
              <w:fldChar w:fldCharType="separate"/>
            </w:r>
            <w:r w:rsidR="00C76ECB">
              <w:rPr>
                <w:rFonts w:ascii="Cambria" w:hAnsi="Cambria"/>
                <w:noProof/>
                <w:webHidden/>
              </w:rPr>
              <w:t>19</w:t>
            </w:r>
            <w:r w:rsidRPr="00B20414">
              <w:rPr>
                <w:rFonts w:ascii="Cambria" w:hAnsi="Cambria"/>
                <w:noProof/>
                <w:webHidden/>
              </w:rPr>
              <w:fldChar w:fldCharType="end"/>
            </w:r>
          </w:hyperlink>
        </w:p>
        <w:p w14:paraId="4B19DC67" w14:textId="246434F9" w:rsidR="00B20414" w:rsidRPr="00B20414" w:rsidRDefault="00B20414">
          <w:pPr>
            <w:pStyle w:val="TOC1"/>
            <w:rPr>
              <w:rFonts w:eastAsiaTheme="minorEastAsia" w:cstheme="minorBidi"/>
              <w:b w:val="0"/>
              <w:bCs w:val="0"/>
              <w:kern w:val="2"/>
              <w:bdr w:val="none" w:sz="0" w:space="0" w:color="auto"/>
              <w:lang w:val="en-US" w:eastAsia="en-US"/>
              <w14:ligatures w14:val="standardContextual"/>
            </w:rPr>
          </w:pPr>
          <w:hyperlink w:anchor="_Toc203988500" w:history="1">
            <w:r w:rsidRPr="00B20414">
              <w:rPr>
                <w:rStyle w:val="Hyperlink"/>
                <w:lang w:val="en-US"/>
              </w:rPr>
              <w:t>VI.</w:t>
            </w:r>
            <w:r w:rsidRPr="00B20414">
              <w:rPr>
                <w:rFonts w:eastAsiaTheme="minorEastAsia" w:cstheme="minorBidi"/>
                <w:b w:val="0"/>
                <w:bCs w:val="0"/>
                <w:kern w:val="2"/>
                <w:bdr w:val="none" w:sz="0" w:space="0" w:color="auto"/>
                <w:lang w:val="en-US" w:eastAsia="en-US"/>
                <w14:ligatures w14:val="standardContextual"/>
              </w:rPr>
              <w:tab/>
            </w:r>
            <w:r w:rsidRPr="00B20414">
              <w:rPr>
                <w:rStyle w:val="Hyperlink"/>
                <w:lang w:val="en-US"/>
              </w:rPr>
              <w:t>PROCEEDINGS</w:t>
            </w:r>
            <w:r w:rsidRPr="00B20414">
              <w:rPr>
                <w:rStyle w:val="Hyperlink"/>
                <w:lang w:val="en-GB"/>
              </w:rPr>
              <w:t xml:space="preserve"> SUBSEQUENT TO REPORT 138/21 AND </w:t>
            </w:r>
            <w:r w:rsidRPr="00B20414">
              <w:rPr>
                <w:rStyle w:val="Hyperlink"/>
                <w:rFonts w:eastAsia="Times New Roman" w:cs="Times New Roman"/>
                <w:lang w:val="en-US"/>
              </w:rPr>
              <w:t>COMPLIANCE</w:t>
            </w:r>
            <w:r w:rsidRPr="00B20414">
              <w:rPr>
                <w:rStyle w:val="Hyperlink"/>
                <w:lang w:val="en-GB"/>
              </w:rPr>
              <w:t xml:space="preserve"> INFORMATION</w:t>
            </w:r>
            <w:r w:rsidRPr="00B20414">
              <w:rPr>
                <w:webHidden/>
              </w:rPr>
              <w:tab/>
            </w:r>
            <w:r w:rsidRPr="00B20414">
              <w:rPr>
                <w:webHidden/>
              </w:rPr>
              <w:fldChar w:fldCharType="begin"/>
            </w:r>
            <w:r w:rsidRPr="00B20414">
              <w:rPr>
                <w:webHidden/>
              </w:rPr>
              <w:instrText xml:space="preserve"> PAGEREF _Toc203988500 \h </w:instrText>
            </w:r>
            <w:r w:rsidRPr="00B20414">
              <w:rPr>
                <w:webHidden/>
              </w:rPr>
            </w:r>
            <w:r w:rsidRPr="00B20414">
              <w:rPr>
                <w:webHidden/>
              </w:rPr>
              <w:fldChar w:fldCharType="separate"/>
            </w:r>
            <w:r w:rsidR="00C76ECB">
              <w:rPr>
                <w:webHidden/>
              </w:rPr>
              <w:t>21</w:t>
            </w:r>
            <w:r w:rsidRPr="00B20414">
              <w:rPr>
                <w:webHidden/>
              </w:rPr>
              <w:fldChar w:fldCharType="end"/>
            </w:r>
          </w:hyperlink>
        </w:p>
        <w:p w14:paraId="3A293A81" w14:textId="473F6F8D" w:rsidR="00B20414" w:rsidRPr="00B20414" w:rsidRDefault="00B20414">
          <w:pPr>
            <w:pStyle w:val="TOC1"/>
            <w:rPr>
              <w:rFonts w:eastAsiaTheme="minorEastAsia" w:cstheme="minorBidi"/>
              <w:b w:val="0"/>
              <w:bCs w:val="0"/>
              <w:kern w:val="2"/>
              <w:bdr w:val="none" w:sz="0" w:space="0" w:color="auto"/>
              <w:lang w:val="en-US" w:eastAsia="en-US"/>
              <w14:ligatures w14:val="standardContextual"/>
            </w:rPr>
          </w:pPr>
          <w:hyperlink w:anchor="_Toc203988501" w:history="1">
            <w:r w:rsidRPr="00B20414">
              <w:rPr>
                <w:rStyle w:val="Hyperlink"/>
                <w:lang w:val="en-US"/>
              </w:rPr>
              <w:t>VII.</w:t>
            </w:r>
            <w:r w:rsidRPr="00B20414">
              <w:rPr>
                <w:rFonts w:eastAsiaTheme="minorEastAsia" w:cstheme="minorBidi"/>
                <w:b w:val="0"/>
                <w:bCs w:val="0"/>
                <w:kern w:val="2"/>
                <w:bdr w:val="none" w:sz="0" w:space="0" w:color="auto"/>
                <w:lang w:val="en-US" w:eastAsia="en-US"/>
                <w14:ligatures w14:val="standardContextual"/>
              </w:rPr>
              <w:tab/>
            </w:r>
            <w:r w:rsidRPr="00B20414">
              <w:rPr>
                <w:rStyle w:val="Hyperlink"/>
                <w:lang w:val="en-US"/>
              </w:rPr>
              <w:t>ACTIONS FOLLOWING REPORT No. 70/25 AND INFORMATION ON COMPLIANCE</w:t>
            </w:r>
            <w:r w:rsidRPr="00B20414">
              <w:rPr>
                <w:webHidden/>
              </w:rPr>
              <w:tab/>
            </w:r>
            <w:r w:rsidRPr="00B20414">
              <w:rPr>
                <w:webHidden/>
              </w:rPr>
              <w:fldChar w:fldCharType="begin"/>
            </w:r>
            <w:r w:rsidRPr="00B20414">
              <w:rPr>
                <w:webHidden/>
              </w:rPr>
              <w:instrText xml:space="preserve"> PAGEREF _Toc203988501 \h </w:instrText>
            </w:r>
            <w:r w:rsidRPr="00B20414">
              <w:rPr>
                <w:webHidden/>
              </w:rPr>
            </w:r>
            <w:r w:rsidRPr="00B20414">
              <w:rPr>
                <w:webHidden/>
              </w:rPr>
              <w:fldChar w:fldCharType="separate"/>
            </w:r>
            <w:r w:rsidR="00C76ECB">
              <w:rPr>
                <w:webHidden/>
              </w:rPr>
              <w:t>24</w:t>
            </w:r>
            <w:r w:rsidRPr="00B20414">
              <w:rPr>
                <w:webHidden/>
              </w:rPr>
              <w:fldChar w:fldCharType="end"/>
            </w:r>
          </w:hyperlink>
        </w:p>
        <w:p w14:paraId="5AB62D98" w14:textId="15BB8C65" w:rsidR="00B20414" w:rsidRPr="00B20414" w:rsidRDefault="00B20414">
          <w:pPr>
            <w:pStyle w:val="TOC1"/>
            <w:rPr>
              <w:rFonts w:eastAsiaTheme="minorEastAsia" w:cstheme="minorBidi"/>
              <w:b w:val="0"/>
              <w:bCs w:val="0"/>
              <w:kern w:val="2"/>
              <w:bdr w:val="none" w:sz="0" w:space="0" w:color="auto"/>
              <w:lang w:val="en-US" w:eastAsia="en-US"/>
              <w14:ligatures w14:val="standardContextual"/>
            </w:rPr>
          </w:pPr>
          <w:hyperlink w:anchor="_Toc203988502" w:history="1">
            <w:r w:rsidRPr="00B20414">
              <w:rPr>
                <w:rStyle w:val="Hyperlink"/>
                <w:lang w:val="en-US"/>
              </w:rPr>
              <w:t>VIII.</w:t>
            </w:r>
            <w:r w:rsidRPr="00B20414">
              <w:rPr>
                <w:rFonts w:eastAsiaTheme="minorEastAsia" w:cstheme="minorBidi"/>
                <w:b w:val="0"/>
                <w:bCs w:val="0"/>
                <w:kern w:val="2"/>
                <w:bdr w:val="none" w:sz="0" w:space="0" w:color="auto"/>
                <w:lang w:val="en-US" w:eastAsia="en-US"/>
                <w14:ligatures w14:val="standardContextual"/>
              </w:rPr>
              <w:tab/>
            </w:r>
            <w:r w:rsidRPr="00B20414">
              <w:rPr>
                <w:rStyle w:val="Hyperlink"/>
                <w:lang w:val="en-US"/>
              </w:rPr>
              <w:t>FINAL CONCLUSIONS AND RECOMMENDATIONS</w:t>
            </w:r>
            <w:r w:rsidRPr="00B20414">
              <w:rPr>
                <w:webHidden/>
              </w:rPr>
              <w:tab/>
            </w:r>
            <w:r w:rsidRPr="00B20414">
              <w:rPr>
                <w:webHidden/>
              </w:rPr>
              <w:fldChar w:fldCharType="begin"/>
            </w:r>
            <w:r w:rsidRPr="00B20414">
              <w:rPr>
                <w:webHidden/>
              </w:rPr>
              <w:instrText xml:space="preserve"> PAGEREF _Toc203988502 \h </w:instrText>
            </w:r>
            <w:r w:rsidRPr="00B20414">
              <w:rPr>
                <w:webHidden/>
              </w:rPr>
            </w:r>
            <w:r w:rsidRPr="00B20414">
              <w:rPr>
                <w:webHidden/>
              </w:rPr>
              <w:fldChar w:fldCharType="separate"/>
            </w:r>
            <w:r w:rsidR="00C76ECB">
              <w:rPr>
                <w:webHidden/>
              </w:rPr>
              <w:t>24</w:t>
            </w:r>
            <w:r w:rsidRPr="00B20414">
              <w:rPr>
                <w:webHidden/>
              </w:rPr>
              <w:fldChar w:fldCharType="end"/>
            </w:r>
          </w:hyperlink>
        </w:p>
        <w:p w14:paraId="1A000C0B" w14:textId="145F6174" w:rsidR="00B20414" w:rsidRPr="00B20414" w:rsidRDefault="00B20414">
          <w:pPr>
            <w:pStyle w:val="TOC1"/>
            <w:rPr>
              <w:rFonts w:eastAsiaTheme="minorEastAsia" w:cstheme="minorBidi"/>
              <w:b w:val="0"/>
              <w:bCs w:val="0"/>
              <w:kern w:val="2"/>
              <w:bdr w:val="none" w:sz="0" w:space="0" w:color="auto"/>
              <w:lang w:val="en-US" w:eastAsia="en-US"/>
              <w14:ligatures w14:val="standardContextual"/>
            </w:rPr>
          </w:pPr>
          <w:hyperlink w:anchor="_Toc203988503" w:history="1">
            <w:r w:rsidRPr="00B20414">
              <w:rPr>
                <w:rStyle w:val="Hyperlink"/>
                <w:lang w:val="en-US"/>
              </w:rPr>
              <w:t>IX.</w:t>
            </w:r>
            <w:r w:rsidRPr="00B20414">
              <w:rPr>
                <w:rFonts w:eastAsiaTheme="minorEastAsia" w:cstheme="minorBidi"/>
                <w:b w:val="0"/>
                <w:bCs w:val="0"/>
                <w:kern w:val="2"/>
                <w:bdr w:val="none" w:sz="0" w:space="0" w:color="auto"/>
                <w:lang w:val="en-US" w:eastAsia="en-US"/>
                <w14:ligatures w14:val="standardContextual"/>
              </w:rPr>
              <w:tab/>
            </w:r>
            <w:r w:rsidRPr="00B20414">
              <w:rPr>
                <w:rStyle w:val="Hyperlink"/>
                <w:lang w:val="en-GB"/>
              </w:rPr>
              <w:t>PUBLICATION</w:t>
            </w:r>
            <w:r w:rsidRPr="00B20414">
              <w:rPr>
                <w:webHidden/>
              </w:rPr>
              <w:tab/>
            </w:r>
            <w:r w:rsidRPr="00B20414">
              <w:rPr>
                <w:webHidden/>
              </w:rPr>
              <w:fldChar w:fldCharType="begin"/>
            </w:r>
            <w:r w:rsidRPr="00B20414">
              <w:rPr>
                <w:webHidden/>
              </w:rPr>
              <w:instrText xml:space="preserve"> PAGEREF _Toc203988503 \h </w:instrText>
            </w:r>
            <w:r w:rsidRPr="00B20414">
              <w:rPr>
                <w:webHidden/>
              </w:rPr>
            </w:r>
            <w:r w:rsidRPr="00B20414">
              <w:rPr>
                <w:webHidden/>
              </w:rPr>
              <w:fldChar w:fldCharType="separate"/>
            </w:r>
            <w:r w:rsidR="00C76ECB">
              <w:rPr>
                <w:webHidden/>
              </w:rPr>
              <w:t>24</w:t>
            </w:r>
            <w:r w:rsidRPr="00B20414">
              <w:rPr>
                <w:webHidden/>
              </w:rPr>
              <w:fldChar w:fldCharType="end"/>
            </w:r>
          </w:hyperlink>
        </w:p>
        <w:p w14:paraId="6718C99F" w14:textId="0EDAC416" w:rsidR="00FB6388" w:rsidRDefault="00FB6388">
          <w:r w:rsidRPr="00B20414">
            <w:rPr>
              <w:rFonts w:ascii="Cambria" w:hAnsi="Cambria"/>
              <w:b/>
              <w:bCs/>
              <w:noProof/>
              <w:sz w:val="20"/>
              <w:szCs w:val="20"/>
            </w:rPr>
            <w:fldChar w:fldCharType="end"/>
          </w:r>
        </w:p>
      </w:sdtContent>
    </w:sdt>
    <w:p w14:paraId="423F1D03" w14:textId="4B12E4EF" w:rsidR="00FB6388" w:rsidRDefault="00FB6388">
      <w:pPr>
        <w:spacing w:after="160" w:line="259" w:lineRule="auto"/>
        <w:rPr>
          <w:rFonts w:ascii="Cambria" w:hAnsi="Cambria" w:cs="Calibri"/>
          <w:sz w:val="20"/>
          <w:szCs w:val="20"/>
        </w:rPr>
      </w:pPr>
      <w:r>
        <w:rPr>
          <w:rFonts w:ascii="Cambria" w:hAnsi="Cambria" w:cs="Calibri"/>
          <w:sz w:val="20"/>
          <w:szCs w:val="20"/>
        </w:rPr>
        <w:br w:type="page"/>
      </w:r>
    </w:p>
    <w:p w14:paraId="2EE5863B" w14:textId="77777777" w:rsidR="006E7BF5" w:rsidRPr="00485F6E" w:rsidRDefault="006E7BF5" w:rsidP="005C6984">
      <w:pPr>
        <w:tabs>
          <w:tab w:val="center" w:pos="4680"/>
          <w:tab w:val="left" w:pos="6511"/>
        </w:tabs>
        <w:rPr>
          <w:rFonts w:ascii="Cambria" w:hAnsi="Cambria" w:cs="Calibri"/>
          <w:sz w:val="20"/>
          <w:szCs w:val="20"/>
        </w:rPr>
      </w:pPr>
    </w:p>
    <w:p w14:paraId="5ECF7F67" w14:textId="0B952F56" w:rsidR="009F3A2C" w:rsidRPr="00485F6E" w:rsidRDefault="009F3A2C" w:rsidP="003448BE">
      <w:pPr>
        <w:pStyle w:val="Heading1"/>
        <w:numPr>
          <w:ilvl w:val="0"/>
          <w:numId w:val="26"/>
        </w:numPr>
        <w:rPr>
          <w:bCs/>
          <w:lang w:val="en-US"/>
        </w:rPr>
      </w:pPr>
      <w:bookmarkStart w:id="2" w:name="_Toc40962117"/>
      <w:bookmarkStart w:id="3" w:name="_Toc42679766"/>
      <w:bookmarkStart w:id="4" w:name="_Toc203988477"/>
      <w:r w:rsidRPr="00485F6E">
        <w:rPr>
          <w:lang w:val="en-US"/>
        </w:rPr>
        <w:t>INTRODUC</w:t>
      </w:r>
      <w:r w:rsidR="007E6EDF" w:rsidRPr="00485F6E">
        <w:rPr>
          <w:lang w:val="en-US"/>
        </w:rPr>
        <w:t>TION</w:t>
      </w:r>
      <w:bookmarkEnd w:id="2"/>
      <w:bookmarkEnd w:id="3"/>
      <w:r w:rsidR="00726DE0" w:rsidRPr="008F2B9F">
        <w:rPr>
          <w:rFonts w:ascii="Times New Roman" w:eastAsia="Arial Unicode MS" w:hAnsi="Times New Roman" w:cs="Times New Roman"/>
          <w:b w:val="0"/>
          <w:color w:val="auto"/>
          <w:vertAlign w:val="superscript"/>
          <w:lang w:val="en" w:eastAsia="en-US"/>
        </w:rPr>
        <w:footnoteReference w:id="1"/>
      </w:r>
      <w:bookmarkEnd w:id="4"/>
      <w:r w:rsidRPr="00485F6E">
        <w:rPr>
          <w:lang w:val="en-US"/>
        </w:rPr>
        <w:t xml:space="preserve"> </w:t>
      </w:r>
    </w:p>
    <w:p w14:paraId="59577FBD" w14:textId="77777777" w:rsidR="009F3A2C" w:rsidRPr="00485F6E" w:rsidRDefault="009F3A2C" w:rsidP="009F3A2C">
      <w:pPr>
        <w:rPr>
          <w:rFonts w:ascii="Cambria" w:hAnsi="Cambria"/>
          <w:sz w:val="20"/>
          <w:szCs w:val="20"/>
          <w:lang w:eastAsia="es-ES"/>
        </w:rPr>
      </w:pPr>
    </w:p>
    <w:p w14:paraId="0CCC5007" w14:textId="77777777" w:rsidR="0000305A" w:rsidRPr="00485F6E" w:rsidRDefault="00282C9B" w:rsidP="0012503D">
      <w:pPr>
        <w:pStyle w:val="ListParagraph"/>
        <w:numPr>
          <w:ilvl w:val="0"/>
          <w:numId w:val="2"/>
        </w:numPr>
        <w:tabs>
          <w:tab w:val="left" w:pos="567"/>
        </w:tabs>
        <w:ind w:left="0" w:firstLine="0"/>
        <w:jc w:val="both"/>
        <w:rPr>
          <w:sz w:val="20"/>
          <w:szCs w:val="20"/>
        </w:rPr>
      </w:pPr>
      <w:r w:rsidRPr="00485F6E">
        <w:rPr>
          <w:sz w:val="20"/>
          <w:szCs w:val="20"/>
        </w:rPr>
        <w:t>On May</w:t>
      </w:r>
      <w:r w:rsidR="009F3A2C" w:rsidRPr="00485F6E">
        <w:rPr>
          <w:sz w:val="20"/>
          <w:szCs w:val="20"/>
        </w:rPr>
        <w:t xml:space="preserve"> 1</w:t>
      </w:r>
      <w:r w:rsidR="004A0CFC" w:rsidRPr="00485F6E">
        <w:rPr>
          <w:sz w:val="20"/>
          <w:szCs w:val="20"/>
        </w:rPr>
        <w:t>2</w:t>
      </w:r>
      <w:r w:rsidRPr="00485F6E">
        <w:rPr>
          <w:sz w:val="20"/>
          <w:szCs w:val="20"/>
        </w:rPr>
        <w:t xml:space="preserve">, </w:t>
      </w:r>
      <w:r w:rsidR="009F3A2C" w:rsidRPr="00485F6E">
        <w:rPr>
          <w:sz w:val="20"/>
          <w:szCs w:val="20"/>
        </w:rPr>
        <w:t>2004</w:t>
      </w:r>
      <w:r w:rsidRPr="00485F6E">
        <w:rPr>
          <w:sz w:val="20"/>
          <w:szCs w:val="20"/>
        </w:rPr>
        <w:t>, the Inter-American Commission on Human Rights</w:t>
      </w:r>
      <w:r w:rsidR="00466235" w:rsidRPr="00485F6E">
        <w:rPr>
          <w:sz w:val="20"/>
          <w:szCs w:val="20"/>
        </w:rPr>
        <w:t xml:space="preserve"> (</w:t>
      </w:r>
      <w:r w:rsidRPr="00485F6E">
        <w:rPr>
          <w:sz w:val="20"/>
          <w:szCs w:val="20"/>
        </w:rPr>
        <w:t>hereinafter</w:t>
      </w:r>
      <w:r w:rsidR="00466235" w:rsidRPr="00485F6E">
        <w:rPr>
          <w:sz w:val="20"/>
          <w:szCs w:val="20"/>
        </w:rPr>
        <w:t xml:space="preserve"> “</w:t>
      </w:r>
      <w:r w:rsidRPr="00485F6E">
        <w:rPr>
          <w:sz w:val="20"/>
          <w:szCs w:val="20"/>
        </w:rPr>
        <w:t>the Inter-American Commission,” “the Commission,” or “the IACHR</w:t>
      </w:r>
      <w:r w:rsidR="00466235" w:rsidRPr="00485F6E">
        <w:rPr>
          <w:sz w:val="20"/>
          <w:szCs w:val="20"/>
        </w:rPr>
        <w:t>”) rec</w:t>
      </w:r>
      <w:r w:rsidRPr="00485F6E">
        <w:rPr>
          <w:sz w:val="20"/>
          <w:szCs w:val="20"/>
        </w:rPr>
        <w:t>ei</w:t>
      </w:r>
      <w:r w:rsidR="00D75B03" w:rsidRPr="00485F6E">
        <w:rPr>
          <w:sz w:val="20"/>
          <w:szCs w:val="20"/>
        </w:rPr>
        <w:t>v</w:t>
      </w:r>
      <w:r w:rsidRPr="00485F6E">
        <w:rPr>
          <w:sz w:val="20"/>
          <w:szCs w:val="20"/>
        </w:rPr>
        <w:t>ed a petition filed by Mr.</w:t>
      </w:r>
      <w:r w:rsidR="00CF6CB2" w:rsidRPr="00485F6E">
        <w:rPr>
          <w:sz w:val="20"/>
          <w:szCs w:val="20"/>
        </w:rPr>
        <w:t xml:space="preserve"> </w:t>
      </w:r>
      <w:r w:rsidR="0001225F" w:rsidRPr="00485F6E">
        <w:rPr>
          <w:sz w:val="20"/>
          <w:szCs w:val="20"/>
        </w:rPr>
        <w:t>Arnaldo Hugo Barone</w:t>
      </w:r>
      <w:r w:rsidR="00BD6D28">
        <w:rPr>
          <w:sz w:val="20"/>
          <w:szCs w:val="20"/>
        </w:rPr>
        <w:t>,</w:t>
      </w:r>
      <w:r w:rsidR="001963DB">
        <w:rPr>
          <w:sz w:val="20"/>
          <w:szCs w:val="20"/>
        </w:rPr>
        <w:t xml:space="preserve"> Public Defender</w:t>
      </w:r>
      <w:r w:rsidRPr="00485F6E">
        <w:rPr>
          <w:sz w:val="20"/>
          <w:szCs w:val="20"/>
        </w:rPr>
        <w:t>,</w:t>
      </w:r>
      <w:r w:rsidR="0001225F" w:rsidRPr="00485F6E">
        <w:rPr>
          <w:sz w:val="20"/>
          <w:szCs w:val="20"/>
        </w:rPr>
        <w:t xml:space="preserve"> </w:t>
      </w:r>
      <w:r w:rsidRPr="00485F6E">
        <w:rPr>
          <w:sz w:val="20"/>
          <w:szCs w:val="20"/>
        </w:rPr>
        <w:t>and</w:t>
      </w:r>
      <w:r w:rsidR="0001225F" w:rsidRPr="00485F6E">
        <w:rPr>
          <w:sz w:val="20"/>
          <w:szCs w:val="20"/>
        </w:rPr>
        <w:t xml:space="preserve"> </w:t>
      </w:r>
      <w:r w:rsidRPr="00485F6E">
        <w:rPr>
          <w:sz w:val="20"/>
          <w:szCs w:val="20"/>
        </w:rPr>
        <w:t xml:space="preserve">Mr. </w:t>
      </w:r>
      <w:r w:rsidR="0001225F" w:rsidRPr="00485F6E">
        <w:rPr>
          <w:sz w:val="20"/>
          <w:szCs w:val="20"/>
        </w:rPr>
        <w:t>Jorge Fabricio</w:t>
      </w:r>
      <w:r w:rsidR="0000305A" w:rsidRPr="00485F6E">
        <w:rPr>
          <w:sz w:val="20"/>
          <w:szCs w:val="20"/>
        </w:rPr>
        <w:t xml:space="preserve"> </w:t>
      </w:r>
      <w:r w:rsidR="0001225F" w:rsidRPr="00485F6E">
        <w:rPr>
          <w:sz w:val="20"/>
          <w:szCs w:val="20"/>
        </w:rPr>
        <w:t xml:space="preserve">Benesperi, </w:t>
      </w:r>
      <w:r w:rsidR="001963DB">
        <w:rPr>
          <w:sz w:val="20"/>
          <w:szCs w:val="20"/>
        </w:rPr>
        <w:t>Secretary, of the Public Defense Office</w:t>
      </w:r>
      <w:r w:rsidR="002A45DF">
        <w:rPr>
          <w:sz w:val="20"/>
          <w:szCs w:val="20"/>
        </w:rPr>
        <w:t xml:space="preserve"> of the p</w:t>
      </w:r>
      <w:r w:rsidRPr="00485F6E">
        <w:rPr>
          <w:sz w:val="20"/>
          <w:szCs w:val="20"/>
        </w:rPr>
        <w:t>rovince of Chubut, as the defense attorneys for</w:t>
      </w:r>
      <w:r w:rsidR="0000305A" w:rsidRPr="00485F6E">
        <w:rPr>
          <w:sz w:val="20"/>
          <w:szCs w:val="20"/>
        </w:rPr>
        <w:t xml:space="preserve"> Diego Armando Pacheco</w:t>
      </w:r>
      <w:r w:rsidR="002F1D5F" w:rsidRPr="00485F6E">
        <w:rPr>
          <w:sz w:val="20"/>
          <w:szCs w:val="20"/>
        </w:rPr>
        <w:t xml:space="preserve"> (</w:t>
      </w:r>
      <w:r w:rsidRPr="00485F6E">
        <w:rPr>
          <w:sz w:val="20"/>
          <w:szCs w:val="20"/>
        </w:rPr>
        <w:t>hereinafter “the petitioners). In that brief, the petitioners all</w:t>
      </w:r>
      <w:r w:rsidR="00D75B03" w:rsidRPr="00485F6E">
        <w:rPr>
          <w:sz w:val="20"/>
          <w:szCs w:val="20"/>
        </w:rPr>
        <w:t>e</w:t>
      </w:r>
      <w:r w:rsidRPr="00485F6E">
        <w:rPr>
          <w:sz w:val="20"/>
          <w:szCs w:val="20"/>
        </w:rPr>
        <w:t>ged the international responsibility of the Republic of Argentina</w:t>
      </w:r>
      <w:r w:rsidR="00BF66CB" w:rsidRPr="00485F6E">
        <w:rPr>
          <w:sz w:val="20"/>
          <w:szCs w:val="20"/>
        </w:rPr>
        <w:t xml:space="preserve"> (</w:t>
      </w:r>
      <w:r w:rsidRPr="00485F6E">
        <w:rPr>
          <w:sz w:val="20"/>
          <w:szCs w:val="20"/>
        </w:rPr>
        <w:t>hereinafter “the state of Argentina,” “the state,” or</w:t>
      </w:r>
      <w:r w:rsidR="00BF66CB" w:rsidRPr="00485F6E">
        <w:rPr>
          <w:sz w:val="20"/>
          <w:szCs w:val="20"/>
        </w:rPr>
        <w:t xml:space="preserve"> “Argentina”) </w:t>
      </w:r>
      <w:r w:rsidRPr="00485F6E">
        <w:rPr>
          <w:sz w:val="20"/>
          <w:szCs w:val="20"/>
        </w:rPr>
        <w:t>for allegedly violating Mr. Pacheco’s right to appeal his conviction in criminal proceedings in which he was sentenced to four years prison for an offense he had committed when he was 17 years old</w:t>
      </w:r>
      <w:r w:rsidR="00D07793" w:rsidRPr="00485F6E">
        <w:rPr>
          <w:sz w:val="20"/>
          <w:szCs w:val="20"/>
        </w:rPr>
        <w:t xml:space="preserve">. </w:t>
      </w:r>
    </w:p>
    <w:p w14:paraId="1526D245" w14:textId="77777777" w:rsidR="008C0CD0" w:rsidRPr="00485F6E" w:rsidRDefault="008C0CD0" w:rsidP="0012503D">
      <w:pPr>
        <w:pStyle w:val="ListParagraph"/>
        <w:tabs>
          <w:tab w:val="left" w:pos="567"/>
        </w:tabs>
        <w:ind w:left="0"/>
        <w:jc w:val="both"/>
        <w:rPr>
          <w:sz w:val="20"/>
          <w:szCs w:val="20"/>
        </w:rPr>
      </w:pPr>
    </w:p>
    <w:p w14:paraId="0D5D5D9D" w14:textId="77777777" w:rsidR="00697B99" w:rsidRPr="00485F6E" w:rsidRDefault="00282C9B" w:rsidP="0012503D">
      <w:pPr>
        <w:pStyle w:val="ListParagraph"/>
        <w:numPr>
          <w:ilvl w:val="0"/>
          <w:numId w:val="2"/>
        </w:numPr>
        <w:tabs>
          <w:tab w:val="left" w:pos="567"/>
        </w:tabs>
        <w:ind w:left="0" w:firstLine="0"/>
        <w:jc w:val="both"/>
        <w:rPr>
          <w:sz w:val="20"/>
          <w:szCs w:val="20"/>
        </w:rPr>
      </w:pPr>
      <w:r w:rsidRPr="00485F6E">
        <w:rPr>
          <w:sz w:val="20"/>
          <w:szCs w:val="20"/>
        </w:rPr>
        <w:t xml:space="preserve">On January </w:t>
      </w:r>
      <w:r w:rsidR="00364B78" w:rsidRPr="00485F6E">
        <w:rPr>
          <w:sz w:val="20"/>
          <w:szCs w:val="20"/>
        </w:rPr>
        <w:t>22</w:t>
      </w:r>
      <w:r w:rsidRPr="00485F6E">
        <w:rPr>
          <w:sz w:val="20"/>
          <w:szCs w:val="20"/>
        </w:rPr>
        <w:t>,</w:t>
      </w:r>
      <w:r w:rsidR="00364B78" w:rsidRPr="00485F6E">
        <w:rPr>
          <w:sz w:val="20"/>
          <w:szCs w:val="20"/>
        </w:rPr>
        <w:t xml:space="preserve"> 2018</w:t>
      </w:r>
      <w:r w:rsidRPr="00485F6E">
        <w:rPr>
          <w:sz w:val="20"/>
          <w:szCs w:val="20"/>
        </w:rPr>
        <w:t>, the Commission notified the parties of its decision to appl</w:t>
      </w:r>
      <w:r w:rsidR="00D75B03" w:rsidRPr="00485F6E">
        <w:rPr>
          <w:sz w:val="20"/>
          <w:szCs w:val="20"/>
        </w:rPr>
        <w:t>y</w:t>
      </w:r>
      <w:r w:rsidRPr="00485F6E">
        <w:rPr>
          <w:sz w:val="20"/>
          <w:szCs w:val="20"/>
        </w:rPr>
        <w:t xml:space="preserve"> Article 36(3) of its Rules of Procedure</w:t>
      </w:r>
      <w:r w:rsidR="00364B78" w:rsidRPr="00485F6E">
        <w:rPr>
          <w:sz w:val="20"/>
          <w:szCs w:val="20"/>
        </w:rPr>
        <w:t xml:space="preserve"> </w:t>
      </w:r>
      <w:r w:rsidR="00D75B03" w:rsidRPr="00485F6E">
        <w:rPr>
          <w:sz w:val="20"/>
          <w:szCs w:val="20"/>
        </w:rPr>
        <w:t>because the petition</w:t>
      </w:r>
      <w:r w:rsidR="00BF7EC7" w:rsidRPr="00485F6E">
        <w:rPr>
          <w:sz w:val="20"/>
          <w:szCs w:val="20"/>
        </w:rPr>
        <w:t xml:space="preserve"> met the criteria set forth in its Resolution 1/16</w:t>
      </w:r>
      <w:r w:rsidR="00892D08">
        <w:rPr>
          <w:sz w:val="20"/>
          <w:szCs w:val="20"/>
        </w:rPr>
        <w:t>. It also</w:t>
      </w:r>
      <w:r w:rsidR="00BF7EC7" w:rsidRPr="00485F6E">
        <w:rPr>
          <w:sz w:val="20"/>
          <w:szCs w:val="20"/>
        </w:rPr>
        <w:t xml:space="preserve"> indicated that it was at the disposal of the parties to work towards reaching a friendly settlement. The parties had abided by the </w:t>
      </w:r>
      <w:r w:rsidR="00892D08">
        <w:rPr>
          <w:sz w:val="20"/>
          <w:szCs w:val="20"/>
        </w:rPr>
        <w:t>statutory</w:t>
      </w:r>
      <w:r w:rsidR="00BF7EC7" w:rsidRPr="00485F6E">
        <w:rPr>
          <w:sz w:val="20"/>
          <w:szCs w:val="20"/>
        </w:rPr>
        <w:t xml:space="preserve"> time-limits to submit their additional observations on the merits. All</w:t>
      </w:r>
      <w:r w:rsidR="00892D08">
        <w:rPr>
          <w:sz w:val="20"/>
          <w:szCs w:val="20"/>
        </w:rPr>
        <w:t xml:space="preserve"> of</w:t>
      </w:r>
      <w:r w:rsidR="00BF7EC7" w:rsidRPr="00485F6E">
        <w:rPr>
          <w:sz w:val="20"/>
          <w:szCs w:val="20"/>
        </w:rPr>
        <w:t xml:space="preserve"> the information received was duly forwarded to the respective parties</w:t>
      </w:r>
      <w:r w:rsidR="00817E8C" w:rsidRPr="00485F6E">
        <w:rPr>
          <w:sz w:val="20"/>
          <w:szCs w:val="20"/>
        </w:rPr>
        <w:t xml:space="preserve">. </w:t>
      </w:r>
    </w:p>
    <w:p w14:paraId="51DCFA85" w14:textId="77777777" w:rsidR="00697B99" w:rsidRPr="00485F6E" w:rsidRDefault="00697B99" w:rsidP="00697B99">
      <w:pPr>
        <w:jc w:val="both"/>
        <w:rPr>
          <w:sz w:val="20"/>
          <w:szCs w:val="20"/>
        </w:rPr>
      </w:pPr>
    </w:p>
    <w:p w14:paraId="258399C8" w14:textId="77777777" w:rsidR="007F17F3" w:rsidRPr="00485F6E" w:rsidRDefault="00697B99" w:rsidP="003448BE">
      <w:pPr>
        <w:pStyle w:val="Heading1"/>
        <w:numPr>
          <w:ilvl w:val="0"/>
          <w:numId w:val="26"/>
        </w:numPr>
        <w:rPr>
          <w:lang w:val="en-US"/>
        </w:rPr>
      </w:pPr>
      <w:bookmarkStart w:id="5" w:name="_Toc40962118"/>
      <w:bookmarkStart w:id="6" w:name="_Toc42679767"/>
      <w:bookmarkStart w:id="7" w:name="_Toc203988478"/>
      <w:r w:rsidRPr="00485F6E">
        <w:rPr>
          <w:lang w:val="en-US"/>
        </w:rPr>
        <w:t>A</w:t>
      </w:r>
      <w:r w:rsidR="00F04732" w:rsidRPr="00485F6E">
        <w:rPr>
          <w:lang w:val="en-US"/>
        </w:rPr>
        <w:t>L</w:t>
      </w:r>
      <w:r w:rsidR="00BF7EC7" w:rsidRPr="00485F6E">
        <w:rPr>
          <w:lang w:val="en-US"/>
        </w:rPr>
        <w:t>LEGATIONS OF THE PARTIES</w:t>
      </w:r>
      <w:bookmarkEnd w:id="5"/>
      <w:bookmarkEnd w:id="6"/>
      <w:bookmarkEnd w:id="7"/>
    </w:p>
    <w:p w14:paraId="44AF62DA" w14:textId="77777777" w:rsidR="007F17F3" w:rsidRPr="00485F6E" w:rsidRDefault="007F17F3" w:rsidP="00D04EF0">
      <w:pPr>
        <w:jc w:val="both"/>
        <w:rPr>
          <w:sz w:val="20"/>
          <w:szCs w:val="20"/>
          <w:lang w:eastAsia="es-ES"/>
        </w:rPr>
      </w:pPr>
    </w:p>
    <w:p w14:paraId="17700CD4" w14:textId="77777777" w:rsidR="007F17F3" w:rsidRPr="00485F6E" w:rsidRDefault="007F17F3" w:rsidP="00781766">
      <w:pPr>
        <w:pStyle w:val="Heading2"/>
        <w:numPr>
          <w:ilvl w:val="0"/>
          <w:numId w:val="25"/>
        </w:numPr>
        <w:rPr>
          <w:lang w:val="en-US"/>
        </w:rPr>
      </w:pPr>
      <w:bookmarkStart w:id="8" w:name="_Toc40962119"/>
      <w:bookmarkStart w:id="9" w:name="_Toc42679768"/>
      <w:bookmarkStart w:id="10" w:name="_Toc203988479"/>
      <w:r w:rsidRPr="00781766">
        <w:t>P</w:t>
      </w:r>
      <w:r w:rsidR="00BF7EC7" w:rsidRPr="00781766">
        <w:t>etitioners</w:t>
      </w:r>
      <w:bookmarkEnd w:id="8"/>
      <w:bookmarkEnd w:id="9"/>
      <w:bookmarkEnd w:id="10"/>
      <w:r w:rsidRPr="00485F6E">
        <w:rPr>
          <w:lang w:val="en-US"/>
        </w:rPr>
        <w:t xml:space="preserve"> </w:t>
      </w:r>
    </w:p>
    <w:p w14:paraId="40A8ED5E" w14:textId="77777777" w:rsidR="00697B99" w:rsidRPr="00485F6E" w:rsidRDefault="00697B99" w:rsidP="0012503D">
      <w:pPr>
        <w:tabs>
          <w:tab w:val="left" w:pos="567"/>
        </w:tabs>
        <w:jc w:val="both"/>
        <w:rPr>
          <w:rFonts w:ascii="Cambria" w:hAnsi="Cambria"/>
          <w:sz w:val="20"/>
          <w:szCs w:val="20"/>
        </w:rPr>
      </w:pPr>
    </w:p>
    <w:p w14:paraId="2BA70C83" w14:textId="77777777" w:rsidR="00F539BC" w:rsidRPr="00485F6E" w:rsidRDefault="00BF7EC7" w:rsidP="0012503D">
      <w:pPr>
        <w:pStyle w:val="ListParagraph"/>
        <w:numPr>
          <w:ilvl w:val="0"/>
          <w:numId w:val="2"/>
        </w:numPr>
        <w:tabs>
          <w:tab w:val="left" w:pos="567"/>
        </w:tabs>
        <w:ind w:left="0" w:firstLine="0"/>
        <w:jc w:val="both"/>
        <w:rPr>
          <w:sz w:val="20"/>
          <w:szCs w:val="20"/>
        </w:rPr>
      </w:pPr>
      <w:r w:rsidRPr="00485F6E">
        <w:rPr>
          <w:sz w:val="20"/>
          <w:szCs w:val="20"/>
        </w:rPr>
        <w:t>First of all, the petitioners reported that, on the basis of the judgment of May 19, 2000, the First Chamber of the Criminal Court of the Judicia</w:t>
      </w:r>
      <w:r w:rsidR="00891660">
        <w:rPr>
          <w:sz w:val="20"/>
          <w:szCs w:val="20"/>
        </w:rPr>
        <w:t>l District of Comodoro Rivada</w:t>
      </w:r>
      <w:r w:rsidRPr="00485F6E">
        <w:rPr>
          <w:sz w:val="20"/>
          <w:szCs w:val="20"/>
        </w:rPr>
        <w:t>v</w:t>
      </w:r>
      <w:r w:rsidR="00891660">
        <w:rPr>
          <w:sz w:val="20"/>
          <w:szCs w:val="20"/>
        </w:rPr>
        <w:t>i</w:t>
      </w:r>
      <w:r w:rsidRPr="00485F6E">
        <w:rPr>
          <w:sz w:val="20"/>
          <w:szCs w:val="20"/>
        </w:rPr>
        <w:t xml:space="preserve">a had ruled that Diego Armando Pacheco was criminally </w:t>
      </w:r>
      <w:r w:rsidR="00D11FE3">
        <w:rPr>
          <w:sz w:val="20"/>
          <w:szCs w:val="20"/>
        </w:rPr>
        <w:t>culpable</w:t>
      </w:r>
      <w:r w:rsidRPr="00485F6E">
        <w:rPr>
          <w:sz w:val="20"/>
          <w:szCs w:val="20"/>
        </w:rPr>
        <w:t xml:space="preserve"> for the crime of </w:t>
      </w:r>
      <w:r w:rsidR="00EA7F00">
        <w:rPr>
          <w:sz w:val="20"/>
          <w:szCs w:val="20"/>
        </w:rPr>
        <w:t>manslaughter.</w:t>
      </w:r>
      <w:r w:rsidRPr="00485F6E">
        <w:rPr>
          <w:sz w:val="20"/>
          <w:szCs w:val="20"/>
        </w:rPr>
        <w:t xml:space="preserve"> They al</w:t>
      </w:r>
      <w:r w:rsidR="009F2A6F" w:rsidRPr="00485F6E">
        <w:rPr>
          <w:sz w:val="20"/>
          <w:szCs w:val="20"/>
        </w:rPr>
        <w:t>so stated that Mr.</w:t>
      </w:r>
      <w:r w:rsidR="00892D08">
        <w:rPr>
          <w:sz w:val="20"/>
          <w:szCs w:val="20"/>
        </w:rPr>
        <w:t xml:space="preserve"> Pacheco was required to </w:t>
      </w:r>
      <w:r w:rsidR="00582937" w:rsidRPr="00485F6E">
        <w:rPr>
          <w:sz w:val="20"/>
          <w:szCs w:val="20"/>
        </w:rPr>
        <w:t>undergo remedial custodial treatment</w:t>
      </w:r>
      <w:r w:rsidRPr="00485F6E">
        <w:rPr>
          <w:sz w:val="20"/>
          <w:szCs w:val="20"/>
        </w:rPr>
        <w:t xml:space="preserve"> until he became of legal age in conformity with Law</w:t>
      </w:r>
      <w:r w:rsidR="00DE32EB" w:rsidRPr="00485F6E">
        <w:rPr>
          <w:sz w:val="20"/>
          <w:szCs w:val="20"/>
        </w:rPr>
        <w:t xml:space="preserve"> 22.278.</w:t>
      </w:r>
    </w:p>
    <w:p w14:paraId="4297BD81" w14:textId="77777777" w:rsidR="008C0CD0" w:rsidRPr="00485F6E" w:rsidRDefault="008C0CD0" w:rsidP="0012503D">
      <w:pPr>
        <w:pStyle w:val="ListParagraph"/>
        <w:tabs>
          <w:tab w:val="left" w:pos="567"/>
        </w:tabs>
        <w:ind w:left="0"/>
        <w:jc w:val="both"/>
        <w:rPr>
          <w:sz w:val="20"/>
          <w:szCs w:val="20"/>
        </w:rPr>
      </w:pPr>
    </w:p>
    <w:p w14:paraId="524DD561" w14:textId="77777777" w:rsidR="003D1561" w:rsidRPr="00485F6E" w:rsidRDefault="00BF7EC7" w:rsidP="0012503D">
      <w:pPr>
        <w:pStyle w:val="ListParagraph"/>
        <w:numPr>
          <w:ilvl w:val="0"/>
          <w:numId w:val="2"/>
        </w:numPr>
        <w:tabs>
          <w:tab w:val="left" w:pos="567"/>
        </w:tabs>
        <w:ind w:left="0" w:firstLine="0"/>
        <w:jc w:val="both"/>
        <w:rPr>
          <w:sz w:val="20"/>
          <w:szCs w:val="20"/>
        </w:rPr>
      </w:pPr>
      <w:r w:rsidRPr="00485F6E">
        <w:rPr>
          <w:sz w:val="20"/>
          <w:szCs w:val="20"/>
        </w:rPr>
        <w:t xml:space="preserve">Along this same line, they indicated that, on September </w:t>
      </w:r>
      <w:r w:rsidR="003D1561" w:rsidRPr="00485F6E">
        <w:rPr>
          <w:sz w:val="20"/>
          <w:szCs w:val="20"/>
        </w:rPr>
        <w:t>17</w:t>
      </w:r>
      <w:r w:rsidRPr="00485F6E">
        <w:rPr>
          <w:sz w:val="20"/>
          <w:szCs w:val="20"/>
        </w:rPr>
        <w:t>,</w:t>
      </w:r>
      <w:r w:rsidR="003D1561" w:rsidRPr="00485F6E">
        <w:rPr>
          <w:sz w:val="20"/>
          <w:szCs w:val="20"/>
        </w:rPr>
        <w:t xml:space="preserve"> 2002</w:t>
      </w:r>
      <w:r w:rsidRPr="00485F6E">
        <w:rPr>
          <w:sz w:val="20"/>
          <w:szCs w:val="20"/>
        </w:rPr>
        <w:t xml:space="preserve">, the First Chamber of the Criminal District Court decided to sentence Diego Armando Pacheco to four years prison in connection with its judgment of criminal </w:t>
      </w:r>
      <w:r w:rsidR="00D11FE3">
        <w:rPr>
          <w:sz w:val="20"/>
          <w:szCs w:val="20"/>
        </w:rPr>
        <w:t>culpability</w:t>
      </w:r>
      <w:r w:rsidRPr="00485F6E">
        <w:rPr>
          <w:sz w:val="20"/>
          <w:szCs w:val="20"/>
        </w:rPr>
        <w:t xml:space="preserve"> previously issued against him, when considering, u</w:t>
      </w:r>
      <w:r w:rsidR="00697547" w:rsidRPr="00485F6E">
        <w:rPr>
          <w:sz w:val="20"/>
          <w:szCs w:val="20"/>
        </w:rPr>
        <w:t xml:space="preserve">nder other circumstances, that </w:t>
      </w:r>
      <w:r w:rsidRPr="00485F6E">
        <w:rPr>
          <w:sz w:val="20"/>
          <w:szCs w:val="20"/>
        </w:rPr>
        <w:t>he had not shown the necessary responsibility</w:t>
      </w:r>
      <w:r w:rsidR="003D1561" w:rsidRPr="00485F6E">
        <w:rPr>
          <w:sz w:val="20"/>
          <w:szCs w:val="20"/>
        </w:rPr>
        <w:t xml:space="preserve"> </w:t>
      </w:r>
      <w:r w:rsidR="00EC3E39" w:rsidRPr="00485F6E">
        <w:rPr>
          <w:sz w:val="20"/>
          <w:szCs w:val="20"/>
        </w:rPr>
        <w:t xml:space="preserve">in </w:t>
      </w:r>
      <w:r w:rsidR="00582937" w:rsidRPr="00485F6E">
        <w:rPr>
          <w:sz w:val="20"/>
          <w:szCs w:val="20"/>
        </w:rPr>
        <w:t>remedial custodial treatment</w:t>
      </w:r>
      <w:r w:rsidR="009712E3" w:rsidRPr="00485F6E">
        <w:rPr>
          <w:sz w:val="20"/>
          <w:szCs w:val="20"/>
        </w:rPr>
        <w:t>.</w:t>
      </w:r>
    </w:p>
    <w:p w14:paraId="0EFFCA13" w14:textId="77777777" w:rsidR="008C0CD0" w:rsidRPr="00485F6E" w:rsidRDefault="008C0CD0" w:rsidP="0012503D">
      <w:pPr>
        <w:pStyle w:val="ListParagraph"/>
        <w:tabs>
          <w:tab w:val="left" w:pos="567"/>
        </w:tabs>
        <w:ind w:left="0"/>
        <w:jc w:val="both"/>
        <w:rPr>
          <w:sz w:val="20"/>
          <w:szCs w:val="20"/>
        </w:rPr>
      </w:pPr>
    </w:p>
    <w:p w14:paraId="05F7FA98" w14:textId="77777777" w:rsidR="00EE3E06" w:rsidRPr="00485F6E" w:rsidRDefault="00EC3E39" w:rsidP="0012503D">
      <w:pPr>
        <w:pStyle w:val="ListParagraph"/>
        <w:numPr>
          <w:ilvl w:val="0"/>
          <w:numId w:val="2"/>
        </w:numPr>
        <w:tabs>
          <w:tab w:val="left" w:pos="567"/>
        </w:tabs>
        <w:ind w:left="0" w:firstLine="0"/>
        <w:jc w:val="both"/>
        <w:rPr>
          <w:sz w:val="20"/>
          <w:szCs w:val="20"/>
        </w:rPr>
      </w:pPr>
      <w:r w:rsidRPr="00485F6E">
        <w:rPr>
          <w:sz w:val="20"/>
          <w:szCs w:val="20"/>
        </w:rPr>
        <w:t>The petitioners stated that this sentence had been arbitrary, absurd, and devoid of substantiation and breached the petitioner’s rights as enshrined in the Convention on the Rights of the Child</w:t>
      </w:r>
      <w:r w:rsidR="00EE3E06" w:rsidRPr="00485F6E">
        <w:rPr>
          <w:sz w:val="20"/>
          <w:szCs w:val="20"/>
        </w:rPr>
        <w:t xml:space="preserve">. </w:t>
      </w:r>
      <w:r w:rsidR="00E8513E" w:rsidRPr="00485F6E">
        <w:rPr>
          <w:sz w:val="20"/>
          <w:szCs w:val="20"/>
        </w:rPr>
        <w:t>Along that line, they argued that the reasons why Pacheco was sometimes unable to attend the</w:t>
      </w:r>
      <w:r w:rsidR="00582937" w:rsidRPr="00485F6E">
        <w:rPr>
          <w:sz w:val="20"/>
          <w:szCs w:val="20"/>
        </w:rPr>
        <w:t xml:space="preserve"> remedial custodial</w:t>
      </w:r>
      <w:r w:rsidR="00E8513E" w:rsidRPr="00485F6E">
        <w:rPr>
          <w:sz w:val="20"/>
          <w:szCs w:val="20"/>
        </w:rPr>
        <w:t xml:space="preserve"> treatment that was </w:t>
      </w:r>
      <w:r w:rsidR="00582937" w:rsidRPr="00485F6E">
        <w:rPr>
          <w:sz w:val="20"/>
          <w:szCs w:val="20"/>
        </w:rPr>
        <w:t>ordered</w:t>
      </w:r>
      <w:r w:rsidR="00E8513E" w:rsidRPr="00485F6E">
        <w:rPr>
          <w:sz w:val="20"/>
          <w:szCs w:val="20"/>
        </w:rPr>
        <w:t xml:space="preserve"> was because of volunteer and materia</w:t>
      </w:r>
      <w:r w:rsidR="00582937" w:rsidRPr="00485F6E">
        <w:rPr>
          <w:sz w:val="20"/>
          <w:szCs w:val="20"/>
        </w:rPr>
        <w:t xml:space="preserve">l deficiencies and </w:t>
      </w:r>
      <w:r w:rsidR="00E8513E" w:rsidRPr="00485F6E">
        <w:rPr>
          <w:sz w:val="20"/>
          <w:szCs w:val="20"/>
        </w:rPr>
        <w:t xml:space="preserve">failures of the state, which should have provided the minimum facilities for him to </w:t>
      </w:r>
      <w:r w:rsidR="00582937" w:rsidRPr="00485F6E">
        <w:rPr>
          <w:sz w:val="20"/>
          <w:szCs w:val="20"/>
        </w:rPr>
        <w:t>undergo</w:t>
      </w:r>
      <w:r w:rsidR="00892D08">
        <w:rPr>
          <w:sz w:val="20"/>
          <w:szCs w:val="20"/>
        </w:rPr>
        <w:t xml:space="preserve"> treatment and </w:t>
      </w:r>
      <w:r w:rsidR="00E8513E" w:rsidRPr="00485F6E">
        <w:rPr>
          <w:sz w:val="20"/>
          <w:szCs w:val="20"/>
        </w:rPr>
        <w:t>did not do so.</w:t>
      </w:r>
      <w:r w:rsidR="00F43277" w:rsidRPr="00485F6E">
        <w:rPr>
          <w:sz w:val="20"/>
          <w:szCs w:val="20"/>
        </w:rPr>
        <w:t xml:space="preserve"> </w:t>
      </w:r>
    </w:p>
    <w:p w14:paraId="15555BD5" w14:textId="77777777" w:rsidR="008C0CD0" w:rsidRPr="00485F6E" w:rsidRDefault="008C0CD0" w:rsidP="0012503D">
      <w:pPr>
        <w:pStyle w:val="ListParagraph"/>
        <w:tabs>
          <w:tab w:val="left" w:pos="567"/>
        </w:tabs>
        <w:ind w:left="0"/>
        <w:jc w:val="both"/>
        <w:rPr>
          <w:sz w:val="20"/>
          <w:szCs w:val="20"/>
        </w:rPr>
      </w:pPr>
    </w:p>
    <w:p w14:paraId="06B0C037" w14:textId="77777777" w:rsidR="008C0CD0" w:rsidRPr="00485F6E" w:rsidRDefault="009F2A6F" w:rsidP="0012503D">
      <w:pPr>
        <w:pStyle w:val="ListParagraph"/>
        <w:numPr>
          <w:ilvl w:val="0"/>
          <w:numId w:val="2"/>
        </w:numPr>
        <w:tabs>
          <w:tab w:val="left" w:pos="567"/>
        </w:tabs>
        <w:ind w:left="0" w:firstLine="0"/>
        <w:jc w:val="both"/>
        <w:rPr>
          <w:sz w:val="20"/>
          <w:szCs w:val="20"/>
        </w:rPr>
      </w:pPr>
      <w:r w:rsidRPr="00485F6E">
        <w:rPr>
          <w:sz w:val="20"/>
          <w:szCs w:val="20"/>
        </w:rPr>
        <w:t xml:space="preserve">Furthermore, regarding the right to appeal a judgment of conviction, the petitioners reported that, with respect to the judgment of September 17, 2002, two </w:t>
      </w:r>
      <w:r w:rsidR="00440207" w:rsidRPr="00485F6E">
        <w:rPr>
          <w:sz w:val="20"/>
          <w:szCs w:val="20"/>
        </w:rPr>
        <w:t xml:space="preserve">cassation </w:t>
      </w:r>
      <w:r w:rsidR="00B324AF" w:rsidRPr="00485F6E">
        <w:rPr>
          <w:sz w:val="20"/>
          <w:szCs w:val="20"/>
        </w:rPr>
        <w:t xml:space="preserve">appeals were filed and ruled inadmissible by the Superior Court of Justice of Chubut on December 16, 2002. The petitioners contended that, to issue said ruling, the Superior Court argued that the law only permitted the </w:t>
      </w:r>
      <w:r w:rsidR="00440207" w:rsidRPr="00485F6E">
        <w:rPr>
          <w:sz w:val="20"/>
          <w:szCs w:val="20"/>
        </w:rPr>
        <w:t>court of cassation</w:t>
      </w:r>
      <w:r w:rsidR="00B324AF" w:rsidRPr="00485F6E">
        <w:rPr>
          <w:sz w:val="20"/>
          <w:szCs w:val="20"/>
        </w:rPr>
        <w:t xml:space="preserve"> to </w:t>
      </w:r>
      <w:r w:rsidR="00440207" w:rsidRPr="00485F6E">
        <w:rPr>
          <w:sz w:val="20"/>
          <w:szCs w:val="20"/>
        </w:rPr>
        <w:t>interpret the law underlying a</w:t>
      </w:r>
      <w:r w:rsidR="00B324AF" w:rsidRPr="00485F6E">
        <w:rPr>
          <w:sz w:val="20"/>
          <w:szCs w:val="20"/>
        </w:rPr>
        <w:t xml:space="preserve"> judgment of conviction </w:t>
      </w:r>
      <w:r w:rsidR="00440207" w:rsidRPr="00485F6E">
        <w:rPr>
          <w:sz w:val="20"/>
          <w:szCs w:val="20"/>
        </w:rPr>
        <w:t xml:space="preserve">but not to re-examine the facts </w:t>
      </w:r>
      <w:r w:rsidR="00B324AF" w:rsidRPr="00485F6E">
        <w:rPr>
          <w:sz w:val="20"/>
          <w:szCs w:val="20"/>
        </w:rPr>
        <w:t>of the case. As a result, the petitioners deemed that th</w:t>
      </w:r>
      <w:r w:rsidR="00440207" w:rsidRPr="00485F6E">
        <w:rPr>
          <w:sz w:val="20"/>
          <w:szCs w:val="20"/>
        </w:rPr>
        <w:t>e above-mentioned judgment was</w:t>
      </w:r>
      <w:r w:rsidR="00B324AF" w:rsidRPr="00485F6E">
        <w:rPr>
          <w:sz w:val="20"/>
          <w:szCs w:val="20"/>
        </w:rPr>
        <w:t xml:space="preserve"> tantamount to an </w:t>
      </w:r>
      <w:r w:rsidR="00B324AF" w:rsidRPr="00485F6E">
        <w:rPr>
          <w:i/>
          <w:sz w:val="20"/>
          <w:szCs w:val="20"/>
        </w:rPr>
        <w:t>in limine</w:t>
      </w:r>
      <w:r w:rsidR="000E37F4" w:rsidRPr="00485F6E">
        <w:rPr>
          <w:sz w:val="20"/>
          <w:szCs w:val="20"/>
        </w:rPr>
        <w:t xml:space="preserve"> dismissal</w:t>
      </w:r>
      <w:r w:rsidR="00B324AF" w:rsidRPr="00485F6E">
        <w:rPr>
          <w:sz w:val="20"/>
          <w:szCs w:val="20"/>
        </w:rPr>
        <w:t xml:space="preserve"> of the appeal</w:t>
      </w:r>
      <w:r w:rsidR="00663A5B" w:rsidRPr="00485F6E">
        <w:rPr>
          <w:sz w:val="20"/>
          <w:szCs w:val="20"/>
        </w:rPr>
        <w:t xml:space="preserve">. </w:t>
      </w:r>
    </w:p>
    <w:p w14:paraId="45CABC8C" w14:textId="77777777" w:rsidR="008C0CD0" w:rsidRPr="00485F6E" w:rsidRDefault="008C0CD0" w:rsidP="0012503D">
      <w:pPr>
        <w:pStyle w:val="ListParagraph"/>
        <w:tabs>
          <w:tab w:val="left" w:pos="567"/>
        </w:tabs>
        <w:ind w:left="0"/>
        <w:jc w:val="both"/>
        <w:rPr>
          <w:sz w:val="20"/>
          <w:szCs w:val="20"/>
        </w:rPr>
      </w:pPr>
    </w:p>
    <w:p w14:paraId="0DB0140A" w14:textId="77777777" w:rsidR="00DF19E6" w:rsidRPr="00485F6E" w:rsidRDefault="00440207" w:rsidP="0012503D">
      <w:pPr>
        <w:pStyle w:val="ListParagraph"/>
        <w:numPr>
          <w:ilvl w:val="0"/>
          <w:numId w:val="2"/>
        </w:numPr>
        <w:tabs>
          <w:tab w:val="left" w:pos="567"/>
        </w:tabs>
        <w:ind w:left="0" w:firstLine="0"/>
        <w:jc w:val="both"/>
        <w:rPr>
          <w:sz w:val="20"/>
          <w:szCs w:val="20"/>
        </w:rPr>
      </w:pPr>
      <w:r w:rsidRPr="00485F6E">
        <w:rPr>
          <w:sz w:val="20"/>
          <w:szCs w:val="20"/>
        </w:rPr>
        <w:t xml:space="preserve">The petitioners added that, in view of the ruling dismissing the cassation appeals, </w:t>
      </w:r>
      <w:r w:rsidR="00CF6A89">
        <w:rPr>
          <w:sz w:val="20"/>
          <w:szCs w:val="20"/>
        </w:rPr>
        <w:t xml:space="preserve">an </w:t>
      </w:r>
      <w:r w:rsidR="00F64F34">
        <w:rPr>
          <w:sz w:val="20"/>
          <w:szCs w:val="20"/>
        </w:rPr>
        <w:t>special federal appeal</w:t>
      </w:r>
      <w:r w:rsidRPr="00485F6E">
        <w:rPr>
          <w:sz w:val="20"/>
          <w:szCs w:val="20"/>
        </w:rPr>
        <w:t xml:space="preserve"> was filed. Nevertheless, they reported that, on June 30, 2003, the Superior Court of Justice of Chubut turned down this appeal because it had not met the requirements for admissibility. They pointed out that, as a result of the above, a complaint was filed, which was dismissed on November 11, 2003 by the</w:t>
      </w:r>
      <w:r w:rsidR="009B76CB">
        <w:rPr>
          <w:sz w:val="20"/>
          <w:szCs w:val="20"/>
        </w:rPr>
        <w:t xml:space="preserve"> Federal</w:t>
      </w:r>
      <w:r w:rsidRPr="00485F6E">
        <w:rPr>
          <w:sz w:val="20"/>
          <w:szCs w:val="20"/>
        </w:rPr>
        <w:t xml:space="preserve"> Supreme </w:t>
      </w:r>
      <w:r w:rsidR="00892D08">
        <w:rPr>
          <w:sz w:val="20"/>
          <w:szCs w:val="20"/>
        </w:rPr>
        <w:t>Court of Justice</w:t>
      </w:r>
      <w:r w:rsidRPr="00485F6E">
        <w:rPr>
          <w:sz w:val="20"/>
          <w:szCs w:val="20"/>
        </w:rPr>
        <w:t xml:space="preserve"> because it had</w:t>
      </w:r>
      <w:r w:rsidR="00892D08">
        <w:rPr>
          <w:sz w:val="20"/>
          <w:szCs w:val="20"/>
        </w:rPr>
        <w:t xml:space="preserve"> not</w:t>
      </w:r>
      <w:r w:rsidRPr="00485F6E">
        <w:rPr>
          <w:sz w:val="20"/>
          <w:szCs w:val="20"/>
        </w:rPr>
        <w:t xml:space="preserve"> been filed </w:t>
      </w:r>
      <w:r w:rsidR="00892D08">
        <w:rPr>
          <w:sz w:val="20"/>
          <w:szCs w:val="20"/>
        </w:rPr>
        <w:t>within</w:t>
      </w:r>
      <w:r w:rsidRPr="00485F6E">
        <w:rPr>
          <w:sz w:val="20"/>
          <w:szCs w:val="20"/>
        </w:rPr>
        <w:t xml:space="preserve"> statutory time-limits.</w:t>
      </w:r>
      <w:r w:rsidR="00B26320" w:rsidRPr="00485F6E">
        <w:rPr>
          <w:sz w:val="20"/>
          <w:szCs w:val="20"/>
        </w:rPr>
        <w:t xml:space="preserve"> </w:t>
      </w:r>
    </w:p>
    <w:p w14:paraId="36FD7A8E" w14:textId="77777777" w:rsidR="001539A3" w:rsidRPr="00485F6E" w:rsidRDefault="001539A3" w:rsidP="0012503D">
      <w:pPr>
        <w:pStyle w:val="ListParagraph"/>
        <w:tabs>
          <w:tab w:val="left" w:pos="567"/>
        </w:tabs>
        <w:ind w:left="0"/>
        <w:jc w:val="both"/>
        <w:rPr>
          <w:sz w:val="20"/>
          <w:szCs w:val="20"/>
        </w:rPr>
      </w:pPr>
    </w:p>
    <w:p w14:paraId="355378E5" w14:textId="77777777" w:rsidR="001E692C" w:rsidRPr="00485F6E" w:rsidRDefault="00440207" w:rsidP="0012503D">
      <w:pPr>
        <w:pStyle w:val="ListParagraph"/>
        <w:numPr>
          <w:ilvl w:val="0"/>
          <w:numId w:val="2"/>
        </w:numPr>
        <w:tabs>
          <w:tab w:val="left" w:pos="567"/>
        </w:tabs>
        <w:ind w:left="0" w:firstLine="0"/>
        <w:jc w:val="both"/>
        <w:rPr>
          <w:sz w:val="20"/>
          <w:szCs w:val="20"/>
        </w:rPr>
      </w:pPr>
      <w:r w:rsidRPr="00485F6E">
        <w:rPr>
          <w:sz w:val="20"/>
          <w:szCs w:val="20"/>
        </w:rPr>
        <w:lastRenderedPageBreak/>
        <w:t>The petitioners alleged that, because they were not allowed to exercise their right to appeal the judgment of conviction</w:t>
      </w:r>
      <w:r w:rsidR="00463F0C" w:rsidRPr="00485F6E">
        <w:rPr>
          <w:sz w:val="20"/>
          <w:szCs w:val="20"/>
        </w:rPr>
        <w:t xml:space="preserve">, Diego Armando </w:t>
      </w:r>
      <w:r w:rsidRPr="00485F6E">
        <w:rPr>
          <w:sz w:val="20"/>
          <w:szCs w:val="20"/>
        </w:rPr>
        <w:t>Pacheco was deprived of his liberty, a circumstanc</w:t>
      </w:r>
      <w:r w:rsidR="00DF0DC6" w:rsidRPr="00485F6E">
        <w:rPr>
          <w:sz w:val="20"/>
          <w:szCs w:val="20"/>
        </w:rPr>
        <w:t>e that led to suffering, resista</w:t>
      </w:r>
      <w:r w:rsidRPr="00485F6E">
        <w:rPr>
          <w:sz w:val="20"/>
          <w:szCs w:val="20"/>
        </w:rPr>
        <w:t>nce, and anxi</w:t>
      </w:r>
      <w:r w:rsidR="00DF0DC6" w:rsidRPr="00485F6E">
        <w:rPr>
          <w:sz w:val="20"/>
          <w:szCs w:val="20"/>
        </w:rPr>
        <w:t>e</w:t>
      </w:r>
      <w:r w:rsidRPr="00485F6E">
        <w:rPr>
          <w:sz w:val="20"/>
          <w:szCs w:val="20"/>
        </w:rPr>
        <w:t>ty because of the conditions</w:t>
      </w:r>
      <w:r w:rsidR="00DF0DC6" w:rsidRPr="00485F6E">
        <w:rPr>
          <w:sz w:val="20"/>
          <w:szCs w:val="20"/>
        </w:rPr>
        <w:t xml:space="preserve"> of his incarcer</w:t>
      </w:r>
      <w:r w:rsidR="00EF25E2" w:rsidRPr="00485F6E">
        <w:rPr>
          <w:sz w:val="20"/>
          <w:szCs w:val="20"/>
        </w:rPr>
        <w:t>ation</w:t>
      </w:r>
      <w:r w:rsidR="00B26320" w:rsidRPr="00485F6E">
        <w:rPr>
          <w:sz w:val="20"/>
          <w:szCs w:val="20"/>
        </w:rPr>
        <w:t xml:space="preserve">. </w:t>
      </w:r>
      <w:r w:rsidR="00DF0DC6" w:rsidRPr="00485F6E">
        <w:rPr>
          <w:sz w:val="20"/>
          <w:szCs w:val="20"/>
        </w:rPr>
        <w:t xml:space="preserve">In addition, the indicated that, when released, Mr. </w:t>
      </w:r>
      <w:r w:rsidR="007665BB" w:rsidRPr="00485F6E">
        <w:rPr>
          <w:sz w:val="20"/>
          <w:szCs w:val="20"/>
        </w:rPr>
        <w:t>Pacheco</w:t>
      </w:r>
      <w:r w:rsidR="001E692C" w:rsidRPr="00485F6E">
        <w:rPr>
          <w:sz w:val="20"/>
          <w:szCs w:val="20"/>
        </w:rPr>
        <w:t xml:space="preserve"> </w:t>
      </w:r>
      <w:r w:rsidR="00DF0DC6" w:rsidRPr="00485F6E">
        <w:rPr>
          <w:sz w:val="20"/>
          <w:szCs w:val="20"/>
        </w:rPr>
        <w:t>did not receive any kind of support to promote his social, employment, or emotional reinsertion</w:t>
      </w:r>
      <w:r w:rsidR="001E692C" w:rsidRPr="00485F6E">
        <w:rPr>
          <w:sz w:val="20"/>
          <w:szCs w:val="20"/>
        </w:rPr>
        <w:t>;</w:t>
      </w:r>
      <w:r w:rsidR="00B26320" w:rsidRPr="00485F6E">
        <w:rPr>
          <w:sz w:val="20"/>
          <w:szCs w:val="20"/>
        </w:rPr>
        <w:t xml:space="preserve"> </w:t>
      </w:r>
      <w:r w:rsidR="00DF0DC6" w:rsidRPr="00485F6E">
        <w:rPr>
          <w:sz w:val="20"/>
          <w:szCs w:val="20"/>
        </w:rPr>
        <w:t>that the conditions of his livelihood were undermined by social discrimination because of his status as a former convict, which prevented him for securing employment to meet his needs.</w:t>
      </w:r>
      <w:r w:rsidR="00B26320" w:rsidRPr="00485F6E">
        <w:rPr>
          <w:sz w:val="20"/>
          <w:szCs w:val="20"/>
        </w:rPr>
        <w:t xml:space="preserve">  </w:t>
      </w:r>
    </w:p>
    <w:p w14:paraId="5E51C4D4" w14:textId="77777777" w:rsidR="001539A3" w:rsidRPr="00485F6E" w:rsidRDefault="001539A3" w:rsidP="0012503D">
      <w:pPr>
        <w:pStyle w:val="ListParagraph"/>
        <w:tabs>
          <w:tab w:val="left" w:pos="567"/>
        </w:tabs>
        <w:ind w:left="0"/>
        <w:jc w:val="both"/>
        <w:rPr>
          <w:sz w:val="20"/>
          <w:szCs w:val="20"/>
        </w:rPr>
      </w:pPr>
    </w:p>
    <w:p w14:paraId="01F8D87A" w14:textId="77777777" w:rsidR="005B187A" w:rsidRPr="00485F6E" w:rsidRDefault="00DF0DC6" w:rsidP="0012503D">
      <w:pPr>
        <w:pStyle w:val="ListParagraph"/>
        <w:numPr>
          <w:ilvl w:val="0"/>
          <w:numId w:val="2"/>
        </w:numPr>
        <w:tabs>
          <w:tab w:val="left" w:pos="567"/>
        </w:tabs>
        <w:ind w:left="0" w:firstLine="0"/>
        <w:jc w:val="both"/>
        <w:rPr>
          <w:sz w:val="20"/>
          <w:szCs w:val="20"/>
        </w:rPr>
      </w:pPr>
      <w:r w:rsidRPr="00485F6E">
        <w:rPr>
          <w:sz w:val="20"/>
          <w:szCs w:val="20"/>
        </w:rPr>
        <w:t>Because of the above, the petitioners alleged the violation of t</w:t>
      </w:r>
      <w:r w:rsidR="000143FB">
        <w:rPr>
          <w:sz w:val="20"/>
          <w:szCs w:val="20"/>
        </w:rPr>
        <w:t>he right to appeal the judgment</w:t>
      </w:r>
      <w:r w:rsidRPr="00485F6E">
        <w:rPr>
          <w:sz w:val="20"/>
          <w:szCs w:val="20"/>
        </w:rPr>
        <w:t xml:space="preserve"> to the detriment of </w:t>
      </w:r>
      <w:r w:rsidR="005B187A" w:rsidRPr="00485F6E">
        <w:rPr>
          <w:sz w:val="20"/>
          <w:szCs w:val="20"/>
        </w:rPr>
        <w:t xml:space="preserve">Diego Armando Pacheco, </w:t>
      </w:r>
      <w:r w:rsidRPr="00485F6E">
        <w:rPr>
          <w:sz w:val="20"/>
          <w:szCs w:val="20"/>
        </w:rPr>
        <w:t>in connection with the rights to judicial protection and special measures for the protection of children and adolescents, because he was systematically denied the right to challenge and request a re-examination of the judgment of conviction that sentenced him to four years prison, which had s</w:t>
      </w:r>
      <w:r w:rsidR="00BB0793" w:rsidRPr="00485F6E">
        <w:rPr>
          <w:sz w:val="20"/>
          <w:szCs w:val="20"/>
        </w:rPr>
        <w:t>evere repercussions on</w:t>
      </w:r>
      <w:r w:rsidRPr="00485F6E">
        <w:rPr>
          <w:sz w:val="20"/>
          <w:szCs w:val="20"/>
        </w:rPr>
        <w:t xml:space="preserve"> his life</w:t>
      </w:r>
      <w:r w:rsidR="00724D11" w:rsidRPr="00485F6E">
        <w:rPr>
          <w:sz w:val="20"/>
          <w:szCs w:val="20"/>
        </w:rPr>
        <w:t xml:space="preserve">. </w:t>
      </w:r>
    </w:p>
    <w:p w14:paraId="42958388" w14:textId="77777777" w:rsidR="001539A3" w:rsidRPr="00485F6E" w:rsidRDefault="001539A3" w:rsidP="0012503D">
      <w:pPr>
        <w:pStyle w:val="ListParagraph"/>
        <w:tabs>
          <w:tab w:val="left" w:pos="567"/>
        </w:tabs>
        <w:ind w:left="0"/>
        <w:jc w:val="both"/>
        <w:rPr>
          <w:sz w:val="20"/>
          <w:szCs w:val="20"/>
        </w:rPr>
      </w:pPr>
    </w:p>
    <w:p w14:paraId="7CE3CF9F" w14:textId="77777777" w:rsidR="00A23486" w:rsidRPr="00485F6E" w:rsidRDefault="00BB0793" w:rsidP="0012503D">
      <w:pPr>
        <w:pStyle w:val="ListParagraph"/>
        <w:numPr>
          <w:ilvl w:val="0"/>
          <w:numId w:val="2"/>
        </w:numPr>
        <w:tabs>
          <w:tab w:val="left" w:pos="567"/>
        </w:tabs>
        <w:ind w:left="0" w:firstLine="0"/>
        <w:jc w:val="both"/>
        <w:rPr>
          <w:sz w:val="20"/>
          <w:szCs w:val="20"/>
        </w:rPr>
      </w:pPr>
      <w:r w:rsidRPr="00485F6E">
        <w:rPr>
          <w:sz w:val="20"/>
          <w:szCs w:val="20"/>
        </w:rPr>
        <w:t xml:space="preserve">On the matter of </w:t>
      </w:r>
      <w:r w:rsidR="000143FB">
        <w:rPr>
          <w:sz w:val="20"/>
          <w:szCs w:val="20"/>
        </w:rPr>
        <w:t xml:space="preserve">the </w:t>
      </w:r>
      <w:r w:rsidRPr="00485F6E">
        <w:rPr>
          <w:sz w:val="20"/>
          <w:szCs w:val="20"/>
        </w:rPr>
        <w:t xml:space="preserve">case’s admissibility </w:t>
      </w:r>
      <w:r w:rsidR="000143FB">
        <w:rPr>
          <w:sz w:val="20"/>
          <w:szCs w:val="20"/>
        </w:rPr>
        <w:t>by</w:t>
      </w:r>
      <w:r w:rsidRPr="00485F6E">
        <w:rPr>
          <w:sz w:val="20"/>
          <w:szCs w:val="20"/>
        </w:rPr>
        <w:t xml:space="preserve"> the IACHR, the petitioners indicated that the petition was filed with the Commission after the Supreme Court</w:t>
      </w:r>
      <w:r w:rsidR="000143FB">
        <w:rPr>
          <w:sz w:val="20"/>
          <w:szCs w:val="20"/>
        </w:rPr>
        <w:t xml:space="preserve"> dismissed the complaint filed against</w:t>
      </w:r>
      <w:r w:rsidRPr="00485F6E">
        <w:rPr>
          <w:sz w:val="20"/>
          <w:szCs w:val="20"/>
        </w:rPr>
        <w:t xml:space="preserve"> dismissal of the </w:t>
      </w:r>
      <w:r w:rsidR="00F64F34">
        <w:rPr>
          <w:sz w:val="20"/>
          <w:szCs w:val="20"/>
        </w:rPr>
        <w:t>special federal appeal</w:t>
      </w:r>
      <w:r w:rsidRPr="00485F6E">
        <w:rPr>
          <w:sz w:val="20"/>
          <w:szCs w:val="20"/>
        </w:rPr>
        <w:t>, on the basis of which the requirement for prior exhaustion of remedies under domestic law</w:t>
      </w:r>
      <w:r w:rsidR="000143FB">
        <w:rPr>
          <w:sz w:val="20"/>
          <w:szCs w:val="20"/>
        </w:rPr>
        <w:t xml:space="preserve"> had been met</w:t>
      </w:r>
      <w:r w:rsidR="00C8147F" w:rsidRPr="00485F6E">
        <w:rPr>
          <w:sz w:val="20"/>
          <w:szCs w:val="20"/>
        </w:rPr>
        <w:t>.</w:t>
      </w:r>
      <w:r w:rsidR="00B26320" w:rsidRPr="00485F6E">
        <w:rPr>
          <w:sz w:val="20"/>
          <w:szCs w:val="20"/>
        </w:rPr>
        <w:t xml:space="preserve"> </w:t>
      </w:r>
      <w:r w:rsidRPr="00485F6E">
        <w:rPr>
          <w:sz w:val="20"/>
          <w:szCs w:val="20"/>
        </w:rPr>
        <w:t>As for the six-month period required by Article 46(1)(b) of the American Convention on Human Rights, the representatives of Mr. Pacheco indicated that it was also observed as the petition was filed with the IACHR on May 11, 2004, although they had not yet been officially informed of the Supreme Court’s ruling, which was issued on November 11, 2003</w:t>
      </w:r>
      <w:r w:rsidR="001539A3" w:rsidRPr="00485F6E">
        <w:rPr>
          <w:sz w:val="20"/>
          <w:szCs w:val="20"/>
        </w:rPr>
        <w:t xml:space="preserve">. </w:t>
      </w:r>
    </w:p>
    <w:p w14:paraId="4AA10816" w14:textId="77777777" w:rsidR="001539A3" w:rsidRPr="00485F6E" w:rsidRDefault="001539A3" w:rsidP="0012503D">
      <w:pPr>
        <w:pStyle w:val="ListParagraph"/>
        <w:tabs>
          <w:tab w:val="left" w:pos="567"/>
        </w:tabs>
        <w:ind w:left="0"/>
        <w:jc w:val="both"/>
        <w:rPr>
          <w:sz w:val="20"/>
          <w:szCs w:val="20"/>
        </w:rPr>
      </w:pPr>
    </w:p>
    <w:p w14:paraId="1EC0219D" w14:textId="77777777" w:rsidR="00163567" w:rsidRPr="00485F6E" w:rsidRDefault="00BB0793" w:rsidP="0012503D">
      <w:pPr>
        <w:pStyle w:val="ListParagraph"/>
        <w:numPr>
          <w:ilvl w:val="0"/>
          <w:numId w:val="2"/>
        </w:numPr>
        <w:tabs>
          <w:tab w:val="left" w:pos="567"/>
        </w:tabs>
        <w:ind w:left="0" w:firstLine="0"/>
        <w:jc w:val="both"/>
        <w:rPr>
          <w:sz w:val="20"/>
          <w:szCs w:val="20"/>
        </w:rPr>
      </w:pPr>
      <w:r w:rsidRPr="00485F6E">
        <w:rPr>
          <w:sz w:val="20"/>
          <w:szCs w:val="20"/>
        </w:rPr>
        <w:t xml:space="preserve">By virtue of the above, the petitioners contend that the state of Argentina is responsible for violating the rights to </w:t>
      </w:r>
      <w:r w:rsidR="00970912">
        <w:rPr>
          <w:sz w:val="20"/>
          <w:szCs w:val="20"/>
        </w:rPr>
        <w:t>humane treatment</w:t>
      </w:r>
      <w:r w:rsidRPr="00485F6E">
        <w:rPr>
          <w:sz w:val="20"/>
          <w:szCs w:val="20"/>
        </w:rPr>
        <w:t xml:space="preserve">, </w:t>
      </w:r>
      <w:r w:rsidR="00970912">
        <w:rPr>
          <w:sz w:val="20"/>
          <w:szCs w:val="20"/>
        </w:rPr>
        <w:t xml:space="preserve">to </w:t>
      </w:r>
      <w:r w:rsidRPr="00485F6E">
        <w:rPr>
          <w:sz w:val="20"/>
          <w:szCs w:val="20"/>
        </w:rPr>
        <w:t>p</w:t>
      </w:r>
      <w:r w:rsidR="00970912">
        <w:rPr>
          <w:sz w:val="20"/>
          <w:szCs w:val="20"/>
        </w:rPr>
        <w:t>ersonal liberty, and to appeal the</w:t>
      </w:r>
      <w:r w:rsidRPr="00485F6E">
        <w:rPr>
          <w:sz w:val="20"/>
          <w:szCs w:val="20"/>
        </w:rPr>
        <w:t xml:space="preserve"> judgment </w:t>
      </w:r>
      <w:r w:rsidR="00970912">
        <w:rPr>
          <w:sz w:val="20"/>
          <w:szCs w:val="20"/>
        </w:rPr>
        <w:t>to a</w:t>
      </w:r>
      <w:r w:rsidRPr="00485F6E">
        <w:rPr>
          <w:sz w:val="20"/>
          <w:szCs w:val="20"/>
        </w:rPr>
        <w:t xml:space="preserve"> higher </w:t>
      </w:r>
      <w:r w:rsidR="00970912">
        <w:rPr>
          <w:sz w:val="20"/>
          <w:szCs w:val="20"/>
        </w:rPr>
        <w:t>court</w:t>
      </w:r>
      <w:r w:rsidRPr="00485F6E">
        <w:rPr>
          <w:sz w:val="20"/>
          <w:szCs w:val="20"/>
        </w:rPr>
        <w:t xml:space="preserve"> as enshrined in Articles </w:t>
      </w:r>
      <w:r w:rsidR="001539A3" w:rsidRPr="00485F6E">
        <w:rPr>
          <w:sz w:val="20"/>
          <w:szCs w:val="20"/>
        </w:rPr>
        <w:t>5, 7</w:t>
      </w:r>
      <w:r w:rsidRPr="00485F6E">
        <w:rPr>
          <w:sz w:val="20"/>
          <w:szCs w:val="20"/>
        </w:rPr>
        <w:t>, and 8(2)(</w:t>
      </w:r>
      <w:r w:rsidR="001539A3" w:rsidRPr="00485F6E">
        <w:rPr>
          <w:sz w:val="20"/>
          <w:szCs w:val="20"/>
        </w:rPr>
        <w:t>h</w:t>
      </w:r>
      <w:r w:rsidRPr="00485F6E">
        <w:rPr>
          <w:sz w:val="20"/>
          <w:szCs w:val="20"/>
        </w:rPr>
        <w:t>)</w:t>
      </w:r>
      <w:r w:rsidR="001539A3" w:rsidRPr="00485F6E">
        <w:rPr>
          <w:sz w:val="20"/>
          <w:szCs w:val="20"/>
        </w:rPr>
        <w:t xml:space="preserve"> </w:t>
      </w:r>
      <w:r w:rsidRPr="00485F6E">
        <w:rPr>
          <w:sz w:val="20"/>
          <w:szCs w:val="20"/>
        </w:rPr>
        <w:t>of the American Convention on Human Rights</w:t>
      </w:r>
      <w:r w:rsidR="001539A3" w:rsidRPr="00485F6E">
        <w:rPr>
          <w:sz w:val="20"/>
          <w:szCs w:val="20"/>
        </w:rPr>
        <w:t xml:space="preserve">. </w:t>
      </w:r>
    </w:p>
    <w:p w14:paraId="4BD653E9" w14:textId="77777777" w:rsidR="001539A3" w:rsidRPr="00485F6E" w:rsidRDefault="001539A3" w:rsidP="001539A3">
      <w:pPr>
        <w:pStyle w:val="ListParagraph"/>
        <w:tabs>
          <w:tab w:val="left" w:pos="567"/>
        </w:tabs>
        <w:ind w:left="0"/>
        <w:jc w:val="both"/>
        <w:rPr>
          <w:sz w:val="20"/>
          <w:szCs w:val="20"/>
        </w:rPr>
      </w:pPr>
    </w:p>
    <w:p w14:paraId="785DDD3E" w14:textId="77777777" w:rsidR="00BB0527" w:rsidRPr="00485F6E" w:rsidRDefault="00BB0793" w:rsidP="00781766">
      <w:pPr>
        <w:pStyle w:val="Heading2"/>
        <w:numPr>
          <w:ilvl w:val="0"/>
          <w:numId w:val="25"/>
        </w:numPr>
        <w:rPr>
          <w:lang w:val="en-US"/>
        </w:rPr>
      </w:pPr>
      <w:bookmarkStart w:id="11" w:name="_Toc40962120"/>
      <w:bookmarkStart w:id="12" w:name="_Toc42679769"/>
      <w:bookmarkStart w:id="13" w:name="_Toc203988480"/>
      <w:r w:rsidRPr="00485F6E">
        <w:rPr>
          <w:lang w:val="en-US"/>
        </w:rPr>
        <w:t xml:space="preserve">State of </w:t>
      </w:r>
      <w:r w:rsidRPr="00781766">
        <w:t>Argentina</w:t>
      </w:r>
      <w:bookmarkEnd w:id="11"/>
      <w:bookmarkEnd w:id="12"/>
      <w:bookmarkEnd w:id="13"/>
    </w:p>
    <w:p w14:paraId="43FD9E4A" w14:textId="77777777" w:rsidR="00054BF2" w:rsidRPr="00485F6E" w:rsidRDefault="00054BF2" w:rsidP="003448BE">
      <w:pPr>
        <w:pStyle w:val="NoSpacing"/>
        <w:rPr>
          <w:rFonts w:ascii="Cambria" w:hAnsi="Cambria"/>
          <w:sz w:val="20"/>
          <w:szCs w:val="20"/>
          <w:lang w:val="en-US"/>
        </w:rPr>
      </w:pPr>
    </w:p>
    <w:p w14:paraId="73AE6601" w14:textId="77777777" w:rsidR="00F27BCE" w:rsidRPr="00485F6E" w:rsidRDefault="000143FB" w:rsidP="00361F6B">
      <w:pPr>
        <w:pStyle w:val="ListParagraph"/>
        <w:numPr>
          <w:ilvl w:val="0"/>
          <w:numId w:val="2"/>
        </w:numPr>
        <w:tabs>
          <w:tab w:val="left" w:pos="567"/>
        </w:tabs>
        <w:ind w:left="0" w:firstLine="0"/>
        <w:jc w:val="both"/>
        <w:rPr>
          <w:sz w:val="20"/>
          <w:szCs w:val="20"/>
        </w:rPr>
      </w:pPr>
      <w:r>
        <w:rPr>
          <w:sz w:val="20"/>
          <w:szCs w:val="20"/>
        </w:rPr>
        <w:t>The state</w:t>
      </w:r>
      <w:r w:rsidR="00BB0793" w:rsidRPr="00485F6E">
        <w:rPr>
          <w:sz w:val="20"/>
          <w:szCs w:val="20"/>
        </w:rPr>
        <w:t xml:space="preserve"> alleged, first of all, that the petition should be ruled inadmissible, because there was an improper exhaustion of remedies under domestic law</w:t>
      </w:r>
      <w:r w:rsidR="00FF4154" w:rsidRPr="00485F6E">
        <w:rPr>
          <w:sz w:val="20"/>
          <w:szCs w:val="20"/>
        </w:rPr>
        <w:t xml:space="preserve">, </w:t>
      </w:r>
      <w:r w:rsidR="00145F10" w:rsidRPr="00485F6E">
        <w:rPr>
          <w:sz w:val="20"/>
          <w:szCs w:val="20"/>
        </w:rPr>
        <w:t xml:space="preserve">as the complaint filed against the dismissal of the </w:t>
      </w:r>
      <w:r w:rsidR="00F64F34">
        <w:rPr>
          <w:sz w:val="20"/>
          <w:szCs w:val="20"/>
        </w:rPr>
        <w:t>special federal appeal</w:t>
      </w:r>
      <w:r w:rsidR="00145F10" w:rsidRPr="00485F6E">
        <w:rPr>
          <w:sz w:val="20"/>
          <w:szCs w:val="20"/>
        </w:rPr>
        <w:t xml:space="preserve"> was submitted after the statutory time-limits, which had prevented the Supreme Court from examining the proceedings in the lower courts.</w:t>
      </w:r>
    </w:p>
    <w:p w14:paraId="048C2E80" w14:textId="77777777" w:rsidR="00054BF2" w:rsidRPr="00485F6E" w:rsidRDefault="00054BF2" w:rsidP="00361F6B">
      <w:pPr>
        <w:pStyle w:val="ListParagraph"/>
        <w:tabs>
          <w:tab w:val="left" w:pos="567"/>
        </w:tabs>
        <w:ind w:left="0"/>
        <w:jc w:val="both"/>
        <w:rPr>
          <w:sz w:val="20"/>
          <w:szCs w:val="20"/>
        </w:rPr>
      </w:pPr>
    </w:p>
    <w:p w14:paraId="10E09AFA" w14:textId="77777777" w:rsidR="00F27BCE" w:rsidRPr="00485F6E" w:rsidRDefault="000143FB" w:rsidP="00361F6B">
      <w:pPr>
        <w:pStyle w:val="ListParagraph"/>
        <w:numPr>
          <w:ilvl w:val="0"/>
          <w:numId w:val="2"/>
        </w:numPr>
        <w:tabs>
          <w:tab w:val="left" w:pos="567"/>
        </w:tabs>
        <w:ind w:left="0" w:firstLine="0"/>
        <w:jc w:val="both"/>
        <w:rPr>
          <w:sz w:val="20"/>
          <w:szCs w:val="20"/>
        </w:rPr>
      </w:pPr>
      <w:r>
        <w:rPr>
          <w:sz w:val="20"/>
          <w:szCs w:val="20"/>
        </w:rPr>
        <w:t>In that regard, it</w:t>
      </w:r>
      <w:r w:rsidR="00145F10" w:rsidRPr="00485F6E">
        <w:rPr>
          <w:sz w:val="20"/>
          <w:szCs w:val="20"/>
        </w:rPr>
        <w:t xml:space="preserve"> indicated that the suitability of the complaint that was filed was incontrovertible because it turned out to be effective to question the final judgment made by the Superior Court in the case, to the extent that there was a federal matter involved as evident in Mr. Pacheco’s case</w:t>
      </w:r>
      <w:r w:rsidR="00F27BCE" w:rsidRPr="00485F6E">
        <w:rPr>
          <w:sz w:val="20"/>
          <w:szCs w:val="20"/>
        </w:rPr>
        <w:t xml:space="preserve">. </w:t>
      </w:r>
      <w:r>
        <w:rPr>
          <w:sz w:val="20"/>
          <w:szCs w:val="20"/>
        </w:rPr>
        <w:t>It</w:t>
      </w:r>
      <w:r w:rsidR="00145F10" w:rsidRPr="00485F6E">
        <w:rPr>
          <w:sz w:val="20"/>
          <w:szCs w:val="20"/>
        </w:rPr>
        <w:t xml:space="preserve"> also contended that said remedy was effective because the Supreme Court, in the case of</w:t>
      </w:r>
      <w:r w:rsidR="00F27BCE" w:rsidRPr="00485F6E">
        <w:rPr>
          <w:sz w:val="20"/>
          <w:szCs w:val="20"/>
        </w:rPr>
        <w:t xml:space="preserve"> </w:t>
      </w:r>
      <w:r w:rsidR="00F27BCE" w:rsidRPr="00485F6E">
        <w:rPr>
          <w:i/>
          <w:iCs/>
          <w:sz w:val="20"/>
          <w:szCs w:val="20"/>
        </w:rPr>
        <w:t xml:space="preserve">Casal, Matías Eugenio </w:t>
      </w:r>
      <w:r w:rsidR="00145F10" w:rsidRPr="00485F6E">
        <w:rPr>
          <w:i/>
          <w:iCs/>
          <w:sz w:val="20"/>
          <w:szCs w:val="20"/>
        </w:rPr>
        <w:t>et al.</w:t>
      </w:r>
      <w:r w:rsidR="00F27BCE" w:rsidRPr="00485F6E">
        <w:rPr>
          <w:i/>
          <w:iCs/>
          <w:sz w:val="20"/>
          <w:szCs w:val="20"/>
        </w:rPr>
        <w:t xml:space="preserve"> </w:t>
      </w:r>
      <w:r w:rsidR="00F64F34">
        <w:rPr>
          <w:i/>
          <w:iCs/>
          <w:sz w:val="20"/>
          <w:szCs w:val="20"/>
        </w:rPr>
        <w:t xml:space="preserve">ref./ </w:t>
      </w:r>
      <w:r w:rsidR="00145F10" w:rsidRPr="00485F6E">
        <w:rPr>
          <w:i/>
          <w:iCs/>
          <w:sz w:val="20"/>
          <w:szCs w:val="20"/>
        </w:rPr>
        <w:t xml:space="preserve">attempted </w:t>
      </w:r>
      <w:r w:rsidR="00F64F34">
        <w:rPr>
          <w:i/>
          <w:iCs/>
          <w:sz w:val="20"/>
          <w:szCs w:val="20"/>
        </w:rPr>
        <w:t xml:space="preserve">common </w:t>
      </w:r>
      <w:r w:rsidR="00145F10" w:rsidRPr="00485F6E">
        <w:rPr>
          <w:i/>
          <w:iCs/>
          <w:sz w:val="20"/>
          <w:szCs w:val="20"/>
        </w:rPr>
        <w:t>theft</w:t>
      </w:r>
      <w:r w:rsidR="00F27BCE" w:rsidRPr="00485F6E">
        <w:rPr>
          <w:sz w:val="20"/>
          <w:szCs w:val="20"/>
        </w:rPr>
        <w:t xml:space="preserve">, </w:t>
      </w:r>
      <w:r w:rsidR="00145F10" w:rsidRPr="00485F6E">
        <w:rPr>
          <w:sz w:val="20"/>
          <w:szCs w:val="20"/>
        </w:rPr>
        <w:t xml:space="preserve">established the scope that should be allowed in a cassation appeal in the federal courts so that it </w:t>
      </w:r>
      <w:r w:rsidR="001042FF" w:rsidRPr="00485F6E">
        <w:rPr>
          <w:sz w:val="20"/>
          <w:szCs w:val="20"/>
        </w:rPr>
        <w:t>would be adjusted to what was established by Article 8(2)(</w:t>
      </w:r>
      <w:r w:rsidR="00F27BCE" w:rsidRPr="00485F6E">
        <w:rPr>
          <w:sz w:val="20"/>
          <w:szCs w:val="20"/>
        </w:rPr>
        <w:t xml:space="preserve">h) </w:t>
      </w:r>
      <w:r w:rsidR="001042FF" w:rsidRPr="00485F6E">
        <w:rPr>
          <w:sz w:val="20"/>
          <w:szCs w:val="20"/>
        </w:rPr>
        <w:t>of the American Convention on Human Rights</w:t>
      </w:r>
      <w:r w:rsidR="007D2D80" w:rsidRPr="00485F6E">
        <w:rPr>
          <w:sz w:val="20"/>
          <w:szCs w:val="20"/>
        </w:rPr>
        <w:t xml:space="preserve">. </w:t>
      </w:r>
      <w:r w:rsidR="007E725B" w:rsidRPr="00485F6E">
        <w:rPr>
          <w:sz w:val="20"/>
          <w:szCs w:val="20"/>
        </w:rPr>
        <w:t xml:space="preserve"> </w:t>
      </w:r>
    </w:p>
    <w:p w14:paraId="13A61E52" w14:textId="77777777" w:rsidR="00054BF2" w:rsidRPr="00485F6E" w:rsidRDefault="00054BF2" w:rsidP="00361F6B">
      <w:pPr>
        <w:pStyle w:val="ListParagraph"/>
        <w:tabs>
          <w:tab w:val="left" w:pos="567"/>
        </w:tabs>
        <w:ind w:left="0"/>
        <w:jc w:val="both"/>
        <w:rPr>
          <w:sz w:val="20"/>
          <w:szCs w:val="20"/>
        </w:rPr>
      </w:pPr>
    </w:p>
    <w:p w14:paraId="66E5FDCA" w14:textId="77777777" w:rsidR="00BE7A37" w:rsidRPr="00485F6E" w:rsidRDefault="001042FF" w:rsidP="00361F6B">
      <w:pPr>
        <w:pStyle w:val="ListParagraph"/>
        <w:numPr>
          <w:ilvl w:val="0"/>
          <w:numId w:val="2"/>
        </w:numPr>
        <w:tabs>
          <w:tab w:val="left" w:pos="567"/>
        </w:tabs>
        <w:ind w:left="0" w:firstLine="0"/>
        <w:jc w:val="both"/>
        <w:rPr>
          <w:sz w:val="20"/>
          <w:szCs w:val="20"/>
        </w:rPr>
      </w:pPr>
      <w:r w:rsidRPr="00485F6E">
        <w:rPr>
          <w:sz w:val="20"/>
          <w:szCs w:val="20"/>
        </w:rPr>
        <w:t>The state contended that, in the event that the complaint were admissible as a result of the extension of the time-limits because of distance, the petitioners had not challenged said judgment by filing an appeal for annulment, because of which the remedies under domestic law had not been exhausted. It also pointed out that said situation would have led to a favorable response, as it occurred in the Supreme Court’s case law and, therefore, it was not admissible to submit to an international instance aspects that that had not been elucidated in the domestic judicial system</w:t>
      </w:r>
      <w:r w:rsidR="00806573" w:rsidRPr="00485F6E">
        <w:rPr>
          <w:sz w:val="20"/>
          <w:szCs w:val="20"/>
        </w:rPr>
        <w:t xml:space="preserve">. </w:t>
      </w:r>
    </w:p>
    <w:p w14:paraId="20460B99" w14:textId="77777777" w:rsidR="00361F6B" w:rsidRPr="00485F6E" w:rsidRDefault="00361F6B" w:rsidP="00361F6B">
      <w:pPr>
        <w:pStyle w:val="ListParagraph"/>
        <w:tabs>
          <w:tab w:val="left" w:pos="567"/>
        </w:tabs>
        <w:ind w:left="0"/>
        <w:jc w:val="both"/>
        <w:rPr>
          <w:sz w:val="20"/>
          <w:szCs w:val="20"/>
        </w:rPr>
      </w:pPr>
    </w:p>
    <w:p w14:paraId="3A379E8F" w14:textId="77777777" w:rsidR="00D80D2F" w:rsidRPr="00485F6E" w:rsidRDefault="001042FF" w:rsidP="00361F6B">
      <w:pPr>
        <w:pStyle w:val="ListParagraph"/>
        <w:numPr>
          <w:ilvl w:val="0"/>
          <w:numId w:val="2"/>
        </w:numPr>
        <w:tabs>
          <w:tab w:val="left" w:pos="567"/>
        </w:tabs>
        <w:ind w:left="0" w:firstLine="0"/>
        <w:jc w:val="both"/>
        <w:rPr>
          <w:sz w:val="20"/>
          <w:szCs w:val="20"/>
        </w:rPr>
      </w:pPr>
      <w:r w:rsidRPr="00485F6E">
        <w:rPr>
          <w:sz w:val="20"/>
          <w:szCs w:val="20"/>
        </w:rPr>
        <w:t>Moreover, the state indicated that the offense referring to the violation of the right to secure a full review of the judgment of conviction was not filed within statutory time-limits, for the purpose of providing</w:t>
      </w:r>
      <w:r w:rsidR="004411E7" w:rsidRPr="00485F6E">
        <w:rPr>
          <w:sz w:val="20"/>
          <w:szCs w:val="20"/>
        </w:rPr>
        <w:t xml:space="preserve"> the</w:t>
      </w:r>
      <w:r w:rsidRPr="00485F6E">
        <w:rPr>
          <w:sz w:val="20"/>
          <w:szCs w:val="20"/>
        </w:rPr>
        <w:t xml:space="preserve"> judicial bodies</w:t>
      </w:r>
      <w:r w:rsidR="004411E7" w:rsidRPr="00485F6E">
        <w:rPr>
          <w:sz w:val="20"/>
          <w:szCs w:val="20"/>
        </w:rPr>
        <w:t xml:space="preserve"> that had intervened with the possibility of examining the alleged violation.</w:t>
      </w:r>
      <w:r w:rsidR="009C5CA5" w:rsidRPr="00485F6E">
        <w:rPr>
          <w:sz w:val="20"/>
          <w:szCs w:val="20"/>
        </w:rPr>
        <w:t xml:space="preserve"> </w:t>
      </w:r>
      <w:r w:rsidR="004411E7" w:rsidRPr="00485F6E">
        <w:rPr>
          <w:sz w:val="20"/>
          <w:szCs w:val="20"/>
        </w:rPr>
        <w:t>In that respect, it conten</w:t>
      </w:r>
      <w:r w:rsidR="001D0BED">
        <w:rPr>
          <w:sz w:val="20"/>
          <w:szCs w:val="20"/>
        </w:rPr>
        <w:t xml:space="preserve">ded that, in its legal system, those offenses were filed and processed </w:t>
      </w:r>
      <w:r w:rsidR="004411E7" w:rsidRPr="00485F6E">
        <w:rPr>
          <w:sz w:val="20"/>
          <w:szCs w:val="20"/>
        </w:rPr>
        <w:t xml:space="preserve">by means of the so-called </w:t>
      </w:r>
      <w:r w:rsidR="001D0BED">
        <w:rPr>
          <w:sz w:val="20"/>
          <w:szCs w:val="20"/>
        </w:rPr>
        <w:t>“</w:t>
      </w:r>
      <w:r w:rsidR="004411E7" w:rsidRPr="00485F6E">
        <w:rPr>
          <w:sz w:val="20"/>
          <w:szCs w:val="20"/>
        </w:rPr>
        <w:t>insertion of the federal matter</w:t>
      </w:r>
      <w:r w:rsidR="001D0BED">
        <w:rPr>
          <w:sz w:val="20"/>
          <w:szCs w:val="20"/>
        </w:rPr>
        <w:t>”</w:t>
      </w:r>
      <w:r w:rsidR="004411E7" w:rsidRPr="00485F6E">
        <w:rPr>
          <w:sz w:val="20"/>
          <w:szCs w:val="20"/>
        </w:rPr>
        <w:t xml:space="preserve"> i</w:t>
      </w:r>
      <w:r w:rsidR="009C5CA5" w:rsidRPr="00485F6E">
        <w:rPr>
          <w:sz w:val="20"/>
          <w:szCs w:val="20"/>
        </w:rPr>
        <w:t xml:space="preserve">n </w:t>
      </w:r>
      <w:r w:rsidR="004411E7" w:rsidRPr="00485F6E">
        <w:rPr>
          <w:sz w:val="20"/>
          <w:szCs w:val="20"/>
        </w:rPr>
        <w:t>relevant court of proceedings</w:t>
      </w:r>
      <w:r w:rsidR="008922CE" w:rsidRPr="00485F6E">
        <w:rPr>
          <w:sz w:val="20"/>
          <w:szCs w:val="20"/>
        </w:rPr>
        <w:t xml:space="preserve">. </w:t>
      </w:r>
    </w:p>
    <w:p w14:paraId="02CAB3B6" w14:textId="77777777" w:rsidR="00361F6B" w:rsidRPr="00485F6E" w:rsidRDefault="00361F6B" w:rsidP="00361F6B">
      <w:pPr>
        <w:pStyle w:val="ListParagraph"/>
        <w:tabs>
          <w:tab w:val="left" w:pos="567"/>
        </w:tabs>
        <w:ind w:left="0"/>
        <w:jc w:val="both"/>
        <w:rPr>
          <w:sz w:val="20"/>
          <w:szCs w:val="20"/>
        </w:rPr>
      </w:pPr>
    </w:p>
    <w:p w14:paraId="355D05D7" w14:textId="77777777" w:rsidR="00322FF6" w:rsidRPr="00485F6E" w:rsidRDefault="004411E7" w:rsidP="00361F6B">
      <w:pPr>
        <w:pStyle w:val="ListParagraph"/>
        <w:numPr>
          <w:ilvl w:val="0"/>
          <w:numId w:val="2"/>
        </w:numPr>
        <w:tabs>
          <w:tab w:val="left" w:pos="567"/>
        </w:tabs>
        <w:ind w:left="0" w:firstLine="0"/>
        <w:jc w:val="both"/>
        <w:rPr>
          <w:sz w:val="20"/>
          <w:szCs w:val="20"/>
        </w:rPr>
      </w:pPr>
      <w:r w:rsidRPr="00485F6E">
        <w:rPr>
          <w:sz w:val="20"/>
          <w:szCs w:val="20"/>
        </w:rPr>
        <w:t xml:space="preserve">It also indicated that the rights enshrined in the American Convention benefited from constitutional status and, because of that, any dispute in connection with those rights constituted a “federal matter,” which should be introduced at the first procedural opportunity the parties might have for it to be examined </w:t>
      </w:r>
      <w:r w:rsidRPr="00485F6E">
        <w:rPr>
          <w:sz w:val="20"/>
          <w:szCs w:val="20"/>
        </w:rPr>
        <w:lastRenderedPageBreak/>
        <w:t>adequately and on a timely basis</w:t>
      </w:r>
      <w:r w:rsidR="00831DE6" w:rsidRPr="00485F6E">
        <w:rPr>
          <w:sz w:val="20"/>
          <w:szCs w:val="20"/>
        </w:rPr>
        <w:t>, so that the judicial bodies having jurisdiction could examine it and issue a ruling</w:t>
      </w:r>
      <w:r w:rsidR="00322FF6" w:rsidRPr="00485F6E">
        <w:rPr>
          <w:sz w:val="20"/>
          <w:szCs w:val="20"/>
        </w:rPr>
        <w:t>.</w:t>
      </w:r>
    </w:p>
    <w:p w14:paraId="4CB5CFD7" w14:textId="77777777" w:rsidR="00361F6B" w:rsidRPr="00485F6E" w:rsidRDefault="00361F6B" w:rsidP="00361F6B">
      <w:pPr>
        <w:pStyle w:val="ListParagraph"/>
        <w:tabs>
          <w:tab w:val="left" w:pos="567"/>
        </w:tabs>
        <w:ind w:left="0"/>
        <w:jc w:val="both"/>
        <w:rPr>
          <w:sz w:val="20"/>
          <w:szCs w:val="20"/>
        </w:rPr>
      </w:pPr>
    </w:p>
    <w:p w14:paraId="75F34790" w14:textId="77777777" w:rsidR="00D27836" w:rsidRPr="001D0BED" w:rsidRDefault="00831DE6" w:rsidP="00361F6B">
      <w:pPr>
        <w:pStyle w:val="ListParagraph"/>
        <w:numPr>
          <w:ilvl w:val="0"/>
          <w:numId w:val="2"/>
        </w:numPr>
        <w:tabs>
          <w:tab w:val="left" w:pos="567"/>
        </w:tabs>
        <w:ind w:left="0" w:firstLine="0"/>
        <w:jc w:val="both"/>
        <w:rPr>
          <w:sz w:val="20"/>
          <w:szCs w:val="20"/>
        </w:rPr>
      </w:pPr>
      <w:r w:rsidRPr="00485F6E">
        <w:rPr>
          <w:sz w:val="20"/>
          <w:szCs w:val="20"/>
        </w:rPr>
        <w:t>It also alleged that the petitioners should have presented the offense involving the absence of an appeal for a full re-examination on the first procedural opportunity available, whether during the preliminary criminal investigation or else during the substantiation during the verbal discussion. Along this line of ideas, it indicated that said offense was not submitted when the judgment was issued, holding Di</w:t>
      </w:r>
      <w:r w:rsidR="00054566">
        <w:rPr>
          <w:sz w:val="20"/>
          <w:szCs w:val="20"/>
        </w:rPr>
        <w:t>ego Armando Pacheco criminally culpable</w:t>
      </w:r>
      <w:r w:rsidRPr="00485F6E">
        <w:rPr>
          <w:sz w:val="20"/>
          <w:szCs w:val="20"/>
        </w:rPr>
        <w:t xml:space="preserve"> for the crime of </w:t>
      </w:r>
      <w:r w:rsidR="00EA7F00">
        <w:rPr>
          <w:sz w:val="20"/>
          <w:szCs w:val="20"/>
        </w:rPr>
        <w:t>manslaughter</w:t>
      </w:r>
      <w:r w:rsidRPr="00485F6E">
        <w:rPr>
          <w:sz w:val="20"/>
          <w:szCs w:val="20"/>
        </w:rPr>
        <w:t xml:space="preserve">, in order to give the state’s judicial bodies the opportunity to rule on </w:t>
      </w:r>
      <w:r w:rsidRPr="001D0BED">
        <w:rPr>
          <w:sz w:val="20"/>
          <w:szCs w:val="20"/>
        </w:rPr>
        <w:t xml:space="preserve">the matter. Because of this, it added that, by not filing the complaint on </w:t>
      </w:r>
      <w:r w:rsidR="00FC3033" w:rsidRPr="001D0BED">
        <w:rPr>
          <w:sz w:val="20"/>
          <w:szCs w:val="20"/>
        </w:rPr>
        <w:t>a timely basis and then submitting</w:t>
      </w:r>
      <w:r w:rsidRPr="001D0BED">
        <w:rPr>
          <w:sz w:val="20"/>
          <w:szCs w:val="20"/>
        </w:rPr>
        <w:t xml:space="preserve"> it to an international instance, it </w:t>
      </w:r>
      <w:r w:rsidR="00FC3033" w:rsidRPr="001D0BED">
        <w:rPr>
          <w:sz w:val="20"/>
          <w:szCs w:val="20"/>
        </w:rPr>
        <w:t xml:space="preserve">would not be proper for the </w:t>
      </w:r>
      <w:r w:rsidRPr="001D0BED">
        <w:rPr>
          <w:sz w:val="20"/>
          <w:szCs w:val="20"/>
        </w:rPr>
        <w:t>Commission to review the matter</w:t>
      </w:r>
      <w:r w:rsidR="003523CD" w:rsidRPr="001D0BED">
        <w:rPr>
          <w:sz w:val="20"/>
          <w:szCs w:val="20"/>
        </w:rPr>
        <w:t>.</w:t>
      </w:r>
      <w:r w:rsidR="007F5FF3" w:rsidRPr="001D0BED">
        <w:rPr>
          <w:sz w:val="20"/>
          <w:szCs w:val="20"/>
        </w:rPr>
        <w:t xml:space="preserve"> </w:t>
      </w:r>
    </w:p>
    <w:p w14:paraId="110D6510" w14:textId="77777777" w:rsidR="00361F6B" w:rsidRPr="001D0BED" w:rsidRDefault="00361F6B" w:rsidP="00361F6B">
      <w:pPr>
        <w:pStyle w:val="ListParagraph"/>
        <w:tabs>
          <w:tab w:val="left" w:pos="567"/>
        </w:tabs>
        <w:ind w:left="0"/>
        <w:jc w:val="both"/>
        <w:rPr>
          <w:sz w:val="20"/>
          <w:szCs w:val="20"/>
        </w:rPr>
      </w:pPr>
    </w:p>
    <w:p w14:paraId="49EAD321" w14:textId="77777777" w:rsidR="00DE1DCB" w:rsidRPr="00485F6E" w:rsidRDefault="00EB22D6" w:rsidP="00361F6B">
      <w:pPr>
        <w:pStyle w:val="ListParagraph"/>
        <w:numPr>
          <w:ilvl w:val="0"/>
          <w:numId w:val="2"/>
        </w:numPr>
        <w:tabs>
          <w:tab w:val="left" w:pos="567"/>
        </w:tabs>
        <w:ind w:left="0" w:firstLine="0"/>
        <w:jc w:val="both"/>
        <w:rPr>
          <w:sz w:val="20"/>
          <w:szCs w:val="20"/>
        </w:rPr>
      </w:pPr>
      <w:r w:rsidRPr="00485F6E">
        <w:rPr>
          <w:sz w:val="20"/>
          <w:szCs w:val="20"/>
        </w:rPr>
        <w:t xml:space="preserve">Furthermore, the state indicated that the province of Chubut had been one of the pioneers nationwide in designing and implementing reforms to indictment proceedings and that the </w:t>
      </w:r>
      <w:r w:rsidR="00942F86">
        <w:rPr>
          <w:sz w:val="20"/>
          <w:szCs w:val="20"/>
        </w:rPr>
        <w:t xml:space="preserve">Code of </w:t>
      </w:r>
      <w:r w:rsidRPr="00485F6E">
        <w:rPr>
          <w:sz w:val="20"/>
          <w:szCs w:val="20"/>
        </w:rPr>
        <w:t>Criminal Proce</w:t>
      </w:r>
      <w:r w:rsidR="00942F86">
        <w:rPr>
          <w:sz w:val="20"/>
          <w:szCs w:val="20"/>
        </w:rPr>
        <w:t>dures</w:t>
      </w:r>
      <w:r w:rsidRPr="00485F6E">
        <w:rPr>
          <w:sz w:val="20"/>
          <w:szCs w:val="20"/>
        </w:rPr>
        <w:t xml:space="preserve"> in force in said province </w:t>
      </w:r>
      <w:r w:rsidR="001D0BED">
        <w:rPr>
          <w:sz w:val="20"/>
          <w:szCs w:val="20"/>
        </w:rPr>
        <w:t>would organize</w:t>
      </w:r>
      <w:r w:rsidRPr="00485F6E">
        <w:rPr>
          <w:sz w:val="20"/>
          <w:szCs w:val="20"/>
        </w:rPr>
        <w:t xml:space="preserve"> a trial especially on the basis of hearings, which were governed by the principles of publicity, contradiction,</w:t>
      </w:r>
      <w:r w:rsidR="001D0BED">
        <w:rPr>
          <w:sz w:val="20"/>
          <w:szCs w:val="20"/>
        </w:rPr>
        <w:t xml:space="preserve"> concentration,</w:t>
      </w:r>
      <w:r w:rsidRPr="00485F6E">
        <w:rPr>
          <w:sz w:val="20"/>
          <w:szCs w:val="20"/>
        </w:rPr>
        <w:t xml:space="preserve"> intermediation, simplification, and expediency. Specifically with respect to the system of appeals, it indicated that said Code enshrined the right of the accused to benefit from a full review of the judgment of conviction.</w:t>
      </w:r>
    </w:p>
    <w:p w14:paraId="50B27B4B" w14:textId="77777777" w:rsidR="007B0E80" w:rsidRPr="00485F6E" w:rsidRDefault="007B0E80" w:rsidP="007B0E80">
      <w:pPr>
        <w:pStyle w:val="ListParagraph"/>
        <w:tabs>
          <w:tab w:val="left" w:pos="567"/>
        </w:tabs>
        <w:ind w:left="0"/>
        <w:jc w:val="both"/>
        <w:rPr>
          <w:sz w:val="20"/>
          <w:szCs w:val="20"/>
        </w:rPr>
      </w:pPr>
    </w:p>
    <w:p w14:paraId="6A30D212" w14:textId="77777777" w:rsidR="007B0E80" w:rsidRPr="00485F6E" w:rsidRDefault="00EB22D6" w:rsidP="007B0E80">
      <w:pPr>
        <w:pStyle w:val="Heading1"/>
        <w:numPr>
          <w:ilvl w:val="0"/>
          <w:numId w:val="26"/>
        </w:numPr>
        <w:rPr>
          <w:bCs/>
          <w:lang w:val="en-US"/>
        </w:rPr>
      </w:pPr>
      <w:bookmarkStart w:id="14" w:name="_Toc203988481"/>
      <w:r w:rsidRPr="00485F6E">
        <w:rPr>
          <w:lang w:val="en-US"/>
        </w:rPr>
        <w:t>ANALYSIS OF ADMISSIBILITY</w:t>
      </w:r>
      <w:bookmarkEnd w:id="14"/>
      <w:r w:rsidR="007B0E80" w:rsidRPr="00485F6E">
        <w:rPr>
          <w:lang w:val="en-US"/>
        </w:rPr>
        <w:t xml:space="preserve"> </w:t>
      </w:r>
    </w:p>
    <w:p w14:paraId="6DF7F6F8" w14:textId="77777777" w:rsidR="007B0E80" w:rsidRPr="00485F6E" w:rsidRDefault="007B0E80" w:rsidP="007B0E80">
      <w:pPr>
        <w:rPr>
          <w:lang w:eastAsia="es-ES"/>
        </w:rPr>
      </w:pPr>
    </w:p>
    <w:p w14:paraId="5CCA80A7" w14:textId="77777777" w:rsidR="007B0E80" w:rsidRPr="00485F6E" w:rsidRDefault="00EB22D6" w:rsidP="007B0E80">
      <w:pPr>
        <w:pStyle w:val="ListParagraph"/>
        <w:numPr>
          <w:ilvl w:val="0"/>
          <w:numId w:val="11"/>
        </w:numPr>
        <w:ind w:left="0" w:firstLine="0"/>
        <w:outlineLvl w:val="1"/>
        <w:rPr>
          <w:b/>
          <w:bCs/>
          <w:sz w:val="20"/>
          <w:szCs w:val="20"/>
        </w:rPr>
      </w:pPr>
      <w:bookmarkStart w:id="15" w:name="_Toc203988482"/>
      <w:r w:rsidRPr="00485F6E">
        <w:rPr>
          <w:b/>
          <w:bCs/>
          <w:sz w:val="20"/>
          <w:szCs w:val="20"/>
        </w:rPr>
        <w:t>Competence and duplication of proceedings and int</w:t>
      </w:r>
      <w:r w:rsidR="002A45DF">
        <w:rPr>
          <w:b/>
          <w:bCs/>
          <w:sz w:val="20"/>
          <w:szCs w:val="20"/>
        </w:rPr>
        <w:t xml:space="preserve">ernational </w:t>
      </w:r>
      <w:r w:rsidR="002A45DF" w:rsidRPr="002A45DF">
        <w:rPr>
          <w:b/>
          <w:bCs/>
          <w:i/>
          <w:sz w:val="20"/>
          <w:szCs w:val="20"/>
        </w:rPr>
        <w:t>res j</w:t>
      </w:r>
      <w:r w:rsidRPr="002A45DF">
        <w:rPr>
          <w:b/>
          <w:bCs/>
          <w:i/>
          <w:sz w:val="20"/>
          <w:szCs w:val="20"/>
        </w:rPr>
        <w:t>udicata</w:t>
      </w:r>
      <w:bookmarkEnd w:id="15"/>
      <w:r w:rsidR="007B0E80" w:rsidRPr="00485F6E">
        <w:rPr>
          <w:b/>
          <w:bCs/>
          <w:sz w:val="20"/>
          <w:szCs w:val="20"/>
        </w:rPr>
        <w:t xml:space="preserve"> </w:t>
      </w:r>
    </w:p>
    <w:p w14:paraId="5FB66A8C" w14:textId="77777777" w:rsidR="007B0E80" w:rsidRPr="00485F6E" w:rsidRDefault="007B0E80" w:rsidP="007B0E80">
      <w:pPr>
        <w:rPr>
          <w:lang w:eastAsia="es-ES"/>
        </w:rPr>
      </w:pPr>
    </w:p>
    <w:tbl>
      <w:tblPr>
        <w:tblStyle w:val="TableGrid"/>
        <w:tblW w:w="0" w:type="auto"/>
        <w:tblLook w:val="04A0" w:firstRow="1" w:lastRow="0" w:firstColumn="1" w:lastColumn="0" w:noHBand="0" w:noVBand="1"/>
      </w:tblPr>
      <w:tblGrid>
        <w:gridCol w:w="3539"/>
        <w:gridCol w:w="5811"/>
      </w:tblGrid>
      <w:tr w:rsidR="007B0E80" w:rsidRPr="00485F6E" w14:paraId="0D3AA963" w14:textId="77777777" w:rsidTr="005076F9">
        <w:tc>
          <w:tcPr>
            <w:tcW w:w="3539" w:type="dxa"/>
            <w:shd w:val="clear" w:color="auto" w:fill="1F4E79" w:themeFill="accent1" w:themeFillShade="80"/>
            <w:vAlign w:val="center"/>
          </w:tcPr>
          <w:p w14:paraId="74225B91" w14:textId="77777777" w:rsidR="007B0E80" w:rsidRPr="00485F6E" w:rsidRDefault="00EB22D6" w:rsidP="005076F9">
            <w:pPr>
              <w:jc w:val="center"/>
              <w:rPr>
                <w:rFonts w:ascii="Cambria" w:hAnsi="Cambria"/>
                <w:b/>
                <w:bCs/>
                <w:i/>
                <w:iCs/>
                <w:color w:val="FFFFFF" w:themeColor="background1"/>
                <w:sz w:val="20"/>
                <w:szCs w:val="20"/>
                <w:lang w:eastAsia="es-ES"/>
              </w:rPr>
            </w:pPr>
            <w:r w:rsidRPr="00485F6E">
              <w:rPr>
                <w:rFonts w:ascii="Cambria" w:hAnsi="Cambria"/>
                <w:b/>
                <w:bCs/>
                <w:color w:val="FFFFFF" w:themeColor="background1"/>
                <w:sz w:val="20"/>
                <w:szCs w:val="20"/>
                <w:lang w:eastAsia="es-ES"/>
              </w:rPr>
              <w:t>Competence</w:t>
            </w:r>
            <w:r w:rsidR="007B0E80" w:rsidRPr="00485F6E">
              <w:rPr>
                <w:rFonts w:ascii="Cambria" w:hAnsi="Cambria"/>
                <w:b/>
                <w:bCs/>
                <w:color w:val="FFFFFF" w:themeColor="background1"/>
                <w:sz w:val="20"/>
                <w:szCs w:val="20"/>
                <w:lang w:eastAsia="es-ES"/>
              </w:rPr>
              <w:t xml:space="preserve"> </w:t>
            </w:r>
            <w:r w:rsidRPr="00485F6E">
              <w:rPr>
                <w:rFonts w:ascii="Cambria" w:hAnsi="Cambria"/>
                <w:b/>
                <w:bCs/>
                <w:i/>
                <w:iCs/>
                <w:color w:val="FFFFFF" w:themeColor="background1"/>
                <w:sz w:val="20"/>
                <w:szCs w:val="20"/>
                <w:lang w:eastAsia="es-ES"/>
              </w:rPr>
              <w:t>r</w:t>
            </w:r>
            <w:r w:rsidR="007B0E80" w:rsidRPr="00485F6E">
              <w:rPr>
                <w:rFonts w:ascii="Cambria" w:hAnsi="Cambria"/>
                <w:b/>
                <w:bCs/>
                <w:i/>
                <w:iCs/>
                <w:color w:val="FFFFFF" w:themeColor="background1"/>
                <w:sz w:val="20"/>
                <w:szCs w:val="20"/>
                <w:lang w:eastAsia="es-ES"/>
              </w:rPr>
              <w:t>atione personae:</w:t>
            </w:r>
          </w:p>
        </w:tc>
        <w:tc>
          <w:tcPr>
            <w:tcW w:w="5811" w:type="dxa"/>
            <w:vAlign w:val="center"/>
          </w:tcPr>
          <w:p w14:paraId="651FBA4B" w14:textId="77777777" w:rsidR="007B0E80" w:rsidRPr="00485F6E" w:rsidRDefault="00BC6866" w:rsidP="005076F9">
            <w:pPr>
              <w:rPr>
                <w:rFonts w:ascii="Cambria" w:hAnsi="Cambria"/>
                <w:sz w:val="20"/>
                <w:szCs w:val="20"/>
                <w:lang w:eastAsia="es-ES"/>
              </w:rPr>
            </w:pPr>
            <w:r w:rsidRPr="00485F6E">
              <w:rPr>
                <w:rFonts w:ascii="Cambria" w:hAnsi="Cambria"/>
                <w:sz w:val="20"/>
                <w:szCs w:val="20"/>
                <w:lang w:eastAsia="es-ES"/>
              </w:rPr>
              <w:t>Yes</w:t>
            </w:r>
          </w:p>
        </w:tc>
      </w:tr>
      <w:tr w:rsidR="007B0E80" w:rsidRPr="00485F6E" w14:paraId="5EBEF9D7" w14:textId="77777777" w:rsidTr="005076F9">
        <w:tc>
          <w:tcPr>
            <w:tcW w:w="3539" w:type="dxa"/>
            <w:shd w:val="clear" w:color="auto" w:fill="1F4E79" w:themeFill="accent1" w:themeFillShade="80"/>
            <w:vAlign w:val="center"/>
          </w:tcPr>
          <w:p w14:paraId="1E810226" w14:textId="77777777" w:rsidR="007B0E80" w:rsidRPr="00485F6E" w:rsidRDefault="007B0E80" w:rsidP="00EB22D6">
            <w:pPr>
              <w:jc w:val="center"/>
              <w:rPr>
                <w:rFonts w:ascii="Cambria" w:hAnsi="Cambria"/>
                <w:b/>
                <w:bCs/>
                <w:i/>
                <w:iCs/>
                <w:color w:val="FFFFFF" w:themeColor="background1"/>
                <w:sz w:val="20"/>
                <w:szCs w:val="20"/>
                <w:lang w:eastAsia="es-ES"/>
              </w:rPr>
            </w:pPr>
            <w:r w:rsidRPr="00485F6E">
              <w:rPr>
                <w:rFonts w:ascii="Cambria" w:hAnsi="Cambria"/>
                <w:b/>
                <w:bCs/>
                <w:color w:val="FFFFFF" w:themeColor="background1"/>
                <w:sz w:val="20"/>
                <w:szCs w:val="20"/>
                <w:lang w:eastAsia="es-ES"/>
              </w:rPr>
              <w:t>Competenc</w:t>
            </w:r>
            <w:r w:rsidR="00EB22D6" w:rsidRPr="00485F6E">
              <w:rPr>
                <w:rFonts w:ascii="Cambria" w:hAnsi="Cambria"/>
                <w:b/>
                <w:bCs/>
                <w:color w:val="FFFFFF" w:themeColor="background1"/>
                <w:sz w:val="20"/>
                <w:szCs w:val="20"/>
                <w:lang w:eastAsia="es-ES"/>
              </w:rPr>
              <w:t>e</w:t>
            </w:r>
            <w:r w:rsidRPr="00485F6E">
              <w:rPr>
                <w:rFonts w:ascii="Cambria" w:hAnsi="Cambria"/>
                <w:b/>
                <w:bCs/>
                <w:color w:val="FFFFFF" w:themeColor="background1"/>
                <w:sz w:val="20"/>
                <w:szCs w:val="20"/>
                <w:lang w:eastAsia="es-ES"/>
              </w:rPr>
              <w:t xml:space="preserve"> </w:t>
            </w:r>
            <w:r w:rsidR="00EB22D6" w:rsidRPr="00485F6E">
              <w:rPr>
                <w:rFonts w:ascii="Cambria" w:hAnsi="Cambria"/>
                <w:b/>
                <w:bCs/>
                <w:i/>
                <w:iCs/>
                <w:color w:val="FFFFFF" w:themeColor="background1"/>
                <w:sz w:val="20"/>
                <w:szCs w:val="20"/>
                <w:lang w:eastAsia="es-ES"/>
              </w:rPr>
              <w:t>r</w:t>
            </w:r>
            <w:r w:rsidRPr="00485F6E">
              <w:rPr>
                <w:rFonts w:ascii="Cambria" w:hAnsi="Cambria"/>
                <w:b/>
                <w:bCs/>
                <w:i/>
                <w:iCs/>
                <w:color w:val="FFFFFF" w:themeColor="background1"/>
                <w:sz w:val="20"/>
                <w:szCs w:val="20"/>
                <w:lang w:eastAsia="es-ES"/>
              </w:rPr>
              <w:t>atione loci:</w:t>
            </w:r>
          </w:p>
        </w:tc>
        <w:tc>
          <w:tcPr>
            <w:tcW w:w="5811" w:type="dxa"/>
            <w:vAlign w:val="center"/>
          </w:tcPr>
          <w:p w14:paraId="563C34B5" w14:textId="77777777" w:rsidR="007B0E80" w:rsidRPr="00485F6E" w:rsidRDefault="00BC6866" w:rsidP="005076F9">
            <w:pPr>
              <w:rPr>
                <w:rFonts w:ascii="Cambria" w:hAnsi="Cambria"/>
                <w:sz w:val="20"/>
                <w:szCs w:val="20"/>
                <w:lang w:eastAsia="es-ES"/>
              </w:rPr>
            </w:pPr>
            <w:r w:rsidRPr="00485F6E">
              <w:rPr>
                <w:rFonts w:ascii="Cambria" w:hAnsi="Cambria"/>
                <w:sz w:val="20"/>
                <w:szCs w:val="20"/>
                <w:lang w:eastAsia="es-ES"/>
              </w:rPr>
              <w:t>Yes</w:t>
            </w:r>
          </w:p>
        </w:tc>
      </w:tr>
      <w:tr w:rsidR="007B0E80" w:rsidRPr="00485F6E" w14:paraId="6CB06C02" w14:textId="77777777" w:rsidTr="005076F9">
        <w:tc>
          <w:tcPr>
            <w:tcW w:w="3539" w:type="dxa"/>
            <w:shd w:val="clear" w:color="auto" w:fill="1F4E79" w:themeFill="accent1" w:themeFillShade="80"/>
            <w:vAlign w:val="center"/>
          </w:tcPr>
          <w:p w14:paraId="5F839122" w14:textId="77777777" w:rsidR="007B0E80" w:rsidRPr="00485F6E" w:rsidRDefault="007B0E80" w:rsidP="00EB22D6">
            <w:pPr>
              <w:jc w:val="center"/>
              <w:rPr>
                <w:rFonts w:ascii="Cambria" w:hAnsi="Cambria"/>
                <w:b/>
                <w:bCs/>
                <w:i/>
                <w:iCs/>
                <w:color w:val="FFFFFF" w:themeColor="background1"/>
                <w:sz w:val="20"/>
                <w:szCs w:val="20"/>
                <w:lang w:eastAsia="es-ES"/>
              </w:rPr>
            </w:pPr>
            <w:r w:rsidRPr="00485F6E">
              <w:rPr>
                <w:rFonts w:ascii="Cambria" w:hAnsi="Cambria"/>
                <w:b/>
                <w:bCs/>
                <w:color w:val="FFFFFF" w:themeColor="background1"/>
                <w:sz w:val="20"/>
                <w:szCs w:val="20"/>
                <w:lang w:eastAsia="es-ES"/>
              </w:rPr>
              <w:t>Competenc</w:t>
            </w:r>
            <w:r w:rsidR="00EB22D6" w:rsidRPr="00485F6E">
              <w:rPr>
                <w:rFonts w:ascii="Cambria" w:hAnsi="Cambria"/>
                <w:b/>
                <w:bCs/>
                <w:color w:val="FFFFFF" w:themeColor="background1"/>
                <w:sz w:val="20"/>
                <w:szCs w:val="20"/>
                <w:lang w:eastAsia="es-ES"/>
              </w:rPr>
              <w:t>e</w:t>
            </w:r>
            <w:r w:rsidRPr="00485F6E">
              <w:rPr>
                <w:rFonts w:ascii="Cambria" w:hAnsi="Cambria"/>
                <w:b/>
                <w:bCs/>
                <w:color w:val="FFFFFF" w:themeColor="background1"/>
                <w:sz w:val="20"/>
                <w:szCs w:val="20"/>
                <w:lang w:eastAsia="es-ES"/>
              </w:rPr>
              <w:t xml:space="preserve"> </w:t>
            </w:r>
            <w:r w:rsidR="00EB22D6" w:rsidRPr="00485F6E">
              <w:rPr>
                <w:rFonts w:ascii="Cambria" w:hAnsi="Cambria"/>
                <w:b/>
                <w:bCs/>
                <w:i/>
                <w:iCs/>
                <w:color w:val="FFFFFF" w:themeColor="background1"/>
                <w:sz w:val="20"/>
                <w:szCs w:val="20"/>
                <w:lang w:eastAsia="es-ES"/>
              </w:rPr>
              <w:t>r</w:t>
            </w:r>
            <w:r w:rsidRPr="00485F6E">
              <w:rPr>
                <w:rFonts w:ascii="Cambria" w:hAnsi="Cambria"/>
                <w:b/>
                <w:bCs/>
                <w:i/>
                <w:iCs/>
                <w:color w:val="FFFFFF" w:themeColor="background1"/>
                <w:sz w:val="20"/>
                <w:szCs w:val="20"/>
                <w:lang w:eastAsia="es-ES"/>
              </w:rPr>
              <w:t>atione temporis:</w:t>
            </w:r>
          </w:p>
        </w:tc>
        <w:tc>
          <w:tcPr>
            <w:tcW w:w="5811" w:type="dxa"/>
            <w:vAlign w:val="center"/>
          </w:tcPr>
          <w:p w14:paraId="5563B1FF" w14:textId="77777777" w:rsidR="007B0E80" w:rsidRPr="00485F6E" w:rsidRDefault="00BC6866" w:rsidP="005076F9">
            <w:pPr>
              <w:rPr>
                <w:rFonts w:ascii="Cambria" w:hAnsi="Cambria"/>
                <w:sz w:val="20"/>
                <w:szCs w:val="20"/>
                <w:lang w:eastAsia="es-ES"/>
              </w:rPr>
            </w:pPr>
            <w:r w:rsidRPr="00485F6E">
              <w:rPr>
                <w:rFonts w:ascii="Cambria" w:hAnsi="Cambria"/>
                <w:sz w:val="20"/>
                <w:szCs w:val="20"/>
                <w:lang w:eastAsia="es-ES"/>
              </w:rPr>
              <w:t>Yes</w:t>
            </w:r>
          </w:p>
        </w:tc>
      </w:tr>
      <w:tr w:rsidR="007B0E80" w:rsidRPr="00485F6E" w14:paraId="02092653" w14:textId="77777777" w:rsidTr="005076F9">
        <w:tc>
          <w:tcPr>
            <w:tcW w:w="3539" w:type="dxa"/>
            <w:shd w:val="clear" w:color="auto" w:fill="1F4E79" w:themeFill="accent1" w:themeFillShade="80"/>
            <w:vAlign w:val="center"/>
          </w:tcPr>
          <w:p w14:paraId="472C89E7" w14:textId="77777777" w:rsidR="007B0E80" w:rsidRPr="00485F6E" w:rsidRDefault="007B0E80" w:rsidP="00EB22D6">
            <w:pPr>
              <w:jc w:val="center"/>
              <w:rPr>
                <w:rFonts w:ascii="Cambria" w:hAnsi="Cambria"/>
                <w:b/>
                <w:bCs/>
                <w:i/>
                <w:iCs/>
                <w:color w:val="FFFFFF" w:themeColor="background1"/>
                <w:sz w:val="20"/>
                <w:szCs w:val="20"/>
                <w:lang w:eastAsia="es-ES"/>
              </w:rPr>
            </w:pPr>
            <w:r w:rsidRPr="00485F6E">
              <w:rPr>
                <w:rFonts w:ascii="Cambria" w:hAnsi="Cambria"/>
                <w:b/>
                <w:bCs/>
                <w:color w:val="FFFFFF" w:themeColor="background1"/>
                <w:sz w:val="20"/>
                <w:szCs w:val="20"/>
                <w:lang w:eastAsia="es-ES"/>
              </w:rPr>
              <w:t>Competenc</w:t>
            </w:r>
            <w:r w:rsidR="00EB22D6" w:rsidRPr="00485F6E">
              <w:rPr>
                <w:rFonts w:ascii="Cambria" w:hAnsi="Cambria"/>
                <w:b/>
                <w:bCs/>
                <w:color w:val="FFFFFF" w:themeColor="background1"/>
                <w:sz w:val="20"/>
                <w:szCs w:val="20"/>
                <w:lang w:eastAsia="es-ES"/>
              </w:rPr>
              <w:t>e</w:t>
            </w:r>
            <w:r w:rsidRPr="00485F6E">
              <w:rPr>
                <w:rFonts w:ascii="Cambria" w:hAnsi="Cambria"/>
                <w:b/>
                <w:bCs/>
                <w:color w:val="FFFFFF" w:themeColor="background1"/>
                <w:sz w:val="20"/>
                <w:szCs w:val="20"/>
                <w:lang w:eastAsia="es-ES"/>
              </w:rPr>
              <w:t xml:space="preserve"> </w:t>
            </w:r>
            <w:r w:rsidR="00EB22D6" w:rsidRPr="00485F6E">
              <w:rPr>
                <w:rFonts w:ascii="Cambria" w:hAnsi="Cambria"/>
                <w:b/>
                <w:bCs/>
                <w:i/>
                <w:iCs/>
                <w:color w:val="FFFFFF" w:themeColor="background1"/>
                <w:sz w:val="20"/>
                <w:szCs w:val="20"/>
                <w:lang w:eastAsia="es-ES"/>
              </w:rPr>
              <w:t>r</w:t>
            </w:r>
            <w:r w:rsidRPr="00485F6E">
              <w:rPr>
                <w:rFonts w:ascii="Cambria" w:hAnsi="Cambria"/>
                <w:b/>
                <w:bCs/>
                <w:i/>
                <w:iCs/>
                <w:color w:val="FFFFFF" w:themeColor="background1"/>
                <w:sz w:val="20"/>
                <w:szCs w:val="20"/>
                <w:lang w:eastAsia="es-ES"/>
              </w:rPr>
              <w:t>atione materiae:</w:t>
            </w:r>
          </w:p>
        </w:tc>
        <w:tc>
          <w:tcPr>
            <w:tcW w:w="5811" w:type="dxa"/>
          </w:tcPr>
          <w:p w14:paraId="12B34274" w14:textId="77777777" w:rsidR="007B0E80" w:rsidRPr="00485F6E" w:rsidRDefault="00BC6866" w:rsidP="00BC6866">
            <w:pPr>
              <w:jc w:val="both"/>
              <w:rPr>
                <w:rFonts w:ascii="Cambria" w:hAnsi="Cambria"/>
                <w:sz w:val="20"/>
                <w:szCs w:val="20"/>
                <w:lang w:eastAsia="es-ES"/>
              </w:rPr>
            </w:pPr>
            <w:r w:rsidRPr="00485F6E">
              <w:rPr>
                <w:rFonts w:ascii="Cambria" w:hAnsi="Cambria"/>
                <w:sz w:val="20"/>
                <w:szCs w:val="20"/>
                <w:lang w:eastAsia="es-ES"/>
              </w:rPr>
              <w:t>Yes, American Convention on Human Rights</w:t>
            </w:r>
            <w:r w:rsidR="007B0E80" w:rsidRPr="00485F6E">
              <w:rPr>
                <w:rFonts w:ascii="Cambria" w:hAnsi="Cambria"/>
                <w:sz w:val="20"/>
                <w:szCs w:val="20"/>
                <w:lang w:eastAsia="es-ES"/>
              </w:rPr>
              <w:t xml:space="preserve"> (</w:t>
            </w:r>
            <w:r w:rsidRPr="00485F6E">
              <w:rPr>
                <w:rFonts w:ascii="Cambria" w:hAnsi="Cambria"/>
                <w:sz w:val="20"/>
                <w:szCs w:val="20"/>
                <w:lang w:eastAsia="es-ES"/>
              </w:rPr>
              <w:t>ratification instrument deposited on September 5, 1984)</w:t>
            </w:r>
          </w:p>
        </w:tc>
      </w:tr>
      <w:tr w:rsidR="007B0E80" w:rsidRPr="00485F6E" w14:paraId="231AFE21" w14:textId="77777777" w:rsidTr="005076F9">
        <w:tc>
          <w:tcPr>
            <w:tcW w:w="3539" w:type="dxa"/>
            <w:shd w:val="clear" w:color="auto" w:fill="1F4E79" w:themeFill="accent1" w:themeFillShade="80"/>
            <w:vAlign w:val="center"/>
          </w:tcPr>
          <w:p w14:paraId="340FEAE3" w14:textId="77777777" w:rsidR="007B0E80" w:rsidRPr="00485F6E" w:rsidRDefault="007B0E80" w:rsidP="00FC3033">
            <w:pPr>
              <w:jc w:val="center"/>
              <w:rPr>
                <w:rFonts w:ascii="Cambria" w:hAnsi="Cambria"/>
                <w:b/>
                <w:bCs/>
                <w:color w:val="FFFFFF" w:themeColor="background1"/>
                <w:sz w:val="20"/>
                <w:szCs w:val="20"/>
                <w:lang w:eastAsia="es-ES"/>
              </w:rPr>
            </w:pPr>
            <w:r w:rsidRPr="00485F6E">
              <w:rPr>
                <w:rFonts w:ascii="Cambria" w:hAnsi="Cambria"/>
                <w:b/>
                <w:bCs/>
                <w:color w:val="FFFFFF" w:themeColor="background1"/>
                <w:sz w:val="20"/>
                <w:szCs w:val="20"/>
                <w:lang w:eastAsia="es-ES"/>
              </w:rPr>
              <w:t>Duplica</w:t>
            </w:r>
            <w:r w:rsidR="00EB22D6" w:rsidRPr="00485F6E">
              <w:rPr>
                <w:rFonts w:ascii="Cambria" w:hAnsi="Cambria"/>
                <w:b/>
                <w:bCs/>
                <w:color w:val="FFFFFF" w:themeColor="background1"/>
                <w:sz w:val="20"/>
                <w:szCs w:val="20"/>
                <w:lang w:eastAsia="es-ES"/>
              </w:rPr>
              <w:t xml:space="preserve">tion of proceedings and </w:t>
            </w:r>
            <w:r w:rsidR="00BC6866" w:rsidRPr="00485F6E">
              <w:rPr>
                <w:rFonts w:ascii="Cambria" w:hAnsi="Cambria"/>
                <w:b/>
                <w:bCs/>
                <w:color w:val="FFFFFF" w:themeColor="background1"/>
                <w:sz w:val="20"/>
                <w:szCs w:val="20"/>
                <w:lang w:eastAsia="es-ES"/>
              </w:rPr>
              <w:t xml:space="preserve">international </w:t>
            </w:r>
            <w:r w:rsidR="00EB22D6" w:rsidRPr="001D0BED">
              <w:rPr>
                <w:rFonts w:ascii="Cambria" w:hAnsi="Cambria"/>
                <w:b/>
                <w:bCs/>
                <w:i/>
                <w:color w:val="FFFFFF" w:themeColor="background1"/>
                <w:sz w:val="20"/>
                <w:szCs w:val="20"/>
                <w:lang w:eastAsia="es-ES"/>
              </w:rPr>
              <w:t xml:space="preserve">res </w:t>
            </w:r>
            <w:r w:rsidR="00FC3033" w:rsidRPr="001D0BED">
              <w:rPr>
                <w:rFonts w:ascii="Cambria" w:hAnsi="Cambria"/>
                <w:b/>
                <w:bCs/>
                <w:i/>
                <w:color w:val="FFFFFF" w:themeColor="background1"/>
                <w:sz w:val="20"/>
                <w:szCs w:val="20"/>
                <w:lang w:eastAsia="es-ES"/>
              </w:rPr>
              <w:t>j</w:t>
            </w:r>
            <w:r w:rsidR="00EB22D6" w:rsidRPr="001D0BED">
              <w:rPr>
                <w:rFonts w:ascii="Cambria" w:hAnsi="Cambria"/>
                <w:b/>
                <w:bCs/>
                <w:i/>
                <w:color w:val="FFFFFF" w:themeColor="background1"/>
                <w:sz w:val="20"/>
                <w:szCs w:val="20"/>
                <w:lang w:eastAsia="es-ES"/>
              </w:rPr>
              <w:t>udicata</w:t>
            </w:r>
            <w:r w:rsidRPr="00485F6E">
              <w:rPr>
                <w:rFonts w:ascii="Cambria" w:hAnsi="Cambria"/>
                <w:b/>
                <w:bCs/>
                <w:color w:val="FFFFFF" w:themeColor="background1"/>
                <w:sz w:val="20"/>
                <w:szCs w:val="20"/>
                <w:lang w:eastAsia="es-ES"/>
              </w:rPr>
              <w:t>:</w:t>
            </w:r>
          </w:p>
        </w:tc>
        <w:tc>
          <w:tcPr>
            <w:tcW w:w="5811" w:type="dxa"/>
            <w:vAlign w:val="center"/>
          </w:tcPr>
          <w:p w14:paraId="61B2CACD" w14:textId="77777777" w:rsidR="007B0E80" w:rsidRPr="00485F6E" w:rsidRDefault="007B0E80" w:rsidP="005076F9">
            <w:pPr>
              <w:rPr>
                <w:rFonts w:ascii="Cambria" w:hAnsi="Cambria"/>
                <w:sz w:val="20"/>
                <w:szCs w:val="20"/>
                <w:lang w:eastAsia="es-ES"/>
              </w:rPr>
            </w:pPr>
            <w:r w:rsidRPr="00485F6E">
              <w:rPr>
                <w:rFonts w:ascii="Cambria" w:hAnsi="Cambria"/>
                <w:sz w:val="20"/>
                <w:szCs w:val="20"/>
                <w:lang w:eastAsia="es-ES"/>
              </w:rPr>
              <w:t xml:space="preserve">No </w:t>
            </w:r>
          </w:p>
        </w:tc>
      </w:tr>
    </w:tbl>
    <w:p w14:paraId="5D9401CB" w14:textId="77777777" w:rsidR="007B0E80" w:rsidRPr="00485F6E" w:rsidRDefault="007B0E80" w:rsidP="007B0E80">
      <w:pPr>
        <w:jc w:val="both"/>
      </w:pPr>
    </w:p>
    <w:p w14:paraId="12159F5E" w14:textId="77777777" w:rsidR="007B0E80" w:rsidRPr="00485F6E" w:rsidRDefault="00BC6866" w:rsidP="0062138B">
      <w:pPr>
        <w:pStyle w:val="ListParagraph"/>
        <w:numPr>
          <w:ilvl w:val="0"/>
          <w:numId w:val="11"/>
        </w:numPr>
        <w:ind w:left="0" w:firstLine="0"/>
        <w:outlineLvl w:val="1"/>
        <w:rPr>
          <w:b/>
          <w:bCs/>
          <w:sz w:val="20"/>
          <w:szCs w:val="20"/>
        </w:rPr>
      </w:pPr>
      <w:bookmarkStart w:id="16" w:name="_Toc203988483"/>
      <w:r w:rsidRPr="00485F6E">
        <w:rPr>
          <w:b/>
          <w:bCs/>
          <w:sz w:val="20"/>
          <w:szCs w:val="20"/>
        </w:rPr>
        <w:t>Exhaustion of remedies under domestic law</w:t>
      </w:r>
      <w:bookmarkEnd w:id="16"/>
      <w:r w:rsidR="007B0E80" w:rsidRPr="00485F6E">
        <w:rPr>
          <w:b/>
          <w:bCs/>
          <w:sz w:val="20"/>
          <w:szCs w:val="20"/>
        </w:rPr>
        <w:t xml:space="preserve"> </w:t>
      </w:r>
    </w:p>
    <w:p w14:paraId="628F8BB9" w14:textId="77777777" w:rsidR="007B0E80" w:rsidRPr="00485F6E" w:rsidRDefault="007B0E80" w:rsidP="007B0E80">
      <w:pPr>
        <w:jc w:val="both"/>
        <w:rPr>
          <w:b/>
          <w:bCs/>
          <w:sz w:val="20"/>
          <w:szCs w:val="20"/>
        </w:rPr>
      </w:pPr>
    </w:p>
    <w:p w14:paraId="37F02959" w14:textId="77777777" w:rsidR="007B0E80" w:rsidRPr="00485F6E" w:rsidRDefault="00BC6866" w:rsidP="007B0E80">
      <w:pPr>
        <w:pStyle w:val="ListParagraph"/>
        <w:numPr>
          <w:ilvl w:val="0"/>
          <w:numId w:val="2"/>
        </w:numPr>
        <w:tabs>
          <w:tab w:val="left" w:pos="567"/>
        </w:tabs>
        <w:ind w:left="0" w:firstLine="0"/>
        <w:jc w:val="both"/>
        <w:rPr>
          <w:sz w:val="20"/>
          <w:szCs w:val="20"/>
        </w:rPr>
      </w:pPr>
      <w:r w:rsidRPr="00485F6E">
        <w:rPr>
          <w:sz w:val="20"/>
          <w:szCs w:val="20"/>
        </w:rPr>
        <w:t>Article 46(1)(</w:t>
      </w:r>
      <w:r w:rsidR="007B0E80" w:rsidRPr="00485F6E">
        <w:rPr>
          <w:sz w:val="20"/>
          <w:szCs w:val="20"/>
        </w:rPr>
        <w:t>a</w:t>
      </w:r>
      <w:r w:rsidRPr="00485F6E">
        <w:rPr>
          <w:sz w:val="20"/>
          <w:szCs w:val="20"/>
        </w:rPr>
        <w:t>) of the American Convention provides that, for a petition filed with the Inter-American Commission to be deemed admissible, remedies under domestic</w:t>
      </w:r>
      <w:r w:rsidR="00970912">
        <w:rPr>
          <w:sz w:val="20"/>
          <w:szCs w:val="20"/>
        </w:rPr>
        <w:t xml:space="preserve"> law must have been previously pursued</w:t>
      </w:r>
      <w:r w:rsidRPr="00485F6E">
        <w:rPr>
          <w:sz w:val="20"/>
          <w:szCs w:val="20"/>
        </w:rPr>
        <w:t xml:space="preserve"> and exhausted in accordance with generally recognized principles of international law</w:t>
      </w:r>
      <w:r w:rsidR="007B0E80" w:rsidRPr="00485F6E">
        <w:rPr>
          <w:sz w:val="20"/>
          <w:szCs w:val="20"/>
        </w:rPr>
        <w:t>.</w:t>
      </w:r>
    </w:p>
    <w:p w14:paraId="136F1FD0" w14:textId="77777777" w:rsidR="007B0E80" w:rsidRPr="00485F6E" w:rsidRDefault="007B0E80" w:rsidP="007B0E80">
      <w:pPr>
        <w:pStyle w:val="ListParagraph"/>
        <w:tabs>
          <w:tab w:val="left" w:pos="567"/>
        </w:tabs>
        <w:ind w:left="0"/>
        <w:jc w:val="both"/>
        <w:rPr>
          <w:sz w:val="20"/>
          <w:szCs w:val="20"/>
        </w:rPr>
      </w:pPr>
    </w:p>
    <w:p w14:paraId="2924384B" w14:textId="77777777" w:rsidR="007B0E80" w:rsidRPr="00485F6E" w:rsidRDefault="00BC6866" w:rsidP="007B0E80">
      <w:pPr>
        <w:pStyle w:val="ListParagraph"/>
        <w:numPr>
          <w:ilvl w:val="0"/>
          <w:numId w:val="2"/>
        </w:numPr>
        <w:tabs>
          <w:tab w:val="left" w:pos="567"/>
        </w:tabs>
        <w:ind w:left="0" w:firstLine="0"/>
        <w:jc w:val="both"/>
        <w:rPr>
          <w:sz w:val="20"/>
          <w:szCs w:val="20"/>
        </w:rPr>
      </w:pPr>
      <w:r w:rsidRPr="00485F6E">
        <w:rPr>
          <w:sz w:val="20"/>
          <w:szCs w:val="20"/>
        </w:rPr>
        <w:t xml:space="preserve">In the </w:t>
      </w:r>
      <w:r w:rsidR="003377AB">
        <w:rPr>
          <w:sz w:val="20"/>
          <w:szCs w:val="20"/>
        </w:rPr>
        <w:t>instant</w:t>
      </w:r>
      <w:r w:rsidRPr="00485F6E">
        <w:rPr>
          <w:sz w:val="20"/>
          <w:szCs w:val="20"/>
        </w:rPr>
        <w:t xml:space="preserve"> case, the Commission observes that the state expressed, throughout the processing of the petition, three different allegations in connection with the petitioners’ failure to meet the requirement of prior exhaustion of remedies under domestic law, namely</w:t>
      </w:r>
      <w:r w:rsidR="007B0E80" w:rsidRPr="00485F6E">
        <w:rPr>
          <w:sz w:val="20"/>
          <w:szCs w:val="20"/>
        </w:rPr>
        <w:t xml:space="preserve">: i) </w:t>
      </w:r>
      <w:r w:rsidRPr="00485F6E">
        <w:rPr>
          <w:sz w:val="20"/>
          <w:szCs w:val="20"/>
        </w:rPr>
        <w:t>inadequate exhaustion of remedies under domestic law because of the filing of a complaint past statutory time-limits</w:t>
      </w:r>
      <w:r w:rsidR="007B0E80" w:rsidRPr="00485F6E">
        <w:rPr>
          <w:sz w:val="20"/>
          <w:szCs w:val="20"/>
        </w:rPr>
        <w:t xml:space="preserve">; ii) </w:t>
      </w:r>
      <w:r w:rsidR="00DD15C2" w:rsidRPr="00485F6E">
        <w:rPr>
          <w:sz w:val="20"/>
          <w:szCs w:val="20"/>
        </w:rPr>
        <w:t xml:space="preserve">the failure to exhaust the remedy of filing an appeal for annulment in the event that dismissal of the above-mentioned remedy of complaint had not been settled in accordance with domestic law; and </w:t>
      </w:r>
      <w:r w:rsidR="007B0E80" w:rsidRPr="00485F6E">
        <w:rPr>
          <w:sz w:val="20"/>
          <w:szCs w:val="20"/>
        </w:rPr>
        <w:t xml:space="preserve">iii) </w:t>
      </w:r>
      <w:r w:rsidR="00DD15C2" w:rsidRPr="00485F6E">
        <w:rPr>
          <w:sz w:val="20"/>
          <w:szCs w:val="20"/>
        </w:rPr>
        <w:t xml:space="preserve">the filing </w:t>
      </w:r>
      <w:r w:rsidR="00CD021E" w:rsidRPr="00485F6E">
        <w:rPr>
          <w:sz w:val="20"/>
          <w:szCs w:val="20"/>
        </w:rPr>
        <w:t xml:space="preserve">past statutory time-limits </w:t>
      </w:r>
      <w:r w:rsidR="00DD15C2" w:rsidRPr="00485F6E">
        <w:rPr>
          <w:sz w:val="20"/>
          <w:szCs w:val="20"/>
        </w:rPr>
        <w:t>of the federal matter und</w:t>
      </w:r>
      <w:r w:rsidR="00CD021E" w:rsidRPr="00485F6E">
        <w:rPr>
          <w:sz w:val="20"/>
          <w:szCs w:val="20"/>
        </w:rPr>
        <w:t>er the jurisdiction of the Supreme Court which is then submitted to the Commission</w:t>
      </w:r>
      <w:r w:rsidR="007B0E80" w:rsidRPr="00485F6E">
        <w:rPr>
          <w:sz w:val="20"/>
          <w:szCs w:val="20"/>
        </w:rPr>
        <w:t xml:space="preserve">. </w:t>
      </w:r>
    </w:p>
    <w:p w14:paraId="6D9064E4" w14:textId="77777777" w:rsidR="007B0E80" w:rsidRPr="00485F6E" w:rsidRDefault="007B0E80" w:rsidP="007B0E80">
      <w:pPr>
        <w:pStyle w:val="ListParagraph"/>
        <w:ind w:left="0"/>
        <w:jc w:val="both"/>
        <w:rPr>
          <w:sz w:val="20"/>
          <w:szCs w:val="20"/>
        </w:rPr>
      </w:pPr>
    </w:p>
    <w:p w14:paraId="577B8240" w14:textId="77777777" w:rsidR="007B0E80" w:rsidRPr="00485F6E" w:rsidRDefault="00CD021E" w:rsidP="007B0E80">
      <w:pPr>
        <w:pStyle w:val="ListParagraph"/>
        <w:numPr>
          <w:ilvl w:val="0"/>
          <w:numId w:val="24"/>
        </w:numPr>
        <w:spacing w:after="240"/>
        <w:jc w:val="both"/>
        <w:outlineLvl w:val="2"/>
        <w:rPr>
          <w:sz w:val="20"/>
          <w:szCs w:val="20"/>
        </w:rPr>
      </w:pPr>
      <w:bookmarkStart w:id="17" w:name="_Toc203988484"/>
      <w:r w:rsidRPr="0005688D">
        <w:rPr>
          <w:b/>
          <w:bCs/>
          <w:sz w:val="20"/>
          <w:szCs w:val="20"/>
        </w:rPr>
        <w:t>Improper</w:t>
      </w:r>
      <w:r w:rsidRPr="00485F6E">
        <w:rPr>
          <w:b/>
          <w:bCs/>
          <w:sz w:val="20"/>
          <w:szCs w:val="20"/>
        </w:rPr>
        <w:t xml:space="preserve"> exhaustion of remedies under domestic law because of the possible submittal past statutory time-limits of the complaint appeal with the </w:t>
      </w:r>
      <w:r w:rsidR="009B76CB">
        <w:rPr>
          <w:b/>
          <w:bCs/>
          <w:sz w:val="20"/>
          <w:szCs w:val="20"/>
        </w:rPr>
        <w:t xml:space="preserve">Federal </w:t>
      </w:r>
      <w:r w:rsidRPr="00485F6E">
        <w:rPr>
          <w:b/>
          <w:bCs/>
          <w:sz w:val="20"/>
          <w:szCs w:val="20"/>
        </w:rPr>
        <w:t>Supreme Court of Justice</w:t>
      </w:r>
      <w:bookmarkEnd w:id="17"/>
    </w:p>
    <w:p w14:paraId="3840C22B" w14:textId="77777777" w:rsidR="007B0E80" w:rsidRPr="00485F6E" w:rsidRDefault="00CD021E" w:rsidP="007B0E80">
      <w:pPr>
        <w:pStyle w:val="ListParagraph"/>
        <w:numPr>
          <w:ilvl w:val="0"/>
          <w:numId w:val="2"/>
        </w:numPr>
        <w:tabs>
          <w:tab w:val="left" w:pos="567"/>
        </w:tabs>
        <w:ind w:left="0" w:firstLine="0"/>
        <w:jc w:val="both"/>
        <w:rPr>
          <w:sz w:val="20"/>
          <w:szCs w:val="20"/>
        </w:rPr>
      </w:pPr>
      <w:r w:rsidRPr="00485F6E">
        <w:rPr>
          <w:sz w:val="20"/>
          <w:szCs w:val="20"/>
        </w:rPr>
        <w:t>First of all,</w:t>
      </w:r>
      <w:r w:rsidR="00010F58" w:rsidRPr="00485F6E">
        <w:rPr>
          <w:sz w:val="20"/>
          <w:szCs w:val="20"/>
        </w:rPr>
        <w:t xml:space="preserve"> the Commission deems it must specify that the requirement of prior exhaustion of remedies under domestic law</w:t>
      </w:r>
      <w:r w:rsidRPr="00485F6E">
        <w:rPr>
          <w:sz w:val="20"/>
          <w:szCs w:val="20"/>
        </w:rPr>
        <w:t xml:space="preserve"> </w:t>
      </w:r>
      <w:r w:rsidR="00010F58" w:rsidRPr="00485F6E">
        <w:rPr>
          <w:sz w:val="20"/>
          <w:szCs w:val="20"/>
        </w:rPr>
        <w:t xml:space="preserve">is aimed at allowing national authorities the opportunity to hear the alleged violation of a </w:t>
      </w:r>
      <w:r w:rsidR="00010F58" w:rsidRPr="00485F6E">
        <w:rPr>
          <w:sz w:val="20"/>
          <w:szCs w:val="20"/>
        </w:rPr>
        <w:lastRenderedPageBreak/>
        <w:t>protected right and, if appropriate, to adopt a solution for the situation being submitted to them before it is evaluated by the inter-American human rights system.</w:t>
      </w:r>
      <w:r w:rsidR="007B0E80" w:rsidRPr="00485F6E">
        <w:rPr>
          <w:rStyle w:val="FootnoteReference"/>
          <w:sz w:val="20"/>
          <w:szCs w:val="20"/>
        </w:rPr>
        <w:footnoteReference w:id="2"/>
      </w:r>
      <w:r w:rsidR="007B0E80" w:rsidRPr="00485F6E">
        <w:rPr>
          <w:sz w:val="20"/>
          <w:szCs w:val="20"/>
        </w:rPr>
        <w:t xml:space="preserve"> </w:t>
      </w:r>
    </w:p>
    <w:p w14:paraId="2765BB32" w14:textId="77777777" w:rsidR="007B0E80" w:rsidRPr="00485F6E" w:rsidRDefault="007B0E80" w:rsidP="007B0E80">
      <w:pPr>
        <w:pStyle w:val="ListParagraph"/>
        <w:tabs>
          <w:tab w:val="left" w:pos="567"/>
        </w:tabs>
        <w:ind w:left="0"/>
        <w:jc w:val="both"/>
        <w:rPr>
          <w:sz w:val="20"/>
          <w:szCs w:val="20"/>
        </w:rPr>
      </w:pPr>
    </w:p>
    <w:p w14:paraId="04CB4343" w14:textId="77777777" w:rsidR="007B0E80" w:rsidRPr="00485F6E" w:rsidRDefault="00010F58" w:rsidP="007B0E80">
      <w:pPr>
        <w:pStyle w:val="ListParagraph"/>
        <w:numPr>
          <w:ilvl w:val="0"/>
          <w:numId w:val="2"/>
        </w:numPr>
        <w:tabs>
          <w:tab w:val="left" w:pos="567"/>
        </w:tabs>
        <w:ind w:left="0" w:firstLine="0"/>
        <w:jc w:val="both"/>
        <w:rPr>
          <w:sz w:val="20"/>
          <w:szCs w:val="20"/>
        </w:rPr>
      </w:pPr>
      <w:r w:rsidRPr="00485F6E">
        <w:rPr>
          <w:sz w:val="20"/>
          <w:szCs w:val="20"/>
        </w:rPr>
        <w:t>Analysis of fulfillment of this requirement must be conducted case by case, taking into consideration the characteristics of each case and the connection between the situation being submitted to the Commission and how remedies under domestic law were invoked.</w:t>
      </w:r>
      <w:r w:rsidR="007B0E80" w:rsidRPr="00485F6E">
        <w:rPr>
          <w:rStyle w:val="FootnoteReference"/>
          <w:sz w:val="20"/>
          <w:szCs w:val="20"/>
        </w:rPr>
        <w:footnoteReference w:id="3"/>
      </w:r>
      <w:r w:rsidRPr="00485F6E">
        <w:rPr>
          <w:sz w:val="20"/>
          <w:szCs w:val="20"/>
        </w:rPr>
        <w:t xml:space="preserve"> It is also the IACHR’s reiterated jurisprudence that the petitioner must exhaust domestic remedies in conformity with domestic procedural law.</w:t>
      </w:r>
      <w:r w:rsidR="007B0E80" w:rsidRPr="00485F6E">
        <w:rPr>
          <w:rStyle w:val="FootnoteReference"/>
          <w:sz w:val="20"/>
          <w:szCs w:val="20"/>
        </w:rPr>
        <w:footnoteReference w:id="4"/>
      </w:r>
      <w:r w:rsidR="007B0E80" w:rsidRPr="00485F6E">
        <w:rPr>
          <w:sz w:val="20"/>
          <w:szCs w:val="20"/>
        </w:rPr>
        <w:t xml:space="preserve"> </w:t>
      </w:r>
    </w:p>
    <w:p w14:paraId="04E00981" w14:textId="77777777" w:rsidR="007B0E80" w:rsidRPr="00485F6E" w:rsidRDefault="007B0E80" w:rsidP="007B0E80">
      <w:pPr>
        <w:pStyle w:val="ListParagraph"/>
        <w:tabs>
          <w:tab w:val="left" w:pos="567"/>
        </w:tabs>
        <w:ind w:left="0"/>
        <w:jc w:val="both"/>
        <w:rPr>
          <w:sz w:val="20"/>
          <w:szCs w:val="20"/>
        </w:rPr>
      </w:pPr>
    </w:p>
    <w:p w14:paraId="21D95B21" w14:textId="77777777" w:rsidR="007B0E80" w:rsidRPr="00485F6E" w:rsidRDefault="00010F58" w:rsidP="007B0E80">
      <w:pPr>
        <w:pStyle w:val="ListParagraph"/>
        <w:numPr>
          <w:ilvl w:val="0"/>
          <w:numId w:val="2"/>
        </w:numPr>
        <w:tabs>
          <w:tab w:val="left" w:pos="567"/>
        </w:tabs>
        <w:ind w:left="0" w:firstLine="0"/>
        <w:jc w:val="both"/>
        <w:rPr>
          <w:sz w:val="20"/>
          <w:szCs w:val="20"/>
        </w:rPr>
      </w:pPr>
      <w:r w:rsidRPr="00485F6E">
        <w:rPr>
          <w:sz w:val="20"/>
          <w:szCs w:val="20"/>
        </w:rPr>
        <w:t xml:space="preserve">On the basis of information appearing in the case file, the Commission notes that the last procedural activities in the domestic judicial system by Mr. Pacheco’s attorneys was the filing of a complaint with the </w:t>
      </w:r>
      <w:r w:rsidR="009B76CB">
        <w:rPr>
          <w:sz w:val="20"/>
          <w:szCs w:val="20"/>
        </w:rPr>
        <w:t xml:space="preserve">Federal </w:t>
      </w:r>
      <w:r w:rsidRPr="00485F6E">
        <w:rPr>
          <w:sz w:val="20"/>
          <w:szCs w:val="20"/>
        </w:rPr>
        <w:t xml:space="preserve">Supreme Court of Justice challenging the ruling of the Superior Court of Justice of Chubut of June 30, 2003 which dismissed the </w:t>
      </w:r>
      <w:r w:rsidR="00F64F34">
        <w:rPr>
          <w:sz w:val="20"/>
          <w:szCs w:val="20"/>
        </w:rPr>
        <w:t>special federal appeal</w:t>
      </w:r>
      <w:r w:rsidRPr="00485F6E">
        <w:rPr>
          <w:sz w:val="20"/>
          <w:szCs w:val="20"/>
        </w:rPr>
        <w:t xml:space="preserve"> </w:t>
      </w:r>
      <w:r w:rsidR="00651845" w:rsidRPr="00485F6E">
        <w:rPr>
          <w:sz w:val="20"/>
          <w:szCs w:val="20"/>
        </w:rPr>
        <w:t>filed with that Court.</w:t>
      </w:r>
      <w:r w:rsidR="007B0E80" w:rsidRPr="00485F6E">
        <w:rPr>
          <w:rStyle w:val="FootnoteReference"/>
          <w:sz w:val="20"/>
          <w:szCs w:val="20"/>
        </w:rPr>
        <w:footnoteReference w:id="5"/>
      </w:r>
    </w:p>
    <w:p w14:paraId="2A89BC7C" w14:textId="77777777" w:rsidR="007B0E80" w:rsidRPr="00485F6E" w:rsidRDefault="007B0E80" w:rsidP="007B0E80">
      <w:pPr>
        <w:pStyle w:val="ListParagraph"/>
        <w:tabs>
          <w:tab w:val="left" w:pos="567"/>
        </w:tabs>
        <w:ind w:left="0"/>
        <w:jc w:val="both"/>
        <w:rPr>
          <w:sz w:val="20"/>
          <w:szCs w:val="20"/>
        </w:rPr>
      </w:pPr>
    </w:p>
    <w:p w14:paraId="01109D12" w14:textId="77777777" w:rsidR="007B0E80" w:rsidRPr="00485F6E" w:rsidRDefault="00651845" w:rsidP="007B0E80">
      <w:pPr>
        <w:pStyle w:val="ListParagraph"/>
        <w:numPr>
          <w:ilvl w:val="0"/>
          <w:numId w:val="2"/>
        </w:numPr>
        <w:tabs>
          <w:tab w:val="left" w:pos="567"/>
        </w:tabs>
        <w:ind w:left="0" w:firstLine="0"/>
        <w:jc w:val="both"/>
        <w:rPr>
          <w:sz w:val="20"/>
          <w:szCs w:val="20"/>
        </w:rPr>
      </w:pPr>
      <w:r w:rsidRPr="00485F6E">
        <w:rPr>
          <w:rFonts w:eastAsia="Times New Roman"/>
          <w:sz w:val="20"/>
          <w:szCs w:val="20"/>
          <w:bdr w:val="none" w:sz="0" w:space="0" w:color="auto"/>
        </w:rPr>
        <w:t xml:space="preserve">Regarding the </w:t>
      </w:r>
      <w:r w:rsidR="00CF6A89">
        <w:rPr>
          <w:rFonts w:eastAsia="Times New Roman"/>
          <w:sz w:val="20"/>
          <w:szCs w:val="20"/>
          <w:bdr w:val="none" w:sz="0" w:space="0" w:color="auto"/>
        </w:rPr>
        <w:t>extraordinary</w:t>
      </w:r>
      <w:r w:rsidRPr="00485F6E">
        <w:rPr>
          <w:rFonts w:eastAsia="Times New Roman"/>
          <w:sz w:val="20"/>
          <w:szCs w:val="20"/>
          <w:bdr w:val="none" w:sz="0" w:space="0" w:color="auto"/>
        </w:rPr>
        <w:t xml:space="preserve"> appeals, the Commission recalls that although, in principle, it is not necessary to exhaust </w:t>
      </w:r>
      <w:r w:rsidR="00CF6A89">
        <w:rPr>
          <w:rFonts w:eastAsia="Times New Roman"/>
          <w:sz w:val="20"/>
          <w:szCs w:val="20"/>
          <w:bdr w:val="none" w:sz="0" w:space="0" w:color="auto"/>
        </w:rPr>
        <w:t>extraordinary</w:t>
      </w:r>
      <w:r w:rsidRPr="00485F6E">
        <w:rPr>
          <w:rFonts w:eastAsia="Times New Roman"/>
          <w:sz w:val="20"/>
          <w:szCs w:val="20"/>
          <w:bdr w:val="none" w:sz="0" w:space="0" w:color="auto"/>
        </w:rPr>
        <w:t xml:space="preserve"> remedies in all cases, </w:t>
      </w:r>
      <w:r w:rsidR="00A80B35" w:rsidRPr="00485F6E">
        <w:rPr>
          <w:rFonts w:eastAsia="Times New Roman"/>
          <w:sz w:val="20"/>
          <w:szCs w:val="20"/>
          <w:bdr w:val="none" w:sz="0" w:space="0" w:color="auto"/>
        </w:rPr>
        <w:t xml:space="preserve">in </w:t>
      </w:r>
      <w:r w:rsidR="00093F81">
        <w:rPr>
          <w:rFonts w:eastAsia="Times New Roman"/>
          <w:sz w:val="20"/>
          <w:szCs w:val="20"/>
          <w:bdr w:val="none" w:sz="0" w:space="0" w:color="auto"/>
        </w:rPr>
        <w:t>case</w:t>
      </w:r>
      <w:r w:rsidR="00A80B35" w:rsidRPr="00485F6E">
        <w:rPr>
          <w:rFonts w:eastAsia="Times New Roman"/>
          <w:sz w:val="20"/>
          <w:szCs w:val="20"/>
          <w:bdr w:val="none" w:sz="0" w:space="0" w:color="auto"/>
        </w:rPr>
        <w:t xml:space="preserve"> the petitioner</w:t>
      </w:r>
      <w:r w:rsidR="00093F81">
        <w:rPr>
          <w:rFonts w:eastAsia="Times New Roman"/>
          <w:sz w:val="20"/>
          <w:szCs w:val="20"/>
          <w:bdr w:val="none" w:sz="0" w:space="0" w:color="auto"/>
        </w:rPr>
        <w:t>s believe</w:t>
      </w:r>
      <w:r w:rsidR="00A80B35" w:rsidRPr="00485F6E">
        <w:rPr>
          <w:rFonts w:eastAsia="Times New Roman"/>
          <w:sz w:val="20"/>
          <w:szCs w:val="20"/>
          <w:bdr w:val="none" w:sz="0" w:space="0" w:color="auto"/>
        </w:rPr>
        <w:t xml:space="preserve"> they might secure a favorable outcome from the remedy filed against the allegedly viol</w:t>
      </w:r>
      <w:r w:rsidR="00093F81">
        <w:rPr>
          <w:rFonts w:eastAsia="Times New Roman"/>
          <w:sz w:val="20"/>
          <w:szCs w:val="20"/>
          <w:bdr w:val="none" w:sz="0" w:space="0" w:color="auto"/>
        </w:rPr>
        <w:t>ated legal situation and decide</w:t>
      </w:r>
      <w:r w:rsidR="00A80B35" w:rsidRPr="00485F6E">
        <w:rPr>
          <w:rFonts w:eastAsia="Times New Roman"/>
          <w:sz w:val="20"/>
          <w:szCs w:val="20"/>
          <w:bdr w:val="none" w:sz="0" w:space="0" w:color="auto"/>
        </w:rPr>
        <w:t xml:space="preserve"> to resort to this option, they must exhaust the remedies in conformity with the procedural regulations currently in force, as long as the conditions of access to these remedies are reasonable.</w:t>
      </w:r>
      <w:r w:rsidR="007B0E80" w:rsidRPr="00485F6E">
        <w:rPr>
          <w:rStyle w:val="FootnoteReference"/>
          <w:rFonts w:eastAsia="Times New Roman"/>
          <w:sz w:val="20"/>
          <w:szCs w:val="20"/>
          <w:bdr w:val="none" w:sz="0" w:space="0" w:color="auto"/>
        </w:rPr>
        <w:footnoteReference w:id="6"/>
      </w:r>
      <w:r w:rsidR="00A80B35" w:rsidRPr="00485F6E">
        <w:rPr>
          <w:rFonts w:eastAsia="Times New Roman"/>
          <w:sz w:val="20"/>
          <w:szCs w:val="20"/>
          <w:bdr w:val="none" w:sz="0" w:space="0" w:color="auto"/>
        </w:rPr>
        <w:t xml:space="preserve"> As a result, the IACHR shall take into consideration, for the purpose of assessing compliance with the requirement set forth in Article 46(1)(</w:t>
      </w:r>
      <w:r w:rsidR="007B0E80" w:rsidRPr="00485F6E">
        <w:rPr>
          <w:rFonts w:eastAsia="Times New Roman"/>
          <w:sz w:val="20"/>
          <w:szCs w:val="20"/>
          <w:bdr w:val="none" w:sz="0" w:space="0" w:color="auto"/>
        </w:rPr>
        <w:t>a</w:t>
      </w:r>
      <w:r w:rsidR="00A80B35" w:rsidRPr="00485F6E">
        <w:rPr>
          <w:rFonts w:eastAsia="Times New Roman"/>
          <w:sz w:val="20"/>
          <w:szCs w:val="20"/>
          <w:bdr w:val="none" w:sz="0" w:space="0" w:color="auto"/>
        </w:rPr>
        <w:t xml:space="preserve">) of the American Convention, the complaint filed with the Supreme Court of Justice against dismissal of the </w:t>
      </w:r>
      <w:r w:rsidR="00F64F34">
        <w:rPr>
          <w:rFonts w:eastAsia="Times New Roman"/>
          <w:sz w:val="20"/>
          <w:szCs w:val="20"/>
          <w:bdr w:val="none" w:sz="0" w:space="0" w:color="auto"/>
        </w:rPr>
        <w:t>special federal appeal</w:t>
      </w:r>
      <w:r w:rsidR="00A80B35" w:rsidRPr="00485F6E">
        <w:rPr>
          <w:rFonts w:eastAsia="Times New Roman"/>
          <w:sz w:val="20"/>
          <w:szCs w:val="20"/>
          <w:bdr w:val="none" w:sz="0" w:space="0" w:color="auto"/>
        </w:rPr>
        <w:t xml:space="preserve"> filed by the petitioner’s attorneys</w:t>
      </w:r>
      <w:r w:rsidR="007B0E80" w:rsidRPr="00485F6E">
        <w:rPr>
          <w:rFonts w:eastAsia="Times New Roman"/>
          <w:sz w:val="20"/>
          <w:szCs w:val="20"/>
          <w:bdr w:val="none" w:sz="0" w:space="0" w:color="auto"/>
        </w:rPr>
        <w:t xml:space="preserve">. </w:t>
      </w:r>
    </w:p>
    <w:p w14:paraId="75665B9B" w14:textId="77777777" w:rsidR="007B0E80" w:rsidRPr="00485F6E" w:rsidRDefault="007B0E80" w:rsidP="007B0E80">
      <w:pPr>
        <w:pStyle w:val="ListParagraph"/>
        <w:tabs>
          <w:tab w:val="left" w:pos="567"/>
        </w:tabs>
        <w:ind w:left="0"/>
        <w:jc w:val="both"/>
        <w:rPr>
          <w:sz w:val="20"/>
          <w:szCs w:val="20"/>
        </w:rPr>
      </w:pPr>
    </w:p>
    <w:p w14:paraId="72D53F9E" w14:textId="77777777" w:rsidR="007B0E80" w:rsidRPr="00485F6E" w:rsidRDefault="00A80B35" w:rsidP="007B0E80">
      <w:pPr>
        <w:pStyle w:val="ListParagraph"/>
        <w:numPr>
          <w:ilvl w:val="0"/>
          <w:numId w:val="2"/>
        </w:numPr>
        <w:tabs>
          <w:tab w:val="left" w:pos="567"/>
        </w:tabs>
        <w:ind w:left="0" w:firstLine="0"/>
        <w:jc w:val="both"/>
        <w:rPr>
          <w:sz w:val="20"/>
          <w:szCs w:val="20"/>
        </w:rPr>
      </w:pPr>
      <w:r w:rsidRPr="00485F6E">
        <w:rPr>
          <w:sz w:val="20"/>
          <w:szCs w:val="20"/>
        </w:rPr>
        <w:t>In that regard, the IACHR highlights that said complaint appeal was ruled inadmissible by the Supreme Court of Justice because it had been submitted after the statutory time-limits</w:t>
      </w:r>
      <w:r w:rsidR="007B0E80" w:rsidRPr="00485F6E">
        <w:rPr>
          <w:sz w:val="20"/>
          <w:szCs w:val="20"/>
        </w:rPr>
        <w:t xml:space="preserve">. </w:t>
      </w:r>
      <w:r w:rsidRPr="00485F6E">
        <w:rPr>
          <w:sz w:val="20"/>
          <w:szCs w:val="20"/>
        </w:rPr>
        <w:t xml:space="preserve">To issue its ruling in that way, the Supreme Court, in its judgment, invoked Article 285 of the </w:t>
      </w:r>
      <w:r w:rsidR="00D14BFF">
        <w:rPr>
          <w:sz w:val="20"/>
          <w:szCs w:val="20"/>
        </w:rPr>
        <w:t xml:space="preserve">Federal </w:t>
      </w:r>
      <w:r w:rsidR="00942F86">
        <w:rPr>
          <w:sz w:val="20"/>
          <w:szCs w:val="20"/>
        </w:rPr>
        <w:t xml:space="preserve">Code of </w:t>
      </w:r>
      <w:r w:rsidRPr="00485F6E">
        <w:rPr>
          <w:sz w:val="20"/>
          <w:szCs w:val="20"/>
        </w:rPr>
        <w:t>Civil and Commercial Procedur</w:t>
      </w:r>
      <w:r w:rsidR="00942F86">
        <w:rPr>
          <w:sz w:val="20"/>
          <w:szCs w:val="20"/>
        </w:rPr>
        <w:t>es</w:t>
      </w:r>
      <w:r w:rsidRPr="00485F6E">
        <w:rPr>
          <w:sz w:val="20"/>
          <w:szCs w:val="20"/>
        </w:rPr>
        <w:t xml:space="preserve"> and referred to the second paragraph of Article 282 of the Code, which stipulates that “the time-limit to file the complaint shall be FIVE (5) days</w:t>
      </w:r>
      <w:r w:rsidR="007D190B" w:rsidRPr="00485F6E">
        <w:rPr>
          <w:sz w:val="20"/>
          <w:szCs w:val="20"/>
        </w:rPr>
        <w:t>, with an extension admissible because of distance, in accordance with the provision of Article 158.”</w:t>
      </w:r>
      <w:r w:rsidR="007B0E80" w:rsidRPr="00485F6E">
        <w:rPr>
          <w:sz w:val="20"/>
          <w:szCs w:val="20"/>
        </w:rPr>
        <w:t xml:space="preserve"> </w:t>
      </w:r>
    </w:p>
    <w:p w14:paraId="79F694F2" w14:textId="77777777" w:rsidR="007B0E80" w:rsidRPr="00485F6E" w:rsidRDefault="007B0E80" w:rsidP="007B0E80">
      <w:pPr>
        <w:pStyle w:val="ListParagraph"/>
        <w:tabs>
          <w:tab w:val="left" w:pos="567"/>
        </w:tabs>
        <w:ind w:left="0"/>
        <w:jc w:val="both"/>
        <w:rPr>
          <w:sz w:val="20"/>
          <w:szCs w:val="20"/>
        </w:rPr>
      </w:pPr>
    </w:p>
    <w:p w14:paraId="03BCEE32" w14:textId="77777777" w:rsidR="007B0E80" w:rsidRPr="00485F6E" w:rsidRDefault="007D190B" w:rsidP="007B0E80">
      <w:pPr>
        <w:pStyle w:val="ListParagraph"/>
        <w:numPr>
          <w:ilvl w:val="0"/>
          <w:numId w:val="2"/>
        </w:numPr>
        <w:tabs>
          <w:tab w:val="left" w:pos="567"/>
        </w:tabs>
        <w:ind w:left="0" w:firstLine="0"/>
        <w:jc w:val="both"/>
        <w:rPr>
          <w:sz w:val="20"/>
          <w:szCs w:val="20"/>
        </w:rPr>
      </w:pPr>
      <w:r w:rsidRPr="00485F6E">
        <w:rPr>
          <w:sz w:val="20"/>
          <w:szCs w:val="20"/>
        </w:rPr>
        <w:t>The Commission underscores that the above-mentioned Article 158 of the</w:t>
      </w:r>
      <w:r w:rsidR="00942F86">
        <w:rPr>
          <w:sz w:val="20"/>
          <w:szCs w:val="20"/>
        </w:rPr>
        <w:t xml:space="preserve"> </w:t>
      </w:r>
      <w:r w:rsidR="00D14BFF">
        <w:rPr>
          <w:sz w:val="20"/>
          <w:szCs w:val="20"/>
        </w:rPr>
        <w:t xml:space="preserve">Federal </w:t>
      </w:r>
      <w:r w:rsidR="00942F86">
        <w:rPr>
          <w:sz w:val="20"/>
          <w:szCs w:val="20"/>
        </w:rPr>
        <w:t>Code of</w:t>
      </w:r>
      <w:r w:rsidRPr="00485F6E">
        <w:rPr>
          <w:sz w:val="20"/>
          <w:szCs w:val="20"/>
        </w:rPr>
        <w:t xml:space="preserve"> Civil and Commercial Procedur</w:t>
      </w:r>
      <w:r w:rsidR="00942F86">
        <w:rPr>
          <w:sz w:val="20"/>
          <w:szCs w:val="20"/>
        </w:rPr>
        <w:t>es</w:t>
      </w:r>
      <w:r w:rsidRPr="00485F6E">
        <w:rPr>
          <w:sz w:val="20"/>
          <w:szCs w:val="20"/>
        </w:rPr>
        <w:t xml:space="preserve"> establishes that “for all proceedings to be filed in the Republic and outside the headquarters of the court or tribunal, the time-limits set by the present Code shall be extended by ONE (1) day for every TWO HUNDRED (200) kilometers or fraction thereof not lower than ONE HUNDRED (100) kilometers.”</w:t>
      </w:r>
      <w:r w:rsidR="007B0E80" w:rsidRPr="00485F6E">
        <w:rPr>
          <w:sz w:val="20"/>
          <w:szCs w:val="20"/>
        </w:rPr>
        <w:t xml:space="preserve"> </w:t>
      </w:r>
      <w:r w:rsidRPr="00485F6E">
        <w:rPr>
          <w:sz w:val="20"/>
          <w:szCs w:val="20"/>
        </w:rPr>
        <w:t xml:space="preserve">According to the information provided by the petitioners, which was not challenged by the State of Argentina, the statutory time-limits to file a complaint appeal with the chambers of the </w:t>
      </w:r>
      <w:r w:rsidR="009B76CB">
        <w:rPr>
          <w:sz w:val="20"/>
          <w:szCs w:val="20"/>
        </w:rPr>
        <w:t xml:space="preserve">Federal </w:t>
      </w:r>
      <w:r w:rsidRPr="00485F6E">
        <w:rPr>
          <w:sz w:val="20"/>
          <w:szCs w:val="20"/>
        </w:rPr>
        <w:t>Supreme Court were, in this case, five days plus seven days of extension because of the 1</w:t>
      </w:r>
      <w:r w:rsidR="009B76CB">
        <w:rPr>
          <w:sz w:val="20"/>
          <w:szCs w:val="20"/>
        </w:rPr>
        <w:t>,</w:t>
      </w:r>
      <w:r w:rsidRPr="00485F6E">
        <w:rPr>
          <w:sz w:val="20"/>
          <w:szCs w:val="20"/>
        </w:rPr>
        <w:t xml:space="preserve">477 kilometers distance between the city of Rawson, </w:t>
      </w:r>
      <w:r w:rsidR="007B0E80" w:rsidRPr="00485F6E">
        <w:rPr>
          <w:sz w:val="20"/>
          <w:szCs w:val="20"/>
        </w:rPr>
        <w:t xml:space="preserve">capital </w:t>
      </w:r>
      <w:r w:rsidRPr="00485F6E">
        <w:rPr>
          <w:sz w:val="20"/>
          <w:szCs w:val="20"/>
        </w:rPr>
        <w:t>of the</w:t>
      </w:r>
      <w:r w:rsidR="007B0E80" w:rsidRPr="00485F6E">
        <w:rPr>
          <w:sz w:val="20"/>
          <w:szCs w:val="20"/>
        </w:rPr>
        <w:t xml:space="preserve"> provinc</w:t>
      </w:r>
      <w:r w:rsidRPr="00485F6E">
        <w:rPr>
          <w:sz w:val="20"/>
          <w:szCs w:val="20"/>
        </w:rPr>
        <w:t>e of</w:t>
      </w:r>
      <w:r w:rsidR="007B0E80" w:rsidRPr="00485F6E">
        <w:rPr>
          <w:sz w:val="20"/>
          <w:szCs w:val="20"/>
        </w:rPr>
        <w:t xml:space="preserve"> Chubut </w:t>
      </w:r>
      <w:r w:rsidRPr="00485F6E">
        <w:rPr>
          <w:sz w:val="20"/>
          <w:szCs w:val="20"/>
        </w:rPr>
        <w:t xml:space="preserve">and domicile of Mr. Pacheco’s defense attorney, and the </w:t>
      </w:r>
      <w:r w:rsidR="00A21147" w:rsidRPr="00485F6E">
        <w:rPr>
          <w:sz w:val="20"/>
          <w:szCs w:val="20"/>
        </w:rPr>
        <w:t>headquarters of the Supreme Court of Justice in the country’s federal capital.</w:t>
      </w:r>
      <w:r w:rsidR="007B0E80" w:rsidRPr="00485F6E">
        <w:rPr>
          <w:rStyle w:val="FootnoteReference"/>
          <w:sz w:val="20"/>
          <w:szCs w:val="20"/>
        </w:rPr>
        <w:footnoteReference w:id="7"/>
      </w:r>
      <w:r w:rsidR="007B0E80" w:rsidRPr="00485F6E">
        <w:rPr>
          <w:sz w:val="20"/>
          <w:szCs w:val="20"/>
        </w:rPr>
        <w:t xml:space="preserve"> </w:t>
      </w:r>
    </w:p>
    <w:p w14:paraId="020AA565" w14:textId="77777777" w:rsidR="007B0E80" w:rsidRPr="00485F6E" w:rsidRDefault="007B0E80" w:rsidP="007B0E80">
      <w:pPr>
        <w:pStyle w:val="ListParagraph"/>
        <w:tabs>
          <w:tab w:val="left" w:pos="567"/>
        </w:tabs>
        <w:ind w:left="0"/>
        <w:jc w:val="both"/>
        <w:rPr>
          <w:sz w:val="20"/>
          <w:szCs w:val="20"/>
        </w:rPr>
      </w:pPr>
    </w:p>
    <w:p w14:paraId="6D77D421" w14:textId="77777777" w:rsidR="007B0E80" w:rsidRPr="00485F6E" w:rsidRDefault="00A21147" w:rsidP="007B0E80">
      <w:pPr>
        <w:pStyle w:val="ListParagraph"/>
        <w:numPr>
          <w:ilvl w:val="0"/>
          <w:numId w:val="2"/>
        </w:numPr>
        <w:tabs>
          <w:tab w:val="left" w:pos="567"/>
        </w:tabs>
        <w:ind w:left="0" w:firstLine="0"/>
        <w:jc w:val="both"/>
        <w:rPr>
          <w:sz w:val="20"/>
          <w:szCs w:val="20"/>
        </w:rPr>
      </w:pPr>
      <w:r w:rsidRPr="00485F6E">
        <w:rPr>
          <w:sz w:val="20"/>
          <w:szCs w:val="20"/>
        </w:rPr>
        <w:t>In this regard, the IACHR points out that the ruling of the Superior Court of Justice of Chubut to</w:t>
      </w:r>
      <w:r w:rsidR="000A0461" w:rsidRPr="00485F6E">
        <w:rPr>
          <w:sz w:val="20"/>
          <w:szCs w:val="20"/>
        </w:rPr>
        <w:t xml:space="preserve"> dismiss the </w:t>
      </w:r>
      <w:r w:rsidR="00F64F34">
        <w:rPr>
          <w:sz w:val="20"/>
          <w:szCs w:val="20"/>
        </w:rPr>
        <w:t>special federal appeal</w:t>
      </w:r>
      <w:r w:rsidR="000A0461" w:rsidRPr="00485F6E">
        <w:rPr>
          <w:sz w:val="20"/>
          <w:szCs w:val="20"/>
        </w:rPr>
        <w:t xml:space="preserve"> was notified to the petitioners on July 3, 2003 and that, on July 18, 2003, that is, within the time-limits of 12 </w:t>
      </w:r>
      <w:r w:rsidR="009601CA">
        <w:rPr>
          <w:sz w:val="20"/>
          <w:szCs w:val="20"/>
        </w:rPr>
        <w:t>business</w:t>
      </w:r>
      <w:r w:rsidR="000A0461" w:rsidRPr="00485F6E">
        <w:rPr>
          <w:sz w:val="20"/>
          <w:szCs w:val="20"/>
        </w:rPr>
        <w:t xml:space="preserve"> days stemming from the calculation provided for by Article 158 of the </w:t>
      </w:r>
      <w:r w:rsidR="00D14BFF">
        <w:rPr>
          <w:sz w:val="20"/>
          <w:szCs w:val="20"/>
        </w:rPr>
        <w:t xml:space="preserve">Federal </w:t>
      </w:r>
      <w:r w:rsidR="00942F86">
        <w:rPr>
          <w:sz w:val="20"/>
          <w:szCs w:val="20"/>
        </w:rPr>
        <w:t xml:space="preserve">Code of </w:t>
      </w:r>
      <w:r w:rsidR="000A0461" w:rsidRPr="00485F6E">
        <w:rPr>
          <w:sz w:val="20"/>
          <w:szCs w:val="20"/>
        </w:rPr>
        <w:t>Civil and Commercial Procedur</w:t>
      </w:r>
      <w:r w:rsidR="00942F86">
        <w:rPr>
          <w:sz w:val="20"/>
          <w:szCs w:val="20"/>
        </w:rPr>
        <w:t>es</w:t>
      </w:r>
      <w:r w:rsidR="000A0461" w:rsidRPr="00485F6E">
        <w:rPr>
          <w:sz w:val="20"/>
          <w:szCs w:val="20"/>
        </w:rPr>
        <w:t xml:space="preserve">, the attorneys of the petitioners sent, by regular mail, the </w:t>
      </w:r>
      <w:r w:rsidR="000A0461" w:rsidRPr="00485F6E">
        <w:rPr>
          <w:sz w:val="20"/>
          <w:szCs w:val="20"/>
        </w:rPr>
        <w:lastRenderedPageBreak/>
        <w:t xml:space="preserve">complaint appeal challenging the dismissal of the </w:t>
      </w:r>
      <w:r w:rsidR="00F64F34">
        <w:rPr>
          <w:sz w:val="20"/>
          <w:szCs w:val="20"/>
        </w:rPr>
        <w:t>special federal appeal</w:t>
      </w:r>
      <w:r w:rsidR="000A0461" w:rsidRPr="00485F6E">
        <w:rPr>
          <w:sz w:val="20"/>
          <w:szCs w:val="20"/>
        </w:rPr>
        <w:t xml:space="preserve"> to the headquarters of the Supreme Court of Justice</w:t>
      </w:r>
      <w:r w:rsidR="007B0E80" w:rsidRPr="00485F6E">
        <w:rPr>
          <w:sz w:val="20"/>
          <w:szCs w:val="20"/>
        </w:rPr>
        <w:t xml:space="preserve">.  </w:t>
      </w:r>
    </w:p>
    <w:p w14:paraId="2911D7EC" w14:textId="77777777" w:rsidR="007B0E80" w:rsidRPr="00485F6E" w:rsidRDefault="007B0E80" w:rsidP="007B0E80">
      <w:pPr>
        <w:pStyle w:val="ListParagraph"/>
        <w:tabs>
          <w:tab w:val="left" w:pos="567"/>
        </w:tabs>
        <w:ind w:left="0"/>
        <w:jc w:val="both"/>
        <w:rPr>
          <w:sz w:val="20"/>
          <w:szCs w:val="20"/>
        </w:rPr>
      </w:pPr>
    </w:p>
    <w:p w14:paraId="2C9552BA" w14:textId="77777777" w:rsidR="007B0E80" w:rsidRPr="00485F6E" w:rsidRDefault="004D040A" w:rsidP="007B0E80">
      <w:pPr>
        <w:pStyle w:val="ListParagraph"/>
        <w:numPr>
          <w:ilvl w:val="0"/>
          <w:numId w:val="2"/>
        </w:numPr>
        <w:tabs>
          <w:tab w:val="left" w:pos="567"/>
        </w:tabs>
        <w:ind w:left="0" w:firstLine="0"/>
        <w:jc w:val="both"/>
        <w:rPr>
          <w:sz w:val="20"/>
          <w:szCs w:val="20"/>
        </w:rPr>
      </w:pPr>
      <w:r>
        <w:rPr>
          <w:sz w:val="20"/>
          <w:szCs w:val="20"/>
        </w:rPr>
        <w:t>The Commission has no</w:t>
      </w:r>
      <w:r w:rsidR="000A0461" w:rsidRPr="00485F6E">
        <w:rPr>
          <w:sz w:val="20"/>
          <w:szCs w:val="20"/>
        </w:rPr>
        <w:t xml:space="preserve"> information about the date on which the </w:t>
      </w:r>
      <w:r w:rsidR="00C8056A">
        <w:rPr>
          <w:sz w:val="20"/>
          <w:szCs w:val="20"/>
        </w:rPr>
        <w:t xml:space="preserve">notice of the </w:t>
      </w:r>
      <w:r w:rsidR="000A0461" w:rsidRPr="00485F6E">
        <w:rPr>
          <w:sz w:val="20"/>
          <w:szCs w:val="20"/>
        </w:rPr>
        <w:t>complaint appeal was received at the Supreme Court’s reception desk. Of greater relevance, however, the Commission underscores that the Supreme Co</w:t>
      </w:r>
      <w:r w:rsidR="001469FC" w:rsidRPr="00485F6E">
        <w:rPr>
          <w:sz w:val="20"/>
          <w:szCs w:val="20"/>
        </w:rPr>
        <w:t xml:space="preserve">urt’s judgment ruling that the </w:t>
      </w:r>
      <w:r w:rsidR="000A0461" w:rsidRPr="00485F6E">
        <w:rPr>
          <w:sz w:val="20"/>
          <w:szCs w:val="20"/>
        </w:rPr>
        <w:t>appeal was “past the statutory time-limits” is entirely without grounds, a circumstance</w:t>
      </w:r>
      <w:r w:rsidR="00093F81">
        <w:rPr>
          <w:sz w:val="20"/>
          <w:szCs w:val="20"/>
        </w:rPr>
        <w:t xml:space="preserve"> making</w:t>
      </w:r>
      <w:r w:rsidR="00610391">
        <w:rPr>
          <w:sz w:val="20"/>
          <w:szCs w:val="20"/>
        </w:rPr>
        <w:t xml:space="preserve"> it</w:t>
      </w:r>
      <w:r w:rsidR="00093F81">
        <w:rPr>
          <w:sz w:val="20"/>
          <w:szCs w:val="20"/>
        </w:rPr>
        <w:t xml:space="preserve"> im</w:t>
      </w:r>
      <w:r w:rsidR="000A0461" w:rsidRPr="00485F6E">
        <w:rPr>
          <w:sz w:val="20"/>
          <w:szCs w:val="20"/>
        </w:rPr>
        <w:t xml:space="preserve">possible to </w:t>
      </w:r>
      <w:r w:rsidR="00DF24A9" w:rsidRPr="00485F6E">
        <w:rPr>
          <w:sz w:val="20"/>
          <w:szCs w:val="20"/>
        </w:rPr>
        <w:t>asce</w:t>
      </w:r>
      <w:r w:rsidR="00610391">
        <w:rPr>
          <w:sz w:val="20"/>
          <w:szCs w:val="20"/>
        </w:rPr>
        <w:t xml:space="preserve">rtain the time </w:t>
      </w:r>
      <w:r w:rsidR="00DF24A9" w:rsidRPr="00485F6E">
        <w:rPr>
          <w:sz w:val="20"/>
          <w:szCs w:val="20"/>
        </w:rPr>
        <w:t>the</w:t>
      </w:r>
      <w:r w:rsidR="00610391">
        <w:rPr>
          <w:sz w:val="20"/>
          <w:szCs w:val="20"/>
        </w:rPr>
        <w:t xml:space="preserve"> court took into consideration in order t</w:t>
      </w:r>
      <w:r w:rsidR="00DF24A9" w:rsidRPr="00485F6E">
        <w:rPr>
          <w:sz w:val="20"/>
          <w:szCs w:val="20"/>
        </w:rPr>
        <w:t xml:space="preserve">o assess compliance with the statutory time-limits for </w:t>
      </w:r>
      <w:r w:rsidR="00093F81">
        <w:rPr>
          <w:sz w:val="20"/>
          <w:szCs w:val="20"/>
        </w:rPr>
        <w:t>filing</w:t>
      </w:r>
      <w:r w:rsidR="00DF24A9" w:rsidRPr="00485F6E">
        <w:rPr>
          <w:sz w:val="20"/>
          <w:szCs w:val="20"/>
        </w:rPr>
        <w:t xml:space="preserve">, in other words, the day on which the attorneys posted the </w:t>
      </w:r>
      <w:r w:rsidR="00093F81">
        <w:rPr>
          <w:sz w:val="20"/>
          <w:szCs w:val="20"/>
        </w:rPr>
        <w:t>notice</w:t>
      </w:r>
      <w:r w:rsidR="00DF24A9" w:rsidRPr="00485F6E">
        <w:rPr>
          <w:sz w:val="20"/>
          <w:szCs w:val="20"/>
        </w:rPr>
        <w:t xml:space="preserve"> in the mail in Ra</w:t>
      </w:r>
      <w:r w:rsidR="00093F81">
        <w:rPr>
          <w:sz w:val="20"/>
          <w:szCs w:val="20"/>
        </w:rPr>
        <w:t>wson or the day on which said notice</w:t>
      </w:r>
      <w:r w:rsidR="00DF24A9" w:rsidRPr="00485F6E">
        <w:rPr>
          <w:sz w:val="20"/>
          <w:szCs w:val="20"/>
        </w:rPr>
        <w:t xml:space="preserve"> reached the reception desk of the Supreme Court in Buenos Aires</w:t>
      </w:r>
      <w:r w:rsidR="007B0E80" w:rsidRPr="00485F6E">
        <w:rPr>
          <w:sz w:val="20"/>
          <w:szCs w:val="20"/>
        </w:rPr>
        <w:t xml:space="preserve">. </w:t>
      </w:r>
      <w:r w:rsidR="00DF24A9" w:rsidRPr="00485F6E">
        <w:rPr>
          <w:sz w:val="20"/>
          <w:szCs w:val="20"/>
        </w:rPr>
        <w:t>Nor is it possible t</w:t>
      </w:r>
      <w:r w:rsidR="00610391">
        <w:rPr>
          <w:sz w:val="20"/>
          <w:szCs w:val="20"/>
        </w:rPr>
        <w:t>o ascertain the time-limits taken into consideration by</w:t>
      </w:r>
      <w:r w:rsidR="00DF24A9" w:rsidRPr="00485F6E">
        <w:rPr>
          <w:sz w:val="20"/>
          <w:szCs w:val="20"/>
        </w:rPr>
        <w:t xml:space="preserve"> the Supreme Court</w:t>
      </w:r>
      <w:r w:rsidR="00610391">
        <w:rPr>
          <w:sz w:val="20"/>
          <w:szCs w:val="20"/>
        </w:rPr>
        <w:t xml:space="preserve"> in order to</w:t>
      </w:r>
      <w:r w:rsidR="00DF24A9" w:rsidRPr="00485F6E">
        <w:rPr>
          <w:sz w:val="20"/>
          <w:szCs w:val="20"/>
        </w:rPr>
        <w:t xml:space="preserve"> r</w:t>
      </w:r>
      <w:r w:rsidR="00093F81">
        <w:rPr>
          <w:sz w:val="20"/>
          <w:szCs w:val="20"/>
        </w:rPr>
        <w:t>ule that the appeal was barred because of</w:t>
      </w:r>
      <w:r w:rsidR="00DF24A9" w:rsidRPr="00485F6E">
        <w:rPr>
          <w:sz w:val="20"/>
          <w:szCs w:val="20"/>
        </w:rPr>
        <w:t xml:space="preserve"> statutory time-limits</w:t>
      </w:r>
      <w:r w:rsidR="001469FC" w:rsidRPr="00485F6E">
        <w:rPr>
          <w:sz w:val="20"/>
          <w:szCs w:val="20"/>
        </w:rPr>
        <w:t xml:space="preserve"> and whether or not consideration was given to extending the time-limits for its </w:t>
      </w:r>
      <w:r w:rsidR="00093F81">
        <w:rPr>
          <w:sz w:val="20"/>
          <w:szCs w:val="20"/>
        </w:rPr>
        <w:t>filing</w:t>
      </w:r>
      <w:r w:rsidR="001469FC" w:rsidRPr="00485F6E">
        <w:rPr>
          <w:sz w:val="20"/>
          <w:szCs w:val="20"/>
        </w:rPr>
        <w:t xml:space="preserve"> because of the geographical distance between the city of Rawson and that of Buenos Aires, in accordance with Article 158 of the</w:t>
      </w:r>
      <w:r w:rsidR="00942F86">
        <w:rPr>
          <w:sz w:val="20"/>
          <w:szCs w:val="20"/>
        </w:rPr>
        <w:t xml:space="preserve"> </w:t>
      </w:r>
      <w:r w:rsidR="00D14BFF">
        <w:rPr>
          <w:sz w:val="20"/>
          <w:szCs w:val="20"/>
        </w:rPr>
        <w:t xml:space="preserve">Federal </w:t>
      </w:r>
      <w:r w:rsidR="00942F86">
        <w:rPr>
          <w:sz w:val="20"/>
          <w:szCs w:val="20"/>
        </w:rPr>
        <w:t>Code of</w:t>
      </w:r>
      <w:r w:rsidR="001469FC" w:rsidRPr="00485F6E">
        <w:rPr>
          <w:sz w:val="20"/>
          <w:szCs w:val="20"/>
        </w:rPr>
        <w:t xml:space="preserve"> Civil and Commercial Procedur</w:t>
      </w:r>
      <w:r w:rsidR="00942F86">
        <w:rPr>
          <w:sz w:val="20"/>
          <w:szCs w:val="20"/>
        </w:rPr>
        <w:t>es</w:t>
      </w:r>
      <w:r w:rsidR="007B0E80" w:rsidRPr="00485F6E">
        <w:rPr>
          <w:sz w:val="20"/>
          <w:szCs w:val="20"/>
        </w:rPr>
        <w:t xml:space="preserve">. </w:t>
      </w:r>
      <w:r w:rsidR="001469FC" w:rsidRPr="00485F6E">
        <w:rPr>
          <w:sz w:val="20"/>
          <w:szCs w:val="20"/>
        </w:rPr>
        <w:t xml:space="preserve">The Commission notes that the judgment of the Supreme Court only refers to Article 285 of the </w:t>
      </w:r>
      <w:r w:rsidR="00D14BFF">
        <w:rPr>
          <w:sz w:val="20"/>
          <w:szCs w:val="20"/>
        </w:rPr>
        <w:t xml:space="preserve">Federal </w:t>
      </w:r>
      <w:r w:rsidR="00942F86">
        <w:rPr>
          <w:sz w:val="20"/>
          <w:szCs w:val="20"/>
        </w:rPr>
        <w:t>Code of Civil and Commercial Procedures</w:t>
      </w:r>
      <w:r w:rsidR="001469FC" w:rsidRPr="00485F6E">
        <w:rPr>
          <w:sz w:val="20"/>
          <w:szCs w:val="20"/>
        </w:rPr>
        <w:t xml:space="preserve"> and makes no mention of any extension of the time-limits as appearing in Article 158 of the same legal text</w:t>
      </w:r>
      <w:r w:rsidR="007B0E80" w:rsidRPr="00485F6E">
        <w:rPr>
          <w:sz w:val="20"/>
          <w:szCs w:val="20"/>
        </w:rPr>
        <w:t xml:space="preserve">. </w:t>
      </w:r>
    </w:p>
    <w:p w14:paraId="779362D0" w14:textId="77777777" w:rsidR="007B0E80" w:rsidRPr="00485F6E" w:rsidRDefault="007B0E80" w:rsidP="007B0E80">
      <w:pPr>
        <w:pStyle w:val="ListParagraph"/>
        <w:tabs>
          <w:tab w:val="left" w:pos="567"/>
        </w:tabs>
        <w:rPr>
          <w:sz w:val="20"/>
          <w:szCs w:val="20"/>
        </w:rPr>
      </w:pPr>
    </w:p>
    <w:p w14:paraId="6C42BD12" w14:textId="77777777" w:rsidR="007B0E80" w:rsidRPr="00485F6E" w:rsidRDefault="007B0E80" w:rsidP="007B0E80">
      <w:pPr>
        <w:pStyle w:val="ListParagraph"/>
        <w:numPr>
          <w:ilvl w:val="0"/>
          <w:numId w:val="2"/>
        </w:numPr>
        <w:tabs>
          <w:tab w:val="left" w:pos="567"/>
        </w:tabs>
        <w:ind w:left="0" w:firstLine="0"/>
        <w:jc w:val="both"/>
        <w:rPr>
          <w:sz w:val="20"/>
          <w:szCs w:val="20"/>
        </w:rPr>
      </w:pPr>
      <w:r w:rsidRPr="00485F6E">
        <w:rPr>
          <w:sz w:val="20"/>
          <w:szCs w:val="20"/>
        </w:rPr>
        <w:t>Final</w:t>
      </w:r>
      <w:r w:rsidR="001469FC" w:rsidRPr="00485F6E">
        <w:rPr>
          <w:sz w:val="20"/>
          <w:szCs w:val="20"/>
        </w:rPr>
        <w:t>ly, it should be highlighted here that the state of Argentina, during the processing of the petition in the Commission, did not provide any clea</w:t>
      </w:r>
      <w:r w:rsidR="00E40314" w:rsidRPr="00485F6E">
        <w:rPr>
          <w:sz w:val="20"/>
          <w:szCs w:val="20"/>
        </w:rPr>
        <w:t>r</w:t>
      </w:r>
      <w:r w:rsidR="001469FC" w:rsidRPr="00485F6E">
        <w:rPr>
          <w:sz w:val="20"/>
          <w:szCs w:val="20"/>
        </w:rPr>
        <w:t xml:space="preserve"> explanations about this matter and confined it</w:t>
      </w:r>
      <w:r w:rsidR="00E40314" w:rsidRPr="00485F6E">
        <w:rPr>
          <w:sz w:val="20"/>
          <w:szCs w:val="20"/>
        </w:rPr>
        <w:t>self to indicating that, if the Supreme Court had not taken into account the additional time-limits granted by Article 158, then the attorneys of the petitioner should have challenged said ruling by filing an appeal for</w:t>
      </w:r>
      <w:r w:rsidR="00FA587B">
        <w:rPr>
          <w:sz w:val="20"/>
          <w:szCs w:val="20"/>
        </w:rPr>
        <w:t xml:space="preserve"> reversal</w:t>
      </w:r>
      <w:r w:rsidRPr="00485F6E">
        <w:rPr>
          <w:sz w:val="20"/>
          <w:szCs w:val="20"/>
        </w:rPr>
        <w:t xml:space="preserve">. </w:t>
      </w:r>
    </w:p>
    <w:p w14:paraId="575C50F3" w14:textId="77777777" w:rsidR="007B0E80" w:rsidRPr="00485F6E" w:rsidRDefault="007B0E80" w:rsidP="007B0E80">
      <w:pPr>
        <w:pStyle w:val="ListParagraph"/>
        <w:tabs>
          <w:tab w:val="left" w:pos="567"/>
        </w:tabs>
        <w:ind w:left="0"/>
        <w:jc w:val="both"/>
        <w:rPr>
          <w:sz w:val="20"/>
          <w:szCs w:val="20"/>
        </w:rPr>
      </w:pPr>
    </w:p>
    <w:p w14:paraId="0B9A6C66" w14:textId="77777777" w:rsidR="007B0E80" w:rsidRPr="00485F6E" w:rsidRDefault="00610391" w:rsidP="007B0E80">
      <w:pPr>
        <w:pStyle w:val="ListParagraph"/>
        <w:numPr>
          <w:ilvl w:val="0"/>
          <w:numId w:val="2"/>
        </w:numPr>
        <w:tabs>
          <w:tab w:val="left" w:pos="567"/>
        </w:tabs>
        <w:spacing w:after="240"/>
        <w:ind w:left="0" w:firstLine="0"/>
        <w:jc w:val="both"/>
        <w:rPr>
          <w:sz w:val="20"/>
          <w:szCs w:val="20"/>
        </w:rPr>
      </w:pPr>
      <w:r>
        <w:rPr>
          <w:sz w:val="20"/>
          <w:szCs w:val="20"/>
        </w:rPr>
        <w:t>With this in mind, t</w:t>
      </w:r>
      <w:r w:rsidR="00E40314" w:rsidRPr="00485F6E">
        <w:rPr>
          <w:sz w:val="20"/>
          <w:szCs w:val="20"/>
        </w:rPr>
        <w:t xml:space="preserve">he IACHR understands that the petitioners made all efforts possible to reach a settlement of the dispute under domestic law and that, as a result of that effort, they duly exhausted </w:t>
      </w:r>
      <w:r>
        <w:rPr>
          <w:sz w:val="20"/>
          <w:szCs w:val="20"/>
        </w:rPr>
        <w:t>ordinary and extraordinary</w:t>
      </w:r>
      <w:r w:rsidR="00E40314" w:rsidRPr="00485F6E">
        <w:rPr>
          <w:sz w:val="20"/>
          <w:szCs w:val="20"/>
        </w:rPr>
        <w:t xml:space="preserve"> remedies as provided for by domestic law</w:t>
      </w:r>
      <w:r w:rsidR="007B0E80" w:rsidRPr="00485F6E">
        <w:rPr>
          <w:sz w:val="20"/>
          <w:szCs w:val="20"/>
        </w:rPr>
        <w:t xml:space="preserve">.  </w:t>
      </w:r>
      <w:r w:rsidR="00E40314" w:rsidRPr="00485F6E">
        <w:rPr>
          <w:sz w:val="20"/>
          <w:szCs w:val="20"/>
        </w:rPr>
        <w:t>As a result, the Commission shall conclude that,</w:t>
      </w:r>
      <w:r w:rsidR="00F13C80" w:rsidRPr="00485F6E">
        <w:rPr>
          <w:sz w:val="20"/>
          <w:szCs w:val="20"/>
        </w:rPr>
        <w:t xml:space="preserve"> as of the moment the </w:t>
      </w:r>
      <w:r>
        <w:rPr>
          <w:sz w:val="20"/>
          <w:szCs w:val="20"/>
        </w:rPr>
        <w:t>notice</w:t>
      </w:r>
      <w:r w:rsidR="00F13C80" w:rsidRPr="00485F6E">
        <w:rPr>
          <w:sz w:val="20"/>
          <w:szCs w:val="20"/>
        </w:rPr>
        <w:t xml:space="preserve"> filing the complaint appeal </w:t>
      </w:r>
      <w:r>
        <w:rPr>
          <w:sz w:val="20"/>
          <w:szCs w:val="20"/>
        </w:rPr>
        <w:t>challenging</w:t>
      </w:r>
      <w:r w:rsidR="00F13C80" w:rsidRPr="00485F6E">
        <w:rPr>
          <w:sz w:val="20"/>
          <w:szCs w:val="20"/>
        </w:rPr>
        <w:t xml:space="preserve"> dismissal of the </w:t>
      </w:r>
      <w:r w:rsidR="00F64F34">
        <w:rPr>
          <w:sz w:val="20"/>
          <w:szCs w:val="20"/>
        </w:rPr>
        <w:t>special federal appeal</w:t>
      </w:r>
      <w:r w:rsidR="00F13C80" w:rsidRPr="00485F6E">
        <w:rPr>
          <w:sz w:val="20"/>
          <w:szCs w:val="20"/>
        </w:rPr>
        <w:t xml:space="preserve"> was dispatched via the postal service to the reception desks of the Supreme Court of Justice, the petitioners met the requirement stipulated in A</w:t>
      </w:r>
      <w:r w:rsidR="001505EB" w:rsidRPr="00485F6E">
        <w:rPr>
          <w:sz w:val="20"/>
          <w:szCs w:val="20"/>
        </w:rPr>
        <w:t>rticle 46(1) of the American Convention.</w:t>
      </w:r>
      <w:r w:rsidR="007B0E80" w:rsidRPr="00485F6E">
        <w:rPr>
          <w:rStyle w:val="FootnoteReference"/>
          <w:sz w:val="20"/>
          <w:szCs w:val="20"/>
        </w:rPr>
        <w:footnoteReference w:id="8"/>
      </w:r>
    </w:p>
    <w:p w14:paraId="3E3D2AAB" w14:textId="77777777" w:rsidR="007B0E80" w:rsidRPr="00485F6E" w:rsidRDefault="007B0E80" w:rsidP="007B0E80">
      <w:pPr>
        <w:pStyle w:val="ListParagraph"/>
        <w:numPr>
          <w:ilvl w:val="0"/>
          <w:numId w:val="24"/>
        </w:numPr>
        <w:spacing w:after="240"/>
        <w:jc w:val="both"/>
        <w:outlineLvl w:val="2"/>
        <w:rPr>
          <w:sz w:val="20"/>
          <w:szCs w:val="20"/>
        </w:rPr>
      </w:pPr>
      <w:bookmarkStart w:id="18" w:name="_Toc203988485"/>
      <w:r w:rsidRPr="00485F6E">
        <w:rPr>
          <w:b/>
          <w:bCs/>
          <w:sz w:val="20"/>
          <w:szCs w:val="20"/>
        </w:rPr>
        <w:t>F</w:t>
      </w:r>
      <w:r w:rsidR="001505EB" w:rsidRPr="00485F6E">
        <w:rPr>
          <w:b/>
          <w:bCs/>
          <w:sz w:val="20"/>
          <w:szCs w:val="20"/>
        </w:rPr>
        <w:t>ailure to exhaust remedies under domestic law because of the</w:t>
      </w:r>
      <w:r w:rsidR="00FA587B">
        <w:rPr>
          <w:b/>
          <w:bCs/>
          <w:sz w:val="20"/>
          <w:szCs w:val="20"/>
        </w:rPr>
        <w:t xml:space="preserve"> failure to file an appeal for reversal</w:t>
      </w:r>
      <w:r w:rsidR="001505EB" w:rsidRPr="00485F6E">
        <w:rPr>
          <w:b/>
          <w:bCs/>
          <w:sz w:val="20"/>
          <w:szCs w:val="20"/>
        </w:rPr>
        <w:t xml:space="preserve"> with the </w:t>
      </w:r>
      <w:r w:rsidR="009B76CB">
        <w:rPr>
          <w:b/>
          <w:bCs/>
          <w:sz w:val="20"/>
          <w:szCs w:val="20"/>
        </w:rPr>
        <w:t xml:space="preserve">Federal </w:t>
      </w:r>
      <w:r w:rsidR="001505EB" w:rsidRPr="00485F6E">
        <w:rPr>
          <w:b/>
          <w:bCs/>
          <w:sz w:val="20"/>
          <w:szCs w:val="20"/>
        </w:rPr>
        <w:t>Supreme Court of Justice</w:t>
      </w:r>
      <w:bookmarkEnd w:id="18"/>
    </w:p>
    <w:p w14:paraId="4B9AC301" w14:textId="77777777" w:rsidR="007B0E80" w:rsidRPr="00485F6E" w:rsidRDefault="00B014C7" w:rsidP="007B0E80">
      <w:pPr>
        <w:pStyle w:val="ListParagraph"/>
        <w:numPr>
          <w:ilvl w:val="0"/>
          <w:numId w:val="2"/>
        </w:numPr>
        <w:tabs>
          <w:tab w:val="left" w:pos="567"/>
        </w:tabs>
        <w:ind w:left="0" w:firstLine="0"/>
        <w:jc w:val="both"/>
        <w:rPr>
          <w:sz w:val="20"/>
          <w:szCs w:val="20"/>
        </w:rPr>
      </w:pPr>
      <w:r w:rsidRPr="00485F6E">
        <w:rPr>
          <w:sz w:val="20"/>
          <w:szCs w:val="20"/>
        </w:rPr>
        <w:t>In connection with the state’s allegation about the failure to exhaust remedies under domestic law for the failure to file an appeal for reversal to challenge the dismissal of the complaint appeal, the Commission notes that, according to the</w:t>
      </w:r>
      <w:r w:rsidR="00942F86">
        <w:rPr>
          <w:sz w:val="20"/>
          <w:szCs w:val="20"/>
        </w:rPr>
        <w:t xml:space="preserve"> Code of Civil and Commercial Procedures</w:t>
      </w:r>
      <w:r w:rsidRPr="00485F6E">
        <w:rPr>
          <w:sz w:val="20"/>
          <w:szCs w:val="20"/>
        </w:rPr>
        <w:t xml:space="preserve"> applicable in the present proceeding, said appeal for reversal is admissible only against simple motions so that the judge or court that has issued the ruling can overturn </w:t>
      </w:r>
      <w:r w:rsidR="00FA587B">
        <w:rPr>
          <w:sz w:val="20"/>
          <w:szCs w:val="20"/>
        </w:rPr>
        <w:t xml:space="preserve">them </w:t>
      </w:r>
      <w:r w:rsidRPr="00485F6E">
        <w:rPr>
          <w:sz w:val="20"/>
          <w:szCs w:val="20"/>
        </w:rPr>
        <w:t>for being contrary to the rule of law.</w:t>
      </w:r>
      <w:r w:rsidR="007B0E80" w:rsidRPr="00485F6E">
        <w:rPr>
          <w:rStyle w:val="FootnoteReference"/>
          <w:sz w:val="20"/>
          <w:szCs w:val="20"/>
        </w:rPr>
        <w:footnoteReference w:id="9"/>
      </w:r>
      <w:r w:rsidR="007B0E80" w:rsidRPr="00485F6E">
        <w:rPr>
          <w:sz w:val="20"/>
          <w:szCs w:val="20"/>
        </w:rPr>
        <w:t xml:space="preserve"> </w:t>
      </w:r>
      <w:r w:rsidRPr="00485F6E">
        <w:rPr>
          <w:sz w:val="20"/>
          <w:szCs w:val="20"/>
        </w:rPr>
        <w:t>The same law describes simple motions as those court rulings that “only affect, without grounds, the development of the proceeding or order actions merely for execution</w:t>
      </w:r>
      <w:r w:rsidR="007B0E80" w:rsidRPr="00485F6E">
        <w:rPr>
          <w:sz w:val="20"/>
          <w:szCs w:val="20"/>
        </w:rPr>
        <w:t>…”</w:t>
      </w:r>
      <w:r w:rsidR="007B0E80" w:rsidRPr="00485F6E">
        <w:rPr>
          <w:rStyle w:val="FootnoteReference"/>
          <w:sz w:val="20"/>
          <w:szCs w:val="20"/>
        </w:rPr>
        <w:footnoteReference w:id="10"/>
      </w:r>
    </w:p>
    <w:p w14:paraId="0B37D1E3" w14:textId="77777777" w:rsidR="007B0E80" w:rsidRPr="00485F6E" w:rsidRDefault="007B0E80" w:rsidP="007B0E80">
      <w:pPr>
        <w:pStyle w:val="ListParagraph"/>
        <w:tabs>
          <w:tab w:val="left" w:pos="567"/>
        </w:tabs>
        <w:ind w:left="0"/>
        <w:jc w:val="both"/>
        <w:rPr>
          <w:sz w:val="20"/>
          <w:szCs w:val="20"/>
        </w:rPr>
      </w:pPr>
    </w:p>
    <w:p w14:paraId="777BA0BE" w14:textId="77777777" w:rsidR="007B0E80" w:rsidRPr="00485F6E" w:rsidRDefault="000A0AFA" w:rsidP="007B0E80">
      <w:pPr>
        <w:pStyle w:val="ListParagraph"/>
        <w:numPr>
          <w:ilvl w:val="0"/>
          <w:numId w:val="2"/>
        </w:numPr>
        <w:tabs>
          <w:tab w:val="left" w:pos="567"/>
        </w:tabs>
        <w:ind w:left="0" w:firstLine="0"/>
        <w:jc w:val="both"/>
        <w:rPr>
          <w:sz w:val="20"/>
          <w:szCs w:val="20"/>
        </w:rPr>
      </w:pPr>
      <w:r w:rsidRPr="00485F6E">
        <w:rPr>
          <w:sz w:val="20"/>
          <w:szCs w:val="20"/>
        </w:rPr>
        <w:t xml:space="preserve">The Commission takes note of what was reported by the </w:t>
      </w:r>
      <w:r w:rsidR="00CF6A89">
        <w:rPr>
          <w:sz w:val="20"/>
          <w:szCs w:val="20"/>
        </w:rPr>
        <w:t xml:space="preserve">state’s </w:t>
      </w:r>
      <w:r w:rsidRPr="00485F6E">
        <w:rPr>
          <w:sz w:val="20"/>
          <w:szCs w:val="20"/>
        </w:rPr>
        <w:t xml:space="preserve">representative in its communication of March 13, 2019 in which it provides a couple of precedents of the </w:t>
      </w:r>
      <w:r w:rsidR="009B76CB">
        <w:rPr>
          <w:sz w:val="20"/>
          <w:szCs w:val="20"/>
        </w:rPr>
        <w:t xml:space="preserve">Federal </w:t>
      </w:r>
      <w:r w:rsidRPr="00485F6E">
        <w:rPr>
          <w:sz w:val="20"/>
          <w:szCs w:val="20"/>
        </w:rPr>
        <w:t>Supreme Court of Justice</w:t>
      </w:r>
      <w:r w:rsidR="009B76CB">
        <w:rPr>
          <w:sz w:val="20"/>
          <w:szCs w:val="20"/>
        </w:rPr>
        <w:t xml:space="preserve"> </w:t>
      </w:r>
      <w:r w:rsidR="005C0647" w:rsidRPr="00485F6E">
        <w:rPr>
          <w:sz w:val="20"/>
          <w:szCs w:val="20"/>
        </w:rPr>
        <w:t>where the court rules in favor of</w:t>
      </w:r>
      <w:r w:rsidRPr="00485F6E">
        <w:rPr>
          <w:sz w:val="20"/>
          <w:szCs w:val="20"/>
        </w:rPr>
        <w:t xml:space="preserve"> the appeal for </w:t>
      </w:r>
      <w:r w:rsidR="00CF6A89">
        <w:rPr>
          <w:sz w:val="20"/>
          <w:szCs w:val="20"/>
        </w:rPr>
        <w:t>reversal</w:t>
      </w:r>
      <w:r w:rsidRPr="00485F6E">
        <w:rPr>
          <w:sz w:val="20"/>
          <w:szCs w:val="20"/>
        </w:rPr>
        <w:t xml:space="preserve"> filed against the decision of the same court to declare that the complaint appeal was inadmissible without taking </w:t>
      </w:r>
      <w:r w:rsidR="005C0647" w:rsidRPr="00485F6E">
        <w:rPr>
          <w:sz w:val="20"/>
          <w:szCs w:val="20"/>
        </w:rPr>
        <w:t xml:space="preserve">into </w:t>
      </w:r>
      <w:r w:rsidRPr="00485F6E">
        <w:rPr>
          <w:sz w:val="20"/>
          <w:szCs w:val="20"/>
        </w:rPr>
        <w:t xml:space="preserve">account </w:t>
      </w:r>
      <w:r w:rsidR="005C0647" w:rsidRPr="00485F6E">
        <w:rPr>
          <w:sz w:val="20"/>
          <w:szCs w:val="20"/>
        </w:rPr>
        <w:t xml:space="preserve">an extension of </w:t>
      </w:r>
      <w:r w:rsidRPr="00485F6E">
        <w:rPr>
          <w:sz w:val="20"/>
          <w:szCs w:val="20"/>
        </w:rPr>
        <w:t>the time-limits for submittal because of the distance</w:t>
      </w:r>
      <w:r w:rsidR="007B0E80" w:rsidRPr="00485F6E">
        <w:rPr>
          <w:sz w:val="20"/>
          <w:szCs w:val="20"/>
        </w:rPr>
        <w:t xml:space="preserve">. </w:t>
      </w:r>
    </w:p>
    <w:p w14:paraId="5CD28A77" w14:textId="77777777" w:rsidR="007B0E80" w:rsidRPr="00485F6E" w:rsidRDefault="007B0E80" w:rsidP="007B0E80">
      <w:pPr>
        <w:pStyle w:val="ListParagraph"/>
        <w:tabs>
          <w:tab w:val="left" w:pos="567"/>
        </w:tabs>
        <w:ind w:left="0"/>
        <w:jc w:val="both"/>
        <w:rPr>
          <w:sz w:val="20"/>
          <w:szCs w:val="20"/>
        </w:rPr>
      </w:pPr>
    </w:p>
    <w:p w14:paraId="1416D15F" w14:textId="77777777" w:rsidR="007B0E80" w:rsidRPr="00485F6E" w:rsidRDefault="005C0647" w:rsidP="007B0E80">
      <w:pPr>
        <w:pStyle w:val="ListParagraph"/>
        <w:numPr>
          <w:ilvl w:val="0"/>
          <w:numId w:val="2"/>
        </w:numPr>
        <w:tabs>
          <w:tab w:val="left" w:pos="567"/>
        </w:tabs>
        <w:ind w:left="0" w:firstLine="0"/>
        <w:jc w:val="both"/>
        <w:rPr>
          <w:sz w:val="20"/>
          <w:szCs w:val="20"/>
        </w:rPr>
      </w:pPr>
      <w:r w:rsidRPr="00485F6E">
        <w:rPr>
          <w:sz w:val="20"/>
          <w:szCs w:val="20"/>
        </w:rPr>
        <w:t xml:space="preserve">Nevertheless, the Commission underscores that, in the second precedent mentioned, the </w:t>
      </w:r>
      <w:r w:rsidR="009B76CB">
        <w:rPr>
          <w:sz w:val="20"/>
          <w:szCs w:val="20"/>
        </w:rPr>
        <w:t xml:space="preserve">Federal </w:t>
      </w:r>
      <w:r w:rsidRPr="00485F6E">
        <w:rPr>
          <w:sz w:val="20"/>
          <w:szCs w:val="20"/>
        </w:rPr>
        <w:t>Supreme Court established that “as a rule, decisions of the present Court are not subject to reversal</w:t>
      </w:r>
      <w:r w:rsidR="007B0E80" w:rsidRPr="00485F6E">
        <w:rPr>
          <w:rFonts w:eastAsia="Times New Roman"/>
          <w:sz w:val="20"/>
          <w:szCs w:val="20"/>
          <w:bdr w:val="none" w:sz="0" w:space="0" w:color="auto"/>
        </w:rPr>
        <w:t xml:space="preserve"> (</w:t>
      </w:r>
      <w:r w:rsidRPr="00485F6E">
        <w:rPr>
          <w:rFonts w:eastAsia="Times New Roman"/>
          <w:sz w:val="20"/>
          <w:szCs w:val="20"/>
          <w:bdr w:val="none" w:sz="0" w:space="0" w:color="auto"/>
        </w:rPr>
        <w:t>Judgments</w:t>
      </w:r>
      <w:r w:rsidR="007B0E80" w:rsidRPr="00485F6E">
        <w:rPr>
          <w:rFonts w:eastAsia="Times New Roman"/>
          <w:sz w:val="20"/>
          <w:szCs w:val="20"/>
          <w:bdr w:val="none" w:sz="0" w:space="0" w:color="auto"/>
        </w:rPr>
        <w:t xml:space="preserve">: 302:1319; 310:2134; 326:4351, </w:t>
      </w:r>
      <w:r w:rsidRPr="00485F6E">
        <w:rPr>
          <w:rFonts w:eastAsia="Times New Roman"/>
          <w:sz w:val="20"/>
          <w:szCs w:val="20"/>
          <w:bdr w:val="none" w:sz="0" w:space="0" w:color="auto"/>
        </w:rPr>
        <w:t>among many others</w:t>
      </w:r>
      <w:r w:rsidR="007B0E80" w:rsidRPr="00485F6E">
        <w:rPr>
          <w:rFonts w:eastAsia="Times New Roman"/>
          <w:sz w:val="20"/>
          <w:szCs w:val="20"/>
          <w:bdr w:val="none" w:sz="0" w:space="0" w:color="auto"/>
        </w:rPr>
        <w:t xml:space="preserve">), </w:t>
      </w:r>
      <w:r w:rsidRPr="00485F6E">
        <w:rPr>
          <w:rFonts w:eastAsia="Times New Roman"/>
          <w:sz w:val="20"/>
          <w:szCs w:val="20"/>
          <w:bdr w:val="none" w:sz="0" w:space="0" w:color="auto"/>
        </w:rPr>
        <w:t xml:space="preserve">in the present case an exceptional assumption appears </w:t>
      </w:r>
      <w:r w:rsidRPr="00485F6E">
        <w:rPr>
          <w:rFonts w:eastAsia="Times New Roman"/>
          <w:sz w:val="20"/>
          <w:szCs w:val="20"/>
          <w:bdr w:val="none" w:sz="0" w:space="0" w:color="auto"/>
        </w:rPr>
        <w:lastRenderedPageBreak/>
        <w:t>authorizing nonobservance of that principle</w:t>
      </w:r>
      <w:r w:rsidR="002C0342" w:rsidRPr="00485F6E">
        <w:rPr>
          <w:rFonts w:eastAsia="Times New Roman"/>
          <w:sz w:val="20"/>
          <w:szCs w:val="20"/>
          <w:bdr w:val="none" w:sz="0" w:space="0" w:color="auto"/>
        </w:rPr>
        <w:t>.”</w:t>
      </w:r>
      <w:r w:rsidR="007B0E80" w:rsidRPr="00485F6E">
        <w:rPr>
          <w:rFonts w:eastAsia="Times New Roman"/>
          <w:sz w:val="20"/>
          <w:szCs w:val="20"/>
          <w:bdr w:val="none" w:sz="0" w:space="0" w:color="auto"/>
        </w:rPr>
        <w:t xml:space="preserve"> </w:t>
      </w:r>
      <w:r w:rsidR="002C0342" w:rsidRPr="00485F6E">
        <w:rPr>
          <w:rFonts w:eastAsia="Times New Roman"/>
          <w:sz w:val="20"/>
          <w:szCs w:val="20"/>
          <w:bdr w:val="none" w:sz="0" w:space="0" w:color="auto"/>
        </w:rPr>
        <w:t>As a result, the IACHR</w:t>
      </w:r>
      <w:r w:rsidR="001075EA" w:rsidRPr="00485F6E">
        <w:rPr>
          <w:rFonts w:eastAsia="Times New Roman"/>
          <w:sz w:val="20"/>
          <w:szCs w:val="20"/>
          <w:bdr w:val="none" w:sz="0" w:space="0" w:color="auto"/>
        </w:rPr>
        <w:t xml:space="preserve"> understands that, on the basis of </w:t>
      </w:r>
      <w:r w:rsidR="002C0342" w:rsidRPr="00485F6E">
        <w:rPr>
          <w:rFonts w:eastAsia="Times New Roman"/>
          <w:sz w:val="20"/>
          <w:szCs w:val="20"/>
          <w:bdr w:val="none" w:sz="0" w:space="0" w:color="auto"/>
        </w:rPr>
        <w:t>the sentences referred in the above-mentioned precedent</w:t>
      </w:r>
      <w:r w:rsidR="001075EA" w:rsidRPr="00485F6E">
        <w:rPr>
          <w:rFonts w:eastAsia="Times New Roman"/>
          <w:sz w:val="20"/>
          <w:szCs w:val="20"/>
          <w:bdr w:val="none" w:sz="0" w:space="0" w:color="auto"/>
        </w:rPr>
        <w:t>, there is Supreme Court jurisprudence that dismiss</w:t>
      </w:r>
      <w:r w:rsidR="00A248DF" w:rsidRPr="00485F6E">
        <w:rPr>
          <w:rFonts w:eastAsia="Times New Roman"/>
          <w:sz w:val="20"/>
          <w:szCs w:val="20"/>
          <w:bdr w:val="none" w:sz="0" w:space="0" w:color="auto"/>
        </w:rPr>
        <w:t>es the admissibility of the app</w:t>
      </w:r>
      <w:r w:rsidR="001075EA" w:rsidRPr="00485F6E">
        <w:rPr>
          <w:rFonts w:eastAsia="Times New Roman"/>
          <w:sz w:val="20"/>
          <w:szCs w:val="20"/>
          <w:bdr w:val="none" w:sz="0" w:space="0" w:color="auto"/>
        </w:rPr>
        <w:t xml:space="preserve">eal for reversal of final or interlocutory rulings such as those, for example, that dismiss complaint appeals challenging the dismissal of </w:t>
      </w:r>
      <w:r w:rsidR="00CF6A89">
        <w:rPr>
          <w:rFonts w:eastAsia="Times New Roman"/>
          <w:sz w:val="20"/>
          <w:szCs w:val="20"/>
          <w:bdr w:val="none" w:sz="0" w:space="0" w:color="auto"/>
        </w:rPr>
        <w:t xml:space="preserve">an </w:t>
      </w:r>
      <w:r w:rsidR="00F64F34">
        <w:rPr>
          <w:rFonts w:eastAsia="Times New Roman"/>
          <w:sz w:val="20"/>
          <w:szCs w:val="20"/>
          <w:bdr w:val="none" w:sz="0" w:space="0" w:color="auto"/>
        </w:rPr>
        <w:t>special federal appeal</w:t>
      </w:r>
      <w:r w:rsidR="007B0E80" w:rsidRPr="00485F6E">
        <w:rPr>
          <w:rFonts w:eastAsia="Times New Roman"/>
          <w:sz w:val="20"/>
          <w:szCs w:val="20"/>
          <w:bdr w:val="none" w:sz="0" w:space="0" w:color="auto"/>
        </w:rPr>
        <w:t xml:space="preserve">. </w:t>
      </w:r>
    </w:p>
    <w:p w14:paraId="4A6AF0B1" w14:textId="77777777" w:rsidR="007B0E80" w:rsidRPr="00485F6E" w:rsidRDefault="007B0E80" w:rsidP="007B0E80">
      <w:pPr>
        <w:pStyle w:val="ListParagraph"/>
        <w:tabs>
          <w:tab w:val="left" w:pos="567"/>
        </w:tabs>
        <w:ind w:left="0"/>
        <w:jc w:val="both"/>
        <w:rPr>
          <w:sz w:val="20"/>
          <w:szCs w:val="20"/>
        </w:rPr>
      </w:pPr>
    </w:p>
    <w:p w14:paraId="03A0A593" w14:textId="77777777" w:rsidR="007B0E80" w:rsidRPr="00485F6E" w:rsidRDefault="001075EA" w:rsidP="007B0E80">
      <w:pPr>
        <w:pStyle w:val="ListParagraph"/>
        <w:numPr>
          <w:ilvl w:val="0"/>
          <w:numId w:val="2"/>
        </w:numPr>
        <w:tabs>
          <w:tab w:val="left" w:pos="567"/>
        </w:tabs>
        <w:ind w:left="0" w:firstLine="0"/>
        <w:jc w:val="both"/>
        <w:rPr>
          <w:sz w:val="20"/>
          <w:szCs w:val="20"/>
        </w:rPr>
      </w:pPr>
      <w:r w:rsidRPr="00485F6E">
        <w:rPr>
          <w:sz w:val="20"/>
          <w:szCs w:val="20"/>
        </w:rPr>
        <w:t xml:space="preserve">Bearing in mind the status of Supreme Court jurisprudence on the subject and especially taking into consideration the standard-setting regulation governing the appeal for reversal in the </w:t>
      </w:r>
      <w:r w:rsidR="00942F86">
        <w:rPr>
          <w:sz w:val="20"/>
          <w:szCs w:val="20"/>
        </w:rPr>
        <w:t>Code of Civil and Commercial Procedures</w:t>
      </w:r>
      <w:r w:rsidRPr="00485F6E">
        <w:rPr>
          <w:sz w:val="20"/>
          <w:szCs w:val="20"/>
        </w:rPr>
        <w:t xml:space="preserve"> applicable to the case and the fact that </w:t>
      </w:r>
      <w:r w:rsidR="00CF6A89">
        <w:rPr>
          <w:sz w:val="20"/>
          <w:szCs w:val="20"/>
        </w:rPr>
        <w:t>it involves an extraordinary</w:t>
      </w:r>
      <w:r w:rsidRPr="00485F6E">
        <w:rPr>
          <w:sz w:val="20"/>
          <w:szCs w:val="20"/>
        </w:rPr>
        <w:t xml:space="preserve"> appeal, the Commission deems that the stipulation of exhaustion of the remedy for reversal is not enforceable in order to evaluate compliance with the requirement of Article</w:t>
      </w:r>
      <w:r w:rsidR="007B0E80" w:rsidRPr="00485F6E">
        <w:rPr>
          <w:sz w:val="20"/>
          <w:szCs w:val="20"/>
        </w:rPr>
        <w:t xml:space="preserve"> 4</w:t>
      </w:r>
      <w:r w:rsidRPr="00485F6E">
        <w:rPr>
          <w:sz w:val="20"/>
          <w:szCs w:val="20"/>
        </w:rPr>
        <w:t>6(1)(a) of the American Convention.</w:t>
      </w:r>
      <w:r w:rsidR="007B0E80" w:rsidRPr="00485F6E">
        <w:rPr>
          <w:rStyle w:val="FootnoteReference"/>
          <w:rFonts w:eastAsia="Times New Roman"/>
          <w:sz w:val="20"/>
          <w:szCs w:val="20"/>
          <w:bdr w:val="none" w:sz="0" w:space="0" w:color="auto"/>
        </w:rPr>
        <w:footnoteReference w:id="11"/>
      </w:r>
    </w:p>
    <w:p w14:paraId="44FCA1C3" w14:textId="77777777" w:rsidR="007B0E80" w:rsidRPr="00485F6E" w:rsidRDefault="007B0E80" w:rsidP="007B0E80">
      <w:pPr>
        <w:pStyle w:val="ListParagraph"/>
        <w:tabs>
          <w:tab w:val="left" w:pos="567"/>
        </w:tabs>
        <w:ind w:left="0"/>
        <w:jc w:val="both"/>
        <w:rPr>
          <w:sz w:val="20"/>
          <w:szCs w:val="20"/>
        </w:rPr>
      </w:pPr>
    </w:p>
    <w:p w14:paraId="2AD699DF" w14:textId="77777777" w:rsidR="007B0E80" w:rsidRPr="00485F6E" w:rsidRDefault="001075EA" w:rsidP="003F50CE">
      <w:pPr>
        <w:pStyle w:val="ListParagraph"/>
        <w:numPr>
          <w:ilvl w:val="0"/>
          <w:numId w:val="24"/>
        </w:numPr>
        <w:spacing w:after="240"/>
        <w:jc w:val="both"/>
        <w:outlineLvl w:val="2"/>
        <w:rPr>
          <w:sz w:val="20"/>
          <w:szCs w:val="20"/>
        </w:rPr>
      </w:pPr>
      <w:bookmarkStart w:id="19" w:name="_Toc203988486"/>
      <w:r w:rsidRPr="00485F6E">
        <w:rPr>
          <w:b/>
          <w:bCs/>
          <w:sz w:val="20"/>
          <w:szCs w:val="20"/>
        </w:rPr>
        <w:t>Filing past statutory limits on the “federal matter</w:t>
      </w:r>
      <w:r w:rsidR="007B0E80" w:rsidRPr="00485F6E">
        <w:rPr>
          <w:b/>
          <w:bCs/>
          <w:sz w:val="20"/>
          <w:szCs w:val="20"/>
        </w:rPr>
        <w:t>”</w:t>
      </w:r>
      <w:bookmarkEnd w:id="19"/>
      <w:r w:rsidR="007B0E80" w:rsidRPr="00485F6E">
        <w:rPr>
          <w:b/>
          <w:bCs/>
          <w:sz w:val="20"/>
          <w:szCs w:val="20"/>
        </w:rPr>
        <w:t xml:space="preserve"> </w:t>
      </w:r>
    </w:p>
    <w:p w14:paraId="05D9C64C" w14:textId="77777777" w:rsidR="007B0E80" w:rsidRPr="00485F6E" w:rsidRDefault="001075EA" w:rsidP="007B0E80">
      <w:pPr>
        <w:pStyle w:val="ListParagraph"/>
        <w:numPr>
          <w:ilvl w:val="0"/>
          <w:numId w:val="2"/>
        </w:numPr>
        <w:tabs>
          <w:tab w:val="left" w:pos="567"/>
        </w:tabs>
        <w:ind w:left="0" w:firstLine="0"/>
        <w:jc w:val="both"/>
        <w:rPr>
          <w:sz w:val="20"/>
          <w:szCs w:val="20"/>
        </w:rPr>
      </w:pPr>
      <w:r w:rsidRPr="00485F6E">
        <w:rPr>
          <w:sz w:val="20"/>
          <w:szCs w:val="20"/>
        </w:rPr>
        <w:t xml:space="preserve">Regarding this matter, the state contended that the petitioners did not submit on a timely basis the matter of the alleged violation of the right to secure a full review of the judgment, </w:t>
      </w:r>
      <w:r w:rsidR="00561086" w:rsidRPr="00485F6E">
        <w:rPr>
          <w:sz w:val="20"/>
          <w:szCs w:val="20"/>
        </w:rPr>
        <w:t>as a result of which national judicial bodies were not provided the opportunity to examine and eventually remedy said violation</w:t>
      </w:r>
      <w:r w:rsidR="007B0E80" w:rsidRPr="00485F6E">
        <w:rPr>
          <w:sz w:val="20"/>
          <w:szCs w:val="20"/>
        </w:rPr>
        <w:t xml:space="preserve">. </w:t>
      </w:r>
    </w:p>
    <w:p w14:paraId="0E9913A0" w14:textId="77777777" w:rsidR="007B0E80" w:rsidRPr="00485F6E" w:rsidRDefault="007B0E80" w:rsidP="007B0E80">
      <w:pPr>
        <w:pStyle w:val="ListParagraph"/>
        <w:tabs>
          <w:tab w:val="left" w:pos="567"/>
        </w:tabs>
        <w:ind w:left="0"/>
        <w:jc w:val="both"/>
        <w:rPr>
          <w:sz w:val="20"/>
          <w:szCs w:val="20"/>
        </w:rPr>
      </w:pPr>
    </w:p>
    <w:p w14:paraId="21929594" w14:textId="77777777" w:rsidR="007B0E80" w:rsidRPr="00485F6E" w:rsidRDefault="00561086" w:rsidP="007B0E80">
      <w:pPr>
        <w:pStyle w:val="ListParagraph"/>
        <w:numPr>
          <w:ilvl w:val="0"/>
          <w:numId w:val="2"/>
        </w:numPr>
        <w:tabs>
          <w:tab w:val="left" w:pos="567"/>
        </w:tabs>
        <w:ind w:left="0" w:firstLine="0"/>
        <w:jc w:val="both"/>
        <w:rPr>
          <w:sz w:val="20"/>
          <w:szCs w:val="20"/>
        </w:rPr>
      </w:pPr>
      <w:r w:rsidRPr="00485F6E">
        <w:rPr>
          <w:sz w:val="20"/>
          <w:szCs w:val="20"/>
        </w:rPr>
        <w:t xml:space="preserve">Regarding this, the Commission observes that both the cassation appeal filed by the </w:t>
      </w:r>
      <w:r w:rsidR="006F7131">
        <w:rPr>
          <w:sz w:val="20"/>
          <w:szCs w:val="20"/>
        </w:rPr>
        <w:t>Family Counsellor and Guardian Ad Litem</w:t>
      </w:r>
      <w:r w:rsidRPr="00485F6E">
        <w:rPr>
          <w:sz w:val="20"/>
          <w:szCs w:val="20"/>
        </w:rPr>
        <w:t xml:space="preserve"> on behalf of Mr.</w:t>
      </w:r>
      <w:r w:rsidR="007B0E80" w:rsidRPr="00485F6E">
        <w:rPr>
          <w:sz w:val="20"/>
          <w:szCs w:val="20"/>
        </w:rPr>
        <w:t xml:space="preserve"> Pacheco</w:t>
      </w:r>
      <w:r w:rsidR="007B0E80" w:rsidRPr="00485F6E">
        <w:rPr>
          <w:rStyle w:val="FootnoteReference"/>
          <w:sz w:val="20"/>
          <w:szCs w:val="20"/>
        </w:rPr>
        <w:footnoteReference w:id="12"/>
      </w:r>
      <w:r w:rsidRPr="00485F6E">
        <w:rPr>
          <w:sz w:val="20"/>
          <w:szCs w:val="20"/>
        </w:rPr>
        <w:t xml:space="preserve"> and the appeal filed by the </w:t>
      </w:r>
      <w:r w:rsidR="00A119A1">
        <w:rPr>
          <w:sz w:val="20"/>
          <w:szCs w:val="20"/>
        </w:rPr>
        <w:t>A</w:t>
      </w:r>
      <w:r w:rsidRPr="00485F6E">
        <w:rPr>
          <w:sz w:val="20"/>
          <w:szCs w:val="20"/>
        </w:rPr>
        <w:t>ssistant</w:t>
      </w:r>
      <w:r w:rsidR="00A119A1">
        <w:rPr>
          <w:sz w:val="20"/>
          <w:szCs w:val="20"/>
        </w:rPr>
        <w:t xml:space="preserve"> Attorney</w:t>
      </w:r>
      <w:r w:rsidRPr="00485F6E">
        <w:rPr>
          <w:sz w:val="20"/>
          <w:szCs w:val="20"/>
        </w:rPr>
        <w:t xml:space="preserve"> of the </w:t>
      </w:r>
      <w:r w:rsidR="00BD2CD2">
        <w:rPr>
          <w:sz w:val="20"/>
          <w:szCs w:val="20"/>
        </w:rPr>
        <w:t xml:space="preserve">Office of the </w:t>
      </w:r>
      <w:r w:rsidR="001963DB">
        <w:rPr>
          <w:sz w:val="20"/>
          <w:szCs w:val="20"/>
        </w:rPr>
        <w:t>Public Defense Office</w:t>
      </w:r>
      <w:r w:rsidR="006F7131">
        <w:rPr>
          <w:sz w:val="20"/>
          <w:szCs w:val="20"/>
        </w:rPr>
        <w:t xml:space="preserve"> of the Chamber</w:t>
      </w:r>
      <w:r w:rsidR="007B0E80" w:rsidRPr="00485F6E">
        <w:rPr>
          <w:rStyle w:val="FootnoteReference"/>
          <w:sz w:val="20"/>
          <w:szCs w:val="20"/>
        </w:rPr>
        <w:footnoteReference w:id="13"/>
      </w:r>
      <w:r w:rsidRPr="00485F6E">
        <w:rPr>
          <w:sz w:val="20"/>
          <w:szCs w:val="20"/>
        </w:rPr>
        <w:t xml:space="preserve"> against the judgment of conviction of September 17, 2002, include in their text a series of allegations aimed at challenging the decision to give the petitioner a prison sentence, because a measure of that nature violated the human rights of juvenile offenders and the rehabilitation purpose of the sentence. The appeals also alleged that the judgment of conviction was arbitrary and infringed due process of law and the right to be defended in a trial</w:t>
      </w:r>
      <w:r w:rsidR="007B0E80" w:rsidRPr="00485F6E">
        <w:rPr>
          <w:sz w:val="20"/>
          <w:szCs w:val="20"/>
        </w:rPr>
        <w:t xml:space="preserve">. </w:t>
      </w:r>
    </w:p>
    <w:p w14:paraId="0F8107F0" w14:textId="77777777" w:rsidR="007B0E80" w:rsidRPr="00485F6E" w:rsidRDefault="007B0E80" w:rsidP="007B0E80">
      <w:pPr>
        <w:pStyle w:val="ListParagraph"/>
        <w:tabs>
          <w:tab w:val="left" w:pos="567"/>
        </w:tabs>
        <w:ind w:left="0"/>
        <w:jc w:val="both"/>
        <w:rPr>
          <w:sz w:val="20"/>
          <w:szCs w:val="20"/>
        </w:rPr>
      </w:pPr>
    </w:p>
    <w:p w14:paraId="641A4C5D" w14:textId="77777777" w:rsidR="007B0E80" w:rsidRPr="00485F6E" w:rsidRDefault="00561086" w:rsidP="007B0E80">
      <w:pPr>
        <w:pStyle w:val="ListParagraph"/>
        <w:numPr>
          <w:ilvl w:val="0"/>
          <w:numId w:val="2"/>
        </w:numPr>
        <w:tabs>
          <w:tab w:val="left" w:pos="567"/>
        </w:tabs>
        <w:ind w:left="0" w:firstLine="0"/>
        <w:jc w:val="both"/>
        <w:rPr>
          <w:sz w:val="20"/>
          <w:szCs w:val="20"/>
        </w:rPr>
      </w:pPr>
      <w:r w:rsidRPr="00485F6E">
        <w:rPr>
          <w:sz w:val="20"/>
          <w:szCs w:val="20"/>
        </w:rPr>
        <w:t>The Commission notes that both appeals were ruled “inadmissible” by the Superior Court of Justice of the Province of</w:t>
      </w:r>
      <w:r w:rsidR="007B0E80" w:rsidRPr="00485F6E">
        <w:rPr>
          <w:sz w:val="20"/>
          <w:szCs w:val="20"/>
        </w:rPr>
        <w:t xml:space="preserve"> Chubut (</w:t>
      </w:r>
      <w:r w:rsidRPr="00485F6E">
        <w:rPr>
          <w:sz w:val="20"/>
          <w:szCs w:val="20"/>
        </w:rPr>
        <w:t>see para.</w:t>
      </w:r>
      <w:r w:rsidR="007B0E80" w:rsidRPr="00485F6E">
        <w:rPr>
          <w:sz w:val="20"/>
          <w:szCs w:val="20"/>
        </w:rPr>
        <w:t xml:space="preserve"> 24</w:t>
      </w:r>
      <w:r w:rsidRPr="00485F6E">
        <w:rPr>
          <w:sz w:val="20"/>
          <w:szCs w:val="20"/>
        </w:rPr>
        <w:t xml:space="preserve"> above</w:t>
      </w:r>
      <w:r w:rsidR="007B0E80" w:rsidRPr="00485F6E">
        <w:rPr>
          <w:sz w:val="20"/>
          <w:szCs w:val="20"/>
        </w:rPr>
        <w:t>)</w:t>
      </w:r>
      <w:r w:rsidRPr="00485F6E">
        <w:rPr>
          <w:sz w:val="20"/>
          <w:szCs w:val="20"/>
        </w:rPr>
        <w:t>.</w:t>
      </w:r>
      <w:r w:rsidR="007B0E80" w:rsidRPr="00485F6E">
        <w:rPr>
          <w:rStyle w:val="FootnoteReference"/>
          <w:sz w:val="20"/>
          <w:szCs w:val="20"/>
        </w:rPr>
        <w:footnoteReference w:id="14"/>
      </w:r>
      <w:r w:rsidR="007B0E80" w:rsidRPr="00485F6E">
        <w:rPr>
          <w:sz w:val="20"/>
          <w:szCs w:val="20"/>
        </w:rPr>
        <w:t xml:space="preserve"> </w:t>
      </w:r>
      <w:r w:rsidRPr="00485F6E">
        <w:rPr>
          <w:sz w:val="20"/>
          <w:szCs w:val="20"/>
        </w:rPr>
        <w:t xml:space="preserve">In view of this decision, the </w:t>
      </w:r>
      <w:r w:rsidR="001963DB">
        <w:rPr>
          <w:sz w:val="20"/>
          <w:szCs w:val="20"/>
        </w:rPr>
        <w:t>Public Defender</w:t>
      </w:r>
      <w:r w:rsidR="006F7131">
        <w:rPr>
          <w:sz w:val="20"/>
          <w:szCs w:val="20"/>
        </w:rPr>
        <w:t xml:space="preserve"> of the p</w:t>
      </w:r>
      <w:r w:rsidRPr="00485F6E">
        <w:rPr>
          <w:sz w:val="20"/>
          <w:szCs w:val="20"/>
        </w:rPr>
        <w:t>rovince of Chubu</w:t>
      </w:r>
      <w:r w:rsidR="00CF6A89">
        <w:rPr>
          <w:sz w:val="20"/>
          <w:szCs w:val="20"/>
        </w:rPr>
        <w:t xml:space="preserve">t filed an </w:t>
      </w:r>
      <w:r w:rsidR="00F64F34">
        <w:rPr>
          <w:sz w:val="20"/>
          <w:szCs w:val="20"/>
        </w:rPr>
        <w:t>special federal appeal</w:t>
      </w:r>
      <w:r w:rsidRPr="00485F6E">
        <w:rPr>
          <w:sz w:val="20"/>
          <w:szCs w:val="20"/>
        </w:rPr>
        <w:t>.</w:t>
      </w:r>
      <w:r w:rsidR="007B0E80" w:rsidRPr="00485F6E">
        <w:rPr>
          <w:rStyle w:val="FootnoteReference"/>
          <w:sz w:val="20"/>
          <w:szCs w:val="20"/>
        </w:rPr>
        <w:footnoteReference w:id="15"/>
      </w:r>
      <w:r w:rsidR="007B0E80" w:rsidRPr="00485F6E">
        <w:rPr>
          <w:sz w:val="20"/>
          <w:szCs w:val="20"/>
        </w:rPr>
        <w:t xml:space="preserve"> </w:t>
      </w:r>
      <w:r w:rsidRPr="00485F6E">
        <w:rPr>
          <w:sz w:val="20"/>
          <w:szCs w:val="20"/>
        </w:rPr>
        <w:t>The Commission underscores that it was on that occasion and as a direct consequence of the Superior Court’s ruling that Mr. Pacheco’s attorney</w:t>
      </w:r>
      <w:r w:rsidR="00CA139E" w:rsidRPr="00485F6E">
        <w:rPr>
          <w:sz w:val="20"/>
          <w:szCs w:val="20"/>
        </w:rPr>
        <w:t xml:space="preserve">s referred, for the first time, to the violation of the right to a </w:t>
      </w:r>
      <w:r w:rsidR="00D73DA5">
        <w:rPr>
          <w:sz w:val="20"/>
          <w:szCs w:val="20"/>
        </w:rPr>
        <w:t>second hearing</w:t>
      </w:r>
      <w:r w:rsidR="00CA139E" w:rsidRPr="00485F6E">
        <w:rPr>
          <w:sz w:val="20"/>
          <w:szCs w:val="20"/>
        </w:rPr>
        <w:t xml:space="preserve"> of the case as enshrined in both the Constitution and the American Convention, with the expectation that the </w:t>
      </w:r>
      <w:r w:rsidR="00D73DA5">
        <w:rPr>
          <w:sz w:val="20"/>
          <w:szCs w:val="20"/>
        </w:rPr>
        <w:t xml:space="preserve">Federal </w:t>
      </w:r>
      <w:r w:rsidR="00CA139E" w:rsidRPr="00485F6E">
        <w:rPr>
          <w:sz w:val="20"/>
          <w:szCs w:val="20"/>
        </w:rPr>
        <w:t xml:space="preserve">Supreme Court of Justice would examine their allegations and eventually </w:t>
      </w:r>
      <w:r w:rsidR="00D15E24">
        <w:rPr>
          <w:sz w:val="20"/>
          <w:szCs w:val="20"/>
        </w:rPr>
        <w:t>overturn</w:t>
      </w:r>
      <w:r w:rsidR="00CA139E" w:rsidRPr="00485F6E">
        <w:rPr>
          <w:sz w:val="20"/>
          <w:szCs w:val="20"/>
        </w:rPr>
        <w:t xml:space="preserve"> what had been ruled in the lower courts</w:t>
      </w:r>
      <w:r w:rsidR="007B0E80" w:rsidRPr="00485F6E">
        <w:rPr>
          <w:sz w:val="20"/>
          <w:szCs w:val="20"/>
        </w:rPr>
        <w:t xml:space="preserve">. </w:t>
      </w:r>
    </w:p>
    <w:p w14:paraId="5FF0853E" w14:textId="77777777" w:rsidR="007B0E80" w:rsidRPr="00485F6E" w:rsidRDefault="007B0E80" w:rsidP="007B0E80">
      <w:pPr>
        <w:pStyle w:val="ListParagraph"/>
        <w:tabs>
          <w:tab w:val="left" w:pos="567"/>
        </w:tabs>
        <w:ind w:left="0"/>
        <w:jc w:val="both"/>
        <w:rPr>
          <w:sz w:val="20"/>
          <w:szCs w:val="20"/>
        </w:rPr>
      </w:pPr>
    </w:p>
    <w:p w14:paraId="29348639" w14:textId="77777777" w:rsidR="007B0E80" w:rsidRPr="00485F6E" w:rsidRDefault="00CA139E" w:rsidP="007B0E80">
      <w:pPr>
        <w:pStyle w:val="ListParagraph"/>
        <w:numPr>
          <w:ilvl w:val="0"/>
          <w:numId w:val="2"/>
        </w:numPr>
        <w:tabs>
          <w:tab w:val="left" w:pos="567"/>
        </w:tabs>
        <w:ind w:left="0" w:firstLine="0"/>
        <w:jc w:val="both"/>
        <w:rPr>
          <w:sz w:val="20"/>
          <w:szCs w:val="20"/>
        </w:rPr>
      </w:pPr>
      <w:r w:rsidRPr="00485F6E">
        <w:rPr>
          <w:sz w:val="20"/>
          <w:szCs w:val="20"/>
        </w:rPr>
        <w:t>As a result, the Commission understands that the matters in connection with a possible violation of Article</w:t>
      </w:r>
      <w:r w:rsidR="007B0E80" w:rsidRPr="00485F6E">
        <w:rPr>
          <w:sz w:val="20"/>
          <w:szCs w:val="20"/>
        </w:rPr>
        <w:t xml:space="preserve"> 8</w:t>
      </w:r>
      <w:r w:rsidRPr="00485F6E">
        <w:rPr>
          <w:sz w:val="20"/>
          <w:szCs w:val="20"/>
        </w:rPr>
        <w:t>(</w:t>
      </w:r>
      <w:r w:rsidR="007B0E80" w:rsidRPr="00485F6E">
        <w:rPr>
          <w:sz w:val="20"/>
          <w:szCs w:val="20"/>
        </w:rPr>
        <w:t>2</w:t>
      </w:r>
      <w:r w:rsidRPr="00485F6E">
        <w:rPr>
          <w:sz w:val="20"/>
          <w:szCs w:val="20"/>
        </w:rPr>
        <w:t>)(</w:t>
      </w:r>
      <w:r w:rsidR="007B0E80" w:rsidRPr="00485F6E">
        <w:rPr>
          <w:sz w:val="20"/>
          <w:szCs w:val="20"/>
        </w:rPr>
        <w:t>h</w:t>
      </w:r>
      <w:r w:rsidRPr="00485F6E">
        <w:rPr>
          <w:sz w:val="20"/>
          <w:szCs w:val="20"/>
        </w:rPr>
        <w:t>) of the Convention were filed by the petitioners within the time-limits stipulated and that the state did have the opportunity to remedy them in the framework of a judicial proceeding under domestic law before they were heard by bodies of the inter-American human right</w:t>
      </w:r>
      <w:r w:rsidR="006F5274" w:rsidRPr="00485F6E">
        <w:rPr>
          <w:sz w:val="20"/>
          <w:szCs w:val="20"/>
        </w:rPr>
        <w:t>s system</w:t>
      </w:r>
      <w:r w:rsidRPr="00485F6E">
        <w:rPr>
          <w:sz w:val="20"/>
          <w:szCs w:val="20"/>
        </w:rPr>
        <w:t>. Therefore, the Commission deems that the petition does meet the requirements for admissibility as stipulated by the American Convention.</w:t>
      </w:r>
      <w:r w:rsidR="007B0E80" w:rsidRPr="00485F6E">
        <w:rPr>
          <w:rStyle w:val="FootnoteReference"/>
          <w:sz w:val="20"/>
          <w:szCs w:val="20"/>
        </w:rPr>
        <w:footnoteReference w:id="16"/>
      </w:r>
      <w:r w:rsidR="007B0E80" w:rsidRPr="00485F6E">
        <w:rPr>
          <w:sz w:val="20"/>
          <w:szCs w:val="20"/>
        </w:rPr>
        <w:t xml:space="preserve">    </w:t>
      </w:r>
    </w:p>
    <w:p w14:paraId="5F0E055B" w14:textId="77777777" w:rsidR="007B0E80" w:rsidRPr="00485F6E" w:rsidRDefault="007B0E80" w:rsidP="007B0E80">
      <w:pPr>
        <w:pStyle w:val="ListParagraph"/>
        <w:tabs>
          <w:tab w:val="left" w:pos="567"/>
        </w:tabs>
        <w:ind w:left="0"/>
        <w:jc w:val="both"/>
        <w:rPr>
          <w:sz w:val="20"/>
          <w:szCs w:val="20"/>
        </w:rPr>
      </w:pPr>
    </w:p>
    <w:p w14:paraId="37F06D4B" w14:textId="77777777" w:rsidR="007B0E80" w:rsidRPr="00485F6E" w:rsidRDefault="00CA139E" w:rsidP="007B0E80">
      <w:pPr>
        <w:pStyle w:val="ListParagraph"/>
        <w:numPr>
          <w:ilvl w:val="0"/>
          <w:numId w:val="11"/>
        </w:numPr>
        <w:spacing w:after="240"/>
        <w:ind w:left="0" w:firstLine="0"/>
        <w:jc w:val="both"/>
        <w:outlineLvl w:val="1"/>
        <w:rPr>
          <w:b/>
          <w:bCs/>
          <w:sz w:val="20"/>
          <w:szCs w:val="20"/>
        </w:rPr>
      </w:pPr>
      <w:bookmarkStart w:id="20" w:name="_Toc203988487"/>
      <w:r w:rsidRPr="0005688D">
        <w:rPr>
          <w:b/>
          <w:bCs/>
          <w:sz w:val="20"/>
          <w:szCs w:val="20"/>
        </w:rPr>
        <w:t>Time</w:t>
      </w:r>
      <w:r w:rsidRPr="00485F6E">
        <w:rPr>
          <w:b/>
          <w:bCs/>
          <w:sz w:val="20"/>
          <w:szCs w:val="20"/>
        </w:rPr>
        <w:t>-limits for filing the petition</w:t>
      </w:r>
      <w:bookmarkEnd w:id="20"/>
      <w:r w:rsidR="007B0E80" w:rsidRPr="00485F6E">
        <w:rPr>
          <w:b/>
          <w:bCs/>
          <w:sz w:val="20"/>
          <w:szCs w:val="20"/>
        </w:rPr>
        <w:t xml:space="preserve"> </w:t>
      </w:r>
    </w:p>
    <w:p w14:paraId="1D9DAC0B" w14:textId="77777777" w:rsidR="007B0E80" w:rsidRPr="00485F6E" w:rsidRDefault="00CA139E" w:rsidP="007B0E80">
      <w:pPr>
        <w:pStyle w:val="ListParagraph"/>
        <w:numPr>
          <w:ilvl w:val="0"/>
          <w:numId w:val="2"/>
        </w:numPr>
        <w:tabs>
          <w:tab w:val="left" w:pos="567"/>
        </w:tabs>
        <w:ind w:left="0" w:firstLine="0"/>
        <w:jc w:val="both"/>
        <w:rPr>
          <w:sz w:val="20"/>
          <w:szCs w:val="20"/>
        </w:rPr>
      </w:pPr>
      <w:r w:rsidRPr="00485F6E">
        <w:rPr>
          <w:sz w:val="20"/>
          <w:szCs w:val="20"/>
        </w:rPr>
        <w:lastRenderedPageBreak/>
        <w:t>The Commission observes that, in this case, the delay of six months required by Article 46(</w:t>
      </w:r>
      <w:r w:rsidR="007B0E80" w:rsidRPr="00485F6E">
        <w:rPr>
          <w:sz w:val="20"/>
          <w:szCs w:val="20"/>
        </w:rPr>
        <w:t>1</w:t>
      </w:r>
      <w:r w:rsidRPr="00485F6E">
        <w:rPr>
          <w:sz w:val="20"/>
          <w:szCs w:val="20"/>
        </w:rPr>
        <w:t>)(</w:t>
      </w:r>
      <w:r w:rsidR="007B0E80" w:rsidRPr="00485F6E">
        <w:rPr>
          <w:sz w:val="20"/>
          <w:szCs w:val="20"/>
        </w:rPr>
        <w:t>b</w:t>
      </w:r>
      <w:r w:rsidRPr="00485F6E">
        <w:rPr>
          <w:sz w:val="20"/>
          <w:szCs w:val="20"/>
        </w:rPr>
        <w:t>) of the Convention must</w:t>
      </w:r>
      <w:r w:rsidR="00967004" w:rsidRPr="00485F6E">
        <w:rPr>
          <w:sz w:val="20"/>
          <w:szCs w:val="20"/>
        </w:rPr>
        <w:t xml:space="preserve"> be</w:t>
      </w:r>
      <w:r w:rsidRPr="00485F6E">
        <w:rPr>
          <w:sz w:val="20"/>
          <w:szCs w:val="20"/>
        </w:rPr>
        <w:t xml:space="preserve"> assess</w:t>
      </w:r>
      <w:r w:rsidR="00967004" w:rsidRPr="00485F6E">
        <w:rPr>
          <w:sz w:val="20"/>
          <w:szCs w:val="20"/>
        </w:rPr>
        <w:t>ed</w:t>
      </w:r>
      <w:r w:rsidRPr="00485F6E">
        <w:rPr>
          <w:sz w:val="20"/>
          <w:szCs w:val="20"/>
        </w:rPr>
        <w:t xml:space="preserve"> in the </w:t>
      </w:r>
      <w:r w:rsidR="00D15E24">
        <w:rPr>
          <w:sz w:val="20"/>
          <w:szCs w:val="20"/>
        </w:rPr>
        <w:t>light of the notification of</w:t>
      </w:r>
      <w:r w:rsidRPr="00485F6E">
        <w:rPr>
          <w:sz w:val="20"/>
          <w:szCs w:val="20"/>
        </w:rPr>
        <w:t xml:space="preserve"> judgment made by the </w:t>
      </w:r>
      <w:r w:rsidR="009B76CB">
        <w:rPr>
          <w:sz w:val="20"/>
          <w:szCs w:val="20"/>
        </w:rPr>
        <w:t xml:space="preserve">Federal </w:t>
      </w:r>
      <w:r w:rsidRPr="00485F6E">
        <w:rPr>
          <w:sz w:val="20"/>
          <w:szCs w:val="20"/>
        </w:rPr>
        <w:t>Supreme Court of Justice on November 11, 2003, whereby the complaint appeal filed by attorneys of the alleged victim was dismissed</w:t>
      </w:r>
      <w:r w:rsidR="007B0E80" w:rsidRPr="00485F6E">
        <w:rPr>
          <w:sz w:val="20"/>
          <w:szCs w:val="20"/>
        </w:rPr>
        <w:t xml:space="preserve">. </w:t>
      </w:r>
      <w:r w:rsidRPr="00485F6E">
        <w:rPr>
          <w:sz w:val="20"/>
          <w:szCs w:val="20"/>
        </w:rPr>
        <w:t xml:space="preserve">The situation was such that, although it was </w:t>
      </w:r>
      <w:r w:rsidR="00D15E24">
        <w:rPr>
          <w:sz w:val="20"/>
          <w:szCs w:val="20"/>
        </w:rPr>
        <w:t xml:space="preserve">an appeal of an extraordinary </w:t>
      </w:r>
      <w:r w:rsidRPr="00485F6E">
        <w:rPr>
          <w:sz w:val="20"/>
          <w:szCs w:val="20"/>
        </w:rPr>
        <w:t>nature, said body did lead the p</w:t>
      </w:r>
      <w:r w:rsidR="00967004" w:rsidRPr="00485F6E">
        <w:rPr>
          <w:sz w:val="20"/>
          <w:szCs w:val="20"/>
        </w:rPr>
        <w:t>etitioners to reasonably expect</w:t>
      </w:r>
      <w:r w:rsidRPr="00485F6E">
        <w:rPr>
          <w:sz w:val="20"/>
          <w:szCs w:val="20"/>
        </w:rPr>
        <w:t xml:space="preserve"> a favorable outcome</w:t>
      </w:r>
      <w:r w:rsidR="00967004" w:rsidRPr="00485F6E">
        <w:rPr>
          <w:sz w:val="20"/>
          <w:szCs w:val="20"/>
        </w:rPr>
        <w:t>.</w:t>
      </w:r>
      <w:r w:rsidR="001F2165" w:rsidRPr="00485F6E">
        <w:rPr>
          <w:rStyle w:val="FootnoteReference"/>
          <w:sz w:val="20"/>
          <w:szCs w:val="20"/>
        </w:rPr>
        <w:footnoteReference w:id="17"/>
      </w:r>
      <w:r w:rsidR="007B0E80" w:rsidRPr="00485F6E">
        <w:rPr>
          <w:sz w:val="20"/>
          <w:szCs w:val="20"/>
        </w:rPr>
        <w:t xml:space="preserve"> </w:t>
      </w:r>
    </w:p>
    <w:p w14:paraId="44DDD4A6" w14:textId="77777777" w:rsidR="007B0E80" w:rsidRPr="00485F6E" w:rsidRDefault="007B0E80" w:rsidP="007B0E80">
      <w:pPr>
        <w:pStyle w:val="ListParagraph"/>
        <w:tabs>
          <w:tab w:val="left" w:pos="567"/>
        </w:tabs>
        <w:ind w:left="0"/>
        <w:jc w:val="both"/>
        <w:rPr>
          <w:sz w:val="20"/>
          <w:szCs w:val="20"/>
        </w:rPr>
      </w:pPr>
    </w:p>
    <w:p w14:paraId="0D33B60E" w14:textId="77777777" w:rsidR="007B0E80" w:rsidRPr="00485F6E" w:rsidRDefault="007B0E80" w:rsidP="007B0E80">
      <w:pPr>
        <w:pStyle w:val="ListParagraph"/>
        <w:numPr>
          <w:ilvl w:val="0"/>
          <w:numId w:val="2"/>
        </w:numPr>
        <w:tabs>
          <w:tab w:val="left" w:pos="567"/>
        </w:tabs>
        <w:ind w:left="0" w:firstLine="0"/>
        <w:jc w:val="both"/>
        <w:rPr>
          <w:sz w:val="20"/>
          <w:szCs w:val="20"/>
        </w:rPr>
      </w:pPr>
      <w:r w:rsidRPr="00485F6E">
        <w:rPr>
          <w:sz w:val="20"/>
          <w:szCs w:val="20"/>
        </w:rPr>
        <w:t>Re</w:t>
      </w:r>
      <w:r w:rsidR="00967004" w:rsidRPr="00485F6E">
        <w:rPr>
          <w:sz w:val="20"/>
          <w:szCs w:val="20"/>
        </w:rPr>
        <w:t xml:space="preserve">garding the date of notification of the Supreme Court’s ruling, the Commission stresses that it was provided on November 13, 2003 by means of </w:t>
      </w:r>
      <w:r w:rsidR="002A45DF">
        <w:rPr>
          <w:sz w:val="20"/>
          <w:szCs w:val="20"/>
        </w:rPr>
        <w:t>notification bulletin</w:t>
      </w:r>
      <w:r w:rsidRPr="00485F6E">
        <w:rPr>
          <w:sz w:val="20"/>
          <w:szCs w:val="20"/>
        </w:rPr>
        <w:t xml:space="preserve"> 55637/03</w:t>
      </w:r>
      <w:r w:rsidR="00967004" w:rsidRPr="00485F6E">
        <w:rPr>
          <w:sz w:val="20"/>
          <w:szCs w:val="20"/>
        </w:rPr>
        <w:t>.</w:t>
      </w:r>
      <w:r w:rsidRPr="00485F6E">
        <w:rPr>
          <w:rStyle w:val="FootnoteReference"/>
          <w:sz w:val="20"/>
          <w:szCs w:val="20"/>
        </w:rPr>
        <w:footnoteReference w:id="18"/>
      </w:r>
      <w:r w:rsidR="00967004" w:rsidRPr="00485F6E">
        <w:rPr>
          <w:sz w:val="20"/>
          <w:szCs w:val="20"/>
        </w:rPr>
        <w:t xml:space="preserve"> The IACHR also notes that the petitioners sent their complaint by the postal service and that it was rece</w:t>
      </w:r>
      <w:r w:rsidR="00D15E24">
        <w:rPr>
          <w:sz w:val="20"/>
          <w:szCs w:val="20"/>
        </w:rPr>
        <w:t>ived in the Commission’s office</w:t>
      </w:r>
      <w:r w:rsidR="00967004" w:rsidRPr="00485F6E">
        <w:rPr>
          <w:sz w:val="20"/>
          <w:szCs w:val="20"/>
        </w:rPr>
        <w:t>s</w:t>
      </w:r>
      <w:r w:rsidR="00D15E24">
        <w:rPr>
          <w:sz w:val="20"/>
          <w:szCs w:val="20"/>
        </w:rPr>
        <w:t xml:space="preserve"> </w:t>
      </w:r>
      <w:r w:rsidR="00967004" w:rsidRPr="00485F6E">
        <w:rPr>
          <w:sz w:val="20"/>
          <w:szCs w:val="20"/>
        </w:rPr>
        <w:t>on May 12, 2004. As a result, the Commission concludes that the petitioner did meet th</w:t>
      </w:r>
      <w:r w:rsidR="00D15E24">
        <w:rPr>
          <w:sz w:val="20"/>
          <w:szCs w:val="20"/>
        </w:rPr>
        <w:t>e six-month</w:t>
      </w:r>
      <w:r w:rsidR="00970912">
        <w:rPr>
          <w:sz w:val="20"/>
          <w:szCs w:val="20"/>
        </w:rPr>
        <w:t xml:space="preserve"> period</w:t>
      </w:r>
      <w:r w:rsidR="00967004" w:rsidRPr="00485F6E">
        <w:rPr>
          <w:sz w:val="20"/>
          <w:szCs w:val="20"/>
        </w:rPr>
        <w:t xml:space="preserve"> stipulated by Article 46(</w:t>
      </w:r>
      <w:r w:rsidRPr="00485F6E">
        <w:rPr>
          <w:sz w:val="20"/>
          <w:szCs w:val="20"/>
        </w:rPr>
        <w:t>1</w:t>
      </w:r>
      <w:r w:rsidR="00967004" w:rsidRPr="00485F6E">
        <w:rPr>
          <w:sz w:val="20"/>
          <w:szCs w:val="20"/>
        </w:rPr>
        <w:t>)(</w:t>
      </w:r>
      <w:r w:rsidRPr="00485F6E">
        <w:rPr>
          <w:sz w:val="20"/>
          <w:szCs w:val="20"/>
        </w:rPr>
        <w:t>b</w:t>
      </w:r>
      <w:r w:rsidR="00967004" w:rsidRPr="00485F6E">
        <w:rPr>
          <w:sz w:val="20"/>
          <w:szCs w:val="20"/>
        </w:rPr>
        <w:t>) of the Convention.</w:t>
      </w:r>
      <w:r w:rsidRPr="00485F6E">
        <w:rPr>
          <w:rStyle w:val="FootnoteReference"/>
          <w:sz w:val="20"/>
          <w:szCs w:val="20"/>
        </w:rPr>
        <w:footnoteReference w:id="19"/>
      </w:r>
      <w:r w:rsidRPr="00485F6E" w:rsidDel="00FA6F72">
        <w:rPr>
          <w:sz w:val="20"/>
          <w:szCs w:val="20"/>
        </w:rPr>
        <w:t xml:space="preserve"> </w:t>
      </w:r>
    </w:p>
    <w:p w14:paraId="13DBF115" w14:textId="77777777" w:rsidR="007B0E80" w:rsidRPr="00485F6E" w:rsidRDefault="007B0E80" w:rsidP="007B0E80">
      <w:pPr>
        <w:pStyle w:val="ListParagraph"/>
        <w:tabs>
          <w:tab w:val="left" w:pos="567"/>
        </w:tabs>
        <w:ind w:left="0"/>
        <w:jc w:val="both"/>
        <w:rPr>
          <w:sz w:val="20"/>
          <w:szCs w:val="20"/>
        </w:rPr>
      </w:pPr>
    </w:p>
    <w:p w14:paraId="77BC7CBB" w14:textId="77777777" w:rsidR="007B0E80" w:rsidRPr="00485F6E" w:rsidRDefault="00967004" w:rsidP="007B7E62">
      <w:pPr>
        <w:pStyle w:val="ListParagraph"/>
        <w:numPr>
          <w:ilvl w:val="0"/>
          <w:numId w:val="11"/>
        </w:numPr>
        <w:spacing w:after="240"/>
        <w:ind w:left="0" w:firstLine="0"/>
        <w:jc w:val="both"/>
        <w:outlineLvl w:val="1"/>
        <w:rPr>
          <w:b/>
          <w:sz w:val="20"/>
          <w:szCs w:val="20"/>
        </w:rPr>
      </w:pPr>
      <w:bookmarkStart w:id="21" w:name="_Toc203988488"/>
      <w:r w:rsidRPr="00485F6E">
        <w:rPr>
          <w:b/>
          <w:sz w:val="20"/>
          <w:szCs w:val="20"/>
        </w:rPr>
        <w:t>Characterization of the facts alleged</w:t>
      </w:r>
      <w:bookmarkEnd w:id="21"/>
      <w:r w:rsidR="007B0E80" w:rsidRPr="00485F6E">
        <w:rPr>
          <w:b/>
          <w:sz w:val="20"/>
          <w:szCs w:val="20"/>
        </w:rPr>
        <w:t xml:space="preserve"> </w:t>
      </w:r>
    </w:p>
    <w:p w14:paraId="150A046D" w14:textId="77777777" w:rsidR="007B0E80" w:rsidRPr="00485F6E" w:rsidRDefault="007B0E80" w:rsidP="007B0E80"/>
    <w:p w14:paraId="3C58920E" w14:textId="77777777" w:rsidR="00DE1DCB" w:rsidRPr="00485F6E" w:rsidRDefault="00967004" w:rsidP="00361F6B">
      <w:pPr>
        <w:pStyle w:val="ListParagraph"/>
        <w:numPr>
          <w:ilvl w:val="0"/>
          <w:numId w:val="2"/>
        </w:numPr>
        <w:tabs>
          <w:tab w:val="left" w:pos="567"/>
        </w:tabs>
        <w:ind w:left="0" w:firstLine="0"/>
        <w:jc w:val="both"/>
        <w:rPr>
          <w:sz w:val="20"/>
          <w:szCs w:val="20"/>
        </w:rPr>
      </w:pPr>
      <w:r w:rsidRPr="00485F6E">
        <w:rPr>
          <w:rFonts w:eastAsia="Calibri"/>
          <w:sz w:val="20"/>
          <w:szCs w:val="20"/>
        </w:rPr>
        <w:t xml:space="preserve">The Commission considers that, if proven, the facts described by the petitioners </w:t>
      </w:r>
      <w:r w:rsidR="00381D41" w:rsidRPr="00485F6E">
        <w:rPr>
          <w:rFonts w:eastAsia="Calibri"/>
          <w:sz w:val="20"/>
          <w:szCs w:val="20"/>
        </w:rPr>
        <w:t>would tend to establish</w:t>
      </w:r>
      <w:r w:rsidRPr="00485F6E">
        <w:rPr>
          <w:rFonts w:eastAsia="Calibri"/>
          <w:sz w:val="20"/>
          <w:szCs w:val="20"/>
        </w:rPr>
        <w:t xml:space="preserve"> a violation of the rights enshrined in Articles 7, 8(</w:t>
      </w:r>
      <w:r w:rsidR="007B0E80" w:rsidRPr="00485F6E">
        <w:rPr>
          <w:rFonts w:eastAsia="Calibri"/>
          <w:sz w:val="20"/>
          <w:szCs w:val="20"/>
        </w:rPr>
        <w:t>2</w:t>
      </w:r>
      <w:r w:rsidRPr="00485F6E">
        <w:rPr>
          <w:rFonts w:eastAsia="Calibri"/>
          <w:sz w:val="20"/>
          <w:szCs w:val="20"/>
        </w:rPr>
        <w:t>)(</w:t>
      </w:r>
      <w:r w:rsidR="007B0E80" w:rsidRPr="00485F6E">
        <w:rPr>
          <w:rFonts w:eastAsia="Calibri"/>
          <w:sz w:val="20"/>
          <w:szCs w:val="20"/>
        </w:rPr>
        <w:t>h</w:t>
      </w:r>
      <w:r w:rsidRPr="00485F6E">
        <w:rPr>
          <w:rFonts w:eastAsia="Calibri"/>
          <w:sz w:val="20"/>
          <w:szCs w:val="20"/>
        </w:rPr>
        <w:t>)</w:t>
      </w:r>
      <w:r w:rsidR="007B0E80" w:rsidRPr="00485F6E">
        <w:rPr>
          <w:rFonts w:eastAsia="Calibri"/>
          <w:sz w:val="20"/>
          <w:szCs w:val="20"/>
        </w:rPr>
        <w:t>, 9</w:t>
      </w:r>
      <w:r w:rsidRPr="00485F6E">
        <w:rPr>
          <w:rFonts w:eastAsia="Calibri"/>
          <w:sz w:val="20"/>
          <w:szCs w:val="20"/>
        </w:rPr>
        <w:t>, and 19 of the American Convention in connection with its Articles 1.1 and</w:t>
      </w:r>
      <w:r w:rsidR="007B0E80" w:rsidRPr="00485F6E">
        <w:rPr>
          <w:rFonts w:eastAsia="Calibri"/>
          <w:sz w:val="20"/>
          <w:szCs w:val="20"/>
        </w:rPr>
        <w:t xml:space="preserve"> 2</w:t>
      </w:r>
      <w:r w:rsidRPr="00485F6E">
        <w:rPr>
          <w:rFonts w:eastAsia="Calibri"/>
          <w:sz w:val="20"/>
          <w:szCs w:val="20"/>
        </w:rPr>
        <w:t xml:space="preserve">, to the detriment of </w:t>
      </w:r>
      <w:r w:rsidR="007B0E80" w:rsidRPr="00485F6E">
        <w:rPr>
          <w:rFonts w:eastAsia="Calibri"/>
          <w:sz w:val="20"/>
          <w:szCs w:val="20"/>
        </w:rPr>
        <w:t>Diego Armando Pacheco.</w:t>
      </w:r>
    </w:p>
    <w:p w14:paraId="2CE7EF5D" w14:textId="77777777" w:rsidR="007B0E80" w:rsidRPr="00485F6E" w:rsidRDefault="007B0E80" w:rsidP="007B0E80">
      <w:pPr>
        <w:pStyle w:val="ListParagraph"/>
        <w:tabs>
          <w:tab w:val="left" w:pos="567"/>
        </w:tabs>
        <w:ind w:left="0"/>
        <w:jc w:val="both"/>
        <w:rPr>
          <w:sz w:val="20"/>
          <w:szCs w:val="20"/>
        </w:rPr>
      </w:pPr>
    </w:p>
    <w:p w14:paraId="58D6992D" w14:textId="77777777" w:rsidR="006C28E2" w:rsidRPr="00485F6E" w:rsidRDefault="00304377" w:rsidP="003448BE">
      <w:pPr>
        <w:pStyle w:val="Heading1"/>
        <w:numPr>
          <w:ilvl w:val="0"/>
          <w:numId w:val="26"/>
        </w:numPr>
        <w:ind w:left="0" w:firstLine="0"/>
        <w:rPr>
          <w:bCs/>
          <w:lang w:val="en-US"/>
        </w:rPr>
      </w:pPr>
      <w:bookmarkStart w:id="22" w:name="_Toc203988489"/>
      <w:bookmarkStart w:id="23" w:name="_Toc40962121"/>
      <w:bookmarkStart w:id="24" w:name="_Toc42679770"/>
      <w:r w:rsidRPr="00583BB8">
        <w:t>D</w:t>
      </w:r>
      <w:r w:rsidR="00967004" w:rsidRPr="00583BB8">
        <w:t>ETERMINATIONS</w:t>
      </w:r>
      <w:r w:rsidR="00967004" w:rsidRPr="00485F6E">
        <w:rPr>
          <w:lang w:val="en-US"/>
        </w:rPr>
        <w:t xml:space="preserve"> OF FACTS</w:t>
      </w:r>
      <w:bookmarkEnd w:id="22"/>
      <w:r w:rsidRPr="00485F6E">
        <w:rPr>
          <w:lang w:val="en-US"/>
        </w:rPr>
        <w:t xml:space="preserve"> </w:t>
      </w:r>
    </w:p>
    <w:p w14:paraId="3BBF3DBF" w14:textId="77777777" w:rsidR="00275F19" w:rsidRPr="00485F6E" w:rsidRDefault="00275F19" w:rsidP="00275F19">
      <w:pPr>
        <w:rPr>
          <w:sz w:val="20"/>
          <w:szCs w:val="20"/>
          <w:lang w:eastAsia="es-ES"/>
        </w:rPr>
      </w:pPr>
    </w:p>
    <w:p w14:paraId="32B09F88" w14:textId="77777777" w:rsidR="00275F19" w:rsidRPr="00485F6E" w:rsidRDefault="00967004" w:rsidP="003448BE">
      <w:pPr>
        <w:pStyle w:val="Heading2"/>
        <w:numPr>
          <w:ilvl w:val="0"/>
          <w:numId w:val="27"/>
        </w:numPr>
        <w:rPr>
          <w:lang w:val="en-US"/>
        </w:rPr>
      </w:pPr>
      <w:bookmarkStart w:id="25" w:name="_Toc203988490"/>
      <w:r w:rsidRPr="00200DC2">
        <w:t>Criminal</w:t>
      </w:r>
      <w:r w:rsidRPr="00485F6E">
        <w:rPr>
          <w:lang w:val="en-US"/>
        </w:rPr>
        <w:t xml:space="preserve"> proceedings against the petitioner</w:t>
      </w:r>
      <w:bookmarkEnd w:id="25"/>
      <w:r w:rsidR="00275F19" w:rsidRPr="00485F6E">
        <w:rPr>
          <w:lang w:val="en-US"/>
        </w:rPr>
        <w:t xml:space="preserve"> </w:t>
      </w:r>
    </w:p>
    <w:p w14:paraId="3CE4E166" w14:textId="77777777" w:rsidR="006C28E2" w:rsidRPr="00485F6E" w:rsidRDefault="006C28E2" w:rsidP="00815166">
      <w:pPr>
        <w:rPr>
          <w:sz w:val="20"/>
          <w:szCs w:val="20"/>
          <w:lang w:eastAsia="es-ES"/>
        </w:rPr>
      </w:pPr>
    </w:p>
    <w:p w14:paraId="33A7DA5A" w14:textId="77777777" w:rsidR="00A169E0" w:rsidRPr="00485F6E" w:rsidRDefault="00967004" w:rsidP="00815166">
      <w:pPr>
        <w:pStyle w:val="ListParagraph"/>
        <w:numPr>
          <w:ilvl w:val="0"/>
          <w:numId w:val="2"/>
        </w:numPr>
        <w:tabs>
          <w:tab w:val="left" w:pos="567"/>
        </w:tabs>
        <w:ind w:left="0" w:firstLine="0"/>
        <w:jc w:val="both"/>
        <w:rPr>
          <w:sz w:val="20"/>
          <w:szCs w:val="20"/>
        </w:rPr>
      </w:pPr>
      <w:r w:rsidRPr="00485F6E">
        <w:rPr>
          <w:sz w:val="20"/>
          <w:szCs w:val="20"/>
        </w:rPr>
        <w:t>On May</w:t>
      </w:r>
      <w:r w:rsidR="002B5D7B" w:rsidRPr="00485F6E">
        <w:rPr>
          <w:sz w:val="20"/>
          <w:szCs w:val="20"/>
        </w:rPr>
        <w:t xml:space="preserve"> </w:t>
      </w:r>
      <w:r w:rsidR="006C28E2" w:rsidRPr="00485F6E">
        <w:rPr>
          <w:sz w:val="20"/>
          <w:szCs w:val="20"/>
        </w:rPr>
        <w:t>19</w:t>
      </w:r>
      <w:r w:rsidRPr="00485F6E">
        <w:rPr>
          <w:sz w:val="20"/>
          <w:szCs w:val="20"/>
        </w:rPr>
        <w:t>,</w:t>
      </w:r>
      <w:r w:rsidR="006C28E2" w:rsidRPr="00485F6E">
        <w:rPr>
          <w:sz w:val="20"/>
          <w:szCs w:val="20"/>
        </w:rPr>
        <w:t xml:space="preserve"> 2000</w:t>
      </w:r>
      <w:r w:rsidRPr="00485F6E">
        <w:rPr>
          <w:sz w:val="20"/>
          <w:szCs w:val="20"/>
        </w:rPr>
        <w:t xml:space="preserve">, the First Chamber of the Criminal Court of the Judicial District of </w:t>
      </w:r>
      <w:r w:rsidR="006C28E2" w:rsidRPr="00485F6E">
        <w:rPr>
          <w:sz w:val="20"/>
          <w:szCs w:val="20"/>
        </w:rPr>
        <w:t xml:space="preserve">Comodoro Rivadavia </w:t>
      </w:r>
      <w:r w:rsidR="00A71830" w:rsidRPr="00485F6E">
        <w:rPr>
          <w:sz w:val="20"/>
          <w:szCs w:val="20"/>
        </w:rPr>
        <w:t>issued a judgment in the criminal proceedings filed against the alleged victim for the crime of</w:t>
      </w:r>
      <w:r w:rsidR="00EA7F00">
        <w:rPr>
          <w:sz w:val="20"/>
          <w:szCs w:val="20"/>
        </w:rPr>
        <w:t xml:space="preserve"> manslaughter</w:t>
      </w:r>
      <w:r w:rsidR="00A71830" w:rsidRPr="00485F6E">
        <w:rPr>
          <w:sz w:val="20"/>
          <w:szCs w:val="20"/>
        </w:rPr>
        <w:t>. In said judgment, the C</w:t>
      </w:r>
      <w:r w:rsidR="00381D41" w:rsidRPr="00485F6E">
        <w:rPr>
          <w:sz w:val="20"/>
          <w:szCs w:val="20"/>
        </w:rPr>
        <w:t>ourt ruled</w:t>
      </w:r>
      <w:r w:rsidR="00A169E0" w:rsidRPr="00485F6E">
        <w:rPr>
          <w:sz w:val="20"/>
          <w:szCs w:val="20"/>
        </w:rPr>
        <w:t xml:space="preserve"> “</w:t>
      </w:r>
      <w:r w:rsidR="00381D41" w:rsidRPr="00485F6E">
        <w:rPr>
          <w:sz w:val="20"/>
          <w:szCs w:val="20"/>
        </w:rPr>
        <w:t xml:space="preserve">the criminal responsibility of the juvenile </w:t>
      </w:r>
      <w:r w:rsidR="00A169E0" w:rsidRPr="00485F6E">
        <w:rPr>
          <w:sz w:val="20"/>
          <w:szCs w:val="20"/>
        </w:rPr>
        <w:t xml:space="preserve">Diego Armando Pacheco </w:t>
      </w:r>
      <w:r w:rsidR="00381D41" w:rsidRPr="00485F6E">
        <w:rPr>
          <w:sz w:val="20"/>
          <w:szCs w:val="20"/>
        </w:rPr>
        <w:t xml:space="preserve">in accordance with the </w:t>
      </w:r>
      <w:r w:rsidR="00EA7F00">
        <w:rPr>
          <w:sz w:val="20"/>
          <w:szCs w:val="20"/>
        </w:rPr>
        <w:t>criminal</w:t>
      </w:r>
      <w:r w:rsidR="00381D41" w:rsidRPr="00485F6E">
        <w:rPr>
          <w:sz w:val="20"/>
          <w:szCs w:val="20"/>
        </w:rPr>
        <w:t xml:space="preserve"> system</w:t>
      </w:r>
      <w:r w:rsidR="00A169E0" w:rsidRPr="00485F6E">
        <w:rPr>
          <w:sz w:val="20"/>
          <w:szCs w:val="20"/>
        </w:rPr>
        <w:t xml:space="preserve"> </w:t>
      </w:r>
      <w:r w:rsidR="006C5FF9">
        <w:rPr>
          <w:sz w:val="20"/>
          <w:szCs w:val="20"/>
        </w:rPr>
        <w:t xml:space="preserve">for juveniles </w:t>
      </w:r>
      <w:r w:rsidR="00A169E0" w:rsidRPr="00485F6E">
        <w:rPr>
          <w:sz w:val="20"/>
          <w:szCs w:val="20"/>
        </w:rPr>
        <w:t>(</w:t>
      </w:r>
      <w:r w:rsidR="00381D41" w:rsidRPr="00485F6E">
        <w:rPr>
          <w:sz w:val="20"/>
          <w:szCs w:val="20"/>
        </w:rPr>
        <w:t>Articles</w:t>
      </w:r>
      <w:r w:rsidR="00A169E0" w:rsidRPr="00485F6E">
        <w:rPr>
          <w:sz w:val="20"/>
          <w:szCs w:val="20"/>
        </w:rPr>
        <w:t xml:space="preserve"> 2</w:t>
      </w:r>
      <w:r w:rsidR="00381D41" w:rsidRPr="00485F6E">
        <w:rPr>
          <w:sz w:val="20"/>
          <w:szCs w:val="20"/>
        </w:rPr>
        <w:t>,</w:t>
      </w:r>
      <w:r w:rsidR="00D12B52" w:rsidRPr="00485F6E">
        <w:rPr>
          <w:rStyle w:val="FootnoteReference"/>
          <w:sz w:val="20"/>
          <w:szCs w:val="20"/>
        </w:rPr>
        <w:footnoteReference w:id="20"/>
      </w:r>
      <w:r w:rsidR="00381D41" w:rsidRPr="00485F6E">
        <w:rPr>
          <w:sz w:val="20"/>
          <w:szCs w:val="20"/>
        </w:rPr>
        <w:t xml:space="preserve"> 48(</w:t>
      </w:r>
      <w:r w:rsidR="00A169E0" w:rsidRPr="00485F6E">
        <w:rPr>
          <w:sz w:val="20"/>
          <w:szCs w:val="20"/>
        </w:rPr>
        <w:t>1</w:t>
      </w:r>
      <w:r w:rsidR="00381D41" w:rsidRPr="00485F6E">
        <w:rPr>
          <w:sz w:val="20"/>
          <w:szCs w:val="20"/>
        </w:rPr>
        <w:t>),</w:t>
      </w:r>
      <w:r w:rsidR="00D12B52" w:rsidRPr="00485F6E">
        <w:rPr>
          <w:rStyle w:val="FootnoteReference"/>
          <w:sz w:val="20"/>
          <w:szCs w:val="20"/>
        </w:rPr>
        <w:footnoteReference w:id="21"/>
      </w:r>
      <w:r w:rsidR="00D12B52" w:rsidRPr="00485F6E">
        <w:rPr>
          <w:sz w:val="20"/>
          <w:szCs w:val="20"/>
        </w:rPr>
        <w:t xml:space="preserve"> </w:t>
      </w:r>
      <w:r w:rsidR="00381D41" w:rsidRPr="00485F6E">
        <w:rPr>
          <w:sz w:val="20"/>
          <w:szCs w:val="20"/>
        </w:rPr>
        <w:t>and</w:t>
      </w:r>
      <w:r w:rsidR="00A169E0" w:rsidRPr="00485F6E">
        <w:rPr>
          <w:sz w:val="20"/>
          <w:szCs w:val="20"/>
        </w:rPr>
        <w:t xml:space="preserve"> cc </w:t>
      </w:r>
      <w:r w:rsidR="00381D41" w:rsidRPr="00485F6E">
        <w:rPr>
          <w:sz w:val="20"/>
          <w:szCs w:val="20"/>
        </w:rPr>
        <w:t>Law</w:t>
      </w:r>
      <w:r w:rsidR="00A169E0" w:rsidRPr="00485F6E">
        <w:rPr>
          <w:sz w:val="20"/>
          <w:szCs w:val="20"/>
        </w:rPr>
        <w:t xml:space="preserve"> 22.278, t.o. 22.803) </w:t>
      </w:r>
      <w:r w:rsidR="00E51D09" w:rsidRPr="00485F6E">
        <w:rPr>
          <w:sz w:val="20"/>
          <w:szCs w:val="20"/>
        </w:rPr>
        <w:t>bearing in mind that, at the time of the incident, he was seventeen years old.</w:t>
      </w:r>
      <w:r w:rsidR="007E48FB" w:rsidRPr="00485F6E">
        <w:rPr>
          <w:sz w:val="20"/>
          <w:szCs w:val="20"/>
        </w:rPr>
        <w:t>”</w:t>
      </w:r>
      <w:r w:rsidR="00D12B52" w:rsidRPr="00485F6E">
        <w:rPr>
          <w:rStyle w:val="FootnoteReference"/>
          <w:sz w:val="20"/>
          <w:szCs w:val="20"/>
        </w:rPr>
        <w:footnoteReference w:id="22"/>
      </w:r>
      <w:r w:rsidR="00D12B52" w:rsidRPr="00485F6E">
        <w:rPr>
          <w:sz w:val="20"/>
          <w:szCs w:val="20"/>
        </w:rPr>
        <w:t xml:space="preserve"> </w:t>
      </w:r>
      <w:r w:rsidR="00E51D09" w:rsidRPr="00485F6E">
        <w:rPr>
          <w:sz w:val="20"/>
          <w:szCs w:val="20"/>
        </w:rPr>
        <w:t>In the same ruling, the Court ordered</w:t>
      </w:r>
      <w:r w:rsidR="0031262A" w:rsidRPr="00485F6E">
        <w:rPr>
          <w:sz w:val="20"/>
          <w:szCs w:val="20"/>
        </w:rPr>
        <w:t xml:space="preserve"> </w:t>
      </w:r>
      <w:r w:rsidR="00E51D09" w:rsidRPr="00485F6E">
        <w:rPr>
          <w:sz w:val="20"/>
          <w:szCs w:val="20"/>
        </w:rPr>
        <w:lastRenderedPageBreak/>
        <w:t>that</w:t>
      </w:r>
      <w:r w:rsidR="0031262A" w:rsidRPr="00485F6E">
        <w:rPr>
          <w:sz w:val="20"/>
          <w:szCs w:val="20"/>
        </w:rPr>
        <w:t xml:space="preserve"> “Diego Arma</w:t>
      </w:r>
      <w:r w:rsidR="00D76756">
        <w:rPr>
          <w:sz w:val="20"/>
          <w:szCs w:val="20"/>
        </w:rPr>
        <w:t>n</w:t>
      </w:r>
      <w:r w:rsidR="0031262A" w:rsidRPr="00485F6E">
        <w:rPr>
          <w:sz w:val="20"/>
          <w:szCs w:val="20"/>
        </w:rPr>
        <w:t xml:space="preserve">do Pacheco </w:t>
      </w:r>
      <w:r w:rsidR="00E51D09" w:rsidRPr="00485F6E">
        <w:rPr>
          <w:sz w:val="20"/>
          <w:szCs w:val="20"/>
        </w:rPr>
        <w:t xml:space="preserve">be subject to </w:t>
      </w:r>
      <w:r w:rsidR="00013837" w:rsidRPr="00485F6E">
        <w:rPr>
          <w:sz w:val="20"/>
          <w:szCs w:val="20"/>
        </w:rPr>
        <w:t>remedial custodial treatment</w:t>
      </w:r>
      <w:r w:rsidR="00E51D09" w:rsidRPr="00485F6E">
        <w:rPr>
          <w:sz w:val="20"/>
          <w:szCs w:val="20"/>
        </w:rPr>
        <w:t xml:space="preserve"> until he reached legal age under the supervision of the </w:t>
      </w:r>
      <w:r w:rsidR="00583550">
        <w:rPr>
          <w:sz w:val="20"/>
          <w:szCs w:val="20"/>
        </w:rPr>
        <w:t>court-appointed Family Counsellor and Guardian Ad Litem</w:t>
      </w:r>
      <w:r w:rsidR="0031262A" w:rsidRPr="00485F6E">
        <w:rPr>
          <w:sz w:val="20"/>
          <w:szCs w:val="20"/>
        </w:rPr>
        <w:t>…”</w:t>
      </w:r>
      <w:r w:rsidR="00D12B52" w:rsidRPr="00485F6E">
        <w:rPr>
          <w:rStyle w:val="FootnoteReference"/>
          <w:sz w:val="20"/>
          <w:szCs w:val="20"/>
        </w:rPr>
        <w:footnoteReference w:id="23"/>
      </w:r>
      <w:r w:rsidR="00D12B52" w:rsidRPr="00485F6E">
        <w:rPr>
          <w:sz w:val="20"/>
          <w:szCs w:val="20"/>
        </w:rPr>
        <w:t xml:space="preserve"> </w:t>
      </w:r>
    </w:p>
    <w:p w14:paraId="49706F6F" w14:textId="77777777" w:rsidR="00815166" w:rsidRPr="00485F6E" w:rsidRDefault="00815166" w:rsidP="00815166">
      <w:pPr>
        <w:pStyle w:val="ListParagraph"/>
        <w:tabs>
          <w:tab w:val="left" w:pos="567"/>
        </w:tabs>
        <w:ind w:left="0"/>
        <w:jc w:val="both"/>
        <w:rPr>
          <w:sz w:val="20"/>
          <w:szCs w:val="20"/>
        </w:rPr>
      </w:pPr>
    </w:p>
    <w:p w14:paraId="796FCCC3" w14:textId="77777777" w:rsidR="00D12B52" w:rsidRPr="00485F6E" w:rsidRDefault="00E51D09" w:rsidP="00815166">
      <w:pPr>
        <w:pStyle w:val="ListParagraph"/>
        <w:numPr>
          <w:ilvl w:val="0"/>
          <w:numId w:val="2"/>
        </w:numPr>
        <w:tabs>
          <w:tab w:val="left" w:pos="567"/>
        </w:tabs>
        <w:ind w:left="0" w:firstLine="0"/>
        <w:jc w:val="both"/>
        <w:rPr>
          <w:sz w:val="20"/>
          <w:szCs w:val="20"/>
        </w:rPr>
      </w:pPr>
      <w:r w:rsidRPr="00485F6E">
        <w:rPr>
          <w:sz w:val="20"/>
          <w:szCs w:val="20"/>
        </w:rPr>
        <w:t xml:space="preserve">Afterwards, on September 17, 2002, the First Chamber of the Criminal Court of the Judicial District of </w:t>
      </w:r>
      <w:r w:rsidR="00D12B52" w:rsidRPr="00485F6E">
        <w:rPr>
          <w:sz w:val="20"/>
          <w:szCs w:val="20"/>
        </w:rPr>
        <w:t>Comodoro Rivadavia</w:t>
      </w:r>
      <w:r w:rsidRPr="00485F6E">
        <w:rPr>
          <w:sz w:val="20"/>
          <w:szCs w:val="20"/>
        </w:rPr>
        <w:t xml:space="preserve"> unanimously decided to sentence </w:t>
      </w:r>
      <w:r w:rsidR="00D12B52" w:rsidRPr="00485F6E">
        <w:rPr>
          <w:sz w:val="20"/>
          <w:szCs w:val="20"/>
        </w:rPr>
        <w:t xml:space="preserve">Diego Armando </w:t>
      </w:r>
      <w:r w:rsidR="00166786" w:rsidRPr="00485F6E">
        <w:rPr>
          <w:sz w:val="20"/>
          <w:szCs w:val="20"/>
        </w:rPr>
        <w:t>Pacheco</w:t>
      </w:r>
      <w:r w:rsidR="00583550">
        <w:rPr>
          <w:sz w:val="20"/>
          <w:szCs w:val="20"/>
        </w:rPr>
        <w:t xml:space="preserve"> to four years prison, court costs, and legal expenses</w:t>
      </w:r>
      <w:r w:rsidRPr="00485F6E">
        <w:rPr>
          <w:sz w:val="20"/>
          <w:szCs w:val="20"/>
        </w:rPr>
        <w:t xml:space="preserve"> for the crime of </w:t>
      </w:r>
      <w:r w:rsidR="00EA7F00">
        <w:rPr>
          <w:sz w:val="20"/>
          <w:szCs w:val="20"/>
        </w:rPr>
        <w:t>manslaughter</w:t>
      </w:r>
      <w:r w:rsidRPr="00485F6E">
        <w:rPr>
          <w:sz w:val="20"/>
          <w:szCs w:val="20"/>
        </w:rPr>
        <w:t xml:space="preserve">, for </w:t>
      </w:r>
      <w:r w:rsidR="00583550">
        <w:rPr>
          <w:sz w:val="20"/>
          <w:szCs w:val="20"/>
        </w:rPr>
        <w:t xml:space="preserve">which </w:t>
      </w:r>
      <w:r w:rsidRPr="00485F6E">
        <w:rPr>
          <w:sz w:val="20"/>
          <w:szCs w:val="20"/>
        </w:rPr>
        <w:t xml:space="preserve">he was held </w:t>
      </w:r>
      <w:r w:rsidR="00583550">
        <w:rPr>
          <w:sz w:val="20"/>
          <w:szCs w:val="20"/>
        </w:rPr>
        <w:t>culpable</w:t>
      </w:r>
      <w:r w:rsidRPr="00485F6E">
        <w:rPr>
          <w:sz w:val="20"/>
          <w:szCs w:val="20"/>
        </w:rPr>
        <w:t xml:space="preserve"> on the basis of the judgment of May 19, 2000.</w:t>
      </w:r>
      <w:r w:rsidR="00D12B52" w:rsidRPr="00485F6E">
        <w:rPr>
          <w:sz w:val="20"/>
          <w:szCs w:val="20"/>
        </w:rPr>
        <w:t xml:space="preserve"> </w:t>
      </w:r>
      <w:r w:rsidRPr="00485F6E">
        <w:rPr>
          <w:sz w:val="20"/>
          <w:szCs w:val="20"/>
        </w:rPr>
        <w:t>To substantiate their ruling, the judges claimed compliance with “all o</w:t>
      </w:r>
      <w:r w:rsidR="00583550">
        <w:rPr>
          <w:sz w:val="20"/>
          <w:szCs w:val="20"/>
        </w:rPr>
        <w:t>f the requirements stipulated in</w:t>
      </w:r>
      <w:r w:rsidRPr="00485F6E">
        <w:rPr>
          <w:sz w:val="20"/>
          <w:szCs w:val="20"/>
        </w:rPr>
        <w:t xml:space="preserve"> Article</w:t>
      </w:r>
      <w:r w:rsidR="00166786" w:rsidRPr="00485F6E">
        <w:rPr>
          <w:sz w:val="20"/>
          <w:szCs w:val="20"/>
        </w:rPr>
        <w:t xml:space="preserve"> 4 </w:t>
      </w:r>
      <w:r w:rsidRPr="00485F6E">
        <w:rPr>
          <w:sz w:val="20"/>
          <w:szCs w:val="20"/>
        </w:rPr>
        <w:t>of Law</w:t>
      </w:r>
      <w:r w:rsidR="00166786" w:rsidRPr="00485F6E">
        <w:rPr>
          <w:sz w:val="20"/>
          <w:szCs w:val="20"/>
        </w:rPr>
        <w:t xml:space="preserve"> 22.278 </w:t>
      </w:r>
      <w:r w:rsidRPr="00485F6E">
        <w:rPr>
          <w:sz w:val="20"/>
          <w:szCs w:val="20"/>
        </w:rPr>
        <w:t>and, in addition to that, the</w:t>
      </w:r>
      <w:r w:rsidR="000E2F45" w:rsidRPr="00485F6E">
        <w:rPr>
          <w:sz w:val="20"/>
          <w:szCs w:val="20"/>
        </w:rPr>
        <w:t xml:space="preserve"> following were evaluated: the offense</w:t>
      </w:r>
      <w:r w:rsidRPr="00485F6E">
        <w:rPr>
          <w:sz w:val="20"/>
          <w:szCs w:val="20"/>
        </w:rPr>
        <w:t xml:space="preserve"> that gave rise to the ruling of </w:t>
      </w:r>
      <w:r w:rsidR="00583550">
        <w:rPr>
          <w:sz w:val="20"/>
          <w:szCs w:val="20"/>
        </w:rPr>
        <w:t>culpability</w:t>
      </w:r>
      <w:r w:rsidRPr="00485F6E">
        <w:rPr>
          <w:sz w:val="20"/>
          <w:szCs w:val="20"/>
        </w:rPr>
        <w:t>,</w:t>
      </w:r>
      <w:r w:rsidR="000E2F45" w:rsidRPr="00485F6E">
        <w:rPr>
          <w:sz w:val="20"/>
          <w:szCs w:val="20"/>
        </w:rPr>
        <w:t xml:space="preserve"> the juvenile’s past record, his</w:t>
      </w:r>
      <w:r w:rsidRPr="00485F6E">
        <w:rPr>
          <w:sz w:val="20"/>
          <w:szCs w:val="20"/>
        </w:rPr>
        <w:t xml:space="preserve"> personal circumstances, the outcome of the </w:t>
      </w:r>
      <w:r w:rsidR="00013837" w:rsidRPr="00485F6E">
        <w:rPr>
          <w:sz w:val="20"/>
          <w:szCs w:val="20"/>
        </w:rPr>
        <w:t>remedial custodial treatment</w:t>
      </w:r>
      <w:r w:rsidRPr="00485F6E">
        <w:rPr>
          <w:sz w:val="20"/>
          <w:szCs w:val="20"/>
        </w:rPr>
        <w:t xml:space="preserve">, and the </w:t>
      </w:r>
      <w:r w:rsidR="000E2F45" w:rsidRPr="00485F6E">
        <w:rPr>
          <w:sz w:val="20"/>
          <w:szCs w:val="20"/>
        </w:rPr>
        <w:t xml:space="preserve">direct </w:t>
      </w:r>
      <w:r w:rsidRPr="00485F6E">
        <w:rPr>
          <w:sz w:val="20"/>
          <w:szCs w:val="20"/>
        </w:rPr>
        <w:t>impression</w:t>
      </w:r>
      <w:r w:rsidR="002F4815" w:rsidRPr="00485F6E">
        <w:rPr>
          <w:sz w:val="20"/>
          <w:szCs w:val="20"/>
        </w:rPr>
        <w:t xml:space="preserve"> </w:t>
      </w:r>
      <w:r w:rsidR="000E2F45" w:rsidRPr="00485F6E">
        <w:rPr>
          <w:sz w:val="20"/>
          <w:szCs w:val="20"/>
        </w:rPr>
        <w:t>made on the judge</w:t>
      </w:r>
      <w:r w:rsidR="002F4815" w:rsidRPr="00485F6E">
        <w:rPr>
          <w:sz w:val="20"/>
          <w:szCs w:val="20"/>
        </w:rPr>
        <w:t>.</w:t>
      </w:r>
      <w:r w:rsidR="00166786" w:rsidRPr="00485F6E">
        <w:rPr>
          <w:sz w:val="20"/>
          <w:szCs w:val="20"/>
        </w:rPr>
        <w:t>”</w:t>
      </w:r>
      <w:r w:rsidR="00166786" w:rsidRPr="00485F6E">
        <w:rPr>
          <w:rStyle w:val="FootnoteReference"/>
          <w:sz w:val="20"/>
          <w:szCs w:val="20"/>
        </w:rPr>
        <w:footnoteReference w:id="24"/>
      </w:r>
    </w:p>
    <w:p w14:paraId="510F5411" w14:textId="77777777" w:rsidR="00815166" w:rsidRPr="00485F6E" w:rsidRDefault="00815166" w:rsidP="00815166">
      <w:pPr>
        <w:pStyle w:val="ListParagraph"/>
        <w:tabs>
          <w:tab w:val="left" w:pos="567"/>
        </w:tabs>
        <w:ind w:left="0"/>
        <w:jc w:val="both"/>
        <w:rPr>
          <w:sz w:val="20"/>
          <w:szCs w:val="20"/>
        </w:rPr>
      </w:pPr>
    </w:p>
    <w:p w14:paraId="5418FA80" w14:textId="77777777" w:rsidR="00314D26" w:rsidRPr="00485F6E" w:rsidRDefault="005B37C5" w:rsidP="00815166">
      <w:pPr>
        <w:pStyle w:val="ListParagraph"/>
        <w:numPr>
          <w:ilvl w:val="0"/>
          <w:numId w:val="2"/>
        </w:numPr>
        <w:tabs>
          <w:tab w:val="left" w:pos="567"/>
        </w:tabs>
        <w:ind w:left="0" w:firstLine="0"/>
        <w:jc w:val="both"/>
        <w:rPr>
          <w:sz w:val="20"/>
          <w:szCs w:val="20"/>
        </w:rPr>
      </w:pPr>
      <w:r w:rsidRPr="00485F6E">
        <w:rPr>
          <w:sz w:val="20"/>
          <w:szCs w:val="20"/>
        </w:rPr>
        <w:t>Concretely, in the vote of one of the judges—which essentially agrees with the conclusions reached by his two colleagues—it was argued that “in connection with the modality of the imputed incident, it is not possible to neglect consideration of the fact that it was a very serious action because it led to the death of a peer in circumstances involving a gathering of various persons and then ingesting large amounts of liquor</w:t>
      </w:r>
      <w:r w:rsidR="008060C8" w:rsidRPr="00485F6E">
        <w:rPr>
          <w:sz w:val="20"/>
          <w:szCs w:val="20"/>
        </w:rPr>
        <w:t xml:space="preserve"> </w:t>
      </w:r>
      <w:r w:rsidR="008060C8" w:rsidRPr="00485F6E">
        <w:rPr>
          <w:sz w:val="20"/>
          <w:szCs w:val="20"/>
        </w:rPr>
        <w:sym w:font="Symbol" w:char="F05B"/>
      </w:r>
      <w:r w:rsidR="008060C8" w:rsidRPr="00485F6E">
        <w:rPr>
          <w:sz w:val="20"/>
          <w:szCs w:val="20"/>
        </w:rPr>
        <w:t>…</w:t>
      </w:r>
      <w:r w:rsidR="008060C8" w:rsidRPr="00485F6E">
        <w:rPr>
          <w:sz w:val="20"/>
          <w:szCs w:val="20"/>
        </w:rPr>
        <w:sym w:font="Symbol" w:char="F05D"/>
      </w:r>
      <w:r w:rsidR="008060C8" w:rsidRPr="00485F6E">
        <w:rPr>
          <w:sz w:val="20"/>
          <w:szCs w:val="20"/>
        </w:rPr>
        <w:t xml:space="preserve"> </w:t>
      </w:r>
      <w:r w:rsidRPr="00485F6E">
        <w:rPr>
          <w:sz w:val="20"/>
          <w:szCs w:val="20"/>
        </w:rPr>
        <w:t>As for the direct impression gathered, I must stress that I did not see that the incident had been internalized although the juvenile had mentioned that he had spoken to the victim’s next of kin, even asking them for forgiveness, without any evidence of concern or taking up responsibility for his action.</w:t>
      </w:r>
      <w:r w:rsidR="00314D26" w:rsidRPr="00485F6E">
        <w:rPr>
          <w:sz w:val="20"/>
          <w:szCs w:val="20"/>
        </w:rPr>
        <w:t>”</w:t>
      </w:r>
      <w:r w:rsidR="00314D26" w:rsidRPr="00485F6E">
        <w:rPr>
          <w:rStyle w:val="FootnoteReference"/>
          <w:sz w:val="20"/>
          <w:szCs w:val="20"/>
        </w:rPr>
        <w:footnoteReference w:id="25"/>
      </w:r>
    </w:p>
    <w:p w14:paraId="5D4ED0AC" w14:textId="77777777" w:rsidR="00815166" w:rsidRPr="00485F6E" w:rsidRDefault="00815166" w:rsidP="00815166">
      <w:pPr>
        <w:pStyle w:val="ListParagraph"/>
        <w:tabs>
          <w:tab w:val="left" w:pos="567"/>
        </w:tabs>
        <w:ind w:left="0"/>
        <w:jc w:val="both"/>
        <w:rPr>
          <w:sz w:val="20"/>
          <w:szCs w:val="20"/>
        </w:rPr>
      </w:pPr>
    </w:p>
    <w:p w14:paraId="33A83DF6" w14:textId="77777777" w:rsidR="00166786" w:rsidRPr="00485F6E" w:rsidRDefault="008060C8" w:rsidP="00815166">
      <w:pPr>
        <w:pStyle w:val="ListParagraph"/>
        <w:numPr>
          <w:ilvl w:val="0"/>
          <w:numId w:val="2"/>
        </w:numPr>
        <w:tabs>
          <w:tab w:val="left" w:pos="567"/>
        </w:tabs>
        <w:ind w:left="0" w:firstLine="0"/>
        <w:jc w:val="both"/>
        <w:rPr>
          <w:sz w:val="20"/>
          <w:szCs w:val="20"/>
        </w:rPr>
      </w:pPr>
      <w:r w:rsidRPr="00485F6E">
        <w:rPr>
          <w:sz w:val="20"/>
          <w:szCs w:val="20"/>
        </w:rPr>
        <w:t>Final</w:t>
      </w:r>
      <w:r w:rsidR="00F96EFF" w:rsidRPr="00485F6E">
        <w:rPr>
          <w:sz w:val="20"/>
          <w:szCs w:val="20"/>
        </w:rPr>
        <w:t xml:space="preserve">ly, with respect to the </w:t>
      </w:r>
      <w:r w:rsidR="00582937" w:rsidRPr="00485F6E">
        <w:rPr>
          <w:sz w:val="20"/>
          <w:szCs w:val="20"/>
        </w:rPr>
        <w:t>remedial custodial treatment</w:t>
      </w:r>
      <w:r w:rsidR="00F96EFF" w:rsidRPr="00485F6E">
        <w:rPr>
          <w:sz w:val="20"/>
          <w:szCs w:val="20"/>
        </w:rPr>
        <w:t xml:space="preserve"> order</w:t>
      </w:r>
      <w:r w:rsidR="00582937" w:rsidRPr="00485F6E">
        <w:rPr>
          <w:sz w:val="20"/>
          <w:szCs w:val="20"/>
        </w:rPr>
        <w:t>ed by the judgment of criminal culpability</w:t>
      </w:r>
      <w:r w:rsidR="00F96EFF" w:rsidRPr="00485F6E">
        <w:rPr>
          <w:sz w:val="20"/>
          <w:szCs w:val="20"/>
        </w:rPr>
        <w:t>, the judges contended that, according to “the reports incorporated into the proceedings by reading in the course of the hearing it cannot be said that it yielded a positive outcome. Of course there were difficulties that hampered its normal development such as the circumstance of having been deprived of liberty for almost a year or other operational difficulties such as the absence of resources to transport the juvenile to undergo his psychological therapy, but the discontinuity that was evident on the basis of the information provided is not entirely disconnected from the juvenile himself, who has been recalcitrant to the psychotherapy, did not attend school for adults, and always had to be urged to follow the rules that were given to him</w:t>
      </w:r>
      <w:r w:rsidR="00314D26" w:rsidRPr="00485F6E">
        <w:rPr>
          <w:sz w:val="20"/>
          <w:szCs w:val="20"/>
        </w:rPr>
        <w:t>…</w:t>
      </w:r>
      <w:r w:rsidR="00F96EFF" w:rsidRPr="00485F6E">
        <w:rPr>
          <w:sz w:val="20"/>
          <w:szCs w:val="20"/>
        </w:rPr>
        <w:t>.</w:t>
      </w:r>
      <w:r w:rsidR="00314D26" w:rsidRPr="00485F6E">
        <w:rPr>
          <w:sz w:val="20"/>
          <w:szCs w:val="20"/>
        </w:rPr>
        <w:t>”</w:t>
      </w:r>
      <w:r w:rsidR="00314D26" w:rsidRPr="00485F6E">
        <w:rPr>
          <w:rStyle w:val="FootnoteReference"/>
          <w:sz w:val="20"/>
          <w:szCs w:val="20"/>
        </w:rPr>
        <w:footnoteReference w:id="26"/>
      </w:r>
    </w:p>
    <w:p w14:paraId="585DDA49" w14:textId="77777777" w:rsidR="00815166" w:rsidRPr="00485F6E" w:rsidRDefault="00815166" w:rsidP="00815166">
      <w:pPr>
        <w:pStyle w:val="ListParagraph"/>
        <w:tabs>
          <w:tab w:val="left" w:pos="567"/>
        </w:tabs>
        <w:ind w:left="0"/>
        <w:jc w:val="both"/>
        <w:rPr>
          <w:sz w:val="20"/>
          <w:szCs w:val="20"/>
        </w:rPr>
      </w:pPr>
    </w:p>
    <w:p w14:paraId="238C0D25" w14:textId="77777777" w:rsidR="00275F19" w:rsidRPr="00485F6E" w:rsidRDefault="00F96EFF" w:rsidP="00200DC2">
      <w:pPr>
        <w:pStyle w:val="Heading2"/>
        <w:numPr>
          <w:ilvl w:val="0"/>
          <w:numId w:val="27"/>
        </w:numPr>
        <w:rPr>
          <w:lang w:val="en-US"/>
        </w:rPr>
      </w:pPr>
      <w:bookmarkStart w:id="26" w:name="_Toc203988491"/>
      <w:r w:rsidRPr="0005688D">
        <w:rPr>
          <w:lang w:val="en-US"/>
        </w:rPr>
        <w:t>Remedies</w:t>
      </w:r>
      <w:r w:rsidRPr="00485F6E">
        <w:rPr>
          <w:lang w:val="en-US"/>
        </w:rPr>
        <w:t xml:space="preserve"> filed against the judgment of </w:t>
      </w:r>
      <w:r w:rsidR="00583550">
        <w:rPr>
          <w:lang w:val="en-US"/>
        </w:rPr>
        <w:t>culpability</w:t>
      </w:r>
      <w:r w:rsidRPr="00485F6E">
        <w:rPr>
          <w:lang w:val="en-US"/>
        </w:rPr>
        <w:t xml:space="preserve"> and </w:t>
      </w:r>
      <w:r w:rsidR="006C5FF9">
        <w:rPr>
          <w:lang w:val="en-US"/>
        </w:rPr>
        <w:t>sentencing tailored to the individual</w:t>
      </w:r>
      <w:bookmarkEnd w:id="26"/>
    </w:p>
    <w:p w14:paraId="4EE10A20" w14:textId="77777777" w:rsidR="003448BE" w:rsidRPr="00485F6E" w:rsidRDefault="003448BE" w:rsidP="003448BE">
      <w:pPr>
        <w:pStyle w:val="ListParagraph"/>
        <w:tabs>
          <w:tab w:val="left" w:pos="567"/>
        </w:tabs>
        <w:jc w:val="both"/>
        <w:rPr>
          <w:sz w:val="20"/>
          <w:szCs w:val="20"/>
        </w:rPr>
      </w:pPr>
    </w:p>
    <w:p w14:paraId="2A4E449E" w14:textId="77777777" w:rsidR="00B849AE" w:rsidRPr="00485F6E" w:rsidRDefault="00F96EFF" w:rsidP="003448BE">
      <w:pPr>
        <w:pStyle w:val="ListParagraph"/>
        <w:numPr>
          <w:ilvl w:val="0"/>
          <w:numId w:val="2"/>
        </w:numPr>
        <w:tabs>
          <w:tab w:val="left" w:pos="567"/>
        </w:tabs>
        <w:ind w:left="0" w:firstLine="0"/>
        <w:jc w:val="both"/>
        <w:rPr>
          <w:sz w:val="20"/>
          <w:szCs w:val="20"/>
        </w:rPr>
      </w:pPr>
      <w:r w:rsidRPr="00485F6E">
        <w:rPr>
          <w:sz w:val="20"/>
          <w:szCs w:val="20"/>
        </w:rPr>
        <w:t xml:space="preserve">In view of the ruling mentioned in the paragraphs above, the </w:t>
      </w:r>
      <w:r w:rsidR="006C5FF9">
        <w:rPr>
          <w:sz w:val="20"/>
          <w:szCs w:val="20"/>
        </w:rPr>
        <w:t>court-appointed Family Counsellor and Guardian Ad Litem</w:t>
      </w:r>
      <w:r w:rsidRPr="00485F6E">
        <w:rPr>
          <w:sz w:val="20"/>
          <w:szCs w:val="20"/>
        </w:rPr>
        <w:t xml:space="preserve"> filed, on September 26, 2002, a cassation appeal for the benefit of</w:t>
      </w:r>
      <w:r w:rsidR="00314D26" w:rsidRPr="00485F6E">
        <w:rPr>
          <w:sz w:val="20"/>
          <w:szCs w:val="20"/>
        </w:rPr>
        <w:t xml:space="preserve"> Diego Armando Pacheco</w:t>
      </w:r>
      <w:r w:rsidRPr="00485F6E">
        <w:rPr>
          <w:sz w:val="20"/>
          <w:szCs w:val="20"/>
        </w:rPr>
        <w:t>.</w:t>
      </w:r>
      <w:r w:rsidR="005F7E19" w:rsidRPr="00485F6E">
        <w:rPr>
          <w:rStyle w:val="FootnoteReference"/>
          <w:sz w:val="20"/>
          <w:szCs w:val="20"/>
        </w:rPr>
        <w:footnoteReference w:id="27"/>
      </w:r>
      <w:r w:rsidRPr="00485F6E">
        <w:rPr>
          <w:sz w:val="20"/>
          <w:szCs w:val="20"/>
        </w:rPr>
        <w:t xml:space="preserve"> Likewise, the petitioner’s official defense attorney also filed a cassation appeal challenging the conviction issued against the defendant.</w:t>
      </w:r>
      <w:r w:rsidR="005F7E19" w:rsidRPr="00485F6E">
        <w:rPr>
          <w:rStyle w:val="FootnoteReference"/>
          <w:sz w:val="20"/>
          <w:szCs w:val="20"/>
        </w:rPr>
        <w:footnoteReference w:id="28"/>
      </w:r>
      <w:r w:rsidRPr="00485F6E">
        <w:rPr>
          <w:sz w:val="20"/>
          <w:szCs w:val="20"/>
        </w:rPr>
        <w:t xml:space="preserve"> Both appeals substantiated their motion on the basis of the erroneous application of substantive criminal law. In the first appeal, the </w:t>
      </w:r>
      <w:r w:rsidR="00CF2E49">
        <w:rPr>
          <w:sz w:val="20"/>
          <w:szCs w:val="20"/>
        </w:rPr>
        <w:t xml:space="preserve">court-appointed </w:t>
      </w:r>
      <w:r w:rsidR="003A22B1" w:rsidRPr="00485F6E">
        <w:rPr>
          <w:sz w:val="20"/>
          <w:szCs w:val="20"/>
        </w:rPr>
        <w:t xml:space="preserve">Family Counsellor and Guardian Ad Litem </w:t>
      </w:r>
      <w:r w:rsidRPr="00485F6E">
        <w:rPr>
          <w:sz w:val="20"/>
          <w:szCs w:val="20"/>
        </w:rPr>
        <w:t>contended that “the Court ha</w:t>
      </w:r>
      <w:r w:rsidR="00834176" w:rsidRPr="00485F6E">
        <w:rPr>
          <w:sz w:val="20"/>
          <w:szCs w:val="20"/>
        </w:rPr>
        <w:t>s</w:t>
      </w:r>
      <w:r w:rsidRPr="00485F6E">
        <w:rPr>
          <w:sz w:val="20"/>
          <w:szCs w:val="20"/>
        </w:rPr>
        <w:t xml:space="preserve"> not conducted a detailed review of the </w:t>
      </w:r>
      <w:r w:rsidR="00582937" w:rsidRPr="00485F6E">
        <w:rPr>
          <w:sz w:val="20"/>
          <w:szCs w:val="20"/>
        </w:rPr>
        <w:t>remedial custodial treatment</w:t>
      </w:r>
      <w:r w:rsidRPr="00485F6E">
        <w:rPr>
          <w:sz w:val="20"/>
          <w:szCs w:val="20"/>
        </w:rPr>
        <w:t xml:space="preserve"> in itself, the difficulties that arose</w:t>
      </w:r>
      <w:r w:rsidR="00866154" w:rsidRPr="00485F6E">
        <w:rPr>
          <w:sz w:val="20"/>
          <w:szCs w:val="20"/>
        </w:rPr>
        <w:t xml:space="preserve">, </w:t>
      </w:r>
      <w:r w:rsidRPr="00485F6E">
        <w:rPr>
          <w:sz w:val="20"/>
          <w:szCs w:val="20"/>
        </w:rPr>
        <w:t>or the personal and cultural chara</w:t>
      </w:r>
      <w:r w:rsidR="00834176" w:rsidRPr="00485F6E">
        <w:rPr>
          <w:sz w:val="20"/>
          <w:szCs w:val="20"/>
        </w:rPr>
        <w:t xml:space="preserve">cteristics of my </w:t>
      </w:r>
      <w:r w:rsidR="006C5FF9">
        <w:rPr>
          <w:sz w:val="20"/>
          <w:szCs w:val="20"/>
        </w:rPr>
        <w:t>ward</w:t>
      </w:r>
      <w:r w:rsidR="00866154" w:rsidRPr="00485F6E">
        <w:rPr>
          <w:sz w:val="20"/>
          <w:szCs w:val="20"/>
        </w:rPr>
        <w:t xml:space="preserve">, </w:t>
      </w:r>
      <w:r w:rsidR="00834176" w:rsidRPr="00485F6E">
        <w:rPr>
          <w:sz w:val="20"/>
          <w:szCs w:val="20"/>
        </w:rPr>
        <w:t>arbitrarily failing to abid</w:t>
      </w:r>
      <w:r w:rsidR="003A22B1" w:rsidRPr="00485F6E">
        <w:rPr>
          <w:sz w:val="20"/>
          <w:szCs w:val="20"/>
        </w:rPr>
        <w:t>e</w:t>
      </w:r>
      <w:r w:rsidR="00834176" w:rsidRPr="00485F6E">
        <w:rPr>
          <w:sz w:val="20"/>
          <w:szCs w:val="20"/>
        </w:rPr>
        <w:t xml:space="preserve"> by the principles of statutes currently in force</w:t>
      </w:r>
      <w:r w:rsidR="00866154" w:rsidRPr="00485F6E">
        <w:rPr>
          <w:sz w:val="20"/>
          <w:szCs w:val="20"/>
        </w:rPr>
        <w:t>...</w:t>
      </w:r>
      <w:r w:rsidR="00834176" w:rsidRPr="00485F6E">
        <w:rPr>
          <w:sz w:val="20"/>
          <w:szCs w:val="20"/>
        </w:rPr>
        <w:t>.</w:t>
      </w:r>
      <w:r w:rsidR="00866154" w:rsidRPr="00485F6E">
        <w:rPr>
          <w:sz w:val="20"/>
          <w:szCs w:val="20"/>
        </w:rPr>
        <w:t>”</w:t>
      </w:r>
      <w:r w:rsidR="00866154" w:rsidRPr="00485F6E">
        <w:rPr>
          <w:rStyle w:val="FootnoteReference"/>
          <w:sz w:val="20"/>
          <w:szCs w:val="20"/>
        </w:rPr>
        <w:footnoteReference w:id="29"/>
      </w:r>
      <w:r w:rsidR="00866154" w:rsidRPr="00485F6E">
        <w:rPr>
          <w:sz w:val="20"/>
          <w:szCs w:val="20"/>
        </w:rPr>
        <w:t xml:space="preserve"> </w:t>
      </w:r>
      <w:r w:rsidR="00834176" w:rsidRPr="00485F6E">
        <w:rPr>
          <w:sz w:val="20"/>
          <w:szCs w:val="20"/>
        </w:rPr>
        <w:t xml:space="preserve">As for the official defense attorney, he stated in his brief that “the Court has erroneously applied substantive law when convicting </w:t>
      </w:r>
      <w:r w:rsidR="00866154" w:rsidRPr="00485F6E">
        <w:rPr>
          <w:sz w:val="20"/>
          <w:szCs w:val="20"/>
        </w:rPr>
        <w:t xml:space="preserve">Diego Armando Pacheco </w:t>
      </w:r>
      <w:r w:rsidR="00834176" w:rsidRPr="00485F6E">
        <w:rPr>
          <w:sz w:val="20"/>
          <w:szCs w:val="20"/>
        </w:rPr>
        <w:t xml:space="preserve">to four </w:t>
      </w:r>
      <w:r w:rsidR="00834176" w:rsidRPr="00485F6E">
        <w:rPr>
          <w:sz w:val="20"/>
          <w:szCs w:val="20"/>
        </w:rPr>
        <w:lastRenderedPageBreak/>
        <w:t>years prison, without previously exhausting measures within its reach, that is, alternative measures or sentences</w:t>
      </w:r>
      <w:r w:rsidR="00866154" w:rsidRPr="00485F6E">
        <w:rPr>
          <w:sz w:val="20"/>
          <w:szCs w:val="20"/>
        </w:rPr>
        <w:t xml:space="preserve"> </w:t>
      </w:r>
      <w:r w:rsidR="00866154" w:rsidRPr="00485F6E">
        <w:rPr>
          <w:sz w:val="20"/>
          <w:szCs w:val="20"/>
        </w:rPr>
        <w:sym w:font="Symbol" w:char="F05B"/>
      </w:r>
      <w:r w:rsidR="00866154" w:rsidRPr="00485F6E">
        <w:rPr>
          <w:sz w:val="20"/>
          <w:szCs w:val="20"/>
        </w:rPr>
        <w:t>…</w:t>
      </w:r>
      <w:r w:rsidR="00866154" w:rsidRPr="00485F6E">
        <w:rPr>
          <w:sz w:val="20"/>
          <w:szCs w:val="20"/>
        </w:rPr>
        <w:sym w:font="Symbol" w:char="F05D"/>
      </w:r>
      <w:r w:rsidR="00866154" w:rsidRPr="00485F6E">
        <w:rPr>
          <w:sz w:val="20"/>
          <w:szCs w:val="20"/>
        </w:rPr>
        <w:t xml:space="preserve"> </w:t>
      </w:r>
      <w:r w:rsidR="00834176" w:rsidRPr="00485F6E">
        <w:rPr>
          <w:sz w:val="20"/>
          <w:szCs w:val="20"/>
        </w:rPr>
        <w:t>who, at the time of the imputed incident, was 17 years of age.</w:t>
      </w:r>
      <w:r w:rsidR="00866154" w:rsidRPr="00485F6E">
        <w:rPr>
          <w:sz w:val="20"/>
          <w:szCs w:val="20"/>
        </w:rPr>
        <w:t>”</w:t>
      </w:r>
      <w:r w:rsidR="00866154" w:rsidRPr="00485F6E">
        <w:rPr>
          <w:rStyle w:val="FootnoteReference"/>
          <w:sz w:val="20"/>
          <w:szCs w:val="20"/>
        </w:rPr>
        <w:footnoteReference w:id="30"/>
      </w:r>
    </w:p>
    <w:p w14:paraId="17AB36D2" w14:textId="77777777" w:rsidR="00815166" w:rsidRPr="00485F6E" w:rsidRDefault="00815166" w:rsidP="003448BE">
      <w:pPr>
        <w:pStyle w:val="ListParagraph"/>
        <w:tabs>
          <w:tab w:val="left" w:pos="567"/>
        </w:tabs>
        <w:ind w:left="0"/>
        <w:jc w:val="both"/>
        <w:rPr>
          <w:sz w:val="20"/>
          <w:szCs w:val="20"/>
        </w:rPr>
      </w:pPr>
    </w:p>
    <w:p w14:paraId="1E62CC77" w14:textId="77777777" w:rsidR="005F7E19" w:rsidRPr="00485F6E" w:rsidRDefault="00834176" w:rsidP="003448BE">
      <w:pPr>
        <w:pStyle w:val="ListParagraph"/>
        <w:numPr>
          <w:ilvl w:val="0"/>
          <w:numId w:val="2"/>
        </w:numPr>
        <w:tabs>
          <w:tab w:val="left" w:pos="567"/>
        </w:tabs>
        <w:ind w:left="0" w:firstLine="0"/>
        <w:jc w:val="both"/>
        <w:rPr>
          <w:sz w:val="20"/>
          <w:szCs w:val="20"/>
        </w:rPr>
      </w:pPr>
      <w:r w:rsidRPr="00485F6E">
        <w:rPr>
          <w:sz w:val="20"/>
          <w:szCs w:val="20"/>
        </w:rPr>
        <w:t>On October</w:t>
      </w:r>
      <w:r w:rsidR="005F7E19" w:rsidRPr="00485F6E">
        <w:rPr>
          <w:sz w:val="20"/>
          <w:szCs w:val="20"/>
        </w:rPr>
        <w:t xml:space="preserve"> 3</w:t>
      </w:r>
      <w:r w:rsidRPr="00485F6E">
        <w:rPr>
          <w:sz w:val="20"/>
          <w:szCs w:val="20"/>
        </w:rPr>
        <w:t>,</w:t>
      </w:r>
      <w:r w:rsidR="005F7E19" w:rsidRPr="00485F6E">
        <w:rPr>
          <w:sz w:val="20"/>
          <w:szCs w:val="20"/>
        </w:rPr>
        <w:t xml:space="preserve"> 2002</w:t>
      </w:r>
      <w:r w:rsidRPr="00485F6E">
        <w:rPr>
          <w:sz w:val="20"/>
          <w:szCs w:val="20"/>
        </w:rPr>
        <w:t>, the First Chamber of the Criminal Court admitted both appeals without taking into consideration the merits of the case and re</w:t>
      </w:r>
      <w:r w:rsidR="006C5FF9">
        <w:rPr>
          <w:sz w:val="20"/>
          <w:szCs w:val="20"/>
        </w:rPr>
        <w:t xml:space="preserve">mitted </w:t>
      </w:r>
      <w:r w:rsidRPr="00485F6E">
        <w:rPr>
          <w:sz w:val="20"/>
          <w:szCs w:val="20"/>
        </w:rPr>
        <w:t>the proceedings to the Su</w:t>
      </w:r>
      <w:r w:rsidR="006C5FF9">
        <w:rPr>
          <w:sz w:val="20"/>
          <w:szCs w:val="20"/>
        </w:rPr>
        <w:t>perior Court of Justice of the p</w:t>
      </w:r>
      <w:r w:rsidRPr="00485F6E">
        <w:rPr>
          <w:sz w:val="20"/>
          <w:szCs w:val="20"/>
        </w:rPr>
        <w:t>rovince of</w:t>
      </w:r>
      <w:r w:rsidR="00815166" w:rsidRPr="00485F6E">
        <w:rPr>
          <w:sz w:val="20"/>
          <w:szCs w:val="20"/>
        </w:rPr>
        <w:t xml:space="preserve"> Chubut</w:t>
      </w:r>
      <w:r w:rsidRPr="00485F6E">
        <w:rPr>
          <w:sz w:val="20"/>
          <w:szCs w:val="20"/>
        </w:rPr>
        <w:t>.</w:t>
      </w:r>
      <w:r w:rsidR="00692A96" w:rsidRPr="00485F6E">
        <w:rPr>
          <w:rStyle w:val="FootnoteReference"/>
          <w:sz w:val="20"/>
          <w:szCs w:val="20"/>
        </w:rPr>
        <w:footnoteReference w:id="31"/>
      </w:r>
      <w:r w:rsidR="00815166" w:rsidRPr="00485F6E">
        <w:rPr>
          <w:sz w:val="20"/>
          <w:szCs w:val="20"/>
        </w:rPr>
        <w:t xml:space="preserve"> </w:t>
      </w:r>
      <w:r w:rsidRPr="00485F6E">
        <w:rPr>
          <w:sz w:val="20"/>
          <w:szCs w:val="20"/>
        </w:rPr>
        <w:t>Nevertheless, by means of the judgment of December 16, 2002, the Superior Court of Justice ruled that the cassation appeals that had been filed were “inadmissible.”</w:t>
      </w:r>
      <w:r w:rsidR="00815166" w:rsidRPr="00485F6E">
        <w:rPr>
          <w:sz w:val="20"/>
          <w:szCs w:val="20"/>
        </w:rPr>
        <w:t xml:space="preserve"> </w:t>
      </w:r>
      <w:r w:rsidRPr="00485F6E">
        <w:rPr>
          <w:sz w:val="20"/>
          <w:szCs w:val="20"/>
        </w:rPr>
        <w:t>To substantiate its ruling, the Superior Court stated that “the judges in the debate are sovereign in their application of the circumstances referred to in the Criminal System for Juveniles</w:t>
      </w:r>
      <w:r w:rsidR="00942F86">
        <w:rPr>
          <w:sz w:val="20"/>
          <w:szCs w:val="20"/>
        </w:rPr>
        <w:t>,</w:t>
      </w:r>
      <w:r w:rsidRPr="00485F6E">
        <w:rPr>
          <w:sz w:val="20"/>
          <w:szCs w:val="20"/>
        </w:rPr>
        <w:t xml:space="preserve"> Law</w:t>
      </w:r>
      <w:r w:rsidR="00891BD2" w:rsidRPr="00485F6E">
        <w:rPr>
          <w:sz w:val="20"/>
          <w:szCs w:val="20"/>
        </w:rPr>
        <w:t xml:space="preserve"> 22.278, </w:t>
      </w:r>
      <w:r w:rsidRPr="00485F6E">
        <w:rPr>
          <w:sz w:val="20"/>
          <w:szCs w:val="20"/>
        </w:rPr>
        <w:t>Article</w:t>
      </w:r>
      <w:r w:rsidR="00891BD2" w:rsidRPr="00485F6E">
        <w:rPr>
          <w:sz w:val="20"/>
          <w:szCs w:val="20"/>
        </w:rPr>
        <w:t xml:space="preserve"> 4</w:t>
      </w:r>
      <w:r w:rsidRPr="00485F6E">
        <w:rPr>
          <w:sz w:val="20"/>
          <w:szCs w:val="20"/>
        </w:rPr>
        <w:t xml:space="preserve">, second subparagraph and </w:t>
      </w:r>
      <w:r w:rsidRPr="00942F86">
        <w:rPr>
          <w:i/>
          <w:sz w:val="20"/>
          <w:szCs w:val="20"/>
        </w:rPr>
        <w:t>in fine</w:t>
      </w:r>
      <w:r w:rsidR="00942F86">
        <w:rPr>
          <w:sz w:val="20"/>
          <w:szCs w:val="20"/>
        </w:rPr>
        <w:t xml:space="preserve"> and in</w:t>
      </w:r>
      <w:r w:rsidRPr="00485F6E">
        <w:rPr>
          <w:sz w:val="20"/>
          <w:szCs w:val="20"/>
        </w:rPr>
        <w:t xml:space="preserve"> the Criminal Code, Articles 40 and</w:t>
      </w:r>
      <w:r w:rsidR="00891BD2" w:rsidRPr="00485F6E">
        <w:rPr>
          <w:sz w:val="20"/>
          <w:szCs w:val="20"/>
        </w:rPr>
        <w:t xml:space="preserve"> 41, </w:t>
      </w:r>
      <w:r w:rsidR="003663CD">
        <w:rPr>
          <w:sz w:val="20"/>
          <w:szCs w:val="20"/>
        </w:rPr>
        <w:t>unless absurdity</w:t>
      </w:r>
      <w:r w:rsidRPr="00485F6E">
        <w:rPr>
          <w:sz w:val="20"/>
          <w:szCs w:val="20"/>
        </w:rPr>
        <w:t xml:space="preserve"> is alleged and proven </w:t>
      </w:r>
      <w:r w:rsidR="003663CD">
        <w:rPr>
          <w:sz w:val="20"/>
          <w:szCs w:val="20"/>
        </w:rPr>
        <w:t xml:space="preserve">when </w:t>
      </w:r>
      <w:r w:rsidRPr="00485F6E">
        <w:rPr>
          <w:sz w:val="20"/>
          <w:szCs w:val="20"/>
        </w:rPr>
        <w:t xml:space="preserve">weighing the </w:t>
      </w:r>
      <w:r w:rsidR="003663CD">
        <w:rPr>
          <w:sz w:val="20"/>
          <w:szCs w:val="20"/>
        </w:rPr>
        <w:t>considerations</w:t>
      </w:r>
      <w:r w:rsidR="006C5FF9">
        <w:rPr>
          <w:sz w:val="20"/>
          <w:szCs w:val="20"/>
        </w:rPr>
        <w:t xml:space="preserve"> or that</w:t>
      </w:r>
      <w:r w:rsidR="007E2035" w:rsidRPr="00485F6E">
        <w:rPr>
          <w:sz w:val="20"/>
          <w:szCs w:val="20"/>
        </w:rPr>
        <w:t xml:space="preserve"> the judges either </w:t>
      </w:r>
      <w:r w:rsidR="006C5FF9">
        <w:rPr>
          <w:sz w:val="20"/>
          <w:szCs w:val="20"/>
        </w:rPr>
        <w:t>exceed</w:t>
      </w:r>
      <w:r w:rsidR="003663CD">
        <w:rPr>
          <w:sz w:val="20"/>
          <w:szCs w:val="20"/>
        </w:rPr>
        <w:t>ed the range of penalties</w:t>
      </w:r>
      <w:r w:rsidR="007E2035" w:rsidRPr="00485F6E">
        <w:rPr>
          <w:sz w:val="20"/>
          <w:szCs w:val="20"/>
        </w:rPr>
        <w:t xml:space="preserve"> set for the crime or distorted the nature or scope of those penalties.</w:t>
      </w:r>
      <w:r w:rsidR="00891BD2" w:rsidRPr="00485F6E">
        <w:rPr>
          <w:sz w:val="20"/>
          <w:szCs w:val="20"/>
        </w:rPr>
        <w:t>”</w:t>
      </w:r>
      <w:r w:rsidR="00891BD2" w:rsidRPr="00485F6E">
        <w:rPr>
          <w:rStyle w:val="FootnoteReference"/>
          <w:sz w:val="20"/>
          <w:szCs w:val="20"/>
        </w:rPr>
        <w:footnoteReference w:id="32"/>
      </w:r>
    </w:p>
    <w:p w14:paraId="4F4AB138" w14:textId="77777777" w:rsidR="00BE3524" w:rsidRPr="00485F6E" w:rsidRDefault="00BE3524" w:rsidP="00BE3524">
      <w:pPr>
        <w:pStyle w:val="ListParagraph"/>
        <w:rPr>
          <w:sz w:val="20"/>
          <w:szCs w:val="20"/>
        </w:rPr>
      </w:pPr>
    </w:p>
    <w:p w14:paraId="7F7D8FD3" w14:textId="77777777" w:rsidR="005C50B9" w:rsidRPr="00485F6E" w:rsidRDefault="007E2035" w:rsidP="003448BE">
      <w:pPr>
        <w:pStyle w:val="ListParagraph"/>
        <w:numPr>
          <w:ilvl w:val="0"/>
          <w:numId w:val="2"/>
        </w:numPr>
        <w:tabs>
          <w:tab w:val="left" w:pos="567"/>
        </w:tabs>
        <w:ind w:left="0" w:firstLine="0"/>
        <w:jc w:val="both"/>
        <w:rPr>
          <w:sz w:val="20"/>
          <w:szCs w:val="20"/>
        </w:rPr>
      </w:pPr>
      <w:r w:rsidRPr="00485F6E">
        <w:rPr>
          <w:sz w:val="20"/>
          <w:szCs w:val="20"/>
        </w:rPr>
        <w:t xml:space="preserve">In view of this decision, the </w:t>
      </w:r>
      <w:r w:rsidR="001963DB">
        <w:rPr>
          <w:sz w:val="20"/>
          <w:szCs w:val="20"/>
        </w:rPr>
        <w:t>Public Defender</w:t>
      </w:r>
      <w:r w:rsidR="00942F86">
        <w:rPr>
          <w:sz w:val="20"/>
          <w:szCs w:val="20"/>
        </w:rPr>
        <w:t xml:space="preserve"> of the p</w:t>
      </w:r>
      <w:r w:rsidRPr="00485F6E">
        <w:rPr>
          <w:sz w:val="20"/>
          <w:szCs w:val="20"/>
        </w:rPr>
        <w:t>rovince of Chubut, on behalf of Di</w:t>
      </w:r>
      <w:r w:rsidR="00BE3524" w:rsidRPr="00485F6E">
        <w:rPr>
          <w:sz w:val="20"/>
          <w:szCs w:val="20"/>
        </w:rPr>
        <w:t xml:space="preserve">ego Armando Pacheco, </w:t>
      </w:r>
      <w:r w:rsidRPr="00485F6E">
        <w:rPr>
          <w:sz w:val="20"/>
          <w:szCs w:val="20"/>
        </w:rPr>
        <w:t xml:space="preserve">filed, on February 3, 2003, the </w:t>
      </w:r>
      <w:r w:rsidR="00F64F34">
        <w:rPr>
          <w:sz w:val="20"/>
          <w:szCs w:val="20"/>
        </w:rPr>
        <w:t>special federal appeal</w:t>
      </w:r>
      <w:r w:rsidRPr="00485F6E">
        <w:rPr>
          <w:sz w:val="20"/>
          <w:szCs w:val="20"/>
        </w:rPr>
        <w:t xml:space="preserve"> provided for in Article 14 of Law 48 on the grounds of the arbitrariness of the judgment</w:t>
      </w:r>
      <w:r w:rsidR="00BE3524" w:rsidRPr="00485F6E">
        <w:rPr>
          <w:sz w:val="20"/>
          <w:szCs w:val="20"/>
        </w:rPr>
        <w:t xml:space="preserve">. </w:t>
      </w:r>
      <w:r w:rsidRPr="00485F6E">
        <w:rPr>
          <w:sz w:val="20"/>
          <w:szCs w:val="20"/>
        </w:rPr>
        <w:t xml:space="preserve">In this brief, the </w:t>
      </w:r>
      <w:r w:rsidR="001963DB">
        <w:rPr>
          <w:sz w:val="20"/>
          <w:szCs w:val="20"/>
        </w:rPr>
        <w:t>Public Defender</w:t>
      </w:r>
      <w:r w:rsidRPr="00485F6E">
        <w:rPr>
          <w:sz w:val="20"/>
          <w:szCs w:val="20"/>
        </w:rPr>
        <w:t xml:space="preserve"> alleged a violation of the rights of the person he was defending to a second review of his trial, the right to defense and due process of law. Likewise, the appeal reiterated</w:t>
      </w:r>
      <w:r w:rsidR="00281C1F" w:rsidRPr="00485F6E">
        <w:rPr>
          <w:sz w:val="20"/>
          <w:szCs w:val="20"/>
        </w:rPr>
        <w:t xml:space="preserve"> that</w:t>
      </w:r>
      <w:r w:rsidRPr="00485F6E">
        <w:rPr>
          <w:sz w:val="20"/>
          <w:szCs w:val="20"/>
        </w:rPr>
        <w:t xml:space="preserve"> the grounds </w:t>
      </w:r>
      <w:r w:rsidR="00281C1F" w:rsidRPr="00485F6E">
        <w:rPr>
          <w:sz w:val="20"/>
          <w:szCs w:val="20"/>
        </w:rPr>
        <w:t xml:space="preserve">for the arbitrary </w:t>
      </w:r>
      <w:r w:rsidRPr="00485F6E">
        <w:rPr>
          <w:sz w:val="20"/>
          <w:szCs w:val="20"/>
        </w:rPr>
        <w:t xml:space="preserve">conviction </w:t>
      </w:r>
      <w:r w:rsidR="00281C1F" w:rsidRPr="00485F6E">
        <w:rPr>
          <w:sz w:val="20"/>
          <w:szCs w:val="20"/>
        </w:rPr>
        <w:t>of</w:t>
      </w:r>
      <w:r w:rsidRPr="00485F6E">
        <w:rPr>
          <w:sz w:val="20"/>
          <w:szCs w:val="20"/>
        </w:rPr>
        <w:t xml:space="preserve"> Mr. Pacheco</w:t>
      </w:r>
      <w:r w:rsidR="00281C1F" w:rsidRPr="00485F6E">
        <w:rPr>
          <w:sz w:val="20"/>
          <w:szCs w:val="20"/>
        </w:rPr>
        <w:t xml:space="preserve"> was</w:t>
      </w:r>
      <w:r w:rsidR="00582937" w:rsidRPr="00485F6E">
        <w:rPr>
          <w:sz w:val="20"/>
          <w:szCs w:val="20"/>
        </w:rPr>
        <w:t xml:space="preserve"> that he had not completed his remedial custodial</w:t>
      </w:r>
      <w:r w:rsidR="00281C1F" w:rsidRPr="00485F6E">
        <w:rPr>
          <w:sz w:val="20"/>
          <w:szCs w:val="20"/>
        </w:rPr>
        <w:t xml:space="preserve"> treatment.</w:t>
      </w:r>
      <w:r w:rsidR="005C50B9" w:rsidRPr="00485F6E">
        <w:rPr>
          <w:rStyle w:val="FootnoteReference"/>
          <w:sz w:val="20"/>
          <w:szCs w:val="20"/>
        </w:rPr>
        <w:footnoteReference w:id="33"/>
      </w:r>
    </w:p>
    <w:p w14:paraId="0F0393BB" w14:textId="77777777" w:rsidR="005C50B9" w:rsidRPr="00485F6E" w:rsidRDefault="005C50B9" w:rsidP="005C50B9">
      <w:pPr>
        <w:pStyle w:val="ListParagraph"/>
        <w:rPr>
          <w:sz w:val="20"/>
          <w:szCs w:val="20"/>
        </w:rPr>
      </w:pPr>
    </w:p>
    <w:p w14:paraId="17472D00" w14:textId="77777777" w:rsidR="00BE3524" w:rsidRPr="00485F6E" w:rsidRDefault="00281C1F" w:rsidP="003448BE">
      <w:pPr>
        <w:pStyle w:val="ListParagraph"/>
        <w:numPr>
          <w:ilvl w:val="0"/>
          <w:numId w:val="2"/>
        </w:numPr>
        <w:tabs>
          <w:tab w:val="left" w:pos="567"/>
        </w:tabs>
        <w:ind w:left="0" w:firstLine="0"/>
        <w:jc w:val="both"/>
        <w:rPr>
          <w:sz w:val="20"/>
          <w:szCs w:val="20"/>
        </w:rPr>
      </w:pPr>
      <w:r w:rsidRPr="00485F6E">
        <w:rPr>
          <w:sz w:val="20"/>
          <w:szCs w:val="20"/>
        </w:rPr>
        <w:t>This appeal was dismissed by the Su</w:t>
      </w:r>
      <w:r w:rsidR="003663CD">
        <w:rPr>
          <w:sz w:val="20"/>
          <w:szCs w:val="20"/>
        </w:rPr>
        <w:t>perior Court of Justice of the p</w:t>
      </w:r>
      <w:r w:rsidRPr="00485F6E">
        <w:rPr>
          <w:sz w:val="20"/>
          <w:szCs w:val="20"/>
        </w:rPr>
        <w:t xml:space="preserve">rovince of Chubut by the judgment of June 30, 2003, because, according to the court, it was not proven “that the ruling being challenged had upheld a judgment stemming from an </w:t>
      </w:r>
      <w:r w:rsidR="003663CD">
        <w:rPr>
          <w:sz w:val="20"/>
          <w:szCs w:val="20"/>
        </w:rPr>
        <w:t>i</w:t>
      </w:r>
      <w:r w:rsidRPr="00485F6E">
        <w:rPr>
          <w:sz w:val="20"/>
          <w:szCs w:val="20"/>
        </w:rPr>
        <w:t>llegitimate trial or that the evidence w</w:t>
      </w:r>
      <w:r w:rsidR="003663CD">
        <w:rPr>
          <w:sz w:val="20"/>
          <w:szCs w:val="20"/>
        </w:rPr>
        <w:t>as</w:t>
      </w:r>
      <w:r w:rsidRPr="00485F6E">
        <w:rPr>
          <w:sz w:val="20"/>
          <w:szCs w:val="20"/>
        </w:rPr>
        <w:t xml:space="preserve"> examined arbitrarily or that it was undermined by a defect in the substantive statutes that were applied,”</w:t>
      </w:r>
      <w:r w:rsidR="00BB6289" w:rsidRPr="00485F6E">
        <w:rPr>
          <w:sz w:val="20"/>
          <w:szCs w:val="20"/>
        </w:rPr>
        <w:t xml:space="preserve"> </w:t>
      </w:r>
      <w:r w:rsidRPr="00485F6E">
        <w:rPr>
          <w:sz w:val="20"/>
          <w:szCs w:val="20"/>
        </w:rPr>
        <w:t xml:space="preserve">situations that would have justified the intervention of the </w:t>
      </w:r>
      <w:r w:rsidR="009B76CB">
        <w:rPr>
          <w:sz w:val="20"/>
          <w:szCs w:val="20"/>
        </w:rPr>
        <w:t xml:space="preserve">Federal </w:t>
      </w:r>
      <w:r w:rsidRPr="00485F6E">
        <w:rPr>
          <w:sz w:val="20"/>
          <w:szCs w:val="20"/>
        </w:rPr>
        <w:t>Supreme Court of Justice.</w:t>
      </w:r>
      <w:r w:rsidR="005C50B9" w:rsidRPr="00485F6E">
        <w:rPr>
          <w:rStyle w:val="FootnoteReference"/>
          <w:sz w:val="20"/>
          <w:szCs w:val="20"/>
        </w:rPr>
        <w:footnoteReference w:id="34"/>
      </w:r>
    </w:p>
    <w:p w14:paraId="20961818" w14:textId="77777777" w:rsidR="00AA529B" w:rsidRPr="00485F6E" w:rsidRDefault="00AA529B" w:rsidP="00AA529B">
      <w:pPr>
        <w:pStyle w:val="ListParagraph"/>
        <w:rPr>
          <w:sz w:val="20"/>
          <w:szCs w:val="20"/>
        </w:rPr>
      </w:pPr>
    </w:p>
    <w:p w14:paraId="392701F3" w14:textId="77777777" w:rsidR="00AA529B" w:rsidRPr="00485F6E" w:rsidRDefault="00281C1F" w:rsidP="003448BE">
      <w:pPr>
        <w:pStyle w:val="ListParagraph"/>
        <w:numPr>
          <w:ilvl w:val="0"/>
          <w:numId w:val="2"/>
        </w:numPr>
        <w:tabs>
          <w:tab w:val="left" w:pos="567"/>
        </w:tabs>
        <w:ind w:left="0" w:firstLine="0"/>
        <w:jc w:val="both"/>
        <w:rPr>
          <w:sz w:val="20"/>
          <w:szCs w:val="20"/>
        </w:rPr>
      </w:pPr>
      <w:r w:rsidRPr="00485F6E">
        <w:rPr>
          <w:sz w:val="20"/>
          <w:szCs w:val="20"/>
        </w:rPr>
        <w:t xml:space="preserve">Thereafter, the </w:t>
      </w:r>
      <w:r w:rsidR="001963DB">
        <w:rPr>
          <w:sz w:val="20"/>
          <w:szCs w:val="20"/>
        </w:rPr>
        <w:t>Public Defender</w:t>
      </w:r>
      <w:r w:rsidRPr="00485F6E">
        <w:rPr>
          <w:sz w:val="20"/>
          <w:szCs w:val="20"/>
        </w:rPr>
        <w:t xml:space="preserve"> of the </w:t>
      </w:r>
      <w:r w:rsidR="003663CD">
        <w:rPr>
          <w:sz w:val="20"/>
          <w:szCs w:val="20"/>
        </w:rPr>
        <w:t>p</w:t>
      </w:r>
      <w:r w:rsidRPr="00485F6E">
        <w:rPr>
          <w:sz w:val="20"/>
          <w:szCs w:val="20"/>
        </w:rPr>
        <w:t xml:space="preserve">rovince of Chubut filed with the Supreme Court of Justice a complaint appeal challenging the dismissal of the </w:t>
      </w:r>
      <w:r w:rsidR="00F64F34">
        <w:rPr>
          <w:sz w:val="20"/>
          <w:szCs w:val="20"/>
        </w:rPr>
        <w:t>special federal appeal</w:t>
      </w:r>
      <w:r w:rsidRPr="00485F6E">
        <w:rPr>
          <w:sz w:val="20"/>
          <w:szCs w:val="20"/>
        </w:rPr>
        <w:t xml:space="preserve"> against the judgment of the Superior Court of Justice of June 30, 2003</w:t>
      </w:r>
      <w:r w:rsidR="00AA529B" w:rsidRPr="00485F6E">
        <w:rPr>
          <w:sz w:val="20"/>
          <w:szCs w:val="20"/>
        </w:rPr>
        <w:t xml:space="preserve">. </w:t>
      </w:r>
      <w:r w:rsidRPr="00485F6E">
        <w:rPr>
          <w:sz w:val="20"/>
          <w:szCs w:val="20"/>
        </w:rPr>
        <w:t xml:space="preserve">In said document, the petitioner’s representative reiterated the considerations set forth in his </w:t>
      </w:r>
      <w:r w:rsidR="00F64F34">
        <w:rPr>
          <w:sz w:val="20"/>
          <w:szCs w:val="20"/>
        </w:rPr>
        <w:t>special federal appeal</w:t>
      </w:r>
      <w:r w:rsidRPr="00485F6E">
        <w:rPr>
          <w:sz w:val="20"/>
          <w:szCs w:val="20"/>
        </w:rPr>
        <w:t xml:space="preserve"> and asserted that the Superior Court of Justice of Chubut arbitrarily restricted the framework of the cassation appeal when ruling that the cassation appeals filed in due time and form were inadmissible, which in turn had undermined, according to him, the right to defense by trial and to due process of law. Regarding the conviction of Mr. Pacheco, the Official Defense Attorney contended that “the cir</w:t>
      </w:r>
      <w:r w:rsidR="003663CD">
        <w:rPr>
          <w:sz w:val="20"/>
          <w:szCs w:val="20"/>
        </w:rPr>
        <w:t>cumstance of sentencing</w:t>
      </w:r>
      <w:r w:rsidR="008D7A85" w:rsidRPr="00485F6E">
        <w:rPr>
          <w:sz w:val="20"/>
          <w:szCs w:val="20"/>
        </w:rPr>
        <w:t xml:space="preserve"> my client on the grounds of his allege</w:t>
      </w:r>
      <w:r w:rsidR="00582937" w:rsidRPr="00485F6E">
        <w:rPr>
          <w:sz w:val="20"/>
          <w:szCs w:val="20"/>
        </w:rPr>
        <w:t xml:space="preserve">d misconduct in completing the remedial custodial </w:t>
      </w:r>
      <w:r w:rsidR="006F5274" w:rsidRPr="00485F6E">
        <w:rPr>
          <w:sz w:val="20"/>
          <w:szCs w:val="20"/>
        </w:rPr>
        <w:t xml:space="preserve">treatment, </w:t>
      </w:r>
      <w:r w:rsidR="008D7A85" w:rsidRPr="00485F6E">
        <w:rPr>
          <w:sz w:val="20"/>
          <w:szCs w:val="20"/>
        </w:rPr>
        <w:t>is fallacious, thus leading to the judgment, on the basis of apparent grounds devoid of factual substantiation</w:t>
      </w:r>
      <w:r w:rsidR="00B171BC" w:rsidRPr="00485F6E">
        <w:rPr>
          <w:sz w:val="20"/>
          <w:szCs w:val="20"/>
        </w:rPr>
        <w:t>…</w:t>
      </w:r>
      <w:r w:rsidR="008D7A85" w:rsidRPr="00485F6E">
        <w:rPr>
          <w:sz w:val="20"/>
          <w:szCs w:val="20"/>
        </w:rPr>
        <w:t>.</w:t>
      </w:r>
      <w:r w:rsidR="00B171BC" w:rsidRPr="00485F6E">
        <w:rPr>
          <w:sz w:val="20"/>
          <w:szCs w:val="20"/>
        </w:rPr>
        <w:t>”</w:t>
      </w:r>
      <w:r w:rsidR="00B171BC" w:rsidRPr="00485F6E">
        <w:rPr>
          <w:rStyle w:val="FootnoteReference"/>
          <w:sz w:val="20"/>
          <w:szCs w:val="20"/>
        </w:rPr>
        <w:footnoteReference w:id="35"/>
      </w:r>
    </w:p>
    <w:p w14:paraId="288287B8" w14:textId="77777777" w:rsidR="00B171BC" w:rsidRPr="00485F6E" w:rsidRDefault="00B171BC" w:rsidP="00B171BC">
      <w:pPr>
        <w:pStyle w:val="ListParagraph"/>
        <w:rPr>
          <w:sz w:val="20"/>
          <w:szCs w:val="20"/>
        </w:rPr>
      </w:pPr>
    </w:p>
    <w:p w14:paraId="329D596A" w14:textId="77777777" w:rsidR="00B171BC" w:rsidRPr="00485F6E" w:rsidRDefault="00341957" w:rsidP="003448BE">
      <w:pPr>
        <w:pStyle w:val="ListParagraph"/>
        <w:numPr>
          <w:ilvl w:val="0"/>
          <w:numId w:val="2"/>
        </w:numPr>
        <w:tabs>
          <w:tab w:val="left" w:pos="567"/>
        </w:tabs>
        <w:ind w:left="0" w:firstLine="0"/>
        <w:jc w:val="both"/>
        <w:rPr>
          <w:sz w:val="20"/>
          <w:szCs w:val="20"/>
        </w:rPr>
      </w:pPr>
      <w:r w:rsidRPr="00485F6E">
        <w:rPr>
          <w:sz w:val="20"/>
          <w:szCs w:val="20"/>
        </w:rPr>
        <w:t>Final</w:t>
      </w:r>
      <w:r w:rsidR="008D7A85" w:rsidRPr="00485F6E">
        <w:rPr>
          <w:sz w:val="20"/>
          <w:szCs w:val="20"/>
        </w:rPr>
        <w:t xml:space="preserve">ly, the </w:t>
      </w:r>
      <w:r w:rsidR="009B76CB">
        <w:rPr>
          <w:sz w:val="20"/>
          <w:szCs w:val="20"/>
        </w:rPr>
        <w:t xml:space="preserve">Federal </w:t>
      </w:r>
      <w:r w:rsidR="008D7A85" w:rsidRPr="00485F6E">
        <w:rPr>
          <w:sz w:val="20"/>
          <w:szCs w:val="20"/>
        </w:rPr>
        <w:t xml:space="preserve">Supreme Court of Justice, by means of the judgment of November 11, 2003, decided to dismiss the complaint filed by Mr. Pacheco’s defense attorney because of the </w:t>
      </w:r>
      <w:r w:rsidR="00F64F34">
        <w:rPr>
          <w:sz w:val="20"/>
          <w:szCs w:val="20"/>
        </w:rPr>
        <w:t>special federal appeal</w:t>
      </w:r>
      <w:r w:rsidR="008D7A85" w:rsidRPr="00485F6E">
        <w:rPr>
          <w:sz w:val="20"/>
          <w:szCs w:val="20"/>
        </w:rPr>
        <w:t xml:space="preserve"> that was turned down because, according to the court, it had been filed past statutory time-limits according to Article </w:t>
      </w:r>
      <w:r w:rsidRPr="00485F6E">
        <w:rPr>
          <w:sz w:val="20"/>
          <w:szCs w:val="20"/>
        </w:rPr>
        <w:lastRenderedPageBreak/>
        <w:t xml:space="preserve">285 </w:t>
      </w:r>
      <w:r w:rsidR="008D7A85" w:rsidRPr="00485F6E">
        <w:rPr>
          <w:sz w:val="20"/>
          <w:szCs w:val="20"/>
        </w:rPr>
        <w:t xml:space="preserve">of the </w:t>
      </w:r>
      <w:r w:rsidR="00D14BFF">
        <w:rPr>
          <w:sz w:val="20"/>
          <w:szCs w:val="20"/>
        </w:rPr>
        <w:t xml:space="preserve">Federal </w:t>
      </w:r>
      <w:r w:rsidR="00942F86">
        <w:rPr>
          <w:sz w:val="20"/>
          <w:szCs w:val="20"/>
        </w:rPr>
        <w:t xml:space="preserve">Code of </w:t>
      </w:r>
      <w:r w:rsidR="008D7A85" w:rsidRPr="00485F6E">
        <w:rPr>
          <w:sz w:val="20"/>
          <w:szCs w:val="20"/>
        </w:rPr>
        <w:t>Civil and Criminal Procedur</w:t>
      </w:r>
      <w:r w:rsidR="00942F86">
        <w:rPr>
          <w:sz w:val="20"/>
          <w:szCs w:val="20"/>
        </w:rPr>
        <w:t>es</w:t>
      </w:r>
      <w:r w:rsidR="008D7A85" w:rsidRPr="00485F6E">
        <w:rPr>
          <w:sz w:val="20"/>
          <w:szCs w:val="20"/>
        </w:rPr>
        <w:t>.</w:t>
      </w:r>
      <w:r w:rsidR="00AC0E54" w:rsidRPr="00485F6E">
        <w:rPr>
          <w:rStyle w:val="FootnoteReference"/>
          <w:sz w:val="20"/>
          <w:szCs w:val="20"/>
        </w:rPr>
        <w:footnoteReference w:id="36"/>
      </w:r>
      <w:r w:rsidRPr="00485F6E">
        <w:rPr>
          <w:sz w:val="20"/>
          <w:szCs w:val="20"/>
        </w:rPr>
        <w:t xml:space="preserve"> </w:t>
      </w:r>
      <w:r w:rsidR="008D7A85" w:rsidRPr="00485F6E">
        <w:rPr>
          <w:sz w:val="20"/>
          <w:szCs w:val="20"/>
        </w:rPr>
        <w:t>According to what was claimed by the state in the processing of the present petition, the ruling of the</w:t>
      </w:r>
      <w:r w:rsidR="009B76CB">
        <w:rPr>
          <w:sz w:val="20"/>
          <w:szCs w:val="20"/>
        </w:rPr>
        <w:t xml:space="preserve"> Federal</w:t>
      </w:r>
      <w:r w:rsidR="008D7A85" w:rsidRPr="00485F6E">
        <w:rPr>
          <w:sz w:val="20"/>
          <w:szCs w:val="20"/>
        </w:rPr>
        <w:t xml:space="preserve"> Supreme Court of Justice was notified to the </w:t>
      </w:r>
      <w:r w:rsidR="00054566">
        <w:rPr>
          <w:sz w:val="20"/>
          <w:szCs w:val="20"/>
        </w:rPr>
        <w:t>appellant</w:t>
      </w:r>
      <w:r w:rsidR="008D7A85" w:rsidRPr="00485F6E">
        <w:rPr>
          <w:sz w:val="20"/>
          <w:szCs w:val="20"/>
        </w:rPr>
        <w:t xml:space="preserve"> on November 13, </w:t>
      </w:r>
      <w:r w:rsidR="00AC4CD2" w:rsidRPr="00485F6E">
        <w:rPr>
          <w:sz w:val="20"/>
          <w:szCs w:val="20"/>
        </w:rPr>
        <w:t>2003</w:t>
      </w:r>
      <w:r w:rsidR="008D7A85" w:rsidRPr="00485F6E">
        <w:rPr>
          <w:sz w:val="20"/>
          <w:szCs w:val="20"/>
        </w:rPr>
        <w:t>.</w:t>
      </w:r>
      <w:r w:rsidR="00AC4CD2" w:rsidRPr="00485F6E">
        <w:rPr>
          <w:rStyle w:val="FootnoteReference"/>
          <w:sz w:val="20"/>
          <w:szCs w:val="20"/>
        </w:rPr>
        <w:footnoteReference w:id="37"/>
      </w:r>
    </w:p>
    <w:bookmarkEnd w:id="23"/>
    <w:bookmarkEnd w:id="24"/>
    <w:p w14:paraId="597BFA7E" w14:textId="77777777" w:rsidR="0012503D" w:rsidRPr="00485F6E" w:rsidRDefault="0012503D" w:rsidP="0012503D">
      <w:pPr>
        <w:pStyle w:val="ListParagraph"/>
        <w:tabs>
          <w:tab w:val="left" w:pos="567"/>
        </w:tabs>
        <w:ind w:left="0"/>
        <w:jc w:val="both"/>
        <w:rPr>
          <w:sz w:val="20"/>
          <w:szCs w:val="20"/>
        </w:rPr>
      </w:pPr>
    </w:p>
    <w:p w14:paraId="04459C74" w14:textId="77777777" w:rsidR="000B65FB" w:rsidRPr="00485F6E" w:rsidRDefault="00A56A25" w:rsidP="00AC4CD2">
      <w:pPr>
        <w:pStyle w:val="Heading1"/>
        <w:numPr>
          <w:ilvl w:val="0"/>
          <w:numId w:val="26"/>
        </w:numPr>
        <w:ind w:left="0" w:firstLine="0"/>
        <w:rPr>
          <w:bCs/>
          <w:lang w:val="en-US"/>
        </w:rPr>
      </w:pPr>
      <w:bookmarkStart w:id="27" w:name="_Toc40962135"/>
      <w:bookmarkStart w:id="28" w:name="_Toc42679784"/>
      <w:bookmarkStart w:id="29" w:name="_Toc203988492"/>
      <w:r>
        <w:rPr>
          <w:lang w:val="en-US"/>
        </w:rPr>
        <w:t>ANALYSIS</w:t>
      </w:r>
      <w:r w:rsidR="008D7A85" w:rsidRPr="00485F6E">
        <w:rPr>
          <w:lang w:val="en-US"/>
        </w:rPr>
        <w:t xml:space="preserve"> OF LAW</w:t>
      </w:r>
      <w:bookmarkEnd w:id="27"/>
      <w:bookmarkEnd w:id="28"/>
      <w:bookmarkEnd w:id="29"/>
    </w:p>
    <w:p w14:paraId="7D8FB819" w14:textId="77777777" w:rsidR="004A5B5E" w:rsidRPr="00485F6E" w:rsidRDefault="004A5B5E" w:rsidP="00D72067">
      <w:pPr>
        <w:jc w:val="both"/>
        <w:rPr>
          <w:rFonts w:ascii="Cambria" w:hAnsi="Cambria"/>
          <w:b/>
          <w:sz w:val="20"/>
          <w:szCs w:val="20"/>
        </w:rPr>
      </w:pPr>
    </w:p>
    <w:p w14:paraId="0D968C80" w14:textId="77777777" w:rsidR="00D72067" w:rsidRPr="00485F6E" w:rsidRDefault="00481898" w:rsidP="00481898">
      <w:pPr>
        <w:pStyle w:val="Heading2"/>
        <w:pBdr>
          <w:top w:val="none" w:sz="0" w:space="0" w:color="auto"/>
          <w:left w:val="none" w:sz="0" w:space="0" w:color="auto"/>
          <w:bottom w:val="none" w:sz="0" w:space="0" w:color="auto"/>
          <w:right w:val="none" w:sz="0" w:space="0" w:color="auto"/>
          <w:between w:val="none" w:sz="0" w:space="0" w:color="auto"/>
          <w:bar w:val="none" w:sz="0" w:color="auto"/>
        </w:pBdr>
        <w:ind w:left="360"/>
        <w:jc w:val="both"/>
        <w:rPr>
          <w:lang w:val="en-US"/>
        </w:rPr>
      </w:pPr>
      <w:bookmarkStart w:id="30" w:name="_Toc55924946"/>
      <w:bookmarkStart w:id="31" w:name="_Toc203988493"/>
      <w:r w:rsidRPr="00485F6E">
        <w:rPr>
          <w:lang w:val="en-US"/>
        </w:rPr>
        <w:t xml:space="preserve">A. </w:t>
      </w:r>
      <w:r w:rsidR="00F86C32" w:rsidRPr="0005688D">
        <w:rPr>
          <w:lang w:val="en-US"/>
        </w:rPr>
        <w:t>Right</w:t>
      </w:r>
      <w:r w:rsidR="00F86C32">
        <w:rPr>
          <w:lang w:val="en-US"/>
        </w:rPr>
        <w:t xml:space="preserve"> to appeal the</w:t>
      </w:r>
      <w:r w:rsidR="008D7A85" w:rsidRPr="00485F6E">
        <w:rPr>
          <w:lang w:val="en-US"/>
        </w:rPr>
        <w:t xml:space="preserve"> judgment </w:t>
      </w:r>
      <w:r w:rsidR="00F86C32">
        <w:rPr>
          <w:lang w:val="en-US"/>
        </w:rPr>
        <w:t xml:space="preserve">to a higher </w:t>
      </w:r>
      <w:r w:rsidR="008D7A85" w:rsidRPr="00485F6E">
        <w:rPr>
          <w:lang w:val="en-US"/>
        </w:rPr>
        <w:t>court</w:t>
      </w:r>
      <w:r w:rsidR="00D72067" w:rsidRPr="00485F6E">
        <w:rPr>
          <w:lang w:val="en-US"/>
        </w:rPr>
        <w:t xml:space="preserve"> (</w:t>
      </w:r>
      <w:r w:rsidR="008D7A85" w:rsidRPr="00485F6E">
        <w:rPr>
          <w:lang w:val="en-US"/>
        </w:rPr>
        <w:t>Article</w:t>
      </w:r>
      <w:r w:rsidR="00D72067" w:rsidRPr="00485F6E">
        <w:rPr>
          <w:lang w:val="en-US"/>
        </w:rPr>
        <w:t xml:space="preserve"> 8</w:t>
      </w:r>
      <w:r w:rsidR="00A56A25">
        <w:rPr>
          <w:lang w:val="en-US"/>
        </w:rPr>
        <w:t>(</w:t>
      </w:r>
      <w:r w:rsidR="00D72067" w:rsidRPr="00485F6E">
        <w:rPr>
          <w:lang w:val="en-US"/>
        </w:rPr>
        <w:t>2</w:t>
      </w:r>
      <w:r w:rsidR="00A56A25">
        <w:rPr>
          <w:lang w:val="en-US"/>
        </w:rPr>
        <w:t>)(</w:t>
      </w:r>
      <w:r w:rsidR="00D72067" w:rsidRPr="00485F6E">
        <w:rPr>
          <w:lang w:val="en-US"/>
        </w:rPr>
        <w:t>h</w:t>
      </w:r>
      <w:r w:rsidR="00A56A25">
        <w:rPr>
          <w:lang w:val="en-US"/>
        </w:rPr>
        <w:t>)</w:t>
      </w:r>
      <w:r w:rsidR="00D72067" w:rsidRPr="00485F6E">
        <w:rPr>
          <w:lang w:val="en-US"/>
        </w:rPr>
        <w:t xml:space="preserve"> </w:t>
      </w:r>
      <w:r w:rsidR="008D7A85" w:rsidRPr="00485F6E">
        <w:rPr>
          <w:lang w:val="en-US"/>
        </w:rPr>
        <w:t>of the American Convention on Human Rights</w:t>
      </w:r>
      <w:r w:rsidR="00F86C32">
        <w:rPr>
          <w:lang w:val="en-US"/>
        </w:rPr>
        <w:t>,</w:t>
      </w:r>
      <w:r w:rsidR="008D7A85" w:rsidRPr="00485F6E">
        <w:rPr>
          <w:lang w:val="en-US"/>
        </w:rPr>
        <w:t xml:space="preserve"> in connection with Articles </w:t>
      </w:r>
      <w:r w:rsidR="00A56A25">
        <w:rPr>
          <w:lang w:val="en-US"/>
        </w:rPr>
        <w:t>1(</w:t>
      </w:r>
      <w:r w:rsidR="00D72067" w:rsidRPr="00485F6E">
        <w:rPr>
          <w:lang w:val="en-US"/>
        </w:rPr>
        <w:t>1</w:t>
      </w:r>
      <w:r w:rsidR="00A56A25">
        <w:rPr>
          <w:lang w:val="en-US"/>
        </w:rPr>
        <w:t>)</w:t>
      </w:r>
      <w:r w:rsidR="008D7A85" w:rsidRPr="00485F6E">
        <w:rPr>
          <w:lang w:val="en-US"/>
        </w:rPr>
        <w:t xml:space="preserve"> and</w:t>
      </w:r>
      <w:r w:rsidR="00D72067" w:rsidRPr="00485F6E">
        <w:rPr>
          <w:lang w:val="en-US"/>
        </w:rPr>
        <w:t xml:space="preserve"> 2</w:t>
      </w:r>
      <w:r w:rsidR="008D7A85" w:rsidRPr="00485F6E">
        <w:rPr>
          <w:lang w:val="en-US"/>
        </w:rPr>
        <w:t xml:space="preserve"> of the same instrument</w:t>
      </w:r>
      <w:r w:rsidR="00D72067" w:rsidRPr="00485F6E">
        <w:rPr>
          <w:lang w:val="en-US"/>
        </w:rPr>
        <w:t>)</w:t>
      </w:r>
      <w:bookmarkEnd w:id="30"/>
      <w:bookmarkEnd w:id="31"/>
      <w:r w:rsidR="00D72067" w:rsidRPr="00485F6E">
        <w:rPr>
          <w:lang w:val="en-US"/>
        </w:rPr>
        <w:t xml:space="preserve"> </w:t>
      </w:r>
    </w:p>
    <w:p w14:paraId="6398AFE3" w14:textId="77777777" w:rsidR="00D72067" w:rsidRPr="00485F6E" w:rsidRDefault="00D72067" w:rsidP="00AD0F38">
      <w:pPr>
        <w:jc w:val="both"/>
        <w:rPr>
          <w:sz w:val="20"/>
          <w:szCs w:val="20"/>
        </w:rPr>
      </w:pPr>
    </w:p>
    <w:p w14:paraId="73A089CD" w14:textId="77777777" w:rsidR="00D72067" w:rsidRPr="00485F6E" w:rsidRDefault="008D7A85" w:rsidP="00D72067">
      <w:pPr>
        <w:pStyle w:val="ListParagraph"/>
        <w:numPr>
          <w:ilvl w:val="0"/>
          <w:numId w:val="34"/>
        </w:numPr>
        <w:spacing w:after="240"/>
        <w:jc w:val="both"/>
        <w:outlineLvl w:val="2"/>
        <w:rPr>
          <w:b/>
          <w:bCs/>
          <w:sz w:val="20"/>
          <w:szCs w:val="20"/>
        </w:rPr>
      </w:pPr>
      <w:bookmarkStart w:id="32" w:name="_Toc55924947"/>
      <w:bookmarkStart w:id="33" w:name="_Toc203988494"/>
      <w:r w:rsidRPr="00485F6E">
        <w:rPr>
          <w:b/>
          <w:bCs/>
          <w:sz w:val="20"/>
          <w:szCs w:val="20"/>
        </w:rPr>
        <w:t>General considerations on the right to appeal a judgment</w:t>
      </w:r>
      <w:bookmarkEnd w:id="32"/>
      <w:bookmarkEnd w:id="33"/>
    </w:p>
    <w:p w14:paraId="70D384B7" w14:textId="77777777" w:rsidR="00D72067" w:rsidRPr="00485F6E" w:rsidRDefault="00461C6E" w:rsidP="001250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rPr>
      </w:pPr>
      <w:r w:rsidRPr="00485F6E">
        <w:rPr>
          <w:sz w:val="20"/>
          <w:szCs w:val="20"/>
        </w:rPr>
        <w:t>The right to appeal a judgment before a different and higher judge or court is one of the minimum guarantees to which every person subject to criminal investigation and proceedings is entitled. Its purpose is to ensure the re-examination of an adverse judgment so as to provide the opportunity for redressing judicial rulings contrary to law and t</w:t>
      </w:r>
      <w:r w:rsidR="009165E8" w:rsidRPr="00485F6E">
        <w:rPr>
          <w:sz w:val="20"/>
          <w:szCs w:val="20"/>
        </w:rPr>
        <w:t>o prevent an unfair ruling from becoming</w:t>
      </w:r>
      <w:r w:rsidRPr="00485F6E">
        <w:rPr>
          <w:sz w:val="20"/>
          <w:szCs w:val="20"/>
        </w:rPr>
        <w:t xml:space="preserve"> </w:t>
      </w:r>
      <w:r w:rsidRPr="00485F6E">
        <w:rPr>
          <w:i/>
          <w:sz w:val="20"/>
          <w:szCs w:val="20"/>
        </w:rPr>
        <w:t>res judicata.</w:t>
      </w:r>
      <w:r w:rsidR="00D72067" w:rsidRPr="00485F6E">
        <w:rPr>
          <w:rStyle w:val="FootnoteReference"/>
          <w:sz w:val="20"/>
          <w:szCs w:val="20"/>
        </w:rPr>
        <w:footnoteReference w:id="38"/>
      </w:r>
    </w:p>
    <w:p w14:paraId="7D975B6F" w14:textId="77777777" w:rsidR="00D72067" w:rsidRPr="00485F6E" w:rsidRDefault="00D72067" w:rsidP="0012503D">
      <w:pPr>
        <w:pStyle w:val="ListParagraph"/>
        <w:tabs>
          <w:tab w:val="left" w:pos="567"/>
        </w:tabs>
        <w:ind w:left="0"/>
        <w:jc w:val="both"/>
        <w:rPr>
          <w:sz w:val="20"/>
          <w:szCs w:val="20"/>
        </w:rPr>
      </w:pPr>
    </w:p>
    <w:p w14:paraId="329BB460" w14:textId="77777777" w:rsidR="00D72067" w:rsidRPr="00485F6E" w:rsidRDefault="00461C6E" w:rsidP="007B0E8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rPr>
      </w:pPr>
      <w:r w:rsidRPr="00485F6E">
        <w:rPr>
          <w:sz w:val="20"/>
          <w:szCs w:val="20"/>
        </w:rPr>
        <w:t xml:space="preserve">In that regard, the Commission underscores that the </w:t>
      </w:r>
      <w:r w:rsidR="00082AAE" w:rsidRPr="00485F6E">
        <w:rPr>
          <w:sz w:val="20"/>
          <w:szCs w:val="20"/>
        </w:rPr>
        <w:t xml:space="preserve">right to appeal the judgment must be interpreted in conjunction with other procedural guarantees, should the characteristics of the case so require. By way of example, it must be mentioned that there is a close connection between the right to appeal the judgment, on the one hand, and the duty to ensure access to a duly reasoned judgment by the judges, on the other hand. Also of particular relevance is the connection between the rights to appeal and defense in a trial enshrined in Article 8 of the American Convention and the right to </w:t>
      </w:r>
      <w:r w:rsidR="00C86A5F" w:rsidRPr="00485F6E">
        <w:rPr>
          <w:sz w:val="20"/>
          <w:szCs w:val="20"/>
        </w:rPr>
        <w:t>personal liberty enshrined in Article 7 of the same treaty.</w:t>
      </w:r>
      <w:r w:rsidR="00D72067" w:rsidRPr="00485F6E">
        <w:rPr>
          <w:rStyle w:val="FootnoteReference"/>
          <w:sz w:val="20"/>
          <w:szCs w:val="20"/>
        </w:rPr>
        <w:footnoteReference w:id="39"/>
      </w:r>
    </w:p>
    <w:p w14:paraId="1A6394E1" w14:textId="77777777" w:rsidR="00D72067" w:rsidRPr="00485F6E" w:rsidRDefault="00D72067" w:rsidP="007B0E80">
      <w:pPr>
        <w:pStyle w:val="ListParagraph"/>
        <w:tabs>
          <w:tab w:val="left" w:pos="567"/>
        </w:tabs>
        <w:ind w:left="0"/>
        <w:jc w:val="both"/>
        <w:rPr>
          <w:sz w:val="20"/>
          <w:szCs w:val="20"/>
        </w:rPr>
      </w:pPr>
    </w:p>
    <w:p w14:paraId="79533295" w14:textId="77777777" w:rsidR="00D72067" w:rsidRPr="00485F6E" w:rsidRDefault="00CB0FFC" w:rsidP="007B0E8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rPr>
      </w:pPr>
      <w:r w:rsidRPr="00485F6E">
        <w:rPr>
          <w:sz w:val="20"/>
          <w:szCs w:val="20"/>
        </w:rPr>
        <w:t>The</w:t>
      </w:r>
      <w:r w:rsidR="00C86A5F" w:rsidRPr="00485F6E">
        <w:rPr>
          <w:sz w:val="20"/>
          <w:szCs w:val="20"/>
        </w:rPr>
        <w:t xml:space="preserve"> </w:t>
      </w:r>
      <w:r w:rsidR="009165E8" w:rsidRPr="00485F6E">
        <w:rPr>
          <w:sz w:val="20"/>
          <w:szCs w:val="20"/>
        </w:rPr>
        <w:t xml:space="preserve">Inter-American </w:t>
      </w:r>
      <w:r w:rsidR="00C86A5F" w:rsidRPr="00485F6E">
        <w:rPr>
          <w:sz w:val="20"/>
          <w:szCs w:val="20"/>
        </w:rPr>
        <w:t xml:space="preserve">Court has established that </w:t>
      </w:r>
      <w:r w:rsidR="00507CBD" w:rsidRPr="00485F6E">
        <w:rPr>
          <w:sz w:val="20"/>
          <w:szCs w:val="20"/>
        </w:rPr>
        <w:t>“the failure to guarantee the right to appeal the judgment prevents the exercise of the right to defense which is protected through this mechanism and implies the lack of protection of other basic guarantees of due process that must be assured to the appellant.</w:t>
      </w:r>
      <w:r w:rsidR="00D72067" w:rsidRPr="00485F6E">
        <w:rPr>
          <w:sz w:val="20"/>
          <w:szCs w:val="20"/>
        </w:rPr>
        <w:t>”</w:t>
      </w:r>
      <w:r w:rsidR="00D72067" w:rsidRPr="00485F6E">
        <w:rPr>
          <w:rStyle w:val="FootnoteReference"/>
          <w:sz w:val="20"/>
          <w:szCs w:val="20"/>
        </w:rPr>
        <w:footnoteReference w:id="40"/>
      </w:r>
      <w:r w:rsidR="00D72067" w:rsidRPr="00485F6E">
        <w:rPr>
          <w:sz w:val="20"/>
          <w:szCs w:val="20"/>
        </w:rPr>
        <w:t xml:space="preserve"> </w:t>
      </w:r>
      <w:r w:rsidR="00C86A5F" w:rsidRPr="00485F6E">
        <w:rPr>
          <w:sz w:val="20"/>
          <w:szCs w:val="20"/>
        </w:rPr>
        <w:t>Therefore, due process of law would not be possible unless the state guarantees the adequate exercise of the right to defense in a trial and, in particular, ensures that the person involved in a criminal proceeding is provided the opportunity to counteract a judgment of conviction by initiating proceedings to challenge the ruling.</w:t>
      </w:r>
      <w:r w:rsidR="00D72067" w:rsidRPr="00485F6E">
        <w:rPr>
          <w:rStyle w:val="FootnoteReference"/>
          <w:sz w:val="20"/>
          <w:szCs w:val="20"/>
        </w:rPr>
        <w:footnoteReference w:id="41"/>
      </w:r>
    </w:p>
    <w:p w14:paraId="07C87CD6" w14:textId="77777777" w:rsidR="00D72067" w:rsidRPr="00485F6E" w:rsidRDefault="00D72067" w:rsidP="007B0E80">
      <w:pPr>
        <w:pStyle w:val="ListParagraph"/>
        <w:tabs>
          <w:tab w:val="left" w:pos="567"/>
        </w:tabs>
        <w:ind w:left="0"/>
        <w:jc w:val="both"/>
        <w:rPr>
          <w:sz w:val="20"/>
          <w:szCs w:val="20"/>
        </w:rPr>
      </w:pPr>
    </w:p>
    <w:p w14:paraId="3169D737" w14:textId="77777777" w:rsidR="00D72067" w:rsidRPr="00485F6E" w:rsidRDefault="009165E8" w:rsidP="007B0E8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rPr>
      </w:pPr>
      <w:r w:rsidRPr="00485F6E">
        <w:rPr>
          <w:sz w:val="20"/>
          <w:szCs w:val="20"/>
        </w:rPr>
        <w:t>The Inter-American</w:t>
      </w:r>
      <w:r w:rsidR="00C86A5F" w:rsidRPr="00485F6E">
        <w:rPr>
          <w:sz w:val="20"/>
          <w:szCs w:val="20"/>
        </w:rPr>
        <w:t xml:space="preserve"> Court has also contended that</w:t>
      </w:r>
      <w:r w:rsidR="00CB0FFC" w:rsidRPr="00485F6E">
        <w:rPr>
          <w:sz w:val="20"/>
          <w:szCs w:val="20"/>
        </w:rPr>
        <w:t xml:space="preserve"> “</w:t>
      </w:r>
      <w:r w:rsidRPr="00485F6E">
        <w:rPr>
          <w:sz w:val="20"/>
          <w:szCs w:val="20"/>
        </w:rPr>
        <w:t>[t]</w:t>
      </w:r>
      <w:r w:rsidR="00CB0FFC" w:rsidRPr="00485F6E">
        <w:rPr>
          <w:sz w:val="20"/>
          <w:szCs w:val="20"/>
        </w:rPr>
        <w:t>he right to review by a higher cou</w:t>
      </w:r>
      <w:r w:rsidRPr="00485F6E">
        <w:rPr>
          <w:sz w:val="20"/>
          <w:szCs w:val="20"/>
        </w:rPr>
        <w:t>rt, expressed by means of the co</w:t>
      </w:r>
      <w:r w:rsidR="00CB0FFC" w:rsidRPr="00485F6E">
        <w:rPr>
          <w:sz w:val="20"/>
          <w:szCs w:val="20"/>
        </w:rPr>
        <w:t>mplete review of the conviction, ratifies the grounds and provides more credibility to the judicial acts of the State and, at the same time, offers more security and protection to the rights of the accused.”</w:t>
      </w:r>
      <w:r w:rsidR="00D72067" w:rsidRPr="00485F6E">
        <w:rPr>
          <w:rStyle w:val="FootnoteReference"/>
          <w:sz w:val="20"/>
          <w:szCs w:val="20"/>
        </w:rPr>
        <w:footnoteReference w:id="42"/>
      </w:r>
    </w:p>
    <w:p w14:paraId="447218AB" w14:textId="77777777" w:rsidR="00D72067" w:rsidRPr="00485F6E" w:rsidRDefault="00D72067" w:rsidP="0012503D">
      <w:pPr>
        <w:pStyle w:val="ListParagraph"/>
        <w:tabs>
          <w:tab w:val="left" w:pos="567"/>
        </w:tabs>
        <w:ind w:left="0"/>
        <w:jc w:val="both"/>
        <w:rPr>
          <w:sz w:val="20"/>
          <w:szCs w:val="20"/>
        </w:rPr>
      </w:pPr>
    </w:p>
    <w:p w14:paraId="68294118" w14:textId="77777777" w:rsidR="00D72067" w:rsidRPr="00485F6E" w:rsidRDefault="00C86A5F" w:rsidP="001250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rPr>
      </w:pPr>
      <w:r w:rsidRPr="00485F6E">
        <w:rPr>
          <w:sz w:val="20"/>
          <w:szCs w:val="20"/>
        </w:rPr>
        <w:t>For international human rights law</w:t>
      </w:r>
      <w:r w:rsidR="009165E8" w:rsidRPr="00485F6E">
        <w:rPr>
          <w:sz w:val="20"/>
          <w:szCs w:val="20"/>
        </w:rPr>
        <w:t>,</w:t>
      </w:r>
      <w:r w:rsidRPr="00485F6E">
        <w:rPr>
          <w:sz w:val="20"/>
          <w:szCs w:val="20"/>
        </w:rPr>
        <w:t xml:space="preserve"> the </w:t>
      </w:r>
      <w:r w:rsidR="002A49C8" w:rsidRPr="00485F6E">
        <w:rPr>
          <w:sz w:val="20"/>
          <w:szCs w:val="20"/>
        </w:rPr>
        <w:t>label</w:t>
      </w:r>
      <w:r w:rsidRPr="00485F6E">
        <w:rPr>
          <w:sz w:val="20"/>
          <w:szCs w:val="20"/>
        </w:rPr>
        <w:t xml:space="preserve"> or name used to designate this appeal is irrelevant.</w:t>
      </w:r>
      <w:r w:rsidR="00D72067" w:rsidRPr="00485F6E">
        <w:rPr>
          <w:rStyle w:val="FootnoteReference"/>
          <w:sz w:val="20"/>
          <w:szCs w:val="20"/>
        </w:rPr>
        <w:footnoteReference w:id="43"/>
      </w:r>
      <w:r w:rsidRPr="00485F6E">
        <w:rPr>
          <w:sz w:val="20"/>
          <w:szCs w:val="20"/>
        </w:rPr>
        <w:t xml:space="preserve"> What is impor</w:t>
      </w:r>
      <w:r w:rsidR="00620411" w:rsidRPr="00485F6E">
        <w:rPr>
          <w:sz w:val="20"/>
          <w:szCs w:val="20"/>
        </w:rPr>
        <w:t>tant is for</w:t>
      </w:r>
      <w:r w:rsidRPr="00485F6E">
        <w:rPr>
          <w:sz w:val="20"/>
          <w:szCs w:val="20"/>
        </w:rPr>
        <w:t xml:space="preserve"> the remedy set forth under domestic law </w:t>
      </w:r>
      <w:r w:rsidR="00620411" w:rsidRPr="00485F6E">
        <w:rPr>
          <w:sz w:val="20"/>
          <w:szCs w:val="20"/>
        </w:rPr>
        <w:t>to comply with a series of standards</w:t>
      </w:r>
      <w:r w:rsidR="00D72067" w:rsidRPr="00485F6E">
        <w:rPr>
          <w:sz w:val="20"/>
          <w:szCs w:val="20"/>
        </w:rPr>
        <w:t xml:space="preserve">. </w:t>
      </w:r>
      <w:r w:rsidR="00A6152B" w:rsidRPr="00485F6E">
        <w:rPr>
          <w:sz w:val="20"/>
          <w:szCs w:val="20"/>
        </w:rPr>
        <w:t>F</w:t>
      </w:r>
      <w:r w:rsidR="00620411" w:rsidRPr="00485F6E">
        <w:rPr>
          <w:sz w:val="20"/>
          <w:szCs w:val="20"/>
        </w:rPr>
        <w:t xml:space="preserve">irst of all, </w:t>
      </w:r>
      <w:r w:rsidR="00620411" w:rsidRPr="00485F6E">
        <w:rPr>
          <w:sz w:val="20"/>
          <w:szCs w:val="20"/>
        </w:rPr>
        <w:lastRenderedPageBreak/>
        <w:t xml:space="preserve">the remedy must be timely, which means that it must be able to be filed before the judgment </w:t>
      </w:r>
      <w:r w:rsidR="00A6152B" w:rsidRPr="00485F6E">
        <w:rPr>
          <w:sz w:val="20"/>
          <w:szCs w:val="20"/>
        </w:rPr>
        <w:t>becomes</w:t>
      </w:r>
      <w:r w:rsidR="00620411" w:rsidRPr="00485F6E">
        <w:rPr>
          <w:sz w:val="20"/>
          <w:szCs w:val="20"/>
        </w:rPr>
        <w:t xml:space="preserve"> </w:t>
      </w:r>
      <w:r w:rsidR="00620411" w:rsidRPr="00485F6E">
        <w:rPr>
          <w:i/>
          <w:sz w:val="20"/>
          <w:szCs w:val="20"/>
        </w:rPr>
        <w:t>res judicata</w:t>
      </w:r>
      <w:r w:rsidR="00A56A25">
        <w:rPr>
          <w:sz w:val="20"/>
          <w:szCs w:val="20"/>
        </w:rPr>
        <w:t xml:space="preserve">, </w:t>
      </w:r>
      <w:r w:rsidR="00620411" w:rsidRPr="00485F6E">
        <w:rPr>
          <w:sz w:val="20"/>
          <w:szCs w:val="20"/>
        </w:rPr>
        <w:t>and it must</w:t>
      </w:r>
      <w:r w:rsidR="00D72067" w:rsidRPr="00485F6E">
        <w:rPr>
          <w:sz w:val="20"/>
          <w:szCs w:val="20"/>
        </w:rPr>
        <w:t xml:space="preserve"> </w:t>
      </w:r>
      <w:r w:rsidR="00A56A25">
        <w:rPr>
          <w:sz w:val="20"/>
          <w:szCs w:val="20"/>
        </w:rPr>
        <w:t xml:space="preserve">also be </w:t>
      </w:r>
      <w:r w:rsidR="00620411" w:rsidRPr="00485F6E">
        <w:rPr>
          <w:sz w:val="20"/>
          <w:szCs w:val="20"/>
        </w:rPr>
        <w:t>heard and settled within a reasonable period of time.</w:t>
      </w:r>
      <w:r w:rsidR="00D72067" w:rsidRPr="00485F6E">
        <w:rPr>
          <w:rStyle w:val="FootnoteReference"/>
          <w:sz w:val="20"/>
          <w:szCs w:val="20"/>
        </w:rPr>
        <w:footnoteReference w:id="44"/>
      </w:r>
    </w:p>
    <w:p w14:paraId="11B321EB" w14:textId="77777777" w:rsidR="00D72067" w:rsidRPr="00485F6E" w:rsidRDefault="00D72067" w:rsidP="0012503D">
      <w:pPr>
        <w:pStyle w:val="ListParagraph"/>
        <w:tabs>
          <w:tab w:val="left" w:pos="567"/>
        </w:tabs>
        <w:ind w:left="0"/>
        <w:jc w:val="both"/>
        <w:rPr>
          <w:sz w:val="20"/>
          <w:szCs w:val="20"/>
        </w:rPr>
      </w:pPr>
    </w:p>
    <w:p w14:paraId="2028F2F0" w14:textId="77777777" w:rsidR="00D72067" w:rsidRPr="00485F6E" w:rsidRDefault="001F770E" w:rsidP="001250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rPr>
      </w:pPr>
      <w:r w:rsidRPr="00485F6E">
        <w:rPr>
          <w:sz w:val="20"/>
          <w:szCs w:val="20"/>
        </w:rPr>
        <w:t>Second, the remedy must be accessible, that is, filing it should not “involve great complexities that render this right illusory.</w:t>
      </w:r>
      <w:r w:rsidR="00D72067" w:rsidRPr="00485F6E">
        <w:rPr>
          <w:sz w:val="20"/>
          <w:szCs w:val="20"/>
        </w:rPr>
        <w:t>”</w:t>
      </w:r>
      <w:r w:rsidR="00D72067" w:rsidRPr="00485F6E">
        <w:rPr>
          <w:rStyle w:val="FootnoteReference"/>
          <w:sz w:val="20"/>
          <w:szCs w:val="20"/>
        </w:rPr>
        <w:footnoteReference w:id="45"/>
      </w:r>
      <w:r w:rsidR="00620411" w:rsidRPr="00485F6E">
        <w:rPr>
          <w:sz w:val="20"/>
          <w:szCs w:val="20"/>
        </w:rPr>
        <w:t xml:space="preserve"> In that respect, the Inter-American Court has established that states must refrain from </w:t>
      </w:r>
      <w:r w:rsidRPr="00485F6E">
        <w:rPr>
          <w:sz w:val="20"/>
          <w:szCs w:val="20"/>
        </w:rPr>
        <w:t xml:space="preserve">including in their procedural laws </w:t>
      </w:r>
      <w:r w:rsidR="00620411" w:rsidRPr="00485F6E">
        <w:rPr>
          <w:sz w:val="20"/>
          <w:szCs w:val="20"/>
        </w:rPr>
        <w:t>“restrictions</w:t>
      </w:r>
      <w:r w:rsidRPr="00485F6E">
        <w:rPr>
          <w:sz w:val="20"/>
          <w:szCs w:val="20"/>
        </w:rPr>
        <w:t xml:space="preserve"> or requirements inimical to the very essence </w:t>
      </w:r>
      <w:r w:rsidR="00620411" w:rsidRPr="00485F6E">
        <w:rPr>
          <w:sz w:val="20"/>
          <w:szCs w:val="20"/>
        </w:rPr>
        <w:t>of the right to appeal a judgment</w:t>
      </w:r>
      <w:r w:rsidR="00D72067" w:rsidRPr="00485F6E">
        <w:rPr>
          <w:sz w:val="20"/>
          <w:szCs w:val="20"/>
        </w:rPr>
        <w:t>”</w:t>
      </w:r>
      <w:r w:rsidR="00D72067" w:rsidRPr="00485F6E">
        <w:rPr>
          <w:rStyle w:val="FootnoteReference"/>
          <w:sz w:val="20"/>
          <w:szCs w:val="20"/>
        </w:rPr>
        <w:footnoteReference w:id="46"/>
      </w:r>
      <w:r w:rsidR="00620411" w:rsidRPr="00485F6E">
        <w:rPr>
          <w:sz w:val="20"/>
          <w:szCs w:val="20"/>
        </w:rPr>
        <w:t xml:space="preserve"> and that the </w:t>
      </w:r>
      <w:r w:rsidRPr="00485F6E">
        <w:rPr>
          <w:sz w:val="20"/>
          <w:szCs w:val="20"/>
        </w:rPr>
        <w:t>formalities required for the appeal to be admitted “should be minimal and should not constitute an obstacle to the remedy fulfilling its purpose of examining and resolving grievances argued by the appellant</w:t>
      </w:r>
      <w:r w:rsidR="00620411" w:rsidRPr="00485F6E">
        <w:rPr>
          <w:sz w:val="20"/>
          <w:szCs w:val="20"/>
        </w:rPr>
        <w:t>.</w:t>
      </w:r>
      <w:r w:rsidR="00D72067" w:rsidRPr="00485F6E">
        <w:rPr>
          <w:sz w:val="20"/>
          <w:szCs w:val="20"/>
        </w:rPr>
        <w:t>”</w:t>
      </w:r>
      <w:r w:rsidR="00D72067" w:rsidRPr="00485F6E">
        <w:rPr>
          <w:rStyle w:val="FootnoteReference"/>
          <w:sz w:val="20"/>
          <w:szCs w:val="20"/>
        </w:rPr>
        <w:footnoteReference w:id="47"/>
      </w:r>
    </w:p>
    <w:p w14:paraId="5DFCAE5D" w14:textId="77777777" w:rsidR="00D72067" w:rsidRPr="00485F6E" w:rsidRDefault="00D72067" w:rsidP="0012503D">
      <w:pPr>
        <w:pStyle w:val="ListParagraph"/>
        <w:tabs>
          <w:tab w:val="left" w:pos="567"/>
        </w:tabs>
        <w:ind w:left="0"/>
        <w:jc w:val="both"/>
        <w:rPr>
          <w:sz w:val="20"/>
          <w:szCs w:val="20"/>
        </w:rPr>
      </w:pPr>
    </w:p>
    <w:p w14:paraId="41BA0312" w14:textId="77777777" w:rsidR="00D72067" w:rsidRPr="00485F6E" w:rsidRDefault="00620411" w:rsidP="001250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rPr>
      </w:pPr>
      <w:r w:rsidRPr="00485F6E">
        <w:rPr>
          <w:sz w:val="20"/>
          <w:szCs w:val="20"/>
        </w:rPr>
        <w:t>In that respect, the Commission co</w:t>
      </w:r>
      <w:r w:rsidR="00A751F4" w:rsidRPr="00485F6E">
        <w:rPr>
          <w:sz w:val="20"/>
          <w:szCs w:val="20"/>
        </w:rPr>
        <w:t xml:space="preserve">nsiders that, in principle, </w:t>
      </w:r>
      <w:r w:rsidRPr="00485F6E">
        <w:rPr>
          <w:sz w:val="20"/>
          <w:szCs w:val="20"/>
        </w:rPr>
        <w:t xml:space="preserve">regulation of </w:t>
      </w:r>
      <w:r w:rsidR="000424C0" w:rsidRPr="00485F6E">
        <w:rPr>
          <w:sz w:val="20"/>
          <w:szCs w:val="20"/>
        </w:rPr>
        <w:t>s</w:t>
      </w:r>
      <w:r w:rsidR="00A751F4" w:rsidRPr="00485F6E">
        <w:rPr>
          <w:sz w:val="20"/>
          <w:szCs w:val="20"/>
        </w:rPr>
        <w:t>ome of the</w:t>
      </w:r>
      <w:r w:rsidRPr="00485F6E">
        <w:rPr>
          <w:sz w:val="20"/>
          <w:szCs w:val="20"/>
        </w:rPr>
        <w:t xml:space="preserve"> minimum requirements for </w:t>
      </w:r>
      <w:r w:rsidR="00A751F4" w:rsidRPr="00485F6E">
        <w:rPr>
          <w:sz w:val="20"/>
          <w:szCs w:val="20"/>
        </w:rPr>
        <w:t xml:space="preserve">an appeal to be admissible </w:t>
      </w:r>
      <w:r w:rsidRPr="00485F6E">
        <w:rPr>
          <w:sz w:val="20"/>
          <w:szCs w:val="20"/>
        </w:rPr>
        <w:t xml:space="preserve">is not incompatible with the right </w:t>
      </w:r>
      <w:r w:rsidR="00A751F4" w:rsidRPr="00485F6E">
        <w:rPr>
          <w:sz w:val="20"/>
          <w:szCs w:val="20"/>
        </w:rPr>
        <w:t>set forth</w:t>
      </w:r>
      <w:r w:rsidRPr="00485F6E">
        <w:rPr>
          <w:sz w:val="20"/>
          <w:szCs w:val="20"/>
        </w:rPr>
        <w:t xml:space="preserve"> in Article </w:t>
      </w:r>
      <w:r w:rsidR="00D72067" w:rsidRPr="00485F6E">
        <w:rPr>
          <w:sz w:val="20"/>
          <w:szCs w:val="20"/>
        </w:rPr>
        <w:t>8</w:t>
      </w:r>
      <w:r w:rsidRPr="00485F6E">
        <w:rPr>
          <w:sz w:val="20"/>
          <w:szCs w:val="20"/>
        </w:rPr>
        <w:t>(</w:t>
      </w:r>
      <w:r w:rsidR="00D72067" w:rsidRPr="00485F6E">
        <w:rPr>
          <w:sz w:val="20"/>
          <w:szCs w:val="20"/>
        </w:rPr>
        <w:t>2</w:t>
      </w:r>
      <w:r w:rsidRPr="00485F6E">
        <w:rPr>
          <w:sz w:val="20"/>
          <w:szCs w:val="20"/>
        </w:rPr>
        <w:t>)(</w:t>
      </w:r>
      <w:r w:rsidR="00D72067" w:rsidRPr="00485F6E">
        <w:rPr>
          <w:sz w:val="20"/>
          <w:szCs w:val="20"/>
        </w:rPr>
        <w:t>h</w:t>
      </w:r>
      <w:r w:rsidRPr="00485F6E">
        <w:rPr>
          <w:sz w:val="20"/>
          <w:szCs w:val="20"/>
        </w:rPr>
        <w:t>) of the Convention. Some of the</w:t>
      </w:r>
      <w:r w:rsidR="00A751F4" w:rsidRPr="00485F6E">
        <w:rPr>
          <w:sz w:val="20"/>
          <w:szCs w:val="20"/>
        </w:rPr>
        <w:t>se</w:t>
      </w:r>
      <w:r w:rsidRPr="00485F6E">
        <w:rPr>
          <w:sz w:val="20"/>
          <w:szCs w:val="20"/>
        </w:rPr>
        <w:t xml:space="preserve"> minimum requirements are, for example, the </w:t>
      </w:r>
      <w:r w:rsidR="00A751F4" w:rsidRPr="00485F6E">
        <w:rPr>
          <w:sz w:val="20"/>
          <w:szCs w:val="20"/>
        </w:rPr>
        <w:t>actual submission of the appeal—given that</w:t>
      </w:r>
      <w:r w:rsidRPr="00485F6E">
        <w:rPr>
          <w:sz w:val="20"/>
          <w:szCs w:val="20"/>
        </w:rPr>
        <w:t xml:space="preserve"> Article 8(2)</w:t>
      </w:r>
      <w:r w:rsidR="000424C0" w:rsidRPr="00485F6E">
        <w:rPr>
          <w:sz w:val="20"/>
          <w:szCs w:val="20"/>
        </w:rPr>
        <w:t>(h)</w:t>
      </w:r>
      <w:r w:rsidRPr="00485F6E">
        <w:rPr>
          <w:sz w:val="20"/>
          <w:szCs w:val="20"/>
        </w:rPr>
        <w:t xml:space="preserve"> does not require automatic review—</w:t>
      </w:r>
      <w:r w:rsidR="00BE62E4" w:rsidRPr="00485F6E">
        <w:rPr>
          <w:sz w:val="20"/>
          <w:szCs w:val="20"/>
        </w:rPr>
        <w:t xml:space="preserve">or the regulation </w:t>
      </w:r>
      <w:r w:rsidR="00A751F4" w:rsidRPr="00485F6E">
        <w:rPr>
          <w:sz w:val="20"/>
          <w:szCs w:val="20"/>
        </w:rPr>
        <w:t xml:space="preserve">of </w:t>
      </w:r>
      <w:r w:rsidR="00BE62E4" w:rsidRPr="00485F6E">
        <w:rPr>
          <w:sz w:val="20"/>
          <w:szCs w:val="20"/>
        </w:rPr>
        <w:t xml:space="preserve">a reasonable </w:t>
      </w:r>
      <w:r w:rsidR="00A751F4" w:rsidRPr="00485F6E">
        <w:rPr>
          <w:sz w:val="20"/>
          <w:szCs w:val="20"/>
        </w:rPr>
        <w:t>period of time within which the</w:t>
      </w:r>
      <w:r w:rsidR="00BE62E4" w:rsidRPr="00485F6E">
        <w:rPr>
          <w:sz w:val="20"/>
          <w:szCs w:val="20"/>
        </w:rPr>
        <w:t xml:space="preserve"> filing </w:t>
      </w:r>
      <w:r w:rsidR="00A751F4" w:rsidRPr="00485F6E">
        <w:rPr>
          <w:sz w:val="20"/>
          <w:szCs w:val="20"/>
        </w:rPr>
        <w:t>of the appeal must be submitted. However, in</w:t>
      </w:r>
      <w:r w:rsidR="00EA0656" w:rsidRPr="00485F6E">
        <w:rPr>
          <w:sz w:val="20"/>
          <w:szCs w:val="20"/>
        </w:rPr>
        <w:t xml:space="preserve"> certain circumstances, dismissal of </w:t>
      </w:r>
      <w:r w:rsidR="00A751F4" w:rsidRPr="00485F6E">
        <w:rPr>
          <w:sz w:val="20"/>
          <w:szCs w:val="20"/>
        </w:rPr>
        <w:t>the appeals based on the failure to meet procedural</w:t>
      </w:r>
      <w:r w:rsidR="000424C0" w:rsidRPr="00485F6E">
        <w:rPr>
          <w:sz w:val="20"/>
          <w:szCs w:val="20"/>
        </w:rPr>
        <w:t xml:space="preserve"> requ</w:t>
      </w:r>
      <w:r w:rsidR="00EA0656" w:rsidRPr="00485F6E">
        <w:rPr>
          <w:sz w:val="20"/>
          <w:szCs w:val="20"/>
        </w:rPr>
        <w:t xml:space="preserve">irements </w:t>
      </w:r>
      <w:r w:rsidR="000424C0" w:rsidRPr="00485F6E">
        <w:rPr>
          <w:sz w:val="20"/>
          <w:szCs w:val="20"/>
        </w:rPr>
        <w:t xml:space="preserve">of form, </w:t>
      </w:r>
      <w:r w:rsidR="00EA0656" w:rsidRPr="00485F6E">
        <w:rPr>
          <w:sz w:val="20"/>
          <w:szCs w:val="20"/>
        </w:rPr>
        <w:t xml:space="preserve">either established </w:t>
      </w:r>
      <w:r w:rsidR="000424C0" w:rsidRPr="00485F6E">
        <w:rPr>
          <w:sz w:val="20"/>
          <w:szCs w:val="20"/>
        </w:rPr>
        <w:t xml:space="preserve">under the law </w:t>
      </w:r>
      <w:r w:rsidR="00EA0656" w:rsidRPr="00485F6E">
        <w:rPr>
          <w:sz w:val="20"/>
          <w:szCs w:val="20"/>
        </w:rPr>
        <w:t xml:space="preserve">or </w:t>
      </w:r>
      <w:r w:rsidR="000424C0" w:rsidRPr="00485F6E">
        <w:rPr>
          <w:sz w:val="20"/>
          <w:szCs w:val="20"/>
        </w:rPr>
        <w:t xml:space="preserve">shaped by practices of the court, may result in </w:t>
      </w:r>
      <w:r w:rsidR="00EA0656" w:rsidRPr="00485F6E">
        <w:rPr>
          <w:sz w:val="20"/>
          <w:szCs w:val="20"/>
        </w:rPr>
        <w:t>a violation of the right to appeal the judgment.</w:t>
      </w:r>
      <w:r w:rsidR="00D72067" w:rsidRPr="00485F6E">
        <w:rPr>
          <w:rStyle w:val="FootnoteReference"/>
          <w:sz w:val="20"/>
          <w:szCs w:val="20"/>
        </w:rPr>
        <w:footnoteReference w:id="48"/>
      </w:r>
    </w:p>
    <w:p w14:paraId="1814A8DA" w14:textId="77777777" w:rsidR="00D72067" w:rsidRPr="00485F6E" w:rsidRDefault="00D72067" w:rsidP="00D72067">
      <w:pPr>
        <w:pStyle w:val="ListParagraph"/>
        <w:tabs>
          <w:tab w:val="left" w:pos="567"/>
        </w:tabs>
        <w:ind w:left="0"/>
        <w:jc w:val="both"/>
        <w:rPr>
          <w:sz w:val="20"/>
          <w:szCs w:val="20"/>
        </w:rPr>
      </w:pPr>
    </w:p>
    <w:p w14:paraId="6B9E6878" w14:textId="77777777" w:rsidR="00D72067" w:rsidRPr="00485F6E" w:rsidRDefault="00EA0656" w:rsidP="00D23D4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rPr>
      </w:pPr>
      <w:r w:rsidRPr="00485F6E">
        <w:rPr>
          <w:sz w:val="20"/>
          <w:szCs w:val="20"/>
        </w:rPr>
        <w:t xml:space="preserve">Furthermore, </w:t>
      </w:r>
      <w:r w:rsidR="00400564" w:rsidRPr="00485F6E">
        <w:rPr>
          <w:sz w:val="20"/>
          <w:szCs w:val="20"/>
        </w:rPr>
        <w:t>it should be understood that, regardless of the regimen or system of appeals adopted by states</w:t>
      </w:r>
      <w:r w:rsidR="00A751F4" w:rsidRPr="00485F6E">
        <w:rPr>
          <w:sz w:val="20"/>
          <w:szCs w:val="20"/>
        </w:rPr>
        <w:t>, in order for the remedy that is available</w:t>
      </w:r>
      <w:r w:rsidR="00400564" w:rsidRPr="00485F6E">
        <w:rPr>
          <w:sz w:val="20"/>
          <w:szCs w:val="20"/>
        </w:rPr>
        <w:t xml:space="preserve"> to be effective, </w:t>
      </w:r>
      <w:r w:rsidR="00A751F4" w:rsidRPr="00485F6E">
        <w:rPr>
          <w:sz w:val="20"/>
          <w:szCs w:val="20"/>
        </w:rPr>
        <w:t xml:space="preserve">its formal provision in procedural law is not sufficient, </w:t>
      </w:r>
      <w:r w:rsidR="00400564" w:rsidRPr="00485F6E">
        <w:rPr>
          <w:sz w:val="20"/>
          <w:szCs w:val="20"/>
        </w:rPr>
        <w:t>“it must constitute an appropriate means for attempting to correct a wrongful conviction</w:t>
      </w:r>
      <w:r w:rsidR="00A751F4" w:rsidRPr="00485F6E">
        <w:rPr>
          <w:sz w:val="20"/>
          <w:szCs w:val="20"/>
        </w:rPr>
        <w:t>.”</w:t>
      </w:r>
      <w:r w:rsidR="00D72067" w:rsidRPr="00485F6E">
        <w:rPr>
          <w:rStyle w:val="FootnoteReference"/>
          <w:sz w:val="20"/>
          <w:szCs w:val="20"/>
        </w:rPr>
        <w:footnoteReference w:id="49"/>
      </w:r>
    </w:p>
    <w:p w14:paraId="371AA30E" w14:textId="77777777" w:rsidR="00D72067" w:rsidRPr="00485F6E" w:rsidRDefault="00D72067" w:rsidP="00D23D4A">
      <w:pPr>
        <w:pStyle w:val="ListParagraph"/>
        <w:tabs>
          <w:tab w:val="left" w:pos="567"/>
        </w:tabs>
        <w:ind w:left="0"/>
        <w:jc w:val="both"/>
        <w:rPr>
          <w:sz w:val="20"/>
          <w:szCs w:val="20"/>
        </w:rPr>
      </w:pPr>
    </w:p>
    <w:p w14:paraId="13EE1373" w14:textId="77777777" w:rsidR="00D72067" w:rsidRPr="00485F6E" w:rsidRDefault="00495198" w:rsidP="00D23D4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rPr>
      </w:pPr>
      <w:r w:rsidRPr="00485F6E">
        <w:rPr>
          <w:sz w:val="20"/>
          <w:szCs w:val="20"/>
        </w:rPr>
        <w:t>Finally, the remedy</w:t>
      </w:r>
      <w:r w:rsidR="00EA0656" w:rsidRPr="00485F6E">
        <w:rPr>
          <w:sz w:val="20"/>
          <w:szCs w:val="20"/>
        </w:rPr>
        <w:t xml:space="preserve"> must allow a comprehensive examination or review of the judgment being challenged. Regarding this the</w:t>
      </w:r>
      <w:r w:rsidRPr="00485F6E">
        <w:rPr>
          <w:sz w:val="20"/>
          <w:szCs w:val="20"/>
        </w:rPr>
        <w:t xml:space="preserve"> Inter-American Court</w:t>
      </w:r>
      <w:r w:rsidR="00EA0656" w:rsidRPr="00485F6E">
        <w:rPr>
          <w:sz w:val="20"/>
          <w:szCs w:val="20"/>
        </w:rPr>
        <w:t xml:space="preserve"> has stressed that permission must be given to analyze “</w:t>
      </w:r>
      <w:r w:rsidRPr="00485F6E">
        <w:rPr>
          <w:sz w:val="20"/>
          <w:szCs w:val="20"/>
        </w:rPr>
        <w:t>the factual, probative and legal issues on which the contested judgment was based because, in jurisdictional activities, the determination of the facts and the application of the law are interdependent, so that an erroneous determination of the facts entails an erroneous or inappropriate application of the law</w:t>
      </w:r>
      <w:r w:rsidR="00EA0656" w:rsidRPr="00485F6E">
        <w:rPr>
          <w:sz w:val="20"/>
          <w:szCs w:val="20"/>
        </w:rPr>
        <w:t>.</w:t>
      </w:r>
      <w:r w:rsidR="00D72067" w:rsidRPr="00485F6E">
        <w:rPr>
          <w:sz w:val="20"/>
          <w:szCs w:val="20"/>
        </w:rPr>
        <w:t>”</w:t>
      </w:r>
      <w:r w:rsidR="00D72067" w:rsidRPr="00485F6E">
        <w:rPr>
          <w:rStyle w:val="FootnoteReference"/>
          <w:sz w:val="20"/>
          <w:szCs w:val="20"/>
        </w:rPr>
        <w:footnoteReference w:id="50"/>
      </w:r>
    </w:p>
    <w:p w14:paraId="2F6CE192" w14:textId="77777777" w:rsidR="00D72067" w:rsidRPr="00485F6E" w:rsidRDefault="00D72067" w:rsidP="00D72067">
      <w:pPr>
        <w:pStyle w:val="ListParagraph"/>
        <w:tabs>
          <w:tab w:val="left" w:pos="567"/>
        </w:tabs>
        <w:ind w:left="0"/>
        <w:jc w:val="both"/>
        <w:rPr>
          <w:sz w:val="20"/>
          <w:szCs w:val="20"/>
        </w:rPr>
      </w:pPr>
    </w:p>
    <w:p w14:paraId="7F1659C1" w14:textId="77777777" w:rsidR="00D72067" w:rsidRPr="00485F6E" w:rsidRDefault="007608B9" w:rsidP="004A5B5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rPr>
      </w:pPr>
      <w:r w:rsidRPr="00485F6E">
        <w:rPr>
          <w:sz w:val="20"/>
          <w:szCs w:val="20"/>
        </w:rPr>
        <w:t>Regarding this item, the Inter-American Commission indicated</w:t>
      </w:r>
      <w:r w:rsidR="00537EA0" w:rsidRPr="00485F6E">
        <w:rPr>
          <w:sz w:val="20"/>
          <w:szCs w:val="20"/>
        </w:rPr>
        <w:t xml:space="preserve"> the following</w:t>
      </w:r>
      <w:r w:rsidRPr="00485F6E">
        <w:rPr>
          <w:sz w:val="20"/>
          <w:szCs w:val="20"/>
        </w:rPr>
        <w:t xml:space="preserve"> in the case of A</w:t>
      </w:r>
      <w:r w:rsidR="00D72067" w:rsidRPr="00485F6E">
        <w:rPr>
          <w:sz w:val="20"/>
          <w:szCs w:val="20"/>
        </w:rPr>
        <w:t xml:space="preserve">bella </w:t>
      </w:r>
      <w:r w:rsidRPr="00485F6E">
        <w:rPr>
          <w:sz w:val="20"/>
          <w:szCs w:val="20"/>
        </w:rPr>
        <w:t>versus</w:t>
      </w:r>
      <w:r w:rsidR="00D72067" w:rsidRPr="00485F6E">
        <w:rPr>
          <w:sz w:val="20"/>
          <w:szCs w:val="20"/>
        </w:rPr>
        <w:t xml:space="preserve"> Argentina: </w:t>
      </w:r>
    </w:p>
    <w:p w14:paraId="177E3867" w14:textId="77777777" w:rsidR="00D72067" w:rsidRPr="00485F6E" w:rsidRDefault="00D72067" w:rsidP="00D72067">
      <w:pPr>
        <w:pStyle w:val="ListParagraph"/>
        <w:tabs>
          <w:tab w:val="left" w:pos="567"/>
        </w:tabs>
        <w:rPr>
          <w:sz w:val="20"/>
          <w:szCs w:val="20"/>
        </w:rPr>
      </w:pPr>
    </w:p>
    <w:p w14:paraId="6046817C" w14:textId="77777777" w:rsidR="00D72067" w:rsidRPr="00485F6E" w:rsidRDefault="00946E9E" w:rsidP="00FF427B">
      <w:pPr>
        <w:tabs>
          <w:tab w:val="left" w:pos="567"/>
        </w:tabs>
        <w:ind w:left="709" w:right="798"/>
        <w:jc w:val="both"/>
        <w:rPr>
          <w:rFonts w:ascii="Cambria" w:hAnsi="Cambria"/>
          <w:sz w:val="20"/>
          <w:szCs w:val="20"/>
        </w:rPr>
      </w:pPr>
      <w:r w:rsidRPr="00485F6E">
        <w:rPr>
          <w:rFonts w:ascii="Cambria" w:hAnsi="Cambria"/>
          <w:color w:val="000000"/>
          <w:sz w:val="20"/>
          <w:szCs w:val="20"/>
        </w:rPr>
        <w:t xml:space="preserve">Article 8(2)(h) refers to the minimum characteristics of a remedy that serves as a check to ensure a proper ruling in both substantive and formal terms. From the formal standpoint the right to appeal the judgment to a higher court to which the American Convention refers should, in the first place, apply […] with the purpose of examining the unlawful application, the lack of application, or the erroneous interpretation of rules of law based on the operative part of the judgment. The Commission also considers that to guarantee the full right of defense, this remedy should include a material review of the interpretation of procedural rules that may have influenced the decision in the case when there has been an incurable </w:t>
      </w:r>
      <w:r w:rsidRPr="00485F6E">
        <w:rPr>
          <w:rFonts w:ascii="Cambria" w:hAnsi="Cambria"/>
          <w:color w:val="000000"/>
          <w:sz w:val="20"/>
          <w:szCs w:val="20"/>
        </w:rPr>
        <w:lastRenderedPageBreak/>
        <w:t>nullity or where the right to defense was rendered ineffective, and also with respect to the interpretation of the rules on the weighing of evidence, whenever they have led to an erroneous application or non-application of those rules.</w:t>
      </w:r>
      <w:r w:rsidR="00D72067" w:rsidRPr="00485F6E">
        <w:rPr>
          <w:rStyle w:val="FootnoteReference"/>
          <w:rFonts w:ascii="Cambria" w:hAnsi="Cambria"/>
          <w:sz w:val="20"/>
          <w:szCs w:val="20"/>
        </w:rPr>
        <w:footnoteReference w:id="51"/>
      </w:r>
    </w:p>
    <w:p w14:paraId="0BE2697C" w14:textId="77777777" w:rsidR="00FF427B" w:rsidRPr="00485F6E" w:rsidRDefault="00FF427B" w:rsidP="00FF427B">
      <w:pPr>
        <w:tabs>
          <w:tab w:val="left" w:pos="567"/>
        </w:tabs>
        <w:ind w:right="798"/>
        <w:jc w:val="both"/>
        <w:rPr>
          <w:rFonts w:ascii="Cambria" w:hAnsi="Cambria"/>
          <w:sz w:val="20"/>
          <w:szCs w:val="20"/>
        </w:rPr>
      </w:pPr>
    </w:p>
    <w:p w14:paraId="07F5820F" w14:textId="77777777" w:rsidR="00D72067" w:rsidRPr="00485F6E" w:rsidRDefault="007608B9" w:rsidP="00FF427B">
      <w:pPr>
        <w:pStyle w:val="NormalWeb"/>
        <w:numPr>
          <w:ilvl w:val="0"/>
          <w:numId w:val="2"/>
        </w:numPr>
        <w:tabs>
          <w:tab w:val="left" w:pos="567"/>
        </w:tabs>
        <w:spacing w:before="0" w:beforeAutospacing="0" w:after="0" w:afterAutospacing="0"/>
        <w:ind w:left="0" w:firstLine="0"/>
        <w:jc w:val="both"/>
        <w:rPr>
          <w:rFonts w:ascii="Cambria" w:hAnsi="Cambria"/>
          <w:sz w:val="20"/>
          <w:szCs w:val="20"/>
        </w:rPr>
      </w:pPr>
      <w:r w:rsidRPr="00485F6E">
        <w:rPr>
          <w:rFonts w:ascii="Cambria" w:hAnsi="Cambria"/>
          <w:sz w:val="20"/>
          <w:szCs w:val="20"/>
        </w:rPr>
        <w:t>In the same regard, the United Nations Human Rights Committee, which is in charge of monitoring the International Covenant on Civil and Political Rights</w:t>
      </w:r>
      <w:r w:rsidR="00D06F36" w:rsidRPr="00485F6E">
        <w:rPr>
          <w:rFonts w:ascii="Cambria" w:hAnsi="Cambria"/>
          <w:sz w:val="20"/>
          <w:szCs w:val="20"/>
        </w:rPr>
        <w:t xml:space="preserve"> (ICCP</w:t>
      </w:r>
      <w:r w:rsidR="00FA4AA2" w:rsidRPr="00485F6E">
        <w:rPr>
          <w:rFonts w:ascii="Cambria" w:hAnsi="Cambria"/>
          <w:sz w:val="20"/>
          <w:szCs w:val="20"/>
        </w:rPr>
        <w:t>R)</w:t>
      </w:r>
      <w:r w:rsidRPr="00485F6E">
        <w:rPr>
          <w:rFonts w:ascii="Cambria" w:hAnsi="Cambria"/>
          <w:sz w:val="20"/>
          <w:szCs w:val="20"/>
        </w:rPr>
        <w:t xml:space="preserve"> and its compliance by states that have ratified it,</w:t>
      </w:r>
      <w:r w:rsidR="00D72067" w:rsidRPr="00485F6E">
        <w:rPr>
          <w:rStyle w:val="FootnoteReference"/>
          <w:rFonts w:ascii="Cambria" w:hAnsi="Cambria"/>
          <w:sz w:val="20"/>
          <w:szCs w:val="20"/>
        </w:rPr>
        <w:footnoteReference w:id="52"/>
      </w:r>
      <w:r w:rsidRPr="00485F6E">
        <w:rPr>
          <w:rFonts w:ascii="Cambria" w:hAnsi="Cambria"/>
          <w:sz w:val="20"/>
          <w:szCs w:val="20"/>
        </w:rPr>
        <w:t xml:space="preserve"> has repeatedly established that</w:t>
      </w:r>
      <w:r w:rsidR="00D72067" w:rsidRPr="00485F6E">
        <w:rPr>
          <w:rFonts w:ascii="Cambria" w:hAnsi="Cambria"/>
          <w:sz w:val="20"/>
          <w:szCs w:val="20"/>
        </w:rPr>
        <w:t xml:space="preserve">: </w:t>
      </w:r>
    </w:p>
    <w:p w14:paraId="708B1BEA" w14:textId="77777777" w:rsidR="00FF427B" w:rsidRPr="00485F6E" w:rsidRDefault="00FF427B" w:rsidP="00FF427B">
      <w:pPr>
        <w:pStyle w:val="NormalWeb"/>
        <w:tabs>
          <w:tab w:val="left" w:pos="567"/>
        </w:tabs>
        <w:spacing w:before="0" w:beforeAutospacing="0" w:after="0" w:afterAutospacing="0"/>
        <w:jc w:val="both"/>
        <w:rPr>
          <w:rFonts w:ascii="Cambria" w:hAnsi="Cambria"/>
          <w:sz w:val="20"/>
          <w:szCs w:val="20"/>
        </w:rPr>
      </w:pPr>
    </w:p>
    <w:p w14:paraId="23BACF21" w14:textId="77777777" w:rsidR="00D72067" w:rsidRPr="00485F6E" w:rsidRDefault="00D72067" w:rsidP="00FF427B">
      <w:pPr>
        <w:pStyle w:val="NormalWeb"/>
        <w:tabs>
          <w:tab w:val="left" w:pos="567"/>
        </w:tabs>
        <w:spacing w:before="0" w:beforeAutospacing="0" w:after="0" w:afterAutospacing="0"/>
        <w:ind w:left="720" w:right="798"/>
        <w:jc w:val="both"/>
        <w:rPr>
          <w:rFonts w:ascii="Cambria" w:hAnsi="Cambria"/>
          <w:sz w:val="20"/>
          <w:szCs w:val="20"/>
        </w:rPr>
      </w:pPr>
      <w:r w:rsidRPr="00485F6E">
        <w:rPr>
          <w:rFonts w:ascii="Cambria" w:hAnsi="Cambria"/>
          <w:sz w:val="20"/>
          <w:szCs w:val="20"/>
        </w:rPr>
        <w:t>“</w:t>
      </w:r>
      <w:r w:rsidR="000179F0" w:rsidRPr="00485F6E">
        <w:rPr>
          <w:rFonts w:ascii="Cambria" w:hAnsi="Cambria"/>
          <w:sz w:val="20"/>
          <w:szCs w:val="20"/>
        </w:rPr>
        <w:t xml:space="preserve">the right of </w:t>
      </w:r>
      <w:r w:rsidR="000179F0" w:rsidRPr="00485F6E">
        <w:rPr>
          <w:rFonts w:ascii="Cambria" w:hAnsi="Cambria"/>
          <w:color w:val="464646"/>
          <w:sz w:val="20"/>
          <w:szCs w:val="20"/>
          <w:shd w:val="clear" w:color="auto" w:fill="FFFFFF"/>
        </w:rPr>
        <w:t>everybody to appeal a judgment of conviction and related sentence before a higher judicial instance […] imposes on the State party a duty substantially to review, both on the basis of sufficiency of the evidence and of the law, the conviction and sentence, such that the procedure allows for due consideration of the nature of the case</w:t>
      </w:r>
      <w:r w:rsidRPr="00485F6E">
        <w:rPr>
          <w:rFonts w:ascii="Cambria" w:hAnsi="Cambria"/>
          <w:sz w:val="20"/>
          <w:szCs w:val="20"/>
        </w:rPr>
        <w:t xml:space="preserve">. </w:t>
      </w:r>
      <w:r w:rsidR="000179F0" w:rsidRPr="00485F6E">
        <w:rPr>
          <w:rFonts w:ascii="Cambria" w:hAnsi="Cambria"/>
          <w:sz w:val="20"/>
          <w:szCs w:val="20"/>
        </w:rPr>
        <w:t>A review confined to the</w:t>
      </w:r>
      <w:r w:rsidR="00537EA0" w:rsidRPr="00485F6E">
        <w:rPr>
          <w:rFonts w:ascii="Cambria" w:hAnsi="Cambria"/>
          <w:sz w:val="20"/>
          <w:szCs w:val="20"/>
        </w:rPr>
        <w:t xml:space="preserve"> merely</w:t>
      </w:r>
      <w:r w:rsidR="000179F0" w:rsidRPr="00485F6E">
        <w:rPr>
          <w:rFonts w:ascii="Cambria" w:hAnsi="Cambria"/>
          <w:sz w:val="20"/>
          <w:szCs w:val="20"/>
        </w:rPr>
        <w:t xml:space="preserve"> formal or legal aspects of the</w:t>
      </w:r>
      <w:r w:rsidR="00537EA0" w:rsidRPr="00485F6E">
        <w:rPr>
          <w:rFonts w:ascii="Cambria" w:hAnsi="Cambria"/>
          <w:sz w:val="20"/>
          <w:szCs w:val="20"/>
        </w:rPr>
        <w:t xml:space="preserve"> conviction</w:t>
      </w:r>
      <w:r w:rsidR="00537EA0" w:rsidRPr="00485F6E">
        <w:rPr>
          <w:rFonts w:ascii="Cambria" w:hAnsi="Cambria"/>
          <w:color w:val="464646"/>
          <w:sz w:val="20"/>
          <w:szCs w:val="20"/>
          <w:shd w:val="clear" w:color="auto" w:fill="FFFFFF"/>
        </w:rPr>
        <w:t xml:space="preserve"> falls short of the requirements of the Covenant</w:t>
      </w:r>
      <w:r w:rsidR="00130A30" w:rsidRPr="00485F6E">
        <w:rPr>
          <w:rFonts w:ascii="Cambria" w:hAnsi="Cambria"/>
          <w:sz w:val="20"/>
          <w:szCs w:val="20"/>
        </w:rPr>
        <w:t>.</w:t>
      </w:r>
      <w:r w:rsidRPr="00485F6E">
        <w:rPr>
          <w:rStyle w:val="FootnoteReference"/>
          <w:rFonts w:ascii="Cambria" w:hAnsi="Cambria"/>
          <w:sz w:val="20"/>
          <w:szCs w:val="20"/>
        </w:rPr>
        <w:footnoteReference w:id="53"/>
      </w:r>
    </w:p>
    <w:p w14:paraId="50A8E6D9" w14:textId="77777777" w:rsidR="00D72067" w:rsidRPr="00485F6E" w:rsidRDefault="00D72067" w:rsidP="00FF427B">
      <w:pPr>
        <w:pStyle w:val="NormalWeb"/>
        <w:tabs>
          <w:tab w:val="left" w:pos="567"/>
        </w:tabs>
        <w:spacing w:before="0" w:beforeAutospacing="0" w:after="0" w:afterAutospacing="0"/>
        <w:ind w:left="720" w:right="798"/>
        <w:jc w:val="both"/>
        <w:rPr>
          <w:rFonts w:ascii="Cambria" w:hAnsi="Cambria"/>
          <w:sz w:val="20"/>
          <w:szCs w:val="20"/>
        </w:rPr>
      </w:pPr>
    </w:p>
    <w:p w14:paraId="7AAD0612" w14:textId="77777777" w:rsidR="00D72067" w:rsidRPr="00485F6E" w:rsidRDefault="007608B9" w:rsidP="00FF427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rPr>
      </w:pPr>
      <w:r w:rsidRPr="00485F6E">
        <w:rPr>
          <w:sz w:val="20"/>
          <w:szCs w:val="20"/>
        </w:rPr>
        <w:t>The IACHR has also stressed that the right to appeal does not necessarily entail a new trial or a new hearing, as long as the court conducting the review is not prevented from examining the facts of the case</w:t>
      </w:r>
      <w:r w:rsidR="00D72067" w:rsidRPr="00485F6E">
        <w:rPr>
          <w:sz w:val="20"/>
          <w:szCs w:val="20"/>
        </w:rPr>
        <w:t xml:space="preserve">. </w:t>
      </w:r>
      <w:r w:rsidRPr="00485F6E">
        <w:rPr>
          <w:sz w:val="20"/>
          <w:szCs w:val="20"/>
        </w:rPr>
        <w:t>What is necessary, in the light of Article</w:t>
      </w:r>
      <w:r w:rsidR="00D72067" w:rsidRPr="00485F6E">
        <w:rPr>
          <w:sz w:val="20"/>
          <w:szCs w:val="20"/>
        </w:rPr>
        <w:t xml:space="preserve"> </w:t>
      </w:r>
      <w:r w:rsidRPr="00485F6E">
        <w:rPr>
          <w:sz w:val="20"/>
          <w:szCs w:val="20"/>
        </w:rPr>
        <w:t>8(</w:t>
      </w:r>
      <w:r w:rsidR="00D72067" w:rsidRPr="00485F6E">
        <w:rPr>
          <w:sz w:val="20"/>
          <w:szCs w:val="20"/>
        </w:rPr>
        <w:t>2</w:t>
      </w:r>
      <w:r w:rsidRPr="00485F6E">
        <w:rPr>
          <w:sz w:val="20"/>
          <w:szCs w:val="20"/>
        </w:rPr>
        <w:t>)(</w:t>
      </w:r>
      <w:r w:rsidR="00D72067" w:rsidRPr="00485F6E">
        <w:rPr>
          <w:sz w:val="20"/>
          <w:szCs w:val="20"/>
        </w:rPr>
        <w:t>h</w:t>
      </w:r>
      <w:r w:rsidR="00D12C63" w:rsidRPr="00485F6E">
        <w:rPr>
          <w:sz w:val="20"/>
          <w:szCs w:val="20"/>
        </w:rPr>
        <w:t xml:space="preserve">) of the Convention, </w:t>
      </w:r>
      <w:r w:rsidRPr="00485F6E">
        <w:rPr>
          <w:sz w:val="20"/>
          <w:szCs w:val="20"/>
        </w:rPr>
        <w:t>is that there is the possibility of highlighting and securing responses to errors that might have been made by the lower-court judge or instance</w:t>
      </w:r>
      <w:r w:rsidR="00D72067" w:rsidRPr="00485F6E">
        <w:rPr>
          <w:sz w:val="20"/>
          <w:szCs w:val="20"/>
        </w:rPr>
        <w:t xml:space="preserve">. </w:t>
      </w:r>
      <w:r w:rsidRPr="00485F6E">
        <w:rPr>
          <w:sz w:val="20"/>
          <w:szCs w:val="20"/>
        </w:rPr>
        <w:t>This means that it is not possible to exclude from the proceeding of the appeal ce</w:t>
      </w:r>
      <w:r w:rsidR="00D12C63" w:rsidRPr="00485F6E">
        <w:rPr>
          <w:sz w:val="20"/>
          <w:szCs w:val="20"/>
        </w:rPr>
        <w:t>rtain categories such as facts</w:t>
      </w:r>
      <w:r w:rsidRPr="00485F6E">
        <w:rPr>
          <w:sz w:val="20"/>
          <w:szCs w:val="20"/>
        </w:rPr>
        <w:t>, how evidence was incorporated into the proceedings, and how the lower-court judges assessed that evidence</w:t>
      </w:r>
      <w:r w:rsidR="00D72067" w:rsidRPr="00485F6E">
        <w:rPr>
          <w:sz w:val="20"/>
          <w:szCs w:val="20"/>
        </w:rPr>
        <w:t xml:space="preserve">. </w:t>
      </w:r>
      <w:r w:rsidRPr="00485F6E">
        <w:rPr>
          <w:sz w:val="20"/>
          <w:szCs w:val="20"/>
        </w:rPr>
        <w:t xml:space="preserve">The form and means whereby the review was conducted shall depend on the nature of the </w:t>
      </w:r>
      <w:r w:rsidR="004C45D4" w:rsidRPr="00485F6E">
        <w:rPr>
          <w:sz w:val="20"/>
          <w:szCs w:val="20"/>
        </w:rPr>
        <w:t>questions being debated, as well as on the specificities of the criminal proceedings system of the respective states.</w:t>
      </w:r>
      <w:r w:rsidR="00D72067" w:rsidRPr="00485F6E">
        <w:rPr>
          <w:rStyle w:val="FootnoteReference"/>
          <w:sz w:val="20"/>
          <w:szCs w:val="20"/>
        </w:rPr>
        <w:footnoteReference w:id="54"/>
      </w:r>
    </w:p>
    <w:p w14:paraId="5ACEC850" w14:textId="77777777" w:rsidR="00D72067" w:rsidRPr="00485F6E" w:rsidRDefault="00D72067" w:rsidP="00FF427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contextualSpacing/>
        <w:jc w:val="both"/>
        <w:rPr>
          <w:sz w:val="20"/>
          <w:szCs w:val="20"/>
        </w:rPr>
      </w:pPr>
    </w:p>
    <w:p w14:paraId="49E794EE" w14:textId="77777777" w:rsidR="00912FEE" w:rsidRPr="00485F6E" w:rsidRDefault="004C45D4" w:rsidP="00FF427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rPr>
      </w:pPr>
      <w:r w:rsidRPr="00485F6E">
        <w:rPr>
          <w:sz w:val="20"/>
          <w:szCs w:val="20"/>
        </w:rPr>
        <w:t>The Commission also believes it is advisable to highlight that the right to appeal a judgment is also enshrined in the Convention on the Rights of the Child</w:t>
      </w:r>
      <w:r w:rsidR="00912FEE" w:rsidRPr="00485F6E">
        <w:rPr>
          <w:sz w:val="20"/>
          <w:szCs w:val="20"/>
        </w:rPr>
        <w:t xml:space="preserve">. </w:t>
      </w:r>
      <w:r w:rsidRPr="00485F6E">
        <w:rPr>
          <w:sz w:val="20"/>
          <w:szCs w:val="20"/>
        </w:rPr>
        <w:t>In particular, Article</w:t>
      </w:r>
      <w:r w:rsidR="00912FEE" w:rsidRPr="00485F6E">
        <w:rPr>
          <w:sz w:val="20"/>
          <w:szCs w:val="20"/>
        </w:rPr>
        <w:t xml:space="preserve"> 40</w:t>
      </w:r>
      <w:r w:rsidRPr="00485F6E">
        <w:rPr>
          <w:sz w:val="20"/>
          <w:szCs w:val="20"/>
        </w:rPr>
        <w:t>(</w:t>
      </w:r>
      <w:r w:rsidR="00912FEE" w:rsidRPr="00485F6E">
        <w:rPr>
          <w:sz w:val="20"/>
          <w:szCs w:val="20"/>
        </w:rPr>
        <w:t>2</w:t>
      </w:r>
      <w:r w:rsidRPr="00485F6E">
        <w:rPr>
          <w:sz w:val="20"/>
          <w:szCs w:val="20"/>
        </w:rPr>
        <w:t>)(b)(</w:t>
      </w:r>
      <w:r w:rsidR="00604F0D" w:rsidRPr="00485F6E">
        <w:rPr>
          <w:sz w:val="20"/>
          <w:szCs w:val="20"/>
        </w:rPr>
        <w:t>v</w:t>
      </w:r>
      <w:r w:rsidR="00D12C63" w:rsidRPr="00485F6E">
        <w:rPr>
          <w:sz w:val="20"/>
          <w:szCs w:val="20"/>
        </w:rPr>
        <w:t>) points out</w:t>
      </w:r>
      <w:r w:rsidR="00604F0D" w:rsidRPr="00485F6E">
        <w:rPr>
          <w:sz w:val="20"/>
          <w:szCs w:val="20"/>
        </w:rPr>
        <w:t xml:space="preserve"> the</w:t>
      </w:r>
      <w:r w:rsidR="00D12C63" w:rsidRPr="00485F6E">
        <w:rPr>
          <w:sz w:val="20"/>
          <w:szCs w:val="20"/>
        </w:rPr>
        <w:t xml:space="preserve"> following</w:t>
      </w:r>
      <w:r w:rsidR="00912FEE" w:rsidRPr="00485F6E">
        <w:rPr>
          <w:sz w:val="20"/>
          <w:szCs w:val="20"/>
        </w:rPr>
        <w:t>: “</w:t>
      </w:r>
      <w:r w:rsidR="00D12C63" w:rsidRPr="00485F6E">
        <w:rPr>
          <w:rFonts w:eastAsia="Times New Roman" w:cs="Times New Roman"/>
          <w:sz w:val="20"/>
          <w:szCs w:val="20"/>
          <w:lang w:eastAsia="es-EC"/>
        </w:rPr>
        <w:t>Every child alleged as or accused of having infringed the penal law has at least the following guarantees: […] to have this decision and any measures imposed in consequence thereof reviewed by a higher competent, independent and impartial authority or judicial body according to law</w:t>
      </w:r>
      <w:r w:rsidRPr="00485F6E">
        <w:rPr>
          <w:sz w:val="20"/>
          <w:szCs w:val="20"/>
        </w:rPr>
        <w:t>.</w:t>
      </w:r>
      <w:r w:rsidR="00912FEE" w:rsidRPr="00485F6E">
        <w:rPr>
          <w:sz w:val="20"/>
          <w:szCs w:val="20"/>
        </w:rPr>
        <w:t>”</w:t>
      </w:r>
      <w:r w:rsidR="00912FEE" w:rsidRPr="00485F6E">
        <w:rPr>
          <w:rStyle w:val="FootnoteReference"/>
          <w:sz w:val="20"/>
          <w:szCs w:val="20"/>
        </w:rPr>
        <w:footnoteReference w:id="55"/>
      </w:r>
      <w:r w:rsidRPr="00485F6E">
        <w:rPr>
          <w:sz w:val="20"/>
          <w:szCs w:val="20"/>
        </w:rPr>
        <w:t xml:space="preserve"> The Commission stresses that the Republic of Argentina ratified said Convention in 1990 and that, in 1994, it acquired constitutional status</w:t>
      </w:r>
      <w:r w:rsidR="00FF52E1" w:rsidRPr="00485F6E">
        <w:rPr>
          <w:sz w:val="20"/>
          <w:szCs w:val="20"/>
        </w:rPr>
        <w:t xml:space="preserve">. </w:t>
      </w:r>
    </w:p>
    <w:p w14:paraId="54494F91" w14:textId="77777777" w:rsidR="00912FEE" w:rsidRPr="00485F6E" w:rsidRDefault="00912FEE" w:rsidP="00FF427B">
      <w:pPr>
        <w:pStyle w:val="ListParagraph"/>
        <w:tabs>
          <w:tab w:val="left" w:pos="567"/>
        </w:tabs>
        <w:jc w:val="both"/>
        <w:rPr>
          <w:sz w:val="20"/>
          <w:szCs w:val="20"/>
        </w:rPr>
      </w:pPr>
    </w:p>
    <w:p w14:paraId="1B7E571A" w14:textId="77777777" w:rsidR="00912FEE" w:rsidRPr="00485F6E" w:rsidRDefault="004C45D4" w:rsidP="00FF427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rPr>
      </w:pPr>
      <w:r w:rsidRPr="00485F6E">
        <w:rPr>
          <w:sz w:val="20"/>
          <w:szCs w:val="20"/>
        </w:rPr>
        <w:t>The Commission observes that the Committee on the Rights of the Child has interpreted that, according to that provision</w:t>
      </w:r>
      <w:r w:rsidR="00FF52E1" w:rsidRPr="00485F6E">
        <w:rPr>
          <w:sz w:val="20"/>
          <w:szCs w:val="20"/>
        </w:rPr>
        <w:t xml:space="preserve">, </w:t>
      </w:r>
      <w:r w:rsidR="00450976" w:rsidRPr="00485F6E">
        <w:rPr>
          <w:sz w:val="20"/>
          <w:szCs w:val="20"/>
        </w:rPr>
        <w:t>“[t</w:t>
      </w:r>
      <w:r w:rsidR="00912FEE" w:rsidRPr="00485F6E">
        <w:rPr>
          <w:sz w:val="20"/>
          <w:szCs w:val="20"/>
        </w:rPr>
        <w:t>]</w:t>
      </w:r>
      <w:r w:rsidR="00450976" w:rsidRPr="00485F6E">
        <w:rPr>
          <w:sz w:val="20"/>
          <w:szCs w:val="20"/>
        </w:rPr>
        <w:t>he child has the right to appeal against the decision by which he is found guilty of the charge(s) brought against him/her and against the measures imposed as a consequence of this guilty verdict. This appeal should be decided by a higher, competent, independent and impartial authority or judicial body, in other words, a body that meets the same standards and requirements as the one that dealt with the case in the first instance</w:t>
      </w:r>
      <w:r w:rsidRPr="00485F6E">
        <w:rPr>
          <w:sz w:val="20"/>
          <w:szCs w:val="20"/>
        </w:rPr>
        <w:t>.</w:t>
      </w:r>
      <w:r w:rsidR="00912FEE" w:rsidRPr="00485F6E">
        <w:rPr>
          <w:sz w:val="20"/>
          <w:szCs w:val="20"/>
        </w:rPr>
        <w:t>”</w:t>
      </w:r>
      <w:r w:rsidR="00912FEE" w:rsidRPr="00485F6E">
        <w:rPr>
          <w:rStyle w:val="FootnoteReference"/>
          <w:sz w:val="20"/>
          <w:szCs w:val="20"/>
        </w:rPr>
        <w:footnoteReference w:id="56"/>
      </w:r>
      <w:r w:rsidRPr="00485F6E">
        <w:rPr>
          <w:sz w:val="20"/>
          <w:szCs w:val="20"/>
        </w:rPr>
        <w:t xml:space="preserve"> Likewise, the Committee has</w:t>
      </w:r>
      <w:r w:rsidR="00944287" w:rsidRPr="00485F6E">
        <w:rPr>
          <w:sz w:val="20"/>
          <w:szCs w:val="20"/>
        </w:rPr>
        <w:t xml:space="preserve"> deemed </w:t>
      </w:r>
      <w:r w:rsidR="00130A30" w:rsidRPr="00485F6E">
        <w:rPr>
          <w:sz w:val="20"/>
          <w:szCs w:val="20"/>
        </w:rPr>
        <w:t>that t</w:t>
      </w:r>
      <w:r w:rsidR="00450976" w:rsidRPr="00485F6E">
        <w:rPr>
          <w:sz w:val="20"/>
          <w:szCs w:val="20"/>
        </w:rPr>
        <w:t xml:space="preserve">his right of appeal </w:t>
      </w:r>
      <w:r w:rsidR="00130A30" w:rsidRPr="00485F6E">
        <w:rPr>
          <w:sz w:val="20"/>
          <w:szCs w:val="20"/>
        </w:rPr>
        <w:t>“</w:t>
      </w:r>
      <w:r w:rsidR="00450976" w:rsidRPr="00485F6E">
        <w:rPr>
          <w:sz w:val="20"/>
          <w:szCs w:val="20"/>
        </w:rPr>
        <w:t>is not li</w:t>
      </w:r>
      <w:r w:rsidR="00130A30" w:rsidRPr="00485F6E">
        <w:rPr>
          <w:sz w:val="20"/>
          <w:szCs w:val="20"/>
        </w:rPr>
        <w:t>mited to the most serious offens</w:t>
      </w:r>
      <w:r w:rsidR="00450976" w:rsidRPr="00485F6E">
        <w:rPr>
          <w:sz w:val="20"/>
          <w:szCs w:val="20"/>
        </w:rPr>
        <w:t>es</w:t>
      </w:r>
      <w:r w:rsidR="00944287" w:rsidRPr="00485F6E">
        <w:rPr>
          <w:sz w:val="20"/>
          <w:szCs w:val="20"/>
        </w:rPr>
        <w:t>.</w:t>
      </w:r>
      <w:r w:rsidR="00912FEE" w:rsidRPr="00485F6E">
        <w:rPr>
          <w:sz w:val="20"/>
          <w:szCs w:val="20"/>
        </w:rPr>
        <w:t>”</w:t>
      </w:r>
      <w:r w:rsidR="00912FEE" w:rsidRPr="00485F6E">
        <w:rPr>
          <w:rStyle w:val="FootnoteReference"/>
          <w:sz w:val="20"/>
          <w:szCs w:val="20"/>
        </w:rPr>
        <w:footnoteReference w:id="57"/>
      </w:r>
      <w:r w:rsidR="00912FEE" w:rsidRPr="00485F6E">
        <w:rPr>
          <w:sz w:val="20"/>
          <w:szCs w:val="20"/>
        </w:rPr>
        <w:t xml:space="preserve"> </w:t>
      </w:r>
      <w:r w:rsidR="00944287" w:rsidRPr="00485F6E">
        <w:rPr>
          <w:sz w:val="20"/>
          <w:szCs w:val="20"/>
        </w:rPr>
        <w:t xml:space="preserve">Therefore, the Commission deems that the right to appeal a judgment </w:t>
      </w:r>
      <w:r w:rsidR="00130A30" w:rsidRPr="00485F6E">
        <w:rPr>
          <w:sz w:val="20"/>
          <w:szCs w:val="20"/>
        </w:rPr>
        <w:t xml:space="preserve">becomes especially relevant </w:t>
      </w:r>
      <w:r w:rsidR="00130A30" w:rsidRPr="00485F6E">
        <w:rPr>
          <w:sz w:val="20"/>
          <w:szCs w:val="20"/>
        </w:rPr>
        <w:lastRenderedPageBreak/>
        <w:t>when determining the rights of children and adolescents, especially when they have been sentenced to imprisonment for the perpetration of offenses</w:t>
      </w:r>
      <w:r w:rsidR="00944287" w:rsidRPr="00485F6E">
        <w:rPr>
          <w:sz w:val="20"/>
          <w:szCs w:val="20"/>
        </w:rPr>
        <w:t>.</w:t>
      </w:r>
      <w:r w:rsidR="00912FEE" w:rsidRPr="00485F6E">
        <w:rPr>
          <w:rStyle w:val="FootnoteReference"/>
          <w:sz w:val="20"/>
          <w:szCs w:val="20"/>
        </w:rPr>
        <w:footnoteReference w:id="58"/>
      </w:r>
    </w:p>
    <w:p w14:paraId="58E049B9" w14:textId="77777777" w:rsidR="00912FEE" w:rsidRPr="00485F6E" w:rsidRDefault="00912FEE" w:rsidP="00FF427B">
      <w:pPr>
        <w:pStyle w:val="ListParagraph"/>
        <w:tabs>
          <w:tab w:val="left" w:pos="567"/>
        </w:tabs>
        <w:jc w:val="both"/>
        <w:rPr>
          <w:sz w:val="20"/>
          <w:szCs w:val="20"/>
        </w:rPr>
      </w:pPr>
    </w:p>
    <w:p w14:paraId="2F7930C6" w14:textId="77777777" w:rsidR="00D72067" w:rsidRPr="00485F6E" w:rsidRDefault="00944287" w:rsidP="00FF427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rPr>
      </w:pPr>
      <w:r w:rsidRPr="00485F6E">
        <w:rPr>
          <w:sz w:val="20"/>
          <w:szCs w:val="20"/>
        </w:rPr>
        <w:t>Finally, the Commission has constantly understood that ascertainment of whether or not the right to appeal a judgment has been violated requires a case-by-case analysis</w:t>
      </w:r>
      <w:r w:rsidR="00DF6CF2" w:rsidRPr="00485F6E">
        <w:rPr>
          <w:sz w:val="20"/>
          <w:szCs w:val="20"/>
        </w:rPr>
        <w:t xml:space="preserve"> whereby the concrete circumstances of the situation being heard are assessed, taking as a parameter the general standards outlined in the preceding paragraphs</w:t>
      </w:r>
      <w:r w:rsidR="00D72067" w:rsidRPr="00485F6E">
        <w:rPr>
          <w:rFonts w:cs="Calibri"/>
          <w:sz w:val="20"/>
          <w:szCs w:val="20"/>
        </w:rPr>
        <w:t xml:space="preserve">. </w:t>
      </w:r>
    </w:p>
    <w:p w14:paraId="5750EB5A" w14:textId="77777777" w:rsidR="00D72067" w:rsidRPr="00485F6E" w:rsidRDefault="00D72067" w:rsidP="00FF52E1">
      <w:pPr>
        <w:rPr>
          <w:lang w:eastAsia="es-ES"/>
        </w:rPr>
      </w:pPr>
    </w:p>
    <w:p w14:paraId="5661CA37" w14:textId="77777777" w:rsidR="009F01A8" w:rsidRPr="00485F6E" w:rsidRDefault="00A92A13" w:rsidP="00D46D0B">
      <w:pPr>
        <w:pStyle w:val="ListParagraph"/>
        <w:numPr>
          <w:ilvl w:val="0"/>
          <w:numId w:val="34"/>
        </w:numPr>
        <w:spacing w:after="240"/>
        <w:jc w:val="both"/>
        <w:outlineLvl w:val="2"/>
        <w:rPr>
          <w:b/>
          <w:bCs/>
          <w:sz w:val="20"/>
          <w:szCs w:val="20"/>
        </w:rPr>
      </w:pPr>
      <w:bookmarkStart w:id="34" w:name="_Toc40962138"/>
      <w:bookmarkStart w:id="35" w:name="_Toc42679787"/>
      <w:bookmarkStart w:id="36" w:name="_Toc203988495"/>
      <w:r>
        <w:rPr>
          <w:b/>
          <w:bCs/>
          <w:sz w:val="20"/>
          <w:szCs w:val="20"/>
        </w:rPr>
        <w:t xml:space="preserve">Analysis </w:t>
      </w:r>
      <w:r w:rsidR="00DF6CF2" w:rsidRPr="00485F6E">
        <w:rPr>
          <w:b/>
          <w:bCs/>
          <w:sz w:val="20"/>
          <w:szCs w:val="20"/>
        </w:rPr>
        <w:t>of the case</w:t>
      </w:r>
      <w:bookmarkEnd w:id="34"/>
      <w:bookmarkEnd w:id="35"/>
      <w:bookmarkEnd w:id="36"/>
    </w:p>
    <w:p w14:paraId="009776C0" w14:textId="77777777" w:rsidR="00D23D4A" w:rsidRPr="00485F6E" w:rsidRDefault="00D23D4A" w:rsidP="00C3209D">
      <w:pPr>
        <w:rPr>
          <w:rFonts w:ascii="Cambria" w:eastAsia="Cambria" w:hAnsi="Cambria"/>
          <w:sz w:val="20"/>
          <w:szCs w:val="20"/>
          <w:u w:color="000000"/>
          <w:bdr w:val="nil"/>
          <w:lang w:eastAsia="es-ES"/>
        </w:rPr>
      </w:pPr>
    </w:p>
    <w:p w14:paraId="4DB36443" w14:textId="77777777" w:rsidR="00FF427B" w:rsidRPr="00485F6E" w:rsidRDefault="00DF6CF2" w:rsidP="00FF427B">
      <w:pPr>
        <w:pStyle w:val="ListParagraph"/>
        <w:numPr>
          <w:ilvl w:val="0"/>
          <w:numId w:val="2"/>
        </w:numPr>
        <w:ind w:left="0" w:firstLine="0"/>
        <w:jc w:val="both"/>
        <w:rPr>
          <w:sz w:val="20"/>
          <w:szCs w:val="20"/>
        </w:rPr>
      </w:pPr>
      <w:r w:rsidRPr="00485F6E">
        <w:rPr>
          <w:sz w:val="20"/>
          <w:szCs w:val="20"/>
        </w:rPr>
        <w:t>In the instant case, the Commission stresses that, first of all, the petitioner—who was 17 years of age at the time of the incident—was subject to trial in accordance with the provisions of Law</w:t>
      </w:r>
      <w:r w:rsidR="00E44559" w:rsidRPr="00485F6E">
        <w:rPr>
          <w:sz w:val="20"/>
          <w:szCs w:val="20"/>
        </w:rPr>
        <w:t xml:space="preserve"> 22.278 </w:t>
      </w:r>
      <w:r w:rsidRPr="00485F6E">
        <w:rPr>
          <w:sz w:val="20"/>
          <w:szCs w:val="20"/>
        </w:rPr>
        <w:t xml:space="preserve">of the </w:t>
      </w:r>
      <w:r w:rsidR="00A92A13">
        <w:rPr>
          <w:sz w:val="20"/>
          <w:szCs w:val="20"/>
        </w:rPr>
        <w:t xml:space="preserve">Criminal System for </w:t>
      </w:r>
      <w:r w:rsidRPr="00485F6E">
        <w:rPr>
          <w:sz w:val="20"/>
          <w:szCs w:val="20"/>
        </w:rPr>
        <w:t>Juvenil</w:t>
      </w:r>
      <w:r w:rsidR="00130A30" w:rsidRPr="00485F6E">
        <w:rPr>
          <w:sz w:val="20"/>
          <w:szCs w:val="20"/>
        </w:rPr>
        <w:t>e</w:t>
      </w:r>
      <w:r w:rsidR="00A92A13">
        <w:rPr>
          <w:sz w:val="20"/>
          <w:szCs w:val="20"/>
        </w:rPr>
        <w:t>s.</w:t>
      </w:r>
      <w:r w:rsidR="00E44559" w:rsidRPr="00485F6E">
        <w:rPr>
          <w:sz w:val="20"/>
          <w:szCs w:val="20"/>
        </w:rPr>
        <w:t xml:space="preserve"> </w:t>
      </w:r>
      <w:r w:rsidRPr="00485F6E">
        <w:rPr>
          <w:sz w:val="20"/>
          <w:szCs w:val="20"/>
        </w:rPr>
        <w:t>As a result of this trial, Mr.</w:t>
      </w:r>
      <w:r w:rsidR="00E44559" w:rsidRPr="00485F6E">
        <w:rPr>
          <w:sz w:val="20"/>
          <w:szCs w:val="20"/>
        </w:rPr>
        <w:t xml:space="preserve"> Pacheco </w:t>
      </w:r>
      <w:r w:rsidRPr="00485F6E">
        <w:rPr>
          <w:sz w:val="20"/>
          <w:szCs w:val="20"/>
        </w:rPr>
        <w:t>was judged</w:t>
      </w:r>
      <w:r w:rsidR="00E44559" w:rsidRPr="00485F6E">
        <w:rPr>
          <w:sz w:val="20"/>
          <w:szCs w:val="20"/>
        </w:rPr>
        <w:t xml:space="preserve"> “</w:t>
      </w:r>
      <w:r w:rsidRPr="00485F6E">
        <w:rPr>
          <w:sz w:val="20"/>
          <w:szCs w:val="20"/>
        </w:rPr>
        <w:t>criminally r</w:t>
      </w:r>
      <w:r w:rsidR="00130A30" w:rsidRPr="00485F6E">
        <w:rPr>
          <w:sz w:val="20"/>
          <w:szCs w:val="20"/>
        </w:rPr>
        <w:t xml:space="preserve">esponsible for the crime of </w:t>
      </w:r>
      <w:r w:rsidR="00EA7F00">
        <w:rPr>
          <w:sz w:val="20"/>
          <w:szCs w:val="20"/>
        </w:rPr>
        <w:t>manslaughter</w:t>
      </w:r>
      <w:r w:rsidR="00E44559" w:rsidRPr="00485F6E">
        <w:rPr>
          <w:sz w:val="20"/>
          <w:szCs w:val="20"/>
        </w:rPr>
        <w:t xml:space="preserve">” </w:t>
      </w:r>
      <w:r w:rsidRPr="00485F6E">
        <w:rPr>
          <w:sz w:val="20"/>
          <w:szCs w:val="20"/>
        </w:rPr>
        <w:t xml:space="preserve">by means of the judgment of May 19, 2000, issued by the First Chamber of the Criminal Court of </w:t>
      </w:r>
      <w:r w:rsidR="00E44559" w:rsidRPr="00485F6E">
        <w:rPr>
          <w:sz w:val="20"/>
          <w:szCs w:val="20"/>
        </w:rPr>
        <w:t>Comodoro Rivadavia</w:t>
      </w:r>
      <w:r w:rsidR="003171EA" w:rsidRPr="00485F6E">
        <w:rPr>
          <w:sz w:val="20"/>
          <w:szCs w:val="20"/>
        </w:rPr>
        <w:t xml:space="preserve">. </w:t>
      </w:r>
      <w:r w:rsidRPr="00485F6E">
        <w:rPr>
          <w:sz w:val="20"/>
          <w:szCs w:val="20"/>
        </w:rPr>
        <w:t>On September 17, 2002, the same court also sentenced the petitioner to four years prison when confirming that, according to the opinion of the judges, the requirements stipulated in Article 4 of Law 22.278 had been met</w:t>
      </w:r>
      <w:r w:rsidR="003171EA" w:rsidRPr="00485F6E">
        <w:rPr>
          <w:sz w:val="20"/>
          <w:szCs w:val="20"/>
        </w:rPr>
        <w:t xml:space="preserve">. </w:t>
      </w:r>
    </w:p>
    <w:p w14:paraId="761A473D" w14:textId="77777777" w:rsidR="00FF427B" w:rsidRPr="00485F6E" w:rsidRDefault="00FF427B" w:rsidP="00FF427B">
      <w:pPr>
        <w:pStyle w:val="ListParagraph"/>
        <w:ind w:left="0"/>
        <w:jc w:val="both"/>
        <w:rPr>
          <w:sz w:val="20"/>
          <w:szCs w:val="20"/>
        </w:rPr>
      </w:pPr>
    </w:p>
    <w:p w14:paraId="692BDFDA" w14:textId="77777777" w:rsidR="00FF427B" w:rsidRPr="00485F6E" w:rsidRDefault="00DF6CF2" w:rsidP="00FF427B">
      <w:pPr>
        <w:pStyle w:val="ListParagraph"/>
        <w:numPr>
          <w:ilvl w:val="0"/>
          <w:numId w:val="2"/>
        </w:numPr>
        <w:ind w:left="0" w:firstLine="0"/>
        <w:jc w:val="both"/>
        <w:rPr>
          <w:sz w:val="20"/>
          <w:szCs w:val="20"/>
        </w:rPr>
      </w:pPr>
      <w:r w:rsidRPr="00485F6E">
        <w:rPr>
          <w:bCs/>
          <w:sz w:val="20"/>
          <w:szCs w:val="20"/>
        </w:rPr>
        <w:t>In view of this judgment, the petitioner’s defense attorneys filed two cassation appeals with the Su</w:t>
      </w:r>
      <w:r w:rsidR="00121448">
        <w:rPr>
          <w:bCs/>
          <w:sz w:val="20"/>
          <w:szCs w:val="20"/>
        </w:rPr>
        <w:t>perior Court of Justice of the p</w:t>
      </w:r>
      <w:r w:rsidRPr="00485F6E">
        <w:rPr>
          <w:bCs/>
          <w:sz w:val="20"/>
          <w:szCs w:val="20"/>
        </w:rPr>
        <w:t xml:space="preserve">rovince of Chubut. The Commission stresses that, in accordance with the </w:t>
      </w:r>
      <w:r w:rsidR="00121448">
        <w:rPr>
          <w:bCs/>
          <w:sz w:val="20"/>
          <w:szCs w:val="20"/>
        </w:rPr>
        <w:t xml:space="preserve">system of </w:t>
      </w:r>
      <w:r w:rsidRPr="00485F6E">
        <w:rPr>
          <w:bCs/>
          <w:sz w:val="20"/>
          <w:szCs w:val="20"/>
        </w:rPr>
        <w:t>cri</w:t>
      </w:r>
      <w:r w:rsidR="00121448">
        <w:rPr>
          <w:bCs/>
          <w:sz w:val="20"/>
          <w:szCs w:val="20"/>
        </w:rPr>
        <w:t xml:space="preserve">minal procedures </w:t>
      </w:r>
      <w:r w:rsidR="00EA294F" w:rsidRPr="00485F6E">
        <w:rPr>
          <w:bCs/>
          <w:sz w:val="20"/>
          <w:szCs w:val="20"/>
        </w:rPr>
        <w:t>in force</w:t>
      </w:r>
      <w:r w:rsidR="00121448">
        <w:rPr>
          <w:bCs/>
          <w:sz w:val="20"/>
          <w:szCs w:val="20"/>
        </w:rPr>
        <w:t xml:space="preserve"> in the p</w:t>
      </w:r>
      <w:r w:rsidRPr="00485F6E">
        <w:rPr>
          <w:bCs/>
          <w:sz w:val="20"/>
          <w:szCs w:val="20"/>
        </w:rPr>
        <w:t>rovince of Chubut at the time of the trial, the admissibility of said cassation appeal depended exclusively on the grounds of “failure to abide by</w:t>
      </w:r>
      <w:r w:rsidR="00EA294F" w:rsidRPr="00485F6E">
        <w:rPr>
          <w:bCs/>
          <w:sz w:val="20"/>
          <w:szCs w:val="20"/>
        </w:rPr>
        <w:t>,</w:t>
      </w:r>
      <w:r w:rsidRPr="00485F6E">
        <w:rPr>
          <w:bCs/>
          <w:sz w:val="20"/>
          <w:szCs w:val="20"/>
        </w:rPr>
        <w:t xml:space="preserve"> or erroneous application of substantive law</w:t>
      </w:r>
      <w:r w:rsidR="00E547DE" w:rsidRPr="00485F6E">
        <w:rPr>
          <w:bCs/>
          <w:sz w:val="20"/>
          <w:szCs w:val="20"/>
        </w:rPr>
        <w:t>” o</w:t>
      </w:r>
      <w:r w:rsidR="00EA294F" w:rsidRPr="00485F6E">
        <w:rPr>
          <w:bCs/>
          <w:sz w:val="20"/>
          <w:szCs w:val="20"/>
        </w:rPr>
        <w:t>r</w:t>
      </w:r>
      <w:r w:rsidR="00E547DE" w:rsidRPr="00485F6E">
        <w:rPr>
          <w:bCs/>
          <w:sz w:val="20"/>
          <w:szCs w:val="20"/>
        </w:rPr>
        <w:t xml:space="preserve"> “</w:t>
      </w:r>
      <w:r w:rsidR="00EA294F" w:rsidRPr="00485F6E">
        <w:rPr>
          <w:bCs/>
          <w:sz w:val="20"/>
          <w:szCs w:val="20"/>
        </w:rPr>
        <w:t>failure to observe the norms that the present Code establishes, leading to inadmissibility, exp</w:t>
      </w:r>
      <w:r w:rsidR="00487B3D">
        <w:rPr>
          <w:bCs/>
          <w:sz w:val="20"/>
          <w:szCs w:val="20"/>
        </w:rPr>
        <w:t>iry,</w:t>
      </w:r>
      <w:r w:rsidR="00EA294F" w:rsidRPr="00485F6E">
        <w:rPr>
          <w:bCs/>
          <w:sz w:val="20"/>
          <w:szCs w:val="20"/>
        </w:rPr>
        <w:t xml:space="preserve"> or annulment, as long as, except for cases of absolute nullification, the complainant has called for the redress of the error within statutory time-limits, if possible, or filed a protest with a cassation appeal.</w:t>
      </w:r>
      <w:r w:rsidR="00E547DE" w:rsidRPr="00485F6E">
        <w:rPr>
          <w:bCs/>
          <w:sz w:val="20"/>
          <w:szCs w:val="20"/>
        </w:rPr>
        <w:t>”</w:t>
      </w:r>
      <w:r w:rsidR="00E547DE" w:rsidRPr="00485F6E">
        <w:rPr>
          <w:rStyle w:val="FootnoteReference"/>
          <w:bCs/>
          <w:sz w:val="20"/>
          <w:szCs w:val="20"/>
        </w:rPr>
        <w:footnoteReference w:id="59"/>
      </w:r>
    </w:p>
    <w:p w14:paraId="53378F3A" w14:textId="77777777" w:rsidR="00FF427B" w:rsidRPr="00485F6E" w:rsidRDefault="00FF427B" w:rsidP="00FF427B">
      <w:pPr>
        <w:pStyle w:val="ListParagraph"/>
        <w:ind w:left="0"/>
        <w:jc w:val="both"/>
        <w:rPr>
          <w:sz w:val="20"/>
          <w:szCs w:val="20"/>
        </w:rPr>
      </w:pPr>
    </w:p>
    <w:p w14:paraId="157E8687" w14:textId="77777777" w:rsidR="00FF427B" w:rsidRPr="00485F6E" w:rsidRDefault="00EA294F" w:rsidP="00FF427B">
      <w:pPr>
        <w:pStyle w:val="ListParagraph"/>
        <w:numPr>
          <w:ilvl w:val="0"/>
          <w:numId w:val="2"/>
        </w:numPr>
        <w:ind w:left="0" w:firstLine="0"/>
        <w:jc w:val="both"/>
        <w:rPr>
          <w:sz w:val="20"/>
          <w:szCs w:val="20"/>
        </w:rPr>
      </w:pPr>
      <w:r w:rsidRPr="00485F6E">
        <w:rPr>
          <w:bCs/>
          <w:sz w:val="20"/>
          <w:szCs w:val="20"/>
        </w:rPr>
        <w:t>The Commission also stresses that the Su</w:t>
      </w:r>
      <w:r w:rsidR="00D14BFF">
        <w:rPr>
          <w:bCs/>
          <w:sz w:val="20"/>
          <w:szCs w:val="20"/>
        </w:rPr>
        <w:t>perior Court of Justice of the p</w:t>
      </w:r>
      <w:r w:rsidRPr="00485F6E">
        <w:rPr>
          <w:bCs/>
          <w:sz w:val="20"/>
          <w:szCs w:val="20"/>
        </w:rPr>
        <w:t>rovince of Chubut, by means of the judgment of December 16, 2002, decided to rule t</w:t>
      </w:r>
      <w:r w:rsidR="00D14BFF">
        <w:rPr>
          <w:bCs/>
          <w:sz w:val="20"/>
          <w:szCs w:val="20"/>
        </w:rPr>
        <w:t>hat both cassation appeals were</w:t>
      </w:r>
      <w:r w:rsidRPr="00485F6E">
        <w:rPr>
          <w:bCs/>
          <w:sz w:val="20"/>
          <w:szCs w:val="20"/>
        </w:rPr>
        <w:t xml:space="preserve"> “inadmissible” and did not begin examining the challenges being made in said appeals</w:t>
      </w:r>
      <w:r w:rsidR="00A84C71" w:rsidRPr="00485F6E">
        <w:rPr>
          <w:bCs/>
          <w:sz w:val="20"/>
          <w:szCs w:val="20"/>
        </w:rPr>
        <w:t xml:space="preserve">. </w:t>
      </w:r>
      <w:r w:rsidRPr="00485F6E">
        <w:rPr>
          <w:bCs/>
          <w:sz w:val="20"/>
          <w:szCs w:val="20"/>
        </w:rPr>
        <w:t>The Commission notes that, in the above-mentioned ruling, the court confined its argument to stating that “</w:t>
      </w:r>
      <w:r w:rsidR="00A92A13" w:rsidRPr="00485F6E">
        <w:rPr>
          <w:sz w:val="20"/>
          <w:szCs w:val="20"/>
        </w:rPr>
        <w:t>the judges in the debate are sovereign in their application of the circumstances referred to in the Criminal System for Juveniles</w:t>
      </w:r>
      <w:r w:rsidR="00A92A13">
        <w:rPr>
          <w:sz w:val="20"/>
          <w:szCs w:val="20"/>
        </w:rPr>
        <w:t>,</w:t>
      </w:r>
      <w:r w:rsidR="00A92A13" w:rsidRPr="00485F6E">
        <w:rPr>
          <w:sz w:val="20"/>
          <w:szCs w:val="20"/>
        </w:rPr>
        <w:t xml:space="preserve"> Law 22.278, Article 4, second subparagraph and </w:t>
      </w:r>
      <w:r w:rsidR="00A92A13" w:rsidRPr="00942F86">
        <w:rPr>
          <w:i/>
          <w:sz w:val="20"/>
          <w:szCs w:val="20"/>
        </w:rPr>
        <w:t>in fine</w:t>
      </w:r>
      <w:r w:rsidR="00A92A13">
        <w:rPr>
          <w:sz w:val="20"/>
          <w:szCs w:val="20"/>
        </w:rPr>
        <w:t xml:space="preserve"> and in</w:t>
      </w:r>
      <w:r w:rsidR="00A92A13" w:rsidRPr="00485F6E">
        <w:rPr>
          <w:sz w:val="20"/>
          <w:szCs w:val="20"/>
        </w:rPr>
        <w:t xml:space="preserve"> the Criminal Code, Articles 40 and 41, </w:t>
      </w:r>
      <w:r w:rsidR="00A92A13">
        <w:rPr>
          <w:sz w:val="20"/>
          <w:szCs w:val="20"/>
        </w:rPr>
        <w:t>unless absurdity</w:t>
      </w:r>
      <w:r w:rsidR="00A92A13" w:rsidRPr="00485F6E">
        <w:rPr>
          <w:sz w:val="20"/>
          <w:szCs w:val="20"/>
        </w:rPr>
        <w:t xml:space="preserve"> is alleged and proven </w:t>
      </w:r>
      <w:r w:rsidR="00A92A13">
        <w:rPr>
          <w:sz w:val="20"/>
          <w:szCs w:val="20"/>
        </w:rPr>
        <w:t xml:space="preserve">when </w:t>
      </w:r>
      <w:r w:rsidR="00A92A13" w:rsidRPr="00485F6E">
        <w:rPr>
          <w:sz w:val="20"/>
          <w:szCs w:val="20"/>
        </w:rPr>
        <w:t xml:space="preserve">weighing the </w:t>
      </w:r>
      <w:r w:rsidR="00A92A13">
        <w:rPr>
          <w:sz w:val="20"/>
          <w:szCs w:val="20"/>
        </w:rPr>
        <w:t>considerations or that</w:t>
      </w:r>
      <w:r w:rsidR="00A92A13" w:rsidRPr="00485F6E">
        <w:rPr>
          <w:sz w:val="20"/>
          <w:szCs w:val="20"/>
        </w:rPr>
        <w:t xml:space="preserve"> the judges either </w:t>
      </w:r>
      <w:r w:rsidR="00A92A13">
        <w:rPr>
          <w:sz w:val="20"/>
          <w:szCs w:val="20"/>
        </w:rPr>
        <w:t>exceeded the range of penalties</w:t>
      </w:r>
      <w:r w:rsidR="00A92A13" w:rsidRPr="00485F6E">
        <w:rPr>
          <w:sz w:val="20"/>
          <w:szCs w:val="20"/>
        </w:rPr>
        <w:t xml:space="preserve"> set for the crime or distorted the nature or scope of those penalties</w:t>
      </w:r>
      <w:r w:rsidR="00326700" w:rsidRPr="00485F6E">
        <w:rPr>
          <w:bCs/>
          <w:sz w:val="20"/>
          <w:szCs w:val="20"/>
        </w:rPr>
        <w:t xml:space="preserve">. </w:t>
      </w:r>
      <w:r w:rsidR="004605FC">
        <w:rPr>
          <w:bCs/>
          <w:sz w:val="20"/>
          <w:szCs w:val="20"/>
        </w:rPr>
        <w:t>The</w:t>
      </w:r>
      <w:r w:rsidR="00385621" w:rsidRPr="00485F6E">
        <w:rPr>
          <w:bCs/>
          <w:sz w:val="20"/>
          <w:szCs w:val="20"/>
        </w:rPr>
        <w:t xml:space="preserve"> cassation appeal</w:t>
      </w:r>
      <w:r w:rsidR="004605FC">
        <w:rPr>
          <w:bCs/>
          <w:sz w:val="20"/>
          <w:szCs w:val="20"/>
        </w:rPr>
        <w:t xml:space="preserve"> motion</w:t>
      </w:r>
      <w:r w:rsidR="00385621" w:rsidRPr="00485F6E">
        <w:rPr>
          <w:bCs/>
          <w:sz w:val="20"/>
          <w:szCs w:val="20"/>
        </w:rPr>
        <w:t xml:space="preserve"> is not admissible because there is no objective criterion to determine the attitude that the judge must adopt regarding the appraisal of said factual matters.</w:t>
      </w:r>
      <w:r w:rsidR="00326700" w:rsidRPr="00485F6E">
        <w:rPr>
          <w:bCs/>
          <w:sz w:val="20"/>
          <w:szCs w:val="20"/>
        </w:rPr>
        <w:t>”</w:t>
      </w:r>
      <w:r w:rsidR="00326700" w:rsidRPr="00485F6E">
        <w:rPr>
          <w:rStyle w:val="FootnoteReference"/>
          <w:bCs/>
          <w:sz w:val="20"/>
          <w:szCs w:val="20"/>
        </w:rPr>
        <w:footnoteReference w:id="60"/>
      </w:r>
    </w:p>
    <w:p w14:paraId="31FBB672" w14:textId="77777777" w:rsidR="00FF427B" w:rsidRPr="00485F6E" w:rsidRDefault="00FF427B" w:rsidP="00FF427B">
      <w:pPr>
        <w:pStyle w:val="ListParagraph"/>
        <w:ind w:left="0"/>
        <w:jc w:val="both"/>
        <w:rPr>
          <w:sz w:val="20"/>
          <w:szCs w:val="20"/>
        </w:rPr>
      </w:pPr>
    </w:p>
    <w:p w14:paraId="2092FF3E" w14:textId="77777777" w:rsidR="00FF427B" w:rsidRPr="00485F6E" w:rsidRDefault="00C23CB2" w:rsidP="00FF427B">
      <w:pPr>
        <w:pStyle w:val="ListParagraph"/>
        <w:numPr>
          <w:ilvl w:val="0"/>
          <w:numId w:val="2"/>
        </w:numPr>
        <w:ind w:left="0" w:firstLine="0"/>
        <w:jc w:val="both"/>
        <w:rPr>
          <w:sz w:val="20"/>
          <w:szCs w:val="20"/>
        </w:rPr>
      </w:pPr>
      <w:r w:rsidRPr="00485F6E">
        <w:rPr>
          <w:bCs/>
          <w:sz w:val="20"/>
          <w:szCs w:val="20"/>
        </w:rPr>
        <w:t xml:space="preserve">The Commission understands that the statutory limitation currently in force in the </w:t>
      </w:r>
      <w:r w:rsidR="00942F86">
        <w:rPr>
          <w:bCs/>
          <w:sz w:val="20"/>
          <w:szCs w:val="20"/>
        </w:rPr>
        <w:t xml:space="preserve">Code of </w:t>
      </w:r>
      <w:r w:rsidRPr="00485F6E">
        <w:rPr>
          <w:bCs/>
          <w:sz w:val="20"/>
          <w:szCs w:val="20"/>
        </w:rPr>
        <w:t>Criminal Procedur</w:t>
      </w:r>
      <w:r w:rsidR="00942F86">
        <w:rPr>
          <w:bCs/>
          <w:sz w:val="20"/>
          <w:szCs w:val="20"/>
        </w:rPr>
        <w:t>es</w:t>
      </w:r>
      <w:r w:rsidRPr="00485F6E">
        <w:rPr>
          <w:bCs/>
          <w:sz w:val="20"/>
          <w:szCs w:val="20"/>
        </w:rPr>
        <w:t xml:space="preserve"> of Chubut for the admissibility of a cassation appeal filed against a judgment of conviction at the time of incident made it impossible, in this concrete case, for Mr.</w:t>
      </w:r>
      <w:r w:rsidR="00E02D16" w:rsidRPr="00485F6E">
        <w:rPr>
          <w:bCs/>
          <w:sz w:val="20"/>
          <w:szCs w:val="20"/>
        </w:rPr>
        <w:t xml:space="preserve"> Pacheco </w:t>
      </w:r>
      <w:r w:rsidRPr="00485F6E">
        <w:rPr>
          <w:bCs/>
          <w:sz w:val="20"/>
          <w:szCs w:val="20"/>
        </w:rPr>
        <w:t>to exercise his right to a comprehensive review of the judicial ruling issue</w:t>
      </w:r>
      <w:r w:rsidR="004605FC">
        <w:rPr>
          <w:bCs/>
          <w:sz w:val="20"/>
          <w:szCs w:val="20"/>
        </w:rPr>
        <w:t>d</w:t>
      </w:r>
      <w:r w:rsidRPr="00485F6E">
        <w:rPr>
          <w:bCs/>
          <w:sz w:val="20"/>
          <w:szCs w:val="20"/>
        </w:rPr>
        <w:t xml:space="preserve"> by the court of first instance.</w:t>
      </w:r>
      <w:r w:rsidR="00CD2B2B" w:rsidRPr="00485F6E">
        <w:rPr>
          <w:rStyle w:val="FootnoteReference"/>
          <w:bCs/>
          <w:sz w:val="20"/>
          <w:szCs w:val="20"/>
        </w:rPr>
        <w:footnoteReference w:id="61"/>
      </w:r>
    </w:p>
    <w:p w14:paraId="4256C078" w14:textId="77777777" w:rsidR="00FF427B" w:rsidRPr="00485F6E" w:rsidRDefault="00FF427B" w:rsidP="00FF427B">
      <w:pPr>
        <w:pStyle w:val="ListParagraph"/>
        <w:ind w:left="0"/>
        <w:jc w:val="both"/>
        <w:rPr>
          <w:sz w:val="20"/>
          <w:szCs w:val="20"/>
        </w:rPr>
      </w:pPr>
    </w:p>
    <w:p w14:paraId="1522985C" w14:textId="77777777" w:rsidR="00FF427B" w:rsidRPr="00485F6E" w:rsidRDefault="00F854CB" w:rsidP="00FF427B">
      <w:pPr>
        <w:pStyle w:val="ListParagraph"/>
        <w:numPr>
          <w:ilvl w:val="0"/>
          <w:numId w:val="2"/>
        </w:numPr>
        <w:ind w:left="0" w:firstLine="0"/>
        <w:jc w:val="both"/>
        <w:rPr>
          <w:sz w:val="20"/>
          <w:szCs w:val="20"/>
        </w:rPr>
      </w:pPr>
      <w:r w:rsidRPr="00485F6E">
        <w:rPr>
          <w:bCs/>
          <w:sz w:val="20"/>
          <w:szCs w:val="20"/>
        </w:rPr>
        <w:t>It is not the duty of IACHR to determine the possible questions that could have been asked in the instant case if the constraining factors had not been applied. The IACHR has indicated that</w:t>
      </w:r>
      <w:r w:rsidR="004C366A" w:rsidRPr="00485F6E">
        <w:rPr>
          <w:bCs/>
          <w:sz w:val="20"/>
          <w:szCs w:val="20"/>
        </w:rPr>
        <w:t xml:space="preserve"> </w:t>
      </w:r>
      <w:r w:rsidR="00E02D16" w:rsidRPr="00485F6E">
        <w:rPr>
          <w:bCs/>
          <w:sz w:val="20"/>
          <w:szCs w:val="20"/>
        </w:rPr>
        <w:t>“</w:t>
      </w:r>
      <w:r w:rsidRPr="00485F6E">
        <w:rPr>
          <w:bCs/>
          <w:sz w:val="20"/>
          <w:szCs w:val="20"/>
        </w:rPr>
        <w:t xml:space="preserve">it is enough to determine that the alleged victims launched the appeal stage with a statutory limitation regarding the allegations that </w:t>
      </w:r>
      <w:r w:rsidRPr="00485F6E">
        <w:rPr>
          <w:bCs/>
          <w:sz w:val="20"/>
          <w:szCs w:val="20"/>
        </w:rPr>
        <w:lastRenderedPageBreak/>
        <w:t>could be filed</w:t>
      </w:r>
      <w:r w:rsidR="00E02D16" w:rsidRPr="00485F6E">
        <w:rPr>
          <w:bCs/>
          <w:sz w:val="20"/>
          <w:szCs w:val="20"/>
        </w:rPr>
        <w:t xml:space="preserve"> (…)</w:t>
      </w:r>
      <w:r w:rsidRPr="00485F6E">
        <w:rPr>
          <w:bCs/>
          <w:sz w:val="20"/>
          <w:szCs w:val="20"/>
        </w:rPr>
        <w:t>.</w:t>
      </w:r>
      <w:r w:rsidR="00E02D16" w:rsidRPr="00485F6E">
        <w:rPr>
          <w:bCs/>
          <w:sz w:val="20"/>
          <w:szCs w:val="20"/>
        </w:rPr>
        <w:t xml:space="preserve"> </w:t>
      </w:r>
      <w:r w:rsidRPr="00485F6E">
        <w:rPr>
          <w:bCs/>
          <w:sz w:val="20"/>
          <w:szCs w:val="20"/>
        </w:rPr>
        <w:t>This exclusion, in itself, is incompatible with the broad scope of the appeal envisaged in Article 8(</w:t>
      </w:r>
      <w:r w:rsidR="00E02D16" w:rsidRPr="00485F6E">
        <w:rPr>
          <w:bCs/>
          <w:sz w:val="20"/>
          <w:szCs w:val="20"/>
        </w:rPr>
        <w:t>2</w:t>
      </w:r>
      <w:r w:rsidRPr="00485F6E">
        <w:rPr>
          <w:bCs/>
          <w:sz w:val="20"/>
          <w:szCs w:val="20"/>
        </w:rPr>
        <w:t>)(</w:t>
      </w:r>
      <w:r w:rsidR="00E02D16" w:rsidRPr="00485F6E">
        <w:rPr>
          <w:bCs/>
          <w:sz w:val="20"/>
          <w:szCs w:val="20"/>
        </w:rPr>
        <w:t>h</w:t>
      </w:r>
      <w:r w:rsidRPr="00485F6E">
        <w:rPr>
          <w:bCs/>
          <w:sz w:val="20"/>
          <w:szCs w:val="20"/>
        </w:rPr>
        <w:t>) of the American Convention.” In any case, the limited scope of the cassation appeal was reflected in the way in which said appeals were ruled on in the concrete case</w:t>
      </w:r>
      <w:r w:rsidR="00E02D16" w:rsidRPr="00485F6E">
        <w:rPr>
          <w:bCs/>
          <w:sz w:val="20"/>
          <w:szCs w:val="20"/>
        </w:rPr>
        <w:t>.</w:t>
      </w:r>
    </w:p>
    <w:p w14:paraId="6B3BAFF3" w14:textId="77777777" w:rsidR="00FF427B" w:rsidRPr="00485F6E" w:rsidRDefault="00FF427B" w:rsidP="00FF427B">
      <w:pPr>
        <w:pStyle w:val="ListParagraph"/>
        <w:ind w:left="0"/>
        <w:jc w:val="both"/>
        <w:rPr>
          <w:sz w:val="20"/>
          <w:szCs w:val="20"/>
        </w:rPr>
      </w:pPr>
    </w:p>
    <w:p w14:paraId="6BD9F5C2" w14:textId="77777777" w:rsidR="00FF427B" w:rsidRPr="00485F6E" w:rsidRDefault="00E02D16" w:rsidP="00FF427B">
      <w:pPr>
        <w:pStyle w:val="ListParagraph"/>
        <w:numPr>
          <w:ilvl w:val="0"/>
          <w:numId w:val="2"/>
        </w:numPr>
        <w:ind w:left="0" w:firstLine="0"/>
        <w:jc w:val="both"/>
        <w:rPr>
          <w:sz w:val="20"/>
          <w:szCs w:val="20"/>
        </w:rPr>
      </w:pPr>
      <w:r w:rsidRPr="00485F6E">
        <w:rPr>
          <w:bCs/>
          <w:sz w:val="20"/>
          <w:szCs w:val="20"/>
        </w:rPr>
        <w:t>Final</w:t>
      </w:r>
      <w:r w:rsidR="00F854CB" w:rsidRPr="00485F6E">
        <w:rPr>
          <w:bCs/>
          <w:sz w:val="20"/>
          <w:szCs w:val="20"/>
        </w:rPr>
        <w:t xml:space="preserve">ly, the IACHR notes </w:t>
      </w:r>
      <w:r w:rsidR="00121448">
        <w:rPr>
          <w:bCs/>
          <w:sz w:val="20"/>
          <w:szCs w:val="20"/>
        </w:rPr>
        <w:t>that the allegations made by Mr. Pacheco’s</w:t>
      </w:r>
      <w:r w:rsidR="00F854CB" w:rsidRPr="00485F6E">
        <w:rPr>
          <w:bCs/>
          <w:sz w:val="20"/>
          <w:szCs w:val="20"/>
        </w:rPr>
        <w:t xml:space="preserve"> defense attorneys regarding a possible violation of the right to a comprehensive review of the judgment of conviction were not examined by the</w:t>
      </w:r>
      <w:r w:rsidR="009B76CB">
        <w:rPr>
          <w:bCs/>
          <w:sz w:val="20"/>
          <w:szCs w:val="20"/>
        </w:rPr>
        <w:t xml:space="preserve"> Federal</w:t>
      </w:r>
      <w:r w:rsidR="00F854CB" w:rsidRPr="00485F6E">
        <w:rPr>
          <w:bCs/>
          <w:sz w:val="20"/>
          <w:szCs w:val="20"/>
        </w:rPr>
        <w:t xml:space="preserve"> Supreme Court of Justice, because this court had ruled that the </w:t>
      </w:r>
      <w:r w:rsidR="00F64F34">
        <w:rPr>
          <w:bCs/>
          <w:sz w:val="20"/>
          <w:szCs w:val="20"/>
        </w:rPr>
        <w:t>special federal appeal</w:t>
      </w:r>
      <w:r w:rsidR="00F854CB" w:rsidRPr="00485F6E">
        <w:rPr>
          <w:bCs/>
          <w:sz w:val="20"/>
          <w:szCs w:val="20"/>
        </w:rPr>
        <w:t xml:space="preserve"> was “inadmissible.”</w:t>
      </w:r>
      <w:r w:rsidRPr="00485F6E">
        <w:rPr>
          <w:bCs/>
          <w:sz w:val="20"/>
          <w:szCs w:val="20"/>
        </w:rPr>
        <w:t xml:space="preserve"> </w:t>
      </w:r>
      <w:r w:rsidR="00B46121" w:rsidRPr="00485F6E">
        <w:rPr>
          <w:bCs/>
          <w:sz w:val="20"/>
          <w:szCs w:val="20"/>
        </w:rPr>
        <w:t>Without detriment to the above, the Commission deems that the limitations sustained by the alleged victim in connection with the reasons for the admissibility of the cassation appeal could not, in principle</w:t>
      </w:r>
      <w:r w:rsidR="00121448">
        <w:rPr>
          <w:bCs/>
          <w:sz w:val="20"/>
          <w:szCs w:val="20"/>
        </w:rPr>
        <w:t>,</w:t>
      </w:r>
      <w:r w:rsidR="00B46121" w:rsidRPr="00485F6E">
        <w:rPr>
          <w:bCs/>
          <w:sz w:val="20"/>
          <w:szCs w:val="20"/>
        </w:rPr>
        <w:t xml:space="preserve"> have been resolved by filing the </w:t>
      </w:r>
      <w:r w:rsidR="00F64F34">
        <w:rPr>
          <w:bCs/>
          <w:sz w:val="20"/>
          <w:szCs w:val="20"/>
        </w:rPr>
        <w:t>special federal appeal</w:t>
      </w:r>
      <w:r w:rsidR="00B46121" w:rsidRPr="00485F6E">
        <w:rPr>
          <w:bCs/>
          <w:sz w:val="20"/>
          <w:szCs w:val="20"/>
        </w:rPr>
        <w:t>, which, in turn, also involved specific limitations in terms of admissibility for the discussion of factual matters, as set forth in Article 14 of Law 48.</w:t>
      </w:r>
      <w:r w:rsidR="00572B2D" w:rsidRPr="00485F6E">
        <w:rPr>
          <w:rStyle w:val="FootnoteReference"/>
          <w:bCs/>
          <w:sz w:val="20"/>
          <w:szCs w:val="20"/>
        </w:rPr>
        <w:footnoteReference w:id="62"/>
      </w:r>
    </w:p>
    <w:p w14:paraId="23B616AE" w14:textId="77777777" w:rsidR="00FF427B" w:rsidRPr="00485F6E" w:rsidRDefault="00FF427B" w:rsidP="00FF427B">
      <w:pPr>
        <w:pStyle w:val="ListParagraph"/>
        <w:ind w:left="0"/>
        <w:jc w:val="both"/>
        <w:rPr>
          <w:sz w:val="20"/>
          <w:szCs w:val="20"/>
        </w:rPr>
      </w:pPr>
    </w:p>
    <w:p w14:paraId="1B90C6CA" w14:textId="77777777" w:rsidR="00FF427B" w:rsidRPr="00485F6E" w:rsidRDefault="00B46121" w:rsidP="00FF427B">
      <w:pPr>
        <w:pStyle w:val="ListParagraph"/>
        <w:numPr>
          <w:ilvl w:val="0"/>
          <w:numId w:val="2"/>
        </w:numPr>
        <w:ind w:left="0" w:firstLine="0"/>
        <w:jc w:val="both"/>
        <w:rPr>
          <w:sz w:val="20"/>
          <w:szCs w:val="20"/>
        </w:rPr>
      </w:pPr>
      <w:r w:rsidRPr="00485F6E">
        <w:rPr>
          <w:bCs/>
          <w:sz w:val="20"/>
          <w:szCs w:val="20"/>
        </w:rPr>
        <w:t>Finally, the Commission understands that, subsequent to the judgment of the Su</w:t>
      </w:r>
      <w:r w:rsidR="00B15347">
        <w:rPr>
          <w:bCs/>
          <w:sz w:val="20"/>
          <w:szCs w:val="20"/>
        </w:rPr>
        <w:t>perior Court of Justice of the p</w:t>
      </w:r>
      <w:r w:rsidRPr="00485F6E">
        <w:rPr>
          <w:bCs/>
          <w:sz w:val="20"/>
          <w:szCs w:val="20"/>
        </w:rPr>
        <w:t xml:space="preserve">rovince of Chubut, the </w:t>
      </w:r>
      <w:r w:rsidR="00B15347">
        <w:rPr>
          <w:bCs/>
          <w:sz w:val="20"/>
          <w:szCs w:val="20"/>
        </w:rPr>
        <w:t xml:space="preserve">system of criminal procedures </w:t>
      </w:r>
      <w:r w:rsidRPr="00485F6E">
        <w:rPr>
          <w:bCs/>
          <w:sz w:val="20"/>
          <w:szCs w:val="20"/>
        </w:rPr>
        <w:t>of the province underwent changes that, in principle, would ensure that those who were parties to a criminal proceeding would be entitled to secure a comprehensive and exhaustive review of the ruling of the first instance.</w:t>
      </w:r>
      <w:r w:rsidR="006E6452" w:rsidRPr="00485F6E">
        <w:rPr>
          <w:rStyle w:val="FootnoteReference"/>
          <w:bCs/>
          <w:sz w:val="20"/>
          <w:szCs w:val="20"/>
        </w:rPr>
        <w:footnoteReference w:id="63"/>
      </w:r>
      <w:r w:rsidR="006E6452" w:rsidRPr="00485F6E">
        <w:rPr>
          <w:bCs/>
          <w:sz w:val="20"/>
          <w:szCs w:val="20"/>
        </w:rPr>
        <w:t xml:space="preserve"> </w:t>
      </w:r>
      <w:r w:rsidRPr="00485F6E">
        <w:rPr>
          <w:bCs/>
          <w:sz w:val="20"/>
          <w:szCs w:val="20"/>
        </w:rPr>
        <w:t>The IACHR also notes that, at the federal level, there has been a series of jurisprudence pronouncements and, more recently, legislative reforms that also pursued the creation of a broad and accessible remedy in order to ensure the comprehensive review of the sentence being appealed.</w:t>
      </w:r>
      <w:r w:rsidR="004C366A" w:rsidRPr="00485F6E">
        <w:rPr>
          <w:rStyle w:val="FootnoteReference"/>
          <w:bCs/>
          <w:sz w:val="20"/>
          <w:szCs w:val="20"/>
        </w:rPr>
        <w:footnoteReference w:id="64"/>
      </w:r>
      <w:r w:rsidRPr="00485F6E">
        <w:rPr>
          <w:bCs/>
          <w:sz w:val="20"/>
          <w:szCs w:val="20"/>
        </w:rPr>
        <w:t xml:space="preserve"> Nevertheless, the Commission understands that, in the instant case, said reforms did not in any way change the procedural status of the petitioner because, by the time they were implemented, the judgment against Mr. Pacheco had become </w:t>
      </w:r>
      <w:r w:rsidRPr="00485F6E">
        <w:rPr>
          <w:bCs/>
          <w:i/>
          <w:sz w:val="20"/>
          <w:szCs w:val="20"/>
        </w:rPr>
        <w:t>res judicata.</w:t>
      </w:r>
      <w:r w:rsidRPr="00485F6E">
        <w:rPr>
          <w:bCs/>
          <w:sz w:val="20"/>
          <w:szCs w:val="20"/>
        </w:rPr>
        <w:t xml:space="preserve"> As a result, the</w:t>
      </w:r>
      <w:r w:rsidR="004C366A" w:rsidRPr="00485F6E">
        <w:rPr>
          <w:bCs/>
          <w:sz w:val="20"/>
          <w:szCs w:val="20"/>
        </w:rPr>
        <w:t xml:space="preserve"> </w:t>
      </w:r>
      <w:r w:rsidRPr="00485F6E">
        <w:rPr>
          <w:bCs/>
          <w:sz w:val="20"/>
          <w:szCs w:val="20"/>
        </w:rPr>
        <w:t>Commission concludes that the violation of the right to appeal the judgment of conviction sustained by the petitioner has not been adequately or comprehensively redressed by the state of Argentina.</w:t>
      </w:r>
    </w:p>
    <w:p w14:paraId="1C26E1FE" w14:textId="77777777" w:rsidR="00FF427B" w:rsidRPr="00485F6E" w:rsidRDefault="00FF427B" w:rsidP="00FF427B">
      <w:pPr>
        <w:pStyle w:val="ListParagraph"/>
        <w:ind w:left="0"/>
        <w:jc w:val="both"/>
        <w:rPr>
          <w:sz w:val="20"/>
          <w:szCs w:val="20"/>
        </w:rPr>
      </w:pPr>
    </w:p>
    <w:p w14:paraId="1AB88001" w14:textId="77777777" w:rsidR="00C13D02" w:rsidRPr="00485F6E" w:rsidRDefault="00E736EE" w:rsidP="00FF427B">
      <w:pPr>
        <w:pStyle w:val="ListParagraph"/>
        <w:numPr>
          <w:ilvl w:val="0"/>
          <w:numId w:val="2"/>
        </w:numPr>
        <w:ind w:left="0" w:firstLine="0"/>
        <w:jc w:val="both"/>
        <w:rPr>
          <w:sz w:val="20"/>
          <w:szCs w:val="20"/>
        </w:rPr>
      </w:pPr>
      <w:r w:rsidRPr="00485F6E">
        <w:rPr>
          <w:bCs/>
          <w:sz w:val="20"/>
          <w:szCs w:val="20"/>
        </w:rPr>
        <w:t>By virtu</w:t>
      </w:r>
      <w:r w:rsidR="00B46121" w:rsidRPr="00485F6E">
        <w:rPr>
          <w:bCs/>
          <w:sz w:val="20"/>
          <w:szCs w:val="20"/>
        </w:rPr>
        <w:t>e of the above considerations, the IACHR</w:t>
      </w:r>
      <w:r w:rsidR="00C13D02" w:rsidRPr="00485F6E">
        <w:rPr>
          <w:bCs/>
          <w:sz w:val="20"/>
          <w:szCs w:val="20"/>
        </w:rPr>
        <w:t xml:space="preserve"> </w:t>
      </w:r>
      <w:r w:rsidR="00B46121" w:rsidRPr="00485F6E">
        <w:rPr>
          <w:bCs/>
          <w:sz w:val="20"/>
          <w:szCs w:val="20"/>
        </w:rPr>
        <w:t>concludes that Mr. Pacheco did not benefit from an appeal before the hierarchi</w:t>
      </w:r>
      <w:r w:rsidR="00E658B7" w:rsidRPr="00485F6E">
        <w:rPr>
          <w:bCs/>
          <w:sz w:val="20"/>
          <w:szCs w:val="20"/>
        </w:rPr>
        <w:t>cal authority that would have conducted a comprehensive review of the conviction issued against him</w:t>
      </w:r>
      <w:r w:rsidR="00C13D02" w:rsidRPr="00485F6E">
        <w:rPr>
          <w:bCs/>
          <w:sz w:val="20"/>
          <w:szCs w:val="20"/>
        </w:rPr>
        <w:t>, inclu</w:t>
      </w:r>
      <w:r w:rsidR="00E658B7" w:rsidRPr="00485F6E">
        <w:rPr>
          <w:bCs/>
          <w:sz w:val="20"/>
          <w:szCs w:val="20"/>
        </w:rPr>
        <w:t>ding matters of fact, law, appraisal of evidence, and due process of law as alleged by the defense attorneys in the cassation appeal.</w:t>
      </w:r>
      <w:r w:rsidR="00C13D02" w:rsidRPr="00485F6E">
        <w:rPr>
          <w:bCs/>
          <w:sz w:val="20"/>
          <w:szCs w:val="20"/>
        </w:rPr>
        <w:t xml:space="preserve"> </w:t>
      </w:r>
      <w:r w:rsidR="00E658B7" w:rsidRPr="00485F6E">
        <w:rPr>
          <w:bCs/>
          <w:sz w:val="20"/>
          <w:szCs w:val="20"/>
        </w:rPr>
        <w:t xml:space="preserve">In that regard, the Commission concludes that the state of Argentina violated the right to appeal the judgment </w:t>
      </w:r>
      <w:r w:rsidR="00B15347">
        <w:rPr>
          <w:bCs/>
          <w:sz w:val="20"/>
          <w:szCs w:val="20"/>
        </w:rPr>
        <w:t xml:space="preserve">as </w:t>
      </w:r>
      <w:r w:rsidR="00E658B7" w:rsidRPr="00485F6E">
        <w:rPr>
          <w:bCs/>
          <w:sz w:val="20"/>
          <w:szCs w:val="20"/>
        </w:rPr>
        <w:t>set forth in Article</w:t>
      </w:r>
      <w:r w:rsidR="00C13D02" w:rsidRPr="00485F6E">
        <w:rPr>
          <w:bCs/>
          <w:sz w:val="20"/>
          <w:szCs w:val="20"/>
        </w:rPr>
        <w:t xml:space="preserve"> 8</w:t>
      </w:r>
      <w:r w:rsidR="00E658B7" w:rsidRPr="00485F6E">
        <w:rPr>
          <w:bCs/>
          <w:sz w:val="20"/>
          <w:szCs w:val="20"/>
        </w:rPr>
        <w:t>(</w:t>
      </w:r>
      <w:r w:rsidR="00C13D02" w:rsidRPr="00485F6E">
        <w:rPr>
          <w:bCs/>
          <w:sz w:val="20"/>
          <w:szCs w:val="20"/>
        </w:rPr>
        <w:t>2</w:t>
      </w:r>
      <w:r w:rsidR="00E658B7" w:rsidRPr="00485F6E">
        <w:rPr>
          <w:bCs/>
          <w:sz w:val="20"/>
          <w:szCs w:val="20"/>
        </w:rPr>
        <w:t>)(</w:t>
      </w:r>
      <w:r w:rsidR="00C13D02" w:rsidRPr="00485F6E">
        <w:rPr>
          <w:bCs/>
          <w:sz w:val="20"/>
          <w:szCs w:val="20"/>
        </w:rPr>
        <w:t>h</w:t>
      </w:r>
      <w:r w:rsidR="00E658B7" w:rsidRPr="00485F6E">
        <w:rPr>
          <w:bCs/>
          <w:sz w:val="20"/>
          <w:szCs w:val="20"/>
        </w:rPr>
        <w:t>) of the American Convention, in connection with Articles</w:t>
      </w:r>
      <w:r w:rsidR="00604F0D" w:rsidRPr="00485F6E">
        <w:rPr>
          <w:bCs/>
          <w:sz w:val="20"/>
          <w:szCs w:val="20"/>
        </w:rPr>
        <w:t xml:space="preserve"> 1(</w:t>
      </w:r>
      <w:r w:rsidR="00C13D02" w:rsidRPr="00485F6E">
        <w:rPr>
          <w:bCs/>
          <w:sz w:val="20"/>
          <w:szCs w:val="20"/>
        </w:rPr>
        <w:t>1</w:t>
      </w:r>
      <w:r w:rsidR="00604F0D" w:rsidRPr="00485F6E">
        <w:rPr>
          <w:bCs/>
          <w:sz w:val="20"/>
          <w:szCs w:val="20"/>
        </w:rPr>
        <w:t>)</w:t>
      </w:r>
      <w:r w:rsidR="00C13D02" w:rsidRPr="00485F6E">
        <w:rPr>
          <w:bCs/>
          <w:sz w:val="20"/>
          <w:szCs w:val="20"/>
        </w:rPr>
        <w:t xml:space="preserve"> </w:t>
      </w:r>
      <w:r w:rsidR="00E658B7" w:rsidRPr="00485F6E">
        <w:rPr>
          <w:bCs/>
          <w:sz w:val="20"/>
          <w:szCs w:val="20"/>
        </w:rPr>
        <w:t>and</w:t>
      </w:r>
      <w:r w:rsidR="00C13D02" w:rsidRPr="00485F6E">
        <w:rPr>
          <w:bCs/>
          <w:sz w:val="20"/>
          <w:szCs w:val="20"/>
        </w:rPr>
        <w:t xml:space="preserve"> 2 </w:t>
      </w:r>
      <w:r w:rsidR="00E658B7" w:rsidRPr="00485F6E">
        <w:rPr>
          <w:bCs/>
          <w:sz w:val="20"/>
          <w:szCs w:val="20"/>
        </w:rPr>
        <w:t xml:space="preserve">of the same instrument. The IACHR also understands that, as a result of the limited nature of the cassation appeal, the victim did not benefit from any simple and effective judicial remedies in the framework of the criminal proceedings that led to his conviction, also in violation of the right </w:t>
      </w:r>
      <w:r w:rsidR="00B15347">
        <w:rPr>
          <w:bCs/>
          <w:sz w:val="20"/>
          <w:szCs w:val="20"/>
        </w:rPr>
        <w:t>set forth</w:t>
      </w:r>
      <w:r w:rsidR="00E658B7" w:rsidRPr="00485F6E">
        <w:rPr>
          <w:bCs/>
          <w:sz w:val="20"/>
          <w:szCs w:val="20"/>
        </w:rPr>
        <w:t xml:space="preserve"> in Article</w:t>
      </w:r>
      <w:r w:rsidR="00C13D02" w:rsidRPr="00485F6E">
        <w:rPr>
          <w:bCs/>
          <w:sz w:val="20"/>
          <w:szCs w:val="20"/>
        </w:rPr>
        <w:t xml:space="preserve"> 25</w:t>
      </w:r>
      <w:r w:rsidR="00604F0D" w:rsidRPr="00485F6E">
        <w:rPr>
          <w:bCs/>
          <w:sz w:val="20"/>
          <w:szCs w:val="20"/>
        </w:rPr>
        <w:t>(</w:t>
      </w:r>
      <w:r w:rsidR="00C13D02" w:rsidRPr="00485F6E">
        <w:rPr>
          <w:bCs/>
          <w:sz w:val="20"/>
          <w:szCs w:val="20"/>
        </w:rPr>
        <w:t>1</w:t>
      </w:r>
      <w:r w:rsidR="00604F0D" w:rsidRPr="00485F6E">
        <w:rPr>
          <w:bCs/>
          <w:sz w:val="20"/>
          <w:szCs w:val="20"/>
        </w:rPr>
        <w:t>)</w:t>
      </w:r>
      <w:r w:rsidR="00C13D02" w:rsidRPr="00485F6E">
        <w:rPr>
          <w:bCs/>
          <w:sz w:val="20"/>
          <w:szCs w:val="20"/>
        </w:rPr>
        <w:t xml:space="preserve"> </w:t>
      </w:r>
      <w:r w:rsidR="00E658B7" w:rsidRPr="00485F6E">
        <w:rPr>
          <w:bCs/>
          <w:sz w:val="20"/>
          <w:szCs w:val="20"/>
        </w:rPr>
        <w:t>of the Convention, in connection with the obligations of Articles 1</w:t>
      </w:r>
      <w:r w:rsidR="00604F0D" w:rsidRPr="00485F6E">
        <w:rPr>
          <w:bCs/>
          <w:sz w:val="20"/>
          <w:szCs w:val="20"/>
        </w:rPr>
        <w:t>(</w:t>
      </w:r>
      <w:r w:rsidR="00E658B7" w:rsidRPr="00485F6E">
        <w:rPr>
          <w:bCs/>
          <w:sz w:val="20"/>
          <w:szCs w:val="20"/>
        </w:rPr>
        <w:t>1</w:t>
      </w:r>
      <w:r w:rsidR="00604F0D" w:rsidRPr="00485F6E">
        <w:rPr>
          <w:bCs/>
          <w:sz w:val="20"/>
          <w:szCs w:val="20"/>
        </w:rPr>
        <w:t>)</w:t>
      </w:r>
      <w:r w:rsidR="00E658B7" w:rsidRPr="00485F6E">
        <w:rPr>
          <w:bCs/>
          <w:sz w:val="20"/>
          <w:szCs w:val="20"/>
        </w:rPr>
        <w:t xml:space="preserve"> and</w:t>
      </w:r>
      <w:r w:rsidR="00C13D02" w:rsidRPr="00485F6E">
        <w:rPr>
          <w:bCs/>
          <w:sz w:val="20"/>
          <w:szCs w:val="20"/>
        </w:rPr>
        <w:t xml:space="preserve"> 2 </w:t>
      </w:r>
      <w:r w:rsidR="00E658B7" w:rsidRPr="00485F6E">
        <w:rPr>
          <w:bCs/>
          <w:sz w:val="20"/>
          <w:szCs w:val="20"/>
        </w:rPr>
        <w:t>of the same instrument</w:t>
      </w:r>
      <w:r w:rsidR="00D23D4A" w:rsidRPr="00485F6E">
        <w:rPr>
          <w:bCs/>
          <w:sz w:val="20"/>
          <w:szCs w:val="20"/>
        </w:rPr>
        <w:t xml:space="preserve">. </w:t>
      </w:r>
    </w:p>
    <w:p w14:paraId="331358B7" w14:textId="77777777" w:rsidR="001E3A7D" w:rsidRPr="00485F6E" w:rsidRDefault="001E3A7D" w:rsidP="00FF427B">
      <w:pPr>
        <w:rPr>
          <w:rFonts w:ascii="Cambria" w:hAnsi="Cambria"/>
          <w:sz w:val="20"/>
          <w:szCs w:val="20"/>
        </w:rPr>
      </w:pPr>
    </w:p>
    <w:p w14:paraId="083F40B9" w14:textId="77777777" w:rsidR="00AD0F38" w:rsidRPr="00485F6E" w:rsidRDefault="00481898" w:rsidP="00481898">
      <w:pPr>
        <w:pStyle w:val="Heading2"/>
        <w:pBdr>
          <w:top w:val="none" w:sz="0" w:space="0" w:color="auto"/>
          <w:left w:val="none" w:sz="0" w:space="0" w:color="auto"/>
          <w:bottom w:val="none" w:sz="0" w:space="0" w:color="auto"/>
          <w:right w:val="none" w:sz="0" w:space="0" w:color="auto"/>
          <w:between w:val="none" w:sz="0" w:space="0" w:color="auto"/>
          <w:bar w:val="none" w:sz="0" w:color="auto"/>
        </w:pBdr>
        <w:ind w:left="360"/>
        <w:jc w:val="both"/>
        <w:rPr>
          <w:lang w:val="en-US"/>
        </w:rPr>
      </w:pPr>
      <w:bookmarkStart w:id="37" w:name="_Toc203988496"/>
      <w:r w:rsidRPr="00485F6E">
        <w:rPr>
          <w:lang w:val="en-US"/>
        </w:rPr>
        <w:t xml:space="preserve">B. </w:t>
      </w:r>
      <w:r w:rsidR="00E658B7" w:rsidRPr="00485F6E">
        <w:rPr>
          <w:lang w:val="en-US"/>
        </w:rPr>
        <w:t>Right to personal liberty, rights of the child, and principle of legality</w:t>
      </w:r>
      <w:r w:rsidR="001E3A7D" w:rsidRPr="00485F6E">
        <w:rPr>
          <w:lang w:val="en-US"/>
        </w:rPr>
        <w:t xml:space="preserve"> (</w:t>
      </w:r>
      <w:r w:rsidR="00E658B7" w:rsidRPr="00485F6E">
        <w:rPr>
          <w:lang w:val="en-US"/>
        </w:rPr>
        <w:t>Articles</w:t>
      </w:r>
      <w:r w:rsidR="001E3A7D" w:rsidRPr="00485F6E">
        <w:rPr>
          <w:lang w:val="en-US"/>
        </w:rPr>
        <w:t xml:space="preserve"> 7</w:t>
      </w:r>
      <w:r w:rsidR="001567BB" w:rsidRPr="00485F6E">
        <w:rPr>
          <w:lang w:val="en-US"/>
        </w:rPr>
        <w:t xml:space="preserve">, </w:t>
      </w:r>
      <w:r w:rsidR="001E3A7D" w:rsidRPr="00485F6E">
        <w:rPr>
          <w:lang w:val="en-US"/>
        </w:rPr>
        <w:t>19</w:t>
      </w:r>
      <w:r w:rsidR="00E658B7" w:rsidRPr="00485F6E">
        <w:rPr>
          <w:lang w:val="en-US"/>
        </w:rPr>
        <w:t>, and</w:t>
      </w:r>
      <w:r w:rsidR="001567BB" w:rsidRPr="00485F6E">
        <w:rPr>
          <w:lang w:val="en-US"/>
        </w:rPr>
        <w:t xml:space="preserve"> 9</w:t>
      </w:r>
      <w:r w:rsidR="001E3A7D" w:rsidRPr="00485F6E">
        <w:rPr>
          <w:lang w:val="en-US"/>
        </w:rPr>
        <w:t xml:space="preserve"> </w:t>
      </w:r>
      <w:r w:rsidR="00E658B7" w:rsidRPr="00485F6E">
        <w:rPr>
          <w:lang w:val="en-US"/>
        </w:rPr>
        <w:t>of the American Convention on Human Rights</w:t>
      </w:r>
      <w:r w:rsidR="00F86C32">
        <w:rPr>
          <w:lang w:val="en-US"/>
        </w:rPr>
        <w:t>,</w:t>
      </w:r>
      <w:r w:rsidR="00E658B7" w:rsidRPr="00485F6E">
        <w:rPr>
          <w:lang w:val="en-US"/>
        </w:rPr>
        <w:t xml:space="preserve"> in connection with Articles</w:t>
      </w:r>
      <w:r w:rsidR="00B15347">
        <w:rPr>
          <w:lang w:val="en-US"/>
        </w:rPr>
        <w:t xml:space="preserve"> 1(</w:t>
      </w:r>
      <w:r w:rsidR="00E658B7" w:rsidRPr="00485F6E">
        <w:rPr>
          <w:lang w:val="en-US"/>
        </w:rPr>
        <w:t>1</w:t>
      </w:r>
      <w:r w:rsidR="00B15347">
        <w:rPr>
          <w:lang w:val="en-US"/>
        </w:rPr>
        <w:t>)</w:t>
      </w:r>
      <w:r w:rsidR="00E658B7" w:rsidRPr="00485F6E">
        <w:rPr>
          <w:lang w:val="en-US"/>
        </w:rPr>
        <w:t xml:space="preserve"> and</w:t>
      </w:r>
      <w:r w:rsidR="001E3A7D" w:rsidRPr="00485F6E">
        <w:rPr>
          <w:lang w:val="en-US"/>
        </w:rPr>
        <w:t xml:space="preserve"> 2 </w:t>
      </w:r>
      <w:r w:rsidR="00E658B7" w:rsidRPr="00485F6E">
        <w:rPr>
          <w:lang w:val="en-US"/>
        </w:rPr>
        <w:t>of the same treaty</w:t>
      </w:r>
      <w:r w:rsidR="001E3A7D" w:rsidRPr="00485F6E">
        <w:rPr>
          <w:lang w:val="en-US"/>
        </w:rPr>
        <w:t>)</w:t>
      </w:r>
      <w:bookmarkEnd w:id="37"/>
      <w:r w:rsidR="001E3A7D" w:rsidRPr="00485F6E">
        <w:rPr>
          <w:lang w:val="en-US"/>
        </w:rPr>
        <w:t xml:space="preserve"> </w:t>
      </w:r>
    </w:p>
    <w:p w14:paraId="7DA29D52" w14:textId="77777777" w:rsidR="00C11981" w:rsidRPr="00485F6E" w:rsidRDefault="00C11981" w:rsidP="00FF427B">
      <w:pPr>
        <w:rPr>
          <w:rFonts w:ascii="Cambria" w:hAnsi="Cambria"/>
          <w:sz w:val="20"/>
          <w:szCs w:val="20"/>
        </w:rPr>
      </w:pPr>
    </w:p>
    <w:p w14:paraId="627A41C2" w14:textId="77777777" w:rsidR="001E3A7D" w:rsidRPr="00485F6E" w:rsidRDefault="00E658B7" w:rsidP="007B0E80">
      <w:pPr>
        <w:pStyle w:val="ListParagraph"/>
        <w:numPr>
          <w:ilvl w:val="0"/>
          <w:numId w:val="35"/>
        </w:numPr>
        <w:ind w:right="855"/>
        <w:jc w:val="both"/>
        <w:outlineLvl w:val="2"/>
        <w:rPr>
          <w:b/>
          <w:bCs/>
          <w:sz w:val="20"/>
          <w:szCs w:val="20"/>
        </w:rPr>
      </w:pPr>
      <w:bookmarkStart w:id="38" w:name="_Toc203988497"/>
      <w:r w:rsidRPr="0005688D">
        <w:rPr>
          <w:b/>
          <w:bCs/>
          <w:sz w:val="20"/>
          <w:szCs w:val="20"/>
        </w:rPr>
        <w:t>General</w:t>
      </w:r>
      <w:r w:rsidRPr="00485F6E">
        <w:rPr>
          <w:b/>
          <w:bCs/>
          <w:sz w:val="20"/>
          <w:szCs w:val="20"/>
        </w:rPr>
        <w:t xml:space="preserve"> considerations about the right to personal liberty, the prohibition of deprivation of liberty and arbitrary incarceration, and the principle of legality</w:t>
      </w:r>
      <w:bookmarkEnd w:id="38"/>
    </w:p>
    <w:p w14:paraId="073989C5" w14:textId="77777777" w:rsidR="00C31090" w:rsidRPr="00485F6E" w:rsidRDefault="00C31090" w:rsidP="001003DF">
      <w:pPr>
        <w:rPr>
          <w:rFonts w:ascii="Cambria" w:hAnsi="Cambria"/>
          <w:sz w:val="20"/>
          <w:szCs w:val="20"/>
        </w:rPr>
      </w:pPr>
    </w:p>
    <w:p w14:paraId="4566F952" w14:textId="77777777" w:rsidR="00E159EF" w:rsidRPr="00485F6E" w:rsidRDefault="00E658B7"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cs="Tahoma"/>
          <w:sz w:val="20"/>
          <w:szCs w:val="20"/>
          <w:bdr w:val="none" w:sz="0" w:space="0" w:color="auto"/>
        </w:rPr>
      </w:pPr>
      <w:r w:rsidRPr="00485F6E">
        <w:rPr>
          <w:rFonts w:eastAsia="Times New Roman"/>
          <w:sz w:val="20"/>
          <w:szCs w:val="20"/>
          <w:bdr w:val="none" w:sz="0" w:space="0" w:color="auto"/>
        </w:rPr>
        <w:t>The American Convention on Human Rights enshrines, in Article 7(1), the right of everybody to enjoy freedom and personal security. The Inter-American Court of Human Rights, in the case of Chaparro Álvarez and Lapo Íñiguez v</w:t>
      </w:r>
      <w:r w:rsidR="009434FC" w:rsidRPr="00485F6E">
        <w:rPr>
          <w:rFonts w:eastAsia="Times New Roman"/>
          <w:sz w:val="20"/>
          <w:szCs w:val="20"/>
          <w:bdr w:val="none" w:sz="0" w:space="0" w:color="auto"/>
        </w:rPr>
        <w:t xml:space="preserve">. </w:t>
      </w:r>
      <w:r w:rsidR="009434FC" w:rsidRPr="00485F6E">
        <w:rPr>
          <w:rFonts w:eastAsia="Times New Roman"/>
          <w:spacing w:val="-3"/>
          <w:sz w:val="20"/>
          <w:szCs w:val="20"/>
          <w:bdr w:val="none" w:sz="0" w:space="0" w:color="auto"/>
        </w:rPr>
        <w:t>Ecuador</w:t>
      </w:r>
      <w:r w:rsidRPr="00485F6E">
        <w:rPr>
          <w:rFonts w:eastAsia="Times New Roman"/>
          <w:spacing w:val="-3"/>
          <w:sz w:val="20"/>
          <w:szCs w:val="20"/>
          <w:bdr w:val="none" w:sz="0" w:space="0" w:color="auto"/>
        </w:rPr>
        <w:t>, pointed out that freedom is a basic human right</w:t>
      </w:r>
      <w:r w:rsidR="00C252FC" w:rsidRPr="00485F6E">
        <w:rPr>
          <w:rFonts w:eastAsia="Times New Roman"/>
          <w:sz w:val="20"/>
          <w:szCs w:val="20"/>
          <w:bdr w:val="none" w:sz="0" w:space="0" w:color="auto"/>
        </w:rPr>
        <w:t xml:space="preserve">, </w:t>
      </w:r>
      <w:r w:rsidRPr="00485F6E">
        <w:rPr>
          <w:rFonts w:eastAsia="Times New Roman"/>
          <w:sz w:val="20"/>
          <w:szCs w:val="20"/>
          <w:bdr w:val="none" w:sz="0" w:space="0" w:color="auto"/>
        </w:rPr>
        <w:t xml:space="preserve">inherent to the attributes of the person, which is </w:t>
      </w:r>
      <w:r w:rsidR="00422C01" w:rsidRPr="00485F6E">
        <w:rPr>
          <w:rFonts w:eastAsia="Times New Roman"/>
          <w:sz w:val="20"/>
          <w:szCs w:val="20"/>
          <w:bdr w:val="none" w:sz="0" w:space="0" w:color="auto"/>
        </w:rPr>
        <w:t>cast throughout the American Convention and which, when breached</w:t>
      </w:r>
      <w:r w:rsidR="00B15347">
        <w:rPr>
          <w:rFonts w:eastAsia="Times New Roman"/>
          <w:sz w:val="20"/>
          <w:szCs w:val="20"/>
          <w:bdr w:val="none" w:sz="0" w:space="0" w:color="auto"/>
        </w:rPr>
        <w:t>,</w:t>
      </w:r>
      <w:r w:rsidR="00422C01" w:rsidRPr="00485F6E">
        <w:rPr>
          <w:rFonts w:eastAsia="Times New Roman"/>
          <w:sz w:val="20"/>
          <w:szCs w:val="20"/>
          <w:bdr w:val="none" w:sz="0" w:space="0" w:color="auto"/>
        </w:rPr>
        <w:t xml:space="preserve"> jeopardizes other rights such as personal integrity and life.</w:t>
      </w:r>
      <w:r w:rsidR="009434FC" w:rsidRPr="00485F6E">
        <w:rPr>
          <w:sz w:val="20"/>
          <w:szCs w:val="20"/>
          <w:bdr w:val="none" w:sz="0" w:space="0" w:color="auto"/>
          <w:vertAlign w:val="superscript"/>
        </w:rPr>
        <w:footnoteReference w:id="65"/>
      </w:r>
    </w:p>
    <w:p w14:paraId="1A77A5D1" w14:textId="77777777" w:rsidR="00E159EF" w:rsidRPr="00485F6E" w:rsidRDefault="00E159EF" w:rsidP="00A5076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contextualSpacing/>
        <w:jc w:val="both"/>
        <w:rPr>
          <w:rFonts w:eastAsia="Times New Roman" w:cs="Tahoma"/>
          <w:sz w:val="20"/>
          <w:szCs w:val="20"/>
          <w:bdr w:val="none" w:sz="0" w:space="0" w:color="auto"/>
        </w:rPr>
      </w:pPr>
    </w:p>
    <w:p w14:paraId="7B211365" w14:textId="77777777" w:rsidR="00E159EF" w:rsidRPr="00485F6E" w:rsidRDefault="00422C01"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cs="Tahoma"/>
          <w:sz w:val="20"/>
          <w:szCs w:val="20"/>
          <w:bdr w:val="none" w:sz="0" w:space="0" w:color="auto"/>
        </w:rPr>
      </w:pPr>
      <w:r w:rsidRPr="00485F6E">
        <w:rPr>
          <w:rFonts w:eastAsiaTheme="minorHAnsi" w:cstheme="minorBidi"/>
          <w:sz w:val="20"/>
          <w:szCs w:val="20"/>
          <w:bdr w:val="none" w:sz="0" w:space="0" w:color="auto"/>
        </w:rPr>
        <w:t xml:space="preserve">The Inter-American Court has contended in numerous precedents that the key content of Article 7 of the American Convention is the protection of the individual’s freedom from all </w:t>
      </w:r>
      <w:r w:rsidR="00223F1C" w:rsidRPr="00485F6E">
        <w:rPr>
          <w:rFonts w:eastAsiaTheme="minorHAnsi" w:cstheme="minorBidi"/>
          <w:sz w:val="20"/>
          <w:szCs w:val="20"/>
          <w:bdr w:val="none" w:sz="0" w:space="0" w:color="auto"/>
        </w:rPr>
        <w:t xml:space="preserve">unlawful or </w:t>
      </w:r>
      <w:r w:rsidRPr="00485F6E">
        <w:rPr>
          <w:rFonts w:eastAsiaTheme="minorHAnsi" w:cstheme="minorBidi"/>
          <w:sz w:val="20"/>
          <w:szCs w:val="20"/>
          <w:bdr w:val="none" w:sz="0" w:space="0" w:color="auto"/>
        </w:rPr>
        <w:t>arbitrary</w:t>
      </w:r>
      <w:r w:rsidR="00223F1C" w:rsidRPr="00485F6E">
        <w:rPr>
          <w:rFonts w:eastAsiaTheme="minorHAnsi" w:cstheme="minorBidi"/>
          <w:sz w:val="20"/>
          <w:szCs w:val="20"/>
          <w:bdr w:val="none" w:sz="0" w:space="0" w:color="auto"/>
        </w:rPr>
        <w:t xml:space="preserve"> interference by</w:t>
      </w:r>
      <w:r w:rsidRPr="00485F6E">
        <w:rPr>
          <w:rFonts w:eastAsiaTheme="minorHAnsi" w:cstheme="minorBidi"/>
          <w:sz w:val="20"/>
          <w:szCs w:val="20"/>
          <w:bdr w:val="none" w:sz="0" w:space="0" w:color="auto"/>
        </w:rPr>
        <w:t xml:space="preserve"> the state.</w:t>
      </w:r>
      <w:r w:rsidR="009434FC" w:rsidRPr="00485F6E">
        <w:rPr>
          <w:sz w:val="20"/>
          <w:szCs w:val="20"/>
          <w:bdr w:val="none" w:sz="0" w:space="0" w:color="auto"/>
          <w:vertAlign w:val="superscript"/>
        </w:rPr>
        <w:footnoteReference w:id="66"/>
      </w:r>
      <w:r w:rsidR="009434FC" w:rsidRPr="00485F6E">
        <w:rPr>
          <w:rFonts w:eastAsiaTheme="minorHAnsi" w:cstheme="minorBidi"/>
          <w:sz w:val="20"/>
          <w:szCs w:val="20"/>
          <w:bdr w:val="none" w:sz="0" w:space="0" w:color="auto"/>
        </w:rPr>
        <w:t xml:space="preserve"> </w:t>
      </w:r>
      <w:r w:rsidRPr="00485F6E">
        <w:rPr>
          <w:rFonts w:eastAsiaTheme="minorHAnsi" w:cstheme="minorBidi"/>
          <w:sz w:val="20"/>
          <w:szCs w:val="20"/>
          <w:bdr w:val="none" w:sz="0" w:space="0" w:color="auto"/>
        </w:rPr>
        <w:t xml:space="preserve">Article </w:t>
      </w:r>
      <w:r w:rsidR="009434FC" w:rsidRPr="00485F6E">
        <w:rPr>
          <w:rFonts w:eastAsiaTheme="minorHAnsi" w:cstheme="minorBidi"/>
          <w:sz w:val="20"/>
          <w:szCs w:val="20"/>
          <w:bdr w:val="none" w:sz="0" w:space="0" w:color="auto"/>
        </w:rPr>
        <w:t>7</w:t>
      </w:r>
      <w:r w:rsidR="00F86C32">
        <w:rPr>
          <w:rFonts w:eastAsiaTheme="minorHAnsi" w:cstheme="minorBidi"/>
          <w:sz w:val="20"/>
          <w:szCs w:val="20"/>
          <w:bdr w:val="none" w:sz="0" w:space="0" w:color="auto"/>
        </w:rPr>
        <w:t>(</w:t>
      </w:r>
      <w:r w:rsidR="009434FC" w:rsidRPr="00485F6E">
        <w:rPr>
          <w:rFonts w:eastAsiaTheme="minorHAnsi" w:cstheme="minorBidi"/>
          <w:sz w:val="20"/>
          <w:szCs w:val="20"/>
          <w:bdr w:val="none" w:sz="0" w:space="0" w:color="auto"/>
        </w:rPr>
        <w:t>1</w:t>
      </w:r>
      <w:r w:rsidR="00F86C32">
        <w:rPr>
          <w:rFonts w:eastAsiaTheme="minorHAnsi" w:cstheme="minorBidi"/>
          <w:sz w:val="20"/>
          <w:szCs w:val="20"/>
          <w:bdr w:val="none" w:sz="0" w:space="0" w:color="auto"/>
        </w:rPr>
        <w:t>)</w:t>
      </w:r>
      <w:r w:rsidR="009434FC" w:rsidRPr="00485F6E">
        <w:rPr>
          <w:rFonts w:eastAsiaTheme="minorHAnsi" w:cstheme="minorBidi"/>
          <w:sz w:val="20"/>
          <w:szCs w:val="20"/>
          <w:bdr w:val="none" w:sz="0" w:space="0" w:color="auto"/>
        </w:rPr>
        <w:t xml:space="preserve"> </w:t>
      </w:r>
      <w:r w:rsidRPr="00485F6E">
        <w:rPr>
          <w:rFonts w:eastAsiaTheme="minorHAnsi" w:cstheme="minorBidi"/>
          <w:sz w:val="20"/>
          <w:szCs w:val="20"/>
          <w:bdr w:val="none" w:sz="0" w:space="0" w:color="auto"/>
        </w:rPr>
        <w:t xml:space="preserve">enshrines the traditional and most primary notion of the right to liberty, which is coupled with the freedom of movement of the person and “covers </w:t>
      </w:r>
      <w:r w:rsidR="00223F1C" w:rsidRPr="00485F6E">
        <w:rPr>
          <w:rFonts w:eastAsiaTheme="minorHAnsi" w:cstheme="minorBidi"/>
          <w:sz w:val="20"/>
          <w:szCs w:val="20"/>
          <w:bdr w:val="none" w:sz="0" w:space="0" w:color="auto"/>
        </w:rPr>
        <w:t>physical conducts that presuppose the actual presence of the holder of the right and that are normally expressed in phy</w:t>
      </w:r>
      <w:r w:rsidRPr="00485F6E">
        <w:rPr>
          <w:rFonts w:eastAsiaTheme="minorHAnsi" w:cstheme="minorBidi"/>
          <w:sz w:val="20"/>
          <w:szCs w:val="20"/>
          <w:bdr w:val="none" w:sz="0" w:space="0" w:color="auto"/>
        </w:rPr>
        <w:t>sical movement.</w:t>
      </w:r>
      <w:r w:rsidR="009434FC" w:rsidRPr="00485F6E">
        <w:rPr>
          <w:rFonts w:eastAsiaTheme="minorHAnsi" w:cstheme="minorBidi"/>
          <w:sz w:val="20"/>
          <w:szCs w:val="20"/>
          <w:bdr w:val="none" w:sz="0" w:space="0" w:color="auto"/>
        </w:rPr>
        <w:t>”</w:t>
      </w:r>
      <w:r w:rsidR="009434FC" w:rsidRPr="00485F6E">
        <w:rPr>
          <w:sz w:val="20"/>
          <w:szCs w:val="20"/>
          <w:bdr w:val="none" w:sz="0" w:space="0" w:color="auto"/>
          <w:vertAlign w:val="superscript"/>
        </w:rPr>
        <w:footnoteReference w:id="67"/>
      </w:r>
    </w:p>
    <w:p w14:paraId="3EF20D0B" w14:textId="77777777" w:rsidR="00E159EF" w:rsidRPr="00485F6E" w:rsidRDefault="00E159EF" w:rsidP="00223F1C">
      <w:pPr>
        <w:tabs>
          <w:tab w:val="left" w:pos="567"/>
        </w:tabs>
        <w:rPr>
          <w:rFonts w:eastAsiaTheme="minorHAnsi" w:cstheme="minorBidi"/>
          <w:sz w:val="20"/>
          <w:szCs w:val="20"/>
        </w:rPr>
      </w:pPr>
    </w:p>
    <w:p w14:paraId="66EB2281" w14:textId="77777777" w:rsidR="00047F3C" w:rsidRPr="00485F6E" w:rsidRDefault="00422C01"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cs="Tahoma"/>
          <w:sz w:val="20"/>
          <w:szCs w:val="20"/>
          <w:bdr w:val="none" w:sz="0" w:space="0" w:color="auto"/>
        </w:rPr>
      </w:pPr>
      <w:r w:rsidRPr="00485F6E">
        <w:rPr>
          <w:rFonts w:eastAsiaTheme="minorHAnsi" w:cstheme="minorBidi"/>
          <w:sz w:val="20"/>
          <w:szCs w:val="20"/>
          <w:bdr w:val="none" w:sz="0" w:space="0" w:color="auto"/>
        </w:rPr>
        <w:t>Likewise, the Inter-American Court has underscored the importance of the protection of the right to liberty as a prerequisit</w:t>
      </w:r>
      <w:r w:rsidR="00F2261B" w:rsidRPr="00485F6E">
        <w:rPr>
          <w:rFonts w:eastAsiaTheme="minorHAnsi" w:cstheme="minorBidi"/>
          <w:sz w:val="20"/>
          <w:szCs w:val="20"/>
          <w:bdr w:val="none" w:sz="0" w:space="0" w:color="auto"/>
        </w:rPr>
        <w:t>e for the observance</w:t>
      </w:r>
      <w:r w:rsidRPr="00485F6E">
        <w:rPr>
          <w:rFonts w:eastAsiaTheme="minorHAnsi" w:cstheme="minorBidi"/>
          <w:sz w:val="20"/>
          <w:szCs w:val="20"/>
          <w:bdr w:val="none" w:sz="0" w:space="0" w:color="auto"/>
        </w:rPr>
        <w:t xml:space="preserve"> of other rights</w:t>
      </w:r>
      <w:r w:rsidR="00F2261B" w:rsidRPr="00485F6E">
        <w:rPr>
          <w:rFonts w:eastAsiaTheme="minorHAnsi" w:cs="TimesNewRomanPSMT"/>
          <w:sz w:val="20"/>
          <w:szCs w:val="20"/>
          <w:bdr w:val="none" w:sz="0" w:space="0" w:color="auto"/>
        </w:rPr>
        <w:t>. Whenever a person is unlawfully or arbitrarily deprived of liberty</w:t>
      </w:r>
      <w:r w:rsidR="00941688" w:rsidRPr="00485F6E">
        <w:rPr>
          <w:rFonts w:eastAsiaTheme="minorHAnsi" w:cs="TimesNewRomanPSMT"/>
          <w:sz w:val="20"/>
          <w:szCs w:val="20"/>
          <w:bdr w:val="none" w:sz="0" w:space="0" w:color="auto"/>
        </w:rPr>
        <w:t>, it “generates</w:t>
      </w:r>
      <w:r w:rsidR="00941688" w:rsidRPr="00485F6E">
        <w:rPr>
          <w:sz w:val="20"/>
          <w:szCs w:val="20"/>
        </w:rPr>
        <w:t xml:space="preserve"> a risk of violation to other rights, such as humane treatment and, in some cases, life</w:t>
      </w:r>
      <w:r w:rsidR="00F2261B" w:rsidRPr="00485F6E">
        <w:rPr>
          <w:rFonts w:eastAsiaTheme="minorHAnsi" w:cs="TimesNewRomanPSMT"/>
          <w:sz w:val="20"/>
          <w:szCs w:val="20"/>
          <w:bdr w:val="none" w:sz="0" w:space="0" w:color="auto"/>
        </w:rPr>
        <w:t>.</w:t>
      </w:r>
      <w:r w:rsidR="009434FC" w:rsidRPr="00485F6E">
        <w:rPr>
          <w:rFonts w:eastAsiaTheme="minorHAnsi" w:cs="TimesNewRomanPSMT"/>
          <w:sz w:val="20"/>
          <w:szCs w:val="20"/>
          <w:bdr w:val="none" w:sz="0" w:space="0" w:color="auto"/>
        </w:rPr>
        <w:t>”</w:t>
      </w:r>
      <w:r w:rsidR="009434FC" w:rsidRPr="00485F6E">
        <w:rPr>
          <w:sz w:val="20"/>
          <w:szCs w:val="20"/>
          <w:bdr w:val="none" w:sz="0" w:space="0" w:color="auto"/>
          <w:vertAlign w:val="superscript"/>
        </w:rPr>
        <w:footnoteReference w:id="68"/>
      </w:r>
      <w:r w:rsidR="009434FC" w:rsidRPr="00485F6E">
        <w:rPr>
          <w:rFonts w:eastAsiaTheme="minorHAnsi" w:cs="TimesNewRomanPSMT"/>
          <w:sz w:val="20"/>
          <w:szCs w:val="20"/>
          <w:bdr w:val="none" w:sz="0" w:space="0" w:color="auto"/>
        </w:rPr>
        <w:t xml:space="preserve"> </w:t>
      </w:r>
      <w:r w:rsidR="00F2261B" w:rsidRPr="00485F6E">
        <w:rPr>
          <w:rFonts w:eastAsiaTheme="minorHAnsi" w:cs="TimesNewRomanPSMT"/>
          <w:sz w:val="20"/>
          <w:szCs w:val="20"/>
          <w:bdr w:val="none" w:sz="0" w:space="0" w:color="auto"/>
        </w:rPr>
        <w:t>That is why the institutions in charge of safeguarding the full application of international human rights instruments have stressed the capital importance of providing clear requirements and effective safeguards to prevent and put an end to</w:t>
      </w:r>
      <w:r w:rsidR="009434FC" w:rsidRPr="00485F6E">
        <w:rPr>
          <w:rFonts w:eastAsiaTheme="minorHAnsi" w:cs="TimesNewRomanPSMT"/>
          <w:sz w:val="20"/>
          <w:szCs w:val="20"/>
          <w:bdr w:val="none" w:sz="0" w:space="0" w:color="auto"/>
        </w:rPr>
        <w:t xml:space="preserve"> </w:t>
      </w:r>
      <w:r w:rsidR="00F2261B" w:rsidRPr="00485F6E">
        <w:rPr>
          <w:rFonts w:eastAsiaTheme="minorHAnsi" w:cs="TimesNewRomanPSMT"/>
          <w:sz w:val="20"/>
          <w:szCs w:val="20"/>
          <w:bdr w:val="none" w:sz="0" w:space="0" w:color="auto"/>
        </w:rPr>
        <w:t xml:space="preserve">deprivations of liberty that </w:t>
      </w:r>
      <w:r w:rsidR="00C7775E" w:rsidRPr="00485F6E">
        <w:rPr>
          <w:rFonts w:eastAsiaTheme="minorHAnsi" w:cs="TimesNewRomanPSMT"/>
          <w:sz w:val="20"/>
          <w:szCs w:val="20"/>
          <w:bdr w:val="none" w:sz="0" w:space="0" w:color="auto"/>
        </w:rPr>
        <w:t>may</w:t>
      </w:r>
      <w:r w:rsidR="00F2261B" w:rsidRPr="00485F6E">
        <w:rPr>
          <w:rFonts w:eastAsiaTheme="minorHAnsi" w:cs="TimesNewRomanPSMT"/>
          <w:sz w:val="20"/>
          <w:szCs w:val="20"/>
          <w:bdr w:val="none" w:sz="0" w:space="0" w:color="auto"/>
        </w:rPr>
        <w:t xml:space="preserve"> be unlawful or arbitrary</w:t>
      </w:r>
      <w:r w:rsidR="009434FC" w:rsidRPr="00485F6E">
        <w:rPr>
          <w:rFonts w:eastAsiaTheme="minorHAnsi" w:cs="TimesNewRomanPSMT"/>
          <w:sz w:val="20"/>
          <w:szCs w:val="20"/>
          <w:bdr w:val="none" w:sz="0" w:space="0" w:color="auto"/>
        </w:rPr>
        <w:t xml:space="preserve">. </w:t>
      </w:r>
    </w:p>
    <w:p w14:paraId="6597A1F3" w14:textId="77777777" w:rsidR="00047F3C" w:rsidRPr="00485F6E" w:rsidRDefault="00047F3C" w:rsidP="00A50768">
      <w:pPr>
        <w:pStyle w:val="ListParagraph"/>
        <w:rPr>
          <w:spacing w:val="-5"/>
          <w:sz w:val="20"/>
          <w:szCs w:val="20"/>
          <w:bdr w:val="none" w:sz="0" w:space="0" w:color="auto"/>
        </w:rPr>
      </w:pPr>
    </w:p>
    <w:p w14:paraId="052CE77C" w14:textId="77777777" w:rsidR="00047F3C" w:rsidRPr="00485F6E" w:rsidRDefault="00F2261B"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cs="Tahoma"/>
          <w:sz w:val="20"/>
          <w:szCs w:val="20"/>
          <w:bdr w:val="none" w:sz="0" w:space="0" w:color="auto"/>
        </w:rPr>
      </w:pPr>
      <w:r w:rsidRPr="00485F6E">
        <w:rPr>
          <w:spacing w:val="-5"/>
          <w:sz w:val="20"/>
          <w:szCs w:val="20"/>
          <w:bdr w:val="none" w:sz="0" w:space="0" w:color="auto"/>
        </w:rPr>
        <w:t>The protection of the right to personal liber</w:t>
      </w:r>
      <w:r w:rsidR="00B15347">
        <w:rPr>
          <w:spacing w:val="-5"/>
          <w:sz w:val="20"/>
          <w:szCs w:val="20"/>
          <w:bdr w:val="none" w:sz="0" w:space="0" w:color="auto"/>
        </w:rPr>
        <w:t>ty is consolidated in Article 7(</w:t>
      </w:r>
      <w:r w:rsidRPr="00485F6E">
        <w:rPr>
          <w:spacing w:val="-5"/>
          <w:sz w:val="20"/>
          <w:szCs w:val="20"/>
          <w:bdr w:val="none" w:sz="0" w:space="0" w:color="auto"/>
        </w:rPr>
        <w:t>3</w:t>
      </w:r>
      <w:r w:rsidR="00B15347">
        <w:rPr>
          <w:spacing w:val="-5"/>
          <w:sz w:val="20"/>
          <w:szCs w:val="20"/>
          <w:bdr w:val="none" w:sz="0" w:space="0" w:color="auto"/>
        </w:rPr>
        <w:t>)</w:t>
      </w:r>
      <w:r w:rsidRPr="00485F6E">
        <w:rPr>
          <w:spacing w:val="-5"/>
          <w:sz w:val="20"/>
          <w:szCs w:val="20"/>
          <w:bdr w:val="none" w:sz="0" w:space="0" w:color="auto"/>
        </w:rPr>
        <w:t>, which establishes that</w:t>
      </w:r>
      <w:r w:rsidR="007B65E6" w:rsidRPr="00485F6E">
        <w:rPr>
          <w:rFonts w:cs="Tahoma"/>
          <w:sz w:val="20"/>
          <w:szCs w:val="20"/>
          <w:bdr w:val="none" w:sz="0" w:space="0" w:color="auto"/>
        </w:rPr>
        <w:t xml:space="preserve"> “</w:t>
      </w:r>
      <w:r w:rsidR="00C7775E" w:rsidRPr="00485F6E">
        <w:rPr>
          <w:sz w:val="20"/>
          <w:szCs w:val="20"/>
        </w:rPr>
        <w:t>[n]o one shall be subject to arbitrary arrest or imprisonment</w:t>
      </w:r>
      <w:r w:rsidR="007B65E6" w:rsidRPr="00485F6E">
        <w:rPr>
          <w:rFonts w:cs="Tahoma"/>
          <w:sz w:val="20"/>
          <w:szCs w:val="20"/>
          <w:bdr w:val="none" w:sz="0" w:space="0" w:color="auto"/>
        </w:rPr>
        <w:t xml:space="preserve">.” </w:t>
      </w:r>
      <w:r w:rsidRPr="00485F6E">
        <w:rPr>
          <w:rFonts w:cs="Tahoma"/>
          <w:sz w:val="20"/>
          <w:szCs w:val="20"/>
          <w:bdr w:val="none" w:sz="0" w:space="0" w:color="auto"/>
        </w:rPr>
        <w:t xml:space="preserve">The prohibition of arbitrary deprivation of liberty </w:t>
      </w:r>
      <w:r w:rsidR="00C7775E" w:rsidRPr="00485F6E">
        <w:rPr>
          <w:rFonts w:cs="Tahoma"/>
          <w:sz w:val="20"/>
          <w:szCs w:val="20"/>
          <w:bdr w:val="none" w:sz="0" w:space="0" w:color="auto"/>
        </w:rPr>
        <w:t>is governed by</w:t>
      </w:r>
      <w:r w:rsidRPr="00485F6E">
        <w:rPr>
          <w:rFonts w:cs="Tahoma"/>
          <w:sz w:val="20"/>
          <w:szCs w:val="20"/>
          <w:bdr w:val="none" w:sz="0" w:space="0" w:color="auto"/>
        </w:rPr>
        <w:t xml:space="preserve"> a criterion that is essentially material or substantive. In that respect, it is not enough for a detention to abide by the constitution and laws of a country to be deemed lawful or legitimate, because in addition it is necessary for this statutory framework to be in line with the material principles of reasonability and proportionality. Regarding this, the Inter-American Court has established that</w:t>
      </w:r>
      <w:r w:rsidR="00047F3C" w:rsidRPr="00485F6E">
        <w:rPr>
          <w:iCs/>
          <w:sz w:val="20"/>
          <w:szCs w:val="20"/>
        </w:rPr>
        <w:t xml:space="preserve"> “</w:t>
      </w:r>
      <w:r w:rsidR="00C7775E" w:rsidRPr="00485F6E">
        <w:rPr>
          <w:sz w:val="20"/>
          <w:szCs w:val="20"/>
        </w:rPr>
        <w:t>no one may be subjected to arrest or imprisonment for reasons and by methods which, although classified as legal, could be deemed to be incompatible with the respect for the fundamental rights of the individual because, among other things, they are unreasonable, unforeseeable or lacking in proportionality</w:t>
      </w:r>
      <w:r w:rsidRPr="00485F6E">
        <w:rPr>
          <w:sz w:val="20"/>
          <w:szCs w:val="20"/>
        </w:rPr>
        <w:t>.</w:t>
      </w:r>
      <w:r w:rsidR="00047F3C" w:rsidRPr="00485F6E">
        <w:rPr>
          <w:sz w:val="20"/>
          <w:szCs w:val="20"/>
        </w:rPr>
        <w:t>”</w:t>
      </w:r>
      <w:r w:rsidR="00047F3C" w:rsidRPr="00485F6E">
        <w:rPr>
          <w:rStyle w:val="FootnoteReference"/>
          <w:sz w:val="20"/>
          <w:szCs w:val="20"/>
        </w:rPr>
        <w:footnoteReference w:id="69"/>
      </w:r>
    </w:p>
    <w:p w14:paraId="26B92B5B" w14:textId="77777777" w:rsidR="00047F3C" w:rsidRPr="00485F6E" w:rsidRDefault="00047F3C" w:rsidP="00A50768">
      <w:pPr>
        <w:pStyle w:val="ListParagraph"/>
        <w:rPr>
          <w:rFonts w:eastAsia="Times New Roman"/>
          <w:sz w:val="20"/>
          <w:szCs w:val="20"/>
          <w:bdr w:val="none" w:sz="0" w:space="0" w:color="auto"/>
        </w:rPr>
      </w:pPr>
    </w:p>
    <w:p w14:paraId="28C11B73" w14:textId="77777777" w:rsidR="00C31090" w:rsidRPr="004E6D62" w:rsidRDefault="00F2261B"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cs="Tahoma"/>
          <w:sz w:val="20"/>
          <w:szCs w:val="20"/>
          <w:bdr w:val="none" w:sz="0" w:space="0" w:color="auto"/>
        </w:rPr>
      </w:pPr>
      <w:r w:rsidRPr="00485F6E">
        <w:rPr>
          <w:rFonts w:eastAsia="Times New Roman"/>
          <w:sz w:val="20"/>
          <w:szCs w:val="20"/>
          <w:bdr w:val="none" w:sz="0" w:space="0" w:color="auto"/>
        </w:rPr>
        <w:t>The IACHR stresses that, as a rule, deprivations of liberty are deemed arbitrary when they do not stem from specific causes or objective and concrete motive</w:t>
      </w:r>
      <w:r w:rsidR="000C280C" w:rsidRPr="00485F6E">
        <w:rPr>
          <w:rFonts w:eastAsia="Times New Roman"/>
          <w:sz w:val="20"/>
          <w:szCs w:val="20"/>
          <w:bdr w:val="none" w:sz="0" w:space="0" w:color="auto"/>
        </w:rPr>
        <w:t>s, but rather are adopted on the basis of indeterminate assumptions, such as a mere suspicion or simple presumptions or conjectures</w:t>
      </w:r>
      <w:r w:rsidR="00047F3C" w:rsidRPr="00485F6E">
        <w:rPr>
          <w:rFonts w:eastAsia="Times New Roman"/>
          <w:sz w:val="20"/>
          <w:szCs w:val="20"/>
          <w:bdr w:val="none" w:sz="0" w:space="0" w:color="auto"/>
        </w:rPr>
        <w:t xml:space="preserve">. </w:t>
      </w:r>
      <w:r w:rsidR="000C280C" w:rsidRPr="00485F6E">
        <w:rPr>
          <w:rFonts w:eastAsia="Times New Roman"/>
          <w:sz w:val="20"/>
          <w:szCs w:val="20"/>
          <w:bdr w:val="none" w:sz="0" w:space="0" w:color="auto"/>
        </w:rPr>
        <w:t xml:space="preserve">In the same </w:t>
      </w:r>
      <w:r w:rsidR="00B15347">
        <w:rPr>
          <w:rFonts w:eastAsia="Times New Roman"/>
          <w:sz w:val="20"/>
          <w:szCs w:val="20"/>
          <w:bdr w:val="none" w:sz="0" w:space="0" w:color="auto"/>
        </w:rPr>
        <w:t>vein</w:t>
      </w:r>
      <w:r w:rsidR="000C280C" w:rsidRPr="00485F6E">
        <w:rPr>
          <w:rFonts w:eastAsia="Times New Roman"/>
          <w:sz w:val="20"/>
          <w:szCs w:val="20"/>
          <w:bdr w:val="none" w:sz="0" w:space="0" w:color="auto"/>
        </w:rPr>
        <w:t>, detentions are arbitrary when they are not grounded in reasonable motives, in particular those detentions involving discrimination for reasons of nationality, race, or other status.</w:t>
      </w:r>
      <w:r w:rsidR="00047F3C" w:rsidRPr="00485F6E">
        <w:rPr>
          <w:rStyle w:val="FootnoteReference"/>
          <w:rFonts w:eastAsia="Times New Roman"/>
          <w:sz w:val="20"/>
          <w:szCs w:val="20"/>
          <w:bdr w:val="none" w:sz="0" w:space="0" w:color="auto"/>
        </w:rPr>
        <w:footnoteReference w:id="70"/>
      </w:r>
    </w:p>
    <w:p w14:paraId="17E41E2C" w14:textId="77777777" w:rsidR="004E6D62" w:rsidRPr="004E6D62" w:rsidRDefault="004E6D62" w:rsidP="004E6D62">
      <w:pPr>
        <w:pStyle w:val="ListParagraph"/>
        <w:rPr>
          <w:rFonts w:eastAsia="Times New Roman" w:cs="Tahoma"/>
          <w:sz w:val="20"/>
          <w:szCs w:val="20"/>
          <w:bdr w:val="none" w:sz="0" w:space="0" w:color="auto"/>
        </w:rPr>
      </w:pPr>
    </w:p>
    <w:p w14:paraId="25000E07" w14:textId="486871EF" w:rsidR="002A269F" w:rsidRPr="002A269F" w:rsidRDefault="002A269F" w:rsidP="00DB392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firstLine="0"/>
        <w:contextualSpacing/>
        <w:jc w:val="both"/>
        <w:rPr>
          <w:rFonts w:eastAsia="Times New Roman"/>
          <w:sz w:val="20"/>
          <w:szCs w:val="20"/>
          <w:bdr w:val="none" w:sz="0" w:space="0" w:color="auto"/>
        </w:rPr>
      </w:pPr>
      <w:r w:rsidRPr="002A269F">
        <w:rPr>
          <w:rFonts w:eastAsia="Times New Roman"/>
          <w:sz w:val="20"/>
          <w:szCs w:val="20"/>
          <w:bdr w:val="none" w:sz="0" w:space="0" w:color="auto"/>
        </w:rPr>
        <w:t>Finally, the Commission emphasizes that the judicial bodies responsible for hearing criminal proceedings against adolescents in conflict with the criminal law must refrain from using reasoning that denotes prejudices or stereotypes in the grounds for their judgments, especially in the case of a conviction that results in the deprivation of liberty of the accused. The Commission recalls that, according to the jurisprudence of the organs of the inter-American system, “stereotypes constitute pre-conceptions of the attributes, conduct, roles or characteristics possessed by persons belonging to an identified group”</w:t>
      </w:r>
      <w:r w:rsidR="00F5676D" w:rsidRPr="00F5676D">
        <w:rPr>
          <w:rStyle w:val="FootnoteReference"/>
          <w:sz w:val="20"/>
          <w:szCs w:val="20"/>
        </w:rPr>
        <w:t xml:space="preserve"> </w:t>
      </w:r>
      <w:r w:rsidR="00F5676D" w:rsidRPr="00EF0A92">
        <w:rPr>
          <w:rStyle w:val="FootnoteReference"/>
          <w:sz w:val="20"/>
          <w:szCs w:val="20"/>
          <w:lang w:val="es-AR"/>
        </w:rPr>
        <w:footnoteReference w:id="71"/>
      </w:r>
      <w:r w:rsidRPr="002A269F">
        <w:rPr>
          <w:rFonts w:eastAsia="Times New Roman"/>
          <w:sz w:val="20"/>
          <w:szCs w:val="20"/>
          <w:bdr w:val="none" w:sz="0" w:space="0" w:color="auto"/>
        </w:rPr>
        <w:t xml:space="preserve"> and that in a judicial decision </w:t>
      </w:r>
      <w:r w:rsidRPr="002A269F">
        <w:rPr>
          <w:rFonts w:eastAsia="Times New Roman"/>
          <w:sz w:val="20"/>
          <w:szCs w:val="20"/>
          <w:bdr w:val="none" w:sz="0" w:space="0" w:color="auto"/>
        </w:rPr>
        <w:lastRenderedPageBreak/>
        <w:t>they can be found, for example, in the use of discursive expressions whose value, moral and/or political charge, denotes the acceptance and reproduction of stereotypes that include strong social and cultural prejudices, [...] without being derived from proven facts in the process.”</w:t>
      </w:r>
      <w:r w:rsidR="008A62CD" w:rsidRPr="00EF0A92">
        <w:rPr>
          <w:rStyle w:val="FootnoteReference"/>
          <w:sz w:val="20"/>
          <w:szCs w:val="20"/>
          <w:lang w:val="es-AR"/>
        </w:rPr>
        <w:footnoteReference w:id="72"/>
      </w:r>
      <w:r w:rsidRPr="002A269F">
        <w:rPr>
          <w:rFonts w:eastAsia="Times New Roman"/>
          <w:sz w:val="20"/>
          <w:szCs w:val="20"/>
          <w:bdr w:val="none" w:sz="0" w:space="0" w:color="auto"/>
        </w:rPr>
        <w:t xml:space="preserve">  </w:t>
      </w:r>
    </w:p>
    <w:p w14:paraId="1346D901" w14:textId="77777777" w:rsidR="00C31090" w:rsidRPr="008A62CD" w:rsidRDefault="00C31090" w:rsidP="00C3109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right="74"/>
        <w:contextualSpacing/>
        <w:jc w:val="both"/>
        <w:rPr>
          <w:rFonts w:eastAsia="Times New Roman" w:cs="Tahoma"/>
          <w:sz w:val="20"/>
          <w:szCs w:val="20"/>
          <w:bdr w:val="none" w:sz="0" w:space="0" w:color="auto"/>
        </w:rPr>
      </w:pPr>
    </w:p>
    <w:p w14:paraId="1FFFC71E" w14:textId="77777777" w:rsidR="00C26077" w:rsidRPr="00485F6E" w:rsidRDefault="000C280C" w:rsidP="00FB217B">
      <w:pPr>
        <w:pStyle w:val="ListParagraph"/>
        <w:numPr>
          <w:ilvl w:val="0"/>
          <w:numId w:val="35"/>
        </w:numPr>
        <w:ind w:right="855"/>
        <w:jc w:val="both"/>
        <w:outlineLvl w:val="2"/>
        <w:rPr>
          <w:b/>
          <w:bCs/>
          <w:sz w:val="20"/>
          <w:szCs w:val="20"/>
        </w:rPr>
      </w:pPr>
      <w:bookmarkStart w:id="39" w:name="_Toc203988498"/>
      <w:r w:rsidRPr="00485F6E">
        <w:rPr>
          <w:b/>
          <w:bCs/>
          <w:sz w:val="20"/>
          <w:szCs w:val="20"/>
        </w:rPr>
        <w:t>Relevant standards in criminal justice and the rights of children and adolescents</w:t>
      </w:r>
      <w:bookmarkEnd w:id="39"/>
    </w:p>
    <w:p w14:paraId="328695E0" w14:textId="77777777" w:rsidR="00C26077" w:rsidRPr="00485F6E" w:rsidRDefault="00C26077" w:rsidP="00C26077">
      <w:pPr>
        <w:rPr>
          <w:sz w:val="20"/>
          <w:szCs w:val="20"/>
        </w:rPr>
      </w:pPr>
    </w:p>
    <w:p w14:paraId="70309341" w14:textId="77777777" w:rsidR="0062593C" w:rsidRPr="00485F6E" w:rsidRDefault="000C280C"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bCs/>
          <w:sz w:val="20"/>
          <w:szCs w:val="20"/>
        </w:rPr>
        <w:t>The Commission has, on many occasions, tackled the matter of juvenile justice and its connection to human rights</w:t>
      </w:r>
      <w:r w:rsidR="00035828" w:rsidRPr="00485F6E">
        <w:rPr>
          <w:bCs/>
          <w:sz w:val="20"/>
          <w:szCs w:val="20"/>
        </w:rPr>
        <w:t xml:space="preserve">. </w:t>
      </w:r>
      <w:r w:rsidRPr="00485F6E">
        <w:rPr>
          <w:bCs/>
          <w:sz w:val="20"/>
          <w:szCs w:val="20"/>
        </w:rPr>
        <w:t>In its thematic report “Juvenile Justice and Human Rights in the Americas</w:t>
      </w:r>
      <w:r w:rsidR="00035828" w:rsidRPr="00485F6E">
        <w:rPr>
          <w:bCs/>
          <w:sz w:val="20"/>
          <w:szCs w:val="20"/>
        </w:rPr>
        <w:t>,</w:t>
      </w:r>
      <w:r w:rsidRPr="00485F6E">
        <w:rPr>
          <w:bCs/>
          <w:sz w:val="20"/>
          <w:szCs w:val="20"/>
        </w:rPr>
        <w:t>” the Commission identified international human rights standards that must be observed by juvenile justice</w:t>
      </w:r>
      <w:r w:rsidR="00B128F9" w:rsidRPr="00485F6E">
        <w:rPr>
          <w:bCs/>
          <w:sz w:val="20"/>
          <w:szCs w:val="20"/>
        </w:rPr>
        <w:t xml:space="preserve"> systems</w:t>
      </w:r>
      <w:r w:rsidRPr="00485F6E">
        <w:rPr>
          <w:bCs/>
          <w:sz w:val="20"/>
          <w:szCs w:val="20"/>
        </w:rPr>
        <w:t xml:space="preserve"> and, in particular, the obligations of member states with respect to the human rights of children and adolescents charged with breaking criminal law.</w:t>
      </w:r>
      <w:r w:rsidR="0062593C" w:rsidRPr="00485F6E">
        <w:rPr>
          <w:rStyle w:val="FootnoteReference"/>
          <w:rFonts w:eastAsia="Times New Roman"/>
          <w:sz w:val="20"/>
          <w:szCs w:val="20"/>
          <w:bdr w:val="none" w:sz="0" w:space="0" w:color="auto"/>
        </w:rPr>
        <w:footnoteReference w:id="73"/>
      </w:r>
    </w:p>
    <w:p w14:paraId="128E1F80" w14:textId="77777777" w:rsidR="0062593C" w:rsidRPr="00485F6E" w:rsidRDefault="0062593C" w:rsidP="00A507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715B20C7" w14:textId="77777777" w:rsidR="005076F9" w:rsidRPr="00485F6E" w:rsidRDefault="000C280C" w:rsidP="005076F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rFonts w:eastAsia="Times New Roman"/>
          <w:sz w:val="20"/>
          <w:szCs w:val="20"/>
          <w:bdr w:val="none" w:sz="0" w:space="0" w:color="auto"/>
        </w:rPr>
        <w:t>The Commission indicated that the juvenile justice system must guarantee, to children and adolescents, all of the rights recognized for other human beings, but in addition it must provide them with guarantees for special protection that must granted to them because of their age and stage of development, in line with the principal objectives of the juvenile justice system, that is, the rehabilitation of children and adolescents</w:t>
      </w:r>
      <w:r w:rsidR="0062593C" w:rsidRPr="00485F6E">
        <w:rPr>
          <w:rFonts w:eastAsia="Times New Roman"/>
          <w:sz w:val="20"/>
          <w:szCs w:val="20"/>
          <w:bdr w:val="none" w:sz="0" w:space="0" w:color="auto"/>
        </w:rPr>
        <w:t xml:space="preserve">, </w:t>
      </w:r>
      <w:r w:rsidR="008F1B16" w:rsidRPr="00485F6E">
        <w:rPr>
          <w:rFonts w:eastAsia="Times New Roman"/>
          <w:sz w:val="20"/>
          <w:szCs w:val="20"/>
          <w:bdr w:val="none" w:sz="0" w:space="0" w:color="auto"/>
        </w:rPr>
        <w:t>their formal training, and their social rein</w:t>
      </w:r>
      <w:r w:rsidR="00255091">
        <w:rPr>
          <w:rFonts w:eastAsia="Times New Roman"/>
          <w:sz w:val="20"/>
          <w:szCs w:val="20"/>
          <w:bdr w:val="none" w:sz="0" w:space="0" w:color="auto"/>
        </w:rPr>
        <w:t>tegration</w:t>
      </w:r>
      <w:r w:rsidR="008F1B16" w:rsidRPr="00485F6E">
        <w:rPr>
          <w:rFonts w:eastAsia="Times New Roman"/>
          <w:sz w:val="20"/>
          <w:szCs w:val="20"/>
          <w:bdr w:val="none" w:sz="0" w:space="0" w:color="auto"/>
        </w:rPr>
        <w:t xml:space="preserve"> to enable them to play a constructive role in society.</w:t>
      </w:r>
      <w:r w:rsidR="0062593C" w:rsidRPr="00485F6E">
        <w:rPr>
          <w:rStyle w:val="FootnoteReference"/>
          <w:rFonts w:eastAsia="Times New Roman"/>
          <w:sz w:val="20"/>
          <w:szCs w:val="20"/>
          <w:bdr w:val="none" w:sz="0" w:space="0" w:color="auto"/>
        </w:rPr>
        <w:footnoteReference w:id="74"/>
      </w:r>
    </w:p>
    <w:p w14:paraId="500563BC" w14:textId="77777777" w:rsidR="005076F9" w:rsidRPr="00485F6E" w:rsidRDefault="005076F9" w:rsidP="005076F9">
      <w:pPr>
        <w:pStyle w:val="ListParagraph"/>
        <w:rPr>
          <w:rFonts w:eastAsia="Times New Roman"/>
          <w:sz w:val="20"/>
          <w:szCs w:val="20"/>
          <w:bdr w:val="none" w:sz="0" w:space="0" w:color="auto"/>
        </w:rPr>
      </w:pPr>
    </w:p>
    <w:p w14:paraId="79CFFD6F" w14:textId="77777777" w:rsidR="005076F9" w:rsidRPr="00485F6E" w:rsidRDefault="008F1B16" w:rsidP="008F1B1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rFonts w:eastAsia="Times New Roman"/>
          <w:sz w:val="20"/>
          <w:szCs w:val="20"/>
          <w:bdr w:val="none" w:sz="0" w:space="0" w:color="auto"/>
        </w:rPr>
        <w:t xml:space="preserve">The Commission also identified a series of interlinked norms or </w:t>
      </w:r>
      <w:r w:rsidR="0062593C" w:rsidRPr="00485F6E">
        <w:rPr>
          <w:rFonts w:eastAsia="Times New Roman"/>
          <w:i/>
          <w:sz w:val="20"/>
          <w:szCs w:val="20"/>
          <w:bdr w:val="none" w:sz="0" w:space="0" w:color="auto"/>
        </w:rPr>
        <w:t>corpus juris</w:t>
      </w:r>
      <w:r w:rsidR="0062593C" w:rsidRPr="00485F6E">
        <w:rPr>
          <w:rFonts w:eastAsia="Times New Roman"/>
          <w:sz w:val="20"/>
          <w:szCs w:val="20"/>
          <w:bdr w:val="none" w:sz="0" w:space="0" w:color="auto"/>
        </w:rPr>
        <w:t xml:space="preserve"> </w:t>
      </w:r>
      <w:r w:rsidRPr="00485F6E">
        <w:rPr>
          <w:rFonts w:eastAsia="Times New Roman"/>
          <w:sz w:val="20"/>
          <w:szCs w:val="20"/>
          <w:bdr w:val="none" w:sz="0" w:space="0" w:color="auto"/>
        </w:rPr>
        <w:t>for the protection of children and adolescents that must be taken into consideration when interpreting the meaning of Article 19 of the American Convention and Article VII of the American Declaration. Among them, the following are noteworthy: the 1989 Convention on the Rights of the Child</w:t>
      </w:r>
      <w:r w:rsidR="0062593C" w:rsidRPr="00485F6E">
        <w:rPr>
          <w:rStyle w:val="FootnoteReference"/>
          <w:rFonts w:eastAsia="Times New Roman"/>
          <w:sz w:val="20"/>
          <w:szCs w:val="20"/>
          <w:bdr w:val="none" w:sz="0" w:space="0" w:color="auto"/>
        </w:rPr>
        <w:footnoteReference w:id="75"/>
      </w:r>
      <w:r w:rsidR="0062593C" w:rsidRPr="00485F6E">
        <w:rPr>
          <w:rFonts w:eastAsia="Times New Roman"/>
          <w:sz w:val="20"/>
          <w:szCs w:val="20"/>
          <w:bdr w:val="none" w:sz="0" w:space="0" w:color="auto"/>
        </w:rPr>
        <w:t xml:space="preserve"> </w:t>
      </w:r>
      <w:r w:rsidRPr="00485F6E">
        <w:rPr>
          <w:rFonts w:eastAsia="Times New Roman"/>
          <w:sz w:val="20"/>
          <w:szCs w:val="20"/>
          <w:bdr w:val="none" w:sz="0" w:space="0" w:color="auto"/>
        </w:rPr>
        <w:t>and the United Nations Standard Minimum Rules for the Administration of Juvenile Justice, also known as the “The Beijing Rules.”</w:t>
      </w:r>
      <w:r w:rsidR="0062593C" w:rsidRPr="00485F6E">
        <w:rPr>
          <w:rStyle w:val="FootnoteReference"/>
          <w:rFonts w:eastAsia="Times New Roman"/>
          <w:sz w:val="20"/>
          <w:szCs w:val="20"/>
          <w:bdr w:val="none" w:sz="0" w:space="0" w:color="auto"/>
        </w:rPr>
        <w:footnoteReference w:id="76"/>
      </w:r>
      <w:r w:rsidR="0062593C" w:rsidRPr="00485F6E">
        <w:rPr>
          <w:rFonts w:eastAsia="Times New Roman"/>
          <w:sz w:val="20"/>
          <w:szCs w:val="20"/>
          <w:bdr w:val="none" w:sz="0" w:space="0" w:color="auto"/>
        </w:rPr>
        <w:t xml:space="preserve"> </w:t>
      </w:r>
      <w:r w:rsidRPr="00485F6E">
        <w:rPr>
          <w:rFonts w:eastAsia="Times New Roman"/>
          <w:sz w:val="20"/>
          <w:szCs w:val="20"/>
          <w:bdr w:val="none" w:sz="0" w:space="0" w:color="auto"/>
        </w:rPr>
        <w:t xml:space="preserve">The statutory rules emerging from said instruments must be supplemented by the decisions adopted by the </w:t>
      </w:r>
      <w:r w:rsidR="00B97205" w:rsidRPr="00485F6E">
        <w:rPr>
          <w:rFonts w:eastAsia="Times New Roman"/>
          <w:sz w:val="20"/>
          <w:szCs w:val="20"/>
          <w:bdr w:val="none" w:sz="0" w:space="0" w:color="auto"/>
        </w:rPr>
        <w:t>Committee on the R</w:t>
      </w:r>
      <w:r w:rsidRPr="00485F6E">
        <w:rPr>
          <w:rFonts w:eastAsia="Times New Roman"/>
          <w:sz w:val="20"/>
          <w:szCs w:val="20"/>
          <w:bdr w:val="none" w:sz="0" w:space="0" w:color="auto"/>
        </w:rPr>
        <w:t>ights of the Child in ful</w:t>
      </w:r>
      <w:r w:rsidR="00B97205" w:rsidRPr="00485F6E">
        <w:rPr>
          <w:rFonts w:eastAsia="Times New Roman"/>
          <w:sz w:val="20"/>
          <w:szCs w:val="20"/>
          <w:bdr w:val="none" w:sz="0" w:space="0" w:color="auto"/>
        </w:rPr>
        <w:t>fillment of its mandat</w:t>
      </w:r>
      <w:r w:rsidRPr="00485F6E">
        <w:rPr>
          <w:rFonts w:eastAsia="Times New Roman"/>
          <w:sz w:val="20"/>
          <w:szCs w:val="20"/>
          <w:bdr w:val="none" w:sz="0" w:space="0" w:color="auto"/>
        </w:rPr>
        <w:t xml:space="preserve">e and by General </w:t>
      </w:r>
      <w:r w:rsidR="00B97205" w:rsidRPr="00485F6E">
        <w:rPr>
          <w:rFonts w:eastAsia="Times New Roman"/>
          <w:sz w:val="20"/>
          <w:szCs w:val="20"/>
          <w:bdr w:val="none" w:sz="0" w:space="0" w:color="auto"/>
        </w:rPr>
        <w:t xml:space="preserve">Comment No. 10 on children’s </w:t>
      </w:r>
      <w:r w:rsidRPr="00485F6E">
        <w:rPr>
          <w:rFonts w:eastAsia="Times New Roman"/>
          <w:sz w:val="20"/>
          <w:szCs w:val="20"/>
          <w:bdr w:val="none" w:sz="0" w:space="0" w:color="auto"/>
        </w:rPr>
        <w:t>rights in juvenile justice</w:t>
      </w:r>
      <w:r w:rsidR="00B97205" w:rsidRPr="00485F6E">
        <w:rPr>
          <w:rFonts w:eastAsia="Times New Roman"/>
          <w:sz w:val="20"/>
          <w:szCs w:val="20"/>
          <w:bdr w:val="none" w:sz="0" w:space="0" w:color="auto"/>
        </w:rPr>
        <w:t>.</w:t>
      </w:r>
      <w:r w:rsidR="00B352C8" w:rsidRPr="00485F6E">
        <w:rPr>
          <w:rStyle w:val="FootnoteReference"/>
          <w:rFonts w:eastAsia="Times New Roman"/>
          <w:sz w:val="20"/>
          <w:szCs w:val="20"/>
          <w:bdr w:val="none" w:sz="0" w:space="0" w:color="auto"/>
        </w:rPr>
        <w:footnoteReference w:id="77"/>
      </w:r>
      <w:r w:rsidR="00B352C8" w:rsidRPr="00485F6E">
        <w:rPr>
          <w:rFonts w:eastAsia="Times New Roman"/>
          <w:sz w:val="20"/>
          <w:szCs w:val="20"/>
          <w:bdr w:val="none" w:sz="0" w:space="0" w:color="auto"/>
        </w:rPr>
        <w:t xml:space="preserve"> </w:t>
      </w:r>
    </w:p>
    <w:p w14:paraId="3B3A78DF" w14:textId="77777777" w:rsidR="005076F9" w:rsidRPr="00485F6E" w:rsidRDefault="005076F9" w:rsidP="005076F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4D3BCC11" w14:textId="77777777" w:rsidR="00BA2DEB" w:rsidRPr="00485F6E" w:rsidRDefault="00B352C8" w:rsidP="005076F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sz w:val="20"/>
          <w:szCs w:val="20"/>
          <w:bdr w:val="none" w:sz="0" w:space="0" w:color="auto"/>
        </w:rPr>
        <w:t>Artic</w:t>
      </w:r>
      <w:r w:rsidR="00B97205" w:rsidRPr="00485F6E">
        <w:rPr>
          <w:sz w:val="20"/>
          <w:szCs w:val="20"/>
          <w:bdr w:val="none" w:sz="0" w:space="0" w:color="auto"/>
        </w:rPr>
        <w:t>le</w:t>
      </w:r>
      <w:r w:rsidRPr="00485F6E">
        <w:rPr>
          <w:sz w:val="20"/>
          <w:szCs w:val="20"/>
          <w:bdr w:val="none" w:sz="0" w:space="0" w:color="auto"/>
        </w:rPr>
        <w:t xml:space="preserve"> 5 </w:t>
      </w:r>
      <w:r w:rsidR="00B97205" w:rsidRPr="00485F6E">
        <w:rPr>
          <w:sz w:val="20"/>
          <w:szCs w:val="20"/>
          <w:bdr w:val="none" w:sz="0" w:space="0" w:color="auto"/>
        </w:rPr>
        <w:t>of the Convention on the Rights of Child establishes that public and private institutions of a</w:t>
      </w:r>
      <w:r w:rsidR="00255091">
        <w:rPr>
          <w:sz w:val="20"/>
          <w:szCs w:val="20"/>
          <w:bdr w:val="none" w:sz="0" w:space="0" w:color="auto"/>
        </w:rPr>
        <w:t>ll</w:t>
      </w:r>
      <w:r w:rsidR="00B97205" w:rsidRPr="00485F6E">
        <w:rPr>
          <w:sz w:val="20"/>
          <w:szCs w:val="20"/>
          <w:bdr w:val="none" w:sz="0" w:space="0" w:color="auto"/>
        </w:rPr>
        <w:t xml:space="preserve"> kind</w:t>
      </w:r>
      <w:r w:rsidR="00255091">
        <w:rPr>
          <w:sz w:val="20"/>
          <w:szCs w:val="20"/>
          <w:bdr w:val="none" w:sz="0" w:space="0" w:color="auto"/>
        </w:rPr>
        <w:t>s</w:t>
      </w:r>
      <w:r w:rsidR="00B97205" w:rsidRPr="00485F6E">
        <w:rPr>
          <w:sz w:val="20"/>
          <w:szCs w:val="20"/>
          <w:bdr w:val="none" w:sz="0" w:space="0" w:color="auto"/>
        </w:rPr>
        <w:t xml:space="preserve"> must always bear in mind the </w:t>
      </w:r>
      <w:r w:rsidR="00255091">
        <w:rPr>
          <w:sz w:val="20"/>
          <w:szCs w:val="20"/>
          <w:bdr w:val="none" w:sz="0" w:space="0" w:color="auto"/>
        </w:rPr>
        <w:t>best</w:t>
      </w:r>
      <w:r w:rsidR="00B97205" w:rsidRPr="00485F6E">
        <w:rPr>
          <w:sz w:val="20"/>
          <w:szCs w:val="20"/>
          <w:bdr w:val="none" w:sz="0" w:space="0" w:color="auto"/>
        </w:rPr>
        <w:t xml:space="preserve"> interest</w:t>
      </w:r>
      <w:r w:rsidR="00255091">
        <w:rPr>
          <w:sz w:val="20"/>
          <w:szCs w:val="20"/>
          <w:bdr w:val="none" w:sz="0" w:space="0" w:color="auto"/>
        </w:rPr>
        <w:t>s</w:t>
      </w:r>
      <w:r w:rsidR="00B97205" w:rsidRPr="00485F6E">
        <w:rPr>
          <w:sz w:val="20"/>
          <w:szCs w:val="20"/>
          <w:bdr w:val="none" w:sz="0" w:space="0" w:color="auto"/>
        </w:rPr>
        <w:t xml:space="preserve"> of the child in all the measures of</w:t>
      </w:r>
      <w:r w:rsidR="00255091">
        <w:rPr>
          <w:sz w:val="20"/>
          <w:szCs w:val="20"/>
          <w:bdr w:val="none" w:sz="0" w:space="0" w:color="auto"/>
        </w:rPr>
        <w:t xml:space="preserve"> the</w:t>
      </w:r>
      <w:r w:rsidR="00B97205" w:rsidRPr="00485F6E">
        <w:rPr>
          <w:sz w:val="20"/>
          <w:szCs w:val="20"/>
          <w:bdr w:val="none" w:sz="0" w:space="0" w:color="auto"/>
        </w:rPr>
        <w:t xml:space="preserve"> decisions they take. The Inter-American Court has specified that the notion of the </w:t>
      </w:r>
      <w:r w:rsidR="00F81532" w:rsidRPr="00485F6E">
        <w:rPr>
          <w:sz w:val="20"/>
          <w:szCs w:val="20"/>
          <w:bdr w:val="none" w:sz="0" w:space="0" w:color="auto"/>
        </w:rPr>
        <w:t>best</w:t>
      </w:r>
      <w:r w:rsidR="00B97205" w:rsidRPr="00485F6E">
        <w:rPr>
          <w:sz w:val="20"/>
          <w:szCs w:val="20"/>
          <w:bdr w:val="none" w:sz="0" w:space="0" w:color="auto"/>
        </w:rPr>
        <w:t xml:space="preserve"> interest</w:t>
      </w:r>
      <w:r w:rsidR="00255091">
        <w:rPr>
          <w:sz w:val="20"/>
          <w:szCs w:val="20"/>
          <w:bdr w:val="none" w:sz="0" w:space="0" w:color="auto"/>
        </w:rPr>
        <w:t>s</w:t>
      </w:r>
      <w:r w:rsidR="00B97205" w:rsidRPr="00485F6E">
        <w:rPr>
          <w:sz w:val="20"/>
          <w:szCs w:val="20"/>
          <w:bdr w:val="none" w:sz="0" w:space="0" w:color="auto"/>
        </w:rPr>
        <w:t xml:space="preserve"> of the child “</w:t>
      </w:r>
      <w:r w:rsidR="00F81532" w:rsidRPr="00485F6E">
        <w:rPr>
          <w:sz w:val="20"/>
          <w:szCs w:val="20"/>
          <w:bdr w:val="none" w:sz="0" w:space="0" w:color="auto"/>
        </w:rPr>
        <w:t>implies that the development of the child and the full exercise of their rights must be viewed as governing principles for drawing up norms and implementing them in all spheres relative to the life of the child</w:t>
      </w:r>
      <w:r w:rsidR="00B97205" w:rsidRPr="00485F6E">
        <w:rPr>
          <w:sz w:val="20"/>
          <w:szCs w:val="20"/>
        </w:rPr>
        <w:t>.</w:t>
      </w:r>
      <w:r w:rsidRPr="00485F6E">
        <w:rPr>
          <w:sz w:val="20"/>
          <w:szCs w:val="20"/>
        </w:rPr>
        <w:t>”</w:t>
      </w:r>
      <w:r w:rsidR="00D47362" w:rsidRPr="00485F6E">
        <w:rPr>
          <w:rStyle w:val="FootnoteReference"/>
          <w:sz w:val="20"/>
          <w:szCs w:val="20"/>
        </w:rPr>
        <w:footnoteReference w:id="78"/>
      </w:r>
    </w:p>
    <w:p w14:paraId="0A1085D7" w14:textId="77777777" w:rsidR="005076F9" w:rsidRPr="00485F6E" w:rsidRDefault="005076F9" w:rsidP="005076F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sz w:val="20"/>
          <w:szCs w:val="20"/>
        </w:rPr>
      </w:pPr>
    </w:p>
    <w:p w14:paraId="36EB3E88" w14:textId="77777777" w:rsidR="00F93189" w:rsidRPr="0063147E" w:rsidRDefault="00B97205" w:rsidP="005076F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rPr>
      </w:pPr>
      <w:r w:rsidRPr="00485F6E">
        <w:rPr>
          <w:sz w:val="20"/>
          <w:szCs w:val="20"/>
        </w:rPr>
        <w:t>Likewise, because international law has clearly established that legal age is reached when the person becomes 18 years old,</w:t>
      </w:r>
      <w:r w:rsidR="00BE7AB4" w:rsidRPr="00485F6E">
        <w:rPr>
          <w:rStyle w:val="FootnoteReference"/>
          <w:sz w:val="20"/>
          <w:szCs w:val="20"/>
        </w:rPr>
        <w:footnoteReference w:id="79"/>
      </w:r>
      <w:r w:rsidRPr="00485F6E">
        <w:rPr>
          <w:sz w:val="20"/>
          <w:szCs w:val="20"/>
        </w:rPr>
        <w:t xml:space="preserve"> all persons must be subject</w:t>
      </w:r>
      <w:r w:rsidR="007C06AE" w:rsidRPr="00485F6E">
        <w:rPr>
          <w:sz w:val="20"/>
          <w:szCs w:val="20"/>
        </w:rPr>
        <w:t xml:space="preserve"> to a</w:t>
      </w:r>
      <w:r w:rsidR="00303CF7">
        <w:rPr>
          <w:sz w:val="20"/>
          <w:szCs w:val="20"/>
        </w:rPr>
        <w:t xml:space="preserve"> special</w:t>
      </w:r>
      <w:r w:rsidR="007C06AE" w:rsidRPr="00485F6E">
        <w:rPr>
          <w:sz w:val="20"/>
          <w:szCs w:val="20"/>
        </w:rPr>
        <w:t xml:space="preserve"> criminal justice regime when the evidence provided in a given </w:t>
      </w:r>
      <w:r w:rsidR="007C06AE" w:rsidRPr="0063147E">
        <w:rPr>
          <w:sz w:val="20"/>
          <w:szCs w:val="20"/>
        </w:rPr>
        <w:t xml:space="preserve">case indicates that the person being charged had not reached 18 years of age at the time of </w:t>
      </w:r>
      <w:r w:rsidR="007C06AE" w:rsidRPr="0063147E">
        <w:rPr>
          <w:sz w:val="20"/>
          <w:szCs w:val="20"/>
        </w:rPr>
        <w:lastRenderedPageBreak/>
        <w:t>violation of criminal law.</w:t>
      </w:r>
      <w:r w:rsidR="00BE7AB4" w:rsidRPr="0063147E">
        <w:rPr>
          <w:rStyle w:val="FootnoteReference"/>
          <w:sz w:val="20"/>
          <w:szCs w:val="20"/>
        </w:rPr>
        <w:footnoteReference w:id="80"/>
      </w:r>
      <w:r w:rsidR="00374380" w:rsidRPr="0063147E">
        <w:rPr>
          <w:sz w:val="20"/>
          <w:szCs w:val="20"/>
        </w:rPr>
        <w:t xml:space="preserve"> </w:t>
      </w:r>
      <w:r w:rsidR="007C06AE" w:rsidRPr="0063147E">
        <w:rPr>
          <w:sz w:val="20"/>
          <w:szCs w:val="20"/>
        </w:rPr>
        <w:t xml:space="preserve">In that regard, recently the IACHR, in its </w:t>
      </w:r>
      <w:r w:rsidR="00870ABA" w:rsidRPr="0063147E">
        <w:rPr>
          <w:sz w:val="20"/>
          <w:szCs w:val="20"/>
        </w:rPr>
        <w:t>report</w:t>
      </w:r>
      <w:r w:rsidR="007C06AE" w:rsidRPr="0063147E">
        <w:rPr>
          <w:sz w:val="20"/>
          <w:szCs w:val="20"/>
        </w:rPr>
        <w:t xml:space="preserve"> on </w:t>
      </w:r>
      <w:r w:rsidR="00870ABA" w:rsidRPr="0063147E">
        <w:rPr>
          <w:sz w:val="20"/>
          <w:szCs w:val="20"/>
        </w:rPr>
        <w:t>“</w:t>
      </w:r>
      <w:r w:rsidR="007C06AE" w:rsidRPr="0063147E">
        <w:rPr>
          <w:sz w:val="20"/>
          <w:szCs w:val="20"/>
        </w:rPr>
        <w:t>Children and Adolescents in the</w:t>
      </w:r>
      <w:r w:rsidR="00870ABA" w:rsidRPr="0063147E">
        <w:rPr>
          <w:sz w:val="20"/>
          <w:szCs w:val="20"/>
        </w:rPr>
        <w:t xml:space="preserve"> United States’</w:t>
      </w:r>
      <w:r w:rsidR="007C06AE" w:rsidRPr="0063147E">
        <w:rPr>
          <w:sz w:val="20"/>
          <w:szCs w:val="20"/>
        </w:rPr>
        <w:t xml:space="preserve"> Adult Criminal</w:t>
      </w:r>
      <w:r w:rsidR="00870ABA" w:rsidRPr="0063147E">
        <w:rPr>
          <w:sz w:val="20"/>
          <w:szCs w:val="20"/>
        </w:rPr>
        <w:t xml:space="preserve"> Justice System</w:t>
      </w:r>
      <w:r w:rsidR="007C06AE" w:rsidRPr="0063147E">
        <w:rPr>
          <w:sz w:val="20"/>
          <w:szCs w:val="20"/>
        </w:rPr>
        <w:t>,” pointed out that “</w:t>
      </w:r>
      <w:r w:rsidR="00870ABA" w:rsidRPr="0063147E">
        <w:rPr>
          <w:sz w:val="20"/>
          <w:szCs w:val="20"/>
        </w:rPr>
        <w:t>children are different from adults and require special treatment with regard to their criminal responsibility for crimes committed, and in particular, that it is necessary to prioritize the rehabilitation of child offenders over the goals of retribution and incarceration</w:t>
      </w:r>
      <w:r w:rsidR="00F93189" w:rsidRPr="0063147E">
        <w:rPr>
          <w:sz w:val="20"/>
          <w:szCs w:val="20"/>
        </w:rPr>
        <w:t>”</w:t>
      </w:r>
      <w:r w:rsidR="005076F9" w:rsidRPr="0063147E">
        <w:rPr>
          <w:rStyle w:val="FootnoteReference"/>
          <w:sz w:val="20"/>
          <w:szCs w:val="20"/>
        </w:rPr>
        <w:footnoteReference w:id="81"/>
      </w:r>
      <w:r w:rsidR="007C06AE" w:rsidRPr="0063147E">
        <w:rPr>
          <w:sz w:val="20"/>
          <w:szCs w:val="20"/>
        </w:rPr>
        <w:t xml:space="preserve"> and concluded that </w:t>
      </w:r>
      <w:r w:rsidR="00870ABA" w:rsidRPr="0063147E">
        <w:rPr>
          <w:sz w:val="20"/>
          <w:szCs w:val="20"/>
        </w:rPr>
        <w:t>“[a]ll adolescents who stand accused of a crime are entitled to be tried in a special juvenile justice system, separate from the criminal justice system in which adults are tried, in order to ensure that their fundamental rights are afforded due protection and respect, in accordance with their age and developmental needs</w:t>
      </w:r>
      <w:r w:rsidR="007C06AE" w:rsidRPr="0063147E">
        <w:rPr>
          <w:sz w:val="20"/>
          <w:szCs w:val="20"/>
        </w:rPr>
        <w:t>.</w:t>
      </w:r>
      <w:r w:rsidR="005076F9" w:rsidRPr="0063147E">
        <w:rPr>
          <w:sz w:val="20"/>
          <w:szCs w:val="20"/>
        </w:rPr>
        <w:t>”</w:t>
      </w:r>
      <w:r w:rsidR="005076F9" w:rsidRPr="0063147E">
        <w:rPr>
          <w:rStyle w:val="FootnoteReference"/>
          <w:sz w:val="20"/>
          <w:szCs w:val="20"/>
        </w:rPr>
        <w:footnoteReference w:id="82"/>
      </w:r>
    </w:p>
    <w:p w14:paraId="79CAAE6F" w14:textId="77777777" w:rsidR="00496BD2" w:rsidRPr="0063147E" w:rsidRDefault="00496BD2" w:rsidP="005076F9">
      <w:pPr>
        <w:jc w:val="both"/>
        <w:rPr>
          <w:sz w:val="20"/>
          <w:szCs w:val="20"/>
        </w:rPr>
      </w:pPr>
    </w:p>
    <w:p w14:paraId="6F92E004" w14:textId="77777777" w:rsidR="007D69F0" w:rsidRPr="00485F6E" w:rsidRDefault="003B7A2E" w:rsidP="007D69F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63147E">
        <w:rPr>
          <w:rFonts w:eastAsia="Times New Roman"/>
          <w:sz w:val="20"/>
          <w:szCs w:val="20"/>
          <w:bdr w:val="none" w:sz="0" w:space="0" w:color="auto"/>
        </w:rPr>
        <w:t>In terms of substantive guarantees that must be applied in juvenile criminal proceedings, the Commission stresses, first of all, with respect to</w:t>
      </w:r>
      <w:r w:rsidRPr="00485F6E">
        <w:rPr>
          <w:rFonts w:eastAsia="Times New Roman"/>
          <w:sz w:val="20"/>
          <w:szCs w:val="20"/>
          <w:bdr w:val="none" w:sz="0" w:space="0" w:color="auto"/>
        </w:rPr>
        <w:t xml:space="preserve"> the instant case, that the principle of criminal legality enshrined in Article </w:t>
      </w:r>
      <w:r w:rsidRPr="00485F6E">
        <w:rPr>
          <w:sz w:val="20"/>
          <w:szCs w:val="20"/>
        </w:rPr>
        <w:t>9 of the American Convention must govern the statutory framework of</w:t>
      </w:r>
      <w:r w:rsidR="00303CF7">
        <w:rPr>
          <w:sz w:val="20"/>
          <w:szCs w:val="20"/>
        </w:rPr>
        <w:t xml:space="preserve"> the</w:t>
      </w:r>
      <w:r w:rsidRPr="00485F6E">
        <w:rPr>
          <w:sz w:val="20"/>
          <w:szCs w:val="20"/>
        </w:rPr>
        <w:t xml:space="preserve"> juvenile justice system and that restricting the freedom of a children or adolescent unlawfully or not defined as an action classified as a crime, constitutes a gross violation of human rights</w:t>
      </w:r>
      <w:r w:rsidR="00496BD2" w:rsidRPr="00485F6E">
        <w:rPr>
          <w:sz w:val="20"/>
          <w:szCs w:val="20"/>
        </w:rPr>
        <w:t>.</w:t>
      </w:r>
      <w:r w:rsidRPr="00485F6E">
        <w:rPr>
          <w:sz w:val="20"/>
          <w:szCs w:val="20"/>
        </w:rPr>
        <w:t xml:space="preserve"> As a result the state cannot call for deprivation of the liberty of the child or adolescents or the breach of other rights inherent to the person, on the grounds that the child requires </w:t>
      </w:r>
      <w:r w:rsidR="00582937" w:rsidRPr="00485F6E">
        <w:rPr>
          <w:sz w:val="20"/>
          <w:szCs w:val="20"/>
        </w:rPr>
        <w:t>remedial custodial treatment</w:t>
      </w:r>
      <w:r w:rsidRPr="00485F6E">
        <w:rPr>
          <w:sz w:val="20"/>
          <w:szCs w:val="20"/>
        </w:rPr>
        <w:t>.</w:t>
      </w:r>
      <w:r w:rsidR="00D36487" w:rsidRPr="00485F6E">
        <w:rPr>
          <w:rStyle w:val="FootnoteReference"/>
          <w:sz w:val="20"/>
          <w:szCs w:val="20"/>
        </w:rPr>
        <w:footnoteReference w:id="83"/>
      </w:r>
    </w:p>
    <w:p w14:paraId="70A8F7DB" w14:textId="77777777" w:rsidR="007D69F0" w:rsidRPr="00485F6E" w:rsidRDefault="007D69F0" w:rsidP="007D69F0">
      <w:pPr>
        <w:pStyle w:val="ListParagraph"/>
        <w:rPr>
          <w:sz w:val="20"/>
          <w:szCs w:val="20"/>
          <w:bdr w:val="none" w:sz="0" w:space="0" w:color="auto"/>
        </w:rPr>
      </w:pPr>
    </w:p>
    <w:p w14:paraId="1D3976E2" w14:textId="77777777" w:rsidR="007D69F0" w:rsidRPr="0063147E" w:rsidRDefault="00303CF7" w:rsidP="007D69F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Pr>
          <w:sz w:val="20"/>
          <w:szCs w:val="20"/>
          <w:bdr w:val="none" w:sz="0" w:space="0" w:color="auto"/>
        </w:rPr>
        <w:t xml:space="preserve">Second, </w:t>
      </w:r>
      <w:r w:rsidR="003B7A2E" w:rsidRPr="00485F6E">
        <w:rPr>
          <w:sz w:val="20"/>
          <w:szCs w:val="20"/>
          <w:bdr w:val="none" w:sz="0" w:space="0" w:color="auto"/>
        </w:rPr>
        <w:t>states must abide by the principle of exceptionality, which, pursuant to Article 37(b) of the Convention on the Rights</w:t>
      </w:r>
      <w:r>
        <w:rPr>
          <w:sz w:val="20"/>
          <w:szCs w:val="20"/>
          <w:bdr w:val="none" w:sz="0" w:space="0" w:color="auto"/>
        </w:rPr>
        <w:t xml:space="preserve"> of the Child, requires that</w:t>
      </w:r>
      <w:r w:rsidR="003B7A2E" w:rsidRPr="00485F6E">
        <w:rPr>
          <w:sz w:val="20"/>
          <w:szCs w:val="20"/>
          <w:bdr w:val="none" w:sz="0" w:space="0" w:color="auto"/>
        </w:rPr>
        <w:t xml:space="preserve"> states make sure that detention, incarceration, or jailing of a child shall be used as measure of last resort</w:t>
      </w:r>
      <w:r w:rsidR="002629D5" w:rsidRPr="00485F6E">
        <w:rPr>
          <w:sz w:val="20"/>
          <w:szCs w:val="20"/>
        </w:rPr>
        <w:t>.</w:t>
      </w:r>
      <w:r w:rsidR="003A575F" w:rsidRPr="00485F6E">
        <w:rPr>
          <w:sz w:val="20"/>
          <w:szCs w:val="20"/>
        </w:rPr>
        <w:t xml:space="preserve"> </w:t>
      </w:r>
      <w:r w:rsidR="003B7A2E" w:rsidRPr="00485F6E">
        <w:rPr>
          <w:sz w:val="20"/>
          <w:szCs w:val="20"/>
        </w:rPr>
        <w:t>The Co</w:t>
      </w:r>
      <w:r w:rsidR="003B7A2E" w:rsidRPr="0063147E">
        <w:rPr>
          <w:sz w:val="20"/>
          <w:szCs w:val="20"/>
        </w:rPr>
        <w:t>mmission stipulated that</w:t>
      </w:r>
      <w:r w:rsidR="003A575F" w:rsidRPr="0063147E">
        <w:rPr>
          <w:sz w:val="20"/>
          <w:szCs w:val="20"/>
        </w:rPr>
        <w:t xml:space="preserve"> </w:t>
      </w:r>
      <w:r w:rsidR="007D69F0" w:rsidRPr="0063147E">
        <w:rPr>
          <w:sz w:val="20"/>
          <w:szCs w:val="20"/>
        </w:rPr>
        <w:t>“</w:t>
      </w:r>
      <w:r w:rsidR="0086511E" w:rsidRPr="0063147E">
        <w:rPr>
          <w:sz w:val="20"/>
          <w:szCs w:val="20"/>
        </w:rPr>
        <w:t>the juvenile justice system—especially the deprivation of liberty of children—must be used only as a last resort and only by way of exception, and for as short a time as possible.</w:t>
      </w:r>
      <w:r w:rsidR="007D69F0" w:rsidRPr="0063147E">
        <w:rPr>
          <w:sz w:val="20"/>
          <w:szCs w:val="20"/>
        </w:rPr>
        <w:t>”</w:t>
      </w:r>
      <w:r w:rsidR="007D69F0" w:rsidRPr="0063147E">
        <w:rPr>
          <w:rStyle w:val="FootnoteReference"/>
          <w:sz w:val="20"/>
          <w:szCs w:val="20"/>
        </w:rPr>
        <w:footnoteReference w:id="84"/>
      </w:r>
      <w:r w:rsidR="0086511E" w:rsidRPr="0063147E">
        <w:rPr>
          <w:sz w:val="20"/>
          <w:szCs w:val="20"/>
        </w:rPr>
        <w:t xml:space="preserve"> It also pointed out that </w:t>
      </w:r>
      <w:r w:rsidR="007D69F0" w:rsidRPr="0063147E">
        <w:rPr>
          <w:sz w:val="20"/>
          <w:szCs w:val="20"/>
        </w:rPr>
        <w:t>“</w:t>
      </w:r>
      <w:r w:rsidR="0086511E" w:rsidRPr="0063147E">
        <w:rPr>
          <w:sz w:val="20"/>
          <w:szCs w:val="20"/>
        </w:rPr>
        <w:t>States must take whatever measures they can to minimize children’s contact with the juvenile justice system and regulate, in a proportional way, the statutes of limitations and limit the use of the deprivation of liberty—whether as preventive detention or sentence—when criminal laws are violated</w:t>
      </w:r>
      <w:r w:rsidR="003B7A2E" w:rsidRPr="0063147E">
        <w:rPr>
          <w:sz w:val="20"/>
          <w:szCs w:val="20"/>
        </w:rPr>
        <w:t>.</w:t>
      </w:r>
      <w:r w:rsidR="007D69F0" w:rsidRPr="0063147E">
        <w:rPr>
          <w:sz w:val="20"/>
          <w:szCs w:val="20"/>
        </w:rPr>
        <w:t>”</w:t>
      </w:r>
      <w:r w:rsidR="007D69F0" w:rsidRPr="0063147E">
        <w:rPr>
          <w:rStyle w:val="FootnoteReference"/>
          <w:sz w:val="20"/>
          <w:szCs w:val="20"/>
        </w:rPr>
        <w:footnoteReference w:id="85"/>
      </w:r>
    </w:p>
    <w:p w14:paraId="40928C5A" w14:textId="77777777" w:rsidR="003A575F" w:rsidRPr="0063147E" w:rsidRDefault="003A575F" w:rsidP="007D69F0">
      <w:pPr>
        <w:rPr>
          <w:sz w:val="20"/>
          <w:szCs w:val="20"/>
        </w:rPr>
      </w:pPr>
    </w:p>
    <w:p w14:paraId="511F20C7" w14:textId="77777777" w:rsidR="00C31090" w:rsidRPr="00485F6E" w:rsidRDefault="003B7A2E"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63147E">
        <w:rPr>
          <w:sz w:val="20"/>
          <w:szCs w:val="20"/>
        </w:rPr>
        <w:t xml:space="preserve">In the same </w:t>
      </w:r>
      <w:r w:rsidR="0086511E" w:rsidRPr="0063147E">
        <w:rPr>
          <w:sz w:val="20"/>
          <w:szCs w:val="20"/>
        </w:rPr>
        <w:t>vein</w:t>
      </w:r>
      <w:r w:rsidRPr="0063147E">
        <w:rPr>
          <w:sz w:val="20"/>
          <w:szCs w:val="20"/>
        </w:rPr>
        <w:t xml:space="preserve">, General Comment No. 10 of the Committee on the Rights of the Child provides that </w:t>
      </w:r>
      <w:r w:rsidR="00020CC4" w:rsidRPr="0063147E">
        <w:rPr>
          <w:sz w:val="20"/>
          <w:szCs w:val="20"/>
        </w:rPr>
        <w:t>“[t]he laws must provide the court/judge, or other competent, independent and impartial authority or judicial body, with a wide variety of possible alternatives to institutional care and deprivation of liberty (…) to assure that deprivation of liberty be used only as a measure of last resort and for</w:t>
      </w:r>
      <w:r w:rsidR="00020CC4" w:rsidRPr="00485F6E">
        <w:rPr>
          <w:sz w:val="20"/>
          <w:szCs w:val="20"/>
        </w:rPr>
        <w:t xml:space="preserve"> the shortest possible period of time (art. 37(b) of CRC</w:t>
      </w:r>
      <w:r w:rsidR="004C3394" w:rsidRPr="00485F6E">
        <w:rPr>
          <w:sz w:val="20"/>
          <w:szCs w:val="20"/>
        </w:rPr>
        <w:t>)</w:t>
      </w:r>
      <w:r w:rsidR="00532FD4" w:rsidRPr="00485F6E">
        <w:rPr>
          <w:sz w:val="20"/>
          <w:szCs w:val="20"/>
        </w:rPr>
        <w:t>.</w:t>
      </w:r>
      <w:r w:rsidR="004C3394" w:rsidRPr="00485F6E">
        <w:rPr>
          <w:sz w:val="20"/>
          <w:szCs w:val="20"/>
        </w:rPr>
        <w:t>”</w:t>
      </w:r>
      <w:r w:rsidR="004C3394" w:rsidRPr="00485F6E">
        <w:rPr>
          <w:rStyle w:val="FootnoteReference"/>
          <w:sz w:val="20"/>
          <w:szCs w:val="20"/>
        </w:rPr>
        <w:footnoteReference w:id="86"/>
      </w:r>
    </w:p>
    <w:p w14:paraId="32394218" w14:textId="77777777" w:rsidR="00C31090" w:rsidRPr="00485F6E" w:rsidRDefault="00C31090" w:rsidP="00A50768">
      <w:pPr>
        <w:pStyle w:val="ListParagraph"/>
        <w:rPr>
          <w:sz w:val="20"/>
          <w:szCs w:val="20"/>
          <w:bdr w:val="none" w:sz="0" w:space="0" w:color="auto"/>
        </w:rPr>
      </w:pPr>
    </w:p>
    <w:p w14:paraId="59A9575A" w14:textId="77777777" w:rsidR="00C31090" w:rsidRPr="00485F6E" w:rsidRDefault="00532FD4"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sz w:val="20"/>
          <w:szCs w:val="20"/>
          <w:bdr w:val="none" w:sz="0" w:space="0" w:color="auto"/>
        </w:rPr>
        <w:t xml:space="preserve">Third, the Commission stresses that, according to the principle of specialization arising from Article 5(5) of the American Convention and Article 40(3) of the Convention on the Rights of the Child, </w:t>
      </w:r>
      <w:r w:rsidR="00020CC4" w:rsidRPr="00485F6E">
        <w:rPr>
          <w:sz w:val="20"/>
          <w:szCs w:val="20"/>
        </w:rPr>
        <w:t>children accused of violations of criminal law are to be subject to a specialized system of justice</w:t>
      </w:r>
      <w:r w:rsidRPr="00485F6E">
        <w:rPr>
          <w:sz w:val="20"/>
          <w:szCs w:val="20"/>
          <w:bdr w:val="none" w:sz="0" w:space="0" w:color="auto"/>
        </w:rPr>
        <w:t>.</w:t>
      </w:r>
      <w:r w:rsidR="007342A9" w:rsidRPr="00485F6E">
        <w:rPr>
          <w:rStyle w:val="FootnoteReference"/>
          <w:sz w:val="20"/>
          <w:szCs w:val="20"/>
        </w:rPr>
        <w:footnoteReference w:id="87"/>
      </w:r>
      <w:r w:rsidRPr="00485F6E">
        <w:rPr>
          <w:sz w:val="20"/>
          <w:szCs w:val="20"/>
        </w:rPr>
        <w:t xml:space="preserve"> Likewise, the Inter-American Court has contended that </w:t>
      </w:r>
      <w:r w:rsidR="00C67897" w:rsidRPr="00485F6E">
        <w:rPr>
          <w:sz w:val="20"/>
          <w:szCs w:val="20"/>
        </w:rPr>
        <w:t>o</w:t>
      </w:r>
      <w:r w:rsidR="00020CC4" w:rsidRPr="00485F6E">
        <w:rPr>
          <w:sz w:val="20"/>
          <w:szCs w:val="20"/>
        </w:rPr>
        <w:t xml:space="preserve">ne obvious consequence of the relevance of dealing in a differentiated manner with matters that pertain to children, and specifically those pertaining to an </w:t>
      </w:r>
      <w:r w:rsidR="00C67897" w:rsidRPr="00485F6E">
        <w:rPr>
          <w:sz w:val="20"/>
          <w:szCs w:val="20"/>
        </w:rPr>
        <w:t xml:space="preserve">unlawful behavior, is the establishment </w:t>
      </w:r>
      <w:r w:rsidR="00C67897" w:rsidRPr="00485F6E">
        <w:rPr>
          <w:sz w:val="20"/>
          <w:szCs w:val="20"/>
        </w:rPr>
        <w:lastRenderedPageBreak/>
        <w:t>of specialized jurisdictional bodies to hear cases involving conduct defined as crimes and attributable to them</w:t>
      </w:r>
      <w:r w:rsidRPr="00485F6E">
        <w:rPr>
          <w:sz w:val="20"/>
          <w:szCs w:val="20"/>
        </w:rPr>
        <w:t xml:space="preserve"> and a special procedure whereby these breaches of criminal law are heard.</w:t>
      </w:r>
      <w:r w:rsidR="00C31090" w:rsidRPr="00485F6E">
        <w:rPr>
          <w:rStyle w:val="FootnoteReference"/>
          <w:sz w:val="20"/>
          <w:szCs w:val="20"/>
        </w:rPr>
        <w:footnoteReference w:id="88"/>
      </w:r>
    </w:p>
    <w:p w14:paraId="50890038" w14:textId="77777777" w:rsidR="00C31090" w:rsidRPr="00485F6E" w:rsidRDefault="00C31090" w:rsidP="001003DF">
      <w:pPr>
        <w:pStyle w:val="ListParagraph"/>
        <w:rPr>
          <w:sz w:val="20"/>
          <w:szCs w:val="20"/>
        </w:rPr>
      </w:pPr>
    </w:p>
    <w:p w14:paraId="32DA4D18" w14:textId="77777777" w:rsidR="00F47689" w:rsidRPr="00485F6E" w:rsidRDefault="00532FD4" w:rsidP="00F4768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sz w:val="20"/>
          <w:szCs w:val="20"/>
        </w:rPr>
        <w:t>Observance of the aspects indicated above is essential to prevent the state from breaching the American Convention in the context of restrictions on the liberty of children and adolescents. Article 37(</w:t>
      </w:r>
      <w:r w:rsidR="00F47689" w:rsidRPr="00485F6E">
        <w:rPr>
          <w:sz w:val="20"/>
          <w:szCs w:val="20"/>
        </w:rPr>
        <w:t xml:space="preserve">b) </w:t>
      </w:r>
      <w:r w:rsidRPr="00485F6E">
        <w:rPr>
          <w:sz w:val="20"/>
          <w:szCs w:val="20"/>
        </w:rPr>
        <w:t>of the Convention on the Rights of the Child provides that states must make sure that</w:t>
      </w:r>
      <w:r w:rsidR="00F47689" w:rsidRPr="00485F6E">
        <w:rPr>
          <w:sz w:val="20"/>
          <w:szCs w:val="20"/>
        </w:rPr>
        <w:t xml:space="preserve"> “[n]</w:t>
      </w:r>
      <w:r w:rsidR="00C67897" w:rsidRPr="00485F6E">
        <w:rPr>
          <w:sz w:val="20"/>
          <w:szCs w:val="20"/>
          <w:shd w:val="clear" w:color="auto" w:fill="FFFFFF"/>
        </w:rPr>
        <w:t>o child shall be deprived of his or her liberty unlawfully or arbitrarily.</w:t>
      </w:r>
      <w:r w:rsidRPr="00485F6E">
        <w:rPr>
          <w:sz w:val="20"/>
          <w:szCs w:val="20"/>
        </w:rPr>
        <w:t xml:space="preserve">” All of the above </w:t>
      </w:r>
      <w:r w:rsidR="00C67897" w:rsidRPr="00485F6E">
        <w:rPr>
          <w:sz w:val="20"/>
          <w:szCs w:val="20"/>
        </w:rPr>
        <w:t>means that if judges decide that it is necessary to apply a criminal sanction, and if this is deprivation of liberty, even though this is provided for by law, its application may be arbitrary and violate Article 7(3)</w:t>
      </w:r>
      <w:r w:rsidR="006F2A03" w:rsidRPr="00485F6E">
        <w:rPr>
          <w:sz w:val="20"/>
          <w:szCs w:val="20"/>
        </w:rPr>
        <w:t xml:space="preserve"> of the American Convention</w:t>
      </w:r>
      <w:r w:rsidR="00C67897" w:rsidRPr="00485F6E">
        <w:rPr>
          <w:sz w:val="20"/>
          <w:szCs w:val="20"/>
        </w:rPr>
        <w:t xml:space="preserve"> if the basic principles that regulate this matter are not considered</w:t>
      </w:r>
      <w:r w:rsidR="00D2763F" w:rsidRPr="00485F6E">
        <w:rPr>
          <w:sz w:val="20"/>
          <w:szCs w:val="20"/>
        </w:rPr>
        <w:t>.</w:t>
      </w:r>
      <w:r w:rsidR="00F47689" w:rsidRPr="00485F6E">
        <w:rPr>
          <w:rStyle w:val="FootnoteReference"/>
          <w:sz w:val="20"/>
          <w:szCs w:val="20"/>
        </w:rPr>
        <w:footnoteReference w:id="89"/>
      </w:r>
    </w:p>
    <w:p w14:paraId="7BCC6902" w14:textId="77777777" w:rsidR="00F47689" w:rsidRPr="00485F6E" w:rsidRDefault="00F47689" w:rsidP="00FB2A6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6BE56304" w14:textId="77777777" w:rsidR="00BA2DEB" w:rsidRPr="00485F6E" w:rsidRDefault="00D2763F" w:rsidP="001003D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sz w:val="20"/>
          <w:szCs w:val="20"/>
        </w:rPr>
        <w:t>The Inter-American Court has also explained that, in a criminal jurisdiction</w:t>
      </w:r>
      <w:r w:rsidR="008E0789" w:rsidRPr="00485F6E">
        <w:rPr>
          <w:sz w:val="20"/>
          <w:szCs w:val="20"/>
        </w:rPr>
        <w:t xml:space="preserve"> specializing in juveniles, those authorized to act in the different stages of the proceedings and the different stages of the administration of justice for juveniles must b</w:t>
      </w:r>
      <w:r w:rsidR="00303CF7">
        <w:rPr>
          <w:sz w:val="20"/>
          <w:szCs w:val="20"/>
        </w:rPr>
        <w:t>e especially prepared and trained</w:t>
      </w:r>
      <w:r w:rsidR="008E0789" w:rsidRPr="00485F6E">
        <w:rPr>
          <w:sz w:val="20"/>
          <w:szCs w:val="20"/>
        </w:rPr>
        <w:t xml:space="preserve"> in human rights and child psychology to prevent abuse of their discretionary powers and to ensure that the measures ordered are suitable, necessary, and proportional.</w:t>
      </w:r>
      <w:r w:rsidR="00C31090" w:rsidRPr="00485F6E">
        <w:rPr>
          <w:rStyle w:val="FootnoteReference"/>
          <w:sz w:val="20"/>
          <w:szCs w:val="20"/>
        </w:rPr>
        <w:footnoteReference w:id="90"/>
      </w:r>
    </w:p>
    <w:p w14:paraId="5A1482DE" w14:textId="77777777" w:rsidR="00BA2DEB" w:rsidRPr="00485F6E" w:rsidRDefault="00BA2DEB" w:rsidP="00BA2DEB">
      <w:pPr>
        <w:pStyle w:val="ListParagraph"/>
        <w:rPr>
          <w:rFonts w:eastAsia="Times New Roman"/>
          <w:sz w:val="20"/>
          <w:szCs w:val="20"/>
          <w:bdr w:val="none" w:sz="0" w:space="0" w:color="auto"/>
        </w:rPr>
      </w:pPr>
    </w:p>
    <w:p w14:paraId="5FED6693" w14:textId="77777777" w:rsidR="00C11981" w:rsidRPr="003E5E02" w:rsidRDefault="00945CFC" w:rsidP="00C2607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rFonts w:eastAsia="Times New Roman"/>
          <w:sz w:val="20"/>
          <w:szCs w:val="20"/>
          <w:bdr w:val="none" w:sz="0" w:space="0" w:color="auto"/>
        </w:rPr>
        <w:t>Final</w:t>
      </w:r>
      <w:r w:rsidR="008E0789" w:rsidRPr="00485F6E">
        <w:rPr>
          <w:rFonts w:eastAsia="Times New Roman"/>
          <w:sz w:val="20"/>
          <w:szCs w:val="20"/>
          <w:bdr w:val="none" w:sz="0" w:space="0" w:color="auto"/>
        </w:rPr>
        <w:t>ly, with respect to Argentina’s regulatory framework applicable to the instant case, th</w:t>
      </w:r>
      <w:r w:rsidR="006F2A03" w:rsidRPr="00485F6E">
        <w:rPr>
          <w:rFonts w:eastAsia="Times New Roman"/>
          <w:sz w:val="20"/>
          <w:szCs w:val="20"/>
          <w:bdr w:val="none" w:sz="0" w:space="0" w:color="auto"/>
        </w:rPr>
        <w:t>e Commission indicated, in its r</w:t>
      </w:r>
      <w:r w:rsidR="008E0789" w:rsidRPr="00485F6E">
        <w:rPr>
          <w:rFonts w:eastAsia="Times New Roman"/>
          <w:sz w:val="20"/>
          <w:szCs w:val="20"/>
          <w:bdr w:val="none" w:sz="0" w:space="0" w:color="auto"/>
        </w:rPr>
        <w:t xml:space="preserve">eport on </w:t>
      </w:r>
      <w:r w:rsidR="006F2A03" w:rsidRPr="00485F6E">
        <w:rPr>
          <w:rFonts w:eastAsia="Times New Roman"/>
          <w:sz w:val="20"/>
          <w:szCs w:val="20"/>
          <w:bdr w:val="none" w:sz="0" w:space="0" w:color="auto"/>
        </w:rPr>
        <w:t>“</w:t>
      </w:r>
      <w:r w:rsidR="008E0789" w:rsidRPr="00485F6E">
        <w:rPr>
          <w:rFonts w:eastAsia="Times New Roman"/>
          <w:sz w:val="20"/>
          <w:szCs w:val="20"/>
          <w:bdr w:val="none" w:sz="0" w:space="0" w:color="auto"/>
        </w:rPr>
        <w:t>Juvenile Justice and Human R</w:t>
      </w:r>
      <w:r w:rsidR="00D42981" w:rsidRPr="00485F6E">
        <w:rPr>
          <w:rFonts w:eastAsia="Times New Roman"/>
          <w:sz w:val="20"/>
          <w:szCs w:val="20"/>
          <w:bdr w:val="none" w:sz="0" w:space="0" w:color="auto"/>
        </w:rPr>
        <w:t>igh</w:t>
      </w:r>
      <w:r w:rsidR="008E0789" w:rsidRPr="00485F6E">
        <w:rPr>
          <w:rFonts w:eastAsia="Times New Roman"/>
          <w:sz w:val="20"/>
          <w:szCs w:val="20"/>
          <w:bdr w:val="none" w:sz="0" w:space="0" w:color="auto"/>
        </w:rPr>
        <w:t>ts in the Americas</w:t>
      </w:r>
      <w:r w:rsidR="00E26C69" w:rsidRPr="00485F6E">
        <w:rPr>
          <w:rFonts w:eastAsia="Times New Roman"/>
          <w:sz w:val="20"/>
          <w:szCs w:val="20"/>
          <w:bdr w:val="none" w:sz="0" w:space="0" w:color="auto"/>
        </w:rPr>
        <w:t>,</w:t>
      </w:r>
      <w:r w:rsidR="006F2A03" w:rsidRPr="00485F6E">
        <w:rPr>
          <w:rFonts w:eastAsia="Times New Roman"/>
          <w:sz w:val="20"/>
          <w:szCs w:val="20"/>
          <w:bdr w:val="none" w:sz="0" w:space="0" w:color="auto"/>
        </w:rPr>
        <w:t>”</w:t>
      </w:r>
      <w:r w:rsidR="008E0789" w:rsidRPr="00485F6E">
        <w:rPr>
          <w:rFonts w:eastAsia="Times New Roman"/>
          <w:sz w:val="20"/>
          <w:szCs w:val="20"/>
          <w:bdr w:val="none" w:sz="0" w:space="0" w:color="auto"/>
        </w:rPr>
        <w:t xml:space="preserve"> that </w:t>
      </w:r>
      <w:r w:rsidR="00E26C69" w:rsidRPr="00485F6E">
        <w:rPr>
          <w:rFonts w:eastAsia="Times New Roman"/>
          <w:sz w:val="20"/>
          <w:szCs w:val="20"/>
          <w:bdr w:val="none" w:sz="0" w:space="0" w:color="auto"/>
        </w:rPr>
        <w:t xml:space="preserve">under </w:t>
      </w:r>
      <w:r w:rsidR="008E0789" w:rsidRPr="00485F6E">
        <w:rPr>
          <w:rFonts w:eastAsia="Times New Roman"/>
          <w:sz w:val="20"/>
          <w:szCs w:val="20"/>
          <w:bdr w:val="none" w:sz="0" w:space="0" w:color="auto"/>
        </w:rPr>
        <w:t>Law</w:t>
      </w:r>
      <w:r w:rsidR="00BA2DEB" w:rsidRPr="00485F6E">
        <w:rPr>
          <w:rFonts w:eastAsia="Times New Roman"/>
          <w:sz w:val="20"/>
          <w:szCs w:val="20"/>
          <w:bdr w:val="none" w:sz="0" w:space="0" w:color="auto"/>
        </w:rPr>
        <w:t xml:space="preserve"> 22.278 </w:t>
      </w:r>
      <w:r w:rsidR="00E26C69" w:rsidRPr="00485F6E">
        <w:rPr>
          <w:sz w:val="20"/>
          <w:szCs w:val="20"/>
        </w:rPr>
        <w:t xml:space="preserve">children between the ages of 16 and 18 who commit crimes can be tried as adults. Although the judicial authority is empowered either not to impose any sentence at all, or to reduce the sentence to one </w:t>
      </w:r>
      <w:r w:rsidR="005613E6">
        <w:rPr>
          <w:sz w:val="20"/>
          <w:szCs w:val="20"/>
        </w:rPr>
        <w:t>applicable to</w:t>
      </w:r>
      <w:r w:rsidR="00E26C69" w:rsidRPr="00485F6E">
        <w:rPr>
          <w:sz w:val="20"/>
          <w:szCs w:val="20"/>
        </w:rPr>
        <w:t xml:space="preserve"> an attempt to commit the crime of which the child was convicted, the law allows a judge, at his or her discretion, to impose the same penalties prescribed under the regular criminal justice system. The Commission contended, in said report, that this treatment, which draws no distinction between adult and child, may be incompatible with the principle of the proportionality of the sentence and the lesser culpability of children in light of the best interests of the child, which must guide the consideration of conduct of adolescents in conflict with the law</w:t>
      </w:r>
      <w:r w:rsidR="00D42981" w:rsidRPr="00485F6E">
        <w:rPr>
          <w:sz w:val="20"/>
          <w:szCs w:val="20"/>
        </w:rPr>
        <w:t>.</w:t>
      </w:r>
      <w:r w:rsidR="00D879AA" w:rsidRPr="00485F6E">
        <w:rPr>
          <w:rStyle w:val="FootnoteReference"/>
          <w:sz w:val="20"/>
          <w:szCs w:val="20"/>
        </w:rPr>
        <w:footnoteReference w:id="91"/>
      </w:r>
    </w:p>
    <w:p w14:paraId="6A6DD1BA" w14:textId="77777777" w:rsidR="003E5E02" w:rsidRPr="003E5E02" w:rsidRDefault="003E5E02" w:rsidP="003E5E02">
      <w:pPr>
        <w:pStyle w:val="ListParagraph"/>
        <w:rPr>
          <w:rFonts w:eastAsia="Times New Roman"/>
          <w:sz w:val="20"/>
          <w:szCs w:val="20"/>
          <w:bdr w:val="none" w:sz="0" w:space="0" w:color="auto"/>
        </w:rPr>
      </w:pPr>
    </w:p>
    <w:p w14:paraId="53226AF3" w14:textId="72E6715E" w:rsidR="003E5E02" w:rsidRDefault="00797FC7" w:rsidP="00C2607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797FC7">
        <w:rPr>
          <w:rFonts w:eastAsia="Times New Roman"/>
          <w:sz w:val="20"/>
          <w:szCs w:val="20"/>
          <w:bdr w:val="none" w:sz="0" w:space="0" w:color="auto"/>
        </w:rPr>
        <w:t>Finally, the Commission recalls that in the case of Mendoza et al. v. Argentina, the Inter-American Court referred to the various problems arising from the application of Law 22.278 and the State's failure to comply with its obligation under Article 2 of the American Convention to adopt domestic provisions to guarantee the exercise of rights. In this regard, the Court indicated in relation to this law - which was sanctioned during the last Argentine military dictatorship - that:</w:t>
      </w:r>
    </w:p>
    <w:p w14:paraId="376400C0" w14:textId="77777777" w:rsidR="00797FC7" w:rsidRPr="00797FC7" w:rsidRDefault="00797FC7" w:rsidP="00797FC7">
      <w:pPr>
        <w:pStyle w:val="ListParagraph"/>
        <w:rPr>
          <w:rFonts w:eastAsia="Times New Roman"/>
          <w:sz w:val="20"/>
          <w:szCs w:val="20"/>
          <w:bdr w:val="none" w:sz="0" w:space="0" w:color="auto"/>
        </w:rPr>
      </w:pPr>
    </w:p>
    <w:p w14:paraId="4160BDF4" w14:textId="65BC0753" w:rsidR="00797FC7" w:rsidRPr="008A58AE" w:rsidRDefault="008A58AE" w:rsidP="008A58A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40" w:right="720"/>
        <w:jc w:val="both"/>
        <w:rPr>
          <w:rFonts w:eastAsia="Times New Roman"/>
          <w:sz w:val="18"/>
          <w:szCs w:val="18"/>
          <w:bdr w:val="none" w:sz="0" w:space="0" w:color="auto"/>
        </w:rPr>
      </w:pPr>
      <w:r w:rsidRPr="008A58AE">
        <w:rPr>
          <w:rFonts w:eastAsia="Times New Roman"/>
          <w:sz w:val="18"/>
          <w:szCs w:val="18"/>
          <w:bdr w:val="none" w:sz="0" w:space="0" w:color="auto"/>
        </w:rPr>
        <w:t>The system provided by Article 4 of Law 22.278 (...) leaves a wide margin of discretion to the judge to determine the legal consequences of the commission of a crime by persons under 18 years of age, taking as a basis not only the crime, but also other aspects such as “the background of the minor, the result of the tutelary treatment and the direct impression gathered by the judge”. Likewise, from the wording of paragraph 3 of Article 4 of Law 22.278, it is clear that judges may impose on children the same penalties provided for adults, including deprivation of liberty, contemplated in the Criminal Code of the Nation, (...) From the foregoing, the Court considers that the consideration of other elements beyond the crime committed, as well as the possibility of imposing on children criminal penalties provided for adults, are contrary to the principle of proportionality.</w:t>
      </w:r>
    </w:p>
    <w:p w14:paraId="3184ECC5" w14:textId="77777777" w:rsidR="00596668" w:rsidRPr="00485F6E" w:rsidRDefault="00596668" w:rsidP="003E222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537C1376" w14:textId="209B9747" w:rsidR="00596668" w:rsidRPr="00485F6E" w:rsidRDefault="00596668" w:rsidP="00FB217B">
      <w:pPr>
        <w:pStyle w:val="ListParagraph"/>
        <w:numPr>
          <w:ilvl w:val="0"/>
          <w:numId w:val="35"/>
        </w:numPr>
        <w:ind w:right="855"/>
        <w:jc w:val="both"/>
        <w:outlineLvl w:val="2"/>
        <w:rPr>
          <w:b/>
          <w:bCs/>
          <w:sz w:val="20"/>
          <w:szCs w:val="20"/>
        </w:rPr>
      </w:pPr>
      <w:bookmarkStart w:id="40" w:name="_Toc203988499"/>
      <w:r w:rsidRPr="00485F6E">
        <w:rPr>
          <w:b/>
          <w:bCs/>
          <w:sz w:val="20"/>
          <w:szCs w:val="20"/>
        </w:rPr>
        <w:t>An</w:t>
      </w:r>
      <w:r w:rsidR="00D42981" w:rsidRPr="00485F6E">
        <w:rPr>
          <w:b/>
          <w:bCs/>
          <w:sz w:val="20"/>
          <w:szCs w:val="20"/>
        </w:rPr>
        <w:t>alysis of the case</w:t>
      </w:r>
      <w:bookmarkEnd w:id="40"/>
    </w:p>
    <w:p w14:paraId="5A038429" w14:textId="77777777" w:rsidR="003E2229" w:rsidRPr="00485F6E" w:rsidRDefault="003E2229" w:rsidP="00481898">
      <w:pPr>
        <w:rPr>
          <w:sz w:val="20"/>
          <w:szCs w:val="20"/>
        </w:rPr>
      </w:pPr>
    </w:p>
    <w:p w14:paraId="53F2011E" w14:textId="11AB6483" w:rsidR="00596668" w:rsidRPr="00485F6E" w:rsidRDefault="00D42981" w:rsidP="003E222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sz w:val="20"/>
          <w:szCs w:val="20"/>
        </w:rPr>
        <w:t xml:space="preserve">The Commission stresses, first of all, that according to the information stemming from the case file, </w:t>
      </w:r>
      <w:r w:rsidR="00915DCE" w:rsidRPr="00485F6E">
        <w:rPr>
          <w:sz w:val="20"/>
          <w:szCs w:val="20"/>
        </w:rPr>
        <w:t>Diego</w:t>
      </w:r>
      <w:r w:rsidR="00A901C2" w:rsidRPr="00485F6E">
        <w:rPr>
          <w:sz w:val="20"/>
          <w:szCs w:val="20"/>
        </w:rPr>
        <w:t xml:space="preserve"> Armando</w:t>
      </w:r>
      <w:r w:rsidRPr="00485F6E">
        <w:rPr>
          <w:sz w:val="20"/>
          <w:szCs w:val="20"/>
        </w:rPr>
        <w:t xml:space="preserve"> Pacheco was inv</w:t>
      </w:r>
      <w:r w:rsidR="00DF1E85" w:rsidRPr="00485F6E">
        <w:rPr>
          <w:sz w:val="20"/>
          <w:szCs w:val="20"/>
        </w:rPr>
        <w:t xml:space="preserve">olved in criminal proceedings for </w:t>
      </w:r>
      <w:r w:rsidRPr="00485F6E">
        <w:rPr>
          <w:sz w:val="20"/>
          <w:szCs w:val="20"/>
        </w:rPr>
        <w:t xml:space="preserve">the crime of </w:t>
      </w:r>
      <w:r w:rsidR="00EA7F00">
        <w:rPr>
          <w:sz w:val="20"/>
          <w:szCs w:val="20"/>
        </w:rPr>
        <w:t>manslaughter</w:t>
      </w:r>
      <w:r w:rsidRPr="00485F6E">
        <w:rPr>
          <w:sz w:val="20"/>
          <w:szCs w:val="20"/>
        </w:rPr>
        <w:t xml:space="preserve">, perpetrated by </w:t>
      </w:r>
      <w:r w:rsidRPr="00485F6E">
        <w:rPr>
          <w:sz w:val="20"/>
          <w:szCs w:val="20"/>
        </w:rPr>
        <w:lastRenderedPageBreak/>
        <w:t>the petitioner when he was 17 years of age</w:t>
      </w:r>
      <w:r w:rsidR="00596668" w:rsidRPr="00485F6E">
        <w:rPr>
          <w:sz w:val="20"/>
          <w:szCs w:val="20"/>
        </w:rPr>
        <w:t xml:space="preserve">. </w:t>
      </w:r>
      <w:r w:rsidRPr="00485F6E">
        <w:rPr>
          <w:sz w:val="20"/>
          <w:szCs w:val="20"/>
        </w:rPr>
        <w:t xml:space="preserve">As a consequence, as indicated in the case file, the judicial proceedings </w:t>
      </w:r>
      <w:r w:rsidR="005613E6">
        <w:rPr>
          <w:sz w:val="20"/>
          <w:szCs w:val="20"/>
        </w:rPr>
        <w:t>were</w:t>
      </w:r>
      <w:r w:rsidR="00DF1E85" w:rsidRPr="00485F6E">
        <w:rPr>
          <w:sz w:val="20"/>
          <w:szCs w:val="20"/>
        </w:rPr>
        <w:t xml:space="preserve"> </w:t>
      </w:r>
      <w:r w:rsidRPr="00485F6E">
        <w:rPr>
          <w:sz w:val="20"/>
          <w:szCs w:val="20"/>
        </w:rPr>
        <w:t>governed</w:t>
      </w:r>
      <w:r w:rsidR="00A760F7">
        <w:rPr>
          <w:sz w:val="20"/>
          <w:szCs w:val="20"/>
        </w:rPr>
        <w:t xml:space="preserve"> </w:t>
      </w:r>
      <w:r w:rsidRPr="00485F6E">
        <w:rPr>
          <w:sz w:val="20"/>
          <w:szCs w:val="20"/>
        </w:rPr>
        <w:t xml:space="preserve">by the </w:t>
      </w:r>
      <w:r w:rsidR="00942F86">
        <w:rPr>
          <w:sz w:val="20"/>
          <w:szCs w:val="20"/>
        </w:rPr>
        <w:t xml:space="preserve">Code of </w:t>
      </w:r>
      <w:r w:rsidRPr="00485F6E">
        <w:rPr>
          <w:sz w:val="20"/>
          <w:szCs w:val="20"/>
        </w:rPr>
        <w:t>Criminal Procedur</w:t>
      </w:r>
      <w:r w:rsidR="00942F86">
        <w:rPr>
          <w:sz w:val="20"/>
          <w:szCs w:val="20"/>
        </w:rPr>
        <w:t>es of the p</w:t>
      </w:r>
      <w:r w:rsidRPr="00485F6E">
        <w:rPr>
          <w:sz w:val="20"/>
          <w:szCs w:val="20"/>
        </w:rPr>
        <w:t>rovince of Chubut in force at the time and</w:t>
      </w:r>
      <w:r w:rsidR="009D2CA5">
        <w:rPr>
          <w:sz w:val="20"/>
          <w:szCs w:val="20"/>
        </w:rPr>
        <w:t xml:space="preserve"> by</w:t>
      </w:r>
      <w:r w:rsidRPr="00485F6E">
        <w:rPr>
          <w:sz w:val="20"/>
          <w:szCs w:val="20"/>
        </w:rPr>
        <w:t xml:space="preserve"> </w:t>
      </w:r>
      <w:r w:rsidR="00E348DF">
        <w:rPr>
          <w:sz w:val="20"/>
          <w:szCs w:val="20"/>
        </w:rPr>
        <w:t>the N</w:t>
      </w:r>
      <w:r w:rsidR="009D2CA5">
        <w:rPr>
          <w:sz w:val="20"/>
          <w:szCs w:val="20"/>
        </w:rPr>
        <w:t>ational</w:t>
      </w:r>
      <w:r w:rsidRPr="00485F6E">
        <w:rPr>
          <w:sz w:val="20"/>
          <w:szCs w:val="20"/>
        </w:rPr>
        <w:t xml:space="preserve"> Law</w:t>
      </w:r>
      <w:r w:rsidR="00596668" w:rsidRPr="00485F6E">
        <w:rPr>
          <w:sz w:val="20"/>
          <w:szCs w:val="20"/>
        </w:rPr>
        <w:t xml:space="preserve"> 22.278 </w:t>
      </w:r>
      <w:r w:rsidRPr="00485F6E">
        <w:rPr>
          <w:sz w:val="20"/>
          <w:szCs w:val="20"/>
        </w:rPr>
        <w:t>of the Criminal System for Juveniles</w:t>
      </w:r>
      <w:r w:rsidR="00596668" w:rsidRPr="00485F6E">
        <w:rPr>
          <w:sz w:val="20"/>
          <w:szCs w:val="20"/>
        </w:rPr>
        <w:t>.</w:t>
      </w:r>
    </w:p>
    <w:p w14:paraId="0621CF24" w14:textId="77777777" w:rsidR="00596668" w:rsidRPr="00485F6E" w:rsidRDefault="00596668" w:rsidP="005966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5A14597D" w14:textId="77777777" w:rsidR="00596668" w:rsidRPr="00485F6E" w:rsidRDefault="00DF1E85" w:rsidP="005763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sz w:val="20"/>
          <w:szCs w:val="20"/>
        </w:rPr>
        <w:t xml:space="preserve">In </w:t>
      </w:r>
      <w:r w:rsidRPr="0063147E">
        <w:rPr>
          <w:sz w:val="20"/>
          <w:szCs w:val="20"/>
        </w:rPr>
        <w:t>observance of Article 4 of Law</w:t>
      </w:r>
      <w:r w:rsidR="00A73C66" w:rsidRPr="0063147E">
        <w:rPr>
          <w:sz w:val="20"/>
          <w:szCs w:val="20"/>
        </w:rPr>
        <w:t xml:space="preserve"> 22.278, </w:t>
      </w:r>
      <w:r w:rsidRPr="0063147E">
        <w:rPr>
          <w:sz w:val="20"/>
          <w:szCs w:val="20"/>
        </w:rPr>
        <w:t>the First</w:t>
      </w:r>
      <w:r w:rsidRPr="00485F6E">
        <w:rPr>
          <w:sz w:val="20"/>
          <w:szCs w:val="20"/>
        </w:rPr>
        <w:t xml:space="preserve"> Chamber of the Criminal Court of the Judicial District of </w:t>
      </w:r>
      <w:r w:rsidR="00A73C66" w:rsidRPr="00485F6E">
        <w:rPr>
          <w:sz w:val="20"/>
          <w:szCs w:val="20"/>
        </w:rPr>
        <w:t>Comodoro</w:t>
      </w:r>
      <w:r w:rsidR="0063147E">
        <w:rPr>
          <w:sz w:val="20"/>
          <w:szCs w:val="20"/>
        </w:rPr>
        <w:t xml:space="preserve"> </w:t>
      </w:r>
      <w:r w:rsidR="00A73C66" w:rsidRPr="00485F6E">
        <w:rPr>
          <w:sz w:val="20"/>
          <w:szCs w:val="20"/>
        </w:rPr>
        <w:t>Rivadavia</w:t>
      </w:r>
      <w:r w:rsidRPr="00485F6E">
        <w:rPr>
          <w:sz w:val="20"/>
          <w:szCs w:val="20"/>
        </w:rPr>
        <w:t xml:space="preserve"> ruled that </w:t>
      </w:r>
      <w:r w:rsidR="00A73C66" w:rsidRPr="00485F6E">
        <w:rPr>
          <w:sz w:val="20"/>
          <w:szCs w:val="20"/>
        </w:rPr>
        <w:t>Diego Armando Pacheco</w:t>
      </w:r>
      <w:r w:rsidRPr="00485F6E">
        <w:rPr>
          <w:sz w:val="20"/>
          <w:szCs w:val="20"/>
        </w:rPr>
        <w:t xml:space="preserve"> was</w:t>
      </w:r>
      <w:r w:rsidR="00A73C66" w:rsidRPr="00485F6E">
        <w:rPr>
          <w:sz w:val="20"/>
          <w:szCs w:val="20"/>
        </w:rPr>
        <w:t xml:space="preserve"> “</w:t>
      </w:r>
      <w:r w:rsidRPr="00485F6E">
        <w:rPr>
          <w:sz w:val="20"/>
          <w:szCs w:val="20"/>
        </w:rPr>
        <w:t>criminally</w:t>
      </w:r>
      <w:r w:rsidR="00EA7F00">
        <w:rPr>
          <w:sz w:val="20"/>
          <w:szCs w:val="20"/>
        </w:rPr>
        <w:t xml:space="preserve"> </w:t>
      </w:r>
      <w:r w:rsidR="005613E6">
        <w:rPr>
          <w:sz w:val="20"/>
          <w:szCs w:val="20"/>
        </w:rPr>
        <w:t>culpable</w:t>
      </w:r>
      <w:r w:rsidR="00EA7F00">
        <w:rPr>
          <w:sz w:val="20"/>
          <w:szCs w:val="20"/>
        </w:rPr>
        <w:t>” for the crime of manslaughter</w:t>
      </w:r>
      <w:r w:rsidRPr="00485F6E">
        <w:rPr>
          <w:sz w:val="20"/>
          <w:szCs w:val="20"/>
        </w:rPr>
        <w:t xml:space="preserve"> and ordered that he</w:t>
      </w:r>
      <w:r w:rsidR="00582937" w:rsidRPr="00485F6E">
        <w:rPr>
          <w:sz w:val="20"/>
          <w:szCs w:val="20"/>
        </w:rPr>
        <w:t xml:space="preserve"> undergo</w:t>
      </w:r>
      <w:r w:rsidR="00A73C66" w:rsidRPr="00485F6E">
        <w:rPr>
          <w:sz w:val="20"/>
          <w:szCs w:val="20"/>
        </w:rPr>
        <w:t xml:space="preserve"> “</w:t>
      </w:r>
      <w:r w:rsidR="00582937" w:rsidRPr="00485F6E">
        <w:rPr>
          <w:sz w:val="20"/>
          <w:szCs w:val="20"/>
        </w:rPr>
        <w:t>remedial custodial treatment</w:t>
      </w:r>
      <w:r w:rsidRPr="00485F6E">
        <w:rPr>
          <w:sz w:val="20"/>
          <w:szCs w:val="20"/>
        </w:rPr>
        <w:t xml:space="preserve"> until reaching legal age, und</w:t>
      </w:r>
      <w:r w:rsidR="00485F6E">
        <w:rPr>
          <w:sz w:val="20"/>
          <w:szCs w:val="20"/>
        </w:rPr>
        <w:t xml:space="preserve">er the supervision of the court-appointed </w:t>
      </w:r>
      <w:r w:rsidR="00582937" w:rsidRPr="00485F6E">
        <w:rPr>
          <w:sz w:val="20"/>
          <w:szCs w:val="20"/>
        </w:rPr>
        <w:t>Family Counsellor and Guardian Ad Litem</w:t>
      </w:r>
      <w:r w:rsidRPr="00485F6E">
        <w:rPr>
          <w:sz w:val="20"/>
          <w:szCs w:val="20"/>
        </w:rPr>
        <w:t>.” The Commission deems it is necessary to add that, in the same judgment, two other co-</w:t>
      </w:r>
      <w:r w:rsidR="007C488F" w:rsidRPr="00485F6E">
        <w:rPr>
          <w:sz w:val="20"/>
          <w:szCs w:val="20"/>
        </w:rPr>
        <w:t>defendants</w:t>
      </w:r>
      <w:r w:rsidRPr="00485F6E">
        <w:rPr>
          <w:sz w:val="20"/>
          <w:szCs w:val="20"/>
        </w:rPr>
        <w:t xml:space="preserve"> of legal age were acquitted</w:t>
      </w:r>
      <w:r w:rsidR="00913C29" w:rsidRPr="00485F6E">
        <w:rPr>
          <w:sz w:val="20"/>
          <w:szCs w:val="20"/>
        </w:rPr>
        <w:t>.</w:t>
      </w:r>
      <w:r w:rsidR="00B24232" w:rsidRPr="00485F6E">
        <w:rPr>
          <w:sz w:val="20"/>
          <w:szCs w:val="20"/>
        </w:rPr>
        <w:t xml:space="preserve"> </w:t>
      </w:r>
    </w:p>
    <w:p w14:paraId="59BA0034" w14:textId="77777777" w:rsidR="00596668" w:rsidRPr="00485F6E" w:rsidRDefault="00596668" w:rsidP="0057630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4FA6A507" w14:textId="77777777" w:rsidR="00596668" w:rsidRPr="00485F6E" w:rsidRDefault="00AE425A" w:rsidP="005763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sz w:val="20"/>
          <w:szCs w:val="20"/>
        </w:rPr>
        <w:t>Subsequent</w:t>
      </w:r>
      <w:r w:rsidR="005613E6">
        <w:rPr>
          <w:sz w:val="20"/>
          <w:szCs w:val="20"/>
        </w:rPr>
        <w:t>ly</w:t>
      </w:r>
      <w:r w:rsidRPr="00485F6E">
        <w:rPr>
          <w:sz w:val="20"/>
          <w:szCs w:val="20"/>
        </w:rPr>
        <w:t>, as described in the section on the determinations of fact, the First Chamber, on the basis of the ruling of September 17, 2002, decided to sentence the petitioner to four years prison. The Commission stresses that, as part of the grounds for its decision, one of the judges stated, after summarizing the statement made by Mr. Pacheco and the Monitoring Delegate, Ms. Sandra Nora Romers, that “it cannot be avoided, when ruling on the case being submitted for a ruling, that there is an absence of certainty about the possibility that the person being tried will not once again repeat his antisocial behavior, which has its origin in his failure to contain his emotions and his proven and self-avowed alcoholism</w:t>
      </w:r>
      <w:r w:rsidR="00D43C64" w:rsidRPr="00485F6E">
        <w:rPr>
          <w:sz w:val="20"/>
          <w:szCs w:val="20"/>
        </w:rPr>
        <w:t>.</w:t>
      </w:r>
      <w:r w:rsidR="00F66999" w:rsidRPr="00485F6E">
        <w:rPr>
          <w:sz w:val="20"/>
          <w:szCs w:val="20"/>
        </w:rPr>
        <w:t>”</w:t>
      </w:r>
      <w:r w:rsidR="003E0FB1" w:rsidRPr="00485F6E">
        <w:rPr>
          <w:rStyle w:val="FootnoteReference"/>
          <w:sz w:val="20"/>
          <w:szCs w:val="20"/>
        </w:rPr>
        <w:footnoteReference w:id="92"/>
      </w:r>
    </w:p>
    <w:p w14:paraId="4715EB17" w14:textId="77777777" w:rsidR="00596668" w:rsidRPr="00485F6E" w:rsidRDefault="00596668" w:rsidP="0057630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2EE89A43" w14:textId="77777777" w:rsidR="00596668" w:rsidRPr="00485F6E" w:rsidRDefault="00D43C64" w:rsidP="005763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sz w:val="20"/>
          <w:szCs w:val="20"/>
        </w:rPr>
        <w:t>Likewise, another judge who signed the judgment of conviction argued that “it is not a foregone concl</w:t>
      </w:r>
      <w:r w:rsidR="006F2A03" w:rsidRPr="00485F6E">
        <w:rPr>
          <w:sz w:val="20"/>
          <w:szCs w:val="20"/>
        </w:rPr>
        <w:t>usion that the young man Pacheco</w:t>
      </w:r>
      <w:r w:rsidR="004D040A">
        <w:rPr>
          <w:sz w:val="20"/>
          <w:szCs w:val="20"/>
        </w:rPr>
        <w:t xml:space="preserve"> will not engage</w:t>
      </w:r>
      <w:r w:rsidRPr="00485F6E">
        <w:rPr>
          <w:sz w:val="20"/>
          <w:szCs w:val="20"/>
        </w:rPr>
        <w:t xml:space="preserve"> in new serious criminal conduct</w:t>
      </w:r>
      <w:r w:rsidR="001567BB" w:rsidRPr="00485F6E">
        <w:rPr>
          <w:sz w:val="20"/>
          <w:szCs w:val="20"/>
        </w:rPr>
        <w:t xml:space="preserve">. </w:t>
      </w:r>
      <w:r w:rsidRPr="00485F6E">
        <w:rPr>
          <w:sz w:val="20"/>
          <w:szCs w:val="20"/>
        </w:rPr>
        <w:t>Regarding this, it is evident that the outcome of the</w:t>
      </w:r>
      <w:r w:rsidR="00582937" w:rsidRPr="00485F6E">
        <w:rPr>
          <w:sz w:val="20"/>
          <w:szCs w:val="20"/>
        </w:rPr>
        <w:t xml:space="preserve"> remedial custodial treatment</w:t>
      </w:r>
      <w:r w:rsidRPr="00485F6E">
        <w:rPr>
          <w:sz w:val="20"/>
          <w:szCs w:val="20"/>
        </w:rPr>
        <w:t xml:space="preserve"> that was ordered at that time in the sentencing, which declared that he was criminally </w:t>
      </w:r>
      <w:r w:rsidR="00CB29AE">
        <w:rPr>
          <w:sz w:val="20"/>
          <w:szCs w:val="20"/>
        </w:rPr>
        <w:t>culpable</w:t>
      </w:r>
      <w:r w:rsidRPr="00485F6E">
        <w:rPr>
          <w:sz w:val="20"/>
          <w:szCs w:val="20"/>
        </w:rPr>
        <w:t>, there is no indication that it had produced any significant change in the behavior, habits, etc., of the accused.</w:t>
      </w:r>
      <w:r w:rsidR="001567BB" w:rsidRPr="00485F6E">
        <w:rPr>
          <w:sz w:val="20"/>
          <w:szCs w:val="20"/>
        </w:rPr>
        <w:t>”</w:t>
      </w:r>
      <w:r w:rsidR="003E0FB1" w:rsidRPr="00485F6E">
        <w:rPr>
          <w:rStyle w:val="FootnoteReference"/>
          <w:sz w:val="20"/>
          <w:szCs w:val="20"/>
        </w:rPr>
        <w:footnoteReference w:id="93"/>
      </w:r>
      <w:r w:rsidR="001567BB" w:rsidRPr="00485F6E">
        <w:rPr>
          <w:sz w:val="20"/>
          <w:szCs w:val="20"/>
        </w:rPr>
        <w:t xml:space="preserve"> </w:t>
      </w:r>
    </w:p>
    <w:p w14:paraId="2C72CC11" w14:textId="77777777" w:rsidR="00596668" w:rsidRPr="00485F6E" w:rsidRDefault="00596668" w:rsidP="0057630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4B0B65D7" w14:textId="4A3481E0" w:rsidR="00596668" w:rsidRPr="00214202" w:rsidRDefault="00F76885"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85F6E">
        <w:rPr>
          <w:sz w:val="20"/>
          <w:szCs w:val="20"/>
        </w:rPr>
        <w:t xml:space="preserve">On the basis of the review of the judgments summarized above, the Commission understands, first of all, that the decision to sentence Mr. Pacheco to prison did not stem exclusively from the criminal conduct possibly committed </w:t>
      </w:r>
      <w:r w:rsidR="002E546E">
        <w:rPr>
          <w:sz w:val="20"/>
          <w:szCs w:val="20"/>
        </w:rPr>
        <w:t xml:space="preserve">by the petitioner, </w:t>
      </w:r>
      <w:r w:rsidRPr="00485F6E">
        <w:rPr>
          <w:sz w:val="20"/>
          <w:szCs w:val="20"/>
        </w:rPr>
        <w:t>as required by the principle of legality and the right to personal liberty</w:t>
      </w:r>
      <w:r w:rsidR="001567BB" w:rsidRPr="00485F6E">
        <w:rPr>
          <w:sz w:val="20"/>
          <w:szCs w:val="20"/>
        </w:rPr>
        <w:t xml:space="preserve">. </w:t>
      </w:r>
      <w:r w:rsidRPr="00485F6E">
        <w:rPr>
          <w:sz w:val="20"/>
          <w:szCs w:val="20"/>
        </w:rPr>
        <w:t xml:space="preserve">On the contrary, the alleged failure of the </w:t>
      </w:r>
      <w:r w:rsidR="00582937" w:rsidRPr="00485F6E">
        <w:rPr>
          <w:sz w:val="20"/>
          <w:szCs w:val="20"/>
        </w:rPr>
        <w:t>remedial custodial treatment</w:t>
      </w:r>
      <w:r w:rsidRPr="00485F6E">
        <w:rPr>
          <w:sz w:val="20"/>
          <w:szCs w:val="20"/>
        </w:rPr>
        <w:t xml:space="preserve"> which the petitioner was </w:t>
      </w:r>
      <w:r w:rsidR="00582937" w:rsidRPr="00485F6E">
        <w:rPr>
          <w:sz w:val="20"/>
          <w:szCs w:val="20"/>
        </w:rPr>
        <w:t>required to undergo</w:t>
      </w:r>
      <w:r w:rsidRPr="00485F6E">
        <w:rPr>
          <w:sz w:val="20"/>
          <w:szCs w:val="20"/>
        </w:rPr>
        <w:t>, in accordance with Article 4 of Law 22.278, as well as a series of general considerations of a preventive nature relative to an alleged risk of future recidivism, which has no connection to the event for which the petitioner was tried, accounts for a large portion of the arguments of the judges</w:t>
      </w:r>
      <w:r w:rsidR="001567BB" w:rsidRPr="00485F6E">
        <w:rPr>
          <w:sz w:val="20"/>
          <w:szCs w:val="20"/>
        </w:rPr>
        <w:t>.</w:t>
      </w:r>
    </w:p>
    <w:p w14:paraId="4C7AD8D6" w14:textId="77777777" w:rsidR="00214202" w:rsidRPr="00214202" w:rsidRDefault="00214202" w:rsidP="00214202">
      <w:pPr>
        <w:pStyle w:val="ListParagraph"/>
        <w:rPr>
          <w:rFonts w:eastAsia="Times New Roman"/>
          <w:sz w:val="20"/>
          <w:szCs w:val="20"/>
          <w:bdr w:val="none" w:sz="0" w:space="0" w:color="auto"/>
        </w:rPr>
      </w:pPr>
    </w:p>
    <w:p w14:paraId="2605EDA7" w14:textId="440D19E0" w:rsidR="00214202" w:rsidRPr="00485F6E" w:rsidRDefault="00214202"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214202">
        <w:rPr>
          <w:rFonts w:eastAsia="Times New Roman"/>
          <w:sz w:val="20"/>
          <w:szCs w:val="20"/>
          <w:bdr w:val="none" w:sz="0" w:space="0" w:color="auto"/>
        </w:rPr>
        <w:t xml:space="preserve">In this regard, the Commission emphasizes that the arguments used to support the petitioner's conviction were in part based on prejudices and stereotypes that automatically linked the alleged addiction to alcohol of the alleged victim, his alleged personal habits - of which no further reference is made - and the outcome of the tutelary treatment with the likelihood of future criminal recidivism.  </w:t>
      </w:r>
    </w:p>
    <w:p w14:paraId="0F4ED5C1" w14:textId="1D35EAD0" w:rsidR="00596668" w:rsidRPr="00485F6E" w:rsidRDefault="00596668" w:rsidP="00A507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5E6B0F20" w14:textId="0D025368" w:rsidR="00596668" w:rsidRPr="0063147E" w:rsidRDefault="008608C4"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Pr>
          <w:sz w:val="20"/>
          <w:szCs w:val="20"/>
        </w:rPr>
        <w:t xml:space="preserve">Regarding </w:t>
      </w:r>
      <w:r w:rsidR="00F76885" w:rsidRPr="0063147E">
        <w:rPr>
          <w:sz w:val="20"/>
          <w:szCs w:val="20"/>
        </w:rPr>
        <w:t xml:space="preserve">the </w:t>
      </w:r>
      <w:r w:rsidR="00582937" w:rsidRPr="0063147E">
        <w:rPr>
          <w:sz w:val="20"/>
          <w:szCs w:val="20"/>
        </w:rPr>
        <w:t>remedial custodial treatment</w:t>
      </w:r>
      <w:r w:rsidR="00F76885" w:rsidRPr="0063147E">
        <w:rPr>
          <w:sz w:val="20"/>
          <w:szCs w:val="20"/>
        </w:rPr>
        <w:t xml:space="preserve"> provided for in Article 4, subparagraph 3, of Law </w:t>
      </w:r>
      <w:r w:rsidR="00BB0F0A" w:rsidRPr="0063147E">
        <w:rPr>
          <w:sz w:val="20"/>
          <w:szCs w:val="20"/>
        </w:rPr>
        <w:t>22.278</w:t>
      </w:r>
      <w:r>
        <w:rPr>
          <w:sz w:val="20"/>
          <w:szCs w:val="20"/>
        </w:rPr>
        <w:t xml:space="preserve">, the Commission observes </w:t>
      </w:r>
      <w:r w:rsidR="00150BE0">
        <w:rPr>
          <w:sz w:val="20"/>
          <w:szCs w:val="20"/>
        </w:rPr>
        <w:t>that it pursues a licit</w:t>
      </w:r>
      <w:r w:rsidR="00876E13">
        <w:rPr>
          <w:sz w:val="20"/>
          <w:szCs w:val="20"/>
        </w:rPr>
        <w:t xml:space="preserve"> objective given that it </w:t>
      </w:r>
      <w:r w:rsidR="00683362" w:rsidRPr="0063147E">
        <w:rPr>
          <w:sz w:val="20"/>
          <w:szCs w:val="20"/>
        </w:rPr>
        <w:t xml:space="preserve">is aimed at having the adolescent offender internalize the basic rules governing peaceful coexistence and </w:t>
      </w:r>
      <w:r w:rsidR="0071749B">
        <w:rPr>
          <w:sz w:val="20"/>
          <w:szCs w:val="20"/>
        </w:rPr>
        <w:t xml:space="preserve">in this manner make </w:t>
      </w:r>
      <w:r w:rsidR="00683362" w:rsidRPr="0063147E">
        <w:rPr>
          <w:sz w:val="20"/>
          <w:szCs w:val="20"/>
        </w:rPr>
        <w:t>his social re</w:t>
      </w:r>
      <w:r w:rsidR="00CB29AE" w:rsidRPr="0063147E">
        <w:rPr>
          <w:sz w:val="20"/>
          <w:szCs w:val="20"/>
        </w:rPr>
        <w:t>habilitation</w:t>
      </w:r>
      <w:r w:rsidR="00683362" w:rsidRPr="0063147E">
        <w:rPr>
          <w:sz w:val="20"/>
          <w:szCs w:val="20"/>
        </w:rPr>
        <w:t xml:space="preserve"> possible</w:t>
      </w:r>
      <w:r w:rsidR="00125984" w:rsidRPr="0063147E">
        <w:rPr>
          <w:sz w:val="20"/>
          <w:szCs w:val="20"/>
        </w:rPr>
        <w:t xml:space="preserve">. </w:t>
      </w:r>
      <w:r w:rsidR="00683362" w:rsidRPr="0063147E">
        <w:rPr>
          <w:sz w:val="20"/>
          <w:szCs w:val="20"/>
        </w:rPr>
        <w:t xml:space="preserve">Despite the above, however, the Commission deems that, if that treatment did not yield the outcome that the professionals in charge </w:t>
      </w:r>
      <w:r w:rsidR="004B710A">
        <w:rPr>
          <w:sz w:val="20"/>
          <w:szCs w:val="20"/>
        </w:rPr>
        <w:t xml:space="preserve">chose </w:t>
      </w:r>
      <w:r w:rsidR="00683362" w:rsidRPr="0063147E">
        <w:rPr>
          <w:sz w:val="20"/>
          <w:szCs w:val="20"/>
        </w:rPr>
        <w:t>of it or those that the judges wish</w:t>
      </w:r>
      <w:r w:rsidR="00CB29AE" w:rsidRPr="0063147E">
        <w:rPr>
          <w:sz w:val="20"/>
          <w:szCs w:val="20"/>
        </w:rPr>
        <w:t>ed it</w:t>
      </w:r>
      <w:r w:rsidR="00683362" w:rsidRPr="0063147E">
        <w:rPr>
          <w:sz w:val="20"/>
          <w:szCs w:val="20"/>
        </w:rPr>
        <w:t xml:space="preserve"> to have, this situation cannot be an integral part of the judgment of criminal penalty leading to a prison sentence depriving him of his liberty.</w:t>
      </w:r>
      <w:r w:rsidR="00BB0F0A" w:rsidRPr="0063147E">
        <w:rPr>
          <w:sz w:val="20"/>
          <w:szCs w:val="20"/>
        </w:rPr>
        <w:t xml:space="preserve"> </w:t>
      </w:r>
    </w:p>
    <w:p w14:paraId="4C301970" w14:textId="77777777" w:rsidR="00596668" w:rsidRPr="00485F6E" w:rsidRDefault="00596668" w:rsidP="00A507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6C4CBD38" w14:textId="558F3190" w:rsidR="00596668" w:rsidRPr="00422C20" w:rsidRDefault="006A4764"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Pr>
          <w:sz w:val="20"/>
          <w:szCs w:val="20"/>
        </w:rPr>
        <w:t>On this point, t</w:t>
      </w:r>
      <w:r w:rsidR="00683362" w:rsidRPr="00485F6E">
        <w:rPr>
          <w:sz w:val="20"/>
          <w:szCs w:val="20"/>
        </w:rPr>
        <w:t>he Commission cannot fail to stress that, according to the allegations made by the petitioners, Mr</w:t>
      </w:r>
      <w:r w:rsidR="008E722C" w:rsidRPr="00485F6E">
        <w:rPr>
          <w:sz w:val="20"/>
          <w:szCs w:val="20"/>
        </w:rPr>
        <w:t>.</w:t>
      </w:r>
      <w:r w:rsidR="00683362" w:rsidRPr="00485F6E">
        <w:rPr>
          <w:sz w:val="20"/>
          <w:szCs w:val="20"/>
        </w:rPr>
        <w:t xml:space="preserve"> Pacheco had to tackle a series of material setbacks that made it impossible for him to attend regularly the consultations with his psychologist and the </w:t>
      </w:r>
      <w:r w:rsidR="00582937" w:rsidRPr="00485F6E">
        <w:rPr>
          <w:sz w:val="20"/>
          <w:szCs w:val="20"/>
        </w:rPr>
        <w:t>counsellor of his remedial custodial treatment</w:t>
      </w:r>
      <w:r w:rsidR="00683362" w:rsidRPr="00485F6E">
        <w:rPr>
          <w:sz w:val="20"/>
          <w:szCs w:val="20"/>
        </w:rPr>
        <w:t>. For example, the petitioners mentioned that Mr. Pachec</w:t>
      </w:r>
      <w:r w:rsidR="00D44866" w:rsidRPr="00485F6E">
        <w:rPr>
          <w:sz w:val="20"/>
          <w:szCs w:val="20"/>
        </w:rPr>
        <w:t>o</w:t>
      </w:r>
      <w:r w:rsidR="00683362" w:rsidRPr="00485F6E">
        <w:rPr>
          <w:sz w:val="20"/>
          <w:szCs w:val="20"/>
        </w:rPr>
        <w:t xml:space="preserve"> lived more than 120 kilom</w:t>
      </w:r>
      <w:r w:rsidR="00D44866" w:rsidRPr="00485F6E">
        <w:rPr>
          <w:sz w:val="20"/>
          <w:szCs w:val="20"/>
        </w:rPr>
        <w:t>eters away from the place where he had to go for the consultations, that the means of transpor</w:t>
      </w:r>
      <w:r w:rsidR="00D44866" w:rsidRPr="00422C20">
        <w:rPr>
          <w:sz w:val="20"/>
          <w:szCs w:val="20"/>
        </w:rPr>
        <w:t xml:space="preserve">tation from Sarmiento, the city where he </w:t>
      </w:r>
      <w:r w:rsidR="00D44866" w:rsidRPr="00422C20">
        <w:rPr>
          <w:sz w:val="20"/>
          <w:szCs w:val="20"/>
        </w:rPr>
        <w:lastRenderedPageBreak/>
        <w:t xml:space="preserve">lived, to </w:t>
      </w:r>
      <w:r w:rsidR="00137A47" w:rsidRPr="00422C20">
        <w:rPr>
          <w:sz w:val="20"/>
          <w:szCs w:val="20"/>
        </w:rPr>
        <w:t xml:space="preserve">Comodoro Rivadavia </w:t>
      </w:r>
      <w:r w:rsidR="00D44866" w:rsidRPr="00422C20">
        <w:rPr>
          <w:sz w:val="20"/>
          <w:szCs w:val="20"/>
        </w:rPr>
        <w:t>where his psychologist was located were scarce and very infrequent and that oftentimes he could not go to the interviews because he was working.</w:t>
      </w:r>
      <w:r w:rsidR="00596668" w:rsidRPr="00422C20">
        <w:rPr>
          <w:rStyle w:val="FootnoteReference"/>
          <w:sz w:val="20"/>
          <w:szCs w:val="20"/>
        </w:rPr>
        <w:footnoteReference w:id="94"/>
      </w:r>
    </w:p>
    <w:p w14:paraId="5703FDE3" w14:textId="77777777" w:rsidR="00596668" w:rsidRPr="00422C20" w:rsidRDefault="00596668" w:rsidP="00A507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4F2FC0B6" w14:textId="045C745D" w:rsidR="00596668" w:rsidRPr="00422C20" w:rsidRDefault="00D3386B" w:rsidP="00A5076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22C20">
        <w:rPr>
          <w:sz w:val="20"/>
          <w:szCs w:val="20"/>
        </w:rPr>
        <w:t>With this panorama in mind</w:t>
      </w:r>
      <w:r w:rsidR="00D44866" w:rsidRPr="00422C20">
        <w:rPr>
          <w:sz w:val="20"/>
          <w:szCs w:val="20"/>
        </w:rPr>
        <w:t xml:space="preserve">, the Commission stated that, although the reasons </w:t>
      </w:r>
      <w:r w:rsidRPr="00422C20">
        <w:rPr>
          <w:sz w:val="20"/>
          <w:szCs w:val="20"/>
        </w:rPr>
        <w:t xml:space="preserve">or motives </w:t>
      </w:r>
      <w:r w:rsidR="00D44866" w:rsidRPr="00422C20">
        <w:rPr>
          <w:sz w:val="20"/>
          <w:szCs w:val="20"/>
        </w:rPr>
        <w:t xml:space="preserve">why the </w:t>
      </w:r>
      <w:r w:rsidR="00582937" w:rsidRPr="00422C20">
        <w:rPr>
          <w:sz w:val="20"/>
          <w:szCs w:val="20"/>
        </w:rPr>
        <w:t>remedial custodial treatment</w:t>
      </w:r>
      <w:r w:rsidR="00D44866" w:rsidRPr="00422C20">
        <w:rPr>
          <w:sz w:val="20"/>
          <w:szCs w:val="20"/>
        </w:rPr>
        <w:t xml:space="preserve"> did not yield the outcome that had been outlined or expected by the judges do not modify the conclusions </w:t>
      </w:r>
      <w:r w:rsidRPr="00422C20">
        <w:rPr>
          <w:sz w:val="20"/>
          <w:szCs w:val="20"/>
        </w:rPr>
        <w:t>stated</w:t>
      </w:r>
      <w:r w:rsidR="00D44866" w:rsidRPr="00422C20">
        <w:rPr>
          <w:sz w:val="20"/>
          <w:szCs w:val="20"/>
        </w:rPr>
        <w:t xml:space="preserve"> in the preceding paragraphs, it did turn out to be especially problematic</w:t>
      </w:r>
      <w:r w:rsidR="00CB29AE" w:rsidRPr="00422C20">
        <w:rPr>
          <w:sz w:val="20"/>
          <w:szCs w:val="20"/>
        </w:rPr>
        <w:t>, in the light of the principle</w:t>
      </w:r>
      <w:r w:rsidR="00D44866" w:rsidRPr="00422C20">
        <w:rPr>
          <w:sz w:val="20"/>
          <w:szCs w:val="20"/>
        </w:rPr>
        <w:t xml:space="preserve"> of the </w:t>
      </w:r>
      <w:r w:rsidR="00CB29AE" w:rsidRPr="00422C20">
        <w:rPr>
          <w:sz w:val="20"/>
          <w:szCs w:val="20"/>
        </w:rPr>
        <w:t>best</w:t>
      </w:r>
      <w:r w:rsidR="00D44866" w:rsidRPr="00422C20">
        <w:rPr>
          <w:sz w:val="20"/>
          <w:szCs w:val="20"/>
        </w:rPr>
        <w:t xml:space="preserve"> interest</w:t>
      </w:r>
      <w:r w:rsidR="00CB29AE" w:rsidRPr="00422C20">
        <w:rPr>
          <w:sz w:val="20"/>
          <w:szCs w:val="20"/>
        </w:rPr>
        <w:t>s</w:t>
      </w:r>
      <w:r w:rsidR="00D44866" w:rsidRPr="00422C20">
        <w:rPr>
          <w:sz w:val="20"/>
          <w:szCs w:val="20"/>
        </w:rPr>
        <w:t xml:space="preserve"> of the child and the exceptional status of the penalty, that the state’s response to the </w:t>
      </w:r>
      <w:r w:rsidRPr="00422C20">
        <w:rPr>
          <w:sz w:val="20"/>
          <w:szCs w:val="20"/>
        </w:rPr>
        <w:t xml:space="preserve">objectives </w:t>
      </w:r>
      <w:r w:rsidR="00D44866" w:rsidRPr="00422C20">
        <w:rPr>
          <w:sz w:val="20"/>
          <w:szCs w:val="20"/>
        </w:rPr>
        <w:t xml:space="preserve">difficulties shown by Mr. Pacheco to move forward with his </w:t>
      </w:r>
      <w:r w:rsidR="00582937" w:rsidRPr="00422C20">
        <w:rPr>
          <w:sz w:val="20"/>
          <w:szCs w:val="20"/>
        </w:rPr>
        <w:t>remedial custodial treatment</w:t>
      </w:r>
      <w:r w:rsidR="00CB29AE" w:rsidRPr="00422C20">
        <w:rPr>
          <w:sz w:val="20"/>
          <w:szCs w:val="20"/>
        </w:rPr>
        <w:t xml:space="preserve"> consisted of</w:t>
      </w:r>
      <w:r w:rsidR="00D44866" w:rsidRPr="00422C20">
        <w:rPr>
          <w:sz w:val="20"/>
          <w:szCs w:val="20"/>
        </w:rPr>
        <w:t xml:space="preserve"> sentencing him to deprivation of liberty</w:t>
      </w:r>
      <w:r w:rsidR="00AB021C" w:rsidRPr="00422C20">
        <w:rPr>
          <w:sz w:val="20"/>
          <w:szCs w:val="20"/>
        </w:rPr>
        <w:t xml:space="preserve">. </w:t>
      </w:r>
    </w:p>
    <w:p w14:paraId="7600D863" w14:textId="77777777" w:rsidR="00596668" w:rsidRPr="00422C20" w:rsidRDefault="00596668" w:rsidP="0057630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197A38BE" w14:textId="6316F3B7" w:rsidR="0023715B" w:rsidRPr="00422C20" w:rsidRDefault="00C149AA" w:rsidP="0057630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22C20">
        <w:rPr>
          <w:sz w:val="20"/>
          <w:szCs w:val="20"/>
        </w:rPr>
        <w:t xml:space="preserve">In that regard, </w:t>
      </w:r>
      <w:r w:rsidR="00773DFE" w:rsidRPr="00422C20">
        <w:rPr>
          <w:sz w:val="20"/>
          <w:szCs w:val="20"/>
        </w:rPr>
        <w:t xml:space="preserve">the Commission considers that </w:t>
      </w:r>
      <w:r w:rsidRPr="00422C20">
        <w:rPr>
          <w:sz w:val="20"/>
          <w:szCs w:val="20"/>
        </w:rPr>
        <w:t xml:space="preserve">a deprivation of liberty such as the one experienced by Mr. Pacheco, which was not grounded in the criminal action he had committed and was imposed in addition because of the alleged failure of, or absence of responsible compliance with, the </w:t>
      </w:r>
      <w:r w:rsidR="00582937" w:rsidRPr="00422C20">
        <w:rPr>
          <w:sz w:val="20"/>
          <w:szCs w:val="20"/>
        </w:rPr>
        <w:t>remedial custodial treatment</w:t>
      </w:r>
      <w:r w:rsidRPr="00422C20">
        <w:rPr>
          <w:sz w:val="20"/>
          <w:szCs w:val="20"/>
        </w:rPr>
        <w:t xml:space="preserve"> and because of a prognosis of probable future recidivism, </w:t>
      </w:r>
      <w:r w:rsidR="002C3A48" w:rsidRPr="00422C20">
        <w:rPr>
          <w:sz w:val="20"/>
          <w:szCs w:val="20"/>
        </w:rPr>
        <w:t>based on stereotypes and pre</w:t>
      </w:r>
      <w:r w:rsidR="008529B6" w:rsidRPr="00422C20">
        <w:rPr>
          <w:sz w:val="20"/>
          <w:szCs w:val="20"/>
        </w:rPr>
        <w:t xml:space="preserve">concepts about the personal characteristics of the petitioner, </w:t>
      </w:r>
      <w:r w:rsidRPr="00422C20">
        <w:rPr>
          <w:sz w:val="20"/>
          <w:szCs w:val="20"/>
        </w:rPr>
        <w:t xml:space="preserve">violated the principle of legality enshrined in Article 9 of the same treaty and makes the </w:t>
      </w:r>
      <w:r w:rsidR="00E212F5" w:rsidRPr="00422C20">
        <w:rPr>
          <w:sz w:val="20"/>
          <w:szCs w:val="20"/>
        </w:rPr>
        <w:t>deprivation of liberty</w:t>
      </w:r>
      <w:r w:rsidRPr="00422C20">
        <w:rPr>
          <w:sz w:val="20"/>
          <w:szCs w:val="20"/>
        </w:rPr>
        <w:t xml:space="preserve"> arbitrary and incompatible with Article </w:t>
      </w:r>
      <w:r w:rsidR="00F86C32" w:rsidRPr="00422C20">
        <w:rPr>
          <w:sz w:val="20"/>
          <w:szCs w:val="20"/>
        </w:rPr>
        <w:t xml:space="preserve">7(3) </w:t>
      </w:r>
      <w:r w:rsidRPr="00422C20">
        <w:rPr>
          <w:sz w:val="20"/>
          <w:szCs w:val="20"/>
        </w:rPr>
        <w:t>of the American Convention</w:t>
      </w:r>
      <w:r w:rsidR="002B5D7B" w:rsidRPr="00422C20">
        <w:rPr>
          <w:sz w:val="20"/>
          <w:szCs w:val="20"/>
        </w:rPr>
        <w:t xml:space="preserve">. </w:t>
      </w:r>
      <w:r w:rsidR="00B855F8" w:rsidRPr="00422C20">
        <w:rPr>
          <w:sz w:val="20"/>
          <w:szCs w:val="20"/>
        </w:rPr>
        <w:t xml:space="preserve">All of this </w:t>
      </w:r>
      <w:r w:rsidR="00E212F5" w:rsidRPr="00422C20">
        <w:rPr>
          <w:sz w:val="20"/>
          <w:szCs w:val="20"/>
        </w:rPr>
        <w:t>violates also</w:t>
      </w:r>
      <w:r w:rsidR="00DB4D76" w:rsidRPr="00422C20">
        <w:rPr>
          <w:sz w:val="20"/>
          <w:szCs w:val="20"/>
        </w:rPr>
        <w:t xml:space="preserve"> </w:t>
      </w:r>
      <w:r w:rsidR="00B855F8" w:rsidRPr="00422C20">
        <w:rPr>
          <w:sz w:val="20"/>
          <w:szCs w:val="20"/>
        </w:rPr>
        <w:t>the special obli</w:t>
      </w:r>
      <w:r w:rsidR="008E722C" w:rsidRPr="00422C20">
        <w:rPr>
          <w:sz w:val="20"/>
          <w:szCs w:val="20"/>
        </w:rPr>
        <w:t>gations of protecting the best</w:t>
      </w:r>
      <w:r w:rsidR="00B855F8" w:rsidRPr="00422C20">
        <w:rPr>
          <w:sz w:val="20"/>
          <w:szCs w:val="20"/>
        </w:rPr>
        <w:t xml:space="preserve"> interest</w:t>
      </w:r>
      <w:r w:rsidR="008E722C" w:rsidRPr="00422C20">
        <w:rPr>
          <w:sz w:val="20"/>
          <w:szCs w:val="20"/>
        </w:rPr>
        <w:t>s</w:t>
      </w:r>
      <w:r w:rsidR="00B855F8" w:rsidRPr="00422C20">
        <w:rPr>
          <w:sz w:val="20"/>
          <w:szCs w:val="20"/>
        </w:rPr>
        <w:t xml:space="preserve"> of the child</w:t>
      </w:r>
      <w:r w:rsidR="002B5D7B" w:rsidRPr="00422C20">
        <w:rPr>
          <w:sz w:val="20"/>
          <w:szCs w:val="20"/>
        </w:rPr>
        <w:t xml:space="preserve">, </w:t>
      </w:r>
      <w:r w:rsidR="00B855F8" w:rsidRPr="00422C20">
        <w:rPr>
          <w:sz w:val="20"/>
          <w:szCs w:val="20"/>
        </w:rPr>
        <w:t>as laid out in Article 19 of the American Convention</w:t>
      </w:r>
      <w:r w:rsidR="002B5D7B" w:rsidRPr="00422C20">
        <w:rPr>
          <w:sz w:val="20"/>
          <w:szCs w:val="20"/>
        </w:rPr>
        <w:t>.</w:t>
      </w:r>
    </w:p>
    <w:p w14:paraId="77533B16" w14:textId="77777777" w:rsidR="0023715B" w:rsidRPr="00422C20" w:rsidRDefault="0023715B" w:rsidP="00A507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016B833F" w14:textId="2D86F2CA" w:rsidR="00C7542C" w:rsidRPr="00422C20" w:rsidRDefault="00DB4D76" w:rsidP="006F2A7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22C20">
        <w:rPr>
          <w:sz w:val="20"/>
          <w:szCs w:val="20"/>
        </w:rPr>
        <w:t>Finally,</w:t>
      </w:r>
      <w:r w:rsidR="00A55F03" w:rsidRPr="00422C20">
        <w:rPr>
          <w:sz w:val="20"/>
          <w:szCs w:val="20"/>
        </w:rPr>
        <w:t xml:space="preserve"> the Commission stressed that the judicial proceeding involving Mr. Pacheco was led, from the beginning, by a Court of Sarmiento and, in the plenary or trial stage, by the First Chamber of the Criminal Court of the Judicial District of </w:t>
      </w:r>
      <w:r w:rsidR="00AB021C" w:rsidRPr="00422C20">
        <w:rPr>
          <w:sz w:val="20"/>
          <w:szCs w:val="20"/>
        </w:rPr>
        <w:t>Comodoro Rivadavia.</w:t>
      </w:r>
      <w:r w:rsidR="005E3051" w:rsidRPr="00422C20">
        <w:rPr>
          <w:sz w:val="20"/>
          <w:szCs w:val="20"/>
        </w:rPr>
        <w:t xml:space="preserve"> </w:t>
      </w:r>
      <w:r w:rsidR="00A55F03" w:rsidRPr="00422C20">
        <w:rPr>
          <w:sz w:val="20"/>
          <w:szCs w:val="20"/>
        </w:rPr>
        <w:t>The IACHR understands that both courts were regular courts not specializing in juvenile offense law</w:t>
      </w:r>
      <w:r w:rsidR="004055C4" w:rsidRPr="00422C20">
        <w:rPr>
          <w:sz w:val="20"/>
          <w:szCs w:val="20"/>
        </w:rPr>
        <w:t>, a circumstance that violates the principle of specialization enshrined in Articles 5.5 of the American Convention and 40.3 of the Convention on the Rights of the Child</w:t>
      </w:r>
      <w:r w:rsidR="000834EA" w:rsidRPr="00422C20">
        <w:rPr>
          <w:rStyle w:val="FootnoteReference"/>
          <w:rFonts w:eastAsia="Times New Roman"/>
          <w:sz w:val="20"/>
          <w:szCs w:val="20"/>
          <w:bdr w:val="none" w:sz="0" w:space="0" w:color="auto"/>
          <w:lang w:val="es-419"/>
        </w:rPr>
        <w:footnoteReference w:id="95"/>
      </w:r>
      <w:r w:rsidR="004055C4" w:rsidRPr="00422C20">
        <w:rPr>
          <w:sz w:val="20"/>
          <w:szCs w:val="20"/>
        </w:rPr>
        <w:t>.</w:t>
      </w:r>
    </w:p>
    <w:p w14:paraId="19635917" w14:textId="77777777" w:rsidR="00DB4D76" w:rsidRPr="00422C20" w:rsidRDefault="00DB4D76" w:rsidP="00DB4D7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1496BB4A" w14:textId="77B9656A" w:rsidR="00BA577A" w:rsidRPr="00422C20" w:rsidRDefault="00C15C7C" w:rsidP="008576E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22C20">
        <w:rPr>
          <w:rFonts w:eastAsia="Times New Roman"/>
          <w:sz w:val="20"/>
          <w:szCs w:val="20"/>
          <w:bdr w:val="none" w:sz="0" w:space="0" w:color="auto"/>
        </w:rPr>
        <w:t>In view of the above,</w:t>
      </w:r>
      <w:r w:rsidR="007F0633" w:rsidRPr="00422C20">
        <w:rPr>
          <w:rFonts w:eastAsia="Times New Roman"/>
          <w:sz w:val="20"/>
          <w:szCs w:val="20"/>
          <w:bdr w:val="none" w:sz="0" w:space="0" w:color="auto"/>
        </w:rPr>
        <w:t xml:space="preserve"> notwithstanding the </w:t>
      </w:r>
      <w:r w:rsidR="00F564D7" w:rsidRPr="00422C20">
        <w:rPr>
          <w:rFonts w:eastAsia="Times New Roman"/>
          <w:sz w:val="20"/>
          <w:szCs w:val="20"/>
          <w:bdr w:val="none" w:sz="0" w:space="0" w:color="auto"/>
        </w:rPr>
        <w:t>previously stated violations,</w:t>
      </w:r>
      <w:r w:rsidRPr="00422C20">
        <w:rPr>
          <w:rFonts w:eastAsia="Times New Roman"/>
          <w:sz w:val="20"/>
          <w:szCs w:val="20"/>
          <w:bdr w:val="none" w:sz="0" w:space="0" w:color="auto"/>
        </w:rPr>
        <w:t xml:space="preserve"> the Commission </w:t>
      </w:r>
      <w:r w:rsidR="00F16915" w:rsidRPr="00422C20">
        <w:rPr>
          <w:rFonts w:eastAsia="Times New Roman"/>
          <w:sz w:val="20"/>
          <w:szCs w:val="20"/>
          <w:bdr w:val="none" w:sz="0" w:space="0" w:color="auto"/>
        </w:rPr>
        <w:t xml:space="preserve">will also conclude </w:t>
      </w:r>
      <w:r w:rsidRPr="00422C20">
        <w:rPr>
          <w:rFonts w:eastAsia="Times New Roman"/>
          <w:sz w:val="20"/>
          <w:szCs w:val="20"/>
          <w:bdr w:val="none" w:sz="0" w:space="0" w:color="auto"/>
        </w:rPr>
        <w:t>that the state of Argentina did not fulfill its obligation to adjust its legal system to guarantee special protection</w:t>
      </w:r>
      <w:r w:rsidR="00E53FC6" w:rsidRPr="00422C20">
        <w:rPr>
          <w:rFonts w:eastAsia="Times New Roman"/>
          <w:sz w:val="20"/>
          <w:szCs w:val="20"/>
          <w:bdr w:val="none" w:sz="0" w:space="0" w:color="auto"/>
        </w:rPr>
        <w:t xml:space="preserve"> </w:t>
      </w:r>
      <w:r w:rsidR="00C15E3F" w:rsidRPr="00422C20">
        <w:rPr>
          <w:rFonts w:eastAsia="Times New Roman"/>
          <w:sz w:val="20"/>
          <w:szCs w:val="20"/>
          <w:bdr w:val="none" w:sz="0" w:space="0" w:color="auto"/>
        </w:rPr>
        <w:t xml:space="preserve">to Diego Armando Pacheco </w:t>
      </w:r>
      <w:r w:rsidR="00E53FC6" w:rsidRPr="00422C20">
        <w:rPr>
          <w:rFonts w:eastAsia="Times New Roman"/>
          <w:sz w:val="20"/>
          <w:szCs w:val="20"/>
          <w:bdr w:val="none" w:sz="0" w:space="0" w:color="auto"/>
        </w:rPr>
        <w:t>as an adolescent in conflict with criminal law</w:t>
      </w:r>
      <w:r w:rsidR="00C7542C" w:rsidRPr="00422C20">
        <w:rPr>
          <w:rFonts w:eastAsia="Times New Roman"/>
          <w:sz w:val="20"/>
          <w:szCs w:val="20"/>
          <w:bdr w:val="none" w:sz="0" w:space="0" w:color="auto"/>
        </w:rPr>
        <w:t xml:space="preserve">. </w:t>
      </w:r>
      <w:r w:rsidRPr="00422C20">
        <w:rPr>
          <w:rFonts w:eastAsia="Times New Roman"/>
          <w:sz w:val="20"/>
          <w:szCs w:val="20"/>
          <w:bdr w:val="none" w:sz="0" w:space="0" w:color="auto"/>
        </w:rPr>
        <w:t xml:space="preserve">As a result, the Commission concludes that the state </w:t>
      </w:r>
      <w:r w:rsidR="00BB2849" w:rsidRPr="00422C20">
        <w:rPr>
          <w:rFonts w:eastAsia="Times New Roman"/>
          <w:sz w:val="20"/>
          <w:szCs w:val="20"/>
          <w:bdr w:val="none" w:sz="0" w:space="0" w:color="auto"/>
        </w:rPr>
        <w:t xml:space="preserve">is responsible for the violation of </w:t>
      </w:r>
      <w:r w:rsidRPr="00422C20">
        <w:rPr>
          <w:rFonts w:eastAsia="Times New Roman"/>
          <w:sz w:val="20"/>
          <w:szCs w:val="20"/>
          <w:bdr w:val="none" w:sz="0" w:space="0" w:color="auto"/>
        </w:rPr>
        <w:t>Article 19</w:t>
      </w:r>
      <w:r w:rsidR="00CB29AE" w:rsidRPr="00422C20">
        <w:rPr>
          <w:rFonts w:eastAsia="Times New Roman"/>
          <w:sz w:val="20"/>
          <w:szCs w:val="20"/>
          <w:bdr w:val="none" w:sz="0" w:space="0" w:color="auto"/>
        </w:rPr>
        <w:t xml:space="preserve"> of the American Convention,</w:t>
      </w:r>
      <w:r w:rsidRPr="00422C20">
        <w:rPr>
          <w:rFonts w:eastAsia="Times New Roman"/>
          <w:sz w:val="20"/>
          <w:szCs w:val="20"/>
          <w:bdr w:val="none" w:sz="0" w:space="0" w:color="auto"/>
        </w:rPr>
        <w:t xml:space="preserve"> in connection with Article 2 of the same treaty</w:t>
      </w:r>
      <w:r w:rsidR="00C7542C" w:rsidRPr="00422C20">
        <w:rPr>
          <w:rFonts w:eastAsia="Times New Roman"/>
          <w:sz w:val="20"/>
          <w:szCs w:val="20"/>
          <w:bdr w:val="none" w:sz="0" w:space="0" w:color="auto"/>
        </w:rPr>
        <w:t>.</w:t>
      </w:r>
    </w:p>
    <w:p w14:paraId="0C2063F1" w14:textId="77777777" w:rsidR="001B15D9" w:rsidRPr="00422C20" w:rsidRDefault="001B15D9" w:rsidP="001B15D9">
      <w:pPr>
        <w:pStyle w:val="parrafos"/>
        <w:tabs>
          <w:tab w:val="left" w:pos="426"/>
          <w:tab w:val="left" w:pos="1440"/>
        </w:tabs>
        <w:rPr>
          <w:lang w:val="en-US"/>
        </w:rPr>
      </w:pPr>
    </w:p>
    <w:p w14:paraId="51A6CA1D" w14:textId="3CAD7585" w:rsidR="001B15D9" w:rsidRPr="00422C20" w:rsidRDefault="001B15D9" w:rsidP="001B15D9">
      <w:pPr>
        <w:pStyle w:val="Heading1"/>
        <w:numPr>
          <w:ilvl w:val="0"/>
          <w:numId w:val="26"/>
        </w:numPr>
        <w:ind w:left="0" w:firstLine="0"/>
        <w:rPr>
          <w:color w:val="auto"/>
          <w:lang w:val="en-GB"/>
        </w:rPr>
      </w:pPr>
      <w:bookmarkStart w:id="41" w:name="_Toc195697608"/>
      <w:bookmarkStart w:id="42" w:name="_Toc203988500"/>
      <w:r w:rsidRPr="00422C20">
        <w:rPr>
          <w:lang w:val="en-US"/>
        </w:rPr>
        <w:t>PROCEEDINGS</w:t>
      </w:r>
      <w:r w:rsidRPr="00422C20">
        <w:rPr>
          <w:color w:val="auto"/>
          <w:lang w:val="en-GB"/>
        </w:rPr>
        <w:t xml:space="preserve"> SUBSEQUENT TO REPORT </w:t>
      </w:r>
      <w:r w:rsidR="00F3172A" w:rsidRPr="00422C20">
        <w:rPr>
          <w:color w:val="auto"/>
          <w:lang w:val="en-GB"/>
        </w:rPr>
        <w:t>138</w:t>
      </w:r>
      <w:r w:rsidRPr="00422C20">
        <w:rPr>
          <w:color w:val="auto"/>
          <w:lang w:val="en-GB"/>
        </w:rPr>
        <w:t xml:space="preserve">/21 AND </w:t>
      </w:r>
      <w:r w:rsidRPr="00422C20">
        <w:rPr>
          <w:rFonts w:eastAsia="Times New Roman" w:cs="Times New Roman"/>
          <w:color w:val="auto"/>
          <w:bdr w:val="none" w:sz="0" w:space="0" w:color="auto"/>
          <w:lang w:val="en-US"/>
        </w:rPr>
        <w:t>COMPLIANCE</w:t>
      </w:r>
      <w:r w:rsidRPr="00422C20">
        <w:rPr>
          <w:color w:val="auto"/>
          <w:lang w:val="en-GB"/>
        </w:rPr>
        <w:t xml:space="preserve"> INFORMATION</w:t>
      </w:r>
      <w:bookmarkEnd w:id="41"/>
      <w:bookmarkEnd w:id="42"/>
    </w:p>
    <w:p w14:paraId="06A48F9F" w14:textId="77777777" w:rsidR="001B15D9" w:rsidRPr="00422C20" w:rsidRDefault="001B15D9" w:rsidP="001B15D9">
      <w:pPr>
        <w:pStyle w:val="parrafos"/>
        <w:tabs>
          <w:tab w:val="left" w:pos="426"/>
          <w:tab w:val="left" w:pos="1440"/>
        </w:tabs>
        <w:rPr>
          <w:lang w:val="en-GB"/>
        </w:rPr>
      </w:pPr>
    </w:p>
    <w:p w14:paraId="722670B8" w14:textId="56299D2A" w:rsidR="001B15D9" w:rsidRPr="00422C20" w:rsidRDefault="001B15D9" w:rsidP="001B15D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22C20">
        <w:rPr>
          <w:rFonts w:eastAsia="Times New Roman"/>
          <w:sz w:val="20"/>
          <w:szCs w:val="20"/>
          <w:bdr w:val="none" w:sz="0" w:space="0" w:color="auto"/>
        </w:rPr>
        <w:t xml:space="preserve">The Commission adopted Merits Report No. </w:t>
      </w:r>
      <w:r w:rsidR="00F3172A" w:rsidRPr="00422C20">
        <w:rPr>
          <w:rFonts w:eastAsia="Times New Roman"/>
          <w:sz w:val="20"/>
          <w:szCs w:val="20"/>
          <w:bdr w:val="none" w:sz="0" w:space="0" w:color="auto"/>
        </w:rPr>
        <w:t>138</w:t>
      </w:r>
      <w:r w:rsidRPr="00422C20">
        <w:rPr>
          <w:rFonts w:eastAsia="Times New Roman"/>
          <w:sz w:val="20"/>
          <w:szCs w:val="20"/>
          <w:bdr w:val="none" w:sz="0" w:space="0" w:color="auto"/>
        </w:rPr>
        <w:t xml:space="preserve">/21 on </w:t>
      </w:r>
      <w:r w:rsidR="00F3172A" w:rsidRPr="00422C20">
        <w:rPr>
          <w:rFonts w:eastAsia="Times New Roman"/>
          <w:sz w:val="20"/>
          <w:szCs w:val="20"/>
          <w:bdr w:val="none" w:sz="0" w:space="0" w:color="auto"/>
        </w:rPr>
        <w:t>June</w:t>
      </w:r>
      <w:r w:rsidRPr="00422C20">
        <w:rPr>
          <w:rFonts w:eastAsia="Times New Roman"/>
          <w:sz w:val="20"/>
          <w:szCs w:val="20"/>
          <w:bdr w:val="none" w:sz="0" w:space="0" w:color="auto"/>
        </w:rPr>
        <w:t xml:space="preserve"> 2</w:t>
      </w:r>
      <w:r w:rsidR="00F3172A" w:rsidRPr="00422C20">
        <w:rPr>
          <w:rFonts w:eastAsia="Times New Roman"/>
          <w:sz w:val="20"/>
          <w:szCs w:val="20"/>
          <w:bdr w:val="none" w:sz="0" w:space="0" w:color="auto"/>
        </w:rPr>
        <w:t>8</w:t>
      </w:r>
      <w:r w:rsidRPr="00422C20">
        <w:rPr>
          <w:rFonts w:eastAsia="Times New Roman"/>
          <w:sz w:val="20"/>
          <w:szCs w:val="20"/>
          <w:bdr w:val="none" w:sz="0" w:space="0" w:color="auto"/>
        </w:rPr>
        <w:t xml:space="preserve">, 2021, comprising paragraphs 1 to </w:t>
      </w:r>
      <w:r w:rsidR="00F3172A" w:rsidRPr="00422C20">
        <w:rPr>
          <w:rFonts w:eastAsia="Times New Roman"/>
          <w:sz w:val="20"/>
          <w:szCs w:val="20"/>
          <w:bdr w:val="none" w:sz="0" w:space="0" w:color="auto"/>
        </w:rPr>
        <w:t>10</w:t>
      </w:r>
      <w:r w:rsidR="006750A7" w:rsidRPr="00422C20">
        <w:rPr>
          <w:rFonts w:eastAsia="Times New Roman"/>
          <w:sz w:val="20"/>
          <w:szCs w:val="20"/>
          <w:bdr w:val="none" w:sz="0" w:space="0" w:color="auto"/>
        </w:rPr>
        <w:t>5</w:t>
      </w:r>
      <w:r w:rsidRPr="00422C20">
        <w:rPr>
          <w:rFonts w:eastAsia="Times New Roman"/>
          <w:sz w:val="20"/>
          <w:szCs w:val="20"/>
          <w:bdr w:val="none" w:sz="0" w:space="0" w:color="auto"/>
        </w:rPr>
        <w:t xml:space="preserve"> above, and transmitted it to the State on </w:t>
      </w:r>
      <w:r w:rsidR="00147D99" w:rsidRPr="00422C20">
        <w:rPr>
          <w:rFonts w:eastAsia="Times New Roman"/>
          <w:sz w:val="20"/>
          <w:szCs w:val="20"/>
          <w:bdr w:val="none" w:sz="0" w:space="0" w:color="auto"/>
        </w:rPr>
        <w:t xml:space="preserve">August 27 </w:t>
      </w:r>
      <w:r w:rsidRPr="00422C20">
        <w:rPr>
          <w:rFonts w:eastAsia="Times New Roman"/>
          <w:sz w:val="20"/>
          <w:szCs w:val="20"/>
          <w:bdr w:val="none" w:sz="0" w:space="0" w:color="auto"/>
        </w:rPr>
        <w:t>of the same year. In this report the Commission recommended:</w:t>
      </w:r>
    </w:p>
    <w:p w14:paraId="133B7BF1" w14:textId="77777777" w:rsidR="002868CF" w:rsidRPr="00422C20" w:rsidRDefault="002868CF" w:rsidP="002868CF">
      <w:pPr>
        <w:pStyle w:val="ListParagraph"/>
        <w:jc w:val="both"/>
        <w:rPr>
          <w:rFonts w:cs="Arial"/>
          <w:b/>
          <w:sz w:val="20"/>
          <w:szCs w:val="20"/>
          <w:shd w:val="clear" w:color="auto" w:fill="FCFCFC"/>
        </w:rPr>
      </w:pPr>
    </w:p>
    <w:p w14:paraId="6C0E869E" w14:textId="77777777" w:rsidR="002868CF" w:rsidRPr="00422C20" w:rsidRDefault="002868CF" w:rsidP="002868CF">
      <w:pPr>
        <w:pStyle w:val="Default"/>
        <w:jc w:val="both"/>
        <w:rPr>
          <w:sz w:val="20"/>
          <w:szCs w:val="20"/>
          <w:lang w:val="en-US"/>
        </w:rPr>
      </w:pPr>
      <w:r w:rsidRPr="00422C20">
        <w:rPr>
          <w:sz w:val="20"/>
          <w:szCs w:val="20"/>
          <w:lang w:val="en-US"/>
        </w:rPr>
        <w:t xml:space="preserve">1. To provide comprehensive reparations, both material and intangible, for the violations of human rights as stated in the present report. </w:t>
      </w:r>
    </w:p>
    <w:p w14:paraId="044F52D7" w14:textId="77777777" w:rsidR="002868CF" w:rsidRPr="00422C20" w:rsidRDefault="002868CF" w:rsidP="002868CF">
      <w:pPr>
        <w:pStyle w:val="Default"/>
        <w:jc w:val="both"/>
        <w:rPr>
          <w:sz w:val="20"/>
          <w:szCs w:val="20"/>
          <w:lang w:val="en-US"/>
        </w:rPr>
      </w:pPr>
    </w:p>
    <w:p w14:paraId="7229A3E5" w14:textId="77777777" w:rsidR="002868CF" w:rsidRPr="00422C20" w:rsidRDefault="002868CF" w:rsidP="002868CF">
      <w:pPr>
        <w:pStyle w:val="Default"/>
        <w:jc w:val="both"/>
        <w:rPr>
          <w:sz w:val="20"/>
          <w:szCs w:val="20"/>
          <w:lang w:val="en-US"/>
        </w:rPr>
      </w:pPr>
      <w:r w:rsidRPr="00422C20">
        <w:rPr>
          <w:sz w:val="20"/>
          <w:szCs w:val="20"/>
          <w:lang w:val="en-US"/>
        </w:rPr>
        <w:t xml:space="preserve">2. To order the necessary measures so that Diego Armando Pacheco can have access to a criminal proceeding with due judicial guarantees. In particular, to provide necessary measures so that Diego Armando Pacheco, if he so wishes, can file an appeal whereby a full review of the judgment can be conducted in compliance with Article 8(2)(h) of the American Convention. </w:t>
      </w:r>
    </w:p>
    <w:p w14:paraId="42818552" w14:textId="77777777" w:rsidR="002868CF" w:rsidRPr="00422C20" w:rsidRDefault="002868CF" w:rsidP="002868CF">
      <w:pPr>
        <w:pStyle w:val="Default"/>
        <w:jc w:val="both"/>
        <w:rPr>
          <w:sz w:val="20"/>
          <w:szCs w:val="20"/>
          <w:lang w:val="en-US"/>
        </w:rPr>
      </w:pPr>
    </w:p>
    <w:p w14:paraId="7DE481D0" w14:textId="77777777" w:rsidR="002868CF" w:rsidRPr="00422C20" w:rsidRDefault="002868CF" w:rsidP="002868CF">
      <w:pPr>
        <w:pStyle w:val="Default"/>
        <w:jc w:val="both"/>
        <w:rPr>
          <w:sz w:val="20"/>
          <w:szCs w:val="20"/>
          <w:lang w:val="en-US"/>
        </w:rPr>
      </w:pPr>
      <w:r w:rsidRPr="00422C20">
        <w:rPr>
          <w:sz w:val="20"/>
          <w:szCs w:val="20"/>
          <w:lang w:val="en-US"/>
        </w:rPr>
        <w:t xml:space="preserve">3. To undertake the necessary statutory reforms in order to ensure that adolescents between 16 and 18 years of age in conflict with criminal law can be judged in proceedings that are differentiated from those for adults, abiding by the principles that govern the guarantees for the rights of the child, in line with their best interests </w:t>
      </w:r>
      <w:r w:rsidRPr="00422C20">
        <w:rPr>
          <w:sz w:val="20"/>
          <w:szCs w:val="20"/>
          <w:lang w:val="en-US"/>
        </w:rPr>
        <w:lastRenderedPageBreak/>
        <w:t xml:space="preserve">and the principle of proportionality of the penalty, legality, exceptionality, and specialization for meting out punishments.  </w:t>
      </w:r>
    </w:p>
    <w:p w14:paraId="7014F4E2" w14:textId="77777777" w:rsidR="00696B84" w:rsidRPr="00422C20" w:rsidRDefault="00696B84" w:rsidP="002868C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44F2015A" w14:textId="35ED6C6D" w:rsidR="007208A6" w:rsidRPr="00422C20" w:rsidRDefault="007208A6" w:rsidP="00227D7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22C20">
        <w:rPr>
          <w:rFonts w:eastAsia="Times New Roman"/>
          <w:sz w:val="20"/>
          <w:szCs w:val="20"/>
          <w:bdr w:val="none" w:sz="0" w:space="0" w:color="auto"/>
        </w:rPr>
        <w:t>The Commission received reports from the State on compliance with the established recommendations and observations from the petitioner.</w:t>
      </w:r>
      <w:r w:rsidR="00603B29" w:rsidRPr="00422C20">
        <w:rPr>
          <w:rFonts w:eastAsia="Times New Roman"/>
          <w:sz w:val="20"/>
          <w:szCs w:val="20"/>
        </w:rPr>
        <w:t xml:space="preserve"> </w:t>
      </w:r>
      <w:r w:rsidRPr="00422C20">
        <w:rPr>
          <w:rFonts w:eastAsia="Times New Roman"/>
          <w:sz w:val="20"/>
          <w:szCs w:val="20"/>
          <w:bdr w:val="none" w:sz="0" w:space="0" w:color="auto"/>
        </w:rPr>
        <w:t>During this period, the Commission granted seven extensions to the State for the suspension of the time period provided for in Article 51 of the American Convention. Likewise, the State reiterated its willingness to comply with the recommendations and expressly waived its right to file preliminary objections with respect to compliance with the deadline established in the aforementioned Article, in accordance with the provisions of Article 46 of the Commission's Rules of Procedure.</w:t>
      </w:r>
    </w:p>
    <w:p w14:paraId="132AC512" w14:textId="77777777" w:rsidR="007208A6" w:rsidRPr="00422C20" w:rsidRDefault="007208A6" w:rsidP="00E85B8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631FB9FD" w14:textId="3FC9F7CD" w:rsidR="00E82EC2" w:rsidRPr="00422C20" w:rsidRDefault="007208A6" w:rsidP="00E82EC2">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22C20">
        <w:rPr>
          <w:rFonts w:eastAsia="Times New Roman"/>
          <w:sz w:val="20"/>
          <w:szCs w:val="20"/>
          <w:bdr w:val="none" w:sz="0" w:space="0" w:color="auto"/>
        </w:rPr>
        <w:t>The Commission takes note that on August 9, 2022, the parties signed an “Agreement on Compliance with Recommendations” whereby the State undertakes to adopt the following measures:</w:t>
      </w:r>
    </w:p>
    <w:p w14:paraId="730E1D47" w14:textId="77777777" w:rsidR="00213E9B" w:rsidRPr="00422C20" w:rsidRDefault="00213E9B" w:rsidP="00213E9B">
      <w:pPr>
        <w:tabs>
          <w:tab w:val="left" w:pos="567"/>
        </w:tabs>
        <w:jc w:val="both"/>
        <w:rPr>
          <w:sz w:val="20"/>
          <w:szCs w:val="20"/>
        </w:rPr>
      </w:pPr>
    </w:p>
    <w:p w14:paraId="7F863263" w14:textId="77777777" w:rsidR="00213E9B" w:rsidRPr="00422C20" w:rsidRDefault="00213E9B" w:rsidP="00AB4518">
      <w:pPr>
        <w:tabs>
          <w:tab w:val="left" w:pos="567"/>
        </w:tabs>
        <w:ind w:left="567"/>
        <w:jc w:val="both"/>
        <w:rPr>
          <w:sz w:val="20"/>
          <w:szCs w:val="20"/>
        </w:rPr>
      </w:pPr>
      <w:r w:rsidRPr="00422C20">
        <w:rPr>
          <w:sz w:val="20"/>
          <w:szCs w:val="20"/>
        </w:rPr>
        <w:t>1. To publish this agreement in the “Official Gazette of the Argentine Republic”. Likewise, a gazette shall be published in a local newspaper of wide circulation within the Province of Chubut and in a newspaper of national circulation; the content of this publication shall be consulted between the parties.</w:t>
      </w:r>
    </w:p>
    <w:p w14:paraId="5A47FB12" w14:textId="77777777" w:rsidR="00213E9B" w:rsidRPr="00422C20" w:rsidRDefault="00213E9B" w:rsidP="00AB4518">
      <w:pPr>
        <w:tabs>
          <w:tab w:val="left" w:pos="567"/>
        </w:tabs>
        <w:ind w:left="567"/>
        <w:jc w:val="both"/>
        <w:rPr>
          <w:sz w:val="20"/>
          <w:szCs w:val="20"/>
        </w:rPr>
      </w:pPr>
    </w:p>
    <w:p w14:paraId="64B2F79F" w14:textId="1677CC2A" w:rsidR="00E82EC2" w:rsidRPr="00422C20" w:rsidRDefault="00213E9B" w:rsidP="00AB4518">
      <w:pPr>
        <w:tabs>
          <w:tab w:val="left" w:pos="567"/>
        </w:tabs>
        <w:ind w:left="567"/>
        <w:jc w:val="both"/>
        <w:rPr>
          <w:sz w:val="20"/>
          <w:szCs w:val="20"/>
        </w:rPr>
      </w:pPr>
      <w:r w:rsidRPr="00422C20">
        <w:rPr>
          <w:sz w:val="20"/>
          <w:szCs w:val="20"/>
        </w:rPr>
        <w:t>2.</w:t>
      </w:r>
      <w:r w:rsidRPr="00422C20">
        <w:rPr>
          <w:sz w:val="20"/>
          <w:szCs w:val="20"/>
        </w:rPr>
        <w:tab/>
        <w:t>With regard to the second recommendation, the petitioner stated that it was not the young man's intention to submit his case to the courts again, since it would be revictimizing. On the other hand, it was requested that the means be taken to ensure that there is no criminal record of any kind, either at the local or national level, in connection with the case that gave rise to the petition before the Commission. The State indicated that as of February 16, 2022, Diego Armando Pacheco has no criminal record. As for the records in the provincial sphere, the petitioner filed the request with the Provincial Registry of Criminal Records, since it was to be submitted by the young man's defense; and according to information provided by the defense itself, the petitioner does not currently have a record in the provincial sphere.</w:t>
      </w:r>
    </w:p>
    <w:p w14:paraId="5DACA063" w14:textId="77777777" w:rsidR="005305E0" w:rsidRPr="00422C20" w:rsidRDefault="005305E0" w:rsidP="00AB4518">
      <w:pPr>
        <w:tabs>
          <w:tab w:val="left" w:pos="567"/>
        </w:tabs>
        <w:ind w:left="567"/>
        <w:jc w:val="both"/>
        <w:rPr>
          <w:sz w:val="20"/>
          <w:szCs w:val="20"/>
        </w:rPr>
      </w:pPr>
    </w:p>
    <w:p w14:paraId="2F52D8EE" w14:textId="77777777" w:rsidR="005305E0" w:rsidRPr="00422C20" w:rsidRDefault="005305E0" w:rsidP="00AB4518">
      <w:pPr>
        <w:tabs>
          <w:tab w:val="left" w:pos="567"/>
        </w:tabs>
        <w:ind w:left="567"/>
        <w:jc w:val="both"/>
        <w:rPr>
          <w:sz w:val="20"/>
          <w:szCs w:val="20"/>
        </w:rPr>
      </w:pPr>
      <w:r w:rsidRPr="00422C20">
        <w:rPr>
          <w:sz w:val="20"/>
          <w:szCs w:val="20"/>
        </w:rPr>
        <w:t>3.</w:t>
      </w:r>
      <w:r w:rsidRPr="00422C20">
        <w:rPr>
          <w:sz w:val="20"/>
          <w:szCs w:val="20"/>
        </w:rPr>
        <w:tab/>
        <w:t xml:space="preserve">With regard to the third recommendation, the State indicated that since 2005, the new Criminal Procedure Code of the Province of Chubut (Law XV No. 9) has been in force, which provides, in Book V, the special rules for children and adolescents, which establish the characteristics of the differentiated process for minors. Therefore, the parties agree that this point does not need to be the subject of an agreement on compliance with recommendations. </w:t>
      </w:r>
    </w:p>
    <w:p w14:paraId="1858FF86" w14:textId="77777777" w:rsidR="005305E0" w:rsidRPr="00422C20" w:rsidRDefault="005305E0" w:rsidP="00AB4518">
      <w:pPr>
        <w:tabs>
          <w:tab w:val="left" w:pos="567"/>
        </w:tabs>
        <w:ind w:left="567"/>
        <w:jc w:val="both"/>
        <w:rPr>
          <w:sz w:val="20"/>
          <w:szCs w:val="20"/>
        </w:rPr>
      </w:pPr>
    </w:p>
    <w:p w14:paraId="16468F8E" w14:textId="5DD71983" w:rsidR="00084034" w:rsidRPr="00422C20" w:rsidRDefault="005305E0" w:rsidP="00AB4518">
      <w:pPr>
        <w:tabs>
          <w:tab w:val="left" w:pos="567"/>
        </w:tabs>
        <w:ind w:left="567"/>
        <w:jc w:val="both"/>
        <w:rPr>
          <w:sz w:val="20"/>
          <w:szCs w:val="20"/>
        </w:rPr>
      </w:pPr>
      <w:r w:rsidRPr="00422C20">
        <w:rPr>
          <w:sz w:val="20"/>
          <w:szCs w:val="20"/>
        </w:rPr>
        <w:t>4.</w:t>
      </w:r>
      <w:r w:rsidRPr="00422C20">
        <w:rPr>
          <w:sz w:val="20"/>
          <w:szCs w:val="20"/>
        </w:rPr>
        <w:tab/>
        <w:t>In relation to the pecuniary reparation, the parties agree to constitute an ad-hoc Arbitral Tribunal for the purpose of determining the amount of pecuniary reparations due to the petitioner, as well as the costs of the proceeding, both in the international proceeding and in the arbitration proceeding. The tribunal shall be composed of three independent experts, one appointed at the proposal of the petitioning party, another at the proposal of the State, and the third at the proposal of the two previous ones.  As long as the parties have not objected to the proposed experts, the Tribunal shall be constituted no later than 45 calendar days following the publication of the Decree of the National Executive Branch approving this agreement. The procedure to be applied shall be defined by mutual agreement between the parties, who shall draw up their rules of procedure, and the costs of the tribunal shall be borne by the State.</w:t>
      </w:r>
      <w:r w:rsidR="00084034" w:rsidRPr="00422C20">
        <w:t xml:space="preserve"> </w:t>
      </w:r>
      <w:r w:rsidR="00084034" w:rsidRPr="00422C20">
        <w:rPr>
          <w:sz w:val="20"/>
          <w:szCs w:val="20"/>
        </w:rPr>
        <w:t>Likewise, the award shall be final and not subject to appeal, unless any of the grounds for nullity set forth in Article 760 of the Code of Civil and Commercial Procedure of the Nation are verified, in which case an appeal for nullity shall be filed before the Federal Administrative Court.</w:t>
      </w:r>
    </w:p>
    <w:p w14:paraId="2BFDE958" w14:textId="77777777" w:rsidR="00084034" w:rsidRPr="00422C20" w:rsidRDefault="00084034" w:rsidP="00084034">
      <w:pPr>
        <w:tabs>
          <w:tab w:val="left" w:pos="567"/>
        </w:tabs>
        <w:jc w:val="both"/>
        <w:rPr>
          <w:sz w:val="20"/>
          <w:szCs w:val="20"/>
        </w:rPr>
      </w:pPr>
    </w:p>
    <w:p w14:paraId="46ED95A2" w14:textId="2C778358" w:rsidR="00084034" w:rsidRPr="00422C20" w:rsidRDefault="00084034" w:rsidP="00786ED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rPr>
      </w:pPr>
      <w:r w:rsidRPr="00422C20">
        <w:rPr>
          <w:sz w:val="20"/>
          <w:szCs w:val="20"/>
        </w:rPr>
        <w:t xml:space="preserve">On July 24, 2023, Decree No. 388 approved the agreement of compliance with the recommendations entered into on August 9, 2022, which was published in the Official Gazette on July 25, 2023.  </w:t>
      </w:r>
    </w:p>
    <w:p w14:paraId="23923854" w14:textId="77777777" w:rsidR="00084034" w:rsidRPr="00422C20" w:rsidRDefault="00084034" w:rsidP="00084034">
      <w:pPr>
        <w:tabs>
          <w:tab w:val="left" w:pos="567"/>
        </w:tabs>
        <w:jc w:val="both"/>
        <w:rPr>
          <w:sz w:val="20"/>
          <w:szCs w:val="20"/>
        </w:rPr>
      </w:pPr>
    </w:p>
    <w:p w14:paraId="7153672F" w14:textId="4FA595A8" w:rsidR="005305E0" w:rsidRPr="00422C20" w:rsidRDefault="00084034" w:rsidP="00786ED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rPr>
      </w:pPr>
      <w:r w:rsidRPr="00422C20">
        <w:rPr>
          <w:sz w:val="20"/>
          <w:szCs w:val="20"/>
        </w:rPr>
        <w:t>After evaluating the available information on the status of compliance with the recommendations, the Commission decided on August 17, 2023 not to send the case to the Inter-American Court and to proceed with the publication of the merits report as established in Articles 51 of the American Convention and 47 of the Rules of Procedure of the IACHR.</w:t>
      </w:r>
    </w:p>
    <w:p w14:paraId="6D09394C" w14:textId="77777777" w:rsidR="004159AF" w:rsidRPr="00422C20" w:rsidRDefault="004159AF" w:rsidP="00084034">
      <w:pPr>
        <w:tabs>
          <w:tab w:val="left" w:pos="567"/>
        </w:tabs>
        <w:jc w:val="both"/>
        <w:rPr>
          <w:rFonts w:ascii="Cambria" w:hAnsi="Cambria"/>
          <w:sz w:val="20"/>
          <w:szCs w:val="20"/>
        </w:rPr>
      </w:pPr>
    </w:p>
    <w:p w14:paraId="42321B74" w14:textId="77777777" w:rsidR="00F01776" w:rsidRPr="00422C20" w:rsidRDefault="00F01776" w:rsidP="00786ED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rPr>
      </w:pPr>
      <w:r w:rsidRPr="00422C20">
        <w:rPr>
          <w:sz w:val="20"/>
          <w:szCs w:val="20"/>
        </w:rPr>
        <w:t>The Commission informed the parties that:</w:t>
      </w:r>
    </w:p>
    <w:p w14:paraId="1753FDA5" w14:textId="77777777" w:rsidR="00F01776" w:rsidRPr="00422C20" w:rsidRDefault="00F01776" w:rsidP="00F01776">
      <w:pPr>
        <w:tabs>
          <w:tab w:val="left" w:pos="567"/>
        </w:tabs>
        <w:jc w:val="both"/>
        <w:rPr>
          <w:rFonts w:ascii="Cambria" w:hAnsi="Cambria"/>
          <w:sz w:val="20"/>
          <w:szCs w:val="20"/>
        </w:rPr>
      </w:pPr>
    </w:p>
    <w:p w14:paraId="6C4C7D2C" w14:textId="0C3667E1" w:rsidR="00E82EC2" w:rsidRPr="00422C20" w:rsidRDefault="00F01776" w:rsidP="00852C12">
      <w:pPr>
        <w:tabs>
          <w:tab w:val="left" w:pos="567"/>
        </w:tabs>
        <w:ind w:left="567" w:right="720"/>
        <w:jc w:val="both"/>
        <w:rPr>
          <w:rFonts w:ascii="Cambria" w:hAnsi="Cambria"/>
          <w:sz w:val="18"/>
          <w:szCs w:val="18"/>
        </w:rPr>
      </w:pPr>
      <w:r w:rsidRPr="00422C20">
        <w:rPr>
          <w:rFonts w:ascii="Cambria" w:hAnsi="Cambria"/>
          <w:sz w:val="18"/>
          <w:szCs w:val="18"/>
        </w:rPr>
        <w:lastRenderedPageBreak/>
        <w:t>In examining the case, the Commission evaluated the substantive progress in the integral compliance with the recommendations of the Merits Report. In particular, the Commission noted that the parties signed a compliance agreement in which it was agreed to constitute an Arbitral Tribunal for the purpose of determining the amount of pecuniary reparations. The Commission also noted that the agreement establishes that it must be approved by a Decree of the National Executive Branch and immediately published in the Official Gazette of the Argentine Republic, after which, as agreed by the parties, the Ministry of Foreign Affairs, International Trade and Worship would request the IACHR to adopt the report contemplated in Article 51 of the American Convention. In this regard, the Commission noted that on July 24, 2023, the Presidential Decree approving the agreement was published in the Official Gazette and that on August 2 of the current year, the State made the request to proceed with the adoption of the report contemplated in Article 51 of the Convention. Said request was forwarded to the petitioning party and no observations were received during the period granted.</w:t>
      </w:r>
    </w:p>
    <w:p w14:paraId="288263FB" w14:textId="77777777" w:rsidR="00F01776" w:rsidRPr="00422C20" w:rsidRDefault="00F01776" w:rsidP="00F01776">
      <w:pPr>
        <w:tabs>
          <w:tab w:val="left" w:pos="567"/>
        </w:tabs>
        <w:jc w:val="both"/>
        <w:rPr>
          <w:rFonts w:ascii="Cambria" w:hAnsi="Cambria"/>
          <w:sz w:val="20"/>
          <w:szCs w:val="20"/>
        </w:rPr>
      </w:pPr>
    </w:p>
    <w:p w14:paraId="7B78777A" w14:textId="5F025C65" w:rsidR="00786ED0" w:rsidRPr="00422C20" w:rsidRDefault="00786ED0" w:rsidP="00786ED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rPr>
      </w:pPr>
      <w:r w:rsidRPr="00422C20">
        <w:rPr>
          <w:sz w:val="20"/>
          <w:szCs w:val="20"/>
        </w:rPr>
        <w:t xml:space="preserve">On November 15, 2023, the State indicated that the text of </w:t>
      </w:r>
      <w:r w:rsidR="00852C12" w:rsidRPr="00422C20">
        <w:rPr>
          <w:sz w:val="20"/>
          <w:szCs w:val="20"/>
        </w:rPr>
        <w:t>T</w:t>
      </w:r>
      <w:r w:rsidRPr="00422C20">
        <w:rPr>
          <w:sz w:val="20"/>
          <w:szCs w:val="20"/>
        </w:rPr>
        <w:t xml:space="preserve">he </w:t>
      </w:r>
      <w:r w:rsidR="00852C12" w:rsidRPr="00422C20">
        <w:rPr>
          <w:sz w:val="20"/>
          <w:szCs w:val="20"/>
        </w:rPr>
        <w:t>G</w:t>
      </w:r>
      <w:r w:rsidRPr="00422C20">
        <w:rPr>
          <w:sz w:val="20"/>
          <w:szCs w:val="20"/>
        </w:rPr>
        <w:t>azette for dissemination of the agreement on compliance with the recommendations was sent to the petitioner for consideration.</w:t>
      </w:r>
    </w:p>
    <w:p w14:paraId="578C7DD4" w14:textId="77777777" w:rsidR="00786ED0" w:rsidRPr="00422C20" w:rsidRDefault="00786ED0" w:rsidP="00786ED0">
      <w:pPr>
        <w:tabs>
          <w:tab w:val="left" w:pos="567"/>
        </w:tabs>
        <w:jc w:val="both"/>
        <w:rPr>
          <w:rFonts w:ascii="Cambria" w:hAnsi="Cambria"/>
          <w:sz w:val="20"/>
          <w:szCs w:val="20"/>
        </w:rPr>
      </w:pPr>
    </w:p>
    <w:p w14:paraId="43C40741" w14:textId="23542833" w:rsidR="00786ED0" w:rsidRPr="00422C20" w:rsidRDefault="00786ED0" w:rsidP="00786ED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sz w:val="20"/>
          <w:szCs w:val="20"/>
        </w:rPr>
      </w:pPr>
      <w:r w:rsidRPr="00422C20">
        <w:rPr>
          <w:sz w:val="20"/>
          <w:szCs w:val="20"/>
        </w:rPr>
        <w:t xml:space="preserve">On December 6, 2023, the State sent attachments of the publication of the summary agreed upon with the Office of the Public Defender of the Province of Chubut, in the national newspaper </w:t>
      </w:r>
      <w:r w:rsidRPr="00422C20">
        <w:rPr>
          <w:i/>
          <w:iCs/>
          <w:sz w:val="20"/>
          <w:szCs w:val="20"/>
        </w:rPr>
        <w:t>Página 12</w:t>
      </w:r>
      <w:r w:rsidRPr="00422C20">
        <w:rPr>
          <w:sz w:val="20"/>
          <w:szCs w:val="20"/>
        </w:rPr>
        <w:t xml:space="preserve"> and in the newspaper </w:t>
      </w:r>
      <w:r w:rsidRPr="00422C20">
        <w:rPr>
          <w:i/>
          <w:iCs/>
          <w:sz w:val="20"/>
          <w:szCs w:val="20"/>
        </w:rPr>
        <w:t>Crónica de la Provincia de Chubut</w:t>
      </w:r>
      <w:r w:rsidRPr="00422C20">
        <w:rPr>
          <w:sz w:val="20"/>
          <w:szCs w:val="20"/>
        </w:rPr>
        <w:t>, of November 30, 2023.</w:t>
      </w:r>
    </w:p>
    <w:p w14:paraId="52572F44" w14:textId="77777777" w:rsidR="00786ED0" w:rsidRPr="00422C20" w:rsidRDefault="00786ED0" w:rsidP="00786ED0">
      <w:pPr>
        <w:tabs>
          <w:tab w:val="left" w:pos="567"/>
        </w:tabs>
        <w:jc w:val="both"/>
        <w:rPr>
          <w:rFonts w:ascii="Cambria" w:hAnsi="Cambria"/>
          <w:sz w:val="20"/>
          <w:szCs w:val="20"/>
        </w:rPr>
      </w:pPr>
    </w:p>
    <w:p w14:paraId="23A48FAA" w14:textId="434451DE" w:rsidR="00F01776" w:rsidRPr="00422C20" w:rsidRDefault="00786ED0" w:rsidP="00786ED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22C20">
        <w:rPr>
          <w:sz w:val="20"/>
          <w:szCs w:val="20"/>
        </w:rPr>
        <w:t>The IACHR appreciates the measures adopted by the State to reach an agreement with the petitioner to comply with the recommendations. The State reported on compliance with said agreement on the three points indicated in paragraph 108, paragraphs 1, 2 and 3 above. In view of this, both parties requested the IACHR, through the Ministry of Foreign Affairs, International Trade and Worship, to issue the final merits report in accordance with Article 51 of the American Convention, at which time the agreement will acquire full legal force.</w:t>
      </w:r>
    </w:p>
    <w:p w14:paraId="3101473A" w14:textId="77777777" w:rsidR="00786ED0" w:rsidRPr="00422C20" w:rsidRDefault="00786ED0" w:rsidP="00786ED0">
      <w:pPr>
        <w:pStyle w:val="ListParagraph"/>
        <w:rPr>
          <w:rFonts w:eastAsia="Times New Roman"/>
          <w:sz w:val="20"/>
          <w:szCs w:val="20"/>
          <w:bdr w:val="none" w:sz="0" w:space="0" w:color="auto"/>
        </w:rPr>
      </w:pPr>
    </w:p>
    <w:p w14:paraId="095AA337" w14:textId="521AA823" w:rsidR="0064332C" w:rsidRPr="00422C20" w:rsidRDefault="0064332C" w:rsidP="0064332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422C20">
        <w:rPr>
          <w:rFonts w:eastAsia="Times New Roman"/>
          <w:sz w:val="20"/>
          <w:szCs w:val="20"/>
          <w:bdr w:val="none" w:sz="0" w:space="0" w:color="auto"/>
        </w:rPr>
        <w:tab/>
        <w:t xml:space="preserve">In relation to the first recommendation, without prejudice to compliance with the publications agreed upon in the Compliance Agreement (paragraph 108, paragraph 1 above), the Commission has not received information on the composition of the arbitration </w:t>
      </w:r>
      <w:r w:rsidR="00852C12" w:rsidRPr="00422C20">
        <w:rPr>
          <w:rFonts w:eastAsia="Times New Roman"/>
          <w:sz w:val="20"/>
          <w:szCs w:val="20"/>
          <w:bdr w:val="none" w:sz="0" w:space="0" w:color="auto"/>
        </w:rPr>
        <w:t>tribunal,</w:t>
      </w:r>
      <w:r w:rsidRPr="00422C20">
        <w:rPr>
          <w:rFonts w:eastAsia="Times New Roman"/>
          <w:sz w:val="20"/>
          <w:szCs w:val="20"/>
          <w:bdr w:val="none" w:sz="0" w:space="0" w:color="auto"/>
        </w:rPr>
        <w:t xml:space="preserve"> or the award adopted on the amount of the pecuniary reparations, nor the payment thereof. Therefore, the State has partially complied with this reparation.</w:t>
      </w:r>
    </w:p>
    <w:p w14:paraId="75342335" w14:textId="77777777" w:rsidR="0064332C" w:rsidRPr="00422C20" w:rsidRDefault="0064332C" w:rsidP="0064332C">
      <w:pPr>
        <w:pStyle w:val="ListParagraph"/>
        <w:tabs>
          <w:tab w:val="left" w:pos="567"/>
        </w:tabs>
        <w:jc w:val="both"/>
        <w:rPr>
          <w:rFonts w:eastAsia="Times New Roman"/>
          <w:sz w:val="20"/>
          <w:szCs w:val="20"/>
          <w:bdr w:val="none" w:sz="0" w:space="0" w:color="auto"/>
        </w:rPr>
      </w:pPr>
    </w:p>
    <w:p w14:paraId="035D653B" w14:textId="1B208882" w:rsidR="00786ED0" w:rsidRPr="00B20414" w:rsidRDefault="0064332C" w:rsidP="0064332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B20414">
        <w:rPr>
          <w:rFonts w:eastAsia="Times New Roman"/>
          <w:sz w:val="20"/>
          <w:szCs w:val="20"/>
          <w:bdr w:val="none" w:sz="0" w:space="0" w:color="auto"/>
        </w:rPr>
        <w:t>With regard to the second recommendation, the Commission notes that the victim does not wish to resubmit her case to the courts, since this would result in revictimization. It also notes that in response to his request that the means be taken to ensure that there is no criminal record of any kind, either at the local or national level, in connection with the case, the State informed that Diego Armando Pacheco has no criminal record at the local or national level. In view of this, the Commission considers that the State does not need to promote other actions aimed at complying with this recommendation. Consequently, in view of the request of the parties and taking into account the nature of the violation, in the circumstances of this case, this recommendation will not be followed up.</w:t>
      </w:r>
    </w:p>
    <w:p w14:paraId="217BCEB0" w14:textId="77777777" w:rsidR="0064332C" w:rsidRPr="00B20414" w:rsidRDefault="0064332C" w:rsidP="0064332C">
      <w:pPr>
        <w:pStyle w:val="ListParagraph"/>
        <w:rPr>
          <w:rFonts w:eastAsia="Times New Roman"/>
          <w:sz w:val="20"/>
          <w:szCs w:val="20"/>
          <w:bdr w:val="none" w:sz="0" w:space="0" w:color="auto"/>
        </w:rPr>
      </w:pPr>
    </w:p>
    <w:p w14:paraId="05296E5E" w14:textId="7FE2E7B1" w:rsidR="0064332C" w:rsidRPr="00B20414" w:rsidRDefault="00064EE9" w:rsidP="0064332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rPr>
          <w:rFonts w:eastAsia="Times New Roman"/>
          <w:sz w:val="20"/>
          <w:szCs w:val="20"/>
          <w:bdr w:val="none" w:sz="0" w:space="0" w:color="auto"/>
        </w:rPr>
      </w:pPr>
      <w:r w:rsidRPr="00B20414">
        <w:rPr>
          <w:rFonts w:eastAsia="Times New Roman"/>
          <w:sz w:val="20"/>
          <w:szCs w:val="20"/>
          <w:bdr w:val="none" w:sz="0" w:space="0" w:color="auto"/>
        </w:rPr>
        <w:t>With regard to the third recommendation, the Commission notes that since 2005 the new Code of Criminal Procedure of the Province of Chubut (LEY XV N°9) has been in force, which provides, in Book V, special rules for children and adolescents, which establish characteristics of the differentiated process for minors, and therefore the parties indicated that this point does not need to be the subject of the Compliance Agreement. In view of this, the Commission notes that the Code of Criminal Procedure of the Province of Chubut</w:t>
      </w:r>
      <w:r w:rsidR="00134907" w:rsidRPr="00B20414">
        <w:rPr>
          <w:rStyle w:val="FootnoteReference"/>
          <w:sz w:val="20"/>
          <w:szCs w:val="20"/>
          <w:bdr w:val="none" w:sz="0" w:space="0" w:color="auto"/>
          <w:lang w:val="es-419"/>
        </w:rPr>
        <w:footnoteReference w:id="96"/>
      </w:r>
      <w:r w:rsidRPr="00B20414">
        <w:rPr>
          <w:rFonts w:eastAsia="Times New Roman"/>
          <w:sz w:val="20"/>
          <w:szCs w:val="20"/>
          <w:bdr w:val="none" w:sz="0" w:space="0" w:color="auto"/>
        </w:rPr>
        <w:t xml:space="preserve"> has special rules for the trial of children and adolescents, which ensure that adolescents between 16 and 18 years of age in conflict with the criminal law are tried in proceedings that are different from those for adults. In view of this, the Commission considers that the State does not need to promote other actions aimed at complying with this recommendation and this recommendation will not be followed up.</w:t>
      </w:r>
    </w:p>
    <w:p w14:paraId="7DB418B7" w14:textId="77777777" w:rsidR="00064EE9" w:rsidRPr="00B20414" w:rsidRDefault="00064EE9" w:rsidP="00064EE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jc w:val="both"/>
        <w:rPr>
          <w:rFonts w:eastAsia="Times New Roman"/>
          <w:sz w:val="20"/>
          <w:szCs w:val="20"/>
          <w:bdr w:val="none" w:sz="0" w:space="0" w:color="auto"/>
        </w:rPr>
      </w:pPr>
    </w:p>
    <w:p w14:paraId="71A900F2" w14:textId="421D31F8" w:rsidR="000A4A74" w:rsidRPr="00B20414" w:rsidRDefault="000A4A74" w:rsidP="000A4A74">
      <w:pPr>
        <w:pStyle w:val="Heading1"/>
        <w:numPr>
          <w:ilvl w:val="0"/>
          <w:numId w:val="26"/>
        </w:numPr>
        <w:ind w:left="0" w:firstLine="0"/>
        <w:rPr>
          <w:lang w:val="en-US"/>
        </w:rPr>
      </w:pPr>
      <w:bookmarkStart w:id="43" w:name="_Toc203988501"/>
      <w:r w:rsidRPr="00B20414">
        <w:rPr>
          <w:lang w:val="en-US"/>
        </w:rPr>
        <w:lastRenderedPageBreak/>
        <w:t>ACTIONS FOLLOWING REPORT No. 70/25 AND INFORMATION ON COMPLIANCE</w:t>
      </w:r>
      <w:bookmarkEnd w:id="43"/>
    </w:p>
    <w:p w14:paraId="7B963F3E" w14:textId="77777777" w:rsidR="000A4A74" w:rsidRPr="00B20414" w:rsidRDefault="000A4A74" w:rsidP="000A4A74">
      <w:pPr>
        <w:pStyle w:val="ListParagraph"/>
        <w:tabs>
          <w:tab w:val="left" w:pos="567"/>
        </w:tabs>
        <w:jc w:val="both"/>
        <w:rPr>
          <w:rFonts w:eastAsia="Times New Roman"/>
          <w:sz w:val="20"/>
          <w:szCs w:val="20"/>
          <w:bdr w:val="none" w:sz="0" w:space="0" w:color="auto"/>
        </w:rPr>
      </w:pPr>
    </w:p>
    <w:p w14:paraId="51B9B4AF" w14:textId="2B9C930F" w:rsidR="000A4A74" w:rsidRPr="00B20414" w:rsidRDefault="000A4A74" w:rsidP="000A4A74">
      <w:pPr>
        <w:pStyle w:val="ListParagraph"/>
        <w:numPr>
          <w:ilvl w:val="0"/>
          <w:numId w:val="2"/>
        </w:numPr>
        <w:tabs>
          <w:tab w:val="left" w:pos="567"/>
        </w:tabs>
        <w:spacing w:after="240"/>
        <w:ind w:left="0" w:firstLine="0"/>
        <w:jc w:val="both"/>
        <w:rPr>
          <w:rFonts w:eastAsia="Times New Roman"/>
          <w:sz w:val="20"/>
          <w:szCs w:val="20"/>
          <w:bdr w:val="none" w:sz="0" w:space="0" w:color="auto"/>
        </w:rPr>
      </w:pPr>
      <w:r w:rsidRPr="00B20414">
        <w:rPr>
          <w:rFonts w:eastAsia="Times New Roman"/>
          <w:sz w:val="20"/>
          <w:szCs w:val="20"/>
          <w:bdr w:val="none" w:sz="0" w:space="0" w:color="auto"/>
        </w:rPr>
        <w:t xml:space="preserve">On May 1, 2025, the Commission adopted </w:t>
      </w:r>
      <w:r w:rsidR="00C31147" w:rsidRPr="00B20414">
        <w:rPr>
          <w:rFonts w:eastAsia="Times New Roman"/>
          <w:sz w:val="20"/>
          <w:szCs w:val="20"/>
          <w:bdr w:val="none" w:sz="0" w:space="0" w:color="auto"/>
        </w:rPr>
        <w:t xml:space="preserve">Admissibility and </w:t>
      </w:r>
      <w:r w:rsidRPr="00B20414">
        <w:rPr>
          <w:rFonts w:eastAsia="Times New Roman"/>
          <w:sz w:val="20"/>
          <w:szCs w:val="20"/>
          <w:bdr w:val="none" w:sz="0" w:space="0" w:color="auto"/>
        </w:rPr>
        <w:t>Merits Report</w:t>
      </w:r>
      <w:r w:rsidR="00C31147" w:rsidRPr="00B20414">
        <w:rPr>
          <w:rFonts w:eastAsia="Times New Roman"/>
          <w:sz w:val="20"/>
          <w:szCs w:val="20"/>
          <w:bdr w:val="none" w:sz="0" w:space="0" w:color="auto"/>
        </w:rPr>
        <w:t xml:space="preserve"> (Final)</w:t>
      </w:r>
      <w:r w:rsidRPr="00B20414">
        <w:rPr>
          <w:rFonts w:eastAsia="Times New Roman"/>
          <w:sz w:val="20"/>
          <w:szCs w:val="20"/>
          <w:bdr w:val="none" w:sz="0" w:space="0" w:color="auto"/>
        </w:rPr>
        <w:t xml:space="preserve"> No. 70/25, which includes paragraphs 1 through 117 above, and issued its final conclusions and recommendations to the State. On May 14 of the same year, it transmitted </w:t>
      </w:r>
      <w:r w:rsidR="00805760" w:rsidRPr="00B20414">
        <w:rPr>
          <w:rFonts w:eastAsia="Times New Roman"/>
          <w:sz w:val="20"/>
          <w:szCs w:val="20"/>
          <w:bdr w:val="none" w:sz="0" w:space="0" w:color="auto"/>
        </w:rPr>
        <w:t>it</w:t>
      </w:r>
      <w:r w:rsidRPr="00B20414">
        <w:rPr>
          <w:rFonts w:eastAsia="Times New Roman"/>
          <w:sz w:val="20"/>
          <w:szCs w:val="20"/>
          <w:bdr w:val="none" w:sz="0" w:space="0" w:color="auto"/>
        </w:rPr>
        <w:t xml:space="preserve"> to the State and the petitioner, granting them a period of two weeks to inform the IACHR of the measures taken to comply with its recommendations. To date, the Commission has not received a response from the Argentine State regarding Report No. 70/25.</w:t>
      </w:r>
    </w:p>
    <w:p w14:paraId="759DF380" w14:textId="301FBAD7" w:rsidR="00B928F2" w:rsidRPr="00B20414" w:rsidRDefault="00402D2D" w:rsidP="00AC4CD2">
      <w:pPr>
        <w:pStyle w:val="Heading1"/>
        <w:numPr>
          <w:ilvl w:val="0"/>
          <w:numId w:val="26"/>
        </w:numPr>
        <w:ind w:left="0" w:firstLine="0"/>
        <w:rPr>
          <w:lang w:val="en-US"/>
        </w:rPr>
      </w:pPr>
      <w:bookmarkStart w:id="44" w:name="_Toc40962139"/>
      <w:bookmarkStart w:id="45" w:name="_Toc42679788"/>
      <w:bookmarkStart w:id="46" w:name="_Toc203988502"/>
      <w:r w:rsidRPr="00B20414">
        <w:rPr>
          <w:lang w:val="en-US"/>
        </w:rPr>
        <w:t xml:space="preserve">FINAL </w:t>
      </w:r>
      <w:r w:rsidR="00B928F2" w:rsidRPr="00B20414">
        <w:rPr>
          <w:lang w:val="en-US"/>
        </w:rPr>
        <w:t>CONCLUSION</w:t>
      </w:r>
      <w:r w:rsidR="00C15C7C" w:rsidRPr="00B20414">
        <w:rPr>
          <w:lang w:val="en-US"/>
        </w:rPr>
        <w:t>S AND RECOMMENDATIONS</w:t>
      </w:r>
      <w:bookmarkEnd w:id="44"/>
      <w:bookmarkEnd w:id="45"/>
      <w:bookmarkEnd w:id="46"/>
    </w:p>
    <w:p w14:paraId="47937866" w14:textId="77777777" w:rsidR="00B928F2" w:rsidRPr="00B20414" w:rsidRDefault="00B928F2" w:rsidP="00B928F2">
      <w:pPr>
        <w:rPr>
          <w:sz w:val="20"/>
          <w:szCs w:val="20"/>
          <w:lang w:eastAsia="es-ES"/>
        </w:rPr>
      </w:pPr>
    </w:p>
    <w:p w14:paraId="7F7EC77A" w14:textId="77777777" w:rsidR="00207009" w:rsidRPr="00B20414" w:rsidRDefault="00C15C7C" w:rsidP="00F229E1">
      <w:pPr>
        <w:pStyle w:val="ListParagraph"/>
        <w:numPr>
          <w:ilvl w:val="0"/>
          <w:numId w:val="2"/>
        </w:numPr>
        <w:tabs>
          <w:tab w:val="left" w:pos="567"/>
        </w:tabs>
        <w:spacing w:after="240"/>
        <w:ind w:left="0" w:firstLine="0"/>
        <w:jc w:val="both"/>
        <w:rPr>
          <w:sz w:val="20"/>
          <w:szCs w:val="20"/>
        </w:rPr>
      </w:pPr>
      <w:r w:rsidRPr="00B20414">
        <w:rPr>
          <w:sz w:val="20"/>
          <w:szCs w:val="20"/>
        </w:rPr>
        <w:t>The Commission concludes that the state of Argentina is responsible for violating the right to appeal a judgment, the right to not be subject to arbitrary detention or incarceration</w:t>
      </w:r>
      <w:r w:rsidR="00157692" w:rsidRPr="00B20414">
        <w:rPr>
          <w:sz w:val="20"/>
          <w:szCs w:val="20"/>
        </w:rPr>
        <w:t xml:space="preserve">, </w:t>
      </w:r>
      <w:r w:rsidRPr="00B20414">
        <w:rPr>
          <w:sz w:val="20"/>
          <w:szCs w:val="20"/>
        </w:rPr>
        <w:t>the principle of legality, and its duty to adopt special protection measures for adolescents in conflict with criminal law enshrined in Articles 8(</w:t>
      </w:r>
      <w:r w:rsidR="00B67ECF" w:rsidRPr="00B20414">
        <w:rPr>
          <w:sz w:val="20"/>
          <w:szCs w:val="20"/>
        </w:rPr>
        <w:t>2</w:t>
      </w:r>
      <w:r w:rsidRPr="00B20414">
        <w:rPr>
          <w:sz w:val="20"/>
          <w:szCs w:val="20"/>
        </w:rPr>
        <w:t>)(</w:t>
      </w:r>
      <w:r w:rsidR="00B67ECF" w:rsidRPr="00B20414">
        <w:rPr>
          <w:sz w:val="20"/>
          <w:szCs w:val="20"/>
        </w:rPr>
        <w:t>h</w:t>
      </w:r>
      <w:r w:rsidR="009945AC" w:rsidRPr="00B20414">
        <w:rPr>
          <w:sz w:val="20"/>
          <w:szCs w:val="20"/>
        </w:rPr>
        <w:t xml:space="preserve">), </w:t>
      </w:r>
      <w:r w:rsidR="00EC2549" w:rsidRPr="00B20414">
        <w:rPr>
          <w:sz w:val="20"/>
          <w:szCs w:val="20"/>
        </w:rPr>
        <w:t>7</w:t>
      </w:r>
      <w:r w:rsidRPr="00B20414">
        <w:rPr>
          <w:sz w:val="20"/>
          <w:szCs w:val="20"/>
        </w:rPr>
        <w:t>(</w:t>
      </w:r>
      <w:r w:rsidR="00EC2549" w:rsidRPr="00B20414">
        <w:rPr>
          <w:sz w:val="20"/>
          <w:szCs w:val="20"/>
        </w:rPr>
        <w:t>3</w:t>
      </w:r>
      <w:r w:rsidRPr="00B20414">
        <w:rPr>
          <w:sz w:val="20"/>
          <w:szCs w:val="20"/>
        </w:rPr>
        <w:t>)</w:t>
      </w:r>
      <w:r w:rsidR="002B5D7B" w:rsidRPr="00B20414">
        <w:rPr>
          <w:sz w:val="20"/>
          <w:szCs w:val="20"/>
        </w:rPr>
        <w:t>,</w:t>
      </w:r>
      <w:r w:rsidRPr="00B20414">
        <w:rPr>
          <w:sz w:val="20"/>
          <w:szCs w:val="20"/>
        </w:rPr>
        <w:t xml:space="preserve"> </w:t>
      </w:r>
      <w:r w:rsidR="00137A47" w:rsidRPr="00B20414">
        <w:rPr>
          <w:sz w:val="20"/>
          <w:szCs w:val="20"/>
        </w:rPr>
        <w:t>9</w:t>
      </w:r>
      <w:r w:rsidRPr="00B20414">
        <w:rPr>
          <w:sz w:val="20"/>
          <w:szCs w:val="20"/>
        </w:rPr>
        <w:t xml:space="preserve">, and </w:t>
      </w:r>
      <w:r w:rsidR="002B5D7B" w:rsidRPr="00B20414">
        <w:rPr>
          <w:sz w:val="20"/>
          <w:szCs w:val="20"/>
        </w:rPr>
        <w:t>19</w:t>
      </w:r>
      <w:r w:rsidR="00137A47" w:rsidRPr="00B20414">
        <w:rPr>
          <w:sz w:val="20"/>
          <w:szCs w:val="20"/>
        </w:rPr>
        <w:t xml:space="preserve"> </w:t>
      </w:r>
      <w:r w:rsidRPr="00B20414">
        <w:rPr>
          <w:sz w:val="20"/>
          <w:szCs w:val="20"/>
        </w:rPr>
        <w:t>of the American Convention, in connection with Articles</w:t>
      </w:r>
      <w:r w:rsidR="00B67ECF" w:rsidRPr="00B20414">
        <w:rPr>
          <w:sz w:val="20"/>
          <w:szCs w:val="20"/>
        </w:rPr>
        <w:t xml:space="preserve"> 1.1 </w:t>
      </w:r>
      <w:r w:rsidRPr="00B20414">
        <w:rPr>
          <w:sz w:val="20"/>
          <w:szCs w:val="20"/>
        </w:rPr>
        <w:t>and</w:t>
      </w:r>
      <w:r w:rsidR="002B5D7B" w:rsidRPr="00B20414">
        <w:rPr>
          <w:sz w:val="20"/>
          <w:szCs w:val="20"/>
        </w:rPr>
        <w:t xml:space="preserve"> 2 </w:t>
      </w:r>
      <w:r w:rsidRPr="00B20414">
        <w:rPr>
          <w:sz w:val="20"/>
          <w:szCs w:val="20"/>
        </w:rPr>
        <w:t xml:space="preserve">of the same international instrument, to the detriment of </w:t>
      </w:r>
      <w:r w:rsidR="00B67ECF" w:rsidRPr="00B20414">
        <w:rPr>
          <w:sz w:val="20"/>
          <w:szCs w:val="20"/>
        </w:rPr>
        <w:t>Diego Armando Pacheco.</w:t>
      </w:r>
    </w:p>
    <w:p w14:paraId="182404B7" w14:textId="75016B04" w:rsidR="00AA7092" w:rsidRPr="00B20414" w:rsidRDefault="00AA7092" w:rsidP="00F229E1">
      <w:pPr>
        <w:pStyle w:val="ListParagraph"/>
        <w:numPr>
          <w:ilvl w:val="0"/>
          <w:numId w:val="2"/>
        </w:numPr>
        <w:tabs>
          <w:tab w:val="left" w:pos="567"/>
        </w:tabs>
        <w:spacing w:after="240"/>
        <w:ind w:left="0" w:firstLine="0"/>
        <w:jc w:val="both"/>
        <w:rPr>
          <w:sz w:val="20"/>
          <w:szCs w:val="20"/>
        </w:rPr>
      </w:pPr>
      <w:r w:rsidRPr="00B20414">
        <w:rPr>
          <w:sz w:val="20"/>
          <w:szCs w:val="20"/>
        </w:rPr>
        <w:t>Based on the analysis and conclusions of this report,</w:t>
      </w:r>
    </w:p>
    <w:p w14:paraId="3DB79F23" w14:textId="1B6847E1" w:rsidR="00234827" w:rsidRPr="00B20414" w:rsidRDefault="00C15C7C" w:rsidP="00596668">
      <w:pPr>
        <w:jc w:val="both"/>
        <w:rPr>
          <w:rFonts w:ascii="Cambria" w:eastAsia="Cambria" w:hAnsi="Cambria" w:cs="Arial"/>
          <w:b/>
          <w:color w:val="000000"/>
          <w:sz w:val="20"/>
          <w:szCs w:val="20"/>
          <w:u w:color="000000"/>
          <w:shd w:val="clear" w:color="auto" w:fill="FCFCFC"/>
          <w:lang w:eastAsia="es-ES"/>
        </w:rPr>
      </w:pPr>
      <w:r w:rsidRPr="00B20414">
        <w:rPr>
          <w:rFonts w:ascii="Cambria" w:eastAsia="Cambria" w:hAnsi="Cambria" w:cs="Arial"/>
          <w:b/>
          <w:color w:val="000000"/>
          <w:sz w:val="20"/>
          <w:szCs w:val="20"/>
          <w:u w:color="000000"/>
          <w:shd w:val="clear" w:color="auto" w:fill="FCFCFC"/>
          <w:lang w:eastAsia="es-ES"/>
        </w:rPr>
        <w:t>THE INTER-AMERICAN COMMISSI</w:t>
      </w:r>
      <w:r w:rsidR="00CB29AE" w:rsidRPr="00B20414">
        <w:rPr>
          <w:rFonts w:ascii="Cambria" w:eastAsia="Cambria" w:hAnsi="Cambria" w:cs="Arial"/>
          <w:b/>
          <w:color w:val="000000"/>
          <w:sz w:val="20"/>
          <w:szCs w:val="20"/>
          <w:u w:color="000000"/>
          <w:shd w:val="clear" w:color="auto" w:fill="FCFCFC"/>
          <w:lang w:eastAsia="es-ES"/>
        </w:rPr>
        <w:t>ON ON HUMAN RIGHTS RE</w:t>
      </w:r>
      <w:r w:rsidR="00625C5D" w:rsidRPr="00B20414">
        <w:rPr>
          <w:rFonts w:ascii="Cambria" w:eastAsia="Cambria" w:hAnsi="Cambria" w:cs="Arial"/>
          <w:b/>
          <w:color w:val="000000"/>
          <w:sz w:val="20"/>
          <w:szCs w:val="20"/>
          <w:u w:color="000000"/>
          <w:shd w:val="clear" w:color="auto" w:fill="FCFCFC"/>
          <w:lang w:eastAsia="es-ES"/>
        </w:rPr>
        <w:t>ITERATES</w:t>
      </w:r>
      <w:r w:rsidRPr="00B20414">
        <w:rPr>
          <w:rFonts w:ascii="Cambria" w:eastAsia="Cambria" w:hAnsi="Cambria" w:cs="Arial"/>
          <w:b/>
          <w:color w:val="000000"/>
          <w:sz w:val="20"/>
          <w:szCs w:val="20"/>
          <w:u w:color="000000"/>
          <w:shd w:val="clear" w:color="auto" w:fill="FCFCFC"/>
          <w:lang w:eastAsia="es-ES"/>
        </w:rPr>
        <w:t xml:space="preserve"> THE STATE OF ARGENTINA</w:t>
      </w:r>
      <w:r w:rsidR="00207009" w:rsidRPr="00B20414">
        <w:rPr>
          <w:rFonts w:ascii="Cambria" w:eastAsia="Cambria" w:hAnsi="Cambria" w:cs="Arial"/>
          <w:b/>
          <w:color w:val="000000"/>
          <w:sz w:val="20"/>
          <w:szCs w:val="20"/>
          <w:u w:color="000000"/>
          <w:shd w:val="clear" w:color="auto" w:fill="FCFCFC"/>
          <w:lang w:eastAsia="es-ES"/>
        </w:rPr>
        <w:t>,</w:t>
      </w:r>
    </w:p>
    <w:p w14:paraId="4860D975" w14:textId="77777777" w:rsidR="00596668" w:rsidRPr="00B20414" w:rsidRDefault="00596668" w:rsidP="00596668">
      <w:pPr>
        <w:jc w:val="both"/>
        <w:rPr>
          <w:rFonts w:ascii="Cambria" w:eastAsia="Cambria" w:hAnsi="Cambria" w:cs="Arial"/>
          <w:b/>
          <w:color w:val="000000"/>
          <w:sz w:val="20"/>
          <w:szCs w:val="20"/>
          <w:u w:color="000000"/>
          <w:shd w:val="clear" w:color="auto" w:fill="FCFCFC"/>
          <w:lang w:eastAsia="es-ES"/>
        </w:rPr>
      </w:pPr>
    </w:p>
    <w:p w14:paraId="5D982E15" w14:textId="6C564454" w:rsidR="00315D0A" w:rsidRPr="00B20414" w:rsidRDefault="006237CE" w:rsidP="00477BC7">
      <w:pPr>
        <w:pStyle w:val="Default"/>
        <w:jc w:val="both"/>
        <w:rPr>
          <w:sz w:val="20"/>
          <w:szCs w:val="20"/>
          <w:lang w:val="en-US"/>
        </w:rPr>
      </w:pPr>
      <w:r w:rsidRPr="00B20414">
        <w:rPr>
          <w:sz w:val="20"/>
          <w:szCs w:val="20"/>
          <w:lang w:val="en-US"/>
        </w:rPr>
        <w:t xml:space="preserve">1. </w:t>
      </w:r>
      <w:r w:rsidR="00C15C7C" w:rsidRPr="00B20414">
        <w:rPr>
          <w:sz w:val="20"/>
          <w:szCs w:val="20"/>
          <w:lang w:val="en-US"/>
        </w:rPr>
        <w:t>To prov</w:t>
      </w:r>
      <w:r w:rsidR="00610680" w:rsidRPr="00B20414">
        <w:rPr>
          <w:sz w:val="20"/>
          <w:szCs w:val="20"/>
          <w:lang w:val="en-US"/>
        </w:rPr>
        <w:t xml:space="preserve">ide comprehensive reparations, both material and intangible, </w:t>
      </w:r>
      <w:r w:rsidR="00C15C7C" w:rsidRPr="00B20414">
        <w:rPr>
          <w:sz w:val="20"/>
          <w:szCs w:val="20"/>
          <w:lang w:val="en-US"/>
        </w:rPr>
        <w:t>for the violations of human</w:t>
      </w:r>
      <w:r w:rsidR="00610680" w:rsidRPr="00B20414">
        <w:rPr>
          <w:sz w:val="20"/>
          <w:szCs w:val="20"/>
          <w:lang w:val="en-US"/>
        </w:rPr>
        <w:t xml:space="preserve"> rights as stated in the present report</w:t>
      </w:r>
      <w:r w:rsidRPr="00B20414">
        <w:rPr>
          <w:sz w:val="20"/>
          <w:szCs w:val="20"/>
          <w:lang w:val="en-US"/>
        </w:rPr>
        <w:t xml:space="preserve">. </w:t>
      </w:r>
    </w:p>
    <w:p w14:paraId="322CD4F0" w14:textId="77777777" w:rsidR="00713DFB" w:rsidRPr="00B20414" w:rsidRDefault="00713DFB" w:rsidP="00713DFB">
      <w:pPr>
        <w:pStyle w:val="Default"/>
        <w:jc w:val="both"/>
        <w:rPr>
          <w:sz w:val="20"/>
          <w:szCs w:val="20"/>
          <w:lang w:val="en-US"/>
        </w:rPr>
      </w:pPr>
    </w:p>
    <w:p w14:paraId="16C7E89A" w14:textId="3C86C79F" w:rsidR="00333F3D" w:rsidRPr="00B20414" w:rsidRDefault="00B115D5" w:rsidP="0012708A">
      <w:pPr>
        <w:pStyle w:val="Heading1"/>
        <w:numPr>
          <w:ilvl w:val="0"/>
          <w:numId w:val="26"/>
        </w:numPr>
        <w:ind w:left="0" w:firstLine="0"/>
        <w:rPr>
          <w:lang w:val="en-GB"/>
        </w:rPr>
      </w:pPr>
      <w:bookmarkStart w:id="47" w:name="_Toc195697610"/>
      <w:bookmarkStart w:id="48" w:name="_Toc203988503"/>
      <w:r w:rsidRPr="00B20414">
        <w:rPr>
          <w:color w:val="auto"/>
          <w:lang w:val="en-GB"/>
        </w:rPr>
        <w:t>PUBL</w:t>
      </w:r>
      <w:r w:rsidR="00333F3D" w:rsidRPr="00B20414">
        <w:rPr>
          <w:color w:val="auto"/>
          <w:lang w:val="en-GB"/>
        </w:rPr>
        <w:t>ICATION</w:t>
      </w:r>
      <w:bookmarkEnd w:id="47"/>
      <w:bookmarkEnd w:id="48"/>
    </w:p>
    <w:p w14:paraId="0E331784" w14:textId="77777777" w:rsidR="00333F3D" w:rsidRPr="00B20414" w:rsidRDefault="00333F3D" w:rsidP="00333F3D">
      <w:pPr>
        <w:tabs>
          <w:tab w:val="left" w:pos="2820"/>
        </w:tabs>
        <w:suppressAutoHyphens/>
        <w:spacing w:line="276" w:lineRule="auto"/>
        <w:rPr>
          <w:rFonts w:asciiTheme="majorHAnsi" w:hAnsiTheme="majorHAnsi"/>
          <w:sz w:val="20"/>
          <w:szCs w:val="20"/>
          <w:lang w:val="en-GB"/>
        </w:rPr>
      </w:pPr>
    </w:p>
    <w:p w14:paraId="7CF1D7F2" w14:textId="7D97ADB1" w:rsidR="003D0187" w:rsidRPr="00B20414" w:rsidRDefault="00422C20" w:rsidP="002C03EA">
      <w:pPr>
        <w:pStyle w:val="ListParagraph"/>
        <w:numPr>
          <w:ilvl w:val="0"/>
          <w:numId w:val="2"/>
        </w:numPr>
        <w:tabs>
          <w:tab w:val="left" w:pos="567"/>
        </w:tabs>
        <w:spacing w:after="240"/>
        <w:ind w:left="0" w:firstLine="0"/>
        <w:jc w:val="both"/>
        <w:rPr>
          <w:sz w:val="20"/>
          <w:szCs w:val="20"/>
        </w:rPr>
      </w:pPr>
      <w:r w:rsidRPr="00B20414">
        <w:rPr>
          <w:sz w:val="20"/>
          <w:szCs w:val="20"/>
        </w:rPr>
        <w:t>In accordance with the foregoing and pursuant to Article 51(3) of the American Convention, the Inter-American Commission on Human Rights decides to publish this report and include it in its Annual Report to the General Assembly of the Organization of American States. The Inter-American Commission, in accordance with the rules established in the instruments that regulate its mandate, will continue to evaluate whether the State of Argentina has provided full reparation to the victim in accordance with the above recommendation, until it determines that it has been fully complied with.</w:t>
      </w:r>
    </w:p>
    <w:p w14:paraId="0028EA9E" w14:textId="57554F00" w:rsidR="00B20414" w:rsidRPr="00422C20" w:rsidRDefault="00B20414" w:rsidP="00B20414">
      <w:pPr>
        <w:pStyle w:val="ListParagraph"/>
        <w:tabs>
          <w:tab w:val="left" w:pos="567"/>
        </w:tabs>
        <w:spacing w:after="240"/>
        <w:ind w:left="0"/>
        <w:jc w:val="both"/>
        <w:rPr>
          <w:sz w:val="20"/>
          <w:szCs w:val="20"/>
          <w:highlight w:val="yellow"/>
        </w:rPr>
      </w:pPr>
      <w:r w:rsidRPr="00B20414">
        <w:rPr>
          <w:sz w:val="20"/>
          <w:szCs w:val="20"/>
        </w:rPr>
        <w:t>Approved by the Inter-American Commission on Human Rights on July 14, 2025. (Signed): José Luis Caballero Ochoa, President; Arif Bulkan, Second Vice President; Roberta Clarke, Carlos Bernal Pulido, and Gloria Monique de Mees, Members of the Commission.</w:t>
      </w:r>
    </w:p>
    <w:sectPr w:rsidR="00B20414" w:rsidRPr="00422C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2C57B" w14:textId="77777777" w:rsidR="00C17C22" w:rsidRDefault="00C17C22">
      <w:r>
        <w:separator/>
      </w:r>
    </w:p>
    <w:p w14:paraId="244ED39B" w14:textId="77777777" w:rsidR="00C17C22" w:rsidRDefault="00C17C22"/>
  </w:endnote>
  <w:endnote w:type="continuationSeparator" w:id="0">
    <w:p w14:paraId="6F9497B8" w14:textId="77777777" w:rsidR="00C17C22" w:rsidRDefault="00C17C22">
      <w:r>
        <w:continuationSeparator/>
      </w:r>
    </w:p>
    <w:p w14:paraId="328D6B5A" w14:textId="77777777" w:rsidR="00C17C22" w:rsidRDefault="00C17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ay Devanagari">
    <w:altName w:val="Cambay Devanagari"/>
    <w:charset w:val="4D"/>
    <w:family w:val="auto"/>
    <w:pitch w:val="variable"/>
    <w:sig w:usb0="00000001" w:usb1="00000000" w:usb2="00000000" w:usb3="00000000" w:csb0="00000093" w:csb1="00000000"/>
  </w:font>
  <w:font w:name="TimesNewRomanPSMT">
    <w:panose1 w:val="00000000000000000000"/>
    <w:charset w:val="4D"/>
    <w:family w:val="roman"/>
    <w:notTrueType/>
    <w:pitch w:val="default"/>
    <w:sig w:usb0="03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294112"/>
      <w:docPartObj>
        <w:docPartGallery w:val="Page Numbers (Bottom of Page)"/>
        <w:docPartUnique/>
      </w:docPartObj>
    </w:sdtPr>
    <w:sdtEndPr>
      <w:rPr>
        <w:noProof/>
        <w:sz w:val="16"/>
        <w:szCs w:val="22"/>
      </w:rPr>
    </w:sdtEndPr>
    <w:sdtContent>
      <w:p w14:paraId="2EE9D88C" w14:textId="77777777" w:rsidR="001963DB" w:rsidRPr="00934A2C" w:rsidRDefault="001963D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10CDF">
          <w:rPr>
            <w:noProof/>
            <w:sz w:val="16"/>
            <w:szCs w:val="22"/>
          </w:rPr>
          <w:t>1</w:t>
        </w:r>
        <w:r w:rsidRPr="00934A2C">
          <w:rPr>
            <w:noProof/>
            <w:sz w:val="16"/>
            <w:szCs w:val="22"/>
          </w:rPr>
          <w:fldChar w:fldCharType="end"/>
        </w:r>
      </w:p>
    </w:sdtContent>
  </w:sdt>
  <w:p w14:paraId="5C25498D" w14:textId="77777777" w:rsidR="001963DB" w:rsidRDefault="00196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8D02" w14:textId="77777777" w:rsidR="001963DB" w:rsidRPr="00934A2C" w:rsidRDefault="001963DB">
    <w:pPr>
      <w:pStyle w:val="Footer"/>
      <w:jc w:val="center"/>
      <w:rPr>
        <w:sz w:val="16"/>
        <w:szCs w:val="22"/>
      </w:rPr>
    </w:pPr>
  </w:p>
  <w:p w14:paraId="57D76A94" w14:textId="77777777" w:rsidR="001963DB" w:rsidRDefault="00196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A9B7B" w14:textId="77777777" w:rsidR="00C17C22" w:rsidRDefault="00C17C22">
      <w:r>
        <w:separator/>
      </w:r>
    </w:p>
    <w:p w14:paraId="5ECBC454" w14:textId="77777777" w:rsidR="00C17C22" w:rsidRDefault="00C17C22"/>
  </w:footnote>
  <w:footnote w:type="continuationSeparator" w:id="0">
    <w:p w14:paraId="5604AD92" w14:textId="77777777" w:rsidR="00C17C22" w:rsidRDefault="00C17C22">
      <w:r>
        <w:continuationSeparator/>
      </w:r>
    </w:p>
    <w:p w14:paraId="0C83A45E" w14:textId="77777777" w:rsidR="00C17C22" w:rsidRDefault="00C17C22"/>
  </w:footnote>
  <w:footnote w:id="1">
    <w:p w14:paraId="7545B6AD" w14:textId="77777777" w:rsidR="00726DE0" w:rsidRPr="00726DE0" w:rsidRDefault="00726DE0" w:rsidP="00726DE0">
      <w:pPr>
        <w:pStyle w:val="FootnoteText"/>
        <w:jc w:val="both"/>
        <w:rPr>
          <w:lang w:val="en-US"/>
        </w:rPr>
      </w:pPr>
      <w:r w:rsidRPr="00D40738">
        <w:rPr>
          <w:rStyle w:val="FootnoteReference"/>
          <w:rFonts w:ascii="Cambria" w:hAnsi="Cambria"/>
          <w:sz w:val="16"/>
          <w:szCs w:val="16"/>
        </w:rPr>
        <w:footnoteRef/>
      </w:r>
      <w:r w:rsidRPr="00726DE0">
        <w:rPr>
          <w:lang w:val="en-US"/>
        </w:rPr>
        <w:t xml:space="preserve"> </w:t>
      </w:r>
      <w:r w:rsidRPr="00AB4518">
        <w:rPr>
          <w:rFonts w:ascii="Cambria" w:hAnsi="Cambria"/>
          <w:sz w:val="16"/>
          <w:szCs w:val="16"/>
          <w:lang w:val="en"/>
        </w:rPr>
        <w:t>Pursuant to Article 17.2 of the Commission's Rules of Procedure, Commissioner Andrea Pochak, an Argentine national, did not participate in the debate or decision in this case.</w:t>
      </w:r>
    </w:p>
  </w:footnote>
  <w:footnote w:id="2">
    <w:p w14:paraId="1CC0841D" w14:textId="77777777" w:rsidR="001963DB" w:rsidRPr="00891660" w:rsidRDefault="001963DB" w:rsidP="0046163F">
      <w:pPr>
        <w:jc w:val="both"/>
        <w:rPr>
          <w:rFonts w:ascii="Cambria" w:hAnsi="Cambria"/>
          <w:sz w:val="16"/>
          <w:szCs w:val="16"/>
          <w:lang w:val="es-EC"/>
        </w:rPr>
      </w:pPr>
      <w:r w:rsidRPr="00D76756">
        <w:rPr>
          <w:rStyle w:val="FootnoteReference"/>
          <w:rFonts w:ascii="Cambria" w:hAnsi="Cambria"/>
          <w:sz w:val="16"/>
          <w:szCs w:val="16"/>
        </w:rPr>
        <w:footnoteRef/>
      </w:r>
      <w:r w:rsidRPr="00D76756">
        <w:rPr>
          <w:rFonts w:ascii="Cambria" w:hAnsi="Cambria"/>
          <w:sz w:val="16"/>
          <w:szCs w:val="16"/>
        </w:rPr>
        <w:t xml:space="preserve"> IACHR, Report No. 82/17, Petition 1067-07. Admissibility. </w:t>
      </w:r>
      <w:r w:rsidRPr="00891660">
        <w:rPr>
          <w:rFonts w:ascii="Cambria" w:hAnsi="Cambria"/>
          <w:sz w:val="16"/>
          <w:szCs w:val="16"/>
          <w:lang w:val="es-EC"/>
        </w:rPr>
        <w:t>Rosa Ángela Martino and María Cristina González. Argentina. July 7, 2017, para. 12.</w:t>
      </w:r>
    </w:p>
  </w:footnote>
  <w:footnote w:id="3">
    <w:p w14:paraId="20990F00" w14:textId="77777777" w:rsidR="001963DB" w:rsidRPr="00891660" w:rsidRDefault="001963DB" w:rsidP="0046163F">
      <w:pPr>
        <w:jc w:val="both"/>
        <w:rPr>
          <w:rFonts w:ascii="Cambria" w:hAnsi="Cambria"/>
          <w:sz w:val="16"/>
          <w:szCs w:val="16"/>
          <w:lang w:val="es-EC"/>
        </w:rPr>
      </w:pPr>
      <w:r w:rsidRPr="00D76756">
        <w:rPr>
          <w:rStyle w:val="FootnoteReference"/>
          <w:rFonts w:ascii="Cambria" w:hAnsi="Cambria"/>
          <w:sz w:val="16"/>
          <w:szCs w:val="16"/>
        </w:rPr>
        <w:footnoteRef/>
      </w:r>
      <w:r w:rsidRPr="00891660">
        <w:rPr>
          <w:rFonts w:ascii="Cambria" w:hAnsi="Cambria"/>
          <w:sz w:val="16"/>
          <w:szCs w:val="16"/>
          <w:lang w:val="es-EC"/>
        </w:rPr>
        <w:t xml:space="preserve"> IACHR, Report No. 39/09, Petition 717-00. Inadmissibility. Tomás Eduardo Jiménez Villada. Argentina. March 27, 2009, para. 59.</w:t>
      </w:r>
    </w:p>
  </w:footnote>
  <w:footnote w:id="4">
    <w:p w14:paraId="2AE12AE6" w14:textId="77777777" w:rsidR="001963DB" w:rsidRPr="00AB4518"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891660">
        <w:rPr>
          <w:rFonts w:ascii="Cambria" w:hAnsi="Cambria"/>
          <w:sz w:val="16"/>
          <w:szCs w:val="16"/>
          <w:lang w:val="es-EC"/>
        </w:rPr>
        <w:t xml:space="preserve"> IACH</w:t>
      </w:r>
      <w:r w:rsidRPr="00AB4518">
        <w:rPr>
          <w:rFonts w:ascii="Cambria" w:hAnsi="Cambria"/>
          <w:sz w:val="16"/>
          <w:szCs w:val="16"/>
          <w:lang w:val="es-EC"/>
        </w:rPr>
        <w:t xml:space="preserve">R, Report No. 90/03, Petition 0581/1999. Inadmissibility. Gustavo Trujillo González. Peru. October 22, 2003, para. </w:t>
      </w:r>
      <w:r w:rsidRPr="00AB4518">
        <w:rPr>
          <w:rFonts w:ascii="Cambria" w:hAnsi="Cambria"/>
          <w:sz w:val="16"/>
          <w:szCs w:val="16"/>
        </w:rPr>
        <w:t>32.</w:t>
      </w:r>
    </w:p>
  </w:footnote>
  <w:footnote w:id="5">
    <w:p w14:paraId="1B37805D" w14:textId="7790117F" w:rsidR="001963DB" w:rsidRPr="00D76756"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F02074" w:rsidRPr="00AB4518">
        <w:rPr>
          <w:rFonts w:ascii="Cambria" w:hAnsi="Cambria"/>
          <w:b/>
          <w:sz w:val="16"/>
          <w:szCs w:val="16"/>
          <w:lang w:val="en-US"/>
        </w:rPr>
        <w:t>1</w:t>
      </w:r>
      <w:r w:rsidRPr="00AB4518">
        <w:rPr>
          <w:rFonts w:ascii="Cambria" w:hAnsi="Cambria"/>
          <w:b/>
          <w:sz w:val="16"/>
          <w:szCs w:val="16"/>
          <w:lang w:val="en-US"/>
        </w:rPr>
        <w:t xml:space="preserve">. </w:t>
      </w:r>
      <w:r w:rsidRPr="00AB4518">
        <w:rPr>
          <w:rFonts w:ascii="Cambria" w:hAnsi="Cambria"/>
          <w:sz w:val="16"/>
          <w:szCs w:val="16"/>
          <w:lang w:val="en-US"/>
        </w:rPr>
        <w:t xml:space="preserve">Complaint appeal challenging dismissal of </w:t>
      </w:r>
      <w:r w:rsidR="00F64F34" w:rsidRPr="00AB4518">
        <w:rPr>
          <w:rFonts w:ascii="Cambria" w:hAnsi="Cambria"/>
          <w:sz w:val="16"/>
          <w:szCs w:val="16"/>
          <w:lang w:val="en-US"/>
        </w:rPr>
        <w:t>special federal appeal</w:t>
      </w:r>
      <w:r w:rsidRPr="00AB4518">
        <w:rPr>
          <w:rFonts w:ascii="Cambria" w:hAnsi="Cambria"/>
          <w:sz w:val="16"/>
          <w:szCs w:val="16"/>
          <w:lang w:val="en-US"/>
        </w:rPr>
        <w:t xml:space="preserve"> filed by Arnaldo Hugo Barone, Public Defender of the province of Chu</w:t>
      </w:r>
      <w:r w:rsidRPr="00D76756">
        <w:rPr>
          <w:rFonts w:ascii="Cambria" w:hAnsi="Cambria"/>
          <w:sz w:val="16"/>
          <w:szCs w:val="16"/>
          <w:lang w:val="en-US"/>
        </w:rPr>
        <w:t xml:space="preserve">but acting as legal representative of Diego Armando Pacheco. Annex 14 to the communication from the petitioners, received by the Commission on May 21, 2004. </w:t>
      </w:r>
    </w:p>
  </w:footnote>
  <w:footnote w:id="6">
    <w:p w14:paraId="3B443C36"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IACHR, Report No. 135/18, Petition 1045-07. Inadmissibility. </w:t>
      </w:r>
      <w:r w:rsidRPr="00891660">
        <w:rPr>
          <w:rFonts w:ascii="Cambria" w:hAnsi="Cambria"/>
          <w:sz w:val="16"/>
          <w:szCs w:val="16"/>
          <w:lang w:val="es-EC"/>
        </w:rPr>
        <w:t xml:space="preserve">Enrique Alberto Elías Waiman. Argentina. </w:t>
      </w:r>
      <w:r w:rsidRPr="00D76756">
        <w:rPr>
          <w:rFonts w:ascii="Cambria" w:hAnsi="Cambria"/>
          <w:sz w:val="16"/>
          <w:szCs w:val="16"/>
        </w:rPr>
        <w:t>November 20, 2018, paras. 9 and 10.</w:t>
      </w:r>
    </w:p>
  </w:footnote>
  <w:footnote w:id="7">
    <w:p w14:paraId="43C6C7F2"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Federal Supreme Court of Justice. Agreement 5/2010. Table of geographical distances between the Federal Capital and federal branches. Accessible at: </w:t>
      </w:r>
      <w:hyperlink r:id="rId1" w:history="1">
        <w:r w:rsidRPr="00D76756">
          <w:rPr>
            <w:rStyle w:val="Hyperlink"/>
            <w:rFonts w:ascii="Cambria" w:hAnsi="Cambria"/>
            <w:sz w:val="16"/>
            <w:szCs w:val="16"/>
            <w:lang w:val="en-US"/>
          </w:rPr>
          <w:t>https://www.argentina.gob.ar/normativa/nacional/acordada-5-2010-165599/texto</w:t>
        </w:r>
      </w:hyperlink>
      <w:r w:rsidRPr="00D76756">
        <w:rPr>
          <w:rFonts w:ascii="Cambria" w:hAnsi="Cambria"/>
          <w:sz w:val="16"/>
          <w:szCs w:val="16"/>
          <w:lang w:val="en-US"/>
        </w:rPr>
        <w:t xml:space="preserve"> </w:t>
      </w:r>
    </w:p>
  </w:footnote>
  <w:footnote w:id="8">
    <w:p w14:paraId="3BF17112" w14:textId="77777777" w:rsidR="001963DB" w:rsidRPr="00D76756" w:rsidRDefault="001963DB" w:rsidP="0046163F">
      <w:pPr>
        <w:pStyle w:val="NormalWeb"/>
        <w:spacing w:before="0" w:beforeAutospacing="0" w:after="0" w:afterAutospacing="0"/>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w:t>
      </w:r>
      <w:r w:rsidRPr="00D76756">
        <w:rPr>
          <w:rFonts w:ascii="Cambria" w:eastAsia="Arial Unicode MS" w:hAnsi="Cambria"/>
          <w:sz w:val="16"/>
          <w:szCs w:val="16"/>
          <w:bdr w:val="nil"/>
        </w:rPr>
        <w:t>IACHR, Report No. 56/08, Petition 11.602. Admissibility. Workers dismissed from Petróleos del Perú (Petroperú) Northwest‒Talara Area. Peru. July 24, 2008, para. 58.</w:t>
      </w:r>
    </w:p>
  </w:footnote>
  <w:footnote w:id="9">
    <w:p w14:paraId="388B976E"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Code of Civil and Commercial Procedures, Article 238. </w:t>
      </w:r>
    </w:p>
  </w:footnote>
  <w:footnote w:id="10">
    <w:p w14:paraId="5E3D3345"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Code of Civil and Commercial Procedures, Article 160. </w:t>
      </w:r>
    </w:p>
  </w:footnote>
  <w:footnote w:id="11">
    <w:p w14:paraId="6CE4D5E0" w14:textId="77777777" w:rsidR="001963DB" w:rsidRPr="00AB4518" w:rsidRDefault="001963DB" w:rsidP="00537B3A">
      <w:pPr>
        <w:pStyle w:val="NormalWeb"/>
        <w:spacing w:before="0" w:beforeAutospacing="0" w:after="0" w:afterAutospacing="0"/>
        <w:jc w:val="both"/>
        <w:rPr>
          <w:rFonts w:ascii="Cambria" w:hAnsi="Cambria"/>
          <w:sz w:val="16"/>
          <w:szCs w:val="16"/>
        </w:rPr>
      </w:pPr>
      <w:r w:rsidRPr="00D76756">
        <w:rPr>
          <w:rStyle w:val="FootnoteReference"/>
          <w:rFonts w:ascii="Cambria" w:hAnsi="Cambria"/>
          <w:sz w:val="16"/>
          <w:szCs w:val="16"/>
        </w:rPr>
        <w:footnoteRef/>
      </w:r>
      <w:r w:rsidRPr="00D76756">
        <w:rPr>
          <w:rStyle w:val="FootnoteReference"/>
          <w:rFonts w:ascii="Cambria" w:hAnsi="Cambria"/>
          <w:sz w:val="16"/>
          <w:szCs w:val="16"/>
        </w:rPr>
        <w:t xml:space="preserve"> </w:t>
      </w:r>
      <w:r w:rsidRPr="00D76756">
        <w:rPr>
          <w:rFonts w:ascii="Cambria" w:eastAsia="Arial Unicode MS" w:hAnsi="Cambria"/>
          <w:sz w:val="16"/>
          <w:szCs w:val="16"/>
          <w:bdr w:val="nil"/>
        </w:rPr>
        <w:t xml:space="preserve">IACHR, </w:t>
      </w:r>
      <w:r w:rsidRPr="00AB4518">
        <w:rPr>
          <w:rFonts w:ascii="Cambria" w:eastAsia="Arial Unicode MS" w:hAnsi="Cambria"/>
          <w:sz w:val="16"/>
          <w:szCs w:val="16"/>
          <w:bdr w:val="nil"/>
        </w:rPr>
        <w:t xml:space="preserve">Report No. 16/18, Petition 884-07. Admissibility. </w:t>
      </w:r>
      <w:r w:rsidRPr="00AB4518">
        <w:rPr>
          <w:rFonts w:ascii="Cambria" w:eastAsia="Arial Unicode MS" w:hAnsi="Cambria"/>
          <w:sz w:val="16"/>
          <w:szCs w:val="16"/>
          <w:bdr w:val="nil"/>
          <w:lang w:val="es-EC"/>
        </w:rPr>
        <w:t xml:space="preserve">Victoria Piedad Palacios Tejada De Saavedra. </w:t>
      </w:r>
      <w:r w:rsidRPr="00AB4518">
        <w:rPr>
          <w:rFonts w:ascii="Cambria" w:eastAsia="Arial Unicode MS" w:hAnsi="Cambria"/>
          <w:sz w:val="16"/>
          <w:szCs w:val="16"/>
          <w:bdr w:val="nil"/>
        </w:rPr>
        <w:t>Peru. February 24, 2018, para. 12.</w:t>
      </w:r>
    </w:p>
  </w:footnote>
  <w:footnote w:id="12">
    <w:p w14:paraId="21EDDD3A" w14:textId="31F0D801" w:rsidR="001963DB" w:rsidRPr="00AB4518"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9E4261" w:rsidRPr="00AB4518">
        <w:rPr>
          <w:rFonts w:ascii="Cambria" w:hAnsi="Cambria"/>
          <w:b/>
          <w:sz w:val="16"/>
          <w:szCs w:val="16"/>
          <w:lang w:val="en-US"/>
        </w:rPr>
        <w:t>2</w:t>
      </w:r>
      <w:r w:rsidRPr="00AB4518">
        <w:rPr>
          <w:rFonts w:ascii="Cambria" w:hAnsi="Cambria"/>
          <w:b/>
          <w:sz w:val="16"/>
          <w:szCs w:val="16"/>
          <w:lang w:val="en-US"/>
        </w:rPr>
        <w:t>.</w:t>
      </w:r>
      <w:r w:rsidRPr="00AB4518">
        <w:rPr>
          <w:rFonts w:ascii="Cambria" w:hAnsi="Cambria"/>
          <w:sz w:val="16"/>
          <w:szCs w:val="16"/>
          <w:lang w:val="en-US"/>
        </w:rPr>
        <w:t xml:space="preserve"> Cassation appeal filed by María Isabel Díaz de Fajardo, court-appointed Family Counselor and Guardian Ad Litem, on behalf of Diego Armando Pacheco, received by the First Chamber of the Criminal Court on September 26, 2002. Annex 2 to the communication from the petitioners, received by the Commission on May 21, 2004.</w:t>
      </w:r>
    </w:p>
  </w:footnote>
  <w:footnote w:id="13">
    <w:p w14:paraId="3D4CAE72" w14:textId="607F9B28" w:rsidR="001963DB" w:rsidRPr="00AB4518"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9E4261" w:rsidRPr="00AB4518">
        <w:rPr>
          <w:rFonts w:ascii="Cambria" w:hAnsi="Cambria"/>
          <w:b/>
          <w:sz w:val="16"/>
          <w:szCs w:val="16"/>
          <w:lang w:val="en-US"/>
        </w:rPr>
        <w:t>3</w:t>
      </w:r>
      <w:r w:rsidRPr="00AB4518">
        <w:rPr>
          <w:rFonts w:ascii="Cambria" w:hAnsi="Cambria"/>
          <w:b/>
          <w:sz w:val="16"/>
          <w:szCs w:val="16"/>
          <w:lang w:val="en-US"/>
        </w:rPr>
        <w:t>.</w:t>
      </w:r>
      <w:r w:rsidRPr="00AB4518">
        <w:rPr>
          <w:rFonts w:ascii="Cambria" w:hAnsi="Cambria"/>
          <w:sz w:val="16"/>
          <w:szCs w:val="16"/>
          <w:lang w:val="en-US"/>
        </w:rPr>
        <w:t xml:space="preserve"> Cassation appeal filed by Esteban Mantecón, Assistant Attorney of the Public Defense Office of the Chamber, providing technical assistance to Diego Armando Pacheco, received by the First Chamber of the Criminal Court on October 2, 2002. Annex 3 to the communication from the petitioners, received by the Commission on May 21, 2004.</w:t>
      </w:r>
    </w:p>
  </w:footnote>
  <w:footnote w:id="14">
    <w:p w14:paraId="41CD23FB" w14:textId="6C8FBB32" w:rsidR="001963DB" w:rsidRPr="00AB4518"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9E4261" w:rsidRPr="00AB4518">
        <w:rPr>
          <w:rFonts w:ascii="Cambria" w:hAnsi="Cambria"/>
          <w:b/>
          <w:sz w:val="16"/>
          <w:szCs w:val="16"/>
          <w:lang w:val="en-US"/>
        </w:rPr>
        <w:t>4</w:t>
      </w:r>
      <w:r w:rsidRPr="00AB4518">
        <w:rPr>
          <w:rFonts w:ascii="Cambria" w:hAnsi="Cambria"/>
          <w:b/>
          <w:sz w:val="16"/>
          <w:szCs w:val="16"/>
          <w:lang w:val="en-US"/>
        </w:rPr>
        <w:t>.</w:t>
      </w:r>
      <w:r w:rsidRPr="00AB4518">
        <w:rPr>
          <w:rFonts w:ascii="Cambria" w:hAnsi="Cambria"/>
          <w:sz w:val="16"/>
          <w:szCs w:val="16"/>
          <w:lang w:val="en-US"/>
        </w:rPr>
        <w:t xml:space="preserve"> Judgment of the Superior Court of Justice of the province of Chubut of December 16, 2002. Annex 6 to the communication from the petitioners, received by the Commission on May 21, 2004.</w:t>
      </w:r>
    </w:p>
  </w:footnote>
  <w:footnote w:id="15">
    <w:p w14:paraId="75EA227B" w14:textId="1D433D2E" w:rsidR="001963DB" w:rsidRPr="00AB4518"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9E4261" w:rsidRPr="00AB4518">
        <w:rPr>
          <w:rFonts w:ascii="Cambria" w:hAnsi="Cambria"/>
          <w:b/>
          <w:sz w:val="16"/>
          <w:szCs w:val="16"/>
          <w:lang w:val="en-US"/>
        </w:rPr>
        <w:t>5</w:t>
      </w:r>
      <w:r w:rsidRPr="00AB4518">
        <w:rPr>
          <w:rFonts w:ascii="Cambria" w:hAnsi="Cambria"/>
          <w:b/>
          <w:sz w:val="16"/>
          <w:szCs w:val="16"/>
          <w:lang w:val="en-US"/>
        </w:rPr>
        <w:t xml:space="preserve">. </w:t>
      </w:r>
      <w:r w:rsidR="00F64F34" w:rsidRPr="00AB4518">
        <w:rPr>
          <w:rFonts w:ascii="Cambria" w:hAnsi="Cambria"/>
          <w:sz w:val="16"/>
          <w:szCs w:val="16"/>
          <w:lang w:val="en-US"/>
        </w:rPr>
        <w:t>Special federal appeal</w:t>
      </w:r>
      <w:r w:rsidRPr="00AB4518">
        <w:rPr>
          <w:rFonts w:ascii="Cambria" w:hAnsi="Cambria"/>
          <w:sz w:val="16"/>
          <w:szCs w:val="16"/>
          <w:lang w:val="en-US"/>
        </w:rPr>
        <w:t xml:space="preserve"> filed by Arnaldo Hugo Barone, Public Defender of the province of Chubut, on behalf of Diego Armando Pacheco. Annex 8 to the communication from the petitioners, received by the Commission on May 21, 2004.</w:t>
      </w:r>
    </w:p>
  </w:footnote>
  <w:footnote w:id="16">
    <w:p w14:paraId="3239C1C5" w14:textId="77777777" w:rsidR="001963DB" w:rsidRPr="00D76756" w:rsidRDefault="001963DB" w:rsidP="0046163F">
      <w:pPr>
        <w:pStyle w:val="NormalWeb"/>
        <w:spacing w:before="0" w:beforeAutospacing="0" w:after="0" w:afterAutospacing="0"/>
        <w:jc w:val="both"/>
        <w:rPr>
          <w:rFonts w:ascii="Cambria" w:hAnsi="Cambria"/>
          <w:sz w:val="16"/>
          <w:szCs w:val="16"/>
        </w:rPr>
      </w:pPr>
      <w:r w:rsidRPr="00AB4518">
        <w:rPr>
          <w:rStyle w:val="FootnoteReference"/>
          <w:rFonts w:ascii="Cambria" w:hAnsi="Cambria"/>
          <w:sz w:val="16"/>
          <w:szCs w:val="16"/>
        </w:rPr>
        <w:footnoteRef/>
      </w:r>
      <w:r w:rsidRPr="00AB4518">
        <w:rPr>
          <w:rFonts w:ascii="Cambria" w:hAnsi="Cambria"/>
          <w:sz w:val="16"/>
          <w:szCs w:val="16"/>
        </w:rPr>
        <w:t xml:space="preserve"> </w:t>
      </w:r>
      <w:r w:rsidRPr="00AB4518">
        <w:rPr>
          <w:rFonts w:ascii="Cambria" w:eastAsia="Arial Unicode MS" w:hAnsi="Cambria"/>
          <w:sz w:val="16"/>
          <w:szCs w:val="16"/>
          <w:bdr w:val="nil"/>
        </w:rPr>
        <w:t>IACHR, Report No. 75/14, Petition 1018-08. Admissibility. Ronald Moya Chacón and Freddy Parrales Chaves. Costa Rica. August 15, 2014, para. 32.</w:t>
      </w:r>
      <w:r w:rsidRPr="00D76756">
        <w:rPr>
          <w:rFonts w:ascii="Cambria" w:hAnsi="Cambria" w:cs="Calibri"/>
          <w:color w:val="7F7F7F"/>
          <w:sz w:val="16"/>
          <w:szCs w:val="16"/>
        </w:rPr>
        <w:t xml:space="preserve"> </w:t>
      </w:r>
    </w:p>
  </w:footnote>
  <w:footnote w:id="17">
    <w:p w14:paraId="6CCB6A6C" w14:textId="77777777" w:rsidR="001963DB" w:rsidRPr="00D76756" w:rsidRDefault="001963DB" w:rsidP="0046163F">
      <w:pPr>
        <w:pStyle w:val="NormalWeb"/>
        <w:spacing w:before="0" w:beforeAutospacing="0" w:after="0" w:afterAutospacing="0"/>
        <w:jc w:val="both"/>
        <w:rPr>
          <w:rFonts w:ascii="Arial" w:hAnsi="Arial" w:cs="Arial"/>
          <w:sz w:val="20"/>
          <w:szCs w:val="20"/>
        </w:rPr>
      </w:pPr>
      <w:r w:rsidRPr="0063147E">
        <w:rPr>
          <w:rStyle w:val="FootnoteReference"/>
          <w:rFonts w:ascii="Cambria" w:hAnsi="Cambria"/>
          <w:sz w:val="16"/>
          <w:szCs w:val="16"/>
        </w:rPr>
        <w:footnoteRef/>
      </w:r>
      <w:r w:rsidRPr="0063147E">
        <w:rPr>
          <w:rStyle w:val="FootnoteReference"/>
          <w:rFonts w:ascii="Cambria" w:hAnsi="Cambria"/>
          <w:sz w:val="16"/>
          <w:szCs w:val="16"/>
        </w:rPr>
        <w:t xml:space="preserve"> </w:t>
      </w:r>
      <w:r w:rsidRPr="0063147E">
        <w:rPr>
          <w:rFonts w:eastAsia="Arial Unicode MS"/>
          <w:sz w:val="16"/>
          <w:szCs w:val="16"/>
          <w:bdr w:val="nil"/>
        </w:rPr>
        <w:t>Regarding this, the</w:t>
      </w:r>
      <w:r w:rsidRPr="0063147E">
        <w:rPr>
          <w:rFonts w:ascii="Cambria" w:eastAsia="Arial Unicode MS" w:hAnsi="Cambria"/>
          <w:sz w:val="16"/>
          <w:szCs w:val="16"/>
          <w:bdr w:val="nil"/>
        </w:rPr>
        <w:t xml:space="preserve"> IACHR has indicated that, “although in a case like the present, in principle, it may suffice that the alleged victim exhaust ordinary remedies, if they exhaust special remedies in the reasonable expectation that they will obtain a favorable result, then these should be deemed as validly exhausted remedies when determining the petition’s compliance with the admissibility requirements.” </w:t>
      </w:r>
      <w:r w:rsidRPr="008C0FB1">
        <w:rPr>
          <w:rFonts w:ascii="Cambria" w:eastAsia="Arial Unicode MS" w:hAnsi="Cambria"/>
          <w:sz w:val="16"/>
          <w:szCs w:val="16"/>
          <w:bdr w:val="nil"/>
        </w:rPr>
        <w:t xml:space="preserve">IACHR, Report No. 58/18. Admissibility. Rómulo Rubén Palma Rodríguez. Peru. May 5, 2018, para. 15; and </w:t>
      </w:r>
      <w:r w:rsidRPr="008C0FB1">
        <w:rPr>
          <w:rFonts w:ascii="Cambria" w:hAnsi="Cambria"/>
          <w:sz w:val="16"/>
          <w:szCs w:val="16"/>
        </w:rPr>
        <w:t xml:space="preserve">IACHR, Report No. 156/17, Petition 585-08. Admissibility. Carlos Alfonso Fonseca Murillo. Ecuador. </w:t>
      </w:r>
      <w:r w:rsidRPr="0063147E">
        <w:rPr>
          <w:rFonts w:ascii="Cambria" w:hAnsi="Cambria"/>
          <w:sz w:val="16"/>
          <w:szCs w:val="16"/>
        </w:rPr>
        <w:t>November 30, 2017, para. 17</w:t>
      </w:r>
      <w:r w:rsidRPr="00D76756">
        <w:rPr>
          <w:rFonts w:ascii="Cambria" w:hAnsi="Cambria"/>
          <w:sz w:val="20"/>
          <w:szCs w:val="20"/>
        </w:rPr>
        <w:t xml:space="preserve"> </w:t>
      </w:r>
    </w:p>
  </w:footnote>
  <w:footnote w:id="18">
    <w:p w14:paraId="52BE927E" w14:textId="172D5CA0"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w:t>
      </w:r>
      <w:r w:rsidRPr="00AB4518">
        <w:rPr>
          <w:rFonts w:ascii="Cambria" w:hAnsi="Cambria"/>
          <w:b/>
          <w:sz w:val="16"/>
          <w:szCs w:val="16"/>
          <w:lang w:val="en-US"/>
        </w:rPr>
        <w:t xml:space="preserve">ANNEX </w:t>
      </w:r>
      <w:r w:rsidR="005524A1" w:rsidRPr="00AB4518">
        <w:rPr>
          <w:rFonts w:ascii="Cambria" w:hAnsi="Cambria"/>
          <w:b/>
          <w:sz w:val="16"/>
          <w:szCs w:val="16"/>
          <w:lang w:val="en-US"/>
        </w:rPr>
        <w:t>6</w:t>
      </w:r>
      <w:r w:rsidRPr="00AB4518">
        <w:rPr>
          <w:rFonts w:ascii="Cambria" w:hAnsi="Cambria"/>
          <w:b/>
          <w:sz w:val="16"/>
          <w:szCs w:val="16"/>
          <w:lang w:val="en-US"/>
        </w:rPr>
        <w:t>.</w:t>
      </w:r>
      <w:r w:rsidRPr="00AB4518">
        <w:rPr>
          <w:rFonts w:ascii="Cambria" w:hAnsi="Cambria"/>
          <w:sz w:val="16"/>
          <w:szCs w:val="16"/>
          <w:lang w:val="en-US"/>
        </w:rPr>
        <w:t xml:space="preserve"> Notification</w:t>
      </w:r>
      <w:r w:rsidRPr="00D76756">
        <w:rPr>
          <w:rFonts w:ascii="Cambria" w:hAnsi="Cambria"/>
          <w:sz w:val="16"/>
          <w:szCs w:val="16"/>
          <w:lang w:val="en-US"/>
        </w:rPr>
        <w:t xml:space="preserve"> bulletin 55637/03 signed by the court usher of the Federal Supreme Court of Justice. Annex 2 to the communication from the petitioners, August 4, 2009.</w:t>
      </w:r>
    </w:p>
  </w:footnote>
  <w:footnote w:id="19">
    <w:p w14:paraId="7406BCEB"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IACHR, Report No. 173/17, Petition 1111-08. </w:t>
      </w:r>
      <w:r w:rsidRPr="008C0FB1">
        <w:rPr>
          <w:rFonts w:ascii="Cambria" w:hAnsi="Cambria"/>
          <w:sz w:val="16"/>
          <w:szCs w:val="16"/>
          <w:lang w:val="pt-BR"/>
        </w:rPr>
        <w:t xml:space="preserve">Admissibility. Marcela Brenda Iglesias, Nora Ester Ribaudo and Eduardo Rubén Iglesias. </w:t>
      </w:r>
      <w:r w:rsidRPr="00D76756">
        <w:rPr>
          <w:rFonts w:ascii="Cambria" w:hAnsi="Cambria"/>
          <w:sz w:val="16"/>
          <w:szCs w:val="16"/>
          <w:lang w:val="en-US"/>
        </w:rPr>
        <w:t>Argentina. December 29, 2017, para. 8.</w:t>
      </w:r>
    </w:p>
  </w:footnote>
  <w:footnote w:id="20">
    <w:p w14:paraId="418A78B6" w14:textId="77777777" w:rsidR="001963DB" w:rsidRPr="00D76756" w:rsidRDefault="001963DB" w:rsidP="0046163F">
      <w:pPr>
        <w:pStyle w:val="NoSpacing"/>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w:t>
      </w:r>
      <w:r w:rsidRPr="00D76756">
        <w:rPr>
          <w:rFonts w:ascii="Cambria" w:hAnsi="Cambria"/>
          <w:b/>
          <w:sz w:val="16"/>
          <w:szCs w:val="16"/>
          <w:lang w:val="en-US"/>
        </w:rPr>
        <w:t>ARTICLE 2:</w:t>
      </w:r>
      <w:r w:rsidRPr="00D76756">
        <w:rPr>
          <w:rFonts w:ascii="Cambria" w:hAnsi="Cambria"/>
          <w:sz w:val="16"/>
          <w:szCs w:val="16"/>
          <w:lang w:val="en-US"/>
        </w:rPr>
        <w:t xml:space="preserve"> A minor between the ages of sixteen (16) and eighteen (18) who commits any of the crimes not listed in Article 1 is punishable. In such cases, the judicial authority shall prosecute accordingly, and shall order a provisional custodial arrangement for the minor during prosecution of the case so that the powers granted by Article 4 may be exercised. Whatever the result of the proceedings, if the studies that are carried out reveal that the minor has been abandoned, is without assistance, in physical or moral danger, or has behavioral problems, the judge shall take charge of him definitively by a court order, following a hearing with the parents, tutor or guardian.</w:t>
      </w:r>
    </w:p>
  </w:footnote>
  <w:footnote w:id="21">
    <w:p w14:paraId="7845A2F9" w14:textId="77777777" w:rsidR="001963DB" w:rsidRPr="00D76756" w:rsidRDefault="001963DB" w:rsidP="00A248DF">
      <w:pPr>
        <w:rPr>
          <w:rFonts w:ascii="Cambria" w:hAnsi="Cambria"/>
          <w:sz w:val="16"/>
          <w:szCs w:val="16"/>
        </w:rPr>
      </w:pPr>
      <w:r w:rsidRPr="00D76756">
        <w:rPr>
          <w:rStyle w:val="FootnoteReference"/>
          <w:rFonts w:ascii="Cambria" w:hAnsi="Cambria"/>
          <w:sz w:val="16"/>
          <w:szCs w:val="16"/>
        </w:rPr>
        <w:footnoteRef/>
      </w:r>
      <w:r w:rsidRPr="00D76756">
        <w:rPr>
          <w:rStyle w:val="FootnoteReference"/>
          <w:rFonts w:ascii="Cambria" w:hAnsi="Cambria"/>
          <w:sz w:val="16"/>
          <w:szCs w:val="16"/>
        </w:rPr>
        <w:t xml:space="preserve"> </w:t>
      </w:r>
      <w:r w:rsidRPr="00D76756">
        <w:rPr>
          <w:rFonts w:ascii="Cambria" w:hAnsi="Cambria"/>
          <w:sz w:val="16"/>
          <w:szCs w:val="16"/>
        </w:rPr>
        <w:t xml:space="preserve"> </w:t>
      </w:r>
      <w:r w:rsidRPr="00D76756">
        <w:rPr>
          <w:rFonts w:ascii="Cambria" w:hAnsi="Cambria"/>
          <w:b/>
          <w:sz w:val="16"/>
          <w:szCs w:val="16"/>
          <w:u w:color="000000"/>
          <w:lang w:eastAsia="es-ES"/>
        </w:rPr>
        <w:t xml:space="preserve">ARTICLE 4: </w:t>
      </w:r>
      <w:r w:rsidRPr="00D76756">
        <w:rPr>
          <w:rFonts w:ascii="Cambria" w:hAnsi="Cambria"/>
          <w:sz w:val="16"/>
          <w:szCs w:val="16"/>
        </w:rPr>
        <w:t>The following conditions must be present in order to impose punishment in the case of a juvenile offender between the ages of 16 and 18 referred to in Article 2:</w:t>
      </w:r>
    </w:p>
    <w:p w14:paraId="228A27E4" w14:textId="77777777" w:rsidR="001963DB" w:rsidRPr="00D76756" w:rsidRDefault="001963DB" w:rsidP="00A248DF">
      <w:pPr>
        <w:rPr>
          <w:rFonts w:ascii="Cambria" w:hAnsi="Cambria"/>
          <w:sz w:val="16"/>
          <w:szCs w:val="16"/>
        </w:rPr>
      </w:pPr>
      <w:r w:rsidRPr="00D76756">
        <w:rPr>
          <w:rFonts w:ascii="Cambria" w:hAnsi="Cambria"/>
          <w:sz w:val="16"/>
          <w:szCs w:val="16"/>
        </w:rPr>
        <w:t>1. The person’s criminal culpability—and civil liability if there is any—must be previously established according to the rules governing procedure.</w:t>
      </w:r>
    </w:p>
    <w:p w14:paraId="29290C01" w14:textId="77777777" w:rsidR="001963DB" w:rsidRPr="00D76756" w:rsidRDefault="001963DB" w:rsidP="00A248DF">
      <w:pPr>
        <w:rPr>
          <w:rFonts w:ascii="Cambria" w:hAnsi="Cambria"/>
          <w:sz w:val="16"/>
          <w:szCs w:val="16"/>
        </w:rPr>
      </w:pPr>
      <w:r w:rsidRPr="00D76756">
        <w:rPr>
          <w:rFonts w:ascii="Cambria" w:hAnsi="Cambria"/>
          <w:sz w:val="16"/>
          <w:szCs w:val="16"/>
        </w:rPr>
        <w:t>2. The person concerned must be eighteen (18) years of age.</w:t>
      </w:r>
    </w:p>
    <w:p w14:paraId="26BE425B" w14:textId="77777777" w:rsidR="001963DB" w:rsidRPr="00AB4518" w:rsidRDefault="001963DB" w:rsidP="0046163F">
      <w:pPr>
        <w:pStyle w:val="NoSpacing"/>
        <w:jc w:val="both"/>
        <w:rPr>
          <w:lang w:val="en-US"/>
        </w:rPr>
      </w:pPr>
      <w:r w:rsidRPr="00D76756">
        <w:rPr>
          <w:rFonts w:ascii="Cambria" w:hAnsi="Cambria"/>
          <w:sz w:val="16"/>
          <w:szCs w:val="16"/>
          <w:lang w:val="en-US"/>
        </w:rPr>
        <w:t>3. The person must have undergone a period of remedial custodial treatment for a period of not less than one (1) year, which period may be extended if necessary until the person reaches the age of majority. Once these requirements have been met, if the nature of the crime, the minor’s background, the result of the remedial custodial treatment and the direct impression made on the judge are such that punishment is deemed necessary, then it shall be so resolved; the penalty may be reduced to the penalty dictated for attempts to commit the same crime.</w:t>
      </w:r>
      <w:r w:rsidRPr="00D76756">
        <w:rPr>
          <w:rFonts w:ascii="Cambria" w:hAnsi="Cambria"/>
          <w:sz w:val="16"/>
          <w:szCs w:val="16"/>
          <w:u w:color="000000"/>
          <w:lang w:val="en-US" w:eastAsia="es-ES"/>
        </w:rPr>
        <w:t xml:space="preserve"> Otherwise, if punishment is not deemed necessary, the minor shall be acquitted, in which case the requirement set forth in the second subpa</w:t>
      </w:r>
      <w:r w:rsidRPr="00AB4518">
        <w:rPr>
          <w:rFonts w:ascii="Cambria" w:hAnsi="Cambria"/>
          <w:sz w:val="16"/>
          <w:szCs w:val="16"/>
          <w:u w:color="000000"/>
          <w:lang w:val="en-US" w:eastAsia="es-ES"/>
        </w:rPr>
        <w:t>ragraph may be disregarded.</w:t>
      </w:r>
    </w:p>
  </w:footnote>
  <w:footnote w:id="22">
    <w:p w14:paraId="6C04552D" w14:textId="334371F8" w:rsidR="001963DB" w:rsidRPr="00AB4518"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ANNEX</w:t>
      </w:r>
      <w:r w:rsidR="00747B67" w:rsidRPr="00AB4518">
        <w:rPr>
          <w:rFonts w:ascii="Cambria" w:hAnsi="Cambria"/>
          <w:b/>
          <w:sz w:val="16"/>
          <w:szCs w:val="16"/>
          <w:lang w:val="en-US"/>
        </w:rPr>
        <w:t xml:space="preserve"> 7</w:t>
      </w:r>
      <w:r w:rsidRPr="00AB4518">
        <w:rPr>
          <w:rFonts w:ascii="Cambria" w:hAnsi="Cambria"/>
          <w:sz w:val="16"/>
          <w:szCs w:val="16"/>
          <w:lang w:val="en-US"/>
        </w:rPr>
        <w:t>. Judgment No. 17/2002 of the First Chamber of the Criminal Court of the Judicial District of Comodoro Rivadavia of May 19, 2000. Annex 3 to the communication from the petitioners, August 4, 2009.</w:t>
      </w:r>
    </w:p>
  </w:footnote>
  <w:footnote w:id="23">
    <w:p w14:paraId="7D44A16B" w14:textId="1EAAE2CF" w:rsidR="001963DB" w:rsidRPr="00D76756"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747B67" w:rsidRPr="00AB4518">
        <w:rPr>
          <w:rFonts w:ascii="Cambria" w:hAnsi="Cambria"/>
          <w:b/>
          <w:sz w:val="16"/>
          <w:szCs w:val="16"/>
          <w:lang w:val="en-US"/>
        </w:rPr>
        <w:t>7</w:t>
      </w:r>
      <w:r w:rsidRPr="00AB4518">
        <w:rPr>
          <w:rFonts w:ascii="Cambria" w:hAnsi="Cambria"/>
          <w:b/>
          <w:sz w:val="16"/>
          <w:szCs w:val="16"/>
          <w:lang w:val="en-US"/>
        </w:rPr>
        <w:t>.</w:t>
      </w:r>
      <w:r w:rsidRPr="00AB4518">
        <w:rPr>
          <w:rFonts w:ascii="Cambria" w:hAnsi="Cambria"/>
          <w:sz w:val="16"/>
          <w:szCs w:val="16"/>
          <w:lang w:val="en-US"/>
        </w:rPr>
        <w:t xml:space="preserve"> Judgment No. 17/2002 of the First Chamber of the Criminal Court of the Judicial District of Comodoro Rivadavia of May 19, 2000. Annex 3 to th</w:t>
      </w:r>
      <w:r w:rsidRPr="00D76756">
        <w:rPr>
          <w:rFonts w:ascii="Cambria" w:hAnsi="Cambria"/>
          <w:sz w:val="16"/>
          <w:szCs w:val="16"/>
          <w:lang w:val="en-US"/>
        </w:rPr>
        <w:t>e communication from the petitioners, August 4, 2009.</w:t>
      </w:r>
    </w:p>
  </w:footnote>
  <w:footnote w:id="24">
    <w:p w14:paraId="4CF192A9" w14:textId="0134256B" w:rsidR="001963DB" w:rsidRPr="00AB4518"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w:t>
      </w:r>
      <w:r w:rsidRPr="00AB4518">
        <w:rPr>
          <w:rFonts w:ascii="Cambria" w:hAnsi="Cambria"/>
          <w:b/>
          <w:sz w:val="16"/>
          <w:szCs w:val="16"/>
          <w:lang w:val="en-US"/>
        </w:rPr>
        <w:t>ANNEX</w:t>
      </w:r>
      <w:r w:rsidR="00123D31" w:rsidRPr="00AB4518">
        <w:rPr>
          <w:rFonts w:ascii="Cambria" w:hAnsi="Cambria"/>
          <w:b/>
          <w:sz w:val="16"/>
          <w:szCs w:val="16"/>
          <w:lang w:val="en-US"/>
        </w:rPr>
        <w:t xml:space="preserve"> 8</w:t>
      </w:r>
      <w:r w:rsidRPr="00AB4518">
        <w:rPr>
          <w:rFonts w:ascii="Cambria" w:hAnsi="Cambria"/>
          <w:sz w:val="16"/>
          <w:szCs w:val="16"/>
          <w:lang w:val="en-US"/>
        </w:rPr>
        <w:t>. Judgment No. 50/2002 of the First Chamber of the Criminal Court of the Judicial District of Comodoro Rivadavia of September 17, 2002. Annex 1 to the communication from the petitioners, received by the Commission on May 21, 2004.</w:t>
      </w:r>
    </w:p>
  </w:footnote>
  <w:footnote w:id="25">
    <w:p w14:paraId="6A9442EC" w14:textId="43BDD6F0" w:rsidR="001963DB" w:rsidRPr="00AB4518"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123D31" w:rsidRPr="00AB4518">
        <w:rPr>
          <w:rFonts w:ascii="Cambria" w:hAnsi="Cambria"/>
          <w:b/>
          <w:sz w:val="16"/>
          <w:szCs w:val="16"/>
          <w:lang w:val="en-US"/>
        </w:rPr>
        <w:t>8</w:t>
      </w:r>
      <w:r w:rsidRPr="00AB4518">
        <w:rPr>
          <w:rFonts w:ascii="Cambria" w:hAnsi="Cambria"/>
          <w:sz w:val="16"/>
          <w:szCs w:val="16"/>
          <w:lang w:val="en-US"/>
        </w:rPr>
        <w:t>. Judgment No. 50/2002 of the First Chamber of the Criminal Court of the Judicial District of Comodoro Rivadavia of September 17, 2002. Annex 1 to the communication from the petitioners, received by the Commission on May 21, 2004.</w:t>
      </w:r>
    </w:p>
  </w:footnote>
  <w:footnote w:id="26">
    <w:p w14:paraId="54D8364B" w14:textId="199878BF" w:rsidR="001963DB" w:rsidRPr="00AB4518"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123D31" w:rsidRPr="00AB4518">
        <w:rPr>
          <w:rFonts w:ascii="Cambria" w:hAnsi="Cambria"/>
          <w:b/>
          <w:sz w:val="16"/>
          <w:szCs w:val="16"/>
          <w:lang w:val="en-US"/>
        </w:rPr>
        <w:t>8</w:t>
      </w:r>
      <w:r w:rsidRPr="00AB4518">
        <w:rPr>
          <w:rFonts w:ascii="Cambria" w:hAnsi="Cambria"/>
          <w:sz w:val="16"/>
          <w:szCs w:val="16"/>
          <w:lang w:val="en-US"/>
        </w:rPr>
        <w:t>. Judgment No. 50/2002 of the First Chamber of the Criminal Court of the Judicial District of Comodoro Rivadavia of September 17, 2002. Annex 1 to the communication from the petitioners, received by the Commission on May 21, 2004.</w:t>
      </w:r>
    </w:p>
  </w:footnote>
  <w:footnote w:id="27">
    <w:p w14:paraId="05A7BDEE" w14:textId="2E52A300" w:rsidR="001963DB" w:rsidRPr="00AB4518"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B52F3D" w:rsidRPr="00AB4518">
        <w:rPr>
          <w:rFonts w:ascii="Cambria" w:hAnsi="Cambria"/>
          <w:b/>
          <w:sz w:val="16"/>
          <w:szCs w:val="16"/>
          <w:lang w:val="en-US"/>
        </w:rPr>
        <w:t>2</w:t>
      </w:r>
      <w:r w:rsidRPr="00AB4518">
        <w:rPr>
          <w:rFonts w:ascii="Cambria" w:hAnsi="Cambria"/>
          <w:b/>
          <w:sz w:val="16"/>
          <w:szCs w:val="16"/>
          <w:lang w:val="en-US"/>
        </w:rPr>
        <w:t>.</w:t>
      </w:r>
      <w:r w:rsidRPr="00AB4518">
        <w:rPr>
          <w:rFonts w:ascii="Cambria" w:hAnsi="Cambria"/>
          <w:sz w:val="16"/>
          <w:szCs w:val="16"/>
          <w:lang w:val="en-US"/>
        </w:rPr>
        <w:t xml:space="preserve"> Cassation appeal filed by María Isabel Díaz de Fajardo, court-appointed Family Counsellor and Guardian Ad Litem, on behalf of Diego Armando Pacheco, received by the First Chamber of the Criminal Court on September 26, 2002. Annex 2 to the communication from the petitioners, received by the Commission on May 21, 2004.</w:t>
      </w:r>
    </w:p>
  </w:footnote>
  <w:footnote w:id="28">
    <w:p w14:paraId="0F2E0F68" w14:textId="43C1CD85" w:rsidR="001963DB" w:rsidRPr="00AB4518"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B52F3D" w:rsidRPr="00AB4518">
        <w:rPr>
          <w:rFonts w:ascii="Cambria" w:hAnsi="Cambria"/>
          <w:b/>
          <w:sz w:val="16"/>
          <w:szCs w:val="16"/>
          <w:lang w:val="en-US"/>
        </w:rPr>
        <w:t>3</w:t>
      </w:r>
      <w:r w:rsidRPr="00AB4518">
        <w:rPr>
          <w:rFonts w:ascii="Cambria" w:hAnsi="Cambria"/>
          <w:b/>
          <w:sz w:val="16"/>
          <w:szCs w:val="16"/>
          <w:lang w:val="en-US"/>
        </w:rPr>
        <w:t>.</w:t>
      </w:r>
      <w:r w:rsidRPr="00AB4518">
        <w:rPr>
          <w:rFonts w:ascii="Cambria" w:hAnsi="Cambria"/>
          <w:sz w:val="16"/>
          <w:szCs w:val="16"/>
          <w:lang w:val="en-US"/>
        </w:rPr>
        <w:t xml:space="preserve"> Cassation appeal filed by Esteban Mantecón, Assistant Attorney of the Public Defense Office of the Chamber, received by the First Chamber of the Criminal Court on October 2, 2002. Annex 3 to the communication from the petitioners, received by the Commission on May 21, 2004.</w:t>
      </w:r>
    </w:p>
  </w:footnote>
  <w:footnote w:id="29">
    <w:p w14:paraId="7511C83E" w14:textId="4B5B3088" w:rsidR="001963DB" w:rsidRPr="00D76756" w:rsidRDefault="001963DB" w:rsidP="00AB4518">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B52F3D" w:rsidRPr="00AB4518">
        <w:rPr>
          <w:rFonts w:ascii="Cambria" w:hAnsi="Cambria"/>
          <w:b/>
          <w:sz w:val="16"/>
          <w:szCs w:val="16"/>
          <w:lang w:val="en-US"/>
        </w:rPr>
        <w:t>2</w:t>
      </w:r>
      <w:r w:rsidRPr="00AB4518">
        <w:rPr>
          <w:rFonts w:ascii="Cambria" w:hAnsi="Cambria"/>
          <w:b/>
          <w:sz w:val="16"/>
          <w:szCs w:val="16"/>
          <w:lang w:val="en-US"/>
        </w:rPr>
        <w:t>.</w:t>
      </w:r>
      <w:r w:rsidRPr="00AB4518">
        <w:rPr>
          <w:rFonts w:ascii="Cambria" w:hAnsi="Cambria"/>
          <w:sz w:val="16"/>
          <w:szCs w:val="16"/>
          <w:lang w:val="en-US"/>
        </w:rPr>
        <w:t xml:space="preserve"> Cassation appeal filed by María Isabel Díaz de Fajardo, court-appointed Family Counsellor and Guardian Ad Litem, on behalf of Diego Arma</w:t>
      </w:r>
      <w:r w:rsidRPr="00D76756">
        <w:rPr>
          <w:rFonts w:ascii="Cambria" w:hAnsi="Cambria"/>
          <w:sz w:val="16"/>
          <w:szCs w:val="16"/>
          <w:lang w:val="en-US"/>
        </w:rPr>
        <w:t>ndo Pacheco, received by the First Chamber of the Criminal Court on September 26, 2002. Annex 2 to the communication from the petitioners, received by the Commission on May 21, 2004.</w:t>
      </w:r>
    </w:p>
  </w:footnote>
  <w:footnote w:id="30">
    <w:p w14:paraId="463BECF5" w14:textId="5937D6FA" w:rsidR="001963DB" w:rsidRPr="00AB4518" w:rsidRDefault="001963DB" w:rsidP="00AB4518">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B52F3D" w:rsidRPr="00AB4518">
        <w:rPr>
          <w:rFonts w:ascii="Cambria" w:hAnsi="Cambria"/>
          <w:b/>
          <w:sz w:val="16"/>
          <w:szCs w:val="16"/>
          <w:lang w:val="en-US"/>
        </w:rPr>
        <w:t>3</w:t>
      </w:r>
      <w:r w:rsidRPr="00AB4518">
        <w:rPr>
          <w:rFonts w:ascii="Cambria" w:hAnsi="Cambria"/>
          <w:b/>
          <w:sz w:val="16"/>
          <w:szCs w:val="16"/>
          <w:lang w:val="en-US"/>
        </w:rPr>
        <w:t>.</w:t>
      </w:r>
      <w:r w:rsidRPr="00AB4518">
        <w:rPr>
          <w:rFonts w:ascii="Cambria" w:hAnsi="Cambria"/>
          <w:sz w:val="16"/>
          <w:szCs w:val="16"/>
          <w:lang w:val="en-US"/>
        </w:rPr>
        <w:t xml:space="preserve"> Cassation appeal filed by Esteban Mantecón, Assistant Attorney of the Public Defense Office of the Chamber, received by the First Chamber of the Criminal Court on October 2, 2002. Annex 3 to the communication from the petitioners, received by the Commission on May 21, 2004.</w:t>
      </w:r>
    </w:p>
  </w:footnote>
  <w:footnote w:id="31">
    <w:p w14:paraId="03FE455B" w14:textId="1EAFF442" w:rsidR="001963DB" w:rsidRPr="00AB4518" w:rsidRDefault="001963DB" w:rsidP="00AB4518">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926E98" w:rsidRPr="00AB4518">
        <w:rPr>
          <w:rFonts w:ascii="Cambria" w:hAnsi="Cambria"/>
          <w:b/>
          <w:sz w:val="16"/>
          <w:szCs w:val="16"/>
          <w:lang w:val="en-US"/>
        </w:rPr>
        <w:t>9</w:t>
      </w:r>
      <w:r w:rsidRPr="00AB4518">
        <w:rPr>
          <w:rFonts w:ascii="Cambria" w:hAnsi="Cambria"/>
          <w:sz w:val="16"/>
          <w:szCs w:val="16"/>
          <w:lang w:val="en-US"/>
        </w:rPr>
        <w:t>. Ruling of the First Chamber of the Criminal Court of Comodoro Rivadavia of October 3, 2002. Annex 4 to the communication from the petitioners, received by the Commission on May 21, 2004.</w:t>
      </w:r>
    </w:p>
  </w:footnote>
  <w:footnote w:id="32">
    <w:p w14:paraId="4CB75913" w14:textId="27CDD596" w:rsidR="001963DB" w:rsidRPr="00AB4518" w:rsidRDefault="001963DB" w:rsidP="00AB4518">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926E98" w:rsidRPr="00AB4518">
        <w:rPr>
          <w:rFonts w:ascii="Cambria" w:hAnsi="Cambria"/>
          <w:b/>
          <w:sz w:val="16"/>
          <w:szCs w:val="16"/>
          <w:lang w:val="en-US"/>
        </w:rPr>
        <w:t>4</w:t>
      </w:r>
      <w:r w:rsidRPr="00AB4518">
        <w:rPr>
          <w:rFonts w:ascii="Cambria" w:hAnsi="Cambria"/>
          <w:b/>
          <w:sz w:val="16"/>
          <w:szCs w:val="16"/>
          <w:lang w:val="en-US"/>
        </w:rPr>
        <w:t>.</w:t>
      </w:r>
      <w:r w:rsidRPr="00AB4518">
        <w:rPr>
          <w:rFonts w:ascii="Cambria" w:hAnsi="Cambria"/>
          <w:sz w:val="16"/>
          <w:szCs w:val="16"/>
          <w:lang w:val="en-US"/>
        </w:rPr>
        <w:t xml:space="preserve"> Judgment of the Superior Court of Justice of the Province of Chubut of December 16, 2002. Annex 6 to the communication from the petitioners, received by the Commission on May 21, 2004.</w:t>
      </w:r>
    </w:p>
  </w:footnote>
  <w:footnote w:id="33">
    <w:p w14:paraId="30E0FD67" w14:textId="4372D1B1" w:rsidR="001963DB" w:rsidRPr="00AB4518" w:rsidRDefault="001963DB" w:rsidP="00AB4518">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926E98" w:rsidRPr="00AB4518">
        <w:rPr>
          <w:rFonts w:ascii="Cambria" w:hAnsi="Cambria"/>
          <w:b/>
          <w:sz w:val="16"/>
          <w:szCs w:val="16"/>
          <w:lang w:val="en-US"/>
        </w:rPr>
        <w:t>5</w:t>
      </w:r>
      <w:r w:rsidRPr="00AB4518">
        <w:rPr>
          <w:rFonts w:ascii="Cambria" w:hAnsi="Cambria"/>
          <w:b/>
          <w:sz w:val="16"/>
          <w:szCs w:val="16"/>
          <w:lang w:val="en-US"/>
        </w:rPr>
        <w:t xml:space="preserve">. </w:t>
      </w:r>
      <w:r w:rsidR="00F64F34" w:rsidRPr="00AB4518">
        <w:rPr>
          <w:rFonts w:ascii="Cambria" w:hAnsi="Cambria"/>
          <w:sz w:val="16"/>
          <w:szCs w:val="16"/>
          <w:lang w:val="en-US"/>
        </w:rPr>
        <w:t>Special federal appeal</w:t>
      </w:r>
      <w:r w:rsidRPr="00AB4518">
        <w:rPr>
          <w:rFonts w:ascii="Cambria" w:hAnsi="Cambria"/>
          <w:sz w:val="16"/>
          <w:szCs w:val="16"/>
          <w:lang w:val="en-US"/>
        </w:rPr>
        <w:t xml:space="preserve"> filed by Arnaldo Hugo Barone, Public Defender of the province of Chubut on behalf of Diego Armando Pacheco. Annex 8 to the communication from the petitioners, received by the Commission on May 21, 2004. </w:t>
      </w:r>
    </w:p>
  </w:footnote>
  <w:footnote w:id="34">
    <w:p w14:paraId="4266278B" w14:textId="39078AB0" w:rsidR="001963DB" w:rsidRPr="00AB4518" w:rsidRDefault="001963DB" w:rsidP="00AB4518">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926E98" w:rsidRPr="00AB4518">
        <w:rPr>
          <w:rFonts w:ascii="Cambria" w:hAnsi="Cambria"/>
          <w:b/>
          <w:sz w:val="16"/>
          <w:szCs w:val="16"/>
          <w:lang w:val="en-US"/>
        </w:rPr>
        <w:t>10</w:t>
      </w:r>
      <w:r w:rsidRPr="00AB4518">
        <w:rPr>
          <w:rFonts w:ascii="Cambria" w:hAnsi="Cambria"/>
          <w:b/>
          <w:sz w:val="16"/>
          <w:szCs w:val="16"/>
          <w:lang w:val="en-US"/>
        </w:rPr>
        <w:t>.</w:t>
      </w:r>
      <w:r w:rsidRPr="00AB4518">
        <w:rPr>
          <w:rFonts w:ascii="Cambria" w:hAnsi="Cambria"/>
          <w:sz w:val="16"/>
          <w:szCs w:val="16"/>
          <w:lang w:val="en-US"/>
        </w:rPr>
        <w:t xml:space="preserve"> Judgment of the Superior Court of Justice of the Province of Chubut of June 30, 2003. 2003. Annex 12 to the communication from the petitioners, received by the Commission on May 21, 2004.</w:t>
      </w:r>
    </w:p>
  </w:footnote>
  <w:footnote w:id="35">
    <w:p w14:paraId="6407D224" w14:textId="07FFE60D" w:rsidR="001963DB" w:rsidRPr="00AB4518" w:rsidRDefault="001963DB" w:rsidP="00AB4518">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5B6E9C" w:rsidRPr="00AB4518">
        <w:rPr>
          <w:rFonts w:ascii="Cambria" w:hAnsi="Cambria"/>
          <w:b/>
          <w:sz w:val="16"/>
          <w:szCs w:val="16"/>
          <w:lang w:val="en-US"/>
        </w:rPr>
        <w:t>11</w:t>
      </w:r>
      <w:r w:rsidRPr="00AB4518">
        <w:rPr>
          <w:rFonts w:ascii="Cambria" w:hAnsi="Cambria"/>
          <w:b/>
          <w:sz w:val="16"/>
          <w:szCs w:val="16"/>
          <w:lang w:val="en-US"/>
        </w:rPr>
        <w:t xml:space="preserve">. </w:t>
      </w:r>
      <w:r w:rsidRPr="00AB4518">
        <w:rPr>
          <w:rFonts w:ascii="Cambria" w:hAnsi="Cambria"/>
          <w:sz w:val="16"/>
          <w:szCs w:val="16"/>
          <w:lang w:val="en-US"/>
        </w:rPr>
        <w:t xml:space="preserve">Complaint appeal challenging the dismissal of the </w:t>
      </w:r>
      <w:r w:rsidR="00F64F34" w:rsidRPr="00AB4518">
        <w:rPr>
          <w:rFonts w:ascii="Cambria" w:hAnsi="Cambria"/>
          <w:sz w:val="16"/>
          <w:szCs w:val="16"/>
          <w:lang w:val="en-US"/>
        </w:rPr>
        <w:t>special federal appeal</w:t>
      </w:r>
      <w:r w:rsidRPr="00AB4518">
        <w:rPr>
          <w:rFonts w:ascii="Cambria" w:hAnsi="Cambria"/>
          <w:sz w:val="16"/>
          <w:szCs w:val="16"/>
          <w:lang w:val="en-US"/>
        </w:rPr>
        <w:t xml:space="preserve"> filed by Arnaldo Hugo Barone, Public Defender of the province of Chubut, on behalf of Diego Armando Pacheco. Annex 14 to the communication from the petitioners, received by the Commission on May 21, 2004.</w:t>
      </w:r>
    </w:p>
  </w:footnote>
  <w:footnote w:id="36">
    <w:p w14:paraId="1B159655" w14:textId="264BF465" w:rsidR="001963DB" w:rsidRPr="00D76756" w:rsidRDefault="001963DB" w:rsidP="00AB4518">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5B6E9C" w:rsidRPr="00AB4518">
        <w:rPr>
          <w:rFonts w:ascii="Cambria" w:hAnsi="Cambria"/>
          <w:b/>
          <w:sz w:val="16"/>
          <w:szCs w:val="16"/>
          <w:lang w:val="en-US"/>
        </w:rPr>
        <w:t>12</w:t>
      </w:r>
      <w:r w:rsidRPr="00AB4518">
        <w:rPr>
          <w:rFonts w:ascii="Cambria" w:hAnsi="Cambria"/>
          <w:b/>
          <w:sz w:val="16"/>
          <w:szCs w:val="16"/>
          <w:lang w:val="en-US"/>
        </w:rPr>
        <w:t>.</w:t>
      </w:r>
      <w:r w:rsidRPr="00D76756">
        <w:rPr>
          <w:rFonts w:ascii="Cambria" w:hAnsi="Cambria"/>
          <w:sz w:val="16"/>
          <w:szCs w:val="16"/>
          <w:lang w:val="en-US"/>
        </w:rPr>
        <w:t xml:space="preserve"> Judgment of the Federal Supreme Court of Justice of November 11, 2003. Annex 1 to the communication from the petitioners, August 4, 2009. </w:t>
      </w:r>
    </w:p>
  </w:footnote>
  <w:footnote w:id="37">
    <w:p w14:paraId="2634F9E5" w14:textId="77777777" w:rsidR="001963DB" w:rsidRPr="00D76756" w:rsidRDefault="001963DB" w:rsidP="00AB4518">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Communication from the state of Argentina, July 27, 2015. </w:t>
      </w:r>
    </w:p>
  </w:footnote>
  <w:footnote w:id="38">
    <w:p w14:paraId="596396D0"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w:t>
      </w:r>
      <w:r w:rsidRPr="00D76756">
        <w:rPr>
          <w:rFonts w:ascii="Cambria" w:hAnsi="Cambria"/>
          <w:bCs/>
          <w:color w:val="000000"/>
          <w:sz w:val="16"/>
          <w:szCs w:val="16"/>
          <w:shd w:val="clear" w:color="auto" w:fill="FFFFFF"/>
        </w:rPr>
        <w:t>I/A Court H.R. Case of Herrera Ulloa v. Costa Rica. Judgment of July 2, 2004. Preliminary objections, merits, reparations and costs. Series C No. 107, paras. 158 to 161; and I/A Court H.R. Case of Mendoza et al. v. Argentina. Judgment of May 14, 2013. Preliminary objections, merits and reparations. Series C No. 260, para. 242.</w:t>
      </w:r>
    </w:p>
  </w:footnote>
  <w:footnote w:id="39">
    <w:p w14:paraId="5C9D947C" w14:textId="77777777" w:rsidR="001963DB" w:rsidRPr="00D76756" w:rsidRDefault="001963DB" w:rsidP="0046163F">
      <w:pPr>
        <w:pStyle w:val="NormalWeb"/>
        <w:spacing w:before="0" w:beforeAutospacing="0" w:after="0" w:afterAutospacing="0"/>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IACHR. Report No. 33/14. Case 12.820. Merits. </w:t>
      </w:r>
      <w:r w:rsidRPr="00F43938">
        <w:rPr>
          <w:rFonts w:ascii="Cambria" w:hAnsi="Cambria"/>
          <w:sz w:val="16"/>
          <w:szCs w:val="16"/>
        </w:rPr>
        <w:t xml:space="preserve">Manfred Amrhein et al. Costa Rica. </w:t>
      </w:r>
      <w:r w:rsidRPr="00D76756">
        <w:rPr>
          <w:rFonts w:ascii="Cambria" w:hAnsi="Cambria"/>
          <w:sz w:val="16"/>
          <w:szCs w:val="16"/>
        </w:rPr>
        <w:t>April 4, 2014, para 197. See also: UN, Human Rights Committee. General Comment</w:t>
      </w:r>
      <w:r w:rsidRPr="00D76756">
        <w:rPr>
          <w:rFonts w:ascii="Cambria" w:hAnsi="Cambria" w:cs="Calibri"/>
          <w:sz w:val="16"/>
          <w:szCs w:val="16"/>
        </w:rPr>
        <w:t xml:space="preserve"> No. 32, “Article14, Right to equality before courts and tribunals and to fair trial.” 2007, paras. 47 to 50. </w:t>
      </w:r>
    </w:p>
  </w:footnote>
  <w:footnote w:id="40">
    <w:p w14:paraId="24563A9B"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w:t>
      </w:r>
      <w:r w:rsidRPr="00D76756">
        <w:rPr>
          <w:rFonts w:ascii="Cambria" w:hAnsi="Cambria"/>
          <w:bCs/>
          <w:color w:val="000000"/>
          <w:sz w:val="16"/>
          <w:szCs w:val="16"/>
          <w:shd w:val="clear" w:color="auto" w:fill="FFFFFF"/>
        </w:rPr>
        <w:t xml:space="preserve">I/A Court H.R. Case of Mohamed v. Argentina. Judgment of November 23, 2012. Preliminary objection, merits, reparations and costs. Series C No. 255, para. 119. </w:t>
      </w:r>
      <w:r w:rsidRPr="00D76756">
        <w:rPr>
          <w:rFonts w:ascii="Cambria" w:hAnsi="Cambria"/>
          <w:sz w:val="16"/>
          <w:szCs w:val="16"/>
        </w:rPr>
        <w:t xml:space="preserve"> </w:t>
      </w:r>
    </w:p>
  </w:footnote>
  <w:footnote w:id="41">
    <w:p w14:paraId="1B1312D2"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w:t>
      </w:r>
      <w:r w:rsidRPr="00D76756">
        <w:rPr>
          <w:rFonts w:ascii="Cambria" w:hAnsi="Cambria"/>
          <w:bCs/>
          <w:color w:val="000000"/>
          <w:sz w:val="16"/>
          <w:szCs w:val="16"/>
          <w:shd w:val="clear" w:color="auto" w:fill="FFFFFF"/>
        </w:rPr>
        <w:t xml:space="preserve">I/A Court H.R. Case of Amrhein et al. v. Costa Rica. Judgment of April 25, 2018. Preliminary objections, merits, reparations and costs. Series C No. 354, para. 186. </w:t>
      </w:r>
    </w:p>
  </w:footnote>
  <w:footnote w:id="42">
    <w:p w14:paraId="45C5B2D8" w14:textId="77777777" w:rsidR="001963DB" w:rsidRPr="00D76756" w:rsidRDefault="001963DB" w:rsidP="0046163F">
      <w:pPr>
        <w:pStyle w:val="NormalWeb"/>
        <w:spacing w:before="0" w:beforeAutospacing="0" w:after="0" w:afterAutospacing="0"/>
        <w:jc w:val="both"/>
        <w:rPr>
          <w:rFonts w:ascii="Cambria" w:hAnsi="Cambria" w:cs="Calibri"/>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I/A Court H.R. </w:t>
      </w:r>
      <w:r w:rsidRPr="00D76756">
        <w:rPr>
          <w:rFonts w:ascii="Cambria" w:hAnsi="Cambria" w:cs="Calibri"/>
          <w:iCs/>
          <w:sz w:val="16"/>
          <w:szCs w:val="16"/>
        </w:rPr>
        <w:t xml:space="preserve">Case of Barreto Leiva v. Venezuela. </w:t>
      </w:r>
      <w:r w:rsidRPr="00D76756">
        <w:rPr>
          <w:rFonts w:ascii="Cambria" w:hAnsi="Cambria" w:cs="Calibri"/>
          <w:sz w:val="16"/>
          <w:szCs w:val="16"/>
        </w:rPr>
        <w:t>Judgment of November 17, 2009. Merits, reparations and costs. Series C No. 206</w:t>
      </w:r>
      <w:r w:rsidRPr="00D76756">
        <w:rPr>
          <w:rFonts w:ascii="Cambria" w:hAnsi="Cambria" w:cs="Calibri"/>
          <w:iCs/>
          <w:sz w:val="16"/>
          <w:szCs w:val="16"/>
        </w:rPr>
        <w:t xml:space="preserve">, </w:t>
      </w:r>
      <w:r w:rsidRPr="00D76756">
        <w:rPr>
          <w:rFonts w:ascii="Cambria" w:hAnsi="Cambria" w:cs="Calibri"/>
          <w:sz w:val="16"/>
          <w:szCs w:val="16"/>
        </w:rPr>
        <w:t xml:space="preserve">para. 89; I/A Court H.R. </w:t>
      </w:r>
      <w:r w:rsidRPr="00D76756">
        <w:rPr>
          <w:rFonts w:ascii="Cambria" w:hAnsi="Cambria" w:cs="Calibri"/>
          <w:iCs/>
          <w:sz w:val="16"/>
          <w:szCs w:val="16"/>
        </w:rPr>
        <w:t xml:space="preserve">Case of Mohamed v. Argentina. </w:t>
      </w:r>
      <w:r w:rsidRPr="00D76756">
        <w:rPr>
          <w:rFonts w:ascii="Cambria" w:hAnsi="Cambria" w:cs="Calibri"/>
          <w:sz w:val="16"/>
          <w:szCs w:val="16"/>
        </w:rPr>
        <w:t xml:space="preserve">Judgment of November 23, 2012. Preliminary objection, merits, reparations and costs. Series C No. 255, para. 97; and </w:t>
      </w:r>
      <w:r w:rsidRPr="00D76756">
        <w:rPr>
          <w:rFonts w:ascii="Cambria" w:hAnsi="Cambria" w:cs="Calibri"/>
          <w:color w:val="232323"/>
          <w:sz w:val="16"/>
          <w:szCs w:val="16"/>
        </w:rPr>
        <w:t xml:space="preserve">I/A Court H.R. Case of Liakat Ali Alibux v. Suriname. </w:t>
      </w:r>
      <w:r w:rsidRPr="00D76756">
        <w:rPr>
          <w:rFonts w:ascii="Cambria" w:hAnsi="Cambria" w:cs="Calibri"/>
          <w:sz w:val="16"/>
          <w:szCs w:val="16"/>
        </w:rPr>
        <w:t xml:space="preserve">Judgment of January 30, 2014. </w:t>
      </w:r>
      <w:r w:rsidRPr="00D76756">
        <w:rPr>
          <w:rFonts w:ascii="Cambria" w:hAnsi="Cambria" w:cs="Calibri"/>
          <w:color w:val="232323"/>
          <w:sz w:val="16"/>
          <w:szCs w:val="16"/>
        </w:rPr>
        <w:t>Preliminary objections, merits, reparations and costs</w:t>
      </w:r>
      <w:r w:rsidRPr="00D76756">
        <w:rPr>
          <w:rFonts w:ascii="Cambria" w:hAnsi="Cambria" w:cs="Calibri"/>
          <w:sz w:val="16"/>
          <w:szCs w:val="16"/>
        </w:rPr>
        <w:t xml:space="preserve">. Series C No. 276, para. 85. </w:t>
      </w:r>
    </w:p>
  </w:footnote>
  <w:footnote w:id="43">
    <w:p w14:paraId="4C6AD6EB" w14:textId="77777777" w:rsidR="001963DB" w:rsidRPr="00D76756" w:rsidRDefault="001963DB" w:rsidP="0046163F">
      <w:pPr>
        <w:pStyle w:val="NormalWeb"/>
        <w:spacing w:before="0" w:beforeAutospacing="0" w:after="0" w:afterAutospacing="0"/>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w:t>
      </w:r>
      <w:r w:rsidRPr="00D76756">
        <w:rPr>
          <w:rFonts w:ascii="Cambria" w:hAnsi="Cambria" w:cs="Calibri"/>
          <w:sz w:val="16"/>
          <w:szCs w:val="16"/>
        </w:rPr>
        <w:t xml:space="preserve">I/A Court H.R. </w:t>
      </w:r>
      <w:r w:rsidRPr="00D76756">
        <w:rPr>
          <w:rFonts w:ascii="Cambria" w:hAnsi="Cambria" w:cs="Calibri"/>
          <w:iCs/>
          <w:sz w:val="16"/>
          <w:szCs w:val="16"/>
        </w:rPr>
        <w:t>Case of Herrera Ulloa v. Costa Rica</w:t>
      </w:r>
      <w:r w:rsidRPr="00D76756">
        <w:rPr>
          <w:rFonts w:ascii="Cambria" w:hAnsi="Cambria" w:cs="Calibri"/>
          <w:sz w:val="16"/>
          <w:szCs w:val="16"/>
        </w:rPr>
        <w:t xml:space="preserve">. Judgment of July 2, 2004. Preliminary objections, merits, reparations and costs. Series C No. 107, para. 165; and UN, Human Rights Committee. </w:t>
      </w:r>
      <w:r w:rsidRPr="00D76756">
        <w:rPr>
          <w:rFonts w:ascii="Cambria" w:hAnsi="Cambria" w:cs="Calibri"/>
          <w:iCs/>
          <w:sz w:val="16"/>
          <w:szCs w:val="16"/>
        </w:rPr>
        <w:t>Gómez Vázquez v. Spain</w:t>
      </w:r>
      <w:r w:rsidRPr="00D76756">
        <w:rPr>
          <w:rFonts w:ascii="Cambria" w:hAnsi="Cambria" w:cs="Calibri"/>
          <w:sz w:val="16"/>
          <w:szCs w:val="16"/>
        </w:rPr>
        <w:t xml:space="preserve">. Communication No. 701/1996. Views adopted on 11 August 2000, para. 11.1. </w:t>
      </w:r>
    </w:p>
  </w:footnote>
  <w:footnote w:id="44">
    <w:p w14:paraId="39C3D607"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w:t>
      </w:r>
      <w:r w:rsidRPr="00D76756">
        <w:rPr>
          <w:rFonts w:ascii="Cambria" w:hAnsi="Cambria" w:cs="Calibri"/>
          <w:sz w:val="16"/>
          <w:szCs w:val="16"/>
        </w:rPr>
        <w:t xml:space="preserve">I/A Court H.R. </w:t>
      </w:r>
      <w:r w:rsidRPr="00D76756">
        <w:rPr>
          <w:rFonts w:ascii="Cambria" w:hAnsi="Cambria" w:cs="Calibri"/>
          <w:iCs/>
          <w:sz w:val="16"/>
          <w:szCs w:val="16"/>
        </w:rPr>
        <w:t>Case of Herrera Ulloa v. Costa Rica</w:t>
      </w:r>
      <w:r w:rsidRPr="00D76756">
        <w:rPr>
          <w:rFonts w:ascii="Cambria" w:hAnsi="Cambria" w:cs="Calibri"/>
          <w:sz w:val="16"/>
          <w:szCs w:val="16"/>
        </w:rPr>
        <w:t xml:space="preserve">. Judgment of July 2, 2004. Preliminary objections, merits, reparations and costs. Series C No. 107, para. 158; and </w:t>
      </w:r>
      <w:r w:rsidRPr="00D76756">
        <w:rPr>
          <w:rStyle w:val="Strong"/>
          <w:rFonts w:ascii="Cambria" w:eastAsia="Cambria" w:hAnsi="Cambria"/>
          <w:b w:val="0"/>
          <w:sz w:val="16"/>
          <w:szCs w:val="16"/>
          <w:shd w:val="clear" w:color="auto" w:fill="FFFFFF"/>
        </w:rPr>
        <w:t>I/A Court H.R. Case of Norín Catrimán et al. (Leaders, members and activist of the Mapuche Indigenous People) v. Chile. Judgment of May 29, 2014. Merits, reparations and costs. Series C No. 279, para. 270.</w:t>
      </w:r>
      <w:r w:rsidRPr="00D76756">
        <w:rPr>
          <w:rStyle w:val="Strong"/>
          <w:rFonts w:ascii="Cambria" w:eastAsia="Cambria" w:hAnsi="Cambria"/>
          <w:sz w:val="16"/>
          <w:szCs w:val="16"/>
          <w:shd w:val="clear" w:color="auto" w:fill="FFFFFF"/>
        </w:rPr>
        <w:t xml:space="preserve"> </w:t>
      </w:r>
      <w:r w:rsidRPr="00D76756">
        <w:rPr>
          <w:rFonts w:ascii="Cambria" w:hAnsi="Cambria"/>
          <w:sz w:val="16"/>
          <w:szCs w:val="16"/>
        </w:rPr>
        <w:t xml:space="preserve"> </w:t>
      </w:r>
    </w:p>
  </w:footnote>
  <w:footnote w:id="45">
    <w:p w14:paraId="28F6B086"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w:t>
      </w:r>
      <w:r w:rsidR="005536B9" w:rsidRPr="00D76756">
        <w:rPr>
          <w:rFonts w:ascii="Cambria" w:hAnsi="Cambria" w:cs="Calibri"/>
          <w:sz w:val="16"/>
          <w:szCs w:val="16"/>
          <w:lang w:val="en-US"/>
        </w:rPr>
        <w:t xml:space="preserve">I/A Court H.R. </w:t>
      </w:r>
      <w:r w:rsidR="005536B9" w:rsidRPr="00D76756">
        <w:rPr>
          <w:rFonts w:ascii="Cambria" w:hAnsi="Cambria" w:cs="Calibri"/>
          <w:iCs/>
          <w:sz w:val="16"/>
          <w:szCs w:val="16"/>
          <w:lang w:val="en-US"/>
        </w:rPr>
        <w:t xml:space="preserve">Case of Mohamed v. Argentina. </w:t>
      </w:r>
      <w:r w:rsidR="005536B9" w:rsidRPr="00D76756">
        <w:rPr>
          <w:rFonts w:ascii="Cambria" w:hAnsi="Cambria" w:cs="Calibri"/>
          <w:sz w:val="16"/>
          <w:szCs w:val="16"/>
          <w:lang w:val="en-US"/>
        </w:rPr>
        <w:t>Judgment of November 23, 2012. Preliminary objection, merits, reparations and costs. Series C No. 255, para. 99</w:t>
      </w:r>
      <w:r w:rsidRPr="00D76756">
        <w:rPr>
          <w:rFonts w:ascii="Cambria" w:hAnsi="Cambria" w:cs="Calibri"/>
          <w:sz w:val="16"/>
          <w:szCs w:val="16"/>
          <w:lang w:val="en-US"/>
        </w:rPr>
        <w:t xml:space="preserve">. </w:t>
      </w:r>
    </w:p>
  </w:footnote>
  <w:footnote w:id="46">
    <w:p w14:paraId="1ADEC053"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w:t>
      </w:r>
      <w:r w:rsidRPr="00D76756">
        <w:rPr>
          <w:rFonts w:ascii="Cambria" w:hAnsi="Cambria" w:cs="Calibri"/>
          <w:sz w:val="16"/>
          <w:szCs w:val="16"/>
          <w:lang w:val="en-US"/>
        </w:rPr>
        <w:t xml:space="preserve">I/A Court H.R. </w:t>
      </w:r>
      <w:r w:rsidRPr="00D76756">
        <w:rPr>
          <w:rFonts w:ascii="Cambria" w:hAnsi="Cambria" w:cs="Calibri"/>
          <w:iCs/>
          <w:sz w:val="16"/>
          <w:szCs w:val="16"/>
          <w:lang w:val="en-US"/>
        </w:rPr>
        <w:t>Case of Herrera Ulloa v. Costa Rica</w:t>
      </w:r>
      <w:r w:rsidRPr="00D76756">
        <w:rPr>
          <w:rFonts w:ascii="Cambria" w:hAnsi="Cambria" w:cs="Calibri"/>
          <w:sz w:val="16"/>
          <w:szCs w:val="16"/>
          <w:lang w:val="en-US"/>
        </w:rPr>
        <w:t xml:space="preserve">. Judgment of July 2, 2004. Preliminary objections, merits, reparations and costs. Series C No. 107, para. 161; and </w:t>
      </w:r>
      <w:r w:rsidRPr="00D76756">
        <w:rPr>
          <w:rFonts w:ascii="Cambria" w:hAnsi="Cambria" w:cs="Calibri"/>
          <w:color w:val="232323"/>
          <w:sz w:val="16"/>
          <w:szCs w:val="16"/>
          <w:lang w:val="en-US"/>
        </w:rPr>
        <w:t xml:space="preserve">I/A Court H.R. Case of Liakat Ali Alibux v. Suriname. </w:t>
      </w:r>
      <w:r w:rsidRPr="00D76756">
        <w:rPr>
          <w:rFonts w:ascii="Cambria" w:hAnsi="Cambria" w:cs="Calibri"/>
          <w:sz w:val="16"/>
          <w:szCs w:val="16"/>
          <w:lang w:val="en-US"/>
        </w:rPr>
        <w:t xml:space="preserve">Judgment of January 30, 2014. </w:t>
      </w:r>
      <w:r w:rsidRPr="00D76756">
        <w:rPr>
          <w:rFonts w:ascii="Cambria" w:hAnsi="Cambria" w:cs="Calibri"/>
          <w:color w:val="232323"/>
          <w:sz w:val="16"/>
          <w:szCs w:val="16"/>
          <w:lang w:val="en-US"/>
        </w:rPr>
        <w:t>Preliminary objections, merits, reparations and costs</w:t>
      </w:r>
      <w:r w:rsidRPr="00D76756">
        <w:rPr>
          <w:rFonts w:ascii="Cambria" w:hAnsi="Cambria" w:cs="Calibri"/>
          <w:sz w:val="16"/>
          <w:szCs w:val="16"/>
          <w:lang w:val="en-US"/>
        </w:rPr>
        <w:t xml:space="preserve">. Series C No. 276, para. 94. </w:t>
      </w:r>
    </w:p>
  </w:footnote>
  <w:footnote w:id="47">
    <w:p w14:paraId="6E84FA1B"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005536B9">
        <w:rPr>
          <w:rFonts w:ascii="Cambria" w:hAnsi="Cambria" w:cs="Calibri"/>
          <w:sz w:val="16"/>
          <w:szCs w:val="16"/>
          <w:lang w:val="en-US"/>
        </w:rPr>
        <w:t xml:space="preserve"> </w:t>
      </w:r>
      <w:r w:rsidR="005536B9" w:rsidRPr="00D76756">
        <w:rPr>
          <w:rFonts w:ascii="Cambria" w:hAnsi="Cambria" w:cs="Calibri"/>
          <w:sz w:val="16"/>
          <w:szCs w:val="16"/>
          <w:lang w:val="en-US"/>
        </w:rPr>
        <w:t xml:space="preserve">I/A Court H.R. </w:t>
      </w:r>
      <w:r w:rsidR="005536B9" w:rsidRPr="00D76756">
        <w:rPr>
          <w:rFonts w:ascii="Cambria" w:hAnsi="Cambria" w:cs="Calibri"/>
          <w:iCs/>
          <w:sz w:val="16"/>
          <w:szCs w:val="16"/>
          <w:lang w:val="en-US"/>
        </w:rPr>
        <w:t xml:space="preserve">Case of Mohamed v. Argentina. </w:t>
      </w:r>
      <w:r w:rsidR="005536B9" w:rsidRPr="00D76756">
        <w:rPr>
          <w:rFonts w:ascii="Cambria" w:hAnsi="Cambria" w:cs="Calibri"/>
          <w:sz w:val="16"/>
          <w:szCs w:val="16"/>
          <w:lang w:val="en-US"/>
        </w:rPr>
        <w:t>Judgment of November 23, 2012. Preliminary objection, merits, reparations and costs. Series C No. 255, para. 99</w:t>
      </w:r>
      <w:r w:rsidRPr="00D76756">
        <w:rPr>
          <w:rFonts w:ascii="Cambria" w:hAnsi="Cambria" w:cs="Calibri"/>
          <w:sz w:val="16"/>
          <w:szCs w:val="16"/>
          <w:lang w:val="en-US"/>
        </w:rPr>
        <w:t xml:space="preserve">; and </w:t>
      </w:r>
      <w:r w:rsidRPr="00D76756">
        <w:rPr>
          <w:rStyle w:val="Strong"/>
          <w:rFonts w:ascii="Cambria" w:eastAsia="Cambria" w:hAnsi="Cambria"/>
          <w:b w:val="0"/>
          <w:sz w:val="16"/>
          <w:szCs w:val="16"/>
          <w:shd w:val="clear" w:color="auto" w:fill="FFFFFF"/>
          <w:lang w:val="en-US"/>
        </w:rPr>
        <w:t>I/A Court H.R. Case of Norín Catrimán et al. (Leaders, members and activists of the Mapuche Indigenous People) v. Chile. Judgment of May 29, 2014. Merits, reparations and costs. Series C No. 279, para. 270.</w:t>
      </w:r>
    </w:p>
  </w:footnote>
  <w:footnote w:id="48">
    <w:p w14:paraId="7E7BC25C"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w:t>
      </w:r>
      <w:r w:rsidRPr="00D76756">
        <w:rPr>
          <w:rFonts w:ascii="Cambria" w:hAnsi="Cambria"/>
          <w:bCs/>
          <w:color w:val="000000"/>
          <w:sz w:val="16"/>
          <w:szCs w:val="16"/>
          <w:shd w:val="clear" w:color="auto" w:fill="FFFFFF"/>
          <w:lang w:val="en-US"/>
        </w:rPr>
        <w:t xml:space="preserve">I/A Court H.R. Case of Amrhein et al. v. Costa Rica. Judgment of April 25, 2018. Preliminary objections, merits, reparations and costs. Series C No. 354, para. 196. </w:t>
      </w:r>
    </w:p>
  </w:footnote>
  <w:footnote w:id="49">
    <w:p w14:paraId="6CDC3AA1"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w:t>
      </w:r>
      <w:r w:rsidRPr="00D76756">
        <w:rPr>
          <w:rFonts w:ascii="Cambria" w:hAnsi="Cambria" w:cs="Calibri"/>
          <w:sz w:val="16"/>
          <w:szCs w:val="16"/>
          <w:lang w:val="en-US"/>
        </w:rPr>
        <w:t xml:space="preserve">I/A Court H.R. </w:t>
      </w:r>
      <w:r w:rsidRPr="00D76756">
        <w:rPr>
          <w:rFonts w:ascii="Cambria" w:hAnsi="Cambria" w:cs="Calibri"/>
          <w:iCs/>
          <w:sz w:val="16"/>
          <w:szCs w:val="16"/>
          <w:lang w:val="en-US"/>
        </w:rPr>
        <w:t xml:space="preserve">Case of Mohamed v. Argentina. </w:t>
      </w:r>
      <w:r w:rsidR="009868B6">
        <w:rPr>
          <w:rFonts w:ascii="Cambria" w:hAnsi="Cambria" w:cs="Calibri"/>
          <w:iCs/>
          <w:sz w:val="16"/>
          <w:szCs w:val="16"/>
          <w:lang w:val="en-US"/>
        </w:rPr>
        <w:t xml:space="preserve">Judgment of </w:t>
      </w:r>
      <w:r w:rsidRPr="00D76756">
        <w:rPr>
          <w:rFonts w:ascii="Cambria" w:hAnsi="Cambria" w:cs="Calibri"/>
          <w:sz w:val="16"/>
          <w:szCs w:val="16"/>
          <w:lang w:val="en-US"/>
        </w:rPr>
        <w:t xml:space="preserve">November 23, 2012. Preliminary objection, merits, reparations and costs. Series C No. 255, para. 100. </w:t>
      </w:r>
    </w:p>
  </w:footnote>
  <w:footnote w:id="50">
    <w:p w14:paraId="57C23264" w14:textId="77777777" w:rsidR="001963DB" w:rsidRPr="00891660" w:rsidRDefault="001963DB" w:rsidP="0046163F">
      <w:pPr>
        <w:pStyle w:val="FootnoteText"/>
        <w:tabs>
          <w:tab w:val="left" w:pos="284"/>
        </w:tabs>
        <w:jc w:val="both"/>
        <w:rPr>
          <w:rFonts w:ascii="Cambria" w:hAnsi="Cambria"/>
          <w:sz w:val="16"/>
          <w:szCs w:val="16"/>
          <w:lang w:val="es-EC"/>
        </w:rPr>
      </w:pPr>
      <w:r w:rsidRPr="00D76756">
        <w:rPr>
          <w:rStyle w:val="FootnoteReference"/>
          <w:rFonts w:ascii="Cambria" w:hAnsi="Cambria"/>
          <w:sz w:val="16"/>
          <w:szCs w:val="16"/>
          <w:lang w:val="en-US"/>
        </w:rPr>
        <w:footnoteRef/>
      </w:r>
      <w:r w:rsidRPr="00D76756">
        <w:rPr>
          <w:rStyle w:val="Strong"/>
          <w:rFonts w:ascii="Cambria" w:eastAsia="Cambria" w:hAnsi="Cambria"/>
          <w:sz w:val="16"/>
          <w:szCs w:val="16"/>
          <w:shd w:val="clear" w:color="auto" w:fill="FFFFFF"/>
          <w:lang w:val="en-US"/>
        </w:rPr>
        <w:t xml:space="preserve"> </w:t>
      </w:r>
      <w:r w:rsidRPr="00D76756">
        <w:rPr>
          <w:rStyle w:val="Strong"/>
          <w:rFonts w:ascii="Cambria" w:eastAsia="Cambria" w:hAnsi="Cambria"/>
          <w:b w:val="0"/>
          <w:sz w:val="16"/>
          <w:szCs w:val="16"/>
          <w:shd w:val="clear" w:color="auto" w:fill="FFFFFF"/>
          <w:lang w:val="en-US"/>
        </w:rPr>
        <w:t xml:space="preserve">I/A Court H.R. Case of Norín Catrimán et al. (Leaders, members and activist of the Mapuche Indigenous People) v. Chile. Judgment of May 29, 2014. Merits, reparations and costs. Series C No. 279, para. </w:t>
      </w:r>
      <w:r w:rsidRPr="00891660">
        <w:rPr>
          <w:rStyle w:val="Strong"/>
          <w:rFonts w:ascii="Cambria" w:eastAsia="Cambria" w:hAnsi="Cambria"/>
          <w:b w:val="0"/>
          <w:sz w:val="16"/>
          <w:szCs w:val="16"/>
          <w:shd w:val="clear" w:color="auto" w:fill="FFFFFF"/>
          <w:lang w:val="es-EC"/>
        </w:rPr>
        <w:t xml:space="preserve">270(d). </w:t>
      </w:r>
      <w:r w:rsidRPr="00891660">
        <w:rPr>
          <w:rFonts w:ascii="Cambria" w:hAnsi="Cambria"/>
          <w:b/>
          <w:sz w:val="16"/>
          <w:szCs w:val="16"/>
          <w:lang w:val="es-EC"/>
        </w:rPr>
        <w:t xml:space="preserve">  </w:t>
      </w:r>
    </w:p>
  </w:footnote>
  <w:footnote w:id="51">
    <w:p w14:paraId="50140290"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891660">
        <w:rPr>
          <w:rFonts w:ascii="Cambria" w:hAnsi="Cambria"/>
          <w:sz w:val="16"/>
          <w:szCs w:val="16"/>
          <w:lang w:val="es-EC"/>
        </w:rPr>
        <w:t xml:space="preserve"> IACHR. Report No. 55/97. Case 11.137. Merits. Juan Carlos Abella. Argentina. </w:t>
      </w:r>
      <w:r w:rsidRPr="00D76756">
        <w:rPr>
          <w:rFonts w:ascii="Cambria" w:hAnsi="Cambria"/>
          <w:sz w:val="16"/>
          <w:szCs w:val="16"/>
          <w:lang w:val="en-US"/>
        </w:rPr>
        <w:t xml:space="preserve">November 18, 1997, para. 261. </w:t>
      </w:r>
    </w:p>
  </w:footnote>
  <w:footnote w:id="52">
    <w:p w14:paraId="2AB33F28" w14:textId="77777777" w:rsidR="001963DB" w:rsidRPr="00D76756" w:rsidRDefault="001963DB" w:rsidP="0046163F">
      <w:pPr>
        <w:pStyle w:val="NormalWeb"/>
        <w:spacing w:before="0" w:beforeAutospacing="0" w:after="0" w:afterAutospacing="0"/>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The wording of Article 14(5) of ICCPR</w:t>
      </w:r>
      <w:r w:rsidRPr="00D76756">
        <w:rPr>
          <w:rFonts w:ascii="Cambria" w:hAnsi="Cambria" w:cs="Calibri"/>
          <w:sz w:val="16"/>
          <w:szCs w:val="16"/>
        </w:rPr>
        <w:t xml:space="preserve"> is substantively similar to that of Article 8(2)(h) of the American Convention; therefore, interpretations by the UN Human Rights Committee of the contents and scope of said article are relevant as a guideline for the interpretation of Article 8(2)(h) of the American Convention. </w:t>
      </w:r>
    </w:p>
  </w:footnote>
  <w:footnote w:id="53">
    <w:p w14:paraId="398AAA23" w14:textId="77777777" w:rsidR="001963DB" w:rsidRPr="00D76756" w:rsidRDefault="001963DB" w:rsidP="0046163F">
      <w:pPr>
        <w:pStyle w:val="NormalWeb"/>
        <w:spacing w:before="0" w:beforeAutospacing="0" w:after="0" w:afterAutospacing="0"/>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w:t>
      </w:r>
      <w:r w:rsidRPr="00D76756">
        <w:rPr>
          <w:rFonts w:ascii="Cambria" w:hAnsi="Cambria" w:cs="Calibri"/>
          <w:sz w:val="16"/>
          <w:szCs w:val="16"/>
        </w:rPr>
        <w:t xml:space="preserve">UN, Human Rights Committee. </w:t>
      </w:r>
      <w:r w:rsidRPr="00D76756">
        <w:rPr>
          <w:rFonts w:ascii="Cambria" w:hAnsi="Cambria" w:cs="Calibri"/>
          <w:iCs/>
          <w:sz w:val="16"/>
          <w:szCs w:val="16"/>
        </w:rPr>
        <w:t>Aliboeva v. Tajikistan</w:t>
      </w:r>
      <w:r w:rsidRPr="00D76756">
        <w:rPr>
          <w:rFonts w:ascii="Cambria" w:hAnsi="Cambria" w:cs="Calibri"/>
          <w:sz w:val="16"/>
          <w:szCs w:val="16"/>
        </w:rPr>
        <w:t xml:space="preserve">, Communication No. 985/2001, Views adopted on 18 October 2005; </w:t>
      </w:r>
      <w:r w:rsidRPr="00D76756">
        <w:rPr>
          <w:rFonts w:ascii="Cambria" w:hAnsi="Cambria" w:cs="Calibri"/>
          <w:iCs/>
          <w:sz w:val="16"/>
          <w:szCs w:val="16"/>
        </w:rPr>
        <w:t>Khalilova v. Tajikistan</w:t>
      </w:r>
      <w:r w:rsidRPr="00D76756">
        <w:rPr>
          <w:rFonts w:ascii="Cambria" w:hAnsi="Cambria" w:cs="Calibri"/>
          <w:sz w:val="16"/>
          <w:szCs w:val="16"/>
        </w:rPr>
        <w:t xml:space="preserve">, Communication No. 973/2001, Views adopted on 30 March 2005; </w:t>
      </w:r>
      <w:r w:rsidRPr="00D76756">
        <w:rPr>
          <w:rFonts w:ascii="Cambria" w:hAnsi="Cambria" w:cs="Calibri"/>
          <w:iCs/>
          <w:sz w:val="16"/>
          <w:szCs w:val="16"/>
        </w:rPr>
        <w:t xml:space="preserve">Domukovsky and al. v. Georgia, </w:t>
      </w:r>
      <w:r w:rsidRPr="00D76756">
        <w:rPr>
          <w:rFonts w:ascii="Cambria" w:hAnsi="Cambria" w:cs="Calibri"/>
          <w:sz w:val="16"/>
          <w:szCs w:val="16"/>
        </w:rPr>
        <w:t xml:space="preserve">Communications No. 623-627/1995, Views adopted on 6 April 1998; and </w:t>
      </w:r>
      <w:r w:rsidRPr="00D76756">
        <w:rPr>
          <w:rFonts w:ascii="Cambria" w:hAnsi="Cambria" w:cs="Calibri"/>
          <w:iCs/>
          <w:sz w:val="16"/>
          <w:szCs w:val="16"/>
        </w:rPr>
        <w:t>Saidova v. Tajikistan</w:t>
      </w:r>
      <w:r w:rsidRPr="00D76756">
        <w:rPr>
          <w:rFonts w:ascii="Cambria" w:hAnsi="Cambria" w:cs="Calibri"/>
          <w:sz w:val="16"/>
          <w:szCs w:val="16"/>
        </w:rPr>
        <w:t xml:space="preserve">, Communication No. 964/2001, Views adopted on 8 July 2004. </w:t>
      </w:r>
    </w:p>
  </w:footnote>
  <w:footnote w:id="54">
    <w:p w14:paraId="17ADDAEE" w14:textId="77777777" w:rsidR="001963DB" w:rsidRPr="00D76756" w:rsidRDefault="001963DB" w:rsidP="0046163F">
      <w:pPr>
        <w:pStyle w:val="NormalWeb"/>
        <w:spacing w:before="0" w:beforeAutospacing="0" w:after="0" w:afterAutospacing="0"/>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w:t>
      </w:r>
      <w:r w:rsidRPr="00D76756">
        <w:rPr>
          <w:rFonts w:ascii="Cambria" w:hAnsi="Cambria" w:cs="Calibri"/>
          <w:sz w:val="16"/>
          <w:szCs w:val="16"/>
        </w:rPr>
        <w:t xml:space="preserve">IACHR, Report No. 172/10, Case 12.561, Merits, César Alberto Mendoza et al. (Juveniles sentenced to life time imprisonment), Argentina, November 2, 2010, para. 189. </w:t>
      </w:r>
    </w:p>
  </w:footnote>
  <w:footnote w:id="55">
    <w:p w14:paraId="03B4AA9D" w14:textId="7971FAC1" w:rsidR="001963DB" w:rsidRPr="00D76756" w:rsidRDefault="001963DB" w:rsidP="00AB4518">
      <w:pPr>
        <w:pStyle w:val="NormalWeb"/>
        <w:spacing w:before="0" w:beforeAutospacing="0" w:after="0" w:afterAutospacing="0"/>
        <w:jc w:val="both"/>
        <w:rPr>
          <w:rFonts w:ascii="Cambria" w:eastAsia="Arial Unicode MS" w:hAnsi="Cambria"/>
          <w:sz w:val="16"/>
          <w:szCs w:val="16"/>
        </w:rPr>
      </w:pPr>
      <w:r w:rsidRPr="00D76756">
        <w:rPr>
          <w:rFonts w:ascii="Cambria" w:eastAsia="Arial Unicode MS" w:hAnsi="Cambria"/>
          <w:sz w:val="16"/>
          <w:szCs w:val="16"/>
          <w:vertAlign w:val="superscript"/>
        </w:rPr>
        <w:footnoteRef/>
      </w:r>
      <w:r w:rsidRPr="00D76756">
        <w:rPr>
          <w:rFonts w:ascii="Cambria" w:eastAsia="Arial Unicode MS" w:hAnsi="Cambria"/>
          <w:sz w:val="16"/>
          <w:szCs w:val="16"/>
          <w:vertAlign w:val="superscript"/>
        </w:rPr>
        <w:t xml:space="preserve"> </w:t>
      </w:r>
      <w:r w:rsidRPr="00AB4518">
        <w:rPr>
          <w:rFonts w:ascii="Cambria" w:hAnsi="Cambria" w:cs="Calibri"/>
          <w:sz w:val="16"/>
          <w:szCs w:val="16"/>
        </w:rPr>
        <w:t>Convention</w:t>
      </w:r>
      <w:r w:rsidRPr="00D76756">
        <w:rPr>
          <w:rFonts w:ascii="Cambria" w:eastAsia="Arial Unicode MS" w:hAnsi="Cambria"/>
          <w:sz w:val="16"/>
          <w:szCs w:val="16"/>
        </w:rPr>
        <w:t xml:space="preserve"> on the Rights of the Child, adopted and opened for signature, ratification and accession by General Assembly resolution 44/25 of 20 November 1989. Entry into force: 2 September 1990, in accordance with Article 49. New York, 20 November 1989. Article 40(2)(b)(v).</w:t>
      </w:r>
      <w:r w:rsidRPr="00D76756">
        <w:rPr>
          <w:rFonts w:ascii="Cambria" w:hAnsi="Cambria"/>
          <w:sz w:val="16"/>
          <w:szCs w:val="16"/>
        </w:rPr>
        <w:t xml:space="preserve"> </w:t>
      </w:r>
    </w:p>
  </w:footnote>
  <w:footnote w:id="56">
    <w:p w14:paraId="45020DD2"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United Nations. Committee on the Rights of the Child. General Comment</w:t>
      </w:r>
      <w:r w:rsidRPr="00D76756">
        <w:rPr>
          <w:rFonts w:ascii="Cambria" w:hAnsi="Cambria"/>
          <w:iCs/>
          <w:sz w:val="16"/>
          <w:szCs w:val="16"/>
          <w:lang w:val="en-US"/>
        </w:rPr>
        <w:t xml:space="preserve"> No. 10.</w:t>
      </w:r>
      <w:r w:rsidRPr="00D76756">
        <w:rPr>
          <w:rFonts w:ascii="Cambria" w:hAnsi="Cambria"/>
          <w:sz w:val="16"/>
          <w:szCs w:val="16"/>
          <w:lang w:val="en-US"/>
        </w:rPr>
        <w:t xml:space="preserve"> Children’s r</w:t>
      </w:r>
      <w:r w:rsidRPr="00D76756">
        <w:rPr>
          <w:rFonts w:ascii="Cambria" w:hAnsi="Cambria"/>
          <w:iCs/>
          <w:sz w:val="16"/>
          <w:szCs w:val="16"/>
          <w:lang w:val="en-US"/>
        </w:rPr>
        <w:t xml:space="preserve">ights in juvenile justice. </w:t>
      </w:r>
      <w:r w:rsidRPr="00D76756">
        <w:rPr>
          <w:rFonts w:ascii="Cambria" w:hAnsi="Cambria"/>
          <w:sz w:val="16"/>
          <w:szCs w:val="16"/>
          <w:lang w:val="en-US"/>
        </w:rPr>
        <w:t xml:space="preserve">CRC/C/GC/10. 25 April 2007, para. 60.  </w:t>
      </w:r>
    </w:p>
  </w:footnote>
  <w:footnote w:id="57">
    <w:p w14:paraId="7AD90162"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United Nations. Committee on the Rights of the Child. General Comment</w:t>
      </w:r>
      <w:r w:rsidRPr="00D76756">
        <w:rPr>
          <w:rFonts w:ascii="Cambria" w:hAnsi="Cambria"/>
          <w:iCs/>
          <w:sz w:val="16"/>
          <w:szCs w:val="16"/>
          <w:lang w:val="en-US"/>
        </w:rPr>
        <w:t xml:space="preserve"> No. 10.</w:t>
      </w:r>
      <w:r w:rsidRPr="00D76756">
        <w:rPr>
          <w:rFonts w:ascii="Cambria" w:hAnsi="Cambria"/>
          <w:sz w:val="16"/>
          <w:szCs w:val="16"/>
          <w:lang w:val="en-US"/>
        </w:rPr>
        <w:t xml:space="preserve"> Children’s r</w:t>
      </w:r>
      <w:r w:rsidRPr="00D76756">
        <w:rPr>
          <w:rFonts w:ascii="Cambria" w:hAnsi="Cambria"/>
          <w:iCs/>
          <w:sz w:val="16"/>
          <w:szCs w:val="16"/>
          <w:lang w:val="en-US"/>
        </w:rPr>
        <w:t xml:space="preserve">ights in juvenile justice. </w:t>
      </w:r>
      <w:r w:rsidRPr="00D76756">
        <w:rPr>
          <w:rFonts w:ascii="Cambria" w:hAnsi="Cambria"/>
          <w:sz w:val="16"/>
          <w:szCs w:val="16"/>
          <w:lang w:val="en-US"/>
        </w:rPr>
        <w:t>CRC/C/GC/10. 25 April 2007, para. 60.</w:t>
      </w:r>
    </w:p>
  </w:footnote>
  <w:footnote w:id="58">
    <w:p w14:paraId="72171378" w14:textId="77777777" w:rsidR="001963DB" w:rsidRPr="00AB4518"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I/A Court H.R. </w:t>
      </w:r>
      <w:r w:rsidRPr="00D76756">
        <w:rPr>
          <w:rFonts w:ascii="Cambria" w:hAnsi="Cambria"/>
          <w:iCs/>
          <w:sz w:val="16"/>
          <w:szCs w:val="16"/>
          <w:lang w:val="en-US"/>
        </w:rPr>
        <w:t>Case of Mendoza et al. v. Argentina.</w:t>
      </w:r>
      <w:r w:rsidR="009868B6" w:rsidRPr="009868B6">
        <w:rPr>
          <w:rFonts w:ascii="Cambria" w:hAnsi="Cambria"/>
          <w:sz w:val="16"/>
          <w:szCs w:val="16"/>
          <w:lang w:val="en-US"/>
        </w:rPr>
        <w:t xml:space="preserve"> </w:t>
      </w:r>
      <w:r w:rsidR="009868B6" w:rsidRPr="00D76756">
        <w:rPr>
          <w:rFonts w:ascii="Cambria" w:hAnsi="Cambria"/>
          <w:sz w:val="16"/>
          <w:szCs w:val="16"/>
          <w:lang w:val="en-US"/>
        </w:rPr>
        <w:t>Judgment of May 14, 2013.</w:t>
      </w:r>
      <w:r w:rsidRPr="00D76756">
        <w:rPr>
          <w:rFonts w:ascii="Cambria" w:hAnsi="Cambria"/>
          <w:i/>
          <w:iCs/>
          <w:sz w:val="16"/>
          <w:szCs w:val="16"/>
          <w:lang w:val="en-US"/>
        </w:rPr>
        <w:t xml:space="preserve"> </w:t>
      </w:r>
      <w:r w:rsidRPr="00D76756">
        <w:rPr>
          <w:rFonts w:ascii="Cambria" w:hAnsi="Cambria"/>
          <w:sz w:val="16"/>
          <w:szCs w:val="16"/>
          <w:lang w:val="en-US"/>
        </w:rPr>
        <w:t xml:space="preserve">Preliminary objections, merits and reparations. Series C No. </w:t>
      </w:r>
      <w:r w:rsidRPr="00AB4518">
        <w:rPr>
          <w:rFonts w:ascii="Cambria" w:hAnsi="Cambria"/>
          <w:sz w:val="16"/>
          <w:szCs w:val="16"/>
          <w:lang w:val="en-US"/>
        </w:rPr>
        <w:t xml:space="preserve">260, para. 247.  </w:t>
      </w:r>
    </w:p>
  </w:footnote>
  <w:footnote w:id="59">
    <w:p w14:paraId="7A52E0FF" w14:textId="353D8FD5" w:rsidR="001963DB" w:rsidRPr="00AB4518"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812D69" w:rsidRPr="00AB4518">
        <w:rPr>
          <w:rFonts w:ascii="Cambria" w:hAnsi="Cambria"/>
          <w:b/>
          <w:sz w:val="16"/>
          <w:szCs w:val="16"/>
          <w:lang w:val="en-US"/>
        </w:rPr>
        <w:t>13</w:t>
      </w:r>
      <w:r w:rsidRPr="00AB4518">
        <w:rPr>
          <w:rFonts w:ascii="Cambria" w:hAnsi="Cambria"/>
          <w:b/>
          <w:sz w:val="16"/>
          <w:szCs w:val="16"/>
          <w:lang w:val="en-US"/>
        </w:rPr>
        <w:t>.</w:t>
      </w:r>
      <w:r w:rsidRPr="00AB4518">
        <w:rPr>
          <w:rFonts w:ascii="Cambria" w:hAnsi="Cambria"/>
          <w:sz w:val="16"/>
          <w:szCs w:val="16"/>
          <w:lang w:val="en-US"/>
        </w:rPr>
        <w:t xml:space="preserve"> Code of Criminal Procedures of the province of Chubut, Law 3155, Article 415. Annex 17 to the communication from the petitioners, received by the Commission on May 21, 2004.</w:t>
      </w:r>
    </w:p>
  </w:footnote>
  <w:footnote w:id="60">
    <w:p w14:paraId="588E80F5" w14:textId="2E824D83" w:rsidR="001963DB" w:rsidRPr="00D76756" w:rsidRDefault="001963DB" w:rsidP="0046163F">
      <w:pPr>
        <w:pStyle w:val="FootnoteText"/>
        <w:jc w:val="both"/>
        <w:rPr>
          <w:rFonts w:ascii="Cambria" w:hAnsi="Cambria"/>
          <w:sz w:val="16"/>
          <w:szCs w:val="16"/>
          <w:lang w:val="en-US"/>
        </w:rPr>
      </w:pPr>
      <w:r w:rsidRPr="00AB4518">
        <w:rPr>
          <w:rStyle w:val="FootnoteReference"/>
          <w:rFonts w:ascii="Cambria" w:hAnsi="Cambria"/>
          <w:sz w:val="16"/>
          <w:szCs w:val="16"/>
          <w:lang w:val="en-US"/>
        </w:rPr>
        <w:footnoteRef/>
      </w:r>
      <w:r w:rsidRPr="00AB4518">
        <w:rPr>
          <w:rFonts w:ascii="Cambria" w:hAnsi="Cambria"/>
          <w:sz w:val="16"/>
          <w:szCs w:val="16"/>
          <w:lang w:val="en-US"/>
        </w:rPr>
        <w:t xml:space="preserve"> </w:t>
      </w:r>
      <w:r w:rsidRPr="00AB4518">
        <w:rPr>
          <w:rFonts w:ascii="Cambria" w:hAnsi="Cambria"/>
          <w:b/>
          <w:sz w:val="16"/>
          <w:szCs w:val="16"/>
          <w:lang w:val="en-US"/>
        </w:rPr>
        <w:t xml:space="preserve">ANNEX </w:t>
      </w:r>
      <w:r w:rsidR="00812D69" w:rsidRPr="00AB4518">
        <w:rPr>
          <w:rFonts w:ascii="Cambria" w:hAnsi="Cambria"/>
          <w:b/>
          <w:sz w:val="16"/>
          <w:szCs w:val="16"/>
          <w:lang w:val="en-US"/>
        </w:rPr>
        <w:t>4</w:t>
      </w:r>
      <w:r w:rsidRPr="00AB4518">
        <w:rPr>
          <w:rFonts w:ascii="Cambria" w:hAnsi="Cambria"/>
          <w:b/>
          <w:sz w:val="16"/>
          <w:szCs w:val="16"/>
          <w:lang w:val="en-US"/>
        </w:rPr>
        <w:t>.</w:t>
      </w:r>
      <w:r w:rsidRPr="00AB4518">
        <w:rPr>
          <w:rFonts w:ascii="Cambria" w:hAnsi="Cambria"/>
          <w:sz w:val="16"/>
          <w:szCs w:val="16"/>
          <w:lang w:val="en-US"/>
        </w:rPr>
        <w:t xml:space="preserve"> Judgment</w:t>
      </w:r>
      <w:r w:rsidRPr="00D76756">
        <w:rPr>
          <w:rFonts w:ascii="Cambria" w:hAnsi="Cambria"/>
          <w:sz w:val="16"/>
          <w:szCs w:val="16"/>
          <w:lang w:val="en-US"/>
        </w:rPr>
        <w:t xml:space="preserve"> of the Superior Court of Justice of the Province of Chubut of December 16, 2002. Annex 6 to the communication from the petitioners, received by the Commission on May 21, 2004.  </w:t>
      </w:r>
    </w:p>
  </w:footnote>
  <w:footnote w:id="61">
    <w:p w14:paraId="6DF62D9D"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I/A Court H.R. Case of Castillo Petruzzi et al. v. Peru. </w:t>
      </w:r>
      <w:r>
        <w:rPr>
          <w:rFonts w:ascii="Cambria" w:hAnsi="Cambria"/>
          <w:sz w:val="16"/>
          <w:szCs w:val="16"/>
        </w:rPr>
        <w:t xml:space="preserve">Judgment of May 30, 1999. </w:t>
      </w:r>
      <w:r w:rsidRPr="00D76756">
        <w:rPr>
          <w:rFonts w:ascii="Cambria" w:hAnsi="Cambria"/>
          <w:sz w:val="16"/>
          <w:szCs w:val="16"/>
        </w:rPr>
        <w:t xml:space="preserve">Merits, reparations and costs, para. 161; </w:t>
      </w:r>
      <w:r>
        <w:rPr>
          <w:rFonts w:ascii="Cambria" w:hAnsi="Cambria"/>
          <w:sz w:val="16"/>
          <w:szCs w:val="16"/>
        </w:rPr>
        <w:t xml:space="preserve">and </w:t>
      </w:r>
      <w:r w:rsidRPr="00D76756">
        <w:rPr>
          <w:rFonts w:ascii="Cambria" w:hAnsi="Cambria"/>
          <w:sz w:val="16"/>
          <w:szCs w:val="16"/>
        </w:rPr>
        <w:t>I/A Court H.R. Case of Herrera Ulloa v. Costa Rica.</w:t>
      </w:r>
      <w:r>
        <w:rPr>
          <w:rFonts w:ascii="Cambria" w:hAnsi="Cambria"/>
          <w:sz w:val="16"/>
          <w:szCs w:val="16"/>
        </w:rPr>
        <w:t xml:space="preserve"> Judgment of July 2, 2004.</w:t>
      </w:r>
      <w:r w:rsidRPr="00D76756">
        <w:rPr>
          <w:rFonts w:ascii="Cambria" w:hAnsi="Cambria"/>
          <w:sz w:val="16"/>
          <w:szCs w:val="16"/>
        </w:rPr>
        <w:t xml:space="preserve"> Preliminary objections, merits, reparatio</w:t>
      </w:r>
      <w:r>
        <w:rPr>
          <w:rFonts w:ascii="Cambria" w:hAnsi="Cambria"/>
          <w:sz w:val="16"/>
          <w:szCs w:val="16"/>
        </w:rPr>
        <w:t>ns and costs, paras. 157 to 168.</w:t>
      </w:r>
    </w:p>
  </w:footnote>
  <w:footnote w:id="62">
    <w:p w14:paraId="1840CE7B"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IACHR. Report No 55/97. Case 11.137. Juan Carlos Abella. Argentina, </w:t>
      </w:r>
      <w:r w:rsidR="00A44D7B">
        <w:rPr>
          <w:rFonts w:ascii="Cambria" w:hAnsi="Cambria"/>
          <w:sz w:val="16"/>
          <w:szCs w:val="16"/>
          <w:lang w:val="en-US"/>
        </w:rPr>
        <w:t xml:space="preserve">November 18, 1997, </w:t>
      </w:r>
      <w:r w:rsidRPr="00D76756">
        <w:rPr>
          <w:rFonts w:ascii="Cambria" w:hAnsi="Cambria"/>
          <w:sz w:val="16"/>
          <w:szCs w:val="16"/>
          <w:lang w:val="en-US"/>
        </w:rPr>
        <w:t>paras 431 to 435; and I/A Court H.R. Case of Mohamed v. Argentina. Judgment of November 23, 2012. Preliminary objection, merits, reparations and costs. Series C No. 255, para. 104.</w:t>
      </w:r>
    </w:p>
  </w:footnote>
  <w:footnote w:id="63">
    <w:p w14:paraId="093E14A3"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In this regard, see: Code of Criminal Procedures of the province of Chubut LAW XV-9 (PREVIOUSLY LAW 5478). Articles 374 to 377. Accessible at: </w:t>
      </w:r>
      <w:hyperlink r:id="rId2" w:history="1">
        <w:r w:rsidRPr="00D76756">
          <w:rPr>
            <w:rStyle w:val="Hyperlink"/>
            <w:rFonts w:ascii="Cambria" w:hAnsi="Cambria"/>
            <w:sz w:val="16"/>
            <w:szCs w:val="16"/>
          </w:rPr>
          <w:t>http://www.mpfchubut.gov.ar/images/pdf/cpp.pdf</w:t>
        </w:r>
      </w:hyperlink>
      <w:r w:rsidRPr="00D76756">
        <w:rPr>
          <w:rFonts w:ascii="Cambria" w:hAnsi="Cambria"/>
          <w:sz w:val="16"/>
          <w:szCs w:val="16"/>
        </w:rPr>
        <w:t xml:space="preserve"> </w:t>
      </w:r>
    </w:p>
  </w:footnote>
  <w:footnote w:id="64">
    <w:p w14:paraId="2DAA5D6D"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IACHR, Report No. 97/17, Case 12.924. Merits. </w:t>
      </w:r>
      <w:r w:rsidRPr="008C0FB1">
        <w:rPr>
          <w:rFonts w:ascii="Cambria" w:hAnsi="Cambria"/>
          <w:sz w:val="16"/>
          <w:szCs w:val="16"/>
          <w:lang w:val="en-US"/>
        </w:rPr>
        <w:t xml:space="preserve">Julio César Ramón del Valle Ambrosio and Carlos Eduardo Domínguez Linares. </w:t>
      </w:r>
      <w:r w:rsidRPr="00D76756">
        <w:rPr>
          <w:rFonts w:ascii="Cambria" w:hAnsi="Cambria"/>
          <w:sz w:val="16"/>
          <w:szCs w:val="16"/>
          <w:lang w:val="en-US"/>
        </w:rPr>
        <w:t xml:space="preserve">Argentina. September 5, 2017; and IACHR, Report No. 98/17, Case No. 12.925, Merits, Oscar Raúl Gorigoitia, Argentina, September 5, 2017.  </w:t>
      </w:r>
    </w:p>
  </w:footnote>
  <w:footnote w:id="65">
    <w:p w14:paraId="7BCED884" w14:textId="77777777" w:rsidR="001963DB" w:rsidRPr="00D76756" w:rsidRDefault="001963DB" w:rsidP="0046163F">
      <w:pPr>
        <w:jc w:val="both"/>
        <w:rPr>
          <w:rFonts w:ascii="Cambria" w:hAnsi="Cambria" w:cs="Cambay Devanagari"/>
          <w:sz w:val="16"/>
          <w:szCs w:val="16"/>
          <w:highlight w:val="green"/>
        </w:rPr>
      </w:pPr>
      <w:r w:rsidRPr="00D76756">
        <w:rPr>
          <w:rStyle w:val="FootnoteReference"/>
          <w:rFonts w:ascii="Cambria" w:hAnsi="Cambria" w:cs="Cambay Devanagari"/>
          <w:sz w:val="16"/>
          <w:szCs w:val="16"/>
        </w:rPr>
        <w:footnoteRef/>
      </w:r>
      <w:r w:rsidRPr="00D76756">
        <w:rPr>
          <w:rFonts w:ascii="Cambria" w:hAnsi="Cambria" w:cs="Cambay Devanagari"/>
          <w:sz w:val="16"/>
          <w:szCs w:val="16"/>
        </w:rPr>
        <w:t xml:space="preserve"> I/A Court H.R. Case of Chaparro Álvarez and Lapo Íñiguez v. Ecuador. Judgment of November 21, 2007. Preliminary objections, merits, reparations and costs.  Series C No. 170, para. 52.</w:t>
      </w:r>
    </w:p>
  </w:footnote>
  <w:footnote w:id="66">
    <w:p w14:paraId="49552974" w14:textId="77777777" w:rsidR="001963DB" w:rsidRPr="00D76756" w:rsidRDefault="001963DB" w:rsidP="0046163F">
      <w:pPr>
        <w:pStyle w:val="FootnoteText"/>
        <w:jc w:val="both"/>
        <w:rPr>
          <w:rFonts w:ascii="Cambria" w:hAnsi="Cambria" w:cs="Cambay Devanagari"/>
          <w:b/>
          <w:sz w:val="16"/>
          <w:szCs w:val="16"/>
          <w:lang w:val="en-US"/>
        </w:rPr>
      </w:pPr>
      <w:r w:rsidRPr="00D76756">
        <w:rPr>
          <w:rStyle w:val="FootnoteReference"/>
          <w:rFonts w:ascii="Cambria" w:hAnsi="Cambria" w:cs="Cambay Devanagari"/>
          <w:sz w:val="16"/>
          <w:szCs w:val="16"/>
          <w:lang w:val="en-US"/>
        </w:rPr>
        <w:footnoteRef/>
      </w:r>
      <w:r w:rsidRPr="00D76756">
        <w:rPr>
          <w:rStyle w:val="Strong"/>
          <w:rFonts w:ascii="Cambria" w:hAnsi="Cambria" w:cs="Cambay Devanagari"/>
          <w:sz w:val="16"/>
          <w:szCs w:val="16"/>
          <w:shd w:val="clear" w:color="auto" w:fill="FFFFFF"/>
          <w:lang w:val="en-US"/>
        </w:rPr>
        <w:t xml:space="preserve"> </w:t>
      </w:r>
      <w:r w:rsidRPr="00D76756">
        <w:rPr>
          <w:rStyle w:val="Strong"/>
          <w:rFonts w:ascii="Cambria" w:hAnsi="Cambria" w:cs="Cambay Devanagari"/>
          <w:b w:val="0"/>
          <w:sz w:val="16"/>
          <w:szCs w:val="16"/>
          <w:shd w:val="clear" w:color="auto" w:fill="FFFFFF"/>
          <w:lang w:val="en-US"/>
        </w:rPr>
        <w:t xml:space="preserve">I/A Court H.R. Case of Juan Humberto Sánchez v. Honduras. Judgment of June 7, 2003. Preliminary objection, merits, reparations and costs. Series C No. 99, para. 77; I/A Court H.R. Case of Gómez Paquiyauri Brothers v. Peru. Judgment of July 8, 2004. Merits, reparations and costs. Series C No. 110, para. 82; and I/A Court H.R. Case of Chaparro Álvarez and Lapo Íñiguez v. Ecuador. Judgment of November 21, 2007. Preliminary objections, merits, reparations and costs. Series C No. 170, para. 52. </w:t>
      </w:r>
    </w:p>
  </w:footnote>
  <w:footnote w:id="67">
    <w:p w14:paraId="63241763" w14:textId="77777777" w:rsidR="001963DB" w:rsidRPr="00D76756" w:rsidRDefault="001963DB" w:rsidP="0046163F">
      <w:pPr>
        <w:pStyle w:val="FootnoteText"/>
        <w:jc w:val="both"/>
        <w:rPr>
          <w:rFonts w:ascii="Cambria" w:hAnsi="Cambria" w:cs="Cambay Devanagari"/>
          <w:b/>
          <w:sz w:val="16"/>
          <w:szCs w:val="16"/>
          <w:lang w:val="en-US"/>
        </w:rPr>
      </w:pPr>
      <w:r w:rsidRPr="00D76756">
        <w:rPr>
          <w:rStyle w:val="FootnoteReference"/>
          <w:rFonts w:ascii="Cambria" w:hAnsi="Cambria" w:cs="Cambay Devanagari"/>
          <w:sz w:val="16"/>
          <w:szCs w:val="16"/>
          <w:lang w:val="en-US"/>
        </w:rPr>
        <w:footnoteRef/>
      </w:r>
      <w:r w:rsidRPr="00D76756">
        <w:rPr>
          <w:rStyle w:val="Strong"/>
          <w:rFonts w:ascii="Cambria" w:hAnsi="Cambria" w:cs="Cambay Devanagari"/>
          <w:sz w:val="16"/>
          <w:szCs w:val="16"/>
          <w:shd w:val="clear" w:color="auto" w:fill="FFFFFF"/>
          <w:lang w:val="en-US"/>
        </w:rPr>
        <w:t xml:space="preserve"> </w:t>
      </w:r>
      <w:r w:rsidRPr="00D76756">
        <w:rPr>
          <w:rStyle w:val="Strong"/>
          <w:rFonts w:ascii="Cambria" w:hAnsi="Cambria" w:cs="Cambay Devanagari"/>
          <w:b w:val="0"/>
          <w:sz w:val="16"/>
          <w:szCs w:val="16"/>
          <w:shd w:val="clear" w:color="auto" w:fill="FFFFFF"/>
          <w:lang w:val="en-US"/>
        </w:rPr>
        <w:t xml:space="preserve">I/A Court H.R. Case of Chaparro Álvarez and Lapo Íñiguez v. Ecuador. Judgment of November 21, 2007. Preliminary objections, merits, reparations and costs. Series C No. 170, para. 53. </w:t>
      </w:r>
    </w:p>
  </w:footnote>
  <w:footnote w:id="68">
    <w:p w14:paraId="7AA21F68" w14:textId="77777777" w:rsidR="001963DB" w:rsidRPr="00D76756" w:rsidRDefault="001963DB" w:rsidP="0046163F">
      <w:pPr>
        <w:pStyle w:val="FootnoteText"/>
        <w:jc w:val="both"/>
        <w:rPr>
          <w:rFonts w:ascii="Cambria" w:hAnsi="Cambria" w:cs="Cambay Devanagari"/>
          <w:b/>
          <w:sz w:val="16"/>
          <w:szCs w:val="16"/>
          <w:lang w:val="en-US"/>
        </w:rPr>
      </w:pPr>
      <w:r w:rsidRPr="00D76756">
        <w:rPr>
          <w:rStyle w:val="FootnoteReference"/>
          <w:rFonts w:ascii="Cambria" w:hAnsi="Cambria" w:cs="Cambay Devanagari"/>
          <w:sz w:val="16"/>
          <w:szCs w:val="16"/>
          <w:lang w:val="en-US"/>
        </w:rPr>
        <w:footnoteRef/>
      </w:r>
      <w:r w:rsidRPr="00D76756">
        <w:rPr>
          <w:rStyle w:val="Strong"/>
          <w:rFonts w:ascii="Cambria" w:hAnsi="Cambria" w:cs="Cambay Devanagari"/>
          <w:sz w:val="16"/>
          <w:szCs w:val="16"/>
          <w:shd w:val="clear" w:color="auto" w:fill="FFFFFF"/>
          <w:lang w:val="en-US"/>
        </w:rPr>
        <w:t xml:space="preserve"> </w:t>
      </w:r>
      <w:r w:rsidRPr="00D76756">
        <w:rPr>
          <w:rStyle w:val="Strong"/>
          <w:rFonts w:ascii="Cambria" w:hAnsi="Cambria" w:cs="Cambay Devanagari"/>
          <w:b w:val="0"/>
          <w:sz w:val="16"/>
          <w:szCs w:val="16"/>
          <w:shd w:val="clear" w:color="auto" w:fill="FFFFFF"/>
          <w:lang w:val="en-US"/>
        </w:rPr>
        <w:t>I/A Court H.R. Case of Servellón-García et al. v. Honduras. Judgment of September 21, 2006. Merits, reparations and costs. Series C No. 152, para. 87.</w:t>
      </w:r>
      <w:r w:rsidRPr="00D76756">
        <w:rPr>
          <w:rStyle w:val="Strong"/>
          <w:rFonts w:ascii="Cambria" w:hAnsi="Cambria" w:cs="Cambay Devanagari"/>
          <w:sz w:val="16"/>
          <w:szCs w:val="16"/>
          <w:shd w:val="clear" w:color="auto" w:fill="FFFFFF"/>
          <w:lang w:val="en-US"/>
        </w:rPr>
        <w:t xml:space="preserve"> </w:t>
      </w:r>
    </w:p>
  </w:footnote>
  <w:footnote w:id="69">
    <w:p w14:paraId="389BCEF2"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w:t>
      </w:r>
      <w:r w:rsidRPr="00D76756">
        <w:rPr>
          <w:rStyle w:val="Strong"/>
          <w:rFonts w:ascii="Cambria" w:eastAsia="Arial Unicode MS" w:hAnsi="Cambria" w:cs="Cambay Devanagari"/>
          <w:b w:val="0"/>
          <w:sz w:val="16"/>
          <w:szCs w:val="16"/>
          <w:bdr w:val="nil"/>
        </w:rPr>
        <w:t>I/A Court H.R. Case of Gangaram-Panday v. Suriname. Judgment of January 21, 1994. Merits, reparations and costs. Series C No. 16, para. 47.</w:t>
      </w:r>
      <w:r w:rsidRPr="00D76756">
        <w:rPr>
          <w:rFonts w:ascii="Cambria" w:hAnsi="Cambria" w:cs="Arial"/>
          <w:color w:val="494848"/>
          <w:sz w:val="16"/>
          <w:szCs w:val="16"/>
          <w:shd w:val="clear" w:color="auto" w:fill="FFFFFF"/>
        </w:rPr>
        <w:t xml:space="preserve"> </w:t>
      </w:r>
    </w:p>
  </w:footnote>
  <w:footnote w:id="70">
    <w:p w14:paraId="4C5EDE9F"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w:t>
      </w:r>
      <w:r w:rsidRPr="00D76756">
        <w:rPr>
          <w:rFonts w:ascii="Cambria" w:eastAsia="Arial Unicode MS" w:hAnsi="Cambria" w:cs="Cambay Devanagari"/>
          <w:sz w:val="16"/>
          <w:szCs w:val="16"/>
          <w:bdr w:val="nil"/>
        </w:rPr>
        <w:t>I/A Court H.R. Case of Torres Millacura et al. v. Argentina. Judgment of August 26, 2011. Merits, reparations and costs. Series C No. 229, para. 78.</w:t>
      </w:r>
      <w:r w:rsidRPr="00D76756">
        <w:rPr>
          <w:rFonts w:ascii="Cambria" w:hAnsi="Cambria" w:cs="Arial"/>
          <w:color w:val="494848"/>
          <w:sz w:val="16"/>
          <w:szCs w:val="16"/>
          <w:shd w:val="clear" w:color="auto" w:fill="FFFFFF"/>
        </w:rPr>
        <w:t xml:space="preserve"> </w:t>
      </w:r>
      <w:r w:rsidRPr="00D76756">
        <w:rPr>
          <w:rFonts w:ascii="Cambria" w:hAnsi="Cambria" w:cs="Cambay Devanagari"/>
          <w:sz w:val="16"/>
          <w:szCs w:val="16"/>
        </w:rPr>
        <w:t>I/A Court H.R. Case of Rodríguez Vera et al. (The Disappeared from the Palace of Justice) v. Colombia. Judgment of November 14, 2014. Preliminary objections, merits, reparations and costs. Series C No. 287, para. 408; and I/A Court H.R. Case of Norín Catrimán et al. (Leaders, members and activist of the Mapuche Indigenous People) v. Chile. Judgment of May 29, 2014. Merits, reparations and costs. Series C No. 279, paras 320 and 326.</w:t>
      </w:r>
    </w:p>
  </w:footnote>
  <w:footnote w:id="71">
    <w:p w14:paraId="59F75574" w14:textId="3C1B7CD1" w:rsidR="00F5676D" w:rsidRPr="00A90D1C" w:rsidRDefault="00F5676D" w:rsidP="00A90D1C">
      <w:pPr>
        <w:jc w:val="both"/>
        <w:rPr>
          <w:rFonts w:ascii="Cambria" w:hAnsi="Cambria" w:cs="Cambay Devanagari"/>
        </w:rPr>
      </w:pPr>
      <w:r w:rsidRPr="008506B4">
        <w:rPr>
          <w:rStyle w:val="FootnoteReference"/>
          <w:rFonts w:ascii="Cambria" w:hAnsi="Cambria"/>
          <w:sz w:val="16"/>
          <w:szCs w:val="16"/>
        </w:rPr>
        <w:footnoteRef/>
      </w:r>
      <w:r w:rsidRPr="00A90D1C">
        <w:rPr>
          <w:rStyle w:val="FootnoteReference"/>
          <w:sz w:val="16"/>
          <w:szCs w:val="16"/>
        </w:rPr>
        <w:t xml:space="preserve"> </w:t>
      </w:r>
      <w:r w:rsidR="00A90D1C" w:rsidRPr="00A90D1C">
        <w:rPr>
          <w:rFonts w:ascii="Cambria" w:hAnsi="Cambria" w:cs="Cambay Devanagari"/>
          <w:sz w:val="16"/>
          <w:szCs w:val="16"/>
        </w:rPr>
        <w:t>I</w:t>
      </w:r>
      <w:r w:rsidR="00A90D1C">
        <w:rPr>
          <w:rFonts w:ascii="Cambria" w:hAnsi="Cambria" w:cs="Cambay Devanagari"/>
          <w:sz w:val="16"/>
          <w:szCs w:val="16"/>
        </w:rPr>
        <w:t>/A</w:t>
      </w:r>
      <w:r w:rsidR="007A6CFF">
        <w:rPr>
          <w:rFonts w:ascii="Cambria" w:hAnsi="Cambria" w:cs="Cambay Devanagari"/>
          <w:sz w:val="16"/>
          <w:szCs w:val="16"/>
        </w:rPr>
        <w:t xml:space="preserve"> </w:t>
      </w:r>
      <w:r w:rsidR="00A90D1C" w:rsidRPr="00A90D1C">
        <w:rPr>
          <w:rFonts w:ascii="Cambria" w:hAnsi="Cambria" w:cs="Cambay Devanagari"/>
          <w:sz w:val="16"/>
          <w:szCs w:val="16"/>
        </w:rPr>
        <w:t xml:space="preserve">Court. Case of González et al. (“Campo Algodonero”) v. Mexico. Preliminary Objection, Merits, Reparations and Costs. Judgment of November 16, 2009. Series C No. 205. Par 401; I/A Court H.R., Case of Atala Riffo and others (“Campo Algodonero”) v. Mexico. Case of Atala Riffo and girls v. Chile. Request for Interpretation of the Judgment on the Merits, Reparations and Costs. Judgment of November 21, 2012. Series C No. 254. Para. 111. </w:t>
      </w:r>
    </w:p>
  </w:footnote>
  <w:footnote w:id="72">
    <w:p w14:paraId="49A1C20D" w14:textId="5A760D88" w:rsidR="008A62CD" w:rsidRPr="0005688D" w:rsidRDefault="008A62CD" w:rsidP="008A62CD">
      <w:pPr>
        <w:pStyle w:val="FootnoteText"/>
        <w:jc w:val="both"/>
        <w:rPr>
          <w:sz w:val="16"/>
          <w:szCs w:val="16"/>
          <w:lang w:val="en-US"/>
        </w:rPr>
      </w:pPr>
      <w:r w:rsidRPr="008506B4">
        <w:rPr>
          <w:rStyle w:val="FootnoteReference"/>
          <w:rFonts w:ascii="Cambria" w:hAnsi="Cambria"/>
          <w:sz w:val="16"/>
          <w:szCs w:val="16"/>
        </w:rPr>
        <w:footnoteRef/>
      </w:r>
      <w:r w:rsidRPr="00CB07FC">
        <w:rPr>
          <w:rFonts w:ascii="Cambria" w:eastAsia="Times New Roman" w:hAnsi="Cambria" w:cs="Cambay Devanagari"/>
          <w:sz w:val="16"/>
          <w:szCs w:val="16"/>
          <w:bdr w:val="none" w:sz="0" w:space="0" w:color="auto"/>
          <w:lang w:val="en-US"/>
        </w:rPr>
        <w:t xml:space="preserve"> </w:t>
      </w:r>
      <w:r w:rsidR="00CB07FC" w:rsidRPr="00CB07FC">
        <w:rPr>
          <w:rFonts w:ascii="Cambria" w:eastAsia="Times New Roman" w:hAnsi="Cambria" w:cs="Cambay Devanagari"/>
          <w:sz w:val="16"/>
          <w:szCs w:val="16"/>
          <w:bdr w:val="none" w:sz="0" w:space="0" w:color="auto"/>
          <w:lang w:val="en-US"/>
        </w:rPr>
        <w:t>I</w:t>
      </w:r>
      <w:r w:rsidR="006F2D6D">
        <w:rPr>
          <w:rFonts w:ascii="Cambria" w:eastAsia="Times New Roman" w:hAnsi="Cambria" w:cs="Cambay Devanagari"/>
          <w:sz w:val="16"/>
          <w:szCs w:val="16"/>
          <w:bdr w:val="none" w:sz="0" w:space="0" w:color="auto"/>
          <w:lang w:val="en-US"/>
        </w:rPr>
        <w:t xml:space="preserve">/A </w:t>
      </w:r>
      <w:r w:rsidR="00CB07FC" w:rsidRPr="00CB07FC">
        <w:rPr>
          <w:rFonts w:ascii="Cambria" w:eastAsia="Times New Roman" w:hAnsi="Cambria" w:cs="Cambay Devanagari"/>
          <w:sz w:val="16"/>
          <w:szCs w:val="16"/>
          <w:bdr w:val="none" w:sz="0" w:space="0" w:color="auto"/>
          <w:lang w:val="en-US"/>
        </w:rPr>
        <w:t xml:space="preserve">Court. Case of Norín Catrimán et al. (Leaders, Members and Activist of the Mapuche Indigenous People) v. Chile. Merits, Reparations and Costs. Judgment of May 29, 2014. Series C No. 279. </w:t>
      </w:r>
      <w:r w:rsidR="00CB07FC" w:rsidRPr="0005688D">
        <w:rPr>
          <w:rFonts w:ascii="Cambria" w:eastAsia="Times New Roman" w:hAnsi="Cambria" w:cs="Cambay Devanagari"/>
          <w:sz w:val="16"/>
          <w:szCs w:val="16"/>
          <w:bdr w:val="none" w:sz="0" w:space="0" w:color="auto"/>
          <w:lang w:val="en-US"/>
        </w:rPr>
        <w:t>Para 225.</w:t>
      </w:r>
    </w:p>
  </w:footnote>
  <w:footnote w:id="73">
    <w:p w14:paraId="6E8F6941"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IACHR. Juvenile Justice and Human Rights in the Americas. OEA/Ser.L/V/II. Doc. 78, July 13, 2011. Original: Spanish. Accessible at: https://www.oas.org/es/cidh/infancia/docs/pdf/JusticiaJuvenil.pdf</w:t>
      </w:r>
    </w:p>
  </w:footnote>
  <w:footnote w:id="74">
    <w:p w14:paraId="0EC5C73F"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IACHR. Juvenile Justice and Human Rights in the Americas, para. 4. </w:t>
      </w:r>
      <w:r w:rsidRPr="00D76756">
        <w:rPr>
          <w:rFonts w:ascii="Cambria" w:eastAsia="Times New Roman" w:hAnsi="Cambria"/>
          <w:sz w:val="16"/>
          <w:szCs w:val="16"/>
          <w:bdr w:val="none" w:sz="0" w:space="0" w:color="auto"/>
          <w:lang w:val="en-US"/>
        </w:rPr>
        <w:t>OEA/Ser.L/V/II. Doc. 78, July 13, 2011 Original: Spanish. Accessible at: https://www.oas.org/es/cidh/infancia/docs/pdf/JusticiaJuvenil.pdf</w:t>
      </w:r>
    </w:p>
  </w:footnote>
  <w:footnote w:id="75">
    <w:p w14:paraId="54796D43"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Convention on the Rights of the Child, adopted and opened for signature, ratification and accession by General Assembly resolution 44/25 of 20 November 1989. Entry into force: 2 September 1990, in accordance with Article 49. New York, 20 November 1989. Article 40(2)(b)(v).</w:t>
      </w:r>
    </w:p>
  </w:footnote>
  <w:footnote w:id="76">
    <w:p w14:paraId="51619814"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United Nations Standard Minimum Rules for the Administration of Juvenile Justice (The Beijing Rules). Adopted by UN General Assembly resolution 40/33, November 28, 1985.</w:t>
      </w:r>
    </w:p>
  </w:footnote>
  <w:footnote w:id="77">
    <w:p w14:paraId="281410F5"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United Nations. Committee on the Rights of the Child. General Comment</w:t>
      </w:r>
      <w:r w:rsidRPr="00D76756">
        <w:rPr>
          <w:rFonts w:ascii="Cambria" w:hAnsi="Cambria"/>
          <w:iCs/>
          <w:sz w:val="16"/>
          <w:szCs w:val="16"/>
          <w:lang w:val="en-US"/>
        </w:rPr>
        <w:t xml:space="preserve"> No. 10.</w:t>
      </w:r>
      <w:r w:rsidRPr="00D76756">
        <w:rPr>
          <w:rFonts w:ascii="Cambria" w:hAnsi="Cambria"/>
          <w:sz w:val="16"/>
          <w:szCs w:val="16"/>
          <w:lang w:val="en-US"/>
        </w:rPr>
        <w:t xml:space="preserve"> Children’s right in juvenile justice</w:t>
      </w:r>
      <w:r w:rsidRPr="00D76756">
        <w:rPr>
          <w:rFonts w:ascii="Cambria" w:hAnsi="Cambria"/>
          <w:iCs/>
          <w:sz w:val="16"/>
          <w:szCs w:val="16"/>
          <w:lang w:val="en-US"/>
        </w:rPr>
        <w:t xml:space="preserve">. </w:t>
      </w:r>
      <w:r w:rsidRPr="00D76756">
        <w:rPr>
          <w:rFonts w:ascii="Cambria" w:hAnsi="Cambria"/>
          <w:sz w:val="16"/>
          <w:szCs w:val="16"/>
          <w:lang w:val="en-US"/>
        </w:rPr>
        <w:t xml:space="preserve">CRC/C/GC/10. April 25, 2007, para. 60.  </w:t>
      </w:r>
    </w:p>
  </w:footnote>
  <w:footnote w:id="78">
    <w:p w14:paraId="24DB4ABE"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I/A Court H.R. Juridical condition and human rights of the child. Advisory Opinion OC-17/02 of August 28, 2002. Series A No. 17, para. 53. </w:t>
      </w:r>
    </w:p>
  </w:footnote>
  <w:footnote w:id="79">
    <w:p w14:paraId="0BCF164C"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The American Convention on Human Rights does not provide a definition for the term “child and adolescent.” Nevertheless, the Inter-American Court, in its Advisory Opinion 17, specified that, “taking into account international norms and the criterion upheld by the Court in other cases, ‘child’ refers to any person who has not yet turned 18 years of age.” In particular, the Court took into account the definition of child or adolescent appearing in Article 1 of the Convention on the Rights of the Child and the international </w:t>
      </w:r>
      <w:r w:rsidRPr="00D76756">
        <w:rPr>
          <w:rFonts w:ascii="Cambria" w:hAnsi="Cambria"/>
          <w:i/>
          <w:sz w:val="16"/>
          <w:szCs w:val="16"/>
          <w:lang w:val="en-US"/>
        </w:rPr>
        <w:t>corpus juris</w:t>
      </w:r>
      <w:r w:rsidRPr="00D76756">
        <w:rPr>
          <w:rFonts w:ascii="Cambria" w:hAnsi="Cambria"/>
          <w:sz w:val="16"/>
          <w:szCs w:val="16"/>
          <w:lang w:val="en-US"/>
        </w:rPr>
        <w:t xml:space="preserve"> on the matter. I/A Court H.R. Juridical condition and human rights of the child. Advisory Opinion OC‐17/02 of August 28, 2002. Series A No. 17, para. 42.</w:t>
      </w:r>
    </w:p>
  </w:footnote>
  <w:footnote w:id="80">
    <w:p w14:paraId="229708B9"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In that regard, see: UN Committee on the Rights of the Child. General Comment No. 10, Children’s rights in juvenile justice, CRC/C/GC/10, April 25, 2007, paras. 36 and 37; and IACHR. Juvenile Justice an</w:t>
      </w:r>
      <w:r>
        <w:rPr>
          <w:rFonts w:ascii="Cambria" w:hAnsi="Cambria"/>
          <w:sz w:val="16"/>
          <w:szCs w:val="16"/>
          <w:lang w:val="en-US"/>
        </w:rPr>
        <w:t>d Human Rights in the Americas</w:t>
      </w:r>
      <w:r w:rsidRPr="00D76756">
        <w:rPr>
          <w:rFonts w:ascii="Cambria" w:hAnsi="Cambria"/>
          <w:sz w:val="16"/>
          <w:szCs w:val="16"/>
          <w:lang w:val="en-US"/>
        </w:rPr>
        <w:t>. OEA/Ser.L/V/II. Doc. 78, July 13, 2011, para. 38.</w:t>
      </w:r>
    </w:p>
  </w:footnote>
  <w:footnote w:id="81">
    <w:p w14:paraId="17367401"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IACHR. Children and Adolescents in the United States’ Adult Criminal Justice System, OAS/Ser.L/V/II.167, Doc. 34, March 1, 2018. Original: English, para. 29. Accessible at: http://www.oas.org/es/cidh/informes/pdfs/NNA-USA.pdf</w:t>
      </w:r>
    </w:p>
  </w:footnote>
  <w:footnote w:id="82">
    <w:p w14:paraId="1F0D1931"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IACHR. Children and Adolescents in the United States Adult Criminal Justice System, OAS/Ser.L/V/II.167, Doc. 34, March 1, 2018. Original: English, para. 36. Accessible at: http://www.oas.org/es/cidh/informes/pdfs/NNA-USA.pdf</w:t>
      </w:r>
    </w:p>
  </w:footnote>
  <w:footnote w:id="83">
    <w:p w14:paraId="548C2393"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IACHR. Juvenile Justice and Human Rights in the Americas. OEA/Ser.L/V/II. Doc. 78, July 13, 2011, para. 66. Original: Spanish. Accessible at: </w:t>
      </w:r>
      <w:hyperlink r:id="rId3" w:history="1">
        <w:r w:rsidRPr="00D76756">
          <w:rPr>
            <w:rStyle w:val="Hyperlink"/>
            <w:rFonts w:ascii="Cambria" w:hAnsi="Cambria"/>
            <w:sz w:val="16"/>
            <w:szCs w:val="16"/>
          </w:rPr>
          <w:t>https://www.oas.org/es/cidh/infancia/docs/pdf/JusticiaJuvenil.pdf</w:t>
        </w:r>
      </w:hyperlink>
      <w:r w:rsidRPr="00D76756">
        <w:rPr>
          <w:rFonts w:ascii="Cambria" w:hAnsi="Cambria"/>
          <w:sz w:val="16"/>
          <w:szCs w:val="16"/>
        </w:rPr>
        <w:t>; and IACHR, Report No. 41/99, Case 11.491, Admissibility and Merits,</w:t>
      </w:r>
      <w:r w:rsidR="00055DC0">
        <w:rPr>
          <w:rFonts w:ascii="Cambria" w:hAnsi="Cambria"/>
          <w:sz w:val="16"/>
          <w:szCs w:val="16"/>
        </w:rPr>
        <w:t xml:space="preserve"> Minors in detention</w:t>
      </w:r>
      <w:r w:rsidRPr="00D76756">
        <w:rPr>
          <w:rFonts w:ascii="Cambria" w:hAnsi="Cambria"/>
          <w:sz w:val="16"/>
          <w:szCs w:val="16"/>
        </w:rPr>
        <w:t>, Honduras, March 10, 1999, paras. 109 and 110.</w:t>
      </w:r>
    </w:p>
  </w:footnote>
  <w:footnote w:id="84">
    <w:p w14:paraId="1F3D8FC7"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IACHR. Juvenile Justice and Human Rights in the Americas. OEA/Ser.L/V/II. Doc. 78, July 13, 2011, para. 80. Original: Spanish. Accessible at: </w:t>
      </w:r>
      <w:hyperlink r:id="rId4" w:history="1">
        <w:r w:rsidRPr="00D76756">
          <w:rPr>
            <w:rStyle w:val="Hyperlink"/>
            <w:rFonts w:ascii="Cambria" w:hAnsi="Cambria"/>
            <w:sz w:val="16"/>
            <w:szCs w:val="16"/>
            <w:lang w:val="en-US"/>
          </w:rPr>
          <w:t>https://www.oas.org/es/cidh/infancia/docs/pdf/JusticiaJuvenil.pdf</w:t>
        </w:r>
      </w:hyperlink>
      <w:r w:rsidRPr="00D76756">
        <w:rPr>
          <w:rFonts w:ascii="Cambria" w:hAnsi="Cambria"/>
          <w:sz w:val="16"/>
          <w:szCs w:val="16"/>
          <w:lang w:val="en-US"/>
        </w:rPr>
        <w:t>.</w:t>
      </w:r>
    </w:p>
  </w:footnote>
  <w:footnote w:id="85">
    <w:p w14:paraId="17C182D0" w14:textId="77777777" w:rsidR="001963DB" w:rsidRPr="00D76756" w:rsidRDefault="001963DB" w:rsidP="0046163F">
      <w:pPr>
        <w:pStyle w:val="FootnoteText"/>
        <w:jc w:val="both"/>
        <w:rPr>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IACHR. Juvenile Justice and Human Rights in the Americas. OEA/Ser.L/V/II. Doc. 78, July 13, 2011, para. 80. Original: Spanish. Accessible at: </w:t>
      </w:r>
      <w:hyperlink r:id="rId5" w:history="1">
        <w:r w:rsidRPr="00D76756">
          <w:rPr>
            <w:rStyle w:val="Hyperlink"/>
            <w:rFonts w:ascii="Cambria" w:hAnsi="Cambria"/>
            <w:sz w:val="16"/>
            <w:szCs w:val="16"/>
            <w:lang w:val="en-US"/>
          </w:rPr>
          <w:t>https://www.oas.org/es/cidh/infancia/docs/pdf/JusticiaJuvenil.pdf</w:t>
        </w:r>
      </w:hyperlink>
      <w:r w:rsidRPr="00D76756">
        <w:rPr>
          <w:rFonts w:ascii="Cambria" w:hAnsi="Cambria"/>
          <w:sz w:val="16"/>
          <w:szCs w:val="16"/>
          <w:lang w:val="en-US"/>
        </w:rPr>
        <w:t>.</w:t>
      </w:r>
    </w:p>
  </w:footnote>
  <w:footnote w:id="86">
    <w:p w14:paraId="75C41DE8"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United Nations. Committee on the Rights of the Child. General Comment</w:t>
      </w:r>
      <w:r w:rsidRPr="00D76756">
        <w:rPr>
          <w:rFonts w:ascii="Cambria" w:hAnsi="Cambria"/>
          <w:iCs/>
          <w:sz w:val="16"/>
          <w:szCs w:val="16"/>
          <w:lang w:val="en-US"/>
        </w:rPr>
        <w:t xml:space="preserve"> No. 10.</w:t>
      </w:r>
      <w:r w:rsidRPr="00D76756">
        <w:rPr>
          <w:rFonts w:ascii="Cambria" w:hAnsi="Cambria"/>
          <w:sz w:val="16"/>
          <w:szCs w:val="16"/>
          <w:lang w:val="en-US"/>
        </w:rPr>
        <w:t xml:space="preserve"> The rights of the child in juvenile justice.</w:t>
      </w:r>
      <w:r w:rsidRPr="00D76756">
        <w:rPr>
          <w:rFonts w:ascii="Cambria" w:hAnsi="Cambria"/>
          <w:iCs/>
          <w:sz w:val="16"/>
          <w:szCs w:val="16"/>
          <w:lang w:val="en-US"/>
        </w:rPr>
        <w:t xml:space="preserve"> </w:t>
      </w:r>
      <w:r w:rsidRPr="00D76756">
        <w:rPr>
          <w:rFonts w:ascii="Cambria" w:hAnsi="Cambria"/>
          <w:sz w:val="16"/>
          <w:szCs w:val="16"/>
          <w:lang w:val="en-US"/>
        </w:rPr>
        <w:t xml:space="preserve">CRC/C/GC/10. 25 April 2007, para. 70. </w:t>
      </w:r>
    </w:p>
  </w:footnote>
  <w:footnote w:id="87">
    <w:p w14:paraId="7FBC3DE5"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IACHR. Juvenile Justice and Human Rights in the Americas. OEA/Ser.L/V/II. Doc. 78, July 13, 2011, para. 81. Original: Spanish. Accessible at</w:t>
      </w:r>
      <w:r w:rsidRPr="00D76756">
        <w:rPr>
          <w:rFonts w:ascii="Cambria" w:eastAsia="Times New Roman" w:hAnsi="Cambria"/>
          <w:sz w:val="16"/>
          <w:szCs w:val="16"/>
          <w:bdr w:val="none" w:sz="0" w:space="0" w:color="auto"/>
          <w:lang w:val="en-US"/>
        </w:rPr>
        <w:t xml:space="preserve">: </w:t>
      </w:r>
      <w:hyperlink r:id="rId6" w:history="1">
        <w:r w:rsidRPr="00D76756">
          <w:rPr>
            <w:rStyle w:val="Hyperlink"/>
            <w:rFonts w:ascii="Cambria" w:eastAsia="Times New Roman" w:hAnsi="Cambria"/>
            <w:sz w:val="16"/>
            <w:szCs w:val="16"/>
            <w:bdr w:val="none" w:sz="0" w:space="0" w:color="auto"/>
            <w:lang w:val="en-US"/>
          </w:rPr>
          <w:t>https://www.oas.org/es/cidh/infancia/docs/pdf/JusticiaJuvenil.pdf</w:t>
        </w:r>
      </w:hyperlink>
      <w:r w:rsidRPr="00D76756">
        <w:rPr>
          <w:rFonts w:ascii="Cambria" w:eastAsia="Times New Roman" w:hAnsi="Cambria"/>
          <w:sz w:val="16"/>
          <w:szCs w:val="16"/>
          <w:bdr w:val="none" w:sz="0" w:space="0" w:color="auto"/>
          <w:lang w:val="en-US"/>
        </w:rPr>
        <w:t>.</w:t>
      </w:r>
    </w:p>
  </w:footnote>
  <w:footnote w:id="88">
    <w:p w14:paraId="739F7AB1"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I/A Court H.R. Juridical condition and human rights of the child. Advisory Opinion OC</w:t>
      </w:r>
      <w:r w:rsidRPr="00D76756">
        <w:rPr>
          <w:rFonts w:ascii="Cambria" w:hAnsi="Cambria" w:cs="Cambria Math"/>
          <w:sz w:val="16"/>
          <w:szCs w:val="16"/>
        </w:rPr>
        <w:t>‐</w:t>
      </w:r>
      <w:r w:rsidRPr="00D76756">
        <w:rPr>
          <w:rFonts w:ascii="Cambria" w:hAnsi="Cambria"/>
          <w:sz w:val="16"/>
          <w:szCs w:val="16"/>
        </w:rPr>
        <w:t>17/02 of August 28, 2002. Series A No. 17, para. 109; and IACHR, Report No. 41/99, Case 11.</w:t>
      </w:r>
      <w:r w:rsidR="00055DC0">
        <w:rPr>
          <w:rFonts w:ascii="Cambria" w:hAnsi="Cambria"/>
          <w:sz w:val="16"/>
          <w:szCs w:val="16"/>
        </w:rPr>
        <w:t>491, Admissibility and Merits, Minors detained</w:t>
      </w:r>
      <w:r w:rsidRPr="00D76756">
        <w:rPr>
          <w:rFonts w:ascii="Cambria" w:hAnsi="Cambria"/>
          <w:sz w:val="16"/>
          <w:szCs w:val="16"/>
        </w:rPr>
        <w:t>, Honduras, March 10, 1999, para. 125.</w:t>
      </w:r>
    </w:p>
  </w:footnote>
  <w:footnote w:id="89">
    <w:p w14:paraId="4832C5EC" w14:textId="77777777" w:rsidR="001963DB" w:rsidRPr="00D76756" w:rsidRDefault="001963DB" w:rsidP="0046163F">
      <w:pPr>
        <w:pStyle w:val="FootnoteText"/>
        <w:jc w:val="both"/>
        <w:rPr>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w:t>
      </w:r>
      <w:r w:rsidRPr="00D76756">
        <w:rPr>
          <w:rFonts w:ascii="Cambria" w:hAnsi="Cambria"/>
          <w:bCs/>
          <w:color w:val="000000"/>
          <w:sz w:val="16"/>
          <w:szCs w:val="16"/>
          <w:shd w:val="clear" w:color="auto" w:fill="FFFFFF"/>
          <w:lang w:val="en-US"/>
        </w:rPr>
        <w:t>I/A Court H.R. Case of Mendoza et al. v. Argentina. Preliminary objections, merits and reparations. Judgment of May 14, 2013. Series C No. 260, para. 161.</w:t>
      </w:r>
    </w:p>
  </w:footnote>
  <w:footnote w:id="90">
    <w:p w14:paraId="5EDFBEAE" w14:textId="77777777" w:rsidR="001963DB" w:rsidRPr="00D76756" w:rsidRDefault="001963DB" w:rsidP="0046163F">
      <w:pPr>
        <w:jc w:val="both"/>
        <w:rPr>
          <w:rFonts w:ascii="Cambria" w:hAnsi="Cambria"/>
          <w:sz w:val="16"/>
          <w:szCs w:val="16"/>
        </w:rPr>
      </w:pPr>
      <w:r w:rsidRPr="00D76756">
        <w:rPr>
          <w:rStyle w:val="FootnoteReference"/>
          <w:rFonts w:ascii="Cambria" w:hAnsi="Cambria"/>
          <w:sz w:val="16"/>
          <w:szCs w:val="16"/>
        </w:rPr>
        <w:footnoteRef/>
      </w:r>
      <w:r w:rsidRPr="00D76756">
        <w:rPr>
          <w:rFonts w:ascii="Cambria" w:hAnsi="Cambria"/>
          <w:sz w:val="16"/>
          <w:szCs w:val="16"/>
        </w:rPr>
        <w:t xml:space="preserve"> I/A Court H.R. Case of the “Juvenile Reeducation Institute” v. Paraguay. Judgment of September 2, 2004. Preliminary objections, merits, reparations and costs. Series C No. 112, para. 211.</w:t>
      </w:r>
    </w:p>
  </w:footnote>
  <w:footnote w:id="91">
    <w:p w14:paraId="48A31225"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IACHR. Juvenile Justice and Human Rights in the Americas, para. 42. </w:t>
      </w:r>
      <w:r w:rsidRPr="00D76756">
        <w:rPr>
          <w:rFonts w:ascii="Cambria" w:eastAsia="Times New Roman" w:hAnsi="Cambria"/>
          <w:sz w:val="16"/>
          <w:szCs w:val="16"/>
          <w:bdr w:val="none" w:sz="0" w:space="0" w:color="auto"/>
          <w:lang w:val="en-US"/>
        </w:rPr>
        <w:t xml:space="preserve">OEA/Ser.L/V/II. Doc. 78. July 13, 2011 Original: Spanish. Accessible at: </w:t>
      </w:r>
      <w:hyperlink r:id="rId7" w:history="1">
        <w:r w:rsidRPr="00D76756">
          <w:rPr>
            <w:rStyle w:val="Hyperlink"/>
            <w:rFonts w:ascii="Cambria" w:eastAsia="Times New Roman" w:hAnsi="Cambria"/>
            <w:sz w:val="16"/>
            <w:szCs w:val="16"/>
            <w:bdr w:val="none" w:sz="0" w:space="0" w:color="auto"/>
            <w:lang w:val="en-US"/>
          </w:rPr>
          <w:t>https://www.oas.org/es/cidh/infancia/docs/pdf/JusticiaJuvenil.pdf</w:t>
        </w:r>
      </w:hyperlink>
      <w:r w:rsidRPr="00D76756">
        <w:rPr>
          <w:rFonts w:ascii="Cambria" w:eastAsia="Times New Roman" w:hAnsi="Cambria"/>
          <w:sz w:val="16"/>
          <w:szCs w:val="16"/>
          <w:bdr w:val="none" w:sz="0" w:space="0" w:color="auto"/>
          <w:lang w:val="en-US"/>
        </w:rPr>
        <w:t>.</w:t>
      </w:r>
    </w:p>
  </w:footnote>
  <w:footnote w:id="92">
    <w:p w14:paraId="32FBF5BA" w14:textId="4B3B7902"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w:t>
      </w:r>
      <w:r w:rsidRPr="00AB4518">
        <w:rPr>
          <w:rFonts w:ascii="Cambria" w:hAnsi="Cambria"/>
          <w:b/>
          <w:sz w:val="16"/>
          <w:szCs w:val="16"/>
          <w:lang w:val="en-US"/>
        </w:rPr>
        <w:t>AN</w:t>
      </w:r>
      <w:r w:rsidR="00AB4518" w:rsidRPr="00AB4518">
        <w:rPr>
          <w:rFonts w:ascii="Cambria" w:hAnsi="Cambria"/>
          <w:b/>
          <w:sz w:val="16"/>
          <w:szCs w:val="16"/>
          <w:lang w:val="en-US"/>
        </w:rPr>
        <w:t>N</w:t>
      </w:r>
      <w:r w:rsidRPr="00AB4518">
        <w:rPr>
          <w:rFonts w:ascii="Cambria" w:hAnsi="Cambria"/>
          <w:b/>
          <w:sz w:val="16"/>
          <w:szCs w:val="16"/>
          <w:lang w:val="en-US"/>
        </w:rPr>
        <w:t>EX</w:t>
      </w:r>
      <w:r w:rsidR="006A4764" w:rsidRPr="00AB4518">
        <w:rPr>
          <w:rFonts w:ascii="Cambria" w:hAnsi="Cambria"/>
          <w:b/>
          <w:sz w:val="16"/>
          <w:szCs w:val="16"/>
          <w:lang w:val="en-US"/>
        </w:rPr>
        <w:t xml:space="preserve"> </w:t>
      </w:r>
      <w:r w:rsidR="006A4764">
        <w:rPr>
          <w:rFonts w:ascii="Cambria" w:hAnsi="Cambria"/>
          <w:b/>
          <w:sz w:val="16"/>
          <w:szCs w:val="16"/>
          <w:lang w:val="en-US"/>
        </w:rPr>
        <w:t>8</w:t>
      </w:r>
      <w:r w:rsidRPr="00D76756">
        <w:rPr>
          <w:rFonts w:ascii="Cambria" w:hAnsi="Cambria"/>
          <w:sz w:val="16"/>
          <w:szCs w:val="16"/>
          <w:lang w:val="en-US"/>
        </w:rPr>
        <w:t xml:space="preserve">. Judgment No. 50/2002 of the First Chamber of the Criminal Court of the Judicial District of Comodoro Rivadavia of September 17, 2002, p. 15. Annex 1 to the communication from the petitioners, received by the Commission on May 21, 2004. </w:t>
      </w:r>
    </w:p>
  </w:footnote>
  <w:footnote w:id="93">
    <w:p w14:paraId="070EA3B6" w14:textId="5293340E"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w:t>
      </w:r>
      <w:r w:rsidRPr="00AB4518">
        <w:rPr>
          <w:rFonts w:ascii="Cambria" w:hAnsi="Cambria"/>
          <w:b/>
          <w:sz w:val="16"/>
          <w:szCs w:val="16"/>
          <w:lang w:val="en-US"/>
        </w:rPr>
        <w:t xml:space="preserve">ANNEX </w:t>
      </w:r>
      <w:r w:rsidR="006A4764">
        <w:rPr>
          <w:rFonts w:ascii="Cambria" w:hAnsi="Cambria"/>
          <w:b/>
          <w:sz w:val="16"/>
          <w:szCs w:val="16"/>
          <w:lang w:val="en-US"/>
        </w:rPr>
        <w:t>8</w:t>
      </w:r>
      <w:r w:rsidRPr="00D76756">
        <w:rPr>
          <w:rFonts w:ascii="Cambria" w:hAnsi="Cambria"/>
          <w:sz w:val="16"/>
          <w:szCs w:val="16"/>
          <w:lang w:val="en-US"/>
        </w:rPr>
        <w:t xml:space="preserve">. Judgment No. 50/2002 of the First Chamber of the Criminal Court of the Judicial District of Comodoro Rivadavia of September 17, 2002, pp. 23 and 24. Annex 1 to the communication from the petitioners, received by the Commission on May 21, 2004.  </w:t>
      </w:r>
    </w:p>
  </w:footnote>
  <w:footnote w:id="94">
    <w:p w14:paraId="57AB2700" w14:textId="77777777" w:rsidR="001963DB" w:rsidRPr="00D76756" w:rsidRDefault="001963DB" w:rsidP="0046163F">
      <w:pPr>
        <w:pStyle w:val="FootnoteText"/>
        <w:jc w:val="both"/>
        <w:rPr>
          <w:rFonts w:ascii="Cambria" w:hAnsi="Cambria"/>
          <w:sz w:val="16"/>
          <w:szCs w:val="16"/>
          <w:lang w:val="en-US"/>
        </w:rPr>
      </w:pPr>
      <w:r w:rsidRPr="00D76756">
        <w:rPr>
          <w:rStyle w:val="FootnoteReference"/>
          <w:rFonts w:ascii="Cambria" w:hAnsi="Cambria"/>
          <w:sz w:val="16"/>
          <w:szCs w:val="16"/>
          <w:lang w:val="en-US"/>
        </w:rPr>
        <w:footnoteRef/>
      </w:r>
      <w:r w:rsidRPr="00D76756">
        <w:rPr>
          <w:rFonts w:ascii="Cambria" w:hAnsi="Cambria"/>
          <w:sz w:val="16"/>
          <w:szCs w:val="16"/>
          <w:lang w:val="en-US"/>
        </w:rPr>
        <w:t xml:space="preserve"> Communication from the petitioner, May 11, 2004. </w:t>
      </w:r>
    </w:p>
  </w:footnote>
  <w:footnote w:id="95">
    <w:p w14:paraId="2D1D0B19" w14:textId="75B3B1B6" w:rsidR="000834EA" w:rsidRPr="000834EA" w:rsidRDefault="000834EA" w:rsidP="000834EA">
      <w:pPr>
        <w:jc w:val="both"/>
        <w:rPr>
          <w:rFonts w:ascii="Cambria" w:eastAsia="Arial Unicode MS" w:hAnsi="Cambria"/>
          <w:sz w:val="16"/>
          <w:szCs w:val="16"/>
          <w:bdr w:val="nil"/>
        </w:rPr>
      </w:pPr>
      <w:r w:rsidRPr="00A07CD2">
        <w:rPr>
          <w:rStyle w:val="FootnoteReference"/>
          <w:rFonts w:ascii="Cambria" w:hAnsi="Cambria"/>
          <w:sz w:val="16"/>
          <w:szCs w:val="16"/>
          <w:lang w:val="es-ES"/>
        </w:rPr>
        <w:footnoteRef/>
      </w:r>
      <w:r>
        <w:rPr>
          <w:rFonts w:ascii="Cambria" w:eastAsia="Arial Unicode MS" w:hAnsi="Cambria"/>
          <w:sz w:val="16"/>
          <w:szCs w:val="16"/>
          <w:bdr w:val="nil"/>
          <w:lang w:val="es-ES"/>
        </w:rPr>
        <w:t xml:space="preserve"> </w:t>
      </w:r>
      <w:r w:rsidRPr="00B115D5">
        <w:rPr>
          <w:rFonts w:ascii="Cambria" w:eastAsia="Arial Unicode MS" w:hAnsi="Cambria"/>
          <w:sz w:val="16"/>
          <w:szCs w:val="16"/>
          <w:bdr w:val="nil"/>
          <w:lang w:val="es-US"/>
        </w:rPr>
        <w:t xml:space="preserve">I/A Court H.R., Case of “Instituto de Reeducación del Menor” v. Paraguay. Case of “Instituto de Reeducación del Menor” v. Paraguay. </w:t>
      </w:r>
      <w:r w:rsidRPr="000834EA">
        <w:rPr>
          <w:rFonts w:ascii="Cambria" w:eastAsia="Arial Unicode MS" w:hAnsi="Cambria"/>
          <w:sz w:val="16"/>
          <w:szCs w:val="16"/>
          <w:bdr w:val="nil"/>
        </w:rPr>
        <w:t>Preliminary Objections, Merits, Reparations and Costs. Judgment of September 2, 2004. Series C No. 112. Paras. 201 to 213.</w:t>
      </w:r>
    </w:p>
    <w:p w14:paraId="4E3F7E25" w14:textId="77777777" w:rsidR="000834EA" w:rsidRPr="00B115D5" w:rsidRDefault="000834EA" w:rsidP="000834EA">
      <w:pPr>
        <w:pStyle w:val="FootnoteText"/>
        <w:jc w:val="both"/>
        <w:rPr>
          <w:lang w:val="en-US"/>
        </w:rPr>
      </w:pPr>
    </w:p>
  </w:footnote>
  <w:footnote w:id="96">
    <w:p w14:paraId="3EDF7BB2" w14:textId="60F5727B" w:rsidR="00134907" w:rsidRPr="00D048DB" w:rsidRDefault="00134907" w:rsidP="00627603">
      <w:pPr>
        <w:pStyle w:val="FootnoteText"/>
        <w:jc w:val="both"/>
        <w:rPr>
          <w:rFonts w:ascii="Cambria" w:hAnsi="Cambria"/>
          <w:sz w:val="16"/>
          <w:szCs w:val="16"/>
          <w:lang w:val="es-US"/>
        </w:rPr>
      </w:pPr>
      <w:r w:rsidRPr="00D048DB">
        <w:rPr>
          <w:rStyle w:val="FootnoteReference"/>
          <w:rFonts w:ascii="Cambria" w:hAnsi="Cambria"/>
          <w:sz w:val="16"/>
          <w:szCs w:val="16"/>
        </w:rPr>
        <w:footnoteRef/>
      </w:r>
      <w:r w:rsidRPr="004F50A6">
        <w:rPr>
          <w:rFonts w:ascii="Cambria" w:hAnsi="Cambria"/>
          <w:sz w:val="16"/>
          <w:szCs w:val="16"/>
          <w:lang w:val="en-US"/>
        </w:rPr>
        <w:t xml:space="preserve"> </w:t>
      </w:r>
      <w:r w:rsidR="00453366" w:rsidRPr="004F50A6">
        <w:rPr>
          <w:rFonts w:ascii="Cambria" w:hAnsi="Cambria"/>
          <w:sz w:val="16"/>
          <w:szCs w:val="16"/>
          <w:lang w:val="en-US"/>
        </w:rPr>
        <w:t xml:space="preserve">Procedural Criminal Code of Chubut Province and </w:t>
      </w:r>
      <w:r w:rsidR="00E166FC">
        <w:rPr>
          <w:rFonts w:ascii="Cambria" w:hAnsi="Cambria"/>
          <w:sz w:val="16"/>
          <w:szCs w:val="16"/>
          <w:lang w:val="en-US"/>
        </w:rPr>
        <w:t>C</w:t>
      </w:r>
      <w:r w:rsidR="00453366" w:rsidRPr="004F50A6">
        <w:rPr>
          <w:rFonts w:ascii="Cambria" w:hAnsi="Cambria"/>
          <w:sz w:val="16"/>
          <w:szCs w:val="16"/>
          <w:lang w:val="en-US"/>
        </w:rPr>
        <w:t xml:space="preserve">omplimentary </w:t>
      </w:r>
      <w:r w:rsidR="00E166FC">
        <w:rPr>
          <w:rFonts w:ascii="Cambria" w:hAnsi="Cambria"/>
          <w:sz w:val="16"/>
          <w:szCs w:val="16"/>
          <w:lang w:val="en-US"/>
        </w:rPr>
        <w:t>L</w:t>
      </w:r>
      <w:r w:rsidR="00453366" w:rsidRPr="004F50A6">
        <w:rPr>
          <w:rFonts w:ascii="Cambria" w:hAnsi="Cambria"/>
          <w:sz w:val="16"/>
          <w:szCs w:val="16"/>
          <w:lang w:val="en-US"/>
        </w:rPr>
        <w:t>aws</w:t>
      </w:r>
      <w:r w:rsidR="004F50A6" w:rsidRPr="00E166FC">
        <w:rPr>
          <w:rFonts w:ascii="Cambria" w:hAnsi="Cambria"/>
          <w:i/>
          <w:iCs/>
          <w:sz w:val="16"/>
          <w:szCs w:val="16"/>
          <w:lang w:val="en-US"/>
        </w:rPr>
        <w:t xml:space="preserve">. </w:t>
      </w:r>
      <w:hyperlink r:id="rId8" w:history="1">
        <w:r w:rsidRPr="00E166FC">
          <w:rPr>
            <w:rStyle w:val="Hyperlink"/>
            <w:rFonts w:ascii="Cambria" w:hAnsi="Cambria"/>
            <w:i/>
            <w:iCs/>
            <w:sz w:val="16"/>
            <w:szCs w:val="16"/>
          </w:rPr>
          <w:t>Código Procesal Penal de la Provincia del Chubut y leyes complementarias.</w:t>
        </w:r>
      </w:hyperlink>
      <w:r w:rsidRPr="00D048DB">
        <w:rPr>
          <w:rFonts w:ascii="Cambria" w:hAnsi="Cambria"/>
          <w:sz w:val="16"/>
          <w:szCs w:val="16"/>
        </w:rPr>
        <w:t xml:space="preserve"> Publica</w:t>
      </w:r>
      <w:r w:rsidR="00E166FC">
        <w:rPr>
          <w:rFonts w:ascii="Cambria" w:hAnsi="Cambria"/>
          <w:sz w:val="16"/>
          <w:szCs w:val="16"/>
        </w:rPr>
        <w:t>tion</w:t>
      </w:r>
      <w:r w:rsidRPr="00D048DB">
        <w:rPr>
          <w:rFonts w:ascii="Cambria" w:hAnsi="Cambria"/>
          <w:sz w:val="16"/>
          <w:szCs w:val="16"/>
        </w:rPr>
        <w:t xml:space="preserve">: </w:t>
      </w:r>
      <w:r w:rsidR="004F50A6">
        <w:rPr>
          <w:rFonts w:ascii="Cambria" w:hAnsi="Cambria"/>
          <w:sz w:val="16"/>
          <w:szCs w:val="16"/>
        </w:rPr>
        <w:t>Official Bulletin</w:t>
      </w:r>
      <w:r w:rsidRPr="00D048DB">
        <w:rPr>
          <w:rFonts w:ascii="Cambria" w:hAnsi="Cambria"/>
          <w:sz w:val="16"/>
          <w:szCs w:val="16"/>
        </w:rPr>
        <w:t xml:space="preserve"> </w:t>
      </w:r>
      <w:r w:rsidR="004F50A6">
        <w:rPr>
          <w:rFonts w:ascii="Cambria" w:hAnsi="Cambria"/>
          <w:sz w:val="16"/>
          <w:szCs w:val="16"/>
        </w:rPr>
        <w:t>May 5,</w:t>
      </w:r>
      <w:r w:rsidRPr="00D048DB">
        <w:rPr>
          <w:rFonts w:ascii="Cambria" w:hAnsi="Cambria"/>
          <w:sz w:val="16"/>
          <w:szCs w:val="16"/>
        </w:rPr>
        <w:t xml:space="preserve"> 2006 N° 998. Arts. 401-413.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289E" w14:textId="77777777" w:rsidR="001963DB" w:rsidRDefault="001963DB" w:rsidP="00613C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5BED637" w14:textId="77777777" w:rsidR="001963DB" w:rsidRDefault="00196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C5F8" w14:textId="77777777" w:rsidR="001963DB" w:rsidRDefault="001963DB" w:rsidP="00613C9B">
    <w:pPr>
      <w:pStyle w:val="Header"/>
      <w:tabs>
        <w:tab w:val="clear" w:pos="4320"/>
        <w:tab w:val="clear" w:pos="8640"/>
      </w:tabs>
      <w:jc w:val="center"/>
      <w:rPr>
        <w:sz w:val="22"/>
        <w:szCs w:val="22"/>
      </w:rPr>
    </w:pPr>
    <w:r>
      <w:rPr>
        <w:noProof/>
        <w:sz w:val="22"/>
        <w:szCs w:val="22"/>
        <w:lang w:val="en-US"/>
      </w:rPr>
      <w:drawing>
        <wp:inline distT="0" distB="0" distL="0" distR="0" wp14:anchorId="45606F3D" wp14:editId="1F985652">
          <wp:extent cx="1972237" cy="104775"/>
          <wp:effectExtent l="0" t="0" r="9525" b="0"/>
          <wp:docPr id="16"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43CC57C" w14:textId="77777777" w:rsidR="001963DB" w:rsidRPr="00EC7D62" w:rsidRDefault="00C76ECB" w:rsidP="00613C9B">
    <w:pPr>
      <w:pStyle w:val="Header"/>
      <w:tabs>
        <w:tab w:val="clear" w:pos="4320"/>
        <w:tab w:val="clear" w:pos="8640"/>
      </w:tabs>
      <w:jc w:val="center"/>
      <w:rPr>
        <w:sz w:val="22"/>
        <w:szCs w:val="22"/>
      </w:rPr>
    </w:pPr>
    <w:r>
      <w:rPr>
        <w:noProof/>
        <w:sz w:val="22"/>
        <w:szCs w:val="22"/>
      </w:rPr>
      <w:pict w14:anchorId="3234557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1FF5"/>
    <w:multiLevelType w:val="hybridMultilevel"/>
    <w:tmpl w:val="D64EFF3C"/>
    <w:lvl w:ilvl="0" w:tplc="53ECE3BA">
      <w:start w:val="1"/>
      <w:numFmt w:val="upperRoman"/>
      <w:lvlText w:val="%1."/>
      <w:lvlJc w:val="righ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85DDF"/>
    <w:multiLevelType w:val="hybridMultilevel"/>
    <w:tmpl w:val="68DE9200"/>
    <w:lvl w:ilvl="0" w:tplc="958E170E">
      <w:start w:val="1"/>
      <w:numFmt w:val="decimal"/>
      <w:lvlText w:val="%1."/>
      <w:lvlJc w:val="left"/>
      <w:pPr>
        <w:ind w:left="720" w:hanging="360"/>
      </w:pPr>
      <w:rPr>
        <w:rFonts w:hint="default"/>
        <w:b w:val="0"/>
        <w:sz w:val="20"/>
        <w:szCs w:val="20"/>
        <w:lang w:val="en-U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6E829A3"/>
    <w:multiLevelType w:val="hybridMultilevel"/>
    <w:tmpl w:val="6512F8FE"/>
    <w:lvl w:ilvl="0" w:tplc="1518A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83DB3"/>
    <w:multiLevelType w:val="hybridMultilevel"/>
    <w:tmpl w:val="90E080E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9066DD3"/>
    <w:multiLevelType w:val="hybridMultilevel"/>
    <w:tmpl w:val="33CA436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A230A30"/>
    <w:multiLevelType w:val="hybridMultilevel"/>
    <w:tmpl w:val="10C6ED16"/>
    <w:lvl w:ilvl="0" w:tplc="E6F259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0DB4723"/>
    <w:multiLevelType w:val="hybridMultilevel"/>
    <w:tmpl w:val="927AF4EE"/>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8" w15:restartNumberingAfterBreak="0">
    <w:nsid w:val="1436119D"/>
    <w:multiLevelType w:val="hybridMultilevel"/>
    <w:tmpl w:val="50A2E904"/>
    <w:lvl w:ilvl="0" w:tplc="DFA085BA">
      <w:start w:val="1"/>
      <w:numFmt w:val="decimal"/>
      <w:lvlText w:val="%1."/>
      <w:lvlJc w:val="left"/>
      <w:pPr>
        <w:ind w:left="720" w:hanging="360"/>
      </w:pPr>
      <w:rPr>
        <w:rFonts w:ascii="Cambria" w:hAnsi="Cambria" w:hint="default"/>
        <w:b w:val="0"/>
        <w:i w:val="0"/>
        <w:sz w:val="20"/>
        <w:szCs w:val="20"/>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C64BB"/>
    <w:multiLevelType w:val="hybridMultilevel"/>
    <w:tmpl w:val="79C63C30"/>
    <w:lvl w:ilvl="0" w:tplc="04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C0136"/>
    <w:multiLevelType w:val="hybridMultilevel"/>
    <w:tmpl w:val="4AF05AF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AB53B34"/>
    <w:multiLevelType w:val="hybridMultilevel"/>
    <w:tmpl w:val="D1F41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7073A3"/>
    <w:multiLevelType w:val="hybridMultilevel"/>
    <w:tmpl w:val="1FCE7A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C375BF"/>
    <w:multiLevelType w:val="hybridMultilevel"/>
    <w:tmpl w:val="DB38882E"/>
    <w:lvl w:ilvl="0" w:tplc="04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E59414F"/>
    <w:multiLevelType w:val="hybridMultilevel"/>
    <w:tmpl w:val="65EEB6B0"/>
    <w:lvl w:ilvl="0" w:tplc="3620BD02">
      <w:start w:val="1"/>
      <w:numFmt w:val="decimal"/>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5F419FF"/>
    <w:multiLevelType w:val="hybridMultilevel"/>
    <w:tmpl w:val="11E4DD5A"/>
    <w:lvl w:ilvl="0" w:tplc="884440B0">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2A0BA1"/>
    <w:multiLevelType w:val="hybridMultilevel"/>
    <w:tmpl w:val="6AE0A3F8"/>
    <w:lvl w:ilvl="0" w:tplc="F42CF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93090"/>
    <w:multiLevelType w:val="hybridMultilevel"/>
    <w:tmpl w:val="D1B6E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73236"/>
    <w:multiLevelType w:val="hybridMultilevel"/>
    <w:tmpl w:val="65EEB6B0"/>
    <w:lvl w:ilvl="0" w:tplc="3620BD02">
      <w:start w:val="1"/>
      <w:numFmt w:val="decimal"/>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CB40652"/>
    <w:multiLevelType w:val="hybridMultilevel"/>
    <w:tmpl w:val="65EEB6B0"/>
    <w:lvl w:ilvl="0" w:tplc="3620BD02">
      <w:start w:val="1"/>
      <w:numFmt w:val="decimal"/>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CF706F8"/>
    <w:multiLevelType w:val="hybridMultilevel"/>
    <w:tmpl w:val="F0546E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237D1"/>
    <w:multiLevelType w:val="hybridMultilevel"/>
    <w:tmpl w:val="76EE206A"/>
    <w:lvl w:ilvl="0" w:tplc="C3BA2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A5223"/>
    <w:multiLevelType w:val="hybridMultilevel"/>
    <w:tmpl w:val="8EBAF28C"/>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F95818"/>
    <w:multiLevelType w:val="hybridMultilevel"/>
    <w:tmpl w:val="999A4C74"/>
    <w:lvl w:ilvl="0" w:tplc="04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A5FF2"/>
    <w:multiLevelType w:val="hybridMultilevel"/>
    <w:tmpl w:val="65EEB6B0"/>
    <w:lvl w:ilvl="0" w:tplc="3620BD02">
      <w:start w:val="1"/>
      <w:numFmt w:val="decimal"/>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6DB558C"/>
    <w:multiLevelType w:val="hybridMultilevel"/>
    <w:tmpl w:val="5330ACE6"/>
    <w:lvl w:ilvl="0" w:tplc="9C8E7170">
      <w:start w:val="1"/>
      <w:numFmt w:val="upperRoman"/>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97FE7"/>
    <w:multiLevelType w:val="hybridMultilevel"/>
    <w:tmpl w:val="6512F8FE"/>
    <w:lvl w:ilvl="0" w:tplc="1518A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620087"/>
    <w:multiLevelType w:val="hybridMultilevel"/>
    <w:tmpl w:val="3D0C4AA6"/>
    <w:lvl w:ilvl="0" w:tplc="1F80DC26">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E53B5E"/>
    <w:multiLevelType w:val="hybridMultilevel"/>
    <w:tmpl w:val="5BAC390A"/>
    <w:lvl w:ilvl="0" w:tplc="C06A52F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48172D"/>
    <w:multiLevelType w:val="hybridMultilevel"/>
    <w:tmpl w:val="5DDE9766"/>
    <w:lvl w:ilvl="0" w:tplc="EA986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26642"/>
    <w:multiLevelType w:val="hybridMultilevel"/>
    <w:tmpl w:val="F5044C54"/>
    <w:lvl w:ilvl="0" w:tplc="BA2E0994">
      <w:start w:val="1"/>
      <w:numFmt w:val="decimal"/>
      <w:lvlText w:val="%1."/>
      <w:lvlJc w:val="left"/>
      <w:pPr>
        <w:ind w:left="720" w:hanging="360"/>
      </w:pPr>
      <w:rPr>
        <w:rFonts w:hint="default"/>
        <w:b w:val="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D7D4B9D"/>
    <w:multiLevelType w:val="hybridMultilevel"/>
    <w:tmpl w:val="402EB966"/>
    <w:lvl w:ilvl="0" w:tplc="D9648CB4">
      <w:start w:val="1"/>
      <w:numFmt w:val="decimal"/>
      <w:lvlText w:val="%1."/>
      <w:lvlJc w:val="left"/>
      <w:pPr>
        <w:ind w:left="360" w:hanging="360"/>
      </w:pPr>
      <w:rPr>
        <w:rFonts w:ascii="Cambria" w:hAnsi="Cambria" w:hint="default"/>
        <w:b w:val="0"/>
        <w:sz w:val="20"/>
        <w:szCs w:val="20"/>
      </w:rPr>
    </w:lvl>
    <w:lvl w:ilvl="1" w:tplc="4EC0A5EE" w:tentative="1">
      <w:start w:val="1"/>
      <w:numFmt w:val="lowerLetter"/>
      <w:lvlText w:val="%2."/>
      <w:lvlJc w:val="left"/>
      <w:pPr>
        <w:ind w:left="1080" w:hanging="360"/>
      </w:pPr>
    </w:lvl>
    <w:lvl w:ilvl="2" w:tplc="14E62FE8" w:tentative="1">
      <w:start w:val="1"/>
      <w:numFmt w:val="lowerRoman"/>
      <w:lvlText w:val="%3."/>
      <w:lvlJc w:val="right"/>
      <w:pPr>
        <w:ind w:left="1800" w:hanging="180"/>
      </w:pPr>
    </w:lvl>
    <w:lvl w:ilvl="3" w:tplc="4F446870" w:tentative="1">
      <w:start w:val="1"/>
      <w:numFmt w:val="decimal"/>
      <w:lvlText w:val="%4."/>
      <w:lvlJc w:val="left"/>
      <w:pPr>
        <w:ind w:left="2520" w:hanging="360"/>
      </w:pPr>
    </w:lvl>
    <w:lvl w:ilvl="4" w:tplc="28A2365A" w:tentative="1">
      <w:start w:val="1"/>
      <w:numFmt w:val="lowerLetter"/>
      <w:lvlText w:val="%5."/>
      <w:lvlJc w:val="left"/>
      <w:pPr>
        <w:ind w:left="3240" w:hanging="360"/>
      </w:pPr>
    </w:lvl>
    <w:lvl w:ilvl="5" w:tplc="819A80EC" w:tentative="1">
      <w:start w:val="1"/>
      <w:numFmt w:val="lowerRoman"/>
      <w:lvlText w:val="%6."/>
      <w:lvlJc w:val="right"/>
      <w:pPr>
        <w:ind w:left="3960" w:hanging="180"/>
      </w:pPr>
    </w:lvl>
    <w:lvl w:ilvl="6" w:tplc="3DE60BB4" w:tentative="1">
      <w:start w:val="1"/>
      <w:numFmt w:val="decimal"/>
      <w:lvlText w:val="%7."/>
      <w:lvlJc w:val="left"/>
      <w:pPr>
        <w:ind w:left="4680" w:hanging="360"/>
      </w:pPr>
    </w:lvl>
    <w:lvl w:ilvl="7" w:tplc="612E8506" w:tentative="1">
      <w:start w:val="1"/>
      <w:numFmt w:val="lowerLetter"/>
      <w:lvlText w:val="%8."/>
      <w:lvlJc w:val="left"/>
      <w:pPr>
        <w:ind w:left="5400" w:hanging="360"/>
      </w:pPr>
    </w:lvl>
    <w:lvl w:ilvl="8" w:tplc="C0C2440A" w:tentative="1">
      <w:start w:val="1"/>
      <w:numFmt w:val="lowerRoman"/>
      <w:lvlText w:val="%9."/>
      <w:lvlJc w:val="right"/>
      <w:pPr>
        <w:ind w:left="6120" w:hanging="180"/>
      </w:pPr>
    </w:lvl>
  </w:abstractNum>
  <w:abstractNum w:abstractNumId="32" w15:restartNumberingAfterBreak="0">
    <w:nsid w:val="5DAA03CA"/>
    <w:multiLevelType w:val="hybridMultilevel"/>
    <w:tmpl w:val="064033B0"/>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C6761E"/>
    <w:multiLevelType w:val="hybridMultilevel"/>
    <w:tmpl w:val="57BAFAAE"/>
    <w:lvl w:ilvl="0" w:tplc="F0DA7934">
      <w:start w:val="1"/>
      <w:numFmt w:val="decimal"/>
      <w:lvlText w:val="%1."/>
      <w:lvlJc w:val="left"/>
      <w:pPr>
        <w:ind w:left="360" w:hanging="360"/>
      </w:pPr>
      <w:rPr>
        <w:rFonts w:ascii="Cambria" w:hAnsi="Cambria" w:hint="default"/>
        <w:b w:val="0"/>
        <w:i w:val="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45D7FD1"/>
    <w:multiLevelType w:val="hybridMultilevel"/>
    <w:tmpl w:val="70946CB4"/>
    <w:lvl w:ilvl="0" w:tplc="D05C06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321EC"/>
    <w:multiLevelType w:val="hybridMultilevel"/>
    <w:tmpl w:val="1A208330"/>
    <w:lvl w:ilvl="0" w:tplc="7DC68E0C">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C324F9"/>
    <w:multiLevelType w:val="hybridMultilevel"/>
    <w:tmpl w:val="B1020580"/>
    <w:lvl w:ilvl="0" w:tplc="46BC02B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E2E83"/>
    <w:multiLevelType w:val="hybridMultilevel"/>
    <w:tmpl w:val="B7A82B2A"/>
    <w:lvl w:ilvl="0" w:tplc="C6F2BA04">
      <w:start w:val="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758FD"/>
    <w:multiLevelType w:val="hybridMultilevel"/>
    <w:tmpl w:val="5C20C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D53C4"/>
    <w:multiLevelType w:val="hybridMultilevel"/>
    <w:tmpl w:val="79C63C30"/>
    <w:lvl w:ilvl="0" w:tplc="04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1707154">
    <w:abstractNumId w:val="16"/>
  </w:num>
  <w:num w:numId="2" w16cid:durableId="777798758">
    <w:abstractNumId w:val="1"/>
  </w:num>
  <w:num w:numId="3" w16cid:durableId="1818256978">
    <w:abstractNumId w:val="15"/>
  </w:num>
  <w:num w:numId="4" w16cid:durableId="615872814">
    <w:abstractNumId w:val="3"/>
  </w:num>
  <w:num w:numId="5" w16cid:durableId="2018576804">
    <w:abstractNumId w:val="20"/>
  </w:num>
  <w:num w:numId="6" w16cid:durableId="1906378859">
    <w:abstractNumId w:val="11"/>
  </w:num>
  <w:num w:numId="7" w16cid:durableId="1834644146">
    <w:abstractNumId w:val="10"/>
  </w:num>
  <w:num w:numId="8" w16cid:durableId="1224950112">
    <w:abstractNumId w:val="7"/>
  </w:num>
  <w:num w:numId="9" w16cid:durableId="2102215496">
    <w:abstractNumId w:val="22"/>
  </w:num>
  <w:num w:numId="10" w16cid:durableId="717050322">
    <w:abstractNumId w:val="0"/>
  </w:num>
  <w:num w:numId="11" w16cid:durableId="658771075">
    <w:abstractNumId w:val="39"/>
  </w:num>
  <w:num w:numId="12" w16cid:durableId="24795052">
    <w:abstractNumId w:val="23"/>
  </w:num>
  <w:num w:numId="13" w16cid:durableId="895966433">
    <w:abstractNumId w:val="28"/>
  </w:num>
  <w:num w:numId="14" w16cid:durableId="14160392">
    <w:abstractNumId w:val="27"/>
  </w:num>
  <w:num w:numId="15" w16cid:durableId="210844665">
    <w:abstractNumId w:val="12"/>
  </w:num>
  <w:num w:numId="16" w16cid:durableId="788009252">
    <w:abstractNumId w:val="9"/>
  </w:num>
  <w:num w:numId="17" w16cid:durableId="1643922708">
    <w:abstractNumId w:val="13"/>
  </w:num>
  <w:num w:numId="18" w16cid:durableId="953632111">
    <w:abstractNumId w:val="32"/>
  </w:num>
  <w:num w:numId="19" w16cid:durableId="1980648280">
    <w:abstractNumId w:val="35"/>
  </w:num>
  <w:num w:numId="20" w16cid:durableId="548995793">
    <w:abstractNumId w:val="19"/>
  </w:num>
  <w:num w:numId="21" w16cid:durableId="1645233020">
    <w:abstractNumId w:val="18"/>
  </w:num>
  <w:num w:numId="22" w16cid:durableId="960768576">
    <w:abstractNumId w:val="24"/>
  </w:num>
  <w:num w:numId="23" w16cid:durableId="97917894">
    <w:abstractNumId w:val="14"/>
  </w:num>
  <w:num w:numId="24" w16cid:durableId="1919168897">
    <w:abstractNumId w:val="36"/>
  </w:num>
  <w:num w:numId="25" w16cid:durableId="1195147085">
    <w:abstractNumId w:val="34"/>
  </w:num>
  <w:num w:numId="26" w16cid:durableId="2016180393">
    <w:abstractNumId w:val="25"/>
  </w:num>
  <w:num w:numId="27" w16cid:durableId="711463310">
    <w:abstractNumId w:val="17"/>
  </w:num>
  <w:num w:numId="28" w16cid:durableId="145977362">
    <w:abstractNumId w:val="34"/>
  </w:num>
  <w:num w:numId="29" w16cid:durableId="562758872">
    <w:abstractNumId w:val="21"/>
  </w:num>
  <w:num w:numId="30" w16cid:durableId="961814041">
    <w:abstractNumId w:val="8"/>
  </w:num>
  <w:num w:numId="31" w16cid:durableId="444429408">
    <w:abstractNumId w:val="38"/>
  </w:num>
  <w:num w:numId="32" w16cid:durableId="1924798287">
    <w:abstractNumId w:val="5"/>
  </w:num>
  <w:num w:numId="33" w16cid:durableId="1494492514">
    <w:abstractNumId w:val="37"/>
  </w:num>
  <w:num w:numId="34" w16cid:durableId="694648403">
    <w:abstractNumId w:val="29"/>
  </w:num>
  <w:num w:numId="35" w16cid:durableId="518324329">
    <w:abstractNumId w:val="26"/>
  </w:num>
  <w:num w:numId="36" w16cid:durableId="253318629">
    <w:abstractNumId w:val="30"/>
  </w:num>
  <w:num w:numId="37" w16cid:durableId="2065371282">
    <w:abstractNumId w:val="33"/>
  </w:num>
  <w:num w:numId="38" w16cid:durableId="1149861809">
    <w:abstractNumId w:val="4"/>
  </w:num>
  <w:num w:numId="39" w16cid:durableId="481121544">
    <w:abstractNumId w:val="34"/>
  </w:num>
  <w:num w:numId="40" w16cid:durableId="1637679184">
    <w:abstractNumId w:val="2"/>
  </w:num>
  <w:num w:numId="41" w16cid:durableId="1520317943">
    <w:abstractNumId w:val="16"/>
  </w:num>
  <w:num w:numId="42" w16cid:durableId="1275601082">
    <w:abstractNumId w:val="6"/>
  </w:num>
  <w:num w:numId="43" w16cid:durableId="2111848395">
    <w:abstractNumId w:val="31"/>
  </w:num>
  <w:num w:numId="44" w16cid:durableId="723338655">
    <w:abstractNumId w:val="16"/>
  </w:num>
  <w:num w:numId="45" w16cid:durableId="90514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activeWritingStyle w:appName="MSWord" w:lang="pt-BR" w:vendorID="64" w:dllVersion="6" w:nlCheck="1" w:checkStyle="0"/>
  <w:activeWritingStyle w:appName="MSWord" w:lang="es-AR"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s-US" w:vendorID="64" w:dllVersion="6" w:nlCheck="1" w:checkStyle="1"/>
  <w:activeWritingStyle w:appName="MSWord" w:lang="es-EC"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n-GB" w:vendorID="64" w:dllVersion="0" w:nlCheck="1" w:checkStyle="0"/>
  <w:activeWritingStyle w:appName="MSWord" w:lang="es-US" w:vendorID="64" w:dllVersion="0" w:nlCheck="1" w:checkStyle="0"/>
  <w:activeWritingStyle w:appName="MSWord" w:lang="es-419" w:vendorID="64" w:dllVersion="0" w:nlCheck="1" w:checkStyle="0"/>
  <w:activeWritingStyle w:appName="MSWord" w:lang="es-ES" w:vendorID="64" w:dllVersion="0" w:nlCheck="1" w:checkStyle="0"/>
  <w:activeWritingStyle w:appName="MSWord" w:lang="es-AR" w:vendorID="64" w:dllVersion="0" w:nlCheck="1" w:checkStyle="0"/>
  <w:activeWritingStyle w:appName="MSWord" w:lang="es-MX"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2C"/>
    <w:rsid w:val="000015A6"/>
    <w:rsid w:val="00001AC4"/>
    <w:rsid w:val="0000252D"/>
    <w:rsid w:val="0000305A"/>
    <w:rsid w:val="00003E69"/>
    <w:rsid w:val="00004549"/>
    <w:rsid w:val="0000475B"/>
    <w:rsid w:val="00005F15"/>
    <w:rsid w:val="00010F58"/>
    <w:rsid w:val="0001106E"/>
    <w:rsid w:val="0001225F"/>
    <w:rsid w:val="00013837"/>
    <w:rsid w:val="00013A1A"/>
    <w:rsid w:val="000143FB"/>
    <w:rsid w:val="00014A74"/>
    <w:rsid w:val="000157EE"/>
    <w:rsid w:val="0001691C"/>
    <w:rsid w:val="000179F0"/>
    <w:rsid w:val="00017C2C"/>
    <w:rsid w:val="00020767"/>
    <w:rsid w:val="00020CC4"/>
    <w:rsid w:val="00021A8F"/>
    <w:rsid w:val="0002263F"/>
    <w:rsid w:val="00024D06"/>
    <w:rsid w:val="00025BF0"/>
    <w:rsid w:val="00025E5C"/>
    <w:rsid w:val="000269E8"/>
    <w:rsid w:val="00026D5B"/>
    <w:rsid w:val="00035828"/>
    <w:rsid w:val="00035FFF"/>
    <w:rsid w:val="00037FA3"/>
    <w:rsid w:val="000417F6"/>
    <w:rsid w:val="00041A20"/>
    <w:rsid w:val="000424C0"/>
    <w:rsid w:val="00042727"/>
    <w:rsid w:val="00043814"/>
    <w:rsid w:val="00043DC6"/>
    <w:rsid w:val="000466FA"/>
    <w:rsid w:val="00047F3C"/>
    <w:rsid w:val="00054227"/>
    <w:rsid w:val="00054566"/>
    <w:rsid w:val="00054BF2"/>
    <w:rsid w:val="00055DC0"/>
    <w:rsid w:val="000565BA"/>
    <w:rsid w:val="0005688D"/>
    <w:rsid w:val="00056BA3"/>
    <w:rsid w:val="000600C0"/>
    <w:rsid w:val="00062333"/>
    <w:rsid w:val="00064EE9"/>
    <w:rsid w:val="0006601A"/>
    <w:rsid w:val="000703F1"/>
    <w:rsid w:val="000704C5"/>
    <w:rsid w:val="000706D8"/>
    <w:rsid w:val="00071E1D"/>
    <w:rsid w:val="0007560E"/>
    <w:rsid w:val="00077603"/>
    <w:rsid w:val="0007791A"/>
    <w:rsid w:val="0008282D"/>
    <w:rsid w:val="00082AAE"/>
    <w:rsid w:val="00082B5B"/>
    <w:rsid w:val="000834EA"/>
    <w:rsid w:val="00083CAA"/>
    <w:rsid w:val="00083E46"/>
    <w:rsid w:val="00084034"/>
    <w:rsid w:val="00086648"/>
    <w:rsid w:val="00086BF7"/>
    <w:rsid w:val="0009088B"/>
    <w:rsid w:val="00093F81"/>
    <w:rsid w:val="00097360"/>
    <w:rsid w:val="0009775D"/>
    <w:rsid w:val="000A0461"/>
    <w:rsid w:val="000A0AFA"/>
    <w:rsid w:val="000A2D01"/>
    <w:rsid w:val="000A4A74"/>
    <w:rsid w:val="000A5677"/>
    <w:rsid w:val="000A5EFB"/>
    <w:rsid w:val="000A6873"/>
    <w:rsid w:val="000B65FB"/>
    <w:rsid w:val="000C057A"/>
    <w:rsid w:val="000C1406"/>
    <w:rsid w:val="000C280C"/>
    <w:rsid w:val="000C48F6"/>
    <w:rsid w:val="000C547B"/>
    <w:rsid w:val="000D0C10"/>
    <w:rsid w:val="000D0F86"/>
    <w:rsid w:val="000D1795"/>
    <w:rsid w:val="000D6EEB"/>
    <w:rsid w:val="000D738C"/>
    <w:rsid w:val="000D7D04"/>
    <w:rsid w:val="000E1330"/>
    <w:rsid w:val="000E2E29"/>
    <w:rsid w:val="000E2E79"/>
    <w:rsid w:val="000E2F45"/>
    <w:rsid w:val="000E30DD"/>
    <w:rsid w:val="000E3237"/>
    <w:rsid w:val="000E37F4"/>
    <w:rsid w:val="000E58C0"/>
    <w:rsid w:val="000E7CAD"/>
    <w:rsid w:val="000E7F71"/>
    <w:rsid w:val="000F0B26"/>
    <w:rsid w:val="000F1937"/>
    <w:rsid w:val="000F1EF8"/>
    <w:rsid w:val="000F2F30"/>
    <w:rsid w:val="000F4882"/>
    <w:rsid w:val="000F74B2"/>
    <w:rsid w:val="000F7683"/>
    <w:rsid w:val="000F7E3C"/>
    <w:rsid w:val="001003DF"/>
    <w:rsid w:val="00100E62"/>
    <w:rsid w:val="0010399B"/>
    <w:rsid w:val="001042FF"/>
    <w:rsid w:val="001051F9"/>
    <w:rsid w:val="001075EA"/>
    <w:rsid w:val="001105BF"/>
    <w:rsid w:val="0011104A"/>
    <w:rsid w:val="00111DE8"/>
    <w:rsid w:val="00114443"/>
    <w:rsid w:val="00114678"/>
    <w:rsid w:val="00114FAE"/>
    <w:rsid w:val="00116104"/>
    <w:rsid w:val="001165E8"/>
    <w:rsid w:val="00116995"/>
    <w:rsid w:val="0012083C"/>
    <w:rsid w:val="00120F62"/>
    <w:rsid w:val="00121448"/>
    <w:rsid w:val="001227FA"/>
    <w:rsid w:val="00123B56"/>
    <w:rsid w:val="00123D31"/>
    <w:rsid w:val="00123E39"/>
    <w:rsid w:val="0012503D"/>
    <w:rsid w:val="00125984"/>
    <w:rsid w:val="00125BE7"/>
    <w:rsid w:val="0012708A"/>
    <w:rsid w:val="0012771B"/>
    <w:rsid w:val="00130A30"/>
    <w:rsid w:val="00130E18"/>
    <w:rsid w:val="001313E2"/>
    <w:rsid w:val="0013176F"/>
    <w:rsid w:val="0013181B"/>
    <w:rsid w:val="001336E7"/>
    <w:rsid w:val="00133927"/>
    <w:rsid w:val="00134907"/>
    <w:rsid w:val="001354AD"/>
    <w:rsid w:val="0013728B"/>
    <w:rsid w:val="00137A47"/>
    <w:rsid w:val="00144BF6"/>
    <w:rsid w:val="00144F6E"/>
    <w:rsid w:val="00145DA8"/>
    <w:rsid w:val="00145F10"/>
    <w:rsid w:val="00146813"/>
    <w:rsid w:val="001469FC"/>
    <w:rsid w:val="00147D99"/>
    <w:rsid w:val="00150122"/>
    <w:rsid w:val="0015021F"/>
    <w:rsid w:val="001505EB"/>
    <w:rsid w:val="00150BE0"/>
    <w:rsid w:val="00151721"/>
    <w:rsid w:val="0015265A"/>
    <w:rsid w:val="001539A3"/>
    <w:rsid w:val="001567BB"/>
    <w:rsid w:val="00157692"/>
    <w:rsid w:val="00157DE9"/>
    <w:rsid w:val="00160BD8"/>
    <w:rsid w:val="00163567"/>
    <w:rsid w:val="00163FA2"/>
    <w:rsid w:val="0016603F"/>
    <w:rsid w:val="00166786"/>
    <w:rsid w:val="0017013E"/>
    <w:rsid w:val="001723A2"/>
    <w:rsid w:val="001743BC"/>
    <w:rsid w:val="001769FB"/>
    <w:rsid w:val="00176B52"/>
    <w:rsid w:val="0017769F"/>
    <w:rsid w:val="0018058F"/>
    <w:rsid w:val="00182D55"/>
    <w:rsid w:val="001861B0"/>
    <w:rsid w:val="00186251"/>
    <w:rsid w:val="001875EB"/>
    <w:rsid w:val="00190EF0"/>
    <w:rsid w:val="00193036"/>
    <w:rsid w:val="001932BB"/>
    <w:rsid w:val="0019605B"/>
    <w:rsid w:val="001963DB"/>
    <w:rsid w:val="001A521F"/>
    <w:rsid w:val="001A5516"/>
    <w:rsid w:val="001A6DEC"/>
    <w:rsid w:val="001A73A4"/>
    <w:rsid w:val="001B15D9"/>
    <w:rsid w:val="001B1F51"/>
    <w:rsid w:val="001C0015"/>
    <w:rsid w:val="001C15F0"/>
    <w:rsid w:val="001C1978"/>
    <w:rsid w:val="001C1C93"/>
    <w:rsid w:val="001C7E32"/>
    <w:rsid w:val="001C7E37"/>
    <w:rsid w:val="001D0BED"/>
    <w:rsid w:val="001D2117"/>
    <w:rsid w:val="001D370E"/>
    <w:rsid w:val="001D4753"/>
    <w:rsid w:val="001D478D"/>
    <w:rsid w:val="001D76F2"/>
    <w:rsid w:val="001E21CD"/>
    <w:rsid w:val="001E3A7D"/>
    <w:rsid w:val="001E692C"/>
    <w:rsid w:val="001E7760"/>
    <w:rsid w:val="001F0179"/>
    <w:rsid w:val="001F20F9"/>
    <w:rsid w:val="001F2165"/>
    <w:rsid w:val="001F336F"/>
    <w:rsid w:val="001F3912"/>
    <w:rsid w:val="001F6E0C"/>
    <w:rsid w:val="001F7203"/>
    <w:rsid w:val="001F770E"/>
    <w:rsid w:val="00200029"/>
    <w:rsid w:val="00200DC2"/>
    <w:rsid w:val="002019F4"/>
    <w:rsid w:val="0020543B"/>
    <w:rsid w:val="00206A75"/>
    <w:rsid w:val="00207009"/>
    <w:rsid w:val="00210771"/>
    <w:rsid w:val="00210AF6"/>
    <w:rsid w:val="00213A2E"/>
    <w:rsid w:val="00213E9B"/>
    <w:rsid w:val="00214202"/>
    <w:rsid w:val="00220E2B"/>
    <w:rsid w:val="002214BB"/>
    <w:rsid w:val="00221D43"/>
    <w:rsid w:val="00223F1C"/>
    <w:rsid w:val="002246F8"/>
    <w:rsid w:val="0022718D"/>
    <w:rsid w:val="00227D23"/>
    <w:rsid w:val="00227D7E"/>
    <w:rsid w:val="002315F0"/>
    <w:rsid w:val="00233505"/>
    <w:rsid w:val="00233A49"/>
    <w:rsid w:val="00233BF9"/>
    <w:rsid w:val="00234827"/>
    <w:rsid w:val="0023562B"/>
    <w:rsid w:val="0023589C"/>
    <w:rsid w:val="002360F2"/>
    <w:rsid w:val="0023715B"/>
    <w:rsid w:val="00237A5E"/>
    <w:rsid w:val="00237D89"/>
    <w:rsid w:val="0024137D"/>
    <w:rsid w:val="002441C4"/>
    <w:rsid w:val="0024747B"/>
    <w:rsid w:val="0024771A"/>
    <w:rsid w:val="002507B8"/>
    <w:rsid w:val="00251B98"/>
    <w:rsid w:val="00251C64"/>
    <w:rsid w:val="00252EC2"/>
    <w:rsid w:val="00253806"/>
    <w:rsid w:val="00253A89"/>
    <w:rsid w:val="00255091"/>
    <w:rsid w:val="00261A42"/>
    <w:rsid w:val="0026213E"/>
    <w:rsid w:val="002629D5"/>
    <w:rsid w:val="00262D71"/>
    <w:rsid w:val="0027314B"/>
    <w:rsid w:val="00275F19"/>
    <w:rsid w:val="002809A7"/>
    <w:rsid w:val="00280A0F"/>
    <w:rsid w:val="00281C1F"/>
    <w:rsid w:val="00282829"/>
    <w:rsid w:val="00282C9B"/>
    <w:rsid w:val="00283821"/>
    <w:rsid w:val="00286137"/>
    <w:rsid w:val="002868CF"/>
    <w:rsid w:val="00286968"/>
    <w:rsid w:val="00286C04"/>
    <w:rsid w:val="00287A08"/>
    <w:rsid w:val="00290D65"/>
    <w:rsid w:val="00292428"/>
    <w:rsid w:val="0029391F"/>
    <w:rsid w:val="00293925"/>
    <w:rsid w:val="0029481D"/>
    <w:rsid w:val="00297506"/>
    <w:rsid w:val="002A138D"/>
    <w:rsid w:val="002A1D24"/>
    <w:rsid w:val="002A269F"/>
    <w:rsid w:val="002A45DF"/>
    <w:rsid w:val="002A49C8"/>
    <w:rsid w:val="002A6250"/>
    <w:rsid w:val="002A74B2"/>
    <w:rsid w:val="002B031F"/>
    <w:rsid w:val="002B1D7F"/>
    <w:rsid w:val="002B27BB"/>
    <w:rsid w:val="002B3ADC"/>
    <w:rsid w:val="002B5D7B"/>
    <w:rsid w:val="002C0342"/>
    <w:rsid w:val="002C03EA"/>
    <w:rsid w:val="002C3A48"/>
    <w:rsid w:val="002C64FC"/>
    <w:rsid w:val="002C7D19"/>
    <w:rsid w:val="002D3B03"/>
    <w:rsid w:val="002D5F6C"/>
    <w:rsid w:val="002D6103"/>
    <w:rsid w:val="002E1D2B"/>
    <w:rsid w:val="002E546E"/>
    <w:rsid w:val="002E60DE"/>
    <w:rsid w:val="002E6FB0"/>
    <w:rsid w:val="002F1D5F"/>
    <w:rsid w:val="002F1FBC"/>
    <w:rsid w:val="002F2AAE"/>
    <w:rsid w:val="002F4815"/>
    <w:rsid w:val="00300D69"/>
    <w:rsid w:val="003035AB"/>
    <w:rsid w:val="00303CF7"/>
    <w:rsid w:val="00304377"/>
    <w:rsid w:val="003075A7"/>
    <w:rsid w:val="00311E6A"/>
    <w:rsid w:val="0031262A"/>
    <w:rsid w:val="00313537"/>
    <w:rsid w:val="00314D26"/>
    <w:rsid w:val="0031517D"/>
    <w:rsid w:val="00315D0A"/>
    <w:rsid w:val="003160A5"/>
    <w:rsid w:val="003171EA"/>
    <w:rsid w:val="00320968"/>
    <w:rsid w:val="003211BD"/>
    <w:rsid w:val="003214A0"/>
    <w:rsid w:val="0032245D"/>
    <w:rsid w:val="00322FF6"/>
    <w:rsid w:val="00323378"/>
    <w:rsid w:val="00326700"/>
    <w:rsid w:val="003271B5"/>
    <w:rsid w:val="00333F3D"/>
    <w:rsid w:val="00335538"/>
    <w:rsid w:val="003377AB"/>
    <w:rsid w:val="00341957"/>
    <w:rsid w:val="003448BE"/>
    <w:rsid w:val="00344D94"/>
    <w:rsid w:val="00350574"/>
    <w:rsid w:val="00350ACC"/>
    <w:rsid w:val="00351462"/>
    <w:rsid w:val="003515E2"/>
    <w:rsid w:val="003523CD"/>
    <w:rsid w:val="003527D6"/>
    <w:rsid w:val="00354788"/>
    <w:rsid w:val="00354842"/>
    <w:rsid w:val="00355E2E"/>
    <w:rsid w:val="00361095"/>
    <w:rsid w:val="00361F6B"/>
    <w:rsid w:val="00363A27"/>
    <w:rsid w:val="00364B78"/>
    <w:rsid w:val="00366008"/>
    <w:rsid w:val="00366378"/>
    <w:rsid w:val="003663CD"/>
    <w:rsid w:val="0037054F"/>
    <w:rsid w:val="0037126E"/>
    <w:rsid w:val="00371364"/>
    <w:rsid w:val="00371CD1"/>
    <w:rsid w:val="00372C58"/>
    <w:rsid w:val="00374380"/>
    <w:rsid w:val="003747B8"/>
    <w:rsid w:val="00375C0C"/>
    <w:rsid w:val="0037769E"/>
    <w:rsid w:val="00381D41"/>
    <w:rsid w:val="00385621"/>
    <w:rsid w:val="0038750E"/>
    <w:rsid w:val="0038760B"/>
    <w:rsid w:val="003877BA"/>
    <w:rsid w:val="00391AA7"/>
    <w:rsid w:val="0039294C"/>
    <w:rsid w:val="00393594"/>
    <w:rsid w:val="00393606"/>
    <w:rsid w:val="00393C04"/>
    <w:rsid w:val="00395CFC"/>
    <w:rsid w:val="00396100"/>
    <w:rsid w:val="003A22B1"/>
    <w:rsid w:val="003A27EF"/>
    <w:rsid w:val="003A3AFB"/>
    <w:rsid w:val="003A3D5C"/>
    <w:rsid w:val="003A3F71"/>
    <w:rsid w:val="003A4D85"/>
    <w:rsid w:val="003A575F"/>
    <w:rsid w:val="003A5CCF"/>
    <w:rsid w:val="003B15B3"/>
    <w:rsid w:val="003B1D66"/>
    <w:rsid w:val="003B7A2E"/>
    <w:rsid w:val="003B7BF6"/>
    <w:rsid w:val="003C1F32"/>
    <w:rsid w:val="003C27CC"/>
    <w:rsid w:val="003C28A2"/>
    <w:rsid w:val="003C334F"/>
    <w:rsid w:val="003C4B21"/>
    <w:rsid w:val="003C4EEA"/>
    <w:rsid w:val="003C68BA"/>
    <w:rsid w:val="003D0187"/>
    <w:rsid w:val="003D0502"/>
    <w:rsid w:val="003D1561"/>
    <w:rsid w:val="003D405B"/>
    <w:rsid w:val="003D5027"/>
    <w:rsid w:val="003D65D2"/>
    <w:rsid w:val="003D75A0"/>
    <w:rsid w:val="003E0FB1"/>
    <w:rsid w:val="003E167B"/>
    <w:rsid w:val="003E2229"/>
    <w:rsid w:val="003E2FBB"/>
    <w:rsid w:val="003E5E02"/>
    <w:rsid w:val="003F0F45"/>
    <w:rsid w:val="003F50CE"/>
    <w:rsid w:val="00400564"/>
    <w:rsid w:val="00402796"/>
    <w:rsid w:val="00402D2D"/>
    <w:rsid w:val="004055C4"/>
    <w:rsid w:val="004079DB"/>
    <w:rsid w:val="00410CDF"/>
    <w:rsid w:val="004117A0"/>
    <w:rsid w:val="00411E3A"/>
    <w:rsid w:val="004157EB"/>
    <w:rsid w:val="004159AF"/>
    <w:rsid w:val="00415A2B"/>
    <w:rsid w:val="00420C92"/>
    <w:rsid w:val="0042192D"/>
    <w:rsid w:val="00422C01"/>
    <w:rsid w:val="00422C20"/>
    <w:rsid w:val="00426A42"/>
    <w:rsid w:val="00430ED6"/>
    <w:rsid w:val="00431520"/>
    <w:rsid w:val="00440207"/>
    <w:rsid w:val="004411E7"/>
    <w:rsid w:val="00442176"/>
    <w:rsid w:val="004422AB"/>
    <w:rsid w:val="00443DDC"/>
    <w:rsid w:val="004449EC"/>
    <w:rsid w:val="00450976"/>
    <w:rsid w:val="00451FE8"/>
    <w:rsid w:val="00452A17"/>
    <w:rsid w:val="00453366"/>
    <w:rsid w:val="004548D1"/>
    <w:rsid w:val="00457378"/>
    <w:rsid w:val="00457826"/>
    <w:rsid w:val="004605FC"/>
    <w:rsid w:val="0046163F"/>
    <w:rsid w:val="00461C6E"/>
    <w:rsid w:val="00461CA8"/>
    <w:rsid w:val="00463F0C"/>
    <w:rsid w:val="004652D0"/>
    <w:rsid w:val="00466235"/>
    <w:rsid w:val="00466283"/>
    <w:rsid w:val="00470792"/>
    <w:rsid w:val="0047266C"/>
    <w:rsid w:val="00472D65"/>
    <w:rsid w:val="00473719"/>
    <w:rsid w:val="00474EA8"/>
    <w:rsid w:val="00474ED5"/>
    <w:rsid w:val="004767B7"/>
    <w:rsid w:val="00477BC7"/>
    <w:rsid w:val="004804CA"/>
    <w:rsid w:val="00480544"/>
    <w:rsid w:val="0048119D"/>
    <w:rsid w:val="00481680"/>
    <w:rsid w:val="00481898"/>
    <w:rsid w:val="004838AB"/>
    <w:rsid w:val="00485858"/>
    <w:rsid w:val="00485F6E"/>
    <w:rsid w:val="00487749"/>
    <w:rsid w:val="00487B3D"/>
    <w:rsid w:val="004900D6"/>
    <w:rsid w:val="00492EA4"/>
    <w:rsid w:val="0049323B"/>
    <w:rsid w:val="00494010"/>
    <w:rsid w:val="00495198"/>
    <w:rsid w:val="00495A64"/>
    <w:rsid w:val="00496BD2"/>
    <w:rsid w:val="004A0CFC"/>
    <w:rsid w:val="004A0D0D"/>
    <w:rsid w:val="004A17C1"/>
    <w:rsid w:val="004A283D"/>
    <w:rsid w:val="004A5346"/>
    <w:rsid w:val="004A5797"/>
    <w:rsid w:val="004A5B5E"/>
    <w:rsid w:val="004A7941"/>
    <w:rsid w:val="004A79CE"/>
    <w:rsid w:val="004B2647"/>
    <w:rsid w:val="004B359A"/>
    <w:rsid w:val="004B36B7"/>
    <w:rsid w:val="004B4503"/>
    <w:rsid w:val="004B6D4F"/>
    <w:rsid w:val="004B710A"/>
    <w:rsid w:val="004C3394"/>
    <w:rsid w:val="004C366A"/>
    <w:rsid w:val="004C3AE4"/>
    <w:rsid w:val="004C45D4"/>
    <w:rsid w:val="004C4AEF"/>
    <w:rsid w:val="004C4E8A"/>
    <w:rsid w:val="004C62D7"/>
    <w:rsid w:val="004C6A64"/>
    <w:rsid w:val="004D040A"/>
    <w:rsid w:val="004D62C0"/>
    <w:rsid w:val="004D6BCA"/>
    <w:rsid w:val="004E6D62"/>
    <w:rsid w:val="004E6F89"/>
    <w:rsid w:val="004E7F1A"/>
    <w:rsid w:val="004F0DFD"/>
    <w:rsid w:val="004F2E75"/>
    <w:rsid w:val="004F4CEF"/>
    <w:rsid w:val="004F50A6"/>
    <w:rsid w:val="004F58FC"/>
    <w:rsid w:val="004F62FA"/>
    <w:rsid w:val="004F657A"/>
    <w:rsid w:val="004F712D"/>
    <w:rsid w:val="004F7FDE"/>
    <w:rsid w:val="0050080B"/>
    <w:rsid w:val="0050292D"/>
    <w:rsid w:val="00503175"/>
    <w:rsid w:val="0050386F"/>
    <w:rsid w:val="005076F9"/>
    <w:rsid w:val="00507CBD"/>
    <w:rsid w:val="005100A1"/>
    <w:rsid w:val="005109EA"/>
    <w:rsid w:val="00510F4F"/>
    <w:rsid w:val="00511484"/>
    <w:rsid w:val="00511F59"/>
    <w:rsid w:val="0051552D"/>
    <w:rsid w:val="00521DB4"/>
    <w:rsid w:val="005236B0"/>
    <w:rsid w:val="005274C0"/>
    <w:rsid w:val="005305E0"/>
    <w:rsid w:val="00531C02"/>
    <w:rsid w:val="005324F0"/>
    <w:rsid w:val="00532C6C"/>
    <w:rsid w:val="00532FD4"/>
    <w:rsid w:val="00537B3A"/>
    <w:rsid w:val="00537EA0"/>
    <w:rsid w:val="00541DF6"/>
    <w:rsid w:val="00543444"/>
    <w:rsid w:val="00544340"/>
    <w:rsid w:val="00546CD1"/>
    <w:rsid w:val="00547C4C"/>
    <w:rsid w:val="005502EE"/>
    <w:rsid w:val="005512FC"/>
    <w:rsid w:val="005524A1"/>
    <w:rsid w:val="005536B9"/>
    <w:rsid w:val="00554644"/>
    <w:rsid w:val="00556C3A"/>
    <w:rsid w:val="00557DCB"/>
    <w:rsid w:val="00561086"/>
    <w:rsid w:val="005613E6"/>
    <w:rsid w:val="00562061"/>
    <w:rsid w:val="00565CCA"/>
    <w:rsid w:val="00571270"/>
    <w:rsid w:val="00572883"/>
    <w:rsid w:val="00572B2D"/>
    <w:rsid w:val="0057336C"/>
    <w:rsid w:val="00573384"/>
    <w:rsid w:val="005744A3"/>
    <w:rsid w:val="0057476E"/>
    <w:rsid w:val="00576300"/>
    <w:rsid w:val="005772CD"/>
    <w:rsid w:val="00580E80"/>
    <w:rsid w:val="00581DD5"/>
    <w:rsid w:val="005820ED"/>
    <w:rsid w:val="00582937"/>
    <w:rsid w:val="00582B40"/>
    <w:rsid w:val="00583550"/>
    <w:rsid w:val="00583BB8"/>
    <w:rsid w:val="00584C88"/>
    <w:rsid w:val="005869E9"/>
    <w:rsid w:val="00587E70"/>
    <w:rsid w:val="005903B1"/>
    <w:rsid w:val="00591419"/>
    <w:rsid w:val="0059310B"/>
    <w:rsid w:val="00596010"/>
    <w:rsid w:val="00596668"/>
    <w:rsid w:val="00596A81"/>
    <w:rsid w:val="00596C5E"/>
    <w:rsid w:val="00596D4D"/>
    <w:rsid w:val="00596DC9"/>
    <w:rsid w:val="005973D4"/>
    <w:rsid w:val="00597E2A"/>
    <w:rsid w:val="005A3F8C"/>
    <w:rsid w:val="005A6829"/>
    <w:rsid w:val="005A6F9C"/>
    <w:rsid w:val="005B0204"/>
    <w:rsid w:val="005B0F2E"/>
    <w:rsid w:val="005B187A"/>
    <w:rsid w:val="005B37C5"/>
    <w:rsid w:val="005B5CCF"/>
    <w:rsid w:val="005B6E9C"/>
    <w:rsid w:val="005C0647"/>
    <w:rsid w:val="005C212A"/>
    <w:rsid w:val="005C4ADD"/>
    <w:rsid w:val="005C50B9"/>
    <w:rsid w:val="005C661A"/>
    <w:rsid w:val="005C66E6"/>
    <w:rsid w:val="005C6984"/>
    <w:rsid w:val="005C70A3"/>
    <w:rsid w:val="005D1B7C"/>
    <w:rsid w:val="005D70F0"/>
    <w:rsid w:val="005E3051"/>
    <w:rsid w:val="005E44FF"/>
    <w:rsid w:val="005E5F22"/>
    <w:rsid w:val="005E6B0C"/>
    <w:rsid w:val="005F02DC"/>
    <w:rsid w:val="005F07ED"/>
    <w:rsid w:val="005F3271"/>
    <w:rsid w:val="005F6DA3"/>
    <w:rsid w:val="005F7E19"/>
    <w:rsid w:val="00600D5A"/>
    <w:rsid w:val="00603B29"/>
    <w:rsid w:val="00604F0D"/>
    <w:rsid w:val="006050E0"/>
    <w:rsid w:val="00610391"/>
    <w:rsid w:val="00610680"/>
    <w:rsid w:val="00613C9B"/>
    <w:rsid w:val="006159CC"/>
    <w:rsid w:val="006164C4"/>
    <w:rsid w:val="0061659E"/>
    <w:rsid w:val="00620411"/>
    <w:rsid w:val="006207D5"/>
    <w:rsid w:val="0062126C"/>
    <w:rsid w:val="0062138B"/>
    <w:rsid w:val="006237CE"/>
    <w:rsid w:val="0062593C"/>
    <w:rsid w:val="00625C5D"/>
    <w:rsid w:val="00626194"/>
    <w:rsid w:val="0062720F"/>
    <w:rsid w:val="00627603"/>
    <w:rsid w:val="006276A1"/>
    <w:rsid w:val="006302F3"/>
    <w:rsid w:val="00630936"/>
    <w:rsid w:val="0063147E"/>
    <w:rsid w:val="006325D8"/>
    <w:rsid w:val="00632F44"/>
    <w:rsid w:val="00634956"/>
    <w:rsid w:val="006362A6"/>
    <w:rsid w:val="00642917"/>
    <w:rsid w:val="0064332C"/>
    <w:rsid w:val="00643A4D"/>
    <w:rsid w:val="00643B4B"/>
    <w:rsid w:val="00647F52"/>
    <w:rsid w:val="00647F7F"/>
    <w:rsid w:val="00650031"/>
    <w:rsid w:val="00650892"/>
    <w:rsid w:val="006509F0"/>
    <w:rsid w:val="00650FBB"/>
    <w:rsid w:val="0065102E"/>
    <w:rsid w:val="00651845"/>
    <w:rsid w:val="0065704C"/>
    <w:rsid w:val="00663A5B"/>
    <w:rsid w:val="0066406B"/>
    <w:rsid w:val="00665C6A"/>
    <w:rsid w:val="00666CFB"/>
    <w:rsid w:val="00667B8A"/>
    <w:rsid w:val="00673CEE"/>
    <w:rsid w:val="006750A7"/>
    <w:rsid w:val="00675D78"/>
    <w:rsid w:val="00675DCA"/>
    <w:rsid w:val="00680B97"/>
    <w:rsid w:val="00683362"/>
    <w:rsid w:val="00684514"/>
    <w:rsid w:val="0068521D"/>
    <w:rsid w:val="00690578"/>
    <w:rsid w:val="0069131C"/>
    <w:rsid w:val="00692A96"/>
    <w:rsid w:val="00693406"/>
    <w:rsid w:val="00696B84"/>
    <w:rsid w:val="00697547"/>
    <w:rsid w:val="006976D6"/>
    <w:rsid w:val="00697B99"/>
    <w:rsid w:val="006A0A59"/>
    <w:rsid w:val="006A0C39"/>
    <w:rsid w:val="006A130E"/>
    <w:rsid w:val="006A1A57"/>
    <w:rsid w:val="006A20B3"/>
    <w:rsid w:val="006A22AD"/>
    <w:rsid w:val="006A2D3D"/>
    <w:rsid w:val="006A339A"/>
    <w:rsid w:val="006A3D4C"/>
    <w:rsid w:val="006A4764"/>
    <w:rsid w:val="006A5054"/>
    <w:rsid w:val="006B0650"/>
    <w:rsid w:val="006B0F77"/>
    <w:rsid w:val="006B1568"/>
    <w:rsid w:val="006B55C3"/>
    <w:rsid w:val="006B5E27"/>
    <w:rsid w:val="006C1242"/>
    <w:rsid w:val="006C28E2"/>
    <w:rsid w:val="006C2906"/>
    <w:rsid w:val="006C4637"/>
    <w:rsid w:val="006C5FF9"/>
    <w:rsid w:val="006C648D"/>
    <w:rsid w:val="006D565D"/>
    <w:rsid w:val="006E04FF"/>
    <w:rsid w:val="006E0D6D"/>
    <w:rsid w:val="006E2520"/>
    <w:rsid w:val="006E56E3"/>
    <w:rsid w:val="006E6452"/>
    <w:rsid w:val="006E72A1"/>
    <w:rsid w:val="006E7BF5"/>
    <w:rsid w:val="006F2A03"/>
    <w:rsid w:val="006F2D6D"/>
    <w:rsid w:val="006F3281"/>
    <w:rsid w:val="006F3C1C"/>
    <w:rsid w:val="006F4A0F"/>
    <w:rsid w:val="006F4D76"/>
    <w:rsid w:val="006F5274"/>
    <w:rsid w:val="006F7131"/>
    <w:rsid w:val="0070158C"/>
    <w:rsid w:val="00702674"/>
    <w:rsid w:val="00704C68"/>
    <w:rsid w:val="007053FE"/>
    <w:rsid w:val="00706F84"/>
    <w:rsid w:val="00710183"/>
    <w:rsid w:val="00710EA0"/>
    <w:rsid w:val="00711DDD"/>
    <w:rsid w:val="007124D9"/>
    <w:rsid w:val="0071380A"/>
    <w:rsid w:val="00713DFB"/>
    <w:rsid w:val="00716606"/>
    <w:rsid w:val="0071749B"/>
    <w:rsid w:val="007208A6"/>
    <w:rsid w:val="00720DE8"/>
    <w:rsid w:val="00722473"/>
    <w:rsid w:val="00724D11"/>
    <w:rsid w:val="00725DAC"/>
    <w:rsid w:val="00726DE0"/>
    <w:rsid w:val="00730A94"/>
    <w:rsid w:val="00731465"/>
    <w:rsid w:val="007342A9"/>
    <w:rsid w:val="00734367"/>
    <w:rsid w:val="0073743C"/>
    <w:rsid w:val="0074058B"/>
    <w:rsid w:val="00746A32"/>
    <w:rsid w:val="00747B67"/>
    <w:rsid w:val="007502B4"/>
    <w:rsid w:val="007508CF"/>
    <w:rsid w:val="00752CA8"/>
    <w:rsid w:val="0075365D"/>
    <w:rsid w:val="0075401D"/>
    <w:rsid w:val="00755DF7"/>
    <w:rsid w:val="007605EF"/>
    <w:rsid w:val="007608B9"/>
    <w:rsid w:val="00760AAE"/>
    <w:rsid w:val="00760B65"/>
    <w:rsid w:val="0076172A"/>
    <w:rsid w:val="00762B8F"/>
    <w:rsid w:val="007638DD"/>
    <w:rsid w:val="00763C7D"/>
    <w:rsid w:val="00765A6D"/>
    <w:rsid w:val="007665BB"/>
    <w:rsid w:val="00766B9B"/>
    <w:rsid w:val="00767413"/>
    <w:rsid w:val="00770939"/>
    <w:rsid w:val="00771971"/>
    <w:rsid w:val="00773DFE"/>
    <w:rsid w:val="00780EED"/>
    <w:rsid w:val="00781001"/>
    <w:rsid w:val="0078119A"/>
    <w:rsid w:val="00781766"/>
    <w:rsid w:val="00781ED9"/>
    <w:rsid w:val="00783E22"/>
    <w:rsid w:val="0078570D"/>
    <w:rsid w:val="00786ED0"/>
    <w:rsid w:val="00787DA0"/>
    <w:rsid w:val="00790893"/>
    <w:rsid w:val="007913F3"/>
    <w:rsid w:val="00791A7C"/>
    <w:rsid w:val="00792AEC"/>
    <w:rsid w:val="00793E5F"/>
    <w:rsid w:val="007949B3"/>
    <w:rsid w:val="007959C7"/>
    <w:rsid w:val="0079604E"/>
    <w:rsid w:val="00797FC7"/>
    <w:rsid w:val="007A6BFE"/>
    <w:rsid w:val="007A6CFF"/>
    <w:rsid w:val="007A7B1A"/>
    <w:rsid w:val="007B0E80"/>
    <w:rsid w:val="007B2355"/>
    <w:rsid w:val="007B3FCC"/>
    <w:rsid w:val="007B65E6"/>
    <w:rsid w:val="007B7E62"/>
    <w:rsid w:val="007C06AE"/>
    <w:rsid w:val="007C358C"/>
    <w:rsid w:val="007C488F"/>
    <w:rsid w:val="007D04BC"/>
    <w:rsid w:val="007D190B"/>
    <w:rsid w:val="007D2D80"/>
    <w:rsid w:val="007D34EC"/>
    <w:rsid w:val="007D52D2"/>
    <w:rsid w:val="007D5436"/>
    <w:rsid w:val="007D556E"/>
    <w:rsid w:val="007D5F34"/>
    <w:rsid w:val="007D6345"/>
    <w:rsid w:val="007D64F6"/>
    <w:rsid w:val="007D69F0"/>
    <w:rsid w:val="007E10DD"/>
    <w:rsid w:val="007E2035"/>
    <w:rsid w:val="007E3B88"/>
    <w:rsid w:val="007E48FB"/>
    <w:rsid w:val="007E4F09"/>
    <w:rsid w:val="007E5E34"/>
    <w:rsid w:val="007E5E83"/>
    <w:rsid w:val="007E6EDF"/>
    <w:rsid w:val="007E725B"/>
    <w:rsid w:val="007F0633"/>
    <w:rsid w:val="007F17F3"/>
    <w:rsid w:val="007F5FF3"/>
    <w:rsid w:val="007F6DBB"/>
    <w:rsid w:val="007F7077"/>
    <w:rsid w:val="007F7833"/>
    <w:rsid w:val="007F785F"/>
    <w:rsid w:val="007F7D07"/>
    <w:rsid w:val="00801175"/>
    <w:rsid w:val="008015C5"/>
    <w:rsid w:val="0080181C"/>
    <w:rsid w:val="00805760"/>
    <w:rsid w:val="008060C8"/>
    <w:rsid w:val="00806573"/>
    <w:rsid w:val="00812D69"/>
    <w:rsid w:val="0081315C"/>
    <w:rsid w:val="00815166"/>
    <w:rsid w:val="00815C17"/>
    <w:rsid w:val="008177D7"/>
    <w:rsid w:val="00817E8C"/>
    <w:rsid w:val="00821C91"/>
    <w:rsid w:val="00823A66"/>
    <w:rsid w:val="00823D0A"/>
    <w:rsid w:val="00824AB3"/>
    <w:rsid w:val="008253BE"/>
    <w:rsid w:val="00826161"/>
    <w:rsid w:val="008266B3"/>
    <w:rsid w:val="00826842"/>
    <w:rsid w:val="00831DE6"/>
    <w:rsid w:val="00834176"/>
    <w:rsid w:val="00834E34"/>
    <w:rsid w:val="00837987"/>
    <w:rsid w:val="008415EE"/>
    <w:rsid w:val="0084164E"/>
    <w:rsid w:val="00844F49"/>
    <w:rsid w:val="00847A0A"/>
    <w:rsid w:val="00850739"/>
    <w:rsid w:val="008521FE"/>
    <w:rsid w:val="008528CE"/>
    <w:rsid w:val="008529B6"/>
    <w:rsid w:val="00852C12"/>
    <w:rsid w:val="00854C89"/>
    <w:rsid w:val="008576EE"/>
    <w:rsid w:val="00860509"/>
    <w:rsid w:val="008608C4"/>
    <w:rsid w:val="0086126C"/>
    <w:rsid w:val="008613D6"/>
    <w:rsid w:val="008616B2"/>
    <w:rsid w:val="008639BC"/>
    <w:rsid w:val="00863B78"/>
    <w:rsid w:val="0086511E"/>
    <w:rsid w:val="0086537B"/>
    <w:rsid w:val="00865886"/>
    <w:rsid w:val="00866154"/>
    <w:rsid w:val="00866914"/>
    <w:rsid w:val="008671EF"/>
    <w:rsid w:val="00870ABA"/>
    <w:rsid w:val="00871A62"/>
    <w:rsid w:val="00872555"/>
    <w:rsid w:val="00872F6B"/>
    <w:rsid w:val="00875BB9"/>
    <w:rsid w:val="00876E13"/>
    <w:rsid w:val="00881DD2"/>
    <w:rsid w:val="00883F8D"/>
    <w:rsid w:val="00883FA8"/>
    <w:rsid w:val="008878E5"/>
    <w:rsid w:val="00887974"/>
    <w:rsid w:val="008905BF"/>
    <w:rsid w:val="008915C9"/>
    <w:rsid w:val="00891660"/>
    <w:rsid w:val="00891BD2"/>
    <w:rsid w:val="008922CE"/>
    <w:rsid w:val="00892D08"/>
    <w:rsid w:val="008961FE"/>
    <w:rsid w:val="0089676C"/>
    <w:rsid w:val="00896F27"/>
    <w:rsid w:val="008A3AE1"/>
    <w:rsid w:val="008A4CF3"/>
    <w:rsid w:val="008A58AE"/>
    <w:rsid w:val="008A62CD"/>
    <w:rsid w:val="008B0D70"/>
    <w:rsid w:val="008B2AAB"/>
    <w:rsid w:val="008B6D7E"/>
    <w:rsid w:val="008C0CD0"/>
    <w:rsid w:val="008C0FB1"/>
    <w:rsid w:val="008C17F8"/>
    <w:rsid w:val="008C377A"/>
    <w:rsid w:val="008C471D"/>
    <w:rsid w:val="008C4A62"/>
    <w:rsid w:val="008C7C63"/>
    <w:rsid w:val="008C7F3B"/>
    <w:rsid w:val="008D1623"/>
    <w:rsid w:val="008D3480"/>
    <w:rsid w:val="008D648B"/>
    <w:rsid w:val="008D6816"/>
    <w:rsid w:val="008D7A85"/>
    <w:rsid w:val="008E0789"/>
    <w:rsid w:val="008E0A44"/>
    <w:rsid w:val="008E1FC8"/>
    <w:rsid w:val="008E546F"/>
    <w:rsid w:val="008E722C"/>
    <w:rsid w:val="008E7D45"/>
    <w:rsid w:val="008F078D"/>
    <w:rsid w:val="008F0D99"/>
    <w:rsid w:val="008F1B16"/>
    <w:rsid w:val="008F3490"/>
    <w:rsid w:val="008F3D7A"/>
    <w:rsid w:val="008F6031"/>
    <w:rsid w:val="008F6B60"/>
    <w:rsid w:val="00901886"/>
    <w:rsid w:val="00906061"/>
    <w:rsid w:val="009061DE"/>
    <w:rsid w:val="00910355"/>
    <w:rsid w:val="00912B80"/>
    <w:rsid w:val="00912FEE"/>
    <w:rsid w:val="00913C29"/>
    <w:rsid w:val="00915DCE"/>
    <w:rsid w:val="009165E8"/>
    <w:rsid w:val="0092638C"/>
    <w:rsid w:val="00926E98"/>
    <w:rsid w:val="009308EF"/>
    <w:rsid w:val="009329F0"/>
    <w:rsid w:val="009337AF"/>
    <w:rsid w:val="00933F84"/>
    <w:rsid w:val="0093423B"/>
    <w:rsid w:val="00934733"/>
    <w:rsid w:val="00940166"/>
    <w:rsid w:val="00941688"/>
    <w:rsid w:val="00942F86"/>
    <w:rsid w:val="009434FC"/>
    <w:rsid w:val="00944287"/>
    <w:rsid w:val="009444AE"/>
    <w:rsid w:val="00945CFC"/>
    <w:rsid w:val="00946DD9"/>
    <w:rsid w:val="00946E9E"/>
    <w:rsid w:val="00950C0F"/>
    <w:rsid w:val="00951299"/>
    <w:rsid w:val="00956AC3"/>
    <w:rsid w:val="009601CA"/>
    <w:rsid w:val="00960E74"/>
    <w:rsid w:val="0096534F"/>
    <w:rsid w:val="00967004"/>
    <w:rsid w:val="009670FF"/>
    <w:rsid w:val="00970548"/>
    <w:rsid w:val="00970912"/>
    <w:rsid w:val="009712E3"/>
    <w:rsid w:val="009756A4"/>
    <w:rsid w:val="00975C65"/>
    <w:rsid w:val="00980180"/>
    <w:rsid w:val="009845A5"/>
    <w:rsid w:val="009868B6"/>
    <w:rsid w:val="00986F0F"/>
    <w:rsid w:val="00992CA5"/>
    <w:rsid w:val="009945AC"/>
    <w:rsid w:val="00994A1D"/>
    <w:rsid w:val="00994E6B"/>
    <w:rsid w:val="009A1BB5"/>
    <w:rsid w:val="009A2D64"/>
    <w:rsid w:val="009A306A"/>
    <w:rsid w:val="009A4B00"/>
    <w:rsid w:val="009A4F61"/>
    <w:rsid w:val="009A7272"/>
    <w:rsid w:val="009B0111"/>
    <w:rsid w:val="009B0537"/>
    <w:rsid w:val="009B0D4A"/>
    <w:rsid w:val="009B106D"/>
    <w:rsid w:val="009B276D"/>
    <w:rsid w:val="009B342C"/>
    <w:rsid w:val="009B3756"/>
    <w:rsid w:val="009B3826"/>
    <w:rsid w:val="009B6E26"/>
    <w:rsid w:val="009B76CB"/>
    <w:rsid w:val="009B7731"/>
    <w:rsid w:val="009C10D3"/>
    <w:rsid w:val="009C18FC"/>
    <w:rsid w:val="009C343C"/>
    <w:rsid w:val="009C3D40"/>
    <w:rsid w:val="009C5CA5"/>
    <w:rsid w:val="009D094A"/>
    <w:rsid w:val="009D122C"/>
    <w:rsid w:val="009D2CA5"/>
    <w:rsid w:val="009D2E49"/>
    <w:rsid w:val="009D395A"/>
    <w:rsid w:val="009D4502"/>
    <w:rsid w:val="009E0250"/>
    <w:rsid w:val="009E0545"/>
    <w:rsid w:val="009E086F"/>
    <w:rsid w:val="009E244F"/>
    <w:rsid w:val="009E4261"/>
    <w:rsid w:val="009E528E"/>
    <w:rsid w:val="009E6EA2"/>
    <w:rsid w:val="009F01A8"/>
    <w:rsid w:val="009F0D78"/>
    <w:rsid w:val="009F1B2C"/>
    <w:rsid w:val="009F1F06"/>
    <w:rsid w:val="009F2A6F"/>
    <w:rsid w:val="009F3A2C"/>
    <w:rsid w:val="009F46E7"/>
    <w:rsid w:val="009F56AC"/>
    <w:rsid w:val="009F7C3D"/>
    <w:rsid w:val="00A00380"/>
    <w:rsid w:val="00A011CC"/>
    <w:rsid w:val="00A022E6"/>
    <w:rsid w:val="00A0561D"/>
    <w:rsid w:val="00A05947"/>
    <w:rsid w:val="00A07CD2"/>
    <w:rsid w:val="00A119A1"/>
    <w:rsid w:val="00A12786"/>
    <w:rsid w:val="00A12A7B"/>
    <w:rsid w:val="00A13940"/>
    <w:rsid w:val="00A142A7"/>
    <w:rsid w:val="00A15B29"/>
    <w:rsid w:val="00A169E0"/>
    <w:rsid w:val="00A17DF1"/>
    <w:rsid w:val="00A21147"/>
    <w:rsid w:val="00A21F22"/>
    <w:rsid w:val="00A23486"/>
    <w:rsid w:val="00A2389D"/>
    <w:rsid w:val="00A24491"/>
    <w:rsid w:val="00A248DF"/>
    <w:rsid w:val="00A32C74"/>
    <w:rsid w:val="00A32FCE"/>
    <w:rsid w:val="00A3330E"/>
    <w:rsid w:val="00A35B3A"/>
    <w:rsid w:val="00A37D18"/>
    <w:rsid w:val="00A40AA1"/>
    <w:rsid w:val="00A419ED"/>
    <w:rsid w:val="00A44D7B"/>
    <w:rsid w:val="00A4524E"/>
    <w:rsid w:val="00A46631"/>
    <w:rsid w:val="00A50768"/>
    <w:rsid w:val="00A5219B"/>
    <w:rsid w:val="00A53A6B"/>
    <w:rsid w:val="00A550E1"/>
    <w:rsid w:val="00A55E6D"/>
    <w:rsid w:val="00A55F03"/>
    <w:rsid w:val="00A56253"/>
    <w:rsid w:val="00A56A25"/>
    <w:rsid w:val="00A574CB"/>
    <w:rsid w:val="00A6152B"/>
    <w:rsid w:val="00A62172"/>
    <w:rsid w:val="00A622F2"/>
    <w:rsid w:val="00A631EE"/>
    <w:rsid w:val="00A63BF5"/>
    <w:rsid w:val="00A64712"/>
    <w:rsid w:val="00A66B6B"/>
    <w:rsid w:val="00A70D37"/>
    <w:rsid w:val="00A71830"/>
    <w:rsid w:val="00A73C66"/>
    <w:rsid w:val="00A741E1"/>
    <w:rsid w:val="00A74792"/>
    <w:rsid w:val="00A751F4"/>
    <w:rsid w:val="00A75BCF"/>
    <w:rsid w:val="00A75E2B"/>
    <w:rsid w:val="00A760F7"/>
    <w:rsid w:val="00A80B35"/>
    <w:rsid w:val="00A81AA3"/>
    <w:rsid w:val="00A84C71"/>
    <w:rsid w:val="00A873BE"/>
    <w:rsid w:val="00A901C2"/>
    <w:rsid w:val="00A90D1C"/>
    <w:rsid w:val="00A90FB6"/>
    <w:rsid w:val="00A92A13"/>
    <w:rsid w:val="00A94116"/>
    <w:rsid w:val="00A947CB"/>
    <w:rsid w:val="00A94C3E"/>
    <w:rsid w:val="00A94DA0"/>
    <w:rsid w:val="00A95A6E"/>
    <w:rsid w:val="00A95AE5"/>
    <w:rsid w:val="00AA237B"/>
    <w:rsid w:val="00AA529B"/>
    <w:rsid w:val="00AA52D4"/>
    <w:rsid w:val="00AA6386"/>
    <w:rsid w:val="00AA7092"/>
    <w:rsid w:val="00AA718D"/>
    <w:rsid w:val="00AB021C"/>
    <w:rsid w:val="00AB0806"/>
    <w:rsid w:val="00AB32A5"/>
    <w:rsid w:val="00AB3E5C"/>
    <w:rsid w:val="00AB4518"/>
    <w:rsid w:val="00AB462A"/>
    <w:rsid w:val="00AB5193"/>
    <w:rsid w:val="00AB7884"/>
    <w:rsid w:val="00AC0E54"/>
    <w:rsid w:val="00AC11CF"/>
    <w:rsid w:val="00AC24C9"/>
    <w:rsid w:val="00AC4CD2"/>
    <w:rsid w:val="00AC6B53"/>
    <w:rsid w:val="00AD077E"/>
    <w:rsid w:val="00AD0F38"/>
    <w:rsid w:val="00AD245A"/>
    <w:rsid w:val="00AD2B79"/>
    <w:rsid w:val="00AE2E55"/>
    <w:rsid w:val="00AE3233"/>
    <w:rsid w:val="00AE425A"/>
    <w:rsid w:val="00AE75F4"/>
    <w:rsid w:val="00AF07A1"/>
    <w:rsid w:val="00AF2DE4"/>
    <w:rsid w:val="00AF4FC1"/>
    <w:rsid w:val="00B014C7"/>
    <w:rsid w:val="00B03490"/>
    <w:rsid w:val="00B039EC"/>
    <w:rsid w:val="00B06FAD"/>
    <w:rsid w:val="00B1056B"/>
    <w:rsid w:val="00B10EBE"/>
    <w:rsid w:val="00B11450"/>
    <w:rsid w:val="00B115D5"/>
    <w:rsid w:val="00B128F9"/>
    <w:rsid w:val="00B131FC"/>
    <w:rsid w:val="00B15347"/>
    <w:rsid w:val="00B171BC"/>
    <w:rsid w:val="00B20414"/>
    <w:rsid w:val="00B21A12"/>
    <w:rsid w:val="00B22B9D"/>
    <w:rsid w:val="00B24232"/>
    <w:rsid w:val="00B26320"/>
    <w:rsid w:val="00B278CA"/>
    <w:rsid w:val="00B308FC"/>
    <w:rsid w:val="00B324AF"/>
    <w:rsid w:val="00B32565"/>
    <w:rsid w:val="00B337AC"/>
    <w:rsid w:val="00B352C8"/>
    <w:rsid w:val="00B362D0"/>
    <w:rsid w:val="00B4146F"/>
    <w:rsid w:val="00B4464A"/>
    <w:rsid w:val="00B46121"/>
    <w:rsid w:val="00B46E87"/>
    <w:rsid w:val="00B47D32"/>
    <w:rsid w:val="00B47DE2"/>
    <w:rsid w:val="00B50A76"/>
    <w:rsid w:val="00B50C63"/>
    <w:rsid w:val="00B514E6"/>
    <w:rsid w:val="00B52F3D"/>
    <w:rsid w:val="00B53C9B"/>
    <w:rsid w:val="00B5526C"/>
    <w:rsid w:val="00B55B2A"/>
    <w:rsid w:val="00B57DD5"/>
    <w:rsid w:val="00B61D37"/>
    <w:rsid w:val="00B62DD4"/>
    <w:rsid w:val="00B652E1"/>
    <w:rsid w:val="00B67ECF"/>
    <w:rsid w:val="00B7089A"/>
    <w:rsid w:val="00B72607"/>
    <w:rsid w:val="00B73196"/>
    <w:rsid w:val="00B737D2"/>
    <w:rsid w:val="00B80825"/>
    <w:rsid w:val="00B81776"/>
    <w:rsid w:val="00B8207F"/>
    <w:rsid w:val="00B83EA6"/>
    <w:rsid w:val="00B849AE"/>
    <w:rsid w:val="00B84F86"/>
    <w:rsid w:val="00B855F8"/>
    <w:rsid w:val="00B86CD5"/>
    <w:rsid w:val="00B871EA"/>
    <w:rsid w:val="00B928F2"/>
    <w:rsid w:val="00B93CBA"/>
    <w:rsid w:val="00B97205"/>
    <w:rsid w:val="00B97C1B"/>
    <w:rsid w:val="00BA0BCB"/>
    <w:rsid w:val="00BA10BB"/>
    <w:rsid w:val="00BA2DEB"/>
    <w:rsid w:val="00BA32A7"/>
    <w:rsid w:val="00BA4D21"/>
    <w:rsid w:val="00BA577A"/>
    <w:rsid w:val="00BB0527"/>
    <w:rsid w:val="00BB0793"/>
    <w:rsid w:val="00BB0F0A"/>
    <w:rsid w:val="00BB1BB5"/>
    <w:rsid w:val="00BB249F"/>
    <w:rsid w:val="00BB2849"/>
    <w:rsid w:val="00BB361B"/>
    <w:rsid w:val="00BB5DE7"/>
    <w:rsid w:val="00BB6289"/>
    <w:rsid w:val="00BB6AA9"/>
    <w:rsid w:val="00BB6BA4"/>
    <w:rsid w:val="00BC6866"/>
    <w:rsid w:val="00BC6BD3"/>
    <w:rsid w:val="00BC730E"/>
    <w:rsid w:val="00BC7FAB"/>
    <w:rsid w:val="00BD2CD2"/>
    <w:rsid w:val="00BD6D28"/>
    <w:rsid w:val="00BE3524"/>
    <w:rsid w:val="00BE3655"/>
    <w:rsid w:val="00BE5615"/>
    <w:rsid w:val="00BE62E4"/>
    <w:rsid w:val="00BE7A37"/>
    <w:rsid w:val="00BE7AB4"/>
    <w:rsid w:val="00BF0418"/>
    <w:rsid w:val="00BF21DE"/>
    <w:rsid w:val="00BF29BB"/>
    <w:rsid w:val="00BF2A24"/>
    <w:rsid w:val="00BF385A"/>
    <w:rsid w:val="00BF49E3"/>
    <w:rsid w:val="00BF4AD8"/>
    <w:rsid w:val="00BF66CB"/>
    <w:rsid w:val="00BF687A"/>
    <w:rsid w:val="00BF737D"/>
    <w:rsid w:val="00BF7EC7"/>
    <w:rsid w:val="00C008E4"/>
    <w:rsid w:val="00C0272C"/>
    <w:rsid w:val="00C075BA"/>
    <w:rsid w:val="00C10139"/>
    <w:rsid w:val="00C117AD"/>
    <w:rsid w:val="00C11981"/>
    <w:rsid w:val="00C1293B"/>
    <w:rsid w:val="00C12B38"/>
    <w:rsid w:val="00C13D02"/>
    <w:rsid w:val="00C142FD"/>
    <w:rsid w:val="00C149AA"/>
    <w:rsid w:val="00C15377"/>
    <w:rsid w:val="00C15ADA"/>
    <w:rsid w:val="00C15C7C"/>
    <w:rsid w:val="00C15E3F"/>
    <w:rsid w:val="00C17C22"/>
    <w:rsid w:val="00C2246D"/>
    <w:rsid w:val="00C23CB2"/>
    <w:rsid w:val="00C252FC"/>
    <w:rsid w:val="00C25CF4"/>
    <w:rsid w:val="00C25F3C"/>
    <w:rsid w:val="00C26077"/>
    <w:rsid w:val="00C2625B"/>
    <w:rsid w:val="00C2702F"/>
    <w:rsid w:val="00C31090"/>
    <w:rsid w:val="00C31147"/>
    <w:rsid w:val="00C3209D"/>
    <w:rsid w:val="00C337E2"/>
    <w:rsid w:val="00C33EB7"/>
    <w:rsid w:val="00C36990"/>
    <w:rsid w:val="00C4516A"/>
    <w:rsid w:val="00C458C0"/>
    <w:rsid w:val="00C506C3"/>
    <w:rsid w:val="00C5209F"/>
    <w:rsid w:val="00C531F4"/>
    <w:rsid w:val="00C5321C"/>
    <w:rsid w:val="00C54F55"/>
    <w:rsid w:val="00C5676F"/>
    <w:rsid w:val="00C67897"/>
    <w:rsid w:val="00C7542C"/>
    <w:rsid w:val="00C762DC"/>
    <w:rsid w:val="00C76DAA"/>
    <w:rsid w:val="00C76ECB"/>
    <w:rsid w:val="00C7775E"/>
    <w:rsid w:val="00C77B4A"/>
    <w:rsid w:val="00C8056A"/>
    <w:rsid w:val="00C8147F"/>
    <w:rsid w:val="00C82E08"/>
    <w:rsid w:val="00C84A15"/>
    <w:rsid w:val="00C8616A"/>
    <w:rsid w:val="00C861A6"/>
    <w:rsid w:val="00C86A5F"/>
    <w:rsid w:val="00C90093"/>
    <w:rsid w:val="00C907EE"/>
    <w:rsid w:val="00C92274"/>
    <w:rsid w:val="00C92364"/>
    <w:rsid w:val="00C9382D"/>
    <w:rsid w:val="00C97C4B"/>
    <w:rsid w:val="00CA01C7"/>
    <w:rsid w:val="00CA139E"/>
    <w:rsid w:val="00CA1C0E"/>
    <w:rsid w:val="00CA369F"/>
    <w:rsid w:val="00CA4210"/>
    <w:rsid w:val="00CA6339"/>
    <w:rsid w:val="00CA7D9E"/>
    <w:rsid w:val="00CB07FC"/>
    <w:rsid w:val="00CB0FFC"/>
    <w:rsid w:val="00CB1220"/>
    <w:rsid w:val="00CB29AE"/>
    <w:rsid w:val="00CB55C4"/>
    <w:rsid w:val="00CB6850"/>
    <w:rsid w:val="00CB6EAE"/>
    <w:rsid w:val="00CB749A"/>
    <w:rsid w:val="00CC554D"/>
    <w:rsid w:val="00CC5902"/>
    <w:rsid w:val="00CC5DC8"/>
    <w:rsid w:val="00CD021E"/>
    <w:rsid w:val="00CD0A67"/>
    <w:rsid w:val="00CD2B2B"/>
    <w:rsid w:val="00CD3449"/>
    <w:rsid w:val="00CD3F3B"/>
    <w:rsid w:val="00CD4E96"/>
    <w:rsid w:val="00CE122A"/>
    <w:rsid w:val="00CE24BA"/>
    <w:rsid w:val="00CE25E3"/>
    <w:rsid w:val="00CE44D6"/>
    <w:rsid w:val="00CE5475"/>
    <w:rsid w:val="00CE63DC"/>
    <w:rsid w:val="00CE6D52"/>
    <w:rsid w:val="00CE7D3B"/>
    <w:rsid w:val="00CF0AB6"/>
    <w:rsid w:val="00CF2E49"/>
    <w:rsid w:val="00CF4547"/>
    <w:rsid w:val="00CF6A89"/>
    <w:rsid w:val="00CF6CB2"/>
    <w:rsid w:val="00CF6FCE"/>
    <w:rsid w:val="00CF7160"/>
    <w:rsid w:val="00CF7643"/>
    <w:rsid w:val="00D0343A"/>
    <w:rsid w:val="00D04EF0"/>
    <w:rsid w:val="00D05087"/>
    <w:rsid w:val="00D06F36"/>
    <w:rsid w:val="00D072C7"/>
    <w:rsid w:val="00D073DB"/>
    <w:rsid w:val="00D07793"/>
    <w:rsid w:val="00D1035C"/>
    <w:rsid w:val="00D11FE3"/>
    <w:rsid w:val="00D12B52"/>
    <w:rsid w:val="00D12C63"/>
    <w:rsid w:val="00D14BFF"/>
    <w:rsid w:val="00D14E41"/>
    <w:rsid w:val="00D15E24"/>
    <w:rsid w:val="00D20865"/>
    <w:rsid w:val="00D237E5"/>
    <w:rsid w:val="00D23D4A"/>
    <w:rsid w:val="00D25838"/>
    <w:rsid w:val="00D2763F"/>
    <w:rsid w:val="00D27684"/>
    <w:rsid w:val="00D27836"/>
    <w:rsid w:val="00D30751"/>
    <w:rsid w:val="00D3386B"/>
    <w:rsid w:val="00D34DAC"/>
    <w:rsid w:val="00D34E5B"/>
    <w:rsid w:val="00D36487"/>
    <w:rsid w:val="00D42981"/>
    <w:rsid w:val="00D43C64"/>
    <w:rsid w:val="00D44866"/>
    <w:rsid w:val="00D46D0B"/>
    <w:rsid w:val="00D46E74"/>
    <w:rsid w:val="00D47362"/>
    <w:rsid w:val="00D50716"/>
    <w:rsid w:val="00D50E88"/>
    <w:rsid w:val="00D53E84"/>
    <w:rsid w:val="00D65EA6"/>
    <w:rsid w:val="00D660D0"/>
    <w:rsid w:val="00D72067"/>
    <w:rsid w:val="00D729F4"/>
    <w:rsid w:val="00D73A8E"/>
    <w:rsid w:val="00D73B13"/>
    <w:rsid w:val="00D73DA5"/>
    <w:rsid w:val="00D7557A"/>
    <w:rsid w:val="00D75B03"/>
    <w:rsid w:val="00D76756"/>
    <w:rsid w:val="00D80D2F"/>
    <w:rsid w:val="00D8373B"/>
    <w:rsid w:val="00D85D38"/>
    <w:rsid w:val="00D879AA"/>
    <w:rsid w:val="00D921BC"/>
    <w:rsid w:val="00D93C68"/>
    <w:rsid w:val="00D94B24"/>
    <w:rsid w:val="00D952AF"/>
    <w:rsid w:val="00D9582F"/>
    <w:rsid w:val="00DA3DC2"/>
    <w:rsid w:val="00DA44E2"/>
    <w:rsid w:val="00DA4A56"/>
    <w:rsid w:val="00DA4A6C"/>
    <w:rsid w:val="00DB1394"/>
    <w:rsid w:val="00DB3924"/>
    <w:rsid w:val="00DB3D71"/>
    <w:rsid w:val="00DB4D76"/>
    <w:rsid w:val="00DB59EB"/>
    <w:rsid w:val="00DC05D3"/>
    <w:rsid w:val="00DC3AE3"/>
    <w:rsid w:val="00DC41CC"/>
    <w:rsid w:val="00DD15C2"/>
    <w:rsid w:val="00DD42A1"/>
    <w:rsid w:val="00DE1DCB"/>
    <w:rsid w:val="00DE32EB"/>
    <w:rsid w:val="00DE52CB"/>
    <w:rsid w:val="00DF0CE2"/>
    <w:rsid w:val="00DF0DC6"/>
    <w:rsid w:val="00DF19E6"/>
    <w:rsid w:val="00DF1E85"/>
    <w:rsid w:val="00DF24A9"/>
    <w:rsid w:val="00DF6CF2"/>
    <w:rsid w:val="00E01046"/>
    <w:rsid w:val="00E02D16"/>
    <w:rsid w:val="00E05589"/>
    <w:rsid w:val="00E062DB"/>
    <w:rsid w:val="00E0797E"/>
    <w:rsid w:val="00E10E4D"/>
    <w:rsid w:val="00E115D3"/>
    <w:rsid w:val="00E11FBB"/>
    <w:rsid w:val="00E122D1"/>
    <w:rsid w:val="00E152CE"/>
    <w:rsid w:val="00E159EF"/>
    <w:rsid w:val="00E166FC"/>
    <w:rsid w:val="00E212F5"/>
    <w:rsid w:val="00E22D45"/>
    <w:rsid w:val="00E2335C"/>
    <w:rsid w:val="00E23C61"/>
    <w:rsid w:val="00E23C98"/>
    <w:rsid w:val="00E26C69"/>
    <w:rsid w:val="00E332FF"/>
    <w:rsid w:val="00E348DF"/>
    <w:rsid w:val="00E35306"/>
    <w:rsid w:val="00E3687E"/>
    <w:rsid w:val="00E37067"/>
    <w:rsid w:val="00E40210"/>
    <w:rsid w:val="00E40314"/>
    <w:rsid w:val="00E44559"/>
    <w:rsid w:val="00E44B49"/>
    <w:rsid w:val="00E45487"/>
    <w:rsid w:val="00E50D84"/>
    <w:rsid w:val="00E5125B"/>
    <w:rsid w:val="00E51D09"/>
    <w:rsid w:val="00E52616"/>
    <w:rsid w:val="00E526A0"/>
    <w:rsid w:val="00E53FC6"/>
    <w:rsid w:val="00E547DE"/>
    <w:rsid w:val="00E55484"/>
    <w:rsid w:val="00E55E36"/>
    <w:rsid w:val="00E60FBD"/>
    <w:rsid w:val="00E61EDB"/>
    <w:rsid w:val="00E658B7"/>
    <w:rsid w:val="00E736EE"/>
    <w:rsid w:val="00E74066"/>
    <w:rsid w:val="00E75ED2"/>
    <w:rsid w:val="00E817F5"/>
    <w:rsid w:val="00E81885"/>
    <w:rsid w:val="00E826DE"/>
    <w:rsid w:val="00E82EC2"/>
    <w:rsid w:val="00E8513E"/>
    <w:rsid w:val="00E85B8E"/>
    <w:rsid w:val="00E86AF1"/>
    <w:rsid w:val="00E87689"/>
    <w:rsid w:val="00E9170D"/>
    <w:rsid w:val="00E91D17"/>
    <w:rsid w:val="00E9540F"/>
    <w:rsid w:val="00E962E6"/>
    <w:rsid w:val="00E97241"/>
    <w:rsid w:val="00EA0656"/>
    <w:rsid w:val="00EA1C56"/>
    <w:rsid w:val="00EA26EE"/>
    <w:rsid w:val="00EA294F"/>
    <w:rsid w:val="00EA3BA4"/>
    <w:rsid w:val="00EA4EA8"/>
    <w:rsid w:val="00EA74FD"/>
    <w:rsid w:val="00EA7F00"/>
    <w:rsid w:val="00EB186D"/>
    <w:rsid w:val="00EB22D6"/>
    <w:rsid w:val="00EB535C"/>
    <w:rsid w:val="00EB6506"/>
    <w:rsid w:val="00EC2549"/>
    <w:rsid w:val="00EC3E39"/>
    <w:rsid w:val="00EC5AB6"/>
    <w:rsid w:val="00ED0607"/>
    <w:rsid w:val="00ED23C1"/>
    <w:rsid w:val="00ED558E"/>
    <w:rsid w:val="00ED5E66"/>
    <w:rsid w:val="00EE0DF2"/>
    <w:rsid w:val="00EE3E06"/>
    <w:rsid w:val="00EE77EE"/>
    <w:rsid w:val="00EF225C"/>
    <w:rsid w:val="00EF25E2"/>
    <w:rsid w:val="00EF611D"/>
    <w:rsid w:val="00EF7A45"/>
    <w:rsid w:val="00F01776"/>
    <w:rsid w:val="00F01855"/>
    <w:rsid w:val="00F01ABB"/>
    <w:rsid w:val="00F02074"/>
    <w:rsid w:val="00F02458"/>
    <w:rsid w:val="00F03E09"/>
    <w:rsid w:val="00F040B2"/>
    <w:rsid w:val="00F04732"/>
    <w:rsid w:val="00F07338"/>
    <w:rsid w:val="00F07606"/>
    <w:rsid w:val="00F0792E"/>
    <w:rsid w:val="00F12C1D"/>
    <w:rsid w:val="00F1363A"/>
    <w:rsid w:val="00F13C80"/>
    <w:rsid w:val="00F16915"/>
    <w:rsid w:val="00F2261B"/>
    <w:rsid w:val="00F229E1"/>
    <w:rsid w:val="00F25BDB"/>
    <w:rsid w:val="00F26776"/>
    <w:rsid w:val="00F26E0A"/>
    <w:rsid w:val="00F27BCE"/>
    <w:rsid w:val="00F27C58"/>
    <w:rsid w:val="00F3172A"/>
    <w:rsid w:val="00F3585A"/>
    <w:rsid w:val="00F35B3D"/>
    <w:rsid w:val="00F412A4"/>
    <w:rsid w:val="00F43277"/>
    <w:rsid w:val="00F43938"/>
    <w:rsid w:val="00F44D83"/>
    <w:rsid w:val="00F461C5"/>
    <w:rsid w:val="00F47615"/>
    <w:rsid w:val="00F47689"/>
    <w:rsid w:val="00F47946"/>
    <w:rsid w:val="00F47CC7"/>
    <w:rsid w:val="00F52787"/>
    <w:rsid w:val="00F539BC"/>
    <w:rsid w:val="00F53F71"/>
    <w:rsid w:val="00F564D7"/>
    <w:rsid w:val="00F5676D"/>
    <w:rsid w:val="00F575A0"/>
    <w:rsid w:val="00F578F1"/>
    <w:rsid w:val="00F62C94"/>
    <w:rsid w:val="00F64418"/>
    <w:rsid w:val="00F64F34"/>
    <w:rsid w:val="00F65253"/>
    <w:rsid w:val="00F657E0"/>
    <w:rsid w:val="00F65C43"/>
    <w:rsid w:val="00F66999"/>
    <w:rsid w:val="00F70D84"/>
    <w:rsid w:val="00F70ED6"/>
    <w:rsid w:val="00F71DB4"/>
    <w:rsid w:val="00F72E58"/>
    <w:rsid w:val="00F73896"/>
    <w:rsid w:val="00F76885"/>
    <w:rsid w:val="00F76904"/>
    <w:rsid w:val="00F77656"/>
    <w:rsid w:val="00F8085E"/>
    <w:rsid w:val="00F81532"/>
    <w:rsid w:val="00F81E06"/>
    <w:rsid w:val="00F83186"/>
    <w:rsid w:val="00F83634"/>
    <w:rsid w:val="00F854CB"/>
    <w:rsid w:val="00F85E43"/>
    <w:rsid w:val="00F86C32"/>
    <w:rsid w:val="00F92AFF"/>
    <w:rsid w:val="00F93189"/>
    <w:rsid w:val="00F96EFF"/>
    <w:rsid w:val="00FA10A4"/>
    <w:rsid w:val="00FA3FBD"/>
    <w:rsid w:val="00FA46A9"/>
    <w:rsid w:val="00FA4AA2"/>
    <w:rsid w:val="00FA587B"/>
    <w:rsid w:val="00FA6F72"/>
    <w:rsid w:val="00FA7D34"/>
    <w:rsid w:val="00FB0FBA"/>
    <w:rsid w:val="00FB217B"/>
    <w:rsid w:val="00FB2A69"/>
    <w:rsid w:val="00FB2C1F"/>
    <w:rsid w:val="00FB2F1B"/>
    <w:rsid w:val="00FB6388"/>
    <w:rsid w:val="00FB6DCF"/>
    <w:rsid w:val="00FB7894"/>
    <w:rsid w:val="00FC0626"/>
    <w:rsid w:val="00FC0634"/>
    <w:rsid w:val="00FC1DEC"/>
    <w:rsid w:val="00FC3033"/>
    <w:rsid w:val="00FC30EA"/>
    <w:rsid w:val="00FC62AE"/>
    <w:rsid w:val="00FE22AE"/>
    <w:rsid w:val="00FE3AD7"/>
    <w:rsid w:val="00FE7735"/>
    <w:rsid w:val="00FF0A71"/>
    <w:rsid w:val="00FF1386"/>
    <w:rsid w:val="00FF13F2"/>
    <w:rsid w:val="00FF2000"/>
    <w:rsid w:val="00FF2F8F"/>
    <w:rsid w:val="00FF4154"/>
    <w:rsid w:val="00FF427B"/>
    <w:rsid w:val="00FF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40E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48BE"/>
    <w:pPr>
      <w:pBdr>
        <w:top w:val="nil"/>
        <w:left w:val="nil"/>
        <w:bottom w:val="nil"/>
        <w:right w:val="nil"/>
        <w:between w:val="nil"/>
        <w:bar w:val="nil"/>
      </w:pBdr>
      <w:tabs>
        <w:tab w:val="left" w:pos="360"/>
      </w:tabs>
      <w:suppressAutoHyphens/>
      <w:ind w:right="720"/>
      <w:jc w:val="both"/>
      <w:outlineLvl w:val="0"/>
    </w:pPr>
    <w:rPr>
      <w:rFonts w:ascii="Cambria" w:eastAsia="Cambria" w:hAnsi="Cambria" w:cs="Arial"/>
      <w:b/>
      <w:color w:val="000000"/>
      <w:sz w:val="20"/>
      <w:szCs w:val="20"/>
      <w:u w:color="000000"/>
      <w:bdr w:val="nil"/>
      <w:shd w:val="clear" w:color="auto" w:fill="FCFCFC"/>
      <w:lang w:val="es-ES_tradnl" w:eastAsia="es-ES"/>
    </w:rPr>
  </w:style>
  <w:style w:type="paragraph" w:styleId="Heading2">
    <w:name w:val="heading 2"/>
    <w:basedOn w:val="ListParagraph"/>
    <w:next w:val="Normal"/>
    <w:link w:val="Heading2Char"/>
    <w:uiPriority w:val="9"/>
    <w:unhideWhenUsed/>
    <w:qFormat/>
    <w:rsid w:val="003448BE"/>
    <w:pPr>
      <w:ind w:left="0"/>
      <w:outlineLvl w:val="1"/>
    </w:pPr>
    <w:rPr>
      <w:b/>
      <w:sz w:val="20"/>
      <w:szCs w:val="20"/>
      <w:lang w:val="es-ES_tradnl"/>
    </w:rPr>
  </w:style>
  <w:style w:type="paragraph" w:styleId="Heading3">
    <w:name w:val="heading 3"/>
    <w:basedOn w:val="Normal"/>
    <w:next w:val="Normal"/>
    <w:link w:val="Heading3Char"/>
    <w:uiPriority w:val="9"/>
    <w:unhideWhenUsed/>
    <w:qFormat/>
    <w:rsid w:val="00D72067"/>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bdr w:val="ni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8BE"/>
    <w:rPr>
      <w:rFonts w:ascii="Cambria" w:eastAsia="Cambria" w:hAnsi="Cambria" w:cs="Arial"/>
      <w:b/>
      <w:color w:val="000000"/>
      <w:sz w:val="20"/>
      <w:szCs w:val="20"/>
      <w:u w:color="000000"/>
      <w:bdr w:val="nil"/>
      <w:lang w:val="es-ES_tradnl" w:eastAsia="es-ES"/>
    </w:rPr>
  </w:style>
  <w:style w:type="paragraph" w:styleId="Footer">
    <w:name w:val="footer"/>
    <w:link w:val="FooterChar"/>
    <w:uiPriority w:val="99"/>
    <w:rsid w:val="009F3A2C"/>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9F3A2C"/>
    <w:rPr>
      <w:rFonts w:ascii="Cambria" w:eastAsia="Cambria" w:hAnsi="Cambria" w:cs="Cambria"/>
      <w:color w:val="000000"/>
      <w:sz w:val="24"/>
      <w:szCs w:val="24"/>
      <w:u w:color="000000"/>
      <w:bdr w:val="nil"/>
      <w:lang w:eastAsia="es-ES"/>
    </w:rPr>
  </w:style>
  <w:style w:type="paragraph" w:styleId="ListParagraph">
    <w:name w:val="List Paragraph"/>
    <w:aliases w:val="Párrafo de lista1,List Paragraph1,Colorful List - Accent 11,List Paragraph11,List Paragraph2,Lista vistosa - Énfasis 11,Subtle Emphasis1,Footnote1"/>
    <w:link w:val="ListParagraphChar"/>
    <w:uiPriority w:val="34"/>
    <w:qFormat/>
    <w:rsid w:val="009F3A2C"/>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Header">
    <w:name w:val="header"/>
    <w:aliases w:val="encabezado"/>
    <w:basedOn w:val="Normal"/>
    <w:link w:val="HeaderChar"/>
    <w:rsid w:val="009F3A2C"/>
    <w:pPr>
      <w:widowControl w:val="0"/>
      <w:tabs>
        <w:tab w:val="center" w:pos="4320"/>
        <w:tab w:val="right" w:pos="8640"/>
      </w:tabs>
      <w:snapToGrid w:val="0"/>
    </w:pPr>
    <w:rPr>
      <w:rFonts w:ascii="Univers" w:hAnsi="Univers" w:cs="Univers"/>
      <w:lang w:val="es-ES"/>
    </w:rPr>
  </w:style>
  <w:style w:type="character" w:customStyle="1" w:styleId="HeaderChar">
    <w:name w:val="Header Char"/>
    <w:aliases w:val="encabezado Char"/>
    <w:basedOn w:val="DefaultParagraphFont"/>
    <w:link w:val="Header"/>
    <w:rsid w:val="009F3A2C"/>
    <w:rPr>
      <w:rFonts w:ascii="Univers" w:eastAsia="Times New Roman" w:hAnsi="Univers" w:cs="Univers"/>
      <w:sz w:val="24"/>
      <w:szCs w:val="24"/>
    </w:rPr>
  </w:style>
  <w:style w:type="character" w:styleId="PageNumber">
    <w:name w:val="page number"/>
    <w:basedOn w:val="DefaultParagraphFont"/>
    <w:rsid w:val="009F3A2C"/>
  </w:style>
  <w:style w:type="table" w:styleId="TableGrid">
    <w:name w:val="Table Grid"/>
    <w:basedOn w:val="TableNormal"/>
    <w:uiPriority w:val="39"/>
    <w:rsid w:val="00912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unhideWhenUsed/>
    <w:qFormat/>
    <w:rsid w:val="00160BD8"/>
    <w:pPr>
      <w:pBdr>
        <w:top w:val="nil"/>
        <w:left w:val="nil"/>
        <w:bottom w:val="nil"/>
        <w:right w:val="nil"/>
        <w:between w:val="nil"/>
        <w:bar w:val="nil"/>
      </w:pBdr>
    </w:pPr>
    <w:rPr>
      <w:rFonts w:eastAsia="Arial Unicode MS"/>
      <w:sz w:val="20"/>
      <w:szCs w:val="20"/>
      <w:bdr w:val="nil"/>
      <w:lang w:val="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qFormat/>
    <w:rsid w:val="00160BD8"/>
    <w:rPr>
      <w:rFonts w:ascii="Times New Roman" w:eastAsia="Arial Unicode MS" w:hAnsi="Times New Roman" w:cs="Times New Roman"/>
      <w:sz w:val="20"/>
      <w:szCs w:val="20"/>
      <w:bdr w:val="nil"/>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f"/>
    <w:basedOn w:val="DefaultParagraphFont"/>
    <w:link w:val="FootnotesrefssChar1Char"/>
    <w:unhideWhenUsed/>
    <w:qFormat/>
    <w:rsid w:val="00160BD8"/>
    <w:rPr>
      <w:vertAlign w:val="superscript"/>
    </w:rPr>
  </w:style>
  <w:style w:type="paragraph" w:styleId="TOCHeading">
    <w:name w:val="TOC Heading"/>
    <w:basedOn w:val="Heading1"/>
    <w:next w:val="Normal"/>
    <w:uiPriority w:val="39"/>
    <w:unhideWhenUsed/>
    <w:qFormat/>
    <w:rsid w:val="003663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es-MX" w:eastAsia="es-MX"/>
    </w:rPr>
  </w:style>
  <w:style w:type="paragraph" w:styleId="TOC1">
    <w:name w:val="toc 1"/>
    <w:basedOn w:val="Normal"/>
    <w:next w:val="Normal"/>
    <w:autoRedefine/>
    <w:uiPriority w:val="39"/>
    <w:unhideWhenUsed/>
    <w:rsid w:val="00F65253"/>
    <w:pPr>
      <w:pBdr>
        <w:top w:val="nil"/>
        <w:left w:val="nil"/>
        <w:bottom w:val="nil"/>
        <w:right w:val="nil"/>
        <w:between w:val="nil"/>
        <w:bar w:val="nil"/>
      </w:pBdr>
      <w:tabs>
        <w:tab w:val="left" w:pos="480"/>
        <w:tab w:val="right" w:leader="dot" w:pos="9350"/>
      </w:tabs>
      <w:spacing w:before="240" w:after="120"/>
    </w:pPr>
    <w:rPr>
      <w:rFonts w:ascii="Cambria" w:eastAsia="Cambria" w:hAnsi="Cambria" w:cs="Arial"/>
      <w:b/>
      <w:bCs/>
      <w:noProof/>
      <w:sz w:val="20"/>
      <w:szCs w:val="20"/>
      <w:bdr w:val="nil"/>
      <w:lang w:val="es-ES_tradnl" w:eastAsia="es-ES"/>
    </w:rPr>
  </w:style>
  <w:style w:type="paragraph" w:styleId="TOC2">
    <w:name w:val="toc 2"/>
    <w:basedOn w:val="Normal"/>
    <w:next w:val="Normal"/>
    <w:autoRedefine/>
    <w:uiPriority w:val="39"/>
    <w:unhideWhenUsed/>
    <w:rsid w:val="00366378"/>
    <w:pPr>
      <w:pBdr>
        <w:top w:val="nil"/>
        <w:left w:val="nil"/>
        <w:bottom w:val="nil"/>
        <w:right w:val="nil"/>
        <w:between w:val="nil"/>
        <w:bar w:val="nil"/>
      </w:pBdr>
      <w:spacing w:before="120"/>
      <w:ind w:left="240"/>
    </w:pPr>
    <w:rPr>
      <w:rFonts w:asciiTheme="minorHAnsi" w:eastAsia="Arial Unicode MS" w:hAnsiTheme="minorHAnsi" w:cstheme="minorHAnsi"/>
      <w:i/>
      <w:iCs/>
      <w:sz w:val="20"/>
      <w:szCs w:val="20"/>
      <w:bdr w:val="nil"/>
      <w:lang w:val="es-ES"/>
    </w:rPr>
  </w:style>
  <w:style w:type="paragraph" w:styleId="TOC3">
    <w:name w:val="toc 3"/>
    <w:basedOn w:val="Normal"/>
    <w:next w:val="Normal"/>
    <w:autoRedefine/>
    <w:uiPriority w:val="39"/>
    <w:unhideWhenUsed/>
    <w:rsid w:val="00366378"/>
    <w:pPr>
      <w:pBdr>
        <w:top w:val="nil"/>
        <w:left w:val="nil"/>
        <w:bottom w:val="nil"/>
        <w:right w:val="nil"/>
        <w:between w:val="nil"/>
        <w:bar w:val="nil"/>
      </w:pBdr>
      <w:ind w:left="480"/>
    </w:pPr>
    <w:rPr>
      <w:rFonts w:asciiTheme="minorHAnsi" w:eastAsia="Arial Unicode MS" w:hAnsiTheme="minorHAnsi" w:cstheme="minorHAnsi"/>
      <w:sz w:val="20"/>
      <w:szCs w:val="20"/>
      <w:bdr w:val="nil"/>
      <w:lang w:val="es-ES"/>
    </w:rPr>
  </w:style>
  <w:style w:type="character" w:styleId="Hyperlink">
    <w:name w:val="Hyperlink"/>
    <w:basedOn w:val="DefaultParagraphFont"/>
    <w:uiPriority w:val="99"/>
    <w:unhideWhenUsed/>
    <w:rsid w:val="00366378"/>
    <w:rPr>
      <w:color w:val="0563C1" w:themeColor="hyperlink"/>
      <w:u w:val="single"/>
    </w:rPr>
  </w:style>
  <w:style w:type="paragraph" w:styleId="TOC4">
    <w:name w:val="toc 4"/>
    <w:basedOn w:val="Normal"/>
    <w:next w:val="Normal"/>
    <w:autoRedefine/>
    <w:uiPriority w:val="39"/>
    <w:unhideWhenUsed/>
    <w:rsid w:val="00366378"/>
    <w:pPr>
      <w:pBdr>
        <w:top w:val="nil"/>
        <w:left w:val="nil"/>
        <w:bottom w:val="nil"/>
        <w:right w:val="nil"/>
        <w:between w:val="nil"/>
        <w:bar w:val="nil"/>
      </w:pBdr>
      <w:ind w:left="720"/>
    </w:pPr>
    <w:rPr>
      <w:rFonts w:asciiTheme="minorHAnsi" w:eastAsia="Arial Unicode MS" w:hAnsiTheme="minorHAnsi" w:cstheme="minorHAnsi"/>
      <w:sz w:val="20"/>
      <w:szCs w:val="20"/>
      <w:bdr w:val="nil"/>
      <w:lang w:val="es-ES"/>
    </w:rPr>
  </w:style>
  <w:style w:type="paragraph" w:styleId="TOC5">
    <w:name w:val="toc 5"/>
    <w:basedOn w:val="Normal"/>
    <w:next w:val="Normal"/>
    <w:autoRedefine/>
    <w:uiPriority w:val="39"/>
    <w:unhideWhenUsed/>
    <w:rsid w:val="00366378"/>
    <w:pPr>
      <w:pBdr>
        <w:top w:val="nil"/>
        <w:left w:val="nil"/>
        <w:bottom w:val="nil"/>
        <w:right w:val="nil"/>
        <w:between w:val="nil"/>
        <w:bar w:val="nil"/>
      </w:pBdr>
      <w:ind w:left="960"/>
    </w:pPr>
    <w:rPr>
      <w:rFonts w:asciiTheme="minorHAnsi" w:eastAsia="Arial Unicode MS" w:hAnsiTheme="minorHAnsi" w:cstheme="minorHAnsi"/>
      <w:sz w:val="20"/>
      <w:szCs w:val="20"/>
      <w:bdr w:val="nil"/>
      <w:lang w:val="es-ES"/>
    </w:rPr>
  </w:style>
  <w:style w:type="paragraph" w:styleId="TOC6">
    <w:name w:val="toc 6"/>
    <w:basedOn w:val="Normal"/>
    <w:next w:val="Normal"/>
    <w:autoRedefine/>
    <w:uiPriority w:val="39"/>
    <w:unhideWhenUsed/>
    <w:rsid w:val="00366378"/>
    <w:pPr>
      <w:pBdr>
        <w:top w:val="nil"/>
        <w:left w:val="nil"/>
        <w:bottom w:val="nil"/>
        <w:right w:val="nil"/>
        <w:between w:val="nil"/>
        <w:bar w:val="nil"/>
      </w:pBdr>
      <w:ind w:left="1200"/>
    </w:pPr>
    <w:rPr>
      <w:rFonts w:asciiTheme="minorHAnsi" w:eastAsia="Arial Unicode MS" w:hAnsiTheme="minorHAnsi" w:cstheme="minorHAnsi"/>
      <w:sz w:val="20"/>
      <w:szCs w:val="20"/>
      <w:bdr w:val="nil"/>
      <w:lang w:val="es-ES"/>
    </w:rPr>
  </w:style>
  <w:style w:type="paragraph" w:styleId="TOC7">
    <w:name w:val="toc 7"/>
    <w:basedOn w:val="Normal"/>
    <w:next w:val="Normal"/>
    <w:autoRedefine/>
    <w:uiPriority w:val="39"/>
    <w:unhideWhenUsed/>
    <w:rsid w:val="00366378"/>
    <w:pPr>
      <w:pBdr>
        <w:top w:val="nil"/>
        <w:left w:val="nil"/>
        <w:bottom w:val="nil"/>
        <w:right w:val="nil"/>
        <w:between w:val="nil"/>
        <w:bar w:val="nil"/>
      </w:pBdr>
      <w:ind w:left="1440"/>
    </w:pPr>
    <w:rPr>
      <w:rFonts w:asciiTheme="minorHAnsi" w:eastAsia="Arial Unicode MS" w:hAnsiTheme="minorHAnsi" w:cstheme="minorHAnsi"/>
      <w:sz w:val="20"/>
      <w:szCs w:val="20"/>
      <w:bdr w:val="nil"/>
      <w:lang w:val="es-ES"/>
    </w:rPr>
  </w:style>
  <w:style w:type="paragraph" w:styleId="TOC8">
    <w:name w:val="toc 8"/>
    <w:basedOn w:val="Normal"/>
    <w:next w:val="Normal"/>
    <w:autoRedefine/>
    <w:uiPriority w:val="39"/>
    <w:unhideWhenUsed/>
    <w:rsid w:val="00366378"/>
    <w:pPr>
      <w:pBdr>
        <w:top w:val="nil"/>
        <w:left w:val="nil"/>
        <w:bottom w:val="nil"/>
        <w:right w:val="nil"/>
        <w:between w:val="nil"/>
        <w:bar w:val="nil"/>
      </w:pBdr>
      <w:ind w:left="1680"/>
    </w:pPr>
    <w:rPr>
      <w:rFonts w:asciiTheme="minorHAnsi" w:eastAsia="Arial Unicode MS" w:hAnsiTheme="minorHAnsi" w:cstheme="minorHAnsi"/>
      <w:sz w:val="20"/>
      <w:szCs w:val="20"/>
      <w:bdr w:val="nil"/>
      <w:lang w:val="es-ES"/>
    </w:rPr>
  </w:style>
  <w:style w:type="paragraph" w:styleId="TOC9">
    <w:name w:val="toc 9"/>
    <w:basedOn w:val="Normal"/>
    <w:next w:val="Normal"/>
    <w:autoRedefine/>
    <w:uiPriority w:val="39"/>
    <w:unhideWhenUsed/>
    <w:rsid w:val="00366378"/>
    <w:pPr>
      <w:pBdr>
        <w:top w:val="nil"/>
        <w:left w:val="nil"/>
        <w:bottom w:val="nil"/>
        <w:right w:val="nil"/>
        <w:between w:val="nil"/>
        <w:bar w:val="nil"/>
      </w:pBdr>
      <w:ind w:left="1920"/>
    </w:pPr>
    <w:rPr>
      <w:rFonts w:asciiTheme="minorHAnsi" w:eastAsia="Arial Unicode MS" w:hAnsiTheme="minorHAnsi" w:cstheme="minorHAnsi"/>
      <w:sz w:val="20"/>
      <w:szCs w:val="20"/>
      <w:bdr w:val="nil"/>
      <w:lang w:val="es-ES"/>
    </w:rPr>
  </w:style>
  <w:style w:type="paragraph" w:styleId="BalloonText">
    <w:name w:val="Balloon Text"/>
    <w:basedOn w:val="Normal"/>
    <w:link w:val="BalloonTextChar"/>
    <w:uiPriority w:val="99"/>
    <w:semiHidden/>
    <w:unhideWhenUsed/>
    <w:rsid w:val="00A53A6B"/>
    <w:rPr>
      <w:sz w:val="18"/>
      <w:szCs w:val="18"/>
    </w:rPr>
  </w:style>
  <w:style w:type="character" w:customStyle="1" w:styleId="BalloonTextChar">
    <w:name w:val="Balloon Text Char"/>
    <w:basedOn w:val="DefaultParagraphFont"/>
    <w:link w:val="BalloonText"/>
    <w:uiPriority w:val="99"/>
    <w:semiHidden/>
    <w:rsid w:val="00A53A6B"/>
    <w:rPr>
      <w:rFonts w:ascii="Times New Roman" w:eastAsia="Arial Unicode MS" w:hAnsi="Times New Roman" w:cs="Times New Roman"/>
      <w:sz w:val="18"/>
      <w:szCs w:val="18"/>
      <w:bdr w:val="nil"/>
      <w:lang w:val="es-ES"/>
    </w:rPr>
  </w:style>
  <w:style w:type="character" w:styleId="CommentReference">
    <w:name w:val="annotation reference"/>
    <w:basedOn w:val="DefaultParagraphFont"/>
    <w:uiPriority w:val="99"/>
    <w:semiHidden/>
    <w:unhideWhenUsed/>
    <w:rsid w:val="00A4524E"/>
    <w:rPr>
      <w:sz w:val="16"/>
      <w:szCs w:val="16"/>
    </w:rPr>
  </w:style>
  <w:style w:type="paragraph" w:styleId="CommentText">
    <w:name w:val="annotation text"/>
    <w:basedOn w:val="Normal"/>
    <w:link w:val="CommentTextChar"/>
    <w:uiPriority w:val="99"/>
    <w:semiHidden/>
    <w:unhideWhenUsed/>
    <w:rsid w:val="00A4524E"/>
    <w:rPr>
      <w:sz w:val="20"/>
      <w:szCs w:val="20"/>
    </w:rPr>
  </w:style>
  <w:style w:type="character" w:customStyle="1" w:styleId="CommentTextChar">
    <w:name w:val="Comment Text Char"/>
    <w:basedOn w:val="DefaultParagraphFont"/>
    <w:link w:val="CommentText"/>
    <w:uiPriority w:val="99"/>
    <w:semiHidden/>
    <w:rsid w:val="00A4524E"/>
    <w:rPr>
      <w:rFonts w:ascii="Times New Roman" w:eastAsia="Arial Unicode MS" w:hAnsi="Times New Roman" w:cs="Times New Roman"/>
      <w:sz w:val="20"/>
      <w:szCs w:val="20"/>
      <w:bdr w:val="nil"/>
      <w:lang w:val="es-ES"/>
    </w:rPr>
  </w:style>
  <w:style w:type="paragraph" w:styleId="CommentSubject">
    <w:name w:val="annotation subject"/>
    <w:basedOn w:val="CommentText"/>
    <w:next w:val="CommentText"/>
    <w:link w:val="CommentSubjectChar"/>
    <w:uiPriority w:val="99"/>
    <w:semiHidden/>
    <w:unhideWhenUsed/>
    <w:rsid w:val="00A4524E"/>
    <w:rPr>
      <w:b/>
      <w:bCs/>
    </w:rPr>
  </w:style>
  <w:style w:type="character" w:customStyle="1" w:styleId="CommentSubjectChar">
    <w:name w:val="Comment Subject Char"/>
    <w:basedOn w:val="CommentTextChar"/>
    <w:link w:val="CommentSubject"/>
    <w:uiPriority w:val="99"/>
    <w:semiHidden/>
    <w:rsid w:val="00A4524E"/>
    <w:rPr>
      <w:rFonts w:ascii="Times New Roman" w:eastAsia="Arial Unicode MS" w:hAnsi="Times New Roman" w:cs="Times New Roman"/>
      <w:b/>
      <w:bCs/>
      <w:sz w:val="20"/>
      <w:szCs w:val="20"/>
      <w:bdr w:val="nil"/>
      <w:lang w:val="es-ES"/>
    </w:rPr>
  </w:style>
  <w:style w:type="paragraph" w:styleId="Revision">
    <w:name w:val="Revision"/>
    <w:hidden/>
    <w:uiPriority w:val="99"/>
    <w:semiHidden/>
    <w:rsid w:val="00A95AE5"/>
    <w:pPr>
      <w:spacing w:after="0" w:line="240" w:lineRule="auto"/>
    </w:pPr>
    <w:rPr>
      <w:rFonts w:ascii="Times New Roman" w:eastAsia="Arial Unicode MS" w:hAnsi="Times New Roman" w:cs="Times New Roman"/>
      <w:sz w:val="24"/>
      <w:szCs w:val="24"/>
      <w:bdr w:val="nil"/>
      <w:lang w:val="es-ES"/>
    </w:rPr>
  </w:style>
  <w:style w:type="paragraph" w:styleId="NoSpacing">
    <w:name w:val="No Spacing"/>
    <w:uiPriority w:val="1"/>
    <w:qFormat/>
    <w:rsid w:val="00F4327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s-ES"/>
    </w:rPr>
  </w:style>
  <w:style w:type="character" w:customStyle="1" w:styleId="Heading2Char">
    <w:name w:val="Heading 2 Char"/>
    <w:basedOn w:val="DefaultParagraphFont"/>
    <w:link w:val="Heading2"/>
    <w:uiPriority w:val="9"/>
    <w:rsid w:val="003448BE"/>
    <w:rPr>
      <w:rFonts w:ascii="Cambria" w:eastAsia="Cambria" w:hAnsi="Cambria" w:cs="Cambria"/>
      <w:b/>
      <w:color w:val="000000"/>
      <w:sz w:val="20"/>
      <w:szCs w:val="20"/>
      <w:u w:color="000000"/>
      <w:bdr w:val="nil"/>
      <w:lang w:val="es-ES_tradnl" w:eastAsia="es-ES"/>
    </w:rPr>
  </w:style>
  <w:style w:type="character" w:customStyle="1" w:styleId="UnresolvedMention1">
    <w:name w:val="Unresolved Mention1"/>
    <w:basedOn w:val="DefaultParagraphFont"/>
    <w:uiPriority w:val="99"/>
    <w:semiHidden/>
    <w:unhideWhenUsed/>
    <w:rsid w:val="00D93C68"/>
    <w:rPr>
      <w:color w:val="605E5C"/>
      <w:shd w:val="clear" w:color="auto" w:fill="E1DFDD"/>
    </w:rPr>
  </w:style>
  <w:style w:type="character" w:customStyle="1" w:styleId="Heading3Char">
    <w:name w:val="Heading 3 Char"/>
    <w:basedOn w:val="DefaultParagraphFont"/>
    <w:link w:val="Heading3"/>
    <w:uiPriority w:val="9"/>
    <w:rsid w:val="00D72067"/>
    <w:rPr>
      <w:rFonts w:asciiTheme="majorHAnsi" w:eastAsiaTheme="majorEastAsia" w:hAnsiTheme="majorHAnsi" w:cstheme="majorBidi"/>
      <w:color w:val="1F4D78" w:themeColor="accent1" w:themeShade="7F"/>
      <w:sz w:val="24"/>
      <w:szCs w:val="24"/>
      <w:bdr w:val="nil"/>
      <w:lang w:val="es-ES"/>
    </w:r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
    <w:link w:val="ListParagraph"/>
    <w:uiPriority w:val="34"/>
    <w:locked/>
    <w:rsid w:val="00D72067"/>
    <w:rPr>
      <w:rFonts w:ascii="Cambria" w:eastAsia="Cambria" w:hAnsi="Cambria" w:cs="Cambria"/>
      <w:color w:val="000000"/>
      <w:sz w:val="24"/>
      <w:szCs w:val="24"/>
      <w:u w:color="000000"/>
      <w:bdr w:val="nil"/>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D72067"/>
    <w:pPr>
      <w:spacing w:after="160" w:line="240" w:lineRule="exact"/>
    </w:pPr>
    <w:rPr>
      <w:rFonts w:asciiTheme="minorHAnsi" w:eastAsiaTheme="minorHAnsi" w:hAnsiTheme="minorHAnsi" w:cstheme="minorBidi"/>
      <w:sz w:val="22"/>
      <w:szCs w:val="22"/>
      <w:vertAlign w:val="superscript"/>
    </w:rPr>
  </w:style>
  <w:style w:type="paragraph" w:styleId="NormalWeb">
    <w:name w:val="Normal (Web)"/>
    <w:basedOn w:val="Normal"/>
    <w:uiPriority w:val="99"/>
    <w:unhideWhenUsed/>
    <w:rsid w:val="00D72067"/>
    <w:pPr>
      <w:spacing w:before="100" w:beforeAutospacing="1" w:after="100" w:afterAutospacing="1"/>
    </w:pPr>
  </w:style>
  <w:style w:type="character" w:styleId="Strong">
    <w:name w:val="Strong"/>
    <w:uiPriority w:val="22"/>
    <w:qFormat/>
    <w:rsid w:val="00D72067"/>
    <w:rPr>
      <w:b/>
      <w:bCs/>
    </w:rPr>
  </w:style>
  <w:style w:type="paragraph" w:styleId="EndnoteText">
    <w:name w:val="endnote text"/>
    <w:basedOn w:val="Normal"/>
    <w:link w:val="EndnoteTextChar"/>
    <w:uiPriority w:val="99"/>
    <w:semiHidden/>
    <w:unhideWhenUsed/>
    <w:rsid w:val="00326700"/>
    <w:rPr>
      <w:sz w:val="20"/>
      <w:szCs w:val="20"/>
    </w:rPr>
  </w:style>
  <w:style w:type="character" w:customStyle="1" w:styleId="EndnoteTextChar">
    <w:name w:val="Endnote Text Char"/>
    <w:basedOn w:val="DefaultParagraphFont"/>
    <w:link w:val="EndnoteText"/>
    <w:uiPriority w:val="99"/>
    <w:semiHidden/>
    <w:rsid w:val="00326700"/>
    <w:rPr>
      <w:rFonts w:ascii="Times New Roman" w:eastAsia="Arial Unicode MS" w:hAnsi="Times New Roman" w:cs="Times New Roman"/>
      <w:sz w:val="20"/>
      <w:szCs w:val="20"/>
      <w:bdr w:val="nil"/>
      <w:lang w:val="es-ES"/>
    </w:rPr>
  </w:style>
  <w:style w:type="character" w:styleId="EndnoteReference">
    <w:name w:val="endnote reference"/>
    <w:basedOn w:val="DefaultParagraphFont"/>
    <w:uiPriority w:val="99"/>
    <w:semiHidden/>
    <w:unhideWhenUsed/>
    <w:rsid w:val="00326700"/>
    <w:rPr>
      <w:vertAlign w:val="superscript"/>
    </w:rPr>
  </w:style>
  <w:style w:type="paragraph" w:customStyle="1" w:styleId="Default">
    <w:name w:val="Default"/>
    <w:rsid w:val="00315D0A"/>
    <w:pPr>
      <w:autoSpaceDE w:val="0"/>
      <w:autoSpaceDN w:val="0"/>
      <w:adjustRightInd w:val="0"/>
      <w:spacing w:after="0" w:line="240" w:lineRule="auto"/>
    </w:pPr>
    <w:rPr>
      <w:rFonts w:ascii="Cambria" w:hAnsi="Cambria" w:cs="Cambria"/>
      <w:color w:val="000000"/>
      <w:sz w:val="24"/>
      <w:szCs w:val="24"/>
      <w:lang w:val="es-AR"/>
    </w:rPr>
  </w:style>
  <w:style w:type="character" w:customStyle="1" w:styleId="cf01">
    <w:name w:val="cf01"/>
    <w:basedOn w:val="DefaultParagraphFont"/>
    <w:rsid w:val="0046163F"/>
    <w:rPr>
      <w:rFonts w:ascii="Segoe UI" w:hAnsi="Segoe UI" w:cs="Segoe UI" w:hint="default"/>
      <w:sz w:val="18"/>
      <w:szCs w:val="18"/>
    </w:rPr>
  </w:style>
  <w:style w:type="numbering" w:customStyle="1" w:styleId="List1">
    <w:name w:val="List 1"/>
    <w:basedOn w:val="NoList"/>
    <w:rsid w:val="00333F3D"/>
    <w:pPr>
      <w:numPr>
        <w:numId w:val="42"/>
      </w:numPr>
    </w:pPr>
  </w:style>
  <w:style w:type="paragraph" w:customStyle="1" w:styleId="parrafos">
    <w:name w:val="parrafos"/>
    <w:basedOn w:val="Normal"/>
    <w:link w:val="parrafosChar"/>
    <w:qFormat/>
    <w:rsid w:val="00333F3D"/>
    <w:pPr>
      <w:tabs>
        <w:tab w:val="left" w:pos="360"/>
      </w:tabs>
      <w:jc w:val="both"/>
    </w:pPr>
    <w:rPr>
      <w:rFonts w:ascii="Cambria" w:hAnsi="Cambria"/>
      <w:color w:val="000000"/>
      <w:sz w:val="20"/>
      <w:szCs w:val="20"/>
      <w:lang w:val="es-VE" w:eastAsia="es-MX"/>
    </w:rPr>
  </w:style>
  <w:style w:type="character" w:customStyle="1" w:styleId="parrafosChar">
    <w:name w:val="parrafos Char"/>
    <w:link w:val="parrafos"/>
    <w:rsid w:val="00333F3D"/>
    <w:rPr>
      <w:rFonts w:ascii="Cambria" w:eastAsia="Times New Roman" w:hAnsi="Cambria" w:cs="Times New Roman"/>
      <w:color w:val="000000"/>
      <w:sz w:val="20"/>
      <w:szCs w:val="20"/>
      <w:lang w:val="es-V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4089">
      <w:bodyDiv w:val="1"/>
      <w:marLeft w:val="0"/>
      <w:marRight w:val="0"/>
      <w:marTop w:val="0"/>
      <w:marBottom w:val="0"/>
      <w:divBdr>
        <w:top w:val="none" w:sz="0" w:space="0" w:color="auto"/>
        <w:left w:val="none" w:sz="0" w:space="0" w:color="auto"/>
        <w:bottom w:val="none" w:sz="0" w:space="0" w:color="auto"/>
        <w:right w:val="none" w:sz="0" w:space="0" w:color="auto"/>
      </w:divBdr>
    </w:div>
    <w:div w:id="58331107">
      <w:bodyDiv w:val="1"/>
      <w:marLeft w:val="0"/>
      <w:marRight w:val="0"/>
      <w:marTop w:val="0"/>
      <w:marBottom w:val="0"/>
      <w:divBdr>
        <w:top w:val="none" w:sz="0" w:space="0" w:color="auto"/>
        <w:left w:val="none" w:sz="0" w:space="0" w:color="auto"/>
        <w:bottom w:val="none" w:sz="0" w:space="0" w:color="auto"/>
        <w:right w:val="none" w:sz="0" w:space="0" w:color="auto"/>
      </w:divBdr>
    </w:div>
    <w:div w:id="87970463">
      <w:bodyDiv w:val="1"/>
      <w:marLeft w:val="0"/>
      <w:marRight w:val="0"/>
      <w:marTop w:val="0"/>
      <w:marBottom w:val="0"/>
      <w:divBdr>
        <w:top w:val="none" w:sz="0" w:space="0" w:color="auto"/>
        <w:left w:val="none" w:sz="0" w:space="0" w:color="auto"/>
        <w:bottom w:val="none" w:sz="0" w:space="0" w:color="auto"/>
        <w:right w:val="none" w:sz="0" w:space="0" w:color="auto"/>
      </w:divBdr>
    </w:div>
    <w:div w:id="154615787">
      <w:bodyDiv w:val="1"/>
      <w:marLeft w:val="0"/>
      <w:marRight w:val="0"/>
      <w:marTop w:val="0"/>
      <w:marBottom w:val="0"/>
      <w:divBdr>
        <w:top w:val="none" w:sz="0" w:space="0" w:color="auto"/>
        <w:left w:val="none" w:sz="0" w:space="0" w:color="auto"/>
        <w:bottom w:val="none" w:sz="0" w:space="0" w:color="auto"/>
        <w:right w:val="none" w:sz="0" w:space="0" w:color="auto"/>
      </w:divBdr>
    </w:div>
    <w:div w:id="180896093">
      <w:bodyDiv w:val="1"/>
      <w:marLeft w:val="0"/>
      <w:marRight w:val="0"/>
      <w:marTop w:val="0"/>
      <w:marBottom w:val="0"/>
      <w:divBdr>
        <w:top w:val="none" w:sz="0" w:space="0" w:color="auto"/>
        <w:left w:val="none" w:sz="0" w:space="0" w:color="auto"/>
        <w:bottom w:val="none" w:sz="0" w:space="0" w:color="auto"/>
        <w:right w:val="none" w:sz="0" w:space="0" w:color="auto"/>
      </w:divBdr>
      <w:divsChild>
        <w:div w:id="1848788630">
          <w:marLeft w:val="0"/>
          <w:marRight w:val="0"/>
          <w:marTop w:val="0"/>
          <w:marBottom w:val="0"/>
          <w:divBdr>
            <w:top w:val="none" w:sz="0" w:space="0" w:color="auto"/>
            <w:left w:val="none" w:sz="0" w:space="0" w:color="auto"/>
            <w:bottom w:val="none" w:sz="0" w:space="0" w:color="auto"/>
            <w:right w:val="none" w:sz="0" w:space="0" w:color="auto"/>
          </w:divBdr>
          <w:divsChild>
            <w:div w:id="673343291">
              <w:marLeft w:val="0"/>
              <w:marRight w:val="0"/>
              <w:marTop w:val="0"/>
              <w:marBottom w:val="0"/>
              <w:divBdr>
                <w:top w:val="none" w:sz="0" w:space="0" w:color="auto"/>
                <w:left w:val="none" w:sz="0" w:space="0" w:color="auto"/>
                <w:bottom w:val="none" w:sz="0" w:space="0" w:color="auto"/>
                <w:right w:val="none" w:sz="0" w:space="0" w:color="auto"/>
              </w:divBdr>
              <w:divsChild>
                <w:div w:id="8841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938">
      <w:bodyDiv w:val="1"/>
      <w:marLeft w:val="0"/>
      <w:marRight w:val="0"/>
      <w:marTop w:val="0"/>
      <w:marBottom w:val="0"/>
      <w:divBdr>
        <w:top w:val="none" w:sz="0" w:space="0" w:color="auto"/>
        <w:left w:val="none" w:sz="0" w:space="0" w:color="auto"/>
        <w:bottom w:val="none" w:sz="0" w:space="0" w:color="auto"/>
        <w:right w:val="none" w:sz="0" w:space="0" w:color="auto"/>
      </w:divBdr>
    </w:div>
    <w:div w:id="238756606">
      <w:bodyDiv w:val="1"/>
      <w:marLeft w:val="0"/>
      <w:marRight w:val="0"/>
      <w:marTop w:val="0"/>
      <w:marBottom w:val="0"/>
      <w:divBdr>
        <w:top w:val="none" w:sz="0" w:space="0" w:color="auto"/>
        <w:left w:val="none" w:sz="0" w:space="0" w:color="auto"/>
        <w:bottom w:val="none" w:sz="0" w:space="0" w:color="auto"/>
        <w:right w:val="none" w:sz="0" w:space="0" w:color="auto"/>
      </w:divBdr>
    </w:div>
    <w:div w:id="311569269">
      <w:bodyDiv w:val="1"/>
      <w:marLeft w:val="0"/>
      <w:marRight w:val="0"/>
      <w:marTop w:val="0"/>
      <w:marBottom w:val="0"/>
      <w:divBdr>
        <w:top w:val="none" w:sz="0" w:space="0" w:color="auto"/>
        <w:left w:val="none" w:sz="0" w:space="0" w:color="auto"/>
        <w:bottom w:val="none" w:sz="0" w:space="0" w:color="auto"/>
        <w:right w:val="none" w:sz="0" w:space="0" w:color="auto"/>
      </w:divBdr>
    </w:div>
    <w:div w:id="333186203">
      <w:bodyDiv w:val="1"/>
      <w:marLeft w:val="0"/>
      <w:marRight w:val="0"/>
      <w:marTop w:val="0"/>
      <w:marBottom w:val="0"/>
      <w:divBdr>
        <w:top w:val="none" w:sz="0" w:space="0" w:color="auto"/>
        <w:left w:val="none" w:sz="0" w:space="0" w:color="auto"/>
        <w:bottom w:val="none" w:sz="0" w:space="0" w:color="auto"/>
        <w:right w:val="none" w:sz="0" w:space="0" w:color="auto"/>
      </w:divBdr>
    </w:div>
    <w:div w:id="368074310">
      <w:bodyDiv w:val="1"/>
      <w:marLeft w:val="0"/>
      <w:marRight w:val="0"/>
      <w:marTop w:val="0"/>
      <w:marBottom w:val="0"/>
      <w:divBdr>
        <w:top w:val="none" w:sz="0" w:space="0" w:color="auto"/>
        <w:left w:val="none" w:sz="0" w:space="0" w:color="auto"/>
        <w:bottom w:val="none" w:sz="0" w:space="0" w:color="auto"/>
        <w:right w:val="none" w:sz="0" w:space="0" w:color="auto"/>
      </w:divBdr>
    </w:div>
    <w:div w:id="375088073">
      <w:bodyDiv w:val="1"/>
      <w:marLeft w:val="0"/>
      <w:marRight w:val="0"/>
      <w:marTop w:val="0"/>
      <w:marBottom w:val="0"/>
      <w:divBdr>
        <w:top w:val="none" w:sz="0" w:space="0" w:color="auto"/>
        <w:left w:val="none" w:sz="0" w:space="0" w:color="auto"/>
        <w:bottom w:val="none" w:sz="0" w:space="0" w:color="auto"/>
        <w:right w:val="none" w:sz="0" w:space="0" w:color="auto"/>
      </w:divBdr>
    </w:div>
    <w:div w:id="732656008">
      <w:bodyDiv w:val="1"/>
      <w:marLeft w:val="0"/>
      <w:marRight w:val="0"/>
      <w:marTop w:val="0"/>
      <w:marBottom w:val="0"/>
      <w:divBdr>
        <w:top w:val="none" w:sz="0" w:space="0" w:color="auto"/>
        <w:left w:val="none" w:sz="0" w:space="0" w:color="auto"/>
        <w:bottom w:val="none" w:sz="0" w:space="0" w:color="auto"/>
        <w:right w:val="none" w:sz="0" w:space="0" w:color="auto"/>
      </w:divBdr>
    </w:div>
    <w:div w:id="751656490">
      <w:bodyDiv w:val="1"/>
      <w:marLeft w:val="0"/>
      <w:marRight w:val="0"/>
      <w:marTop w:val="0"/>
      <w:marBottom w:val="0"/>
      <w:divBdr>
        <w:top w:val="none" w:sz="0" w:space="0" w:color="auto"/>
        <w:left w:val="none" w:sz="0" w:space="0" w:color="auto"/>
        <w:bottom w:val="none" w:sz="0" w:space="0" w:color="auto"/>
        <w:right w:val="none" w:sz="0" w:space="0" w:color="auto"/>
      </w:divBdr>
    </w:div>
    <w:div w:id="805316979">
      <w:bodyDiv w:val="1"/>
      <w:marLeft w:val="0"/>
      <w:marRight w:val="0"/>
      <w:marTop w:val="0"/>
      <w:marBottom w:val="0"/>
      <w:divBdr>
        <w:top w:val="none" w:sz="0" w:space="0" w:color="auto"/>
        <w:left w:val="none" w:sz="0" w:space="0" w:color="auto"/>
        <w:bottom w:val="none" w:sz="0" w:space="0" w:color="auto"/>
        <w:right w:val="none" w:sz="0" w:space="0" w:color="auto"/>
      </w:divBdr>
    </w:div>
    <w:div w:id="814879497">
      <w:bodyDiv w:val="1"/>
      <w:marLeft w:val="0"/>
      <w:marRight w:val="0"/>
      <w:marTop w:val="0"/>
      <w:marBottom w:val="0"/>
      <w:divBdr>
        <w:top w:val="none" w:sz="0" w:space="0" w:color="auto"/>
        <w:left w:val="none" w:sz="0" w:space="0" w:color="auto"/>
        <w:bottom w:val="none" w:sz="0" w:space="0" w:color="auto"/>
        <w:right w:val="none" w:sz="0" w:space="0" w:color="auto"/>
      </w:divBdr>
    </w:div>
    <w:div w:id="823280798">
      <w:bodyDiv w:val="1"/>
      <w:marLeft w:val="0"/>
      <w:marRight w:val="0"/>
      <w:marTop w:val="0"/>
      <w:marBottom w:val="0"/>
      <w:divBdr>
        <w:top w:val="none" w:sz="0" w:space="0" w:color="auto"/>
        <w:left w:val="none" w:sz="0" w:space="0" w:color="auto"/>
        <w:bottom w:val="none" w:sz="0" w:space="0" w:color="auto"/>
        <w:right w:val="none" w:sz="0" w:space="0" w:color="auto"/>
      </w:divBdr>
    </w:div>
    <w:div w:id="839731173">
      <w:bodyDiv w:val="1"/>
      <w:marLeft w:val="0"/>
      <w:marRight w:val="0"/>
      <w:marTop w:val="0"/>
      <w:marBottom w:val="0"/>
      <w:divBdr>
        <w:top w:val="none" w:sz="0" w:space="0" w:color="auto"/>
        <w:left w:val="none" w:sz="0" w:space="0" w:color="auto"/>
        <w:bottom w:val="none" w:sz="0" w:space="0" w:color="auto"/>
        <w:right w:val="none" w:sz="0" w:space="0" w:color="auto"/>
      </w:divBdr>
      <w:divsChild>
        <w:div w:id="1148203446">
          <w:marLeft w:val="0"/>
          <w:marRight w:val="0"/>
          <w:marTop w:val="0"/>
          <w:marBottom w:val="0"/>
          <w:divBdr>
            <w:top w:val="none" w:sz="0" w:space="0" w:color="auto"/>
            <w:left w:val="none" w:sz="0" w:space="0" w:color="auto"/>
            <w:bottom w:val="none" w:sz="0" w:space="0" w:color="auto"/>
            <w:right w:val="none" w:sz="0" w:space="0" w:color="auto"/>
          </w:divBdr>
          <w:divsChild>
            <w:div w:id="597375008">
              <w:marLeft w:val="0"/>
              <w:marRight w:val="0"/>
              <w:marTop w:val="0"/>
              <w:marBottom w:val="0"/>
              <w:divBdr>
                <w:top w:val="none" w:sz="0" w:space="0" w:color="auto"/>
                <w:left w:val="none" w:sz="0" w:space="0" w:color="auto"/>
                <w:bottom w:val="none" w:sz="0" w:space="0" w:color="auto"/>
                <w:right w:val="none" w:sz="0" w:space="0" w:color="auto"/>
              </w:divBdr>
              <w:divsChild>
                <w:div w:id="10631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1185">
      <w:bodyDiv w:val="1"/>
      <w:marLeft w:val="0"/>
      <w:marRight w:val="0"/>
      <w:marTop w:val="0"/>
      <w:marBottom w:val="0"/>
      <w:divBdr>
        <w:top w:val="none" w:sz="0" w:space="0" w:color="auto"/>
        <w:left w:val="none" w:sz="0" w:space="0" w:color="auto"/>
        <w:bottom w:val="none" w:sz="0" w:space="0" w:color="auto"/>
        <w:right w:val="none" w:sz="0" w:space="0" w:color="auto"/>
      </w:divBdr>
    </w:div>
    <w:div w:id="851260790">
      <w:bodyDiv w:val="1"/>
      <w:marLeft w:val="0"/>
      <w:marRight w:val="0"/>
      <w:marTop w:val="0"/>
      <w:marBottom w:val="0"/>
      <w:divBdr>
        <w:top w:val="none" w:sz="0" w:space="0" w:color="auto"/>
        <w:left w:val="none" w:sz="0" w:space="0" w:color="auto"/>
        <w:bottom w:val="none" w:sz="0" w:space="0" w:color="auto"/>
        <w:right w:val="none" w:sz="0" w:space="0" w:color="auto"/>
      </w:divBdr>
    </w:div>
    <w:div w:id="869225095">
      <w:bodyDiv w:val="1"/>
      <w:marLeft w:val="0"/>
      <w:marRight w:val="0"/>
      <w:marTop w:val="0"/>
      <w:marBottom w:val="0"/>
      <w:divBdr>
        <w:top w:val="none" w:sz="0" w:space="0" w:color="auto"/>
        <w:left w:val="none" w:sz="0" w:space="0" w:color="auto"/>
        <w:bottom w:val="none" w:sz="0" w:space="0" w:color="auto"/>
        <w:right w:val="none" w:sz="0" w:space="0" w:color="auto"/>
      </w:divBdr>
    </w:div>
    <w:div w:id="904072687">
      <w:bodyDiv w:val="1"/>
      <w:marLeft w:val="0"/>
      <w:marRight w:val="0"/>
      <w:marTop w:val="0"/>
      <w:marBottom w:val="0"/>
      <w:divBdr>
        <w:top w:val="none" w:sz="0" w:space="0" w:color="auto"/>
        <w:left w:val="none" w:sz="0" w:space="0" w:color="auto"/>
        <w:bottom w:val="none" w:sz="0" w:space="0" w:color="auto"/>
        <w:right w:val="none" w:sz="0" w:space="0" w:color="auto"/>
      </w:divBdr>
    </w:div>
    <w:div w:id="998771045">
      <w:bodyDiv w:val="1"/>
      <w:marLeft w:val="0"/>
      <w:marRight w:val="0"/>
      <w:marTop w:val="0"/>
      <w:marBottom w:val="0"/>
      <w:divBdr>
        <w:top w:val="none" w:sz="0" w:space="0" w:color="auto"/>
        <w:left w:val="none" w:sz="0" w:space="0" w:color="auto"/>
        <w:bottom w:val="none" w:sz="0" w:space="0" w:color="auto"/>
        <w:right w:val="none" w:sz="0" w:space="0" w:color="auto"/>
      </w:divBdr>
      <w:divsChild>
        <w:div w:id="1694763871">
          <w:marLeft w:val="0"/>
          <w:marRight w:val="0"/>
          <w:marTop w:val="0"/>
          <w:marBottom w:val="0"/>
          <w:divBdr>
            <w:top w:val="none" w:sz="0" w:space="0" w:color="auto"/>
            <w:left w:val="none" w:sz="0" w:space="0" w:color="auto"/>
            <w:bottom w:val="none" w:sz="0" w:space="0" w:color="auto"/>
            <w:right w:val="none" w:sz="0" w:space="0" w:color="auto"/>
          </w:divBdr>
          <w:divsChild>
            <w:div w:id="1979725903">
              <w:marLeft w:val="0"/>
              <w:marRight w:val="0"/>
              <w:marTop w:val="0"/>
              <w:marBottom w:val="0"/>
              <w:divBdr>
                <w:top w:val="none" w:sz="0" w:space="0" w:color="auto"/>
                <w:left w:val="none" w:sz="0" w:space="0" w:color="auto"/>
                <w:bottom w:val="none" w:sz="0" w:space="0" w:color="auto"/>
                <w:right w:val="none" w:sz="0" w:space="0" w:color="auto"/>
              </w:divBdr>
              <w:divsChild>
                <w:div w:id="1763408471">
                  <w:marLeft w:val="0"/>
                  <w:marRight w:val="0"/>
                  <w:marTop w:val="0"/>
                  <w:marBottom w:val="0"/>
                  <w:divBdr>
                    <w:top w:val="none" w:sz="0" w:space="0" w:color="auto"/>
                    <w:left w:val="none" w:sz="0" w:space="0" w:color="auto"/>
                    <w:bottom w:val="none" w:sz="0" w:space="0" w:color="auto"/>
                    <w:right w:val="none" w:sz="0" w:space="0" w:color="auto"/>
                  </w:divBdr>
                </w:div>
              </w:divsChild>
            </w:div>
            <w:div w:id="1109159149">
              <w:marLeft w:val="0"/>
              <w:marRight w:val="0"/>
              <w:marTop w:val="0"/>
              <w:marBottom w:val="0"/>
              <w:divBdr>
                <w:top w:val="none" w:sz="0" w:space="0" w:color="auto"/>
                <w:left w:val="none" w:sz="0" w:space="0" w:color="auto"/>
                <w:bottom w:val="none" w:sz="0" w:space="0" w:color="auto"/>
                <w:right w:val="none" w:sz="0" w:space="0" w:color="auto"/>
              </w:divBdr>
              <w:divsChild>
                <w:div w:id="9054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2126">
      <w:bodyDiv w:val="1"/>
      <w:marLeft w:val="0"/>
      <w:marRight w:val="0"/>
      <w:marTop w:val="0"/>
      <w:marBottom w:val="0"/>
      <w:divBdr>
        <w:top w:val="none" w:sz="0" w:space="0" w:color="auto"/>
        <w:left w:val="none" w:sz="0" w:space="0" w:color="auto"/>
        <w:bottom w:val="none" w:sz="0" w:space="0" w:color="auto"/>
        <w:right w:val="none" w:sz="0" w:space="0" w:color="auto"/>
      </w:divBdr>
    </w:div>
    <w:div w:id="1128158825">
      <w:bodyDiv w:val="1"/>
      <w:marLeft w:val="0"/>
      <w:marRight w:val="0"/>
      <w:marTop w:val="0"/>
      <w:marBottom w:val="0"/>
      <w:divBdr>
        <w:top w:val="none" w:sz="0" w:space="0" w:color="auto"/>
        <w:left w:val="none" w:sz="0" w:space="0" w:color="auto"/>
        <w:bottom w:val="none" w:sz="0" w:space="0" w:color="auto"/>
        <w:right w:val="none" w:sz="0" w:space="0" w:color="auto"/>
      </w:divBdr>
    </w:div>
    <w:div w:id="1176266309">
      <w:bodyDiv w:val="1"/>
      <w:marLeft w:val="0"/>
      <w:marRight w:val="0"/>
      <w:marTop w:val="0"/>
      <w:marBottom w:val="0"/>
      <w:divBdr>
        <w:top w:val="none" w:sz="0" w:space="0" w:color="auto"/>
        <w:left w:val="none" w:sz="0" w:space="0" w:color="auto"/>
        <w:bottom w:val="none" w:sz="0" w:space="0" w:color="auto"/>
        <w:right w:val="none" w:sz="0" w:space="0" w:color="auto"/>
      </w:divBdr>
    </w:div>
    <w:div w:id="1205211188">
      <w:bodyDiv w:val="1"/>
      <w:marLeft w:val="0"/>
      <w:marRight w:val="0"/>
      <w:marTop w:val="0"/>
      <w:marBottom w:val="0"/>
      <w:divBdr>
        <w:top w:val="none" w:sz="0" w:space="0" w:color="auto"/>
        <w:left w:val="none" w:sz="0" w:space="0" w:color="auto"/>
        <w:bottom w:val="none" w:sz="0" w:space="0" w:color="auto"/>
        <w:right w:val="none" w:sz="0" w:space="0" w:color="auto"/>
      </w:divBdr>
    </w:div>
    <w:div w:id="1227572653">
      <w:bodyDiv w:val="1"/>
      <w:marLeft w:val="0"/>
      <w:marRight w:val="0"/>
      <w:marTop w:val="0"/>
      <w:marBottom w:val="0"/>
      <w:divBdr>
        <w:top w:val="none" w:sz="0" w:space="0" w:color="auto"/>
        <w:left w:val="none" w:sz="0" w:space="0" w:color="auto"/>
        <w:bottom w:val="none" w:sz="0" w:space="0" w:color="auto"/>
        <w:right w:val="none" w:sz="0" w:space="0" w:color="auto"/>
      </w:divBdr>
    </w:div>
    <w:div w:id="1233663559">
      <w:bodyDiv w:val="1"/>
      <w:marLeft w:val="0"/>
      <w:marRight w:val="0"/>
      <w:marTop w:val="0"/>
      <w:marBottom w:val="0"/>
      <w:divBdr>
        <w:top w:val="none" w:sz="0" w:space="0" w:color="auto"/>
        <w:left w:val="none" w:sz="0" w:space="0" w:color="auto"/>
        <w:bottom w:val="none" w:sz="0" w:space="0" w:color="auto"/>
        <w:right w:val="none" w:sz="0" w:space="0" w:color="auto"/>
      </w:divBdr>
    </w:div>
    <w:div w:id="1295528914">
      <w:bodyDiv w:val="1"/>
      <w:marLeft w:val="0"/>
      <w:marRight w:val="0"/>
      <w:marTop w:val="0"/>
      <w:marBottom w:val="0"/>
      <w:divBdr>
        <w:top w:val="none" w:sz="0" w:space="0" w:color="auto"/>
        <w:left w:val="none" w:sz="0" w:space="0" w:color="auto"/>
        <w:bottom w:val="none" w:sz="0" w:space="0" w:color="auto"/>
        <w:right w:val="none" w:sz="0" w:space="0" w:color="auto"/>
      </w:divBdr>
    </w:div>
    <w:div w:id="1334720031">
      <w:bodyDiv w:val="1"/>
      <w:marLeft w:val="0"/>
      <w:marRight w:val="0"/>
      <w:marTop w:val="0"/>
      <w:marBottom w:val="0"/>
      <w:divBdr>
        <w:top w:val="none" w:sz="0" w:space="0" w:color="auto"/>
        <w:left w:val="none" w:sz="0" w:space="0" w:color="auto"/>
        <w:bottom w:val="none" w:sz="0" w:space="0" w:color="auto"/>
        <w:right w:val="none" w:sz="0" w:space="0" w:color="auto"/>
      </w:divBdr>
    </w:div>
    <w:div w:id="1361661535">
      <w:bodyDiv w:val="1"/>
      <w:marLeft w:val="0"/>
      <w:marRight w:val="0"/>
      <w:marTop w:val="0"/>
      <w:marBottom w:val="0"/>
      <w:divBdr>
        <w:top w:val="none" w:sz="0" w:space="0" w:color="auto"/>
        <w:left w:val="none" w:sz="0" w:space="0" w:color="auto"/>
        <w:bottom w:val="none" w:sz="0" w:space="0" w:color="auto"/>
        <w:right w:val="none" w:sz="0" w:space="0" w:color="auto"/>
      </w:divBdr>
    </w:div>
    <w:div w:id="1369069771">
      <w:bodyDiv w:val="1"/>
      <w:marLeft w:val="0"/>
      <w:marRight w:val="0"/>
      <w:marTop w:val="0"/>
      <w:marBottom w:val="0"/>
      <w:divBdr>
        <w:top w:val="none" w:sz="0" w:space="0" w:color="auto"/>
        <w:left w:val="none" w:sz="0" w:space="0" w:color="auto"/>
        <w:bottom w:val="none" w:sz="0" w:space="0" w:color="auto"/>
        <w:right w:val="none" w:sz="0" w:space="0" w:color="auto"/>
      </w:divBdr>
    </w:div>
    <w:div w:id="1382171608">
      <w:bodyDiv w:val="1"/>
      <w:marLeft w:val="0"/>
      <w:marRight w:val="0"/>
      <w:marTop w:val="0"/>
      <w:marBottom w:val="0"/>
      <w:divBdr>
        <w:top w:val="none" w:sz="0" w:space="0" w:color="auto"/>
        <w:left w:val="none" w:sz="0" w:space="0" w:color="auto"/>
        <w:bottom w:val="none" w:sz="0" w:space="0" w:color="auto"/>
        <w:right w:val="none" w:sz="0" w:space="0" w:color="auto"/>
      </w:divBdr>
    </w:div>
    <w:div w:id="1390492277">
      <w:bodyDiv w:val="1"/>
      <w:marLeft w:val="0"/>
      <w:marRight w:val="0"/>
      <w:marTop w:val="0"/>
      <w:marBottom w:val="0"/>
      <w:divBdr>
        <w:top w:val="none" w:sz="0" w:space="0" w:color="auto"/>
        <w:left w:val="none" w:sz="0" w:space="0" w:color="auto"/>
        <w:bottom w:val="none" w:sz="0" w:space="0" w:color="auto"/>
        <w:right w:val="none" w:sz="0" w:space="0" w:color="auto"/>
      </w:divBdr>
    </w:div>
    <w:div w:id="1419399109">
      <w:bodyDiv w:val="1"/>
      <w:marLeft w:val="0"/>
      <w:marRight w:val="0"/>
      <w:marTop w:val="0"/>
      <w:marBottom w:val="0"/>
      <w:divBdr>
        <w:top w:val="none" w:sz="0" w:space="0" w:color="auto"/>
        <w:left w:val="none" w:sz="0" w:space="0" w:color="auto"/>
        <w:bottom w:val="none" w:sz="0" w:space="0" w:color="auto"/>
        <w:right w:val="none" w:sz="0" w:space="0" w:color="auto"/>
      </w:divBdr>
      <w:divsChild>
        <w:div w:id="1993951152">
          <w:marLeft w:val="0"/>
          <w:marRight w:val="0"/>
          <w:marTop w:val="0"/>
          <w:marBottom w:val="0"/>
          <w:divBdr>
            <w:top w:val="none" w:sz="0" w:space="0" w:color="auto"/>
            <w:left w:val="none" w:sz="0" w:space="0" w:color="auto"/>
            <w:bottom w:val="none" w:sz="0" w:space="0" w:color="auto"/>
            <w:right w:val="none" w:sz="0" w:space="0" w:color="auto"/>
          </w:divBdr>
          <w:divsChild>
            <w:div w:id="915282545">
              <w:marLeft w:val="0"/>
              <w:marRight w:val="0"/>
              <w:marTop w:val="0"/>
              <w:marBottom w:val="0"/>
              <w:divBdr>
                <w:top w:val="none" w:sz="0" w:space="0" w:color="auto"/>
                <w:left w:val="none" w:sz="0" w:space="0" w:color="auto"/>
                <w:bottom w:val="none" w:sz="0" w:space="0" w:color="auto"/>
                <w:right w:val="none" w:sz="0" w:space="0" w:color="auto"/>
              </w:divBdr>
              <w:divsChild>
                <w:div w:id="9954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25710">
      <w:bodyDiv w:val="1"/>
      <w:marLeft w:val="0"/>
      <w:marRight w:val="0"/>
      <w:marTop w:val="0"/>
      <w:marBottom w:val="0"/>
      <w:divBdr>
        <w:top w:val="none" w:sz="0" w:space="0" w:color="auto"/>
        <w:left w:val="none" w:sz="0" w:space="0" w:color="auto"/>
        <w:bottom w:val="none" w:sz="0" w:space="0" w:color="auto"/>
        <w:right w:val="none" w:sz="0" w:space="0" w:color="auto"/>
      </w:divBdr>
      <w:divsChild>
        <w:div w:id="38674063">
          <w:marLeft w:val="0"/>
          <w:marRight w:val="0"/>
          <w:marTop w:val="0"/>
          <w:marBottom w:val="0"/>
          <w:divBdr>
            <w:top w:val="none" w:sz="0" w:space="0" w:color="auto"/>
            <w:left w:val="none" w:sz="0" w:space="0" w:color="auto"/>
            <w:bottom w:val="none" w:sz="0" w:space="0" w:color="auto"/>
            <w:right w:val="none" w:sz="0" w:space="0" w:color="auto"/>
          </w:divBdr>
          <w:divsChild>
            <w:div w:id="1211116740">
              <w:marLeft w:val="0"/>
              <w:marRight w:val="0"/>
              <w:marTop w:val="0"/>
              <w:marBottom w:val="0"/>
              <w:divBdr>
                <w:top w:val="none" w:sz="0" w:space="0" w:color="auto"/>
                <w:left w:val="none" w:sz="0" w:space="0" w:color="auto"/>
                <w:bottom w:val="none" w:sz="0" w:space="0" w:color="auto"/>
                <w:right w:val="none" w:sz="0" w:space="0" w:color="auto"/>
              </w:divBdr>
              <w:divsChild>
                <w:div w:id="14090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3608">
      <w:bodyDiv w:val="1"/>
      <w:marLeft w:val="0"/>
      <w:marRight w:val="0"/>
      <w:marTop w:val="0"/>
      <w:marBottom w:val="0"/>
      <w:divBdr>
        <w:top w:val="none" w:sz="0" w:space="0" w:color="auto"/>
        <w:left w:val="none" w:sz="0" w:space="0" w:color="auto"/>
        <w:bottom w:val="none" w:sz="0" w:space="0" w:color="auto"/>
        <w:right w:val="none" w:sz="0" w:space="0" w:color="auto"/>
      </w:divBdr>
    </w:div>
    <w:div w:id="1522276451">
      <w:bodyDiv w:val="1"/>
      <w:marLeft w:val="0"/>
      <w:marRight w:val="0"/>
      <w:marTop w:val="0"/>
      <w:marBottom w:val="0"/>
      <w:divBdr>
        <w:top w:val="none" w:sz="0" w:space="0" w:color="auto"/>
        <w:left w:val="none" w:sz="0" w:space="0" w:color="auto"/>
        <w:bottom w:val="none" w:sz="0" w:space="0" w:color="auto"/>
        <w:right w:val="none" w:sz="0" w:space="0" w:color="auto"/>
      </w:divBdr>
    </w:div>
    <w:div w:id="1546601124">
      <w:bodyDiv w:val="1"/>
      <w:marLeft w:val="0"/>
      <w:marRight w:val="0"/>
      <w:marTop w:val="0"/>
      <w:marBottom w:val="0"/>
      <w:divBdr>
        <w:top w:val="none" w:sz="0" w:space="0" w:color="auto"/>
        <w:left w:val="none" w:sz="0" w:space="0" w:color="auto"/>
        <w:bottom w:val="none" w:sz="0" w:space="0" w:color="auto"/>
        <w:right w:val="none" w:sz="0" w:space="0" w:color="auto"/>
      </w:divBdr>
    </w:div>
    <w:div w:id="1582252653">
      <w:bodyDiv w:val="1"/>
      <w:marLeft w:val="0"/>
      <w:marRight w:val="0"/>
      <w:marTop w:val="0"/>
      <w:marBottom w:val="0"/>
      <w:divBdr>
        <w:top w:val="none" w:sz="0" w:space="0" w:color="auto"/>
        <w:left w:val="none" w:sz="0" w:space="0" w:color="auto"/>
        <w:bottom w:val="none" w:sz="0" w:space="0" w:color="auto"/>
        <w:right w:val="none" w:sz="0" w:space="0" w:color="auto"/>
      </w:divBdr>
    </w:div>
    <w:div w:id="1605112119">
      <w:bodyDiv w:val="1"/>
      <w:marLeft w:val="0"/>
      <w:marRight w:val="0"/>
      <w:marTop w:val="0"/>
      <w:marBottom w:val="0"/>
      <w:divBdr>
        <w:top w:val="none" w:sz="0" w:space="0" w:color="auto"/>
        <w:left w:val="none" w:sz="0" w:space="0" w:color="auto"/>
        <w:bottom w:val="none" w:sz="0" w:space="0" w:color="auto"/>
        <w:right w:val="none" w:sz="0" w:space="0" w:color="auto"/>
      </w:divBdr>
    </w:div>
    <w:div w:id="1618609194">
      <w:bodyDiv w:val="1"/>
      <w:marLeft w:val="0"/>
      <w:marRight w:val="0"/>
      <w:marTop w:val="0"/>
      <w:marBottom w:val="0"/>
      <w:divBdr>
        <w:top w:val="none" w:sz="0" w:space="0" w:color="auto"/>
        <w:left w:val="none" w:sz="0" w:space="0" w:color="auto"/>
        <w:bottom w:val="none" w:sz="0" w:space="0" w:color="auto"/>
        <w:right w:val="none" w:sz="0" w:space="0" w:color="auto"/>
      </w:divBdr>
    </w:div>
    <w:div w:id="1661808107">
      <w:bodyDiv w:val="1"/>
      <w:marLeft w:val="0"/>
      <w:marRight w:val="0"/>
      <w:marTop w:val="0"/>
      <w:marBottom w:val="0"/>
      <w:divBdr>
        <w:top w:val="none" w:sz="0" w:space="0" w:color="auto"/>
        <w:left w:val="none" w:sz="0" w:space="0" w:color="auto"/>
        <w:bottom w:val="none" w:sz="0" w:space="0" w:color="auto"/>
        <w:right w:val="none" w:sz="0" w:space="0" w:color="auto"/>
      </w:divBdr>
      <w:divsChild>
        <w:div w:id="998457408">
          <w:marLeft w:val="0"/>
          <w:marRight w:val="0"/>
          <w:marTop w:val="0"/>
          <w:marBottom w:val="0"/>
          <w:divBdr>
            <w:top w:val="none" w:sz="0" w:space="0" w:color="auto"/>
            <w:left w:val="none" w:sz="0" w:space="0" w:color="auto"/>
            <w:bottom w:val="none" w:sz="0" w:space="0" w:color="auto"/>
            <w:right w:val="none" w:sz="0" w:space="0" w:color="auto"/>
          </w:divBdr>
          <w:divsChild>
            <w:div w:id="1587878846">
              <w:marLeft w:val="0"/>
              <w:marRight w:val="0"/>
              <w:marTop w:val="0"/>
              <w:marBottom w:val="0"/>
              <w:divBdr>
                <w:top w:val="none" w:sz="0" w:space="0" w:color="auto"/>
                <w:left w:val="none" w:sz="0" w:space="0" w:color="auto"/>
                <w:bottom w:val="none" w:sz="0" w:space="0" w:color="auto"/>
                <w:right w:val="none" w:sz="0" w:space="0" w:color="auto"/>
              </w:divBdr>
              <w:divsChild>
                <w:div w:id="1831554810">
                  <w:marLeft w:val="0"/>
                  <w:marRight w:val="0"/>
                  <w:marTop w:val="0"/>
                  <w:marBottom w:val="0"/>
                  <w:divBdr>
                    <w:top w:val="none" w:sz="0" w:space="0" w:color="auto"/>
                    <w:left w:val="none" w:sz="0" w:space="0" w:color="auto"/>
                    <w:bottom w:val="none" w:sz="0" w:space="0" w:color="auto"/>
                    <w:right w:val="none" w:sz="0" w:space="0" w:color="auto"/>
                  </w:divBdr>
                </w:div>
              </w:divsChild>
            </w:div>
            <w:div w:id="2035227892">
              <w:marLeft w:val="0"/>
              <w:marRight w:val="0"/>
              <w:marTop w:val="0"/>
              <w:marBottom w:val="0"/>
              <w:divBdr>
                <w:top w:val="none" w:sz="0" w:space="0" w:color="auto"/>
                <w:left w:val="none" w:sz="0" w:space="0" w:color="auto"/>
                <w:bottom w:val="none" w:sz="0" w:space="0" w:color="auto"/>
                <w:right w:val="none" w:sz="0" w:space="0" w:color="auto"/>
              </w:divBdr>
              <w:divsChild>
                <w:div w:id="1623732464">
                  <w:marLeft w:val="0"/>
                  <w:marRight w:val="0"/>
                  <w:marTop w:val="0"/>
                  <w:marBottom w:val="0"/>
                  <w:divBdr>
                    <w:top w:val="none" w:sz="0" w:space="0" w:color="auto"/>
                    <w:left w:val="none" w:sz="0" w:space="0" w:color="auto"/>
                    <w:bottom w:val="none" w:sz="0" w:space="0" w:color="auto"/>
                    <w:right w:val="none" w:sz="0" w:space="0" w:color="auto"/>
                  </w:divBdr>
                </w:div>
              </w:divsChild>
            </w:div>
            <w:div w:id="1018387380">
              <w:marLeft w:val="0"/>
              <w:marRight w:val="0"/>
              <w:marTop w:val="0"/>
              <w:marBottom w:val="0"/>
              <w:divBdr>
                <w:top w:val="none" w:sz="0" w:space="0" w:color="auto"/>
                <w:left w:val="none" w:sz="0" w:space="0" w:color="auto"/>
                <w:bottom w:val="none" w:sz="0" w:space="0" w:color="auto"/>
                <w:right w:val="none" w:sz="0" w:space="0" w:color="auto"/>
              </w:divBdr>
              <w:divsChild>
                <w:div w:id="10203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4104">
      <w:bodyDiv w:val="1"/>
      <w:marLeft w:val="0"/>
      <w:marRight w:val="0"/>
      <w:marTop w:val="0"/>
      <w:marBottom w:val="0"/>
      <w:divBdr>
        <w:top w:val="none" w:sz="0" w:space="0" w:color="auto"/>
        <w:left w:val="none" w:sz="0" w:space="0" w:color="auto"/>
        <w:bottom w:val="none" w:sz="0" w:space="0" w:color="auto"/>
        <w:right w:val="none" w:sz="0" w:space="0" w:color="auto"/>
      </w:divBdr>
    </w:div>
    <w:div w:id="1716462675">
      <w:bodyDiv w:val="1"/>
      <w:marLeft w:val="0"/>
      <w:marRight w:val="0"/>
      <w:marTop w:val="0"/>
      <w:marBottom w:val="0"/>
      <w:divBdr>
        <w:top w:val="none" w:sz="0" w:space="0" w:color="auto"/>
        <w:left w:val="none" w:sz="0" w:space="0" w:color="auto"/>
        <w:bottom w:val="none" w:sz="0" w:space="0" w:color="auto"/>
        <w:right w:val="none" w:sz="0" w:space="0" w:color="auto"/>
      </w:divBdr>
    </w:div>
    <w:div w:id="1733846389">
      <w:bodyDiv w:val="1"/>
      <w:marLeft w:val="0"/>
      <w:marRight w:val="0"/>
      <w:marTop w:val="0"/>
      <w:marBottom w:val="0"/>
      <w:divBdr>
        <w:top w:val="none" w:sz="0" w:space="0" w:color="auto"/>
        <w:left w:val="none" w:sz="0" w:space="0" w:color="auto"/>
        <w:bottom w:val="none" w:sz="0" w:space="0" w:color="auto"/>
        <w:right w:val="none" w:sz="0" w:space="0" w:color="auto"/>
      </w:divBdr>
      <w:divsChild>
        <w:div w:id="629164937">
          <w:marLeft w:val="0"/>
          <w:marRight w:val="0"/>
          <w:marTop w:val="0"/>
          <w:marBottom w:val="0"/>
          <w:divBdr>
            <w:top w:val="none" w:sz="0" w:space="0" w:color="auto"/>
            <w:left w:val="none" w:sz="0" w:space="0" w:color="auto"/>
            <w:bottom w:val="none" w:sz="0" w:space="0" w:color="auto"/>
            <w:right w:val="none" w:sz="0" w:space="0" w:color="auto"/>
          </w:divBdr>
          <w:divsChild>
            <w:div w:id="1215238516">
              <w:marLeft w:val="0"/>
              <w:marRight w:val="0"/>
              <w:marTop w:val="0"/>
              <w:marBottom w:val="0"/>
              <w:divBdr>
                <w:top w:val="none" w:sz="0" w:space="0" w:color="auto"/>
                <w:left w:val="none" w:sz="0" w:space="0" w:color="auto"/>
                <w:bottom w:val="none" w:sz="0" w:space="0" w:color="auto"/>
                <w:right w:val="none" w:sz="0" w:space="0" w:color="auto"/>
              </w:divBdr>
              <w:divsChild>
                <w:div w:id="4123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2622">
      <w:bodyDiv w:val="1"/>
      <w:marLeft w:val="0"/>
      <w:marRight w:val="0"/>
      <w:marTop w:val="0"/>
      <w:marBottom w:val="0"/>
      <w:divBdr>
        <w:top w:val="none" w:sz="0" w:space="0" w:color="auto"/>
        <w:left w:val="none" w:sz="0" w:space="0" w:color="auto"/>
        <w:bottom w:val="none" w:sz="0" w:space="0" w:color="auto"/>
        <w:right w:val="none" w:sz="0" w:space="0" w:color="auto"/>
      </w:divBdr>
    </w:div>
    <w:div w:id="1795126572">
      <w:bodyDiv w:val="1"/>
      <w:marLeft w:val="0"/>
      <w:marRight w:val="0"/>
      <w:marTop w:val="0"/>
      <w:marBottom w:val="0"/>
      <w:divBdr>
        <w:top w:val="none" w:sz="0" w:space="0" w:color="auto"/>
        <w:left w:val="none" w:sz="0" w:space="0" w:color="auto"/>
        <w:bottom w:val="none" w:sz="0" w:space="0" w:color="auto"/>
        <w:right w:val="none" w:sz="0" w:space="0" w:color="auto"/>
      </w:divBdr>
      <w:divsChild>
        <w:div w:id="473569494">
          <w:marLeft w:val="0"/>
          <w:marRight w:val="0"/>
          <w:marTop w:val="0"/>
          <w:marBottom w:val="0"/>
          <w:divBdr>
            <w:top w:val="none" w:sz="0" w:space="0" w:color="auto"/>
            <w:left w:val="none" w:sz="0" w:space="0" w:color="auto"/>
            <w:bottom w:val="none" w:sz="0" w:space="0" w:color="auto"/>
            <w:right w:val="none" w:sz="0" w:space="0" w:color="auto"/>
          </w:divBdr>
          <w:divsChild>
            <w:div w:id="539628222">
              <w:marLeft w:val="0"/>
              <w:marRight w:val="0"/>
              <w:marTop w:val="0"/>
              <w:marBottom w:val="0"/>
              <w:divBdr>
                <w:top w:val="none" w:sz="0" w:space="0" w:color="auto"/>
                <w:left w:val="none" w:sz="0" w:space="0" w:color="auto"/>
                <w:bottom w:val="none" w:sz="0" w:space="0" w:color="auto"/>
                <w:right w:val="none" w:sz="0" w:space="0" w:color="auto"/>
              </w:divBdr>
              <w:divsChild>
                <w:div w:id="11385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9416">
      <w:bodyDiv w:val="1"/>
      <w:marLeft w:val="0"/>
      <w:marRight w:val="0"/>
      <w:marTop w:val="0"/>
      <w:marBottom w:val="0"/>
      <w:divBdr>
        <w:top w:val="none" w:sz="0" w:space="0" w:color="auto"/>
        <w:left w:val="none" w:sz="0" w:space="0" w:color="auto"/>
        <w:bottom w:val="none" w:sz="0" w:space="0" w:color="auto"/>
        <w:right w:val="none" w:sz="0" w:space="0" w:color="auto"/>
      </w:divBdr>
    </w:div>
    <w:div w:id="1811560247">
      <w:bodyDiv w:val="1"/>
      <w:marLeft w:val="0"/>
      <w:marRight w:val="0"/>
      <w:marTop w:val="0"/>
      <w:marBottom w:val="0"/>
      <w:divBdr>
        <w:top w:val="none" w:sz="0" w:space="0" w:color="auto"/>
        <w:left w:val="none" w:sz="0" w:space="0" w:color="auto"/>
        <w:bottom w:val="none" w:sz="0" w:space="0" w:color="auto"/>
        <w:right w:val="none" w:sz="0" w:space="0" w:color="auto"/>
      </w:divBdr>
    </w:div>
    <w:div w:id="1870098355">
      <w:bodyDiv w:val="1"/>
      <w:marLeft w:val="0"/>
      <w:marRight w:val="0"/>
      <w:marTop w:val="0"/>
      <w:marBottom w:val="0"/>
      <w:divBdr>
        <w:top w:val="none" w:sz="0" w:space="0" w:color="auto"/>
        <w:left w:val="none" w:sz="0" w:space="0" w:color="auto"/>
        <w:bottom w:val="none" w:sz="0" w:space="0" w:color="auto"/>
        <w:right w:val="none" w:sz="0" w:space="0" w:color="auto"/>
      </w:divBdr>
    </w:div>
    <w:div w:id="1893343036">
      <w:bodyDiv w:val="1"/>
      <w:marLeft w:val="0"/>
      <w:marRight w:val="0"/>
      <w:marTop w:val="0"/>
      <w:marBottom w:val="0"/>
      <w:divBdr>
        <w:top w:val="none" w:sz="0" w:space="0" w:color="auto"/>
        <w:left w:val="none" w:sz="0" w:space="0" w:color="auto"/>
        <w:bottom w:val="none" w:sz="0" w:space="0" w:color="auto"/>
        <w:right w:val="none" w:sz="0" w:space="0" w:color="auto"/>
      </w:divBdr>
      <w:divsChild>
        <w:div w:id="1437288616">
          <w:marLeft w:val="0"/>
          <w:marRight w:val="0"/>
          <w:marTop w:val="0"/>
          <w:marBottom w:val="0"/>
          <w:divBdr>
            <w:top w:val="none" w:sz="0" w:space="0" w:color="auto"/>
            <w:left w:val="none" w:sz="0" w:space="0" w:color="auto"/>
            <w:bottom w:val="none" w:sz="0" w:space="0" w:color="auto"/>
            <w:right w:val="none" w:sz="0" w:space="0" w:color="auto"/>
          </w:divBdr>
          <w:divsChild>
            <w:div w:id="562567415">
              <w:marLeft w:val="0"/>
              <w:marRight w:val="0"/>
              <w:marTop w:val="0"/>
              <w:marBottom w:val="0"/>
              <w:divBdr>
                <w:top w:val="none" w:sz="0" w:space="0" w:color="auto"/>
                <w:left w:val="none" w:sz="0" w:space="0" w:color="auto"/>
                <w:bottom w:val="none" w:sz="0" w:space="0" w:color="auto"/>
                <w:right w:val="none" w:sz="0" w:space="0" w:color="auto"/>
              </w:divBdr>
              <w:divsChild>
                <w:div w:id="20851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5245">
      <w:bodyDiv w:val="1"/>
      <w:marLeft w:val="0"/>
      <w:marRight w:val="0"/>
      <w:marTop w:val="0"/>
      <w:marBottom w:val="0"/>
      <w:divBdr>
        <w:top w:val="none" w:sz="0" w:space="0" w:color="auto"/>
        <w:left w:val="none" w:sz="0" w:space="0" w:color="auto"/>
        <w:bottom w:val="none" w:sz="0" w:space="0" w:color="auto"/>
        <w:right w:val="none" w:sz="0" w:space="0" w:color="auto"/>
      </w:divBdr>
    </w:div>
    <w:div w:id="1948536687">
      <w:bodyDiv w:val="1"/>
      <w:marLeft w:val="0"/>
      <w:marRight w:val="0"/>
      <w:marTop w:val="0"/>
      <w:marBottom w:val="0"/>
      <w:divBdr>
        <w:top w:val="none" w:sz="0" w:space="0" w:color="auto"/>
        <w:left w:val="none" w:sz="0" w:space="0" w:color="auto"/>
        <w:bottom w:val="none" w:sz="0" w:space="0" w:color="auto"/>
        <w:right w:val="none" w:sz="0" w:space="0" w:color="auto"/>
      </w:divBdr>
    </w:div>
    <w:div w:id="2009481650">
      <w:bodyDiv w:val="1"/>
      <w:marLeft w:val="0"/>
      <w:marRight w:val="0"/>
      <w:marTop w:val="0"/>
      <w:marBottom w:val="0"/>
      <w:divBdr>
        <w:top w:val="none" w:sz="0" w:space="0" w:color="auto"/>
        <w:left w:val="none" w:sz="0" w:space="0" w:color="auto"/>
        <w:bottom w:val="none" w:sz="0" w:space="0" w:color="auto"/>
        <w:right w:val="none" w:sz="0" w:space="0" w:color="auto"/>
      </w:divBdr>
    </w:div>
    <w:div w:id="2017998784">
      <w:bodyDiv w:val="1"/>
      <w:marLeft w:val="0"/>
      <w:marRight w:val="0"/>
      <w:marTop w:val="0"/>
      <w:marBottom w:val="0"/>
      <w:divBdr>
        <w:top w:val="none" w:sz="0" w:space="0" w:color="auto"/>
        <w:left w:val="none" w:sz="0" w:space="0" w:color="auto"/>
        <w:bottom w:val="none" w:sz="0" w:space="0" w:color="auto"/>
        <w:right w:val="none" w:sz="0" w:space="0" w:color="auto"/>
      </w:divBdr>
      <w:divsChild>
        <w:div w:id="1949045371">
          <w:marLeft w:val="0"/>
          <w:marRight w:val="0"/>
          <w:marTop w:val="0"/>
          <w:marBottom w:val="0"/>
          <w:divBdr>
            <w:top w:val="none" w:sz="0" w:space="0" w:color="auto"/>
            <w:left w:val="none" w:sz="0" w:space="0" w:color="auto"/>
            <w:bottom w:val="none" w:sz="0" w:space="0" w:color="auto"/>
            <w:right w:val="none" w:sz="0" w:space="0" w:color="auto"/>
          </w:divBdr>
          <w:divsChild>
            <w:div w:id="1967152688">
              <w:marLeft w:val="0"/>
              <w:marRight w:val="0"/>
              <w:marTop w:val="0"/>
              <w:marBottom w:val="0"/>
              <w:divBdr>
                <w:top w:val="none" w:sz="0" w:space="0" w:color="auto"/>
                <w:left w:val="none" w:sz="0" w:space="0" w:color="auto"/>
                <w:bottom w:val="none" w:sz="0" w:space="0" w:color="auto"/>
                <w:right w:val="none" w:sz="0" w:space="0" w:color="auto"/>
              </w:divBdr>
              <w:divsChild>
                <w:div w:id="8994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7123">
      <w:bodyDiv w:val="1"/>
      <w:marLeft w:val="0"/>
      <w:marRight w:val="0"/>
      <w:marTop w:val="0"/>
      <w:marBottom w:val="0"/>
      <w:divBdr>
        <w:top w:val="none" w:sz="0" w:space="0" w:color="auto"/>
        <w:left w:val="none" w:sz="0" w:space="0" w:color="auto"/>
        <w:bottom w:val="none" w:sz="0" w:space="0" w:color="auto"/>
        <w:right w:val="none" w:sz="0" w:space="0" w:color="auto"/>
      </w:divBdr>
    </w:div>
    <w:div w:id="2092465166">
      <w:bodyDiv w:val="1"/>
      <w:marLeft w:val="0"/>
      <w:marRight w:val="0"/>
      <w:marTop w:val="0"/>
      <w:marBottom w:val="0"/>
      <w:divBdr>
        <w:top w:val="none" w:sz="0" w:space="0" w:color="auto"/>
        <w:left w:val="none" w:sz="0" w:space="0" w:color="auto"/>
        <w:bottom w:val="none" w:sz="0" w:space="0" w:color="auto"/>
        <w:right w:val="none" w:sz="0" w:space="0" w:color="auto"/>
      </w:divBdr>
    </w:div>
    <w:div w:id="2117746136">
      <w:bodyDiv w:val="1"/>
      <w:marLeft w:val="0"/>
      <w:marRight w:val="0"/>
      <w:marTop w:val="0"/>
      <w:marBottom w:val="0"/>
      <w:divBdr>
        <w:top w:val="none" w:sz="0" w:space="0" w:color="auto"/>
        <w:left w:val="none" w:sz="0" w:space="0" w:color="auto"/>
        <w:bottom w:val="none" w:sz="0" w:space="0" w:color="auto"/>
        <w:right w:val="none" w:sz="0" w:space="0" w:color="auto"/>
      </w:divBdr>
    </w:div>
    <w:div w:id="2130005422">
      <w:bodyDiv w:val="1"/>
      <w:marLeft w:val="0"/>
      <w:marRight w:val="0"/>
      <w:marTop w:val="0"/>
      <w:marBottom w:val="0"/>
      <w:divBdr>
        <w:top w:val="none" w:sz="0" w:space="0" w:color="auto"/>
        <w:left w:val="none" w:sz="0" w:space="0" w:color="auto"/>
        <w:bottom w:val="none" w:sz="0" w:space="0" w:color="auto"/>
        <w:right w:val="none" w:sz="0" w:space="0" w:color="auto"/>
      </w:divBdr>
    </w:div>
    <w:div w:id="21387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juschubut.gov.ar/images/CPP-2023-con_tapa-ultimo.pdf" TargetMode="External"/><Relationship Id="rId3" Type="http://schemas.openxmlformats.org/officeDocument/2006/relationships/hyperlink" Target="https://www.oas.org/es/cidh/infancia/docs/pdf/JusticiaJuvenil.pdf" TargetMode="External"/><Relationship Id="rId7" Type="http://schemas.openxmlformats.org/officeDocument/2006/relationships/hyperlink" Target="https://www.oas.org/es/cidh/infancia/docs/pdf/JusticiaJuvenil.pdf" TargetMode="External"/><Relationship Id="rId2" Type="http://schemas.openxmlformats.org/officeDocument/2006/relationships/hyperlink" Target="http://www.mpfchubut.gov.ar/images/pdf/cpp.pdf" TargetMode="External"/><Relationship Id="rId1" Type="http://schemas.openxmlformats.org/officeDocument/2006/relationships/hyperlink" Target="https://www.argentina.gob.ar/normativa/nacional/acordada-5-2010-165599/texto" TargetMode="External"/><Relationship Id="rId6" Type="http://schemas.openxmlformats.org/officeDocument/2006/relationships/hyperlink" Target="https://www.oas.org/es/cidh/infancia/docs/pdf/JusticiaJuvenil.pdf" TargetMode="External"/><Relationship Id="rId5" Type="http://schemas.openxmlformats.org/officeDocument/2006/relationships/hyperlink" Target="https://www.oas.org/es/cidh/infancia/docs/pdf/JusticiaJuvenil.pdf" TargetMode="External"/><Relationship Id="rId4" Type="http://schemas.openxmlformats.org/officeDocument/2006/relationships/hyperlink" Target="https://www.oas.org/es/cidh/infancia/docs/pdf/JusticiaJuveni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04CB0-9809-704B-B688-9EBA7F35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12653</Words>
  <Characters>72125</Characters>
  <Application>Microsoft Office Word</Application>
  <DocSecurity>0</DocSecurity>
  <Lines>601</Lines>
  <Paragraphs>169</Paragraphs>
  <ScaleCrop>false</ScaleCrop>
  <Company/>
  <LinksUpToDate>false</LinksUpToDate>
  <CharactersWithSpaces>84609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2025-07-31T14:29:00Z</dcterms:created>
  <dcterms:modified xsi:type="dcterms:W3CDTF">2025-07-31T14:29:00Z</dcterms:modified>
</cp:coreProperties>
</file>