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3B2A2" w14:textId="2B12497F" w:rsidR="007374FF" w:rsidRPr="00A42DDB" w:rsidRDefault="008D0AE6" w:rsidP="007374FF">
      <w:pPr>
        <w:tabs>
          <w:tab w:val="left" w:pos="567"/>
        </w:tabs>
        <w:jc w:val="both"/>
        <w:rPr>
          <w:rFonts w:ascii="Cambria" w:hAnsi="Cambria" w:cs="Univers"/>
          <w:b/>
          <w:bCs/>
          <w:sz w:val="20"/>
          <w:szCs w:val="20"/>
          <w:lang w:val="es-ES_tradnl"/>
        </w:rPr>
      </w:pPr>
      <w:r>
        <w:rPr>
          <w:rFonts w:asciiTheme="majorHAnsi" w:hAnsiTheme="majorHAnsi"/>
          <w:noProof/>
          <w:lang w:val="en-US"/>
        </w:rPr>
        <mc:AlternateContent>
          <mc:Choice Requires="wps">
            <w:drawing>
              <wp:anchor distT="0" distB="0" distL="114300" distR="114300" simplePos="0" relativeHeight="251663360" behindDoc="0" locked="0" layoutInCell="1" allowOverlap="1" wp14:anchorId="56EFC7CF" wp14:editId="522813E7">
                <wp:simplePos x="0" y="0"/>
                <wp:positionH relativeFrom="column">
                  <wp:posOffset>-398834</wp:posOffset>
                </wp:positionH>
                <wp:positionV relativeFrom="paragraph">
                  <wp:posOffset>-485113</wp:posOffset>
                </wp:positionV>
                <wp:extent cx="1409700" cy="897763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AB269" id="Rectangle 3" o:spid="_x0000_s1026" style="position:absolute;margin-left:-31.4pt;margin-top:-38.2pt;width:111pt;height:70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" fillcolor="#67ae3c" stroked="f" strokeweight="2pt"/>
            </w:pict>
          </mc:Fallback>
        </mc:AlternateContent>
      </w:r>
      <w:r w:rsidR="00DD6A82">
        <w:rPr>
          <w:rFonts w:ascii="Cambria" w:hAnsi="Cambria"/>
          <w:noProof/>
          <w:lang w:val="en-US"/>
        </w:rPr>
        <mc:AlternateContent>
          <mc:Choice Requires="wps">
            <w:drawing>
              <wp:anchor distT="0" distB="0" distL="114300" distR="114300" simplePos="0" relativeHeight="251654144" behindDoc="0" locked="0" layoutInCell="1" allowOverlap="1" wp14:anchorId="24CBA4F0" wp14:editId="18E6F850">
                <wp:simplePos x="0" y="0"/>
                <wp:positionH relativeFrom="column">
                  <wp:posOffset>1334770</wp:posOffset>
                </wp:positionH>
                <wp:positionV relativeFrom="paragraph">
                  <wp:posOffset>2437765</wp:posOffset>
                </wp:positionV>
                <wp:extent cx="4441190" cy="2181225"/>
                <wp:effectExtent l="1270" t="0" r="2540" b="381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41190" cy="2181225"/>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7A358F23" w14:textId="2FC24C84" w:rsidR="00CB7C3D" w:rsidRPr="004D028B" w:rsidRDefault="00B435FD" w:rsidP="00E13A0C">
                            <w:pPr>
                              <w:spacing w:after="0" w:line="240" w:lineRule="auto"/>
                              <w:rPr>
                                <w:rFonts w:ascii="Cambria" w:hAnsi="Cambria" w:cs="Arial"/>
                                <w:b/>
                                <w:bCs/>
                                <w:color w:val="0D0D0D"/>
                                <w:sz w:val="36"/>
                                <w:lang w:val="en-US"/>
                              </w:rPr>
                            </w:pPr>
                            <w:r w:rsidRPr="004D028B">
                              <w:rPr>
                                <w:rFonts w:ascii="Cambria" w:hAnsi="Cambria" w:cs="Arial"/>
                                <w:b/>
                                <w:bCs/>
                                <w:color w:val="0D0D0D"/>
                                <w:sz w:val="36"/>
                                <w:lang w:val="en-US"/>
                              </w:rPr>
                              <w:t xml:space="preserve">REPORT </w:t>
                            </w:r>
                            <w:r w:rsidR="00CB7C3D" w:rsidRPr="004D028B">
                              <w:rPr>
                                <w:rFonts w:ascii="Cambria" w:hAnsi="Cambria" w:cs="Arial"/>
                                <w:b/>
                                <w:bCs/>
                                <w:color w:val="0D0D0D"/>
                                <w:sz w:val="36"/>
                                <w:szCs w:val="40"/>
                                <w:lang w:val="en-US"/>
                              </w:rPr>
                              <w:t>No.</w:t>
                            </w:r>
                            <w:r w:rsidR="004D028B">
                              <w:rPr>
                                <w:rFonts w:ascii="Cambria" w:hAnsi="Cambria" w:cs="Arial"/>
                                <w:b/>
                                <w:bCs/>
                                <w:color w:val="0D0D0D"/>
                                <w:sz w:val="36"/>
                                <w:lang w:val="en-US"/>
                              </w:rPr>
                              <w:t xml:space="preserve"> </w:t>
                            </w:r>
                            <w:r w:rsidR="00D3634D">
                              <w:rPr>
                                <w:rFonts w:ascii="Cambria" w:hAnsi="Cambria" w:cs="Arial"/>
                                <w:b/>
                                <w:bCs/>
                                <w:color w:val="0D0D0D"/>
                                <w:sz w:val="36"/>
                                <w:lang w:val="en-US"/>
                              </w:rPr>
                              <w:t>112</w:t>
                            </w:r>
                            <w:r w:rsidR="00CB7C3D" w:rsidRPr="004D028B">
                              <w:rPr>
                                <w:rFonts w:ascii="Cambria" w:hAnsi="Cambria" w:cs="Arial"/>
                                <w:b/>
                                <w:bCs/>
                                <w:color w:val="0D0D0D"/>
                                <w:sz w:val="36"/>
                                <w:lang w:val="en-US"/>
                              </w:rPr>
                              <w:t>/</w:t>
                            </w:r>
                            <w:r w:rsidR="004D028B">
                              <w:rPr>
                                <w:rFonts w:ascii="Cambria" w:hAnsi="Cambria" w:cs="Arial"/>
                                <w:b/>
                                <w:bCs/>
                                <w:color w:val="0D0D0D"/>
                                <w:sz w:val="36"/>
                                <w:lang w:val="en-US"/>
                              </w:rPr>
                              <w:t>2</w:t>
                            </w:r>
                            <w:r w:rsidR="00527697">
                              <w:rPr>
                                <w:rFonts w:ascii="Cambria" w:hAnsi="Cambria" w:cs="Arial"/>
                                <w:b/>
                                <w:bCs/>
                                <w:color w:val="0D0D0D"/>
                                <w:sz w:val="36"/>
                                <w:lang w:val="en-US"/>
                              </w:rPr>
                              <w:t>5</w:t>
                            </w:r>
                          </w:p>
                          <w:p w14:paraId="73C12A7F" w14:textId="454CF0F6" w:rsidR="00CB7C3D" w:rsidRPr="004D028B" w:rsidRDefault="00CB7C3D" w:rsidP="00E13A0C">
                            <w:pPr>
                              <w:spacing w:after="0" w:line="240" w:lineRule="auto"/>
                              <w:rPr>
                                <w:rFonts w:ascii="Cambria" w:hAnsi="Cambria" w:cs="Arial"/>
                                <w:b/>
                                <w:color w:val="0D0D0D"/>
                                <w:sz w:val="36"/>
                                <w:lang w:val="en-US"/>
                              </w:rPr>
                            </w:pPr>
                            <w:r w:rsidRPr="004D028B">
                              <w:rPr>
                                <w:rFonts w:ascii="Cambria" w:hAnsi="Cambria" w:cs="Arial"/>
                                <w:b/>
                                <w:color w:val="0D0D0D"/>
                                <w:sz w:val="36"/>
                                <w:lang w:val="en-US"/>
                              </w:rPr>
                              <w:t>CAS</w:t>
                            </w:r>
                            <w:r w:rsidR="00B435FD" w:rsidRPr="004D028B">
                              <w:rPr>
                                <w:rFonts w:ascii="Cambria" w:hAnsi="Cambria" w:cs="Arial"/>
                                <w:b/>
                                <w:color w:val="0D0D0D"/>
                                <w:sz w:val="36"/>
                                <w:lang w:val="en-US"/>
                              </w:rPr>
                              <w:t>E</w:t>
                            </w:r>
                            <w:r w:rsidRPr="004D028B">
                              <w:rPr>
                                <w:rFonts w:ascii="Cambria" w:hAnsi="Cambria" w:cs="Arial"/>
                                <w:b/>
                                <w:color w:val="0D0D0D"/>
                                <w:sz w:val="36"/>
                                <w:lang w:val="en-US"/>
                              </w:rPr>
                              <w:t xml:space="preserve"> 13.092</w:t>
                            </w:r>
                          </w:p>
                          <w:p w14:paraId="227FCBC3" w14:textId="3C9C05D4" w:rsidR="00B435FD" w:rsidRPr="004D028B" w:rsidRDefault="00B435FD" w:rsidP="00B435FD">
                            <w:pPr>
                              <w:rPr>
                                <w:rFonts w:asciiTheme="minorHAnsi" w:hAnsiTheme="minorHAnsi"/>
                                <w:color w:val="0D0D0D"/>
                                <w:sz w:val="20"/>
                                <w:szCs w:val="20"/>
                                <w:lang w:val="en-US"/>
                              </w:rPr>
                            </w:pPr>
                            <w:r w:rsidRPr="004D028B">
                              <w:rPr>
                                <w:rFonts w:asciiTheme="minorHAnsi" w:hAnsiTheme="minorHAnsi"/>
                                <w:color w:val="0D0D0D"/>
                                <w:sz w:val="20"/>
                                <w:szCs w:val="20"/>
                                <w:lang w:val="en-US"/>
                              </w:rPr>
                              <w:t>REPORT ON ADMISSIBILITY</w:t>
                            </w:r>
                            <w:r w:rsidR="008D0AE6" w:rsidRPr="004D028B">
                              <w:rPr>
                                <w:rFonts w:asciiTheme="minorHAnsi" w:hAnsiTheme="minorHAnsi"/>
                                <w:color w:val="0D0D0D"/>
                                <w:sz w:val="20"/>
                                <w:szCs w:val="20"/>
                                <w:lang w:val="en-US"/>
                              </w:rPr>
                              <w:t xml:space="preserve"> AND MERITS </w:t>
                            </w:r>
                            <w:r w:rsidR="00527697" w:rsidRPr="00D3634D">
                              <w:rPr>
                                <w:rFonts w:asciiTheme="minorHAnsi" w:hAnsiTheme="minorHAnsi"/>
                                <w:color w:val="0D0D0D"/>
                                <w:sz w:val="20"/>
                                <w:szCs w:val="20"/>
                                <w:lang w:val="en-US"/>
                              </w:rPr>
                              <w:t>(</w:t>
                            </w:r>
                            <w:r w:rsidR="00012260" w:rsidRPr="00D3634D">
                              <w:rPr>
                                <w:rFonts w:asciiTheme="minorHAnsi" w:hAnsiTheme="minorHAnsi"/>
                                <w:color w:val="0D0D0D"/>
                                <w:sz w:val="20"/>
                                <w:szCs w:val="20"/>
                                <w:lang w:val="en-US"/>
                              </w:rPr>
                              <w:t>PUBLICATION</w:t>
                            </w:r>
                            <w:r w:rsidR="00527697" w:rsidRPr="00D3634D">
                              <w:rPr>
                                <w:rFonts w:asciiTheme="minorHAnsi" w:hAnsiTheme="minorHAnsi"/>
                                <w:color w:val="0D0D0D"/>
                                <w:sz w:val="20"/>
                                <w:szCs w:val="20"/>
                                <w:lang w:val="en-US"/>
                              </w:rPr>
                              <w:t>)</w:t>
                            </w:r>
                          </w:p>
                          <w:p w14:paraId="1BB8ACAB" w14:textId="77777777" w:rsidR="00B435FD" w:rsidRPr="004D028B" w:rsidRDefault="00B435FD" w:rsidP="00B435FD">
                            <w:pPr>
                              <w:rPr>
                                <w:rFonts w:asciiTheme="minorHAnsi" w:hAnsiTheme="minorHAnsi"/>
                                <w:color w:val="0D0D0D"/>
                                <w:sz w:val="20"/>
                                <w:szCs w:val="20"/>
                                <w:lang w:val="en-US"/>
                              </w:rPr>
                            </w:pPr>
                          </w:p>
                          <w:p w14:paraId="16C4D1C6" w14:textId="77777777" w:rsidR="00B435FD" w:rsidRPr="004D028B" w:rsidRDefault="00B435FD" w:rsidP="00B435FD">
                            <w:pPr>
                              <w:rPr>
                                <w:rFonts w:asciiTheme="minorHAnsi" w:hAnsiTheme="minorHAnsi"/>
                                <w:color w:val="0D0D0D"/>
                                <w:sz w:val="20"/>
                                <w:szCs w:val="20"/>
                                <w:lang w:val="en-US"/>
                              </w:rPr>
                            </w:pPr>
                            <w:r w:rsidRPr="004D028B">
                              <w:rPr>
                                <w:rFonts w:asciiTheme="minorHAnsi" w:hAnsiTheme="minorHAnsi"/>
                                <w:color w:val="0D0D0D"/>
                                <w:sz w:val="20"/>
                                <w:szCs w:val="20"/>
                                <w:lang w:val="en-US"/>
                              </w:rPr>
                              <w:t>HÉCTOR LEONARDO KEMELMAJEN AND RAFAEL CHAIKIN</w:t>
                            </w:r>
                          </w:p>
                          <w:p w14:paraId="045A3008" w14:textId="17B04E82" w:rsidR="00CB7C3D" w:rsidRPr="00C4166F" w:rsidRDefault="00B435FD" w:rsidP="00B435FD">
                            <w:pPr>
                              <w:rPr>
                                <w:rFonts w:asciiTheme="minorHAnsi" w:hAnsiTheme="minorHAnsi"/>
                                <w:color w:val="0D0D0D"/>
                                <w:sz w:val="20"/>
                                <w:szCs w:val="20"/>
                                <w:lang w:val="es-ES_tradnl"/>
                              </w:rPr>
                            </w:pPr>
                            <w:r w:rsidRPr="00C4166F">
                              <w:rPr>
                                <w:rFonts w:asciiTheme="minorHAnsi" w:hAnsiTheme="minorHAnsi"/>
                                <w:color w:val="0D0D0D"/>
                                <w:sz w:val="20"/>
                                <w:szCs w:val="20"/>
                                <w:lang w:val="es-ES_tradnl"/>
                              </w:rPr>
                              <w:t>ARGENTINA</w:t>
                            </w:r>
                          </w:p>
                          <w:p w14:paraId="12F16047" w14:textId="77777777" w:rsidR="00CB7C3D" w:rsidRPr="00A767EE" w:rsidRDefault="00CB7C3D" w:rsidP="007374FF">
                            <w:pPr>
                              <w:rPr>
                                <w:color w:val="0D0D0D"/>
                                <w:lang w:val="es-ES_tradnl"/>
                              </w:rPr>
                            </w:pPr>
                          </w:p>
                          <w:p w14:paraId="51072E34" w14:textId="77777777" w:rsidR="00CB7C3D" w:rsidRPr="00A767EE" w:rsidRDefault="00CB7C3D" w:rsidP="007374FF">
                            <w:pPr>
                              <w:rPr>
                                <w:color w:val="0D0D0D"/>
                                <w:lang w:val="es-ES_tradnl"/>
                              </w:rPr>
                            </w:pPr>
                          </w:p>
                          <w:p w14:paraId="1B845364" w14:textId="77777777" w:rsidR="00CB7C3D" w:rsidRPr="00A767EE" w:rsidRDefault="00CB7C3D" w:rsidP="007374FF">
                            <w:pPr>
                              <w:rPr>
                                <w:color w:val="0D0D0D"/>
                                <w:lang w:val="es-ES_tradnl"/>
                              </w:rPr>
                            </w:pPr>
                          </w:p>
                          <w:p w14:paraId="3E7FD648" w14:textId="77777777" w:rsidR="00CB7C3D" w:rsidRPr="00A767EE" w:rsidRDefault="00CB7C3D" w:rsidP="007374FF">
                            <w:pPr>
                              <w:rPr>
                                <w:color w:val="0D0D0D"/>
                                <w:lang w:val="es-ES_tradnl"/>
                              </w:rPr>
                            </w:pPr>
                          </w:p>
                          <w:p w14:paraId="494C4F6A" w14:textId="77777777" w:rsidR="00CB7C3D" w:rsidRPr="00A767EE" w:rsidRDefault="00CB7C3D" w:rsidP="007374FF">
                            <w:pPr>
                              <w:rPr>
                                <w:color w:val="0D0D0D"/>
                                <w:lang w:val="es-ES_tradnl"/>
                              </w:rPr>
                            </w:pPr>
                          </w:p>
                          <w:p w14:paraId="0F8F6562" w14:textId="77777777" w:rsidR="00CB7C3D" w:rsidRPr="00A767EE" w:rsidRDefault="00CB7C3D" w:rsidP="007374FF">
                            <w:pPr>
                              <w:rPr>
                                <w:color w:val="0D0D0D"/>
                                <w:lang w:val="es-ES_tradnl"/>
                              </w:rPr>
                            </w:pPr>
                          </w:p>
                          <w:p w14:paraId="0B312C35" w14:textId="77777777" w:rsidR="00CB7C3D" w:rsidRPr="00A767EE" w:rsidRDefault="00CB7C3D" w:rsidP="007374FF">
                            <w:pPr>
                              <w:rPr>
                                <w:color w:val="0D0D0D"/>
                                <w:lang w:val="es-ES_tradnl"/>
                              </w:rPr>
                            </w:pPr>
                          </w:p>
                          <w:p w14:paraId="7879AB4B" w14:textId="77777777" w:rsidR="00CB7C3D" w:rsidRPr="00A767EE" w:rsidRDefault="00CB7C3D" w:rsidP="007374FF">
                            <w:pPr>
                              <w:rPr>
                                <w:color w:val="0D0D0D"/>
                                <w:lang w:val="es-ES_tradnl"/>
                              </w:rPr>
                            </w:pPr>
                          </w:p>
                          <w:p w14:paraId="6EAD455E" w14:textId="77777777" w:rsidR="00CB7C3D" w:rsidRPr="00A767EE" w:rsidRDefault="00CB7C3D" w:rsidP="007374FF">
                            <w:pPr>
                              <w:rPr>
                                <w:color w:val="0D0D0D"/>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CBA4F0" id="_x0000_t202" coordsize="21600,21600" o:spt="202" path="m,l,21600r21600,l21600,xe">
                <v:stroke joinstyle="miter"/>
                <v:path gradientshapeok="t" o:connecttype="rect"/>
              </v:shapetype>
              <v:shape id="Text Box 5" o:spid="_x0000_s1026" type="#_x0000_t202" style="position:absolute;left:0;text-align:left;margin-left:105.1pt;margin-top:191.95pt;width:349.7pt;height:17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" filled="f" stroked="f">
                <v:textbox>
                  <w:txbxContent>
                    <w:p w14:paraId="7A358F23" w14:textId="2FC24C84" w:rsidR="00CB7C3D" w:rsidRPr="004D028B" w:rsidRDefault="00B435FD" w:rsidP="00E13A0C">
                      <w:pPr>
                        <w:spacing w:after="0" w:line="240" w:lineRule="auto"/>
                        <w:rPr>
                          <w:rFonts w:ascii="Cambria" w:hAnsi="Cambria" w:cs="Arial"/>
                          <w:b/>
                          <w:bCs/>
                          <w:color w:val="0D0D0D"/>
                          <w:sz w:val="36"/>
                          <w:lang w:val="en-US"/>
                        </w:rPr>
                      </w:pPr>
                      <w:r w:rsidRPr="004D028B">
                        <w:rPr>
                          <w:rFonts w:ascii="Cambria" w:hAnsi="Cambria" w:cs="Arial"/>
                          <w:b/>
                          <w:bCs/>
                          <w:color w:val="0D0D0D"/>
                          <w:sz w:val="36"/>
                          <w:lang w:val="en-US"/>
                        </w:rPr>
                        <w:t xml:space="preserve">REPORT </w:t>
                      </w:r>
                      <w:r w:rsidR="00CB7C3D" w:rsidRPr="004D028B">
                        <w:rPr>
                          <w:rFonts w:ascii="Cambria" w:hAnsi="Cambria" w:cs="Arial"/>
                          <w:b/>
                          <w:bCs/>
                          <w:color w:val="0D0D0D"/>
                          <w:sz w:val="36"/>
                          <w:szCs w:val="40"/>
                          <w:lang w:val="en-US"/>
                        </w:rPr>
                        <w:t>No.</w:t>
                      </w:r>
                      <w:r w:rsidR="004D028B">
                        <w:rPr>
                          <w:rFonts w:ascii="Cambria" w:hAnsi="Cambria" w:cs="Arial"/>
                          <w:b/>
                          <w:bCs/>
                          <w:color w:val="0D0D0D"/>
                          <w:sz w:val="36"/>
                          <w:lang w:val="en-US"/>
                        </w:rPr>
                        <w:t xml:space="preserve"> </w:t>
                      </w:r>
                      <w:r w:rsidR="00D3634D">
                        <w:rPr>
                          <w:rFonts w:ascii="Cambria" w:hAnsi="Cambria" w:cs="Arial"/>
                          <w:b/>
                          <w:bCs/>
                          <w:color w:val="0D0D0D"/>
                          <w:sz w:val="36"/>
                          <w:lang w:val="en-US"/>
                        </w:rPr>
                        <w:t>112</w:t>
                      </w:r>
                      <w:r w:rsidR="00CB7C3D" w:rsidRPr="004D028B">
                        <w:rPr>
                          <w:rFonts w:ascii="Cambria" w:hAnsi="Cambria" w:cs="Arial"/>
                          <w:b/>
                          <w:bCs/>
                          <w:color w:val="0D0D0D"/>
                          <w:sz w:val="36"/>
                          <w:lang w:val="en-US"/>
                        </w:rPr>
                        <w:t>/</w:t>
                      </w:r>
                      <w:r w:rsidR="004D028B">
                        <w:rPr>
                          <w:rFonts w:ascii="Cambria" w:hAnsi="Cambria" w:cs="Arial"/>
                          <w:b/>
                          <w:bCs/>
                          <w:color w:val="0D0D0D"/>
                          <w:sz w:val="36"/>
                          <w:lang w:val="en-US"/>
                        </w:rPr>
                        <w:t>2</w:t>
                      </w:r>
                      <w:r w:rsidR="00527697">
                        <w:rPr>
                          <w:rFonts w:ascii="Cambria" w:hAnsi="Cambria" w:cs="Arial"/>
                          <w:b/>
                          <w:bCs/>
                          <w:color w:val="0D0D0D"/>
                          <w:sz w:val="36"/>
                          <w:lang w:val="en-US"/>
                        </w:rPr>
                        <w:t>5</w:t>
                      </w:r>
                    </w:p>
                    <w:p w14:paraId="73C12A7F" w14:textId="454CF0F6" w:rsidR="00CB7C3D" w:rsidRPr="004D028B" w:rsidRDefault="00CB7C3D" w:rsidP="00E13A0C">
                      <w:pPr>
                        <w:spacing w:after="0" w:line="240" w:lineRule="auto"/>
                        <w:rPr>
                          <w:rFonts w:ascii="Cambria" w:hAnsi="Cambria" w:cs="Arial"/>
                          <w:b/>
                          <w:color w:val="0D0D0D"/>
                          <w:sz w:val="36"/>
                          <w:lang w:val="en-US"/>
                        </w:rPr>
                      </w:pPr>
                      <w:r w:rsidRPr="004D028B">
                        <w:rPr>
                          <w:rFonts w:ascii="Cambria" w:hAnsi="Cambria" w:cs="Arial"/>
                          <w:b/>
                          <w:color w:val="0D0D0D"/>
                          <w:sz w:val="36"/>
                          <w:lang w:val="en-US"/>
                        </w:rPr>
                        <w:t>CAS</w:t>
                      </w:r>
                      <w:r w:rsidR="00B435FD" w:rsidRPr="004D028B">
                        <w:rPr>
                          <w:rFonts w:ascii="Cambria" w:hAnsi="Cambria" w:cs="Arial"/>
                          <w:b/>
                          <w:color w:val="0D0D0D"/>
                          <w:sz w:val="36"/>
                          <w:lang w:val="en-US"/>
                        </w:rPr>
                        <w:t>E</w:t>
                      </w:r>
                      <w:r w:rsidRPr="004D028B">
                        <w:rPr>
                          <w:rFonts w:ascii="Cambria" w:hAnsi="Cambria" w:cs="Arial"/>
                          <w:b/>
                          <w:color w:val="0D0D0D"/>
                          <w:sz w:val="36"/>
                          <w:lang w:val="en-US"/>
                        </w:rPr>
                        <w:t xml:space="preserve"> 13.092</w:t>
                      </w:r>
                    </w:p>
                    <w:p w14:paraId="227FCBC3" w14:textId="3C9C05D4" w:rsidR="00B435FD" w:rsidRPr="004D028B" w:rsidRDefault="00B435FD" w:rsidP="00B435FD">
                      <w:pPr>
                        <w:rPr>
                          <w:rFonts w:asciiTheme="minorHAnsi" w:hAnsiTheme="minorHAnsi"/>
                          <w:color w:val="0D0D0D"/>
                          <w:sz w:val="20"/>
                          <w:szCs w:val="20"/>
                          <w:lang w:val="en-US"/>
                        </w:rPr>
                      </w:pPr>
                      <w:r w:rsidRPr="004D028B">
                        <w:rPr>
                          <w:rFonts w:asciiTheme="minorHAnsi" w:hAnsiTheme="minorHAnsi"/>
                          <w:color w:val="0D0D0D"/>
                          <w:sz w:val="20"/>
                          <w:szCs w:val="20"/>
                          <w:lang w:val="en-US"/>
                        </w:rPr>
                        <w:t>REPORT ON ADMISSIBILITY</w:t>
                      </w:r>
                      <w:r w:rsidR="008D0AE6" w:rsidRPr="004D028B">
                        <w:rPr>
                          <w:rFonts w:asciiTheme="minorHAnsi" w:hAnsiTheme="minorHAnsi"/>
                          <w:color w:val="0D0D0D"/>
                          <w:sz w:val="20"/>
                          <w:szCs w:val="20"/>
                          <w:lang w:val="en-US"/>
                        </w:rPr>
                        <w:t xml:space="preserve"> AND MERITS </w:t>
                      </w:r>
                      <w:r w:rsidR="00527697" w:rsidRPr="00D3634D">
                        <w:rPr>
                          <w:rFonts w:asciiTheme="minorHAnsi" w:hAnsiTheme="minorHAnsi"/>
                          <w:color w:val="0D0D0D"/>
                          <w:sz w:val="20"/>
                          <w:szCs w:val="20"/>
                          <w:lang w:val="en-US"/>
                        </w:rPr>
                        <w:t>(</w:t>
                      </w:r>
                      <w:r w:rsidR="00012260" w:rsidRPr="00D3634D">
                        <w:rPr>
                          <w:rFonts w:asciiTheme="minorHAnsi" w:hAnsiTheme="minorHAnsi"/>
                          <w:color w:val="0D0D0D"/>
                          <w:sz w:val="20"/>
                          <w:szCs w:val="20"/>
                          <w:lang w:val="en-US"/>
                        </w:rPr>
                        <w:t>PUBLICATION</w:t>
                      </w:r>
                      <w:r w:rsidR="00527697" w:rsidRPr="00D3634D">
                        <w:rPr>
                          <w:rFonts w:asciiTheme="minorHAnsi" w:hAnsiTheme="minorHAnsi"/>
                          <w:color w:val="0D0D0D"/>
                          <w:sz w:val="20"/>
                          <w:szCs w:val="20"/>
                          <w:lang w:val="en-US"/>
                        </w:rPr>
                        <w:t>)</w:t>
                      </w:r>
                    </w:p>
                    <w:p w14:paraId="1BB8ACAB" w14:textId="77777777" w:rsidR="00B435FD" w:rsidRPr="004D028B" w:rsidRDefault="00B435FD" w:rsidP="00B435FD">
                      <w:pPr>
                        <w:rPr>
                          <w:rFonts w:asciiTheme="minorHAnsi" w:hAnsiTheme="minorHAnsi"/>
                          <w:color w:val="0D0D0D"/>
                          <w:sz w:val="20"/>
                          <w:szCs w:val="20"/>
                          <w:lang w:val="en-US"/>
                        </w:rPr>
                      </w:pPr>
                    </w:p>
                    <w:p w14:paraId="16C4D1C6" w14:textId="77777777" w:rsidR="00B435FD" w:rsidRPr="004D028B" w:rsidRDefault="00B435FD" w:rsidP="00B435FD">
                      <w:pPr>
                        <w:rPr>
                          <w:rFonts w:asciiTheme="minorHAnsi" w:hAnsiTheme="minorHAnsi"/>
                          <w:color w:val="0D0D0D"/>
                          <w:sz w:val="20"/>
                          <w:szCs w:val="20"/>
                          <w:lang w:val="en-US"/>
                        </w:rPr>
                      </w:pPr>
                      <w:r w:rsidRPr="004D028B">
                        <w:rPr>
                          <w:rFonts w:asciiTheme="minorHAnsi" w:hAnsiTheme="minorHAnsi"/>
                          <w:color w:val="0D0D0D"/>
                          <w:sz w:val="20"/>
                          <w:szCs w:val="20"/>
                          <w:lang w:val="en-US"/>
                        </w:rPr>
                        <w:t>HÉCTOR LEONARDO KEMELMAJEN AND RAFAEL CHAIKIN</w:t>
                      </w:r>
                    </w:p>
                    <w:p w14:paraId="045A3008" w14:textId="17B04E82" w:rsidR="00CB7C3D" w:rsidRPr="00C4166F" w:rsidRDefault="00B435FD" w:rsidP="00B435FD">
                      <w:pPr>
                        <w:rPr>
                          <w:rFonts w:asciiTheme="minorHAnsi" w:hAnsiTheme="minorHAnsi"/>
                          <w:color w:val="0D0D0D"/>
                          <w:sz w:val="20"/>
                          <w:szCs w:val="20"/>
                          <w:lang w:val="es-ES_tradnl"/>
                        </w:rPr>
                      </w:pPr>
                      <w:r w:rsidRPr="00C4166F">
                        <w:rPr>
                          <w:rFonts w:asciiTheme="minorHAnsi" w:hAnsiTheme="minorHAnsi"/>
                          <w:color w:val="0D0D0D"/>
                          <w:sz w:val="20"/>
                          <w:szCs w:val="20"/>
                          <w:lang w:val="es-ES_tradnl"/>
                        </w:rPr>
                        <w:t>ARGENTINA</w:t>
                      </w:r>
                    </w:p>
                    <w:p w14:paraId="12F16047" w14:textId="77777777" w:rsidR="00CB7C3D" w:rsidRPr="00A767EE" w:rsidRDefault="00CB7C3D" w:rsidP="007374FF">
                      <w:pPr>
                        <w:rPr>
                          <w:color w:val="0D0D0D"/>
                          <w:lang w:val="es-ES_tradnl"/>
                        </w:rPr>
                      </w:pPr>
                    </w:p>
                    <w:p w14:paraId="51072E34" w14:textId="77777777" w:rsidR="00CB7C3D" w:rsidRPr="00A767EE" w:rsidRDefault="00CB7C3D" w:rsidP="007374FF">
                      <w:pPr>
                        <w:rPr>
                          <w:color w:val="0D0D0D"/>
                          <w:lang w:val="es-ES_tradnl"/>
                        </w:rPr>
                      </w:pPr>
                    </w:p>
                    <w:p w14:paraId="1B845364" w14:textId="77777777" w:rsidR="00CB7C3D" w:rsidRPr="00A767EE" w:rsidRDefault="00CB7C3D" w:rsidP="007374FF">
                      <w:pPr>
                        <w:rPr>
                          <w:color w:val="0D0D0D"/>
                          <w:lang w:val="es-ES_tradnl"/>
                        </w:rPr>
                      </w:pPr>
                    </w:p>
                    <w:p w14:paraId="3E7FD648" w14:textId="77777777" w:rsidR="00CB7C3D" w:rsidRPr="00A767EE" w:rsidRDefault="00CB7C3D" w:rsidP="007374FF">
                      <w:pPr>
                        <w:rPr>
                          <w:color w:val="0D0D0D"/>
                          <w:lang w:val="es-ES_tradnl"/>
                        </w:rPr>
                      </w:pPr>
                    </w:p>
                    <w:p w14:paraId="494C4F6A" w14:textId="77777777" w:rsidR="00CB7C3D" w:rsidRPr="00A767EE" w:rsidRDefault="00CB7C3D" w:rsidP="007374FF">
                      <w:pPr>
                        <w:rPr>
                          <w:color w:val="0D0D0D"/>
                          <w:lang w:val="es-ES_tradnl"/>
                        </w:rPr>
                      </w:pPr>
                    </w:p>
                    <w:p w14:paraId="0F8F6562" w14:textId="77777777" w:rsidR="00CB7C3D" w:rsidRPr="00A767EE" w:rsidRDefault="00CB7C3D" w:rsidP="007374FF">
                      <w:pPr>
                        <w:rPr>
                          <w:color w:val="0D0D0D"/>
                          <w:lang w:val="es-ES_tradnl"/>
                        </w:rPr>
                      </w:pPr>
                    </w:p>
                    <w:p w14:paraId="0B312C35" w14:textId="77777777" w:rsidR="00CB7C3D" w:rsidRPr="00A767EE" w:rsidRDefault="00CB7C3D" w:rsidP="007374FF">
                      <w:pPr>
                        <w:rPr>
                          <w:color w:val="0D0D0D"/>
                          <w:lang w:val="es-ES_tradnl"/>
                        </w:rPr>
                      </w:pPr>
                    </w:p>
                    <w:p w14:paraId="7879AB4B" w14:textId="77777777" w:rsidR="00CB7C3D" w:rsidRPr="00A767EE" w:rsidRDefault="00CB7C3D" w:rsidP="007374FF">
                      <w:pPr>
                        <w:rPr>
                          <w:color w:val="0D0D0D"/>
                          <w:lang w:val="es-ES_tradnl"/>
                        </w:rPr>
                      </w:pPr>
                    </w:p>
                    <w:p w14:paraId="6EAD455E" w14:textId="77777777" w:rsidR="00CB7C3D" w:rsidRPr="00A767EE" w:rsidRDefault="00CB7C3D" w:rsidP="007374FF">
                      <w:pPr>
                        <w:rPr>
                          <w:color w:val="0D0D0D"/>
                          <w:lang w:val="es-ES_tradnl"/>
                        </w:rPr>
                      </w:pPr>
                    </w:p>
                  </w:txbxContent>
                </v:textbox>
              </v:shape>
            </w:pict>
          </mc:Fallback>
        </mc:AlternateContent>
      </w:r>
      <w:r w:rsidR="00DD6A82">
        <w:rPr>
          <w:rFonts w:ascii="Cambria" w:hAnsi="Cambria"/>
          <w:noProof/>
          <w:lang w:val="en-US"/>
        </w:rPr>
        <mc:AlternateContent>
          <mc:Choice Requires="wps">
            <w:drawing>
              <wp:anchor distT="0" distB="0" distL="114300" distR="114300" simplePos="0" relativeHeight="251659264" behindDoc="0" locked="0" layoutInCell="1" allowOverlap="1" wp14:anchorId="68CF4AA7" wp14:editId="32F675BB">
                <wp:simplePos x="0" y="0"/>
                <wp:positionH relativeFrom="column">
                  <wp:posOffset>1376045</wp:posOffset>
                </wp:positionH>
                <wp:positionV relativeFrom="paragraph">
                  <wp:posOffset>6830060</wp:posOffset>
                </wp:positionV>
                <wp:extent cx="4943475" cy="657225"/>
                <wp:effectExtent l="4445" t="0" r="5080" b="571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3475" cy="657225"/>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59BA344C" w14:textId="5E567AE9" w:rsidR="00CB7C3D" w:rsidRPr="00527697" w:rsidRDefault="00CB7C3D" w:rsidP="00C82286">
                            <w:pPr>
                              <w:spacing w:after="0"/>
                              <w:rPr>
                                <w:rFonts w:ascii="Cambria" w:hAnsi="Cambria"/>
                                <w:color w:val="595959"/>
                                <w:sz w:val="18"/>
                                <w:szCs w:val="18"/>
                                <w:lang w:val="es-ES_tradnl"/>
                              </w:rPr>
                            </w:pPr>
                            <w:r w:rsidRPr="00C51584">
                              <w:rPr>
                                <w:rFonts w:ascii="Cambria" w:hAnsi="Cambria"/>
                                <w:b/>
                                <w:color w:val="595959"/>
                                <w:sz w:val="18"/>
                                <w:szCs w:val="18"/>
                                <w:lang w:val="en-US"/>
                              </w:rPr>
                              <w:t>Cit</w:t>
                            </w:r>
                            <w:r w:rsidR="008D0AE6" w:rsidRPr="00C51584">
                              <w:rPr>
                                <w:rFonts w:ascii="Cambria" w:hAnsi="Cambria"/>
                                <w:b/>
                                <w:color w:val="595959"/>
                                <w:sz w:val="18"/>
                                <w:szCs w:val="18"/>
                                <w:lang w:val="en-US"/>
                              </w:rPr>
                              <w:t>e</w:t>
                            </w:r>
                            <w:r w:rsidRPr="00C51584">
                              <w:rPr>
                                <w:rFonts w:ascii="Cambria" w:hAnsi="Cambria"/>
                                <w:b/>
                                <w:color w:val="595959"/>
                                <w:sz w:val="18"/>
                                <w:szCs w:val="18"/>
                                <w:lang w:val="en-US"/>
                              </w:rPr>
                              <w:t xml:space="preserve"> </w:t>
                            </w:r>
                            <w:r w:rsidR="008D0AE6" w:rsidRPr="00C51584">
                              <w:rPr>
                                <w:rFonts w:ascii="Cambria" w:hAnsi="Cambria"/>
                                <w:b/>
                                <w:color w:val="595959"/>
                                <w:sz w:val="18"/>
                                <w:szCs w:val="18"/>
                                <w:lang w:val="en-US"/>
                              </w:rPr>
                              <w:t>as</w:t>
                            </w:r>
                            <w:r w:rsidRPr="00C51584">
                              <w:rPr>
                                <w:rFonts w:ascii="Cambria" w:hAnsi="Cambria"/>
                                <w:b/>
                                <w:color w:val="595959"/>
                                <w:sz w:val="18"/>
                                <w:szCs w:val="18"/>
                                <w:lang w:val="en-US"/>
                              </w:rPr>
                              <w:t>:</w:t>
                            </w:r>
                            <w:r w:rsidRPr="00C51584">
                              <w:rPr>
                                <w:rFonts w:ascii="Cambria" w:hAnsi="Cambria"/>
                                <w:color w:val="595959"/>
                                <w:sz w:val="18"/>
                                <w:szCs w:val="18"/>
                                <w:lang w:val="en-US"/>
                              </w:rPr>
                              <w:t xml:space="preserve"> </w:t>
                            </w:r>
                            <w:r w:rsidR="008D0AE6" w:rsidRPr="00C51584">
                              <w:rPr>
                                <w:rFonts w:ascii="Cambria" w:hAnsi="Cambria"/>
                                <w:color w:val="595959"/>
                                <w:sz w:val="18"/>
                                <w:szCs w:val="18"/>
                                <w:lang w:val="en-US"/>
                              </w:rPr>
                              <w:t>IACHR</w:t>
                            </w:r>
                            <w:r w:rsidRPr="00C51584">
                              <w:rPr>
                                <w:rFonts w:ascii="Cambria" w:hAnsi="Cambria"/>
                                <w:color w:val="595959"/>
                                <w:sz w:val="18"/>
                                <w:szCs w:val="18"/>
                                <w:lang w:val="en-US"/>
                              </w:rPr>
                              <w:t xml:space="preserve">, </w:t>
                            </w:r>
                            <w:r w:rsidR="008D0AE6" w:rsidRPr="00C51584">
                              <w:rPr>
                                <w:rFonts w:ascii="Cambria" w:hAnsi="Cambria"/>
                                <w:color w:val="595959"/>
                                <w:sz w:val="18"/>
                                <w:szCs w:val="18"/>
                                <w:lang w:val="en-US"/>
                              </w:rPr>
                              <w:t>Report</w:t>
                            </w:r>
                            <w:r w:rsidR="004D028B" w:rsidRPr="00C51584">
                              <w:rPr>
                                <w:rFonts w:ascii="Cambria" w:hAnsi="Cambria"/>
                                <w:color w:val="595959"/>
                                <w:sz w:val="18"/>
                                <w:szCs w:val="18"/>
                                <w:lang w:val="en-US"/>
                              </w:rPr>
                              <w:t xml:space="preserve"> No. </w:t>
                            </w:r>
                            <w:r w:rsidR="00344276">
                              <w:rPr>
                                <w:rFonts w:ascii="Cambria" w:hAnsi="Cambria"/>
                                <w:color w:val="595959"/>
                                <w:sz w:val="18"/>
                                <w:szCs w:val="18"/>
                                <w:lang w:val="en-US"/>
                              </w:rPr>
                              <w:t>112</w:t>
                            </w:r>
                            <w:r w:rsidRPr="004D028B">
                              <w:rPr>
                                <w:rFonts w:ascii="Cambria" w:hAnsi="Cambria"/>
                                <w:color w:val="595959"/>
                                <w:sz w:val="18"/>
                                <w:szCs w:val="18"/>
                                <w:lang w:val="en-US"/>
                              </w:rPr>
                              <w:t>/</w:t>
                            </w:r>
                            <w:r w:rsidR="006C062D" w:rsidRPr="004D028B">
                              <w:rPr>
                                <w:rFonts w:ascii="Cambria" w:hAnsi="Cambria"/>
                                <w:color w:val="595959"/>
                                <w:sz w:val="18"/>
                                <w:szCs w:val="18"/>
                                <w:lang w:val="en-US"/>
                              </w:rPr>
                              <w:t>2</w:t>
                            </w:r>
                            <w:r w:rsidR="00527697">
                              <w:rPr>
                                <w:rFonts w:ascii="Cambria" w:hAnsi="Cambria"/>
                                <w:color w:val="595959"/>
                                <w:sz w:val="18"/>
                                <w:szCs w:val="18"/>
                                <w:lang w:val="en-US"/>
                              </w:rPr>
                              <w:t>5</w:t>
                            </w:r>
                            <w:r w:rsidRPr="004D028B">
                              <w:rPr>
                                <w:rFonts w:ascii="Cambria" w:hAnsi="Cambria"/>
                                <w:color w:val="595959"/>
                                <w:sz w:val="18"/>
                                <w:szCs w:val="18"/>
                                <w:lang w:val="en-US"/>
                              </w:rPr>
                              <w:t>, Cas</w:t>
                            </w:r>
                            <w:r w:rsidR="008D0AE6" w:rsidRPr="004D028B">
                              <w:rPr>
                                <w:rFonts w:ascii="Cambria" w:hAnsi="Cambria"/>
                                <w:color w:val="595959"/>
                                <w:sz w:val="18"/>
                                <w:szCs w:val="18"/>
                                <w:lang w:val="en-US"/>
                              </w:rPr>
                              <w:t>e</w:t>
                            </w:r>
                            <w:r w:rsidRPr="004D028B">
                              <w:rPr>
                                <w:rFonts w:ascii="Cambria" w:hAnsi="Cambria"/>
                                <w:color w:val="595959"/>
                                <w:sz w:val="18"/>
                                <w:szCs w:val="18"/>
                                <w:lang w:val="en-US"/>
                              </w:rPr>
                              <w:t xml:space="preserve"> 13.092. </w:t>
                            </w:r>
                            <w:r w:rsidR="008D0AE6" w:rsidRPr="004D028B">
                              <w:rPr>
                                <w:rFonts w:ascii="Cambria" w:hAnsi="Cambria"/>
                                <w:color w:val="595959"/>
                                <w:sz w:val="18"/>
                                <w:szCs w:val="18"/>
                                <w:lang w:val="en-US"/>
                              </w:rPr>
                              <w:t>Admissibility and Merits</w:t>
                            </w:r>
                            <w:r w:rsidR="00527697">
                              <w:rPr>
                                <w:rFonts w:ascii="Cambria" w:hAnsi="Cambria"/>
                                <w:color w:val="595959"/>
                                <w:sz w:val="18"/>
                                <w:szCs w:val="18"/>
                                <w:lang w:val="en-US"/>
                              </w:rPr>
                              <w:t xml:space="preserve"> </w:t>
                            </w:r>
                            <w:r w:rsidR="00527697" w:rsidRPr="00344276">
                              <w:rPr>
                                <w:rFonts w:ascii="Cambria" w:hAnsi="Cambria"/>
                                <w:color w:val="595959"/>
                                <w:sz w:val="18"/>
                                <w:szCs w:val="18"/>
                                <w:lang w:val="en-US"/>
                              </w:rPr>
                              <w:t>(</w:t>
                            </w:r>
                            <w:r w:rsidR="00012260" w:rsidRPr="00344276">
                              <w:rPr>
                                <w:rFonts w:ascii="Cambria" w:hAnsi="Cambria"/>
                                <w:color w:val="595959"/>
                                <w:sz w:val="18"/>
                                <w:szCs w:val="18"/>
                                <w:lang w:val="en-US"/>
                              </w:rPr>
                              <w:t>Publication</w:t>
                            </w:r>
                            <w:r w:rsidR="00527697" w:rsidRPr="00344276">
                              <w:rPr>
                                <w:rFonts w:ascii="Cambria" w:hAnsi="Cambria"/>
                                <w:color w:val="595959"/>
                                <w:sz w:val="18"/>
                                <w:szCs w:val="18"/>
                                <w:lang w:val="en-US"/>
                              </w:rPr>
                              <w:t>)</w:t>
                            </w:r>
                            <w:r w:rsidR="008D0AE6" w:rsidRPr="00344276">
                              <w:rPr>
                                <w:rFonts w:ascii="Cambria" w:hAnsi="Cambria"/>
                                <w:color w:val="595959"/>
                                <w:sz w:val="18"/>
                                <w:szCs w:val="18"/>
                                <w:lang w:val="en-US"/>
                              </w:rPr>
                              <w:t>.</w:t>
                            </w:r>
                            <w:r w:rsidR="008D0AE6" w:rsidRPr="004D028B">
                              <w:rPr>
                                <w:rFonts w:ascii="Cambria" w:hAnsi="Cambria"/>
                                <w:color w:val="595959"/>
                                <w:sz w:val="18"/>
                                <w:szCs w:val="18"/>
                                <w:lang w:val="en-US"/>
                              </w:rPr>
                              <w:t xml:space="preserve"> </w:t>
                            </w:r>
                            <w:r w:rsidRPr="00C51584">
                              <w:rPr>
                                <w:rFonts w:ascii="Cambria" w:hAnsi="Cambria"/>
                                <w:color w:val="595959"/>
                                <w:sz w:val="18"/>
                                <w:szCs w:val="18"/>
                                <w:lang w:val="en-US"/>
                              </w:rPr>
                              <w:t xml:space="preserve">Héctor Leonardo Kemelmajen </w:t>
                            </w:r>
                            <w:r w:rsidR="008D0AE6" w:rsidRPr="00C51584">
                              <w:rPr>
                                <w:rFonts w:ascii="Cambria" w:hAnsi="Cambria"/>
                                <w:color w:val="595959"/>
                                <w:sz w:val="18"/>
                                <w:szCs w:val="18"/>
                                <w:lang w:val="en-US"/>
                              </w:rPr>
                              <w:t>and</w:t>
                            </w:r>
                            <w:r w:rsidR="004D028B" w:rsidRPr="00C51584">
                              <w:rPr>
                                <w:rFonts w:ascii="Cambria" w:hAnsi="Cambria"/>
                                <w:color w:val="595959"/>
                                <w:sz w:val="18"/>
                                <w:szCs w:val="18"/>
                                <w:lang w:val="en-US"/>
                              </w:rPr>
                              <w:t xml:space="preserve"> Rafael Chaikin. </w:t>
                            </w:r>
                            <w:r w:rsidR="004D028B">
                              <w:rPr>
                                <w:rFonts w:ascii="Cambria" w:hAnsi="Cambria"/>
                                <w:color w:val="595959"/>
                                <w:sz w:val="18"/>
                                <w:szCs w:val="18"/>
                                <w:lang w:val="es-ES_tradnl"/>
                              </w:rPr>
                              <w:t xml:space="preserve">Argentina. </w:t>
                            </w:r>
                            <w:r w:rsidR="00344276">
                              <w:rPr>
                                <w:rFonts w:ascii="Cambria" w:hAnsi="Cambria"/>
                                <w:color w:val="595959"/>
                                <w:sz w:val="18"/>
                                <w:szCs w:val="18"/>
                                <w:lang w:val="es-ES_tradnl"/>
                              </w:rPr>
                              <w:t>July 14</w:t>
                            </w:r>
                            <w:r w:rsidR="004D028B">
                              <w:rPr>
                                <w:rFonts w:ascii="Cambria" w:hAnsi="Cambria"/>
                                <w:color w:val="595959"/>
                                <w:sz w:val="18"/>
                                <w:szCs w:val="18"/>
                                <w:lang w:val="es-ES_tradnl"/>
                              </w:rPr>
                              <w:t>,</w:t>
                            </w:r>
                            <w:r>
                              <w:rPr>
                                <w:rFonts w:ascii="Cambria" w:hAnsi="Cambria"/>
                                <w:color w:val="595959"/>
                                <w:sz w:val="18"/>
                                <w:szCs w:val="18"/>
                                <w:lang w:val="es-ES_tradnl"/>
                              </w:rPr>
                              <w:t xml:space="preserve"> 202</w:t>
                            </w:r>
                            <w:r w:rsidR="00527697">
                              <w:rPr>
                                <w:rFonts w:ascii="Cambria" w:hAnsi="Cambria"/>
                                <w:color w:val="595959"/>
                                <w:sz w:val="18"/>
                                <w:szCs w:val="18"/>
                                <w:lang w:val="es-ES_tradnl"/>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CF4AA7" id="Text Box 10" o:spid="_x0000_s1027" type="#_x0000_t202" style="position:absolute;left:0;text-align:left;margin-left:108.35pt;margin-top:537.8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" filled="f" stroked="f">
                <v:textbox>
                  <w:txbxContent>
                    <w:p w14:paraId="59BA344C" w14:textId="5E567AE9" w:rsidR="00CB7C3D" w:rsidRPr="00527697" w:rsidRDefault="00CB7C3D" w:rsidP="00C82286">
                      <w:pPr>
                        <w:spacing w:after="0"/>
                        <w:rPr>
                          <w:rFonts w:ascii="Cambria" w:hAnsi="Cambria"/>
                          <w:color w:val="595959"/>
                          <w:sz w:val="18"/>
                          <w:szCs w:val="18"/>
                          <w:lang w:val="es-ES_tradnl"/>
                        </w:rPr>
                      </w:pPr>
                      <w:r w:rsidRPr="00C51584">
                        <w:rPr>
                          <w:rFonts w:ascii="Cambria" w:hAnsi="Cambria"/>
                          <w:b/>
                          <w:color w:val="595959"/>
                          <w:sz w:val="18"/>
                          <w:szCs w:val="18"/>
                          <w:lang w:val="en-US"/>
                        </w:rPr>
                        <w:t>Cit</w:t>
                      </w:r>
                      <w:r w:rsidR="008D0AE6" w:rsidRPr="00C51584">
                        <w:rPr>
                          <w:rFonts w:ascii="Cambria" w:hAnsi="Cambria"/>
                          <w:b/>
                          <w:color w:val="595959"/>
                          <w:sz w:val="18"/>
                          <w:szCs w:val="18"/>
                          <w:lang w:val="en-US"/>
                        </w:rPr>
                        <w:t>e</w:t>
                      </w:r>
                      <w:r w:rsidRPr="00C51584">
                        <w:rPr>
                          <w:rFonts w:ascii="Cambria" w:hAnsi="Cambria"/>
                          <w:b/>
                          <w:color w:val="595959"/>
                          <w:sz w:val="18"/>
                          <w:szCs w:val="18"/>
                          <w:lang w:val="en-US"/>
                        </w:rPr>
                        <w:t xml:space="preserve"> </w:t>
                      </w:r>
                      <w:r w:rsidR="008D0AE6" w:rsidRPr="00C51584">
                        <w:rPr>
                          <w:rFonts w:ascii="Cambria" w:hAnsi="Cambria"/>
                          <w:b/>
                          <w:color w:val="595959"/>
                          <w:sz w:val="18"/>
                          <w:szCs w:val="18"/>
                          <w:lang w:val="en-US"/>
                        </w:rPr>
                        <w:t>as</w:t>
                      </w:r>
                      <w:r w:rsidRPr="00C51584">
                        <w:rPr>
                          <w:rFonts w:ascii="Cambria" w:hAnsi="Cambria"/>
                          <w:b/>
                          <w:color w:val="595959"/>
                          <w:sz w:val="18"/>
                          <w:szCs w:val="18"/>
                          <w:lang w:val="en-US"/>
                        </w:rPr>
                        <w:t>:</w:t>
                      </w:r>
                      <w:r w:rsidRPr="00C51584">
                        <w:rPr>
                          <w:rFonts w:ascii="Cambria" w:hAnsi="Cambria"/>
                          <w:color w:val="595959"/>
                          <w:sz w:val="18"/>
                          <w:szCs w:val="18"/>
                          <w:lang w:val="en-US"/>
                        </w:rPr>
                        <w:t xml:space="preserve"> </w:t>
                      </w:r>
                      <w:r w:rsidR="008D0AE6" w:rsidRPr="00C51584">
                        <w:rPr>
                          <w:rFonts w:ascii="Cambria" w:hAnsi="Cambria"/>
                          <w:color w:val="595959"/>
                          <w:sz w:val="18"/>
                          <w:szCs w:val="18"/>
                          <w:lang w:val="en-US"/>
                        </w:rPr>
                        <w:t>IACHR</w:t>
                      </w:r>
                      <w:r w:rsidRPr="00C51584">
                        <w:rPr>
                          <w:rFonts w:ascii="Cambria" w:hAnsi="Cambria"/>
                          <w:color w:val="595959"/>
                          <w:sz w:val="18"/>
                          <w:szCs w:val="18"/>
                          <w:lang w:val="en-US"/>
                        </w:rPr>
                        <w:t xml:space="preserve">, </w:t>
                      </w:r>
                      <w:r w:rsidR="008D0AE6" w:rsidRPr="00C51584">
                        <w:rPr>
                          <w:rFonts w:ascii="Cambria" w:hAnsi="Cambria"/>
                          <w:color w:val="595959"/>
                          <w:sz w:val="18"/>
                          <w:szCs w:val="18"/>
                          <w:lang w:val="en-US"/>
                        </w:rPr>
                        <w:t>Report</w:t>
                      </w:r>
                      <w:r w:rsidR="004D028B" w:rsidRPr="00C51584">
                        <w:rPr>
                          <w:rFonts w:ascii="Cambria" w:hAnsi="Cambria"/>
                          <w:color w:val="595959"/>
                          <w:sz w:val="18"/>
                          <w:szCs w:val="18"/>
                          <w:lang w:val="en-US"/>
                        </w:rPr>
                        <w:t xml:space="preserve"> No. </w:t>
                      </w:r>
                      <w:r w:rsidR="00344276">
                        <w:rPr>
                          <w:rFonts w:ascii="Cambria" w:hAnsi="Cambria"/>
                          <w:color w:val="595959"/>
                          <w:sz w:val="18"/>
                          <w:szCs w:val="18"/>
                          <w:lang w:val="en-US"/>
                        </w:rPr>
                        <w:t>112</w:t>
                      </w:r>
                      <w:r w:rsidRPr="004D028B">
                        <w:rPr>
                          <w:rFonts w:ascii="Cambria" w:hAnsi="Cambria"/>
                          <w:color w:val="595959"/>
                          <w:sz w:val="18"/>
                          <w:szCs w:val="18"/>
                          <w:lang w:val="en-US"/>
                        </w:rPr>
                        <w:t>/</w:t>
                      </w:r>
                      <w:r w:rsidR="006C062D" w:rsidRPr="004D028B">
                        <w:rPr>
                          <w:rFonts w:ascii="Cambria" w:hAnsi="Cambria"/>
                          <w:color w:val="595959"/>
                          <w:sz w:val="18"/>
                          <w:szCs w:val="18"/>
                          <w:lang w:val="en-US"/>
                        </w:rPr>
                        <w:t>2</w:t>
                      </w:r>
                      <w:r w:rsidR="00527697">
                        <w:rPr>
                          <w:rFonts w:ascii="Cambria" w:hAnsi="Cambria"/>
                          <w:color w:val="595959"/>
                          <w:sz w:val="18"/>
                          <w:szCs w:val="18"/>
                          <w:lang w:val="en-US"/>
                        </w:rPr>
                        <w:t>5</w:t>
                      </w:r>
                      <w:r w:rsidRPr="004D028B">
                        <w:rPr>
                          <w:rFonts w:ascii="Cambria" w:hAnsi="Cambria"/>
                          <w:color w:val="595959"/>
                          <w:sz w:val="18"/>
                          <w:szCs w:val="18"/>
                          <w:lang w:val="en-US"/>
                        </w:rPr>
                        <w:t>, Cas</w:t>
                      </w:r>
                      <w:r w:rsidR="008D0AE6" w:rsidRPr="004D028B">
                        <w:rPr>
                          <w:rFonts w:ascii="Cambria" w:hAnsi="Cambria"/>
                          <w:color w:val="595959"/>
                          <w:sz w:val="18"/>
                          <w:szCs w:val="18"/>
                          <w:lang w:val="en-US"/>
                        </w:rPr>
                        <w:t>e</w:t>
                      </w:r>
                      <w:r w:rsidRPr="004D028B">
                        <w:rPr>
                          <w:rFonts w:ascii="Cambria" w:hAnsi="Cambria"/>
                          <w:color w:val="595959"/>
                          <w:sz w:val="18"/>
                          <w:szCs w:val="18"/>
                          <w:lang w:val="en-US"/>
                        </w:rPr>
                        <w:t xml:space="preserve"> 13.092. </w:t>
                      </w:r>
                      <w:r w:rsidR="008D0AE6" w:rsidRPr="004D028B">
                        <w:rPr>
                          <w:rFonts w:ascii="Cambria" w:hAnsi="Cambria"/>
                          <w:color w:val="595959"/>
                          <w:sz w:val="18"/>
                          <w:szCs w:val="18"/>
                          <w:lang w:val="en-US"/>
                        </w:rPr>
                        <w:t>Admissibility and Merits</w:t>
                      </w:r>
                      <w:r w:rsidR="00527697">
                        <w:rPr>
                          <w:rFonts w:ascii="Cambria" w:hAnsi="Cambria"/>
                          <w:color w:val="595959"/>
                          <w:sz w:val="18"/>
                          <w:szCs w:val="18"/>
                          <w:lang w:val="en-US"/>
                        </w:rPr>
                        <w:t xml:space="preserve"> </w:t>
                      </w:r>
                      <w:r w:rsidR="00527697" w:rsidRPr="00344276">
                        <w:rPr>
                          <w:rFonts w:ascii="Cambria" w:hAnsi="Cambria"/>
                          <w:color w:val="595959"/>
                          <w:sz w:val="18"/>
                          <w:szCs w:val="18"/>
                          <w:lang w:val="en-US"/>
                        </w:rPr>
                        <w:t>(</w:t>
                      </w:r>
                      <w:r w:rsidR="00012260" w:rsidRPr="00344276">
                        <w:rPr>
                          <w:rFonts w:ascii="Cambria" w:hAnsi="Cambria"/>
                          <w:color w:val="595959"/>
                          <w:sz w:val="18"/>
                          <w:szCs w:val="18"/>
                          <w:lang w:val="en-US"/>
                        </w:rPr>
                        <w:t>Publication</w:t>
                      </w:r>
                      <w:r w:rsidR="00527697" w:rsidRPr="00344276">
                        <w:rPr>
                          <w:rFonts w:ascii="Cambria" w:hAnsi="Cambria"/>
                          <w:color w:val="595959"/>
                          <w:sz w:val="18"/>
                          <w:szCs w:val="18"/>
                          <w:lang w:val="en-US"/>
                        </w:rPr>
                        <w:t>)</w:t>
                      </w:r>
                      <w:r w:rsidR="008D0AE6" w:rsidRPr="00344276">
                        <w:rPr>
                          <w:rFonts w:ascii="Cambria" w:hAnsi="Cambria"/>
                          <w:color w:val="595959"/>
                          <w:sz w:val="18"/>
                          <w:szCs w:val="18"/>
                          <w:lang w:val="en-US"/>
                        </w:rPr>
                        <w:t>.</w:t>
                      </w:r>
                      <w:r w:rsidR="008D0AE6" w:rsidRPr="004D028B">
                        <w:rPr>
                          <w:rFonts w:ascii="Cambria" w:hAnsi="Cambria"/>
                          <w:color w:val="595959"/>
                          <w:sz w:val="18"/>
                          <w:szCs w:val="18"/>
                          <w:lang w:val="en-US"/>
                        </w:rPr>
                        <w:t xml:space="preserve"> </w:t>
                      </w:r>
                      <w:r w:rsidRPr="00C51584">
                        <w:rPr>
                          <w:rFonts w:ascii="Cambria" w:hAnsi="Cambria"/>
                          <w:color w:val="595959"/>
                          <w:sz w:val="18"/>
                          <w:szCs w:val="18"/>
                          <w:lang w:val="en-US"/>
                        </w:rPr>
                        <w:t xml:space="preserve">Héctor Leonardo Kemelmajen </w:t>
                      </w:r>
                      <w:r w:rsidR="008D0AE6" w:rsidRPr="00C51584">
                        <w:rPr>
                          <w:rFonts w:ascii="Cambria" w:hAnsi="Cambria"/>
                          <w:color w:val="595959"/>
                          <w:sz w:val="18"/>
                          <w:szCs w:val="18"/>
                          <w:lang w:val="en-US"/>
                        </w:rPr>
                        <w:t>and</w:t>
                      </w:r>
                      <w:r w:rsidR="004D028B" w:rsidRPr="00C51584">
                        <w:rPr>
                          <w:rFonts w:ascii="Cambria" w:hAnsi="Cambria"/>
                          <w:color w:val="595959"/>
                          <w:sz w:val="18"/>
                          <w:szCs w:val="18"/>
                          <w:lang w:val="en-US"/>
                        </w:rPr>
                        <w:t xml:space="preserve"> Rafael Chaikin. </w:t>
                      </w:r>
                      <w:r w:rsidR="004D028B">
                        <w:rPr>
                          <w:rFonts w:ascii="Cambria" w:hAnsi="Cambria"/>
                          <w:color w:val="595959"/>
                          <w:sz w:val="18"/>
                          <w:szCs w:val="18"/>
                          <w:lang w:val="es-ES_tradnl"/>
                        </w:rPr>
                        <w:t xml:space="preserve">Argentina. </w:t>
                      </w:r>
                      <w:r w:rsidR="00344276">
                        <w:rPr>
                          <w:rFonts w:ascii="Cambria" w:hAnsi="Cambria"/>
                          <w:color w:val="595959"/>
                          <w:sz w:val="18"/>
                          <w:szCs w:val="18"/>
                          <w:lang w:val="es-ES_tradnl"/>
                        </w:rPr>
                        <w:t>July 14</w:t>
                      </w:r>
                      <w:r w:rsidR="004D028B">
                        <w:rPr>
                          <w:rFonts w:ascii="Cambria" w:hAnsi="Cambria"/>
                          <w:color w:val="595959"/>
                          <w:sz w:val="18"/>
                          <w:szCs w:val="18"/>
                          <w:lang w:val="es-ES_tradnl"/>
                        </w:rPr>
                        <w:t>,</w:t>
                      </w:r>
                      <w:r>
                        <w:rPr>
                          <w:rFonts w:ascii="Cambria" w:hAnsi="Cambria"/>
                          <w:color w:val="595959"/>
                          <w:sz w:val="18"/>
                          <w:szCs w:val="18"/>
                          <w:lang w:val="es-ES_tradnl"/>
                        </w:rPr>
                        <w:t xml:space="preserve"> 202</w:t>
                      </w:r>
                      <w:r w:rsidR="00527697">
                        <w:rPr>
                          <w:rFonts w:ascii="Cambria" w:hAnsi="Cambria"/>
                          <w:color w:val="595959"/>
                          <w:sz w:val="18"/>
                          <w:szCs w:val="18"/>
                          <w:lang w:val="es-ES_tradnl"/>
                        </w:rPr>
                        <w:t>5</w:t>
                      </w:r>
                    </w:p>
                  </w:txbxContent>
                </v:textbox>
              </v:shape>
            </w:pict>
          </mc:Fallback>
        </mc:AlternateContent>
      </w:r>
      <w:r w:rsidR="00DD6A82">
        <w:rPr>
          <w:rFonts w:ascii="Cambria" w:hAnsi="Cambria"/>
          <w:noProof/>
          <w:lang w:val="en-US"/>
        </w:rPr>
        <mc:AlternateContent>
          <mc:Choice Requires="wps">
            <w:drawing>
              <wp:anchor distT="0" distB="0" distL="114300" distR="114300" simplePos="0" relativeHeight="251657216" behindDoc="0" locked="0" layoutInCell="1" allowOverlap="1" wp14:anchorId="5647A7D8" wp14:editId="0B815E70">
                <wp:simplePos x="0" y="0"/>
                <wp:positionH relativeFrom="column">
                  <wp:posOffset>-342900</wp:posOffset>
                </wp:positionH>
                <wp:positionV relativeFrom="paragraph">
                  <wp:posOffset>2450465</wp:posOffset>
                </wp:positionV>
                <wp:extent cx="1390650" cy="1377315"/>
                <wp:effectExtent l="0" t="0" r="635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0650" cy="1377315"/>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44A4FE09" w14:textId="77777777" w:rsidR="00CB7C3D" w:rsidRPr="00243D64" w:rsidRDefault="00CB7C3D" w:rsidP="007374FF">
                            <w:pPr>
                              <w:jc w:val="right"/>
                              <w:rPr>
                                <w:color w:val="FFFFFF"/>
                                <w:lang w:val="pt-BR"/>
                              </w:rPr>
                            </w:pPr>
                            <w:r>
                              <w:rPr>
                                <w:color w:val="FFFFFF"/>
                                <w:lang w:val="pt-BR"/>
                              </w:rPr>
                              <w:t>OEA/Ser.L/V/II.17X</w:t>
                            </w:r>
                          </w:p>
                          <w:p w14:paraId="08B26CAD" w14:textId="77777777" w:rsidR="00CB7C3D" w:rsidRPr="00243D64" w:rsidRDefault="00CB7C3D" w:rsidP="007374FF">
                            <w:pPr>
                              <w:jc w:val="right"/>
                              <w:rPr>
                                <w:color w:val="FFFFFF"/>
                                <w:lang w:val="pt-BR"/>
                              </w:rPr>
                            </w:pPr>
                            <w:r w:rsidRPr="00243D64">
                              <w:rPr>
                                <w:color w:val="FFFFFF"/>
                                <w:lang w:val="pt-BR"/>
                              </w:rPr>
                              <w:t>Doc. XX</w:t>
                            </w:r>
                          </w:p>
                          <w:p w14:paraId="3FFFCE50" w14:textId="77777777" w:rsidR="00CB7C3D" w:rsidRPr="00243D64" w:rsidRDefault="00CB7C3D" w:rsidP="007374FF">
                            <w:pPr>
                              <w:jc w:val="right"/>
                              <w:rPr>
                                <w:color w:val="FFFFFF"/>
                                <w:lang w:val="pt-BR"/>
                              </w:rPr>
                            </w:pPr>
                            <w:r>
                              <w:rPr>
                                <w:color w:val="FFFFFF"/>
                                <w:lang w:val="pt-BR"/>
                              </w:rPr>
                              <w:t>XX xxx 2020</w:t>
                            </w:r>
                          </w:p>
                          <w:p w14:paraId="539AA602" w14:textId="77777777" w:rsidR="00CB7C3D" w:rsidRPr="00A767EE" w:rsidRDefault="00CB7C3D" w:rsidP="007374FF">
                            <w:pPr>
                              <w:jc w:val="right"/>
                              <w:rPr>
                                <w:color w:val="FFFFFF"/>
                                <w:lang w:val="es-ES"/>
                              </w:rPr>
                            </w:pPr>
                            <w:r w:rsidRPr="00243D64">
                              <w:rPr>
                                <w:color w:val="FFFFFF"/>
                                <w:lang w:val="es-ES"/>
                              </w:rPr>
                              <w:t>Original: español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7A7D8" id="Text Box 8" o:spid="_x0000_s1028" type="#_x0000_t202" style="position:absolute;left:0;text-align:left;margin-left:-27pt;margin-top:19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" filled="f" stroked="f">
                <v:textbox>
                  <w:txbxContent>
                    <w:p w14:paraId="44A4FE09" w14:textId="77777777" w:rsidR="00CB7C3D" w:rsidRPr="00243D64" w:rsidRDefault="00CB7C3D" w:rsidP="007374FF">
                      <w:pPr>
                        <w:jc w:val="right"/>
                        <w:rPr>
                          <w:color w:val="FFFFFF"/>
                          <w:lang w:val="pt-BR"/>
                        </w:rPr>
                      </w:pPr>
                      <w:r>
                        <w:rPr>
                          <w:color w:val="FFFFFF"/>
                          <w:lang w:val="pt-BR"/>
                        </w:rPr>
                        <w:t>OEA/Ser.L/V/II.17X</w:t>
                      </w:r>
                    </w:p>
                    <w:p w14:paraId="08B26CAD" w14:textId="77777777" w:rsidR="00CB7C3D" w:rsidRPr="00243D64" w:rsidRDefault="00CB7C3D" w:rsidP="007374FF">
                      <w:pPr>
                        <w:jc w:val="right"/>
                        <w:rPr>
                          <w:color w:val="FFFFFF"/>
                          <w:lang w:val="pt-BR"/>
                        </w:rPr>
                      </w:pPr>
                      <w:r w:rsidRPr="00243D64">
                        <w:rPr>
                          <w:color w:val="FFFFFF"/>
                          <w:lang w:val="pt-BR"/>
                        </w:rPr>
                        <w:t>Doc. XX</w:t>
                      </w:r>
                    </w:p>
                    <w:p w14:paraId="3FFFCE50" w14:textId="77777777" w:rsidR="00CB7C3D" w:rsidRPr="00243D64" w:rsidRDefault="00CB7C3D" w:rsidP="007374FF">
                      <w:pPr>
                        <w:jc w:val="right"/>
                        <w:rPr>
                          <w:color w:val="FFFFFF"/>
                          <w:lang w:val="pt-BR"/>
                        </w:rPr>
                      </w:pPr>
                      <w:r>
                        <w:rPr>
                          <w:color w:val="FFFFFF"/>
                          <w:lang w:val="pt-BR"/>
                        </w:rPr>
                        <w:t>XX xxx 2020</w:t>
                      </w:r>
                    </w:p>
                    <w:p w14:paraId="539AA602" w14:textId="77777777" w:rsidR="00CB7C3D" w:rsidRPr="00A767EE" w:rsidRDefault="00CB7C3D" w:rsidP="007374FF">
                      <w:pPr>
                        <w:jc w:val="right"/>
                        <w:rPr>
                          <w:color w:val="FFFFFF"/>
                          <w:lang w:val="es-ES"/>
                        </w:rPr>
                      </w:pPr>
                      <w:r w:rsidRPr="00243D64">
                        <w:rPr>
                          <w:color w:val="FFFFFF"/>
                          <w:lang w:val="es-ES"/>
                        </w:rPr>
                        <w:t>Original: español</w:t>
                      </w:r>
                    </w:p>
                  </w:txbxContent>
                </v:textbox>
              </v:shape>
            </w:pict>
          </mc:Fallback>
        </mc:AlternateContent>
      </w:r>
      <w:r w:rsidR="00DD6A82">
        <w:rPr>
          <w:rFonts w:ascii="Cambria" w:hAnsi="Cambria"/>
          <w:noProof/>
          <w:lang w:val="en-US"/>
        </w:rPr>
        <mc:AlternateContent>
          <mc:Choice Requires="wps">
            <w:drawing>
              <wp:anchor distT="0" distB="0" distL="114300" distR="114300" simplePos="0" relativeHeight="251661312" behindDoc="0" locked="0" layoutInCell="1" allowOverlap="1" wp14:anchorId="6F09D7DE" wp14:editId="67AB568F">
                <wp:simplePos x="0" y="0"/>
                <wp:positionH relativeFrom="column">
                  <wp:posOffset>-220980</wp:posOffset>
                </wp:positionH>
                <wp:positionV relativeFrom="paragraph">
                  <wp:posOffset>8077200</wp:posOffset>
                </wp:positionV>
                <wp:extent cx="1181100" cy="332740"/>
                <wp:effectExtent l="0" t="0" r="508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1100" cy="33274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0DF7CB4F" w14:textId="77777777" w:rsidR="00CB7C3D" w:rsidRPr="00A767EE" w:rsidRDefault="00CB7C3D" w:rsidP="007374FF">
                            <w:pPr>
                              <w:jc w:val="center"/>
                              <w:rPr>
                                <w:b/>
                                <w:color w:val="FFFFFF"/>
                              </w:rPr>
                            </w:pPr>
                            <w:r w:rsidRPr="00A767EE">
                              <w:rPr>
                                <w:b/>
                                <w:color w:val="FFFFFF"/>
                                <w:lang w:val="pt-BR"/>
                              </w:rPr>
                              <w:t>www.cidh.org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9D7DE" id="Text Box 4" o:spid="_x0000_s1029" type="#_x0000_t202" style="position:absolute;left:0;text-align:left;margin-left:-17.4pt;margin-top:636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" filled="f" stroked="f">
                <v:textbox>
                  <w:txbxContent>
                    <w:p w14:paraId="0DF7CB4F" w14:textId="77777777" w:rsidR="00CB7C3D" w:rsidRPr="00A767EE" w:rsidRDefault="00CB7C3D" w:rsidP="007374FF">
                      <w:pPr>
                        <w:jc w:val="center"/>
                        <w:rPr>
                          <w:b/>
                          <w:color w:val="FFFFFF"/>
                        </w:rPr>
                      </w:pPr>
                      <w:r w:rsidRPr="00A767EE">
                        <w:rPr>
                          <w:b/>
                          <w:color w:val="FFFFFF"/>
                          <w:lang w:val="pt-BR"/>
                        </w:rPr>
                        <w:t>www.cidh.org</w:t>
                      </w:r>
                    </w:p>
                  </w:txbxContent>
                </v:textbox>
              </v:shape>
            </w:pict>
          </mc:Fallback>
        </mc:AlternateContent>
      </w:r>
      <w:r w:rsidR="00DD6A82">
        <w:rPr>
          <w:rFonts w:ascii="Cambria" w:hAnsi="Cambria"/>
          <w:noProof/>
          <w:lang w:val="en-US"/>
        </w:rPr>
        <mc:AlternateContent>
          <mc:Choice Requires="wps">
            <w:drawing>
              <wp:anchor distT="0" distB="0" distL="114300" distR="114300" simplePos="0" relativeHeight="251660288" behindDoc="0" locked="0" layoutInCell="1" allowOverlap="1" wp14:anchorId="33248FFB" wp14:editId="1CB45678">
                <wp:simplePos x="0" y="0"/>
                <wp:positionH relativeFrom="column">
                  <wp:posOffset>1699895</wp:posOffset>
                </wp:positionH>
                <wp:positionV relativeFrom="paragraph">
                  <wp:posOffset>8298180</wp:posOffset>
                </wp:positionV>
                <wp:extent cx="4096385" cy="567055"/>
                <wp:effectExtent l="0" t="508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6385" cy="567055"/>
                        </a:xfrm>
                        <a:prstGeom prst="rect">
                          <a:avLst/>
                        </a:prstGeom>
                        <a:solidFill>
                          <a:srgbClr val="FFFFFF"/>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73C1E235" w14:textId="7F4C2EEA" w:rsidR="00CB7C3D" w:rsidRPr="00A767EE" w:rsidRDefault="00CB7C3D" w:rsidP="007374FF">
                            <w:pPr>
                              <w:rPr>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48FFB" id="Text Box 9" o:spid="_x0000_s1030" type="#_x0000_t202" style="position:absolute;left:0;text-align:left;margin-left:133.85pt;margin-top:653.4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" stroked="f">
                <v:textbox>
                  <w:txbxContent>
                    <w:p w14:paraId="73C1E235" w14:textId="7F4C2EEA" w:rsidR="00CB7C3D" w:rsidRPr="00A767EE" w:rsidRDefault="00CB7C3D" w:rsidP="007374FF">
                      <w:pPr>
                        <w:rPr>
                          <w:color w:val="FFFFFF"/>
                        </w:rPr>
                      </w:pPr>
                    </w:p>
                  </w:txbxContent>
                </v:textbox>
              </v:shape>
            </w:pict>
          </mc:Fallback>
        </mc:AlternateContent>
      </w:r>
      <w:r w:rsidR="00DD6A82">
        <w:rPr>
          <w:rFonts w:ascii="Cambria" w:hAnsi="Cambria"/>
          <w:noProof/>
          <w:lang w:val="en-US"/>
        </w:rPr>
        <mc:AlternateContent>
          <mc:Choice Requires="wps">
            <w:drawing>
              <wp:anchor distT="0" distB="0" distL="114300" distR="114300" simplePos="0" relativeHeight="251658240" behindDoc="0" locked="0" layoutInCell="1" allowOverlap="1" wp14:anchorId="4D65FB9B" wp14:editId="5C72441F">
                <wp:simplePos x="0" y="0"/>
                <wp:positionH relativeFrom="column">
                  <wp:posOffset>1282065</wp:posOffset>
                </wp:positionH>
                <wp:positionV relativeFrom="paragraph">
                  <wp:posOffset>-373380</wp:posOffset>
                </wp:positionV>
                <wp:extent cx="5248275" cy="902335"/>
                <wp:effectExtent l="0" t="0" r="0" b="444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48275" cy="902335"/>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3243DCDF" w14:textId="6C819A29" w:rsidR="00CB7C3D" w:rsidRDefault="008D0AE6" w:rsidP="007374FF">
                            <w:r>
                              <w:rPr>
                                <w:noProof/>
                                <w:lang w:val="en-US"/>
                              </w:rPr>
                              <w:drawing>
                                <wp:inline distT="0" distB="0" distL="0" distR="0" wp14:anchorId="2753EE40" wp14:editId="59E7E1EB">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CB7C3D">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65FB9B" id="Text Box 11" o:spid="_x0000_s1031" type="#_x0000_t202" style="position:absolute;left:0;text-align:left;margin-left:100.95pt;margin-top:-29.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" filled="f" stroked="f">
                <v:textbox>
                  <w:txbxContent>
                    <w:p w14:paraId="3243DCDF" w14:textId="6C819A29" w:rsidR="00CB7C3D" w:rsidRDefault="008D0AE6" w:rsidP="007374FF">
                      <w:r>
                        <w:rPr>
                          <w:noProof/>
                          <w:lang w:val="en-US"/>
                        </w:rPr>
                        <w:drawing>
                          <wp:inline distT="0" distB="0" distL="0" distR="0" wp14:anchorId="2753EE40" wp14:editId="59E7E1EB">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CB7C3D">
                        <w:tab/>
                        <w:t xml:space="preserve">                              </w:t>
                      </w:r>
                    </w:p>
                  </w:txbxContent>
                </v:textbox>
              </v:shape>
            </w:pict>
          </mc:Fallback>
        </mc:AlternateContent>
      </w:r>
      <w:r w:rsidR="00301BF1">
        <w:rPr>
          <w:rFonts w:ascii="Cambria" w:hAnsi="Cambria" w:cs="Univers"/>
          <w:b/>
          <w:bCs/>
          <w:sz w:val="20"/>
          <w:szCs w:val="20"/>
          <w:lang w:val="es-ES_tradnl"/>
        </w:rPr>
        <w:t xml:space="preserve">A </w:t>
      </w:r>
      <w:r w:rsidR="00F52C1E">
        <w:rPr>
          <w:rFonts w:ascii="Cambria" w:hAnsi="Cambria" w:cs="Univers"/>
          <w:b/>
          <w:bCs/>
          <w:sz w:val="20"/>
          <w:szCs w:val="20"/>
          <w:lang w:val="es-ES_tradnl"/>
        </w:rPr>
        <w:t xml:space="preserve">                                                                                                                                                                                                                                                                                                                                                                                                                                                                                                                                                                                                                                            </w:t>
      </w:r>
      <w:r w:rsidR="00987A72" w:rsidRPr="00A42DDB">
        <w:rPr>
          <w:rFonts w:ascii="Cambria" w:hAnsi="Cambria" w:cs="Univers"/>
          <w:b/>
          <w:bCs/>
          <w:sz w:val="20"/>
          <w:szCs w:val="20"/>
          <w:lang w:val="es-ES_tradnl"/>
        </w:rPr>
        <w:t xml:space="preserve"> </w:t>
      </w:r>
    </w:p>
    <w:p w14:paraId="0968DF60" w14:textId="6EB75778" w:rsidR="007374FF" w:rsidRPr="00A42DDB" w:rsidRDefault="007374FF" w:rsidP="007374FF">
      <w:pPr>
        <w:tabs>
          <w:tab w:val="left" w:pos="567"/>
          <w:tab w:val="center" w:pos="5400"/>
        </w:tabs>
        <w:suppressAutoHyphens/>
        <w:jc w:val="both"/>
        <w:rPr>
          <w:rFonts w:ascii="Cambria" w:hAnsi="Cambria"/>
          <w:sz w:val="20"/>
          <w:szCs w:val="20"/>
          <w:lang w:val="es-ES_tradnl"/>
        </w:rPr>
      </w:pPr>
    </w:p>
    <w:p w14:paraId="174E1648" w14:textId="31731CF2" w:rsidR="007374FF" w:rsidRPr="00A42DDB" w:rsidRDefault="007374FF" w:rsidP="007374FF">
      <w:pPr>
        <w:tabs>
          <w:tab w:val="left" w:pos="567"/>
          <w:tab w:val="center" w:pos="5400"/>
        </w:tabs>
        <w:suppressAutoHyphens/>
        <w:jc w:val="both"/>
        <w:rPr>
          <w:rFonts w:ascii="Cambria" w:hAnsi="Cambria"/>
          <w:sz w:val="20"/>
          <w:szCs w:val="20"/>
          <w:lang w:val="es-ES_tradnl"/>
        </w:rPr>
      </w:pPr>
    </w:p>
    <w:p w14:paraId="29B988AC" w14:textId="085C7677" w:rsidR="007374FF" w:rsidRPr="00A42DDB" w:rsidRDefault="007374FF" w:rsidP="007374FF">
      <w:pPr>
        <w:tabs>
          <w:tab w:val="left" w:pos="567"/>
          <w:tab w:val="center" w:pos="5400"/>
        </w:tabs>
        <w:suppressAutoHyphens/>
        <w:rPr>
          <w:rFonts w:ascii="Cambria" w:hAnsi="Cambria"/>
          <w:sz w:val="20"/>
          <w:szCs w:val="20"/>
          <w:lang w:val="es-ES_tradnl"/>
        </w:rPr>
      </w:pPr>
    </w:p>
    <w:p w14:paraId="4DBCF105" w14:textId="44208E8A" w:rsidR="007374FF" w:rsidRPr="00A42DDB" w:rsidRDefault="007374FF" w:rsidP="007374FF">
      <w:pPr>
        <w:tabs>
          <w:tab w:val="left" w:pos="567"/>
          <w:tab w:val="center" w:pos="5400"/>
        </w:tabs>
        <w:suppressAutoHyphens/>
        <w:rPr>
          <w:rFonts w:ascii="Cambria" w:hAnsi="Cambria"/>
          <w:sz w:val="20"/>
          <w:szCs w:val="20"/>
          <w:lang w:val="es-ES_tradnl"/>
        </w:rPr>
      </w:pPr>
    </w:p>
    <w:p w14:paraId="6477320B" w14:textId="25E25826" w:rsidR="007374FF" w:rsidRPr="00A42DDB" w:rsidRDefault="007374FF" w:rsidP="007374FF">
      <w:pPr>
        <w:tabs>
          <w:tab w:val="left" w:pos="567"/>
          <w:tab w:val="center" w:pos="5400"/>
        </w:tabs>
        <w:suppressAutoHyphens/>
        <w:rPr>
          <w:rFonts w:ascii="Cambria" w:hAnsi="Cambria"/>
          <w:sz w:val="20"/>
          <w:szCs w:val="20"/>
          <w:lang w:val="es-ES_tradnl"/>
        </w:rPr>
      </w:pPr>
    </w:p>
    <w:p w14:paraId="4BC7B90C" w14:textId="728FA6A6" w:rsidR="007374FF" w:rsidRPr="00A42DDB" w:rsidRDefault="007374FF" w:rsidP="007374FF">
      <w:pPr>
        <w:tabs>
          <w:tab w:val="left" w:pos="567"/>
          <w:tab w:val="center" w:pos="5400"/>
        </w:tabs>
        <w:suppressAutoHyphens/>
        <w:jc w:val="center"/>
        <w:rPr>
          <w:rFonts w:ascii="Cambria" w:hAnsi="Cambria"/>
          <w:sz w:val="20"/>
          <w:szCs w:val="20"/>
          <w:lang w:val="es-ES_tradnl"/>
        </w:rPr>
      </w:pPr>
    </w:p>
    <w:p w14:paraId="4812CE29" w14:textId="62056A6A" w:rsidR="007374FF" w:rsidRPr="00A42DDB" w:rsidRDefault="007374FF" w:rsidP="007374FF">
      <w:pPr>
        <w:tabs>
          <w:tab w:val="left" w:pos="567"/>
          <w:tab w:val="center" w:pos="5400"/>
        </w:tabs>
        <w:suppressAutoHyphens/>
        <w:jc w:val="center"/>
        <w:rPr>
          <w:rFonts w:ascii="Cambria" w:hAnsi="Cambria"/>
          <w:sz w:val="20"/>
          <w:szCs w:val="20"/>
          <w:lang w:val="es-ES_tradnl"/>
        </w:rPr>
      </w:pPr>
    </w:p>
    <w:p w14:paraId="147BDBB4" w14:textId="633F2013" w:rsidR="007374FF" w:rsidRPr="00A42DDB" w:rsidRDefault="008D0AE6" w:rsidP="007374FF">
      <w:pPr>
        <w:tabs>
          <w:tab w:val="left" w:pos="567"/>
          <w:tab w:val="center" w:pos="5400"/>
        </w:tabs>
        <w:suppressAutoHyphens/>
        <w:jc w:val="center"/>
        <w:rPr>
          <w:rFonts w:ascii="Cambria" w:hAnsi="Cambria"/>
          <w:sz w:val="20"/>
          <w:szCs w:val="20"/>
          <w:lang w:val="es-ES_tradnl"/>
        </w:rPr>
      </w:pPr>
      <w:r>
        <w:rPr>
          <w:rFonts w:asciiTheme="majorHAnsi" w:hAnsiTheme="majorHAnsi"/>
          <w:noProof/>
          <w:lang w:val="en-US"/>
        </w:rPr>
        <mc:AlternateContent>
          <mc:Choice Requires="wps">
            <w:drawing>
              <wp:anchor distT="0" distB="0" distL="114300" distR="114300" simplePos="0" relativeHeight="251665408" behindDoc="0" locked="0" layoutInCell="1" allowOverlap="1" wp14:anchorId="21100F39" wp14:editId="4B5771D2">
                <wp:simplePos x="0" y="0"/>
                <wp:positionH relativeFrom="column">
                  <wp:posOffset>-723900</wp:posOffset>
                </wp:positionH>
                <wp:positionV relativeFrom="paragraph">
                  <wp:posOffset>154305</wp:posOffset>
                </wp:positionV>
                <wp:extent cx="1657985" cy="1289766"/>
                <wp:effectExtent l="0" t="0" r="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985" cy="12897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F89A09" w14:textId="0FE470C9" w:rsidR="008D0AE6" w:rsidRPr="009C6AAF" w:rsidRDefault="008D0AE6" w:rsidP="008D0AE6">
                            <w:pPr>
                              <w:jc w:val="right"/>
                              <w:rPr>
                                <w:rFonts w:asciiTheme="minorHAnsi" w:hAnsiTheme="minorHAnsi"/>
                                <w:color w:val="FFFFFF" w:themeColor="background1"/>
                                <w:lang w:val="en-US"/>
                              </w:rPr>
                            </w:pPr>
                            <w:r w:rsidRPr="009C6AAF">
                              <w:rPr>
                                <w:rFonts w:asciiTheme="minorHAnsi" w:hAnsiTheme="minorHAnsi"/>
                                <w:color w:val="FFFFFF" w:themeColor="background1"/>
                                <w:lang w:val="en-US"/>
                              </w:rPr>
                              <w:t>OEA/Ser.L/V/II</w:t>
                            </w:r>
                          </w:p>
                          <w:p w14:paraId="21E7BBA7" w14:textId="69D47936" w:rsidR="004D028B" w:rsidRPr="009C6AAF" w:rsidRDefault="004D028B" w:rsidP="004D028B">
                            <w:pPr>
                              <w:jc w:val="right"/>
                              <w:rPr>
                                <w:rFonts w:asciiTheme="minorHAnsi" w:hAnsiTheme="minorHAnsi"/>
                                <w:color w:val="FFFFFF" w:themeColor="background1"/>
                                <w:lang w:val="en-US"/>
                              </w:rPr>
                            </w:pPr>
                            <w:r w:rsidRPr="009C6AAF">
                              <w:rPr>
                                <w:rFonts w:asciiTheme="minorHAnsi" w:hAnsiTheme="minorHAnsi"/>
                                <w:color w:val="FFFFFF" w:themeColor="background1"/>
                                <w:lang w:val="en-US"/>
                              </w:rPr>
                              <w:t xml:space="preserve">Doc </w:t>
                            </w:r>
                            <w:r w:rsidR="00D3634D">
                              <w:rPr>
                                <w:rFonts w:asciiTheme="minorHAnsi" w:hAnsiTheme="minorHAnsi"/>
                                <w:color w:val="FFFFFF" w:themeColor="background1"/>
                                <w:lang w:val="en-US"/>
                              </w:rPr>
                              <w:t>117</w:t>
                            </w:r>
                          </w:p>
                          <w:p w14:paraId="7C6EE0AA" w14:textId="1B672298" w:rsidR="008D0AE6" w:rsidRPr="009C6AAF" w:rsidRDefault="00D3634D" w:rsidP="004D028B">
                            <w:pPr>
                              <w:jc w:val="right"/>
                              <w:rPr>
                                <w:rFonts w:asciiTheme="minorHAnsi" w:hAnsiTheme="minorHAnsi"/>
                                <w:color w:val="FFFFFF" w:themeColor="background1"/>
                                <w:lang w:val="en-US"/>
                              </w:rPr>
                            </w:pPr>
                            <w:r>
                              <w:rPr>
                                <w:rFonts w:asciiTheme="minorHAnsi" w:hAnsiTheme="minorHAnsi"/>
                                <w:color w:val="FFFFFF" w:themeColor="background1"/>
                                <w:lang w:val="en-US"/>
                              </w:rPr>
                              <w:t>July 14</w:t>
                            </w:r>
                            <w:r w:rsidR="00527697">
                              <w:rPr>
                                <w:rFonts w:asciiTheme="minorHAnsi" w:hAnsiTheme="minorHAnsi"/>
                                <w:color w:val="FFFFFF" w:themeColor="background1"/>
                                <w:lang w:val="en-US"/>
                              </w:rPr>
                              <w:t xml:space="preserve"> </w:t>
                            </w:r>
                            <w:r w:rsidR="008D0AE6" w:rsidRPr="004D028B">
                              <w:rPr>
                                <w:rFonts w:asciiTheme="minorHAnsi" w:hAnsiTheme="minorHAnsi"/>
                                <w:color w:val="FFFFFF" w:themeColor="background1"/>
                                <w:lang w:val="en-US"/>
                              </w:rPr>
                              <w:t>202</w:t>
                            </w:r>
                            <w:r w:rsidR="00527697">
                              <w:rPr>
                                <w:rFonts w:asciiTheme="minorHAnsi" w:hAnsiTheme="minorHAnsi"/>
                                <w:color w:val="FFFFFF" w:themeColor="background1"/>
                                <w:lang w:val="en-US"/>
                              </w:rPr>
                              <w:t>5</w:t>
                            </w:r>
                          </w:p>
                          <w:p w14:paraId="44ADE2CD" w14:textId="7E04D2A3" w:rsidR="008D0AE6" w:rsidRPr="004D028B" w:rsidRDefault="008D0AE6" w:rsidP="008D0AE6">
                            <w:pPr>
                              <w:jc w:val="right"/>
                              <w:rPr>
                                <w:rFonts w:asciiTheme="minorHAnsi" w:hAnsiTheme="minorHAnsi"/>
                                <w:color w:val="FFFFFF" w:themeColor="background1"/>
                                <w:lang w:val="en-US"/>
                              </w:rPr>
                            </w:pPr>
                            <w:r w:rsidRPr="004D028B">
                              <w:rPr>
                                <w:rFonts w:asciiTheme="minorHAnsi" w:hAnsiTheme="minorHAnsi"/>
                                <w:color w:val="FFFFFF" w:themeColor="background1"/>
                                <w:lang w:val="en-US"/>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00F39" id="_x0000_s1032" type="#_x0000_t202" style="position:absolute;left:0;text-align:left;margin-left:-57pt;margin-top:12.15pt;width:130.55pt;height:10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" filled="f" stroked="f" strokeweight=".5pt">
                <v:textbox>
                  <w:txbxContent>
                    <w:p w14:paraId="55F89A09" w14:textId="0FE470C9" w:rsidR="008D0AE6" w:rsidRPr="009C6AAF" w:rsidRDefault="008D0AE6" w:rsidP="008D0AE6">
                      <w:pPr>
                        <w:jc w:val="right"/>
                        <w:rPr>
                          <w:rFonts w:asciiTheme="minorHAnsi" w:hAnsiTheme="minorHAnsi"/>
                          <w:color w:val="FFFFFF" w:themeColor="background1"/>
                          <w:lang w:val="en-US"/>
                        </w:rPr>
                      </w:pPr>
                      <w:r w:rsidRPr="009C6AAF">
                        <w:rPr>
                          <w:rFonts w:asciiTheme="minorHAnsi" w:hAnsiTheme="minorHAnsi"/>
                          <w:color w:val="FFFFFF" w:themeColor="background1"/>
                          <w:lang w:val="en-US"/>
                        </w:rPr>
                        <w:t>OEA/Ser.L/V/II</w:t>
                      </w:r>
                    </w:p>
                    <w:p w14:paraId="21E7BBA7" w14:textId="69D47936" w:rsidR="004D028B" w:rsidRPr="009C6AAF" w:rsidRDefault="004D028B" w:rsidP="004D028B">
                      <w:pPr>
                        <w:jc w:val="right"/>
                        <w:rPr>
                          <w:rFonts w:asciiTheme="minorHAnsi" w:hAnsiTheme="minorHAnsi"/>
                          <w:color w:val="FFFFFF" w:themeColor="background1"/>
                          <w:lang w:val="en-US"/>
                        </w:rPr>
                      </w:pPr>
                      <w:r w:rsidRPr="009C6AAF">
                        <w:rPr>
                          <w:rFonts w:asciiTheme="minorHAnsi" w:hAnsiTheme="minorHAnsi"/>
                          <w:color w:val="FFFFFF" w:themeColor="background1"/>
                          <w:lang w:val="en-US"/>
                        </w:rPr>
                        <w:t xml:space="preserve">Doc </w:t>
                      </w:r>
                      <w:r w:rsidR="00D3634D">
                        <w:rPr>
                          <w:rFonts w:asciiTheme="minorHAnsi" w:hAnsiTheme="minorHAnsi"/>
                          <w:color w:val="FFFFFF" w:themeColor="background1"/>
                          <w:lang w:val="en-US"/>
                        </w:rPr>
                        <w:t>117</w:t>
                      </w:r>
                    </w:p>
                    <w:p w14:paraId="7C6EE0AA" w14:textId="1B672298" w:rsidR="008D0AE6" w:rsidRPr="009C6AAF" w:rsidRDefault="00D3634D" w:rsidP="004D028B">
                      <w:pPr>
                        <w:jc w:val="right"/>
                        <w:rPr>
                          <w:rFonts w:asciiTheme="minorHAnsi" w:hAnsiTheme="minorHAnsi"/>
                          <w:color w:val="FFFFFF" w:themeColor="background1"/>
                          <w:lang w:val="en-US"/>
                        </w:rPr>
                      </w:pPr>
                      <w:r>
                        <w:rPr>
                          <w:rFonts w:asciiTheme="minorHAnsi" w:hAnsiTheme="minorHAnsi"/>
                          <w:color w:val="FFFFFF" w:themeColor="background1"/>
                          <w:lang w:val="en-US"/>
                        </w:rPr>
                        <w:t>July 14</w:t>
                      </w:r>
                      <w:r w:rsidR="00527697">
                        <w:rPr>
                          <w:rFonts w:asciiTheme="minorHAnsi" w:hAnsiTheme="minorHAnsi"/>
                          <w:color w:val="FFFFFF" w:themeColor="background1"/>
                          <w:lang w:val="en-US"/>
                        </w:rPr>
                        <w:t xml:space="preserve"> </w:t>
                      </w:r>
                      <w:r w:rsidR="008D0AE6" w:rsidRPr="004D028B">
                        <w:rPr>
                          <w:rFonts w:asciiTheme="minorHAnsi" w:hAnsiTheme="minorHAnsi"/>
                          <w:color w:val="FFFFFF" w:themeColor="background1"/>
                          <w:lang w:val="en-US"/>
                        </w:rPr>
                        <w:t>202</w:t>
                      </w:r>
                      <w:r w:rsidR="00527697">
                        <w:rPr>
                          <w:rFonts w:asciiTheme="minorHAnsi" w:hAnsiTheme="minorHAnsi"/>
                          <w:color w:val="FFFFFF" w:themeColor="background1"/>
                          <w:lang w:val="en-US"/>
                        </w:rPr>
                        <w:t>5</w:t>
                      </w:r>
                    </w:p>
                    <w:p w14:paraId="44ADE2CD" w14:textId="7E04D2A3" w:rsidR="008D0AE6" w:rsidRPr="004D028B" w:rsidRDefault="008D0AE6" w:rsidP="008D0AE6">
                      <w:pPr>
                        <w:jc w:val="right"/>
                        <w:rPr>
                          <w:rFonts w:asciiTheme="minorHAnsi" w:hAnsiTheme="minorHAnsi"/>
                          <w:color w:val="FFFFFF" w:themeColor="background1"/>
                          <w:lang w:val="en-US"/>
                        </w:rPr>
                      </w:pPr>
                      <w:r w:rsidRPr="004D028B">
                        <w:rPr>
                          <w:rFonts w:asciiTheme="minorHAnsi" w:hAnsiTheme="minorHAnsi"/>
                          <w:color w:val="FFFFFF" w:themeColor="background1"/>
                          <w:lang w:val="en-US"/>
                        </w:rPr>
                        <w:t>Original: Spanish</w:t>
                      </w:r>
                    </w:p>
                  </w:txbxContent>
                </v:textbox>
              </v:shape>
            </w:pict>
          </mc:Fallback>
        </mc:AlternateContent>
      </w:r>
    </w:p>
    <w:p w14:paraId="6EA855F0" w14:textId="77777777" w:rsidR="007374FF" w:rsidRPr="00A42DDB" w:rsidRDefault="007374FF" w:rsidP="007374FF">
      <w:pPr>
        <w:tabs>
          <w:tab w:val="left" w:pos="567"/>
          <w:tab w:val="center" w:pos="5400"/>
        </w:tabs>
        <w:suppressAutoHyphens/>
        <w:jc w:val="center"/>
        <w:rPr>
          <w:rFonts w:ascii="Cambria" w:hAnsi="Cambria"/>
          <w:sz w:val="20"/>
          <w:szCs w:val="20"/>
          <w:lang w:val="es-ES_tradnl"/>
        </w:rPr>
      </w:pPr>
    </w:p>
    <w:p w14:paraId="4AF5D851" w14:textId="1DFDABE8" w:rsidR="007374FF" w:rsidRPr="00A42DDB" w:rsidRDefault="007374FF" w:rsidP="007374FF">
      <w:pPr>
        <w:tabs>
          <w:tab w:val="left" w:pos="567"/>
          <w:tab w:val="center" w:pos="5400"/>
        </w:tabs>
        <w:suppressAutoHyphens/>
        <w:jc w:val="center"/>
        <w:rPr>
          <w:rFonts w:ascii="Cambria" w:hAnsi="Cambria"/>
          <w:sz w:val="20"/>
          <w:szCs w:val="20"/>
          <w:lang w:val="es-ES_tradnl"/>
        </w:rPr>
      </w:pPr>
    </w:p>
    <w:p w14:paraId="54786647" w14:textId="51A3A643" w:rsidR="007374FF" w:rsidRPr="00A42DDB" w:rsidRDefault="007374FF" w:rsidP="007374FF">
      <w:pPr>
        <w:tabs>
          <w:tab w:val="left" w:pos="567"/>
          <w:tab w:val="center" w:pos="5400"/>
        </w:tabs>
        <w:suppressAutoHyphens/>
        <w:jc w:val="center"/>
        <w:rPr>
          <w:rFonts w:ascii="Cambria" w:hAnsi="Cambria"/>
          <w:sz w:val="20"/>
          <w:szCs w:val="20"/>
          <w:lang w:val="es-ES_tradnl"/>
        </w:rPr>
      </w:pPr>
    </w:p>
    <w:p w14:paraId="29F89D3E" w14:textId="28ED99D5" w:rsidR="007374FF" w:rsidRPr="00A42DDB" w:rsidRDefault="007374FF" w:rsidP="007374FF">
      <w:pPr>
        <w:tabs>
          <w:tab w:val="left" w:pos="567"/>
          <w:tab w:val="center" w:pos="5400"/>
        </w:tabs>
        <w:suppressAutoHyphens/>
        <w:jc w:val="center"/>
        <w:rPr>
          <w:rFonts w:ascii="Cambria" w:hAnsi="Cambria"/>
          <w:sz w:val="20"/>
          <w:szCs w:val="20"/>
          <w:lang w:val="es-ES_tradnl"/>
        </w:rPr>
      </w:pPr>
    </w:p>
    <w:p w14:paraId="41B51922" w14:textId="79B1F851" w:rsidR="007374FF" w:rsidRPr="00A42DDB" w:rsidRDefault="007374FF" w:rsidP="007374FF">
      <w:pPr>
        <w:tabs>
          <w:tab w:val="left" w:pos="567"/>
          <w:tab w:val="center" w:pos="5400"/>
        </w:tabs>
        <w:suppressAutoHyphens/>
        <w:jc w:val="center"/>
        <w:rPr>
          <w:rFonts w:ascii="Cambria" w:hAnsi="Cambria"/>
          <w:sz w:val="20"/>
          <w:szCs w:val="20"/>
          <w:lang w:val="es-ES_tradnl"/>
        </w:rPr>
      </w:pPr>
    </w:p>
    <w:p w14:paraId="5B91FD60" w14:textId="3826592B" w:rsidR="007374FF" w:rsidRPr="00A42DDB" w:rsidRDefault="007374FF" w:rsidP="007374FF">
      <w:pPr>
        <w:tabs>
          <w:tab w:val="left" w:pos="567"/>
          <w:tab w:val="center" w:pos="5400"/>
        </w:tabs>
        <w:suppressAutoHyphens/>
        <w:jc w:val="center"/>
        <w:rPr>
          <w:rFonts w:ascii="Cambria" w:hAnsi="Cambria"/>
          <w:sz w:val="20"/>
          <w:szCs w:val="20"/>
          <w:lang w:val="es-ES_tradnl"/>
        </w:rPr>
      </w:pPr>
    </w:p>
    <w:p w14:paraId="0AB2256B" w14:textId="33800363" w:rsidR="007374FF" w:rsidRPr="00A42DDB" w:rsidRDefault="007374FF" w:rsidP="007374FF">
      <w:pPr>
        <w:tabs>
          <w:tab w:val="left" w:pos="567"/>
          <w:tab w:val="center" w:pos="5400"/>
        </w:tabs>
        <w:suppressAutoHyphens/>
        <w:jc w:val="center"/>
        <w:rPr>
          <w:rFonts w:ascii="Cambria" w:hAnsi="Cambria"/>
          <w:sz w:val="20"/>
          <w:szCs w:val="20"/>
          <w:lang w:val="es-ES_tradnl"/>
        </w:rPr>
      </w:pPr>
    </w:p>
    <w:p w14:paraId="6F522FAB" w14:textId="6AC712C1" w:rsidR="007374FF" w:rsidRPr="00A42DDB" w:rsidRDefault="007374FF" w:rsidP="007374FF">
      <w:pPr>
        <w:tabs>
          <w:tab w:val="left" w:pos="567"/>
          <w:tab w:val="center" w:pos="5400"/>
        </w:tabs>
        <w:suppressAutoHyphens/>
        <w:jc w:val="center"/>
        <w:rPr>
          <w:rFonts w:ascii="Cambria" w:hAnsi="Cambria"/>
          <w:sz w:val="20"/>
          <w:szCs w:val="20"/>
          <w:lang w:val="es-ES_tradnl"/>
        </w:rPr>
      </w:pPr>
    </w:p>
    <w:p w14:paraId="3EFB9CFF" w14:textId="538B412B" w:rsidR="007374FF" w:rsidRPr="006245E3" w:rsidRDefault="007374FF" w:rsidP="007374FF">
      <w:pPr>
        <w:tabs>
          <w:tab w:val="left" w:pos="567"/>
          <w:tab w:val="center" w:pos="5400"/>
        </w:tabs>
        <w:suppressAutoHyphens/>
        <w:jc w:val="center"/>
        <w:rPr>
          <w:rFonts w:ascii="Cambria" w:hAnsi="Cambria"/>
          <w:sz w:val="20"/>
          <w:szCs w:val="20"/>
          <w:lang w:val="es-VE"/>
        </w:rPr>
      </w:pPr>
    </w:p>
    <w:p w14:paraId="55C2AF70" w14:textId="3F572EC9" w:rsidR="007374FF" w:rsidRPr="00A42DDB" w:rsidRDefault="007374FF" w:rsidP="007374FF">
      <w:pPr>
        <w:tabs>
          <w:tab w:val="left" w:pos="567"/>
          <w:tab w:val="center" w:pos="5400"/>
        </w:tabs>
        <w:suppressAutoHyphens/>
        <w:jc w:val="center"/>
        <w:rPr>
          <w:rFonts w:ascii="Cambria" w:hAnsi="Cambria" w:cs="Arial"/>
          <w:sz w:val="20"/>
          <w:szCs w:val="20"/>
          <w:lang w:val="es-ES_tradnl"/>
        </w:rPr>
      </w:pPr>
    </w:p>
    <w:p w14:paraId="28D13C7F" w14:textId="34D2E066" w:rsidR="007374FF" w:rsidRPr="00A42DDB" w:rsidRDefault="007374FF" w:rsidP="007374FF">
      <w:pPr>
        <w:tabs>
          <w:tab w:val="left" w:pos="567"/>
          <w:tab w:val="center" w:pos="5400"/>
        </w:tabs>
        <w:suppressAutoHyphens/>
        <w:jc w:val="center"/>
        <w:rPr>
          <w:rFonts w:ascii="Cambria" w:hAnsi="Cambria"/>
          <w:sz w:val="20"/>
          <w:szCs w:val="20"/>
          <w:lang w:val="es-ES_tradnl"/>
        </w:rPr>
      </w:pPr>
    </w:p>
    <w:p w14:paraId="7E0AA1AF" w14:textId="79C37259" w:rsidR="007374FF" w:rsidRPr="00A42DDB" w:rsidRDefault="007374FF" w:rsidP="007374FF">
      <w:pPr>
        <w:tabs>
          <w:tab w:val="left" w:pos="567"/>
          <w:tab w:val="center" w:pos="5400"/>
        </w:tabs>
        <w:suppressAutoHyphens/>
        <w:jc w:val="center"/>
        <w:rPr>
          <w:rFonts w:ascii="Cambria" w:hAnsi="Cambria"/>
          <w:sz w:val="20"/>
          <w:szCs w:val="20"/>
          <w:lang w:val="es-ES_tradnl"/>
        </w:rPr>
      </w:pPr>
    </w:p>
    <w:p w14:paraId="78E9B6B3" w14:textId="6DB8AC5A" w:rsidR="007374FF" w:rsidRPr="00A42DDB" w:rsidRDefault="00344276" w:rsidP="00344276">
      <w:pPr>
        <w:tabs>
          <w:tab w:val="left" w:pos="567"/>
          <w:tab w:val="center" w:pos="5400"/>
        </w:tabs>
        <w:suppressAutoHyphens/>
        <w:rPr>
          <w:rFonts w:ascii="Cambria" w:hAnsi="Cambria"/>
          <w:sz w:val="20"/>
          <w:szCs w:val="20"/>
          <w:lang w:val="es-ES_tradnl"/>
        </w:rPr>
      </w:pPr>
      <w:r>
        <w:rPr>
          <w:rFonts w:ascii="Cambria" w:hAnsi="Cambria"/>
          <w:sz w:val="20"/>
          <w:szCs w:val="20"/>
          <w:lang w:val="es-ES_tradnl"/>
        </w:rPr>
        <w:t>112</w:t>
      </w:r>
    </w:p>
    <w:p w14:paraId="3912E23F" w14:textId="5910B1B6" w:rsidR="007374FF" w:rsidRPr="00A42DDB" w:rsidRDefault="007374FF" w:rsidP="007374FF">
      <w:pPr>
        <w:tabs>
          <w:tab w:val="left" w:pos="567"/>
          <w:tab w:val="center" w:pos="5400"/>
        </w:tabs>
        <w:suppressAutoHyphens/>
        <w:jc w:val="center"/>
        <w:rPr>
          <w:rFonts w:ascii="Cambria" w:hAnsi="Cambria"/>
          <w:sz w:val="20"/>
          <w:szCs w:val="20"/>
          <w:lang w:val="es-ES_tradnl"/>
        </w:rPr>
      </w:pPr>
    </w:p>
    <w:p w14:paraId="247E500C" w14:textId="63FB0716" w:rsidR="007374FF" w:rsidRPr="00A42DDB" w:rsidRDefault="007374FF" w:rsidP="007374FF">
      <w:pPr>
        <w:tabs>
          <w:tab w:val="left" w:pos="567"/>
          <w:tab w:val="center" w:pos="5400"/>
        </w:tabs>
        <w:suppressAutoHyphens/>
        <w:jc w:val="center"/>
        <w:rPr>
          <w:rFonts w:ascii="Cambria" w:hAnsi="Cambria"/>
          <w:sz w:val="20"/>
          <w:szCs w:val="20"/>
          <w:lang w:val="es-ES_tradnl"/>
        </w:rPr>
      </w:pPr>
    </w:p>
    <w:p w14:paraId="1CD1A8F0" w14:textId="2675215A" w:rsidR="007374FF" w:rsidRPr="00A42DDB" w:rsidRDefault="007374FF" w:rsidP="007374FF">
      <w:pPr>
        <w:tabs>
          <w:tab w:val="left" w:pos="567"/>
          <w:tab w:val="center" w:pos="5400"/>
        </w:tabs>
        <w:suppressAutoHyphens/>
        <w:jc w:val="center"/>
        <w:rPr>
          <w:rFonts w:ascii="Cambria" w:hAnsi="Cambria"/>
          <w:sz w:val="20"/>
          <w:szCs w:val="20"/>
          <w:lang w:val="es-ES_tradnl"/>
        </w:rPr>
      </w:pPr>
    </w:p>
    <w:p w14:paraId="324ACB17" w14:textId="28B0B395" w:rsidR="007374FF" w:rsidRPr="00A42DDB" w:rsidRDefault="008D0AE6" w:rsidP="007374FF">
      <w:pPr>
        <w:tabs>
          <w:tab w:val="left" w:pos="567"/>
          <w:tab w:val="center" w:pos="5400"/>
        </w:tabs>
        <w:suppressAutoHyphens/>
        <w:jc w:val="center"/>
        <w:rPr>
          <w:rFonts w:ascii="Cambria" w:hAnsi="Cambria"/>
          <w:sz w:val="20"/>
          <w:szCs w:val="20"/>
          <w:lang w:val="es-ES_tradnl"/>
        </w:rPr>
      </w:pPr>
      <w:r>
        <w:rPr>
          <w:noProof/>
          <w:lang w:val="en-US"/>
        </w:rPr>
        <w:drawing>
          <wp:inline distT="0" distB="0" distL="0" distR="0" wp14:anchorId="1DE61640" wp14:editId="1EF054CB">
            <wp:extent cx="1123950" cy="378416"/>
            <wp:effectExtent l="0" t="0" r="0" b="3175"/>
            <wp:docPr id="17" name="Picture 17"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p w14:paraId="7A5E0B44" w14:textId="7227574B" w:rsidR="007374FF" w:rsidRPr="00A42DDB" w:rsidRDefault="008D0AE6" w:rsidP="007374FF">
      <w:pPr>
        <w:tabs>
          <w:tab w:val="left" w:pos="567"/>
          <w:tab w:val="center" w:pos="5400"/>
        </w:tabs>
        <w:suppressAutoHyphens/>
        <w:rPr>
          <w:rFonts w:ascii="Cambria" w:hAnsi="Cambria"/>
          <w:sz w:val="20"/>
          <w:szCs w:val="20"/>
          <w:lang w:val="es-ES_tradnl"/>
        </w:rPr>
      </w:pPr>
      <w:r>
        <w:rPr>
          <w:rFonts w:asciiTheme="majorHAnsi" w:hAnsiTheme="majorHAnsi"/>
          <w:noProof/>
          <w:lang w:val="en-US"/>
        </w:rPr>
        <mc:AlternateContent>
          <mc:Choice Requires="wps">
            <w:drawing>
              <wp:anchor distT="0" distB="0" distL="114300" distR="114300" simplePos="0" relativeHeight="251667456" behindDoc="0" locked="0" layoutInCell="1" allowOverlap="1" wp14:anchorId="2D3C0A75" wp14:editId="15956535">
                <wp:simplePos x="0" y="0"/>
                <wp:positionH relativeFrom="column">
                  <wp:posOffset>-250609</wp:posOffset>
                </wp:positionH>
                <wp:positionV relativeFrom="paragraph">
                  <wp:posOffset>255257</wp:posOffset>
                </wp:positionV>
                <wp:extent cx="1181100" cy="33274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DBB76E" w14:textId="77777777" w:rsidR="008D0AE6" w:rsidRPr="004B7EB6" w:rsidRDefault="008D0AE6" w:rsidP="008D0AE6">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C0A75" id="Text Box 14" o:spid="_x0000_s1033" type="#_x0000_t202" style="position:absolute;margin-left:-19.75pt;margin-top:20.1pt;width:93pt;height: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OL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" filled="f" stroked="f" strokeweight=".5pt">
                <v:textbox>
                  <w:txbxContent>
                    <w:p w14:paraId="6DDBB76E" w14:textId="77777777" w:rsidR="008D0AE6" w:rsidRPr="004B7EB6" w:rsidRDefault="008D0AE6" w:rsidP="008D0AE6">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A83AB1A" w14:textId="77777777" w:rsidR="007374FF" w:rsidRPr="00A42DDB" w:rsidRDefault="007374FF" w:rsidP="008D0AE6">
      <w:pPr>
        <w:tabs>
          <w:tab w:val="center" w:pos="5400"/>
        </w:tabs>
        <w:suppressAutoHyphens/>
        <w:rPr>
          <w:rFonts w:ascii="Cambria" w:hAnsi="Cambria"/>
          <w:sz w:val="20"/>
          <w:szCs w:val="20"/>
          <w:lang w:val="es-ES_tradnl"/>
        </w:rPr>
        <w:sectPr w:rsidR="007374FF" w:rsidRPr="00A42DDB" w:rsidSect="0096307E">
          <w:headerReference w:type="even" r:id="rId13"/>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26"/>
        </w:sectPr>
      </w:pPr>
    </w:p>
    <w:sdt>
      <w:sdtPr>
        <w:rPr>
          <w:rFonts w:ascii="Calibri" w:eastAsia="Batang" w:hAnsi="Calibri" w:cs="Times New Roman"/>
          <w:color w:val="auto"/>
          <w:sz w:val="22"/>
          <w:szCs w:val="22"/>
          <w:lang w:val="es-CO"/>
        </w:rPr>
        <w:id w:val="-470902828"/>
        <w:docPartObj>
          <w:docPartGallery w:val="Table of Contents"/>
          <w:docPartUnique/>
        </w:docPartObj>
      </w:sdtPr>
      <w:sdtEndPr>
        <w:rPr>
          <w:b/>
          <w:bCs/>
          <w:noProof/>
        </w:rPr>
      </w:sdtEndPr>
      <w:sdtContent>
        <w:p w14:paraId="64ED9289" w14:textId="3F23C680" w:rsidR="006B6926" w:rsidRPr="00BD61A8" w:rsidRDefault="007137AE" w:rsidP="007137AE">
          <w:pPr>
            <w:pStyle w:val="TOCHeading"/>
            <w:jc w:val="center"/>
            <w:rPr>
              <w:rFonts w:asciiTheme="minorHAnsi" w:hAnsiTheme="minorHAnsi"/>
              <w:b/>
              <w:bCs/>
              <w:color w:val="auto"/>
              <w:sz w:val="22"/>
              <w:szCs w:val="22"/>
            </w:rPr>
          </w:pPr>
          <w:r w:rsidRPr="00BD61A8">
            <w:rPr>
              <w:rFonts w:asciiTheme="minorHAnsi" w:eastAsia="Batang" w:hAnsiTheme="minorHAnsi" w:cs="Times New Roman"/>
              <w:b/>
              <w:bCs/>
              <w:color w:val="auto"/>
              <w:sz w:val="22"/>
              <w:szCs w:val="22"/>
              <w:lang w:val="es-CO"/>
            </w:rPr>
            <w:t>INDEX</w:t>
          </w:r>
        </w:p>
        <w:p w14:paraId="1C030E9F" w14:textId="1E831F02" w:rsidR="00BD61A8" w:rsidRPr="00BD61A8" w:rsidRDefault="006B6926">
          <w:pPr>
            <w:pStyle w:val="TOC1"/>
            <w:tabs>
              <w:tab w:val="left" w:pos="440"/>
              <w:tab w:val="right" w:leader="dot" w:pos="9260"/>
            </w:tabs>
            <w:rPr>
              <w:rFonts w:asciiTheme="minorHAnsi" w:eastAsiaTheme="minorEastAsia" w:hAnsiTheme="minorHAnsi" w:cstheme="minorBidi"/>
              <w:b w:val="0"/>
              <w:noProof/>
              <w:color w:val="auto"/>
              <w:kern w:val="2"/>
              <w:sz w:val="22"/>
              <w:szCs w:val="22"/>
              <w:lang w:val="en-US"/>
              <w14:ligatures w14:val="standardContextual"/>
            </w:rPr>
          </w:pPr>
          <w:r w:rsidRPr="00BD61A8">
            <w:rPr>
              <w:rFonts w:asciiTheme="minorHAnsi" w:hAnsiTheme="minorHAnsi"/>
              <w:color w:val="auto"/>
              <w:sz w:val="22"/>
              <w:szCs w:val="22"/>
            </w:rPr>
            <w:fldChar w:fldCharType="begin"/>
          </w:r>
          <w:r w:rsidRPr="00BD61A8">
            <w:rPr>
              <w:rFonts w:asciiTheme="minorHAnsi" w:hAnsiTheme="minorHAnsi"/>
              <w:color w:val="auto"/>
              <w:sz w:val="22"/>
              <w:szCs w:val="22"/>
            </w:rPr>
            <w:instrText xml:space="preserve"> TOC \o "1-3" \h \z \u </w:instrText>
          </w:r>
          <w:r w:rsidRPr="00BD61A8">
            <w:rPr>
              <w:rFonts w:asciiTheme="minorHAnsi" w:hAnsiTheme="minorHAnsi"/>
              <w:color w:val="auto"/>
              <w:sz w:val="22"/>
              <w:szCs w:val="22"/>
            </w:rPr>
            <w:fldChar w:fldCharType="separate"/>
          </w:r>
          <w:hyperlink w:anchor="_Toc203992791" w:history="1">
            <w:r w:rsidR="00BD61A8" w:rsidRPr="00BD61A8">
              <w:rPr>
                <w:rStyle w:val="Hyperlink"/>
                <w:rFonts w:asciiTheme="minorHAnsi" w:hAnsiTheme="minorHAnsi"/>
                <w:noProof/>
                <w:color w:val="auto"/>
                <w:sz w:val="22"/>
                <w:szCs w:val="22"/>
                <w:lang w:val="es-VE"/>
              </w:rPr>
              <w:t>I.</w:t>
            </w:r>
            <w:r w:rsidR="00BD61A8" w:rsidRPr="00BD61A8">
              <w:rPr>
                <w:rFonts w:asciiTheme="minorHAnsi" w:eastAsiaTheme="minorEastAsia" w:hAnsiTheme="minorHAnsi" w:cstheme="minorBidi"/>
                <w:b w:val="0"/>
                <w:noProof/>
                <w:color w:val="auto"/>
                <w:kern w:val="2"/>
                <w:sz w:val="22"/>
                <w:szCs w:val="22"/>
                <w:lang w:val="en-US"/>
                <w14:ligatures w14:val="standardContextual"/>
              </w:rPr>
              <w:tab/>
            </w:r>
            <w:r w:rsidR="00BD61A8" w:rsidRPr="00BD61A8">
              <w:rPr>
                <w:rStyle w:val="Hyperlink"/>
                <w:rFonts w:asciiTheme="minorHAnsi" w:hAnsiTheme="minorHAnsi"/>
                <w:noProof/>
                <w:color w:val="auto"/>
                <w:sz w:val="22"/>
                <w:szCs w:val="22"/>
              </w:rPr>
              <w:t>INTRODUCTION</w:t>
            </w:r>
            <w:r w:rsidR="00BD61A8" w:rsidRPr="00BD61A8">
              <w:rPr>
                <w:rFonts w:asciiTheme="minorHAnsi" w:hAnsiTheme="minorHAnsi"/>
                <w:noProof/>
                <w:webHidden/>
                <w:color w:val="auto"/>
                <w:sz w:val="22"/>
                <w:szCs w:val="22"/>
              </w:rPr>
              <w:tab/>
            </w:r>
            <w:r w:rsidR="00BD61A8" w:rsidRPr="00BD61A8">
              <w:rPr>
                <w:rFonts w:asciiTheme="minorHAnsi" w:hAnsiTheme="minorHAnsi"/>
                <w:noProof/>
                <w:webHidden/>
                <w:color w:val="auto"/>
                <w:sz w:val="22"/>
                <w:szCs w:val="22"/>
              </w:rPr>
              <w:fldChar w:fldCharType="begin"/>
            </w:r>
            <w:r w:rsidR="00BD61A8" w:rsidRPr="00BD61A8">
              <w:rPr>
                <w:rFonts w:asciiTheme="minorHAnsi" w:hAnsiTheme="minorHAnsi"/>
                <w:noProof/>
                <w:webHidden/>
                <w:color w:val="auto"/>
                <w:sz w:val="22"/>
                <w:szCs w:val="22"/>
              </w:rPr>
              <w:instrText xml:space="preserve"> PAGEREF _Toc203992791 \h </w:instrText>
            </w:r>
            <w:r w:rsidR="00BD61A8" w:rsidRPr="00BD61A8">
              <w:rPr>
                <w:rFonts w:asciiTheme="minorHAnsi" w:hAnsiTheme="minorHAnsi"/>
                <w:noProof/>
                <w:webHidden/>
                <w:color w:val="auto"/>
                <w:sz w:val="22"/>
                <w:szCs w:val="22"/>
              </w:rPr>
            </w:r>
            <w:r w:rsidR="00BD61A8" w:rsidRPr="00BD61A8">
              <w:rPr>
                <w:rFonts w:asciiTheme="minorHAnsi" w:hAnsiTheme="minorHAnsi"/>
                <w:noProof/>
                <w:webHidden/>
                <w:color w:val="auto"/>
                <w:sz w:val="22"/>
                <w:szCs w:val="22"/>
              </w:rPr>
              <w:fldChar w:fldCharType="separate"/>
            </w:r>
            <w:r w:rsidR="00A00296">
              <w:rPr>
                <w:rFonts w:asciiTheme="minorHAnsi" w:hAnsiTheme="minorHAnsi"/>
                <w:noProof/>
                <w:webHidden/>
                <w:color w:val="auto"/>
                <w:sz w:val="22"/>
                <w:szCs w:val="22"/>
              </w:rPr>
              <w:t>2</w:t>
            </w:r>
            <w:r w:rsidR="00BD61A8" w:rsidRPr="00BD61A8">
              <w:rPr>
                <w:rFonts w:asciiTheme="minorHAnsi" w:hAnsiTheme="minorHAnsi"/>
                <w:noProof/>
                <w:webHidden/>
                <w:color w:val="auto"/>
                <w:sz w:val="22"/>
                <w:szCs w:val="22"/>
              </w:rPr>
              <w:fldChar w:fldCharType="end"/>
            </w:r>
          </w:hyperlink>
        </w:p>
        <w:p w14:paraId="3C549825" w14:textId="4225223C" w:rsidR="00BD61A8" w:rsidRPr="00BD61A8" w:rsidRDefault="00BD61A8">
          <w:pPr>
            <w:pStyle w:val="TOC1"/>
            <w:tabs>
              <w:tab w:val="left" w:pos="440"/>
              <w:tab w:val="right" w:leader="dot" w:pos="9260"/>
            </w:tabs>
            <w:rPr>
              <w:rFonts w:asciiTheme="minorHAnsi" w:eastAsiaTheme="minorEastAsia" w:hAnsiTheme="minorHAnsi" w:cstheme="minorBidi"/>
              <w:b w:val="0"/>
              <w:noProof/>
              <w:color w:val="auto"/>
              <w:kern w:val="2"/>
              <w:sz w:val="22"/>
              <w:szCs w:val="22"/>
              <w:lang w:val="en-US"/>
              <w14:ligatures w14:val="standardContextual"/>
            </w:rPr>
          </w:pPr>
          <w:hyperlink w:anchor="_Toc203992792" w:history="1">
            <w:r w:rsidRPr="00BD61A8">
              <w:rPr>
                <w:rStyle w:val="Hyperlink"/>
                <w:rFonts w:asciiTheme="minorHAnsi" w:hAnsiTheme="minorHAnsi"/>
                <w:noProof/>
                <w:color w:val="auto"/>
                <w:sz w:val="22"/>
                <w:szCs w:val="22"/>
                <w:lang w:val="es-VE"/>
              </w:rPr>
              <w:t>II.</w:t>
            </w:r>
            <w:r w:rsidRPr="00BD61A8">
              <w:rPr>
                <w:rFonts w:asciiTheme="minorHAnsi" w:eastAsiaTheme="minorEastAsia" w:hAnsiTheme="minorHAnsi" w:cstheme="minorBidi"/>
                <w:b w:val="0"/>
                <w:noProof/>
                <w:color w:val="auto"/>
                <w:kern w:val="2"/>
                <w:sz w:val="22"/>
                <w:szCs w:val="22"/>
                <w:lang w:val="en-US"/>
                <w14:ligatures w14:val="standardContextual"/>
              </w:rPr>
              <w:tab/>
            </w:r>
            <w:r w:rsidRPr="00BD61A8">
              <w:rPr>
                <w:rStyle w:val="Hyperlink"/>
                <w:rFonts w:asciiTheme="minorHAnsi" w:hAnsiTheme="minorHAnsi"/>
                <w:noProof/>
                <w:color w:val="auto"/>
                <w:sz w:val="22"/>
                <w:szCs w:val="22"/>
              </w:rPr>
              <w:t>POSITIONS OF THE PARTIES</w:t>
            </w:r>
            <w:r w:rsidRPr="00BD61A8">
              <w:rPr>
                <w:rFonts w:asciiTheme="minorHAnsi" w:hAnsiTheme="minorHAnsi"/>
                <w:noProof/>
                <w:webHidden/>
                <w:color w:val="auto"/>
                <w:sz w:val="22"/>
                <w:szCs w:val="22"/>
              </w:rPr>
              <w:tab/>
            </w:r>
            <w:r w:rsidRPr="00BD61A8">
              <w:rPr>
                <w:rFonts w:asciiTheme="minorHAnsi" w:hAnsiTheme="minorHAnsi"/>
                <w:noProof/>
                <w:webHidden/>
                <w:color w:val="auto"/>
                <w:sz w:val="22"/>
                <w:szCs w:val="22"/>
              </w:rPr>
              <w:fldChar w:fldCharType="begin"/>
            </w:r>
            <w:r w:rsidRPr="00BD61A8">
              <w:rPr>
                <w:rFonts w:asciiTheme="minorHAnsi" w:hAnsiTheme="minorHAnsi"/>
                <w:noProof/>
                <w:webHidden/>
                <w:color w:val="auto"/>
                <w:sz w:val="22"/>
                <w:szCs w:val="22"/>
              </w:rPr>
              <w:instrText xml:space="preserve"> PAGEREF _Toc203992792 \h </w:instrText>
            </w:r>
            <w:r w:rsidRPr="00BD61A8">
              <w:rPr>
                <w:rFonts w:asciiTheme="minorHAnsi" w:hAnsiTheme="minorHAnsi"/>
                <w:noProof/>
                <w:webHidden/>
                <w:color w:val="auto"/>
                <w:sz w:val="22"/>
                <w:szCs w:val="22"/>
              </w:rPr>
            </w:r>
            <w:r w:rsidRPr="00BD61A8">
              <w:rPr>
                <w:rFonts w:asciiTheme="minorHAnsi" w:hAnsiTheme="minorHAnsi"/>
                <w:noProof/>
                <w:webHidden/>
                <w:color w:val="auto"/>
                <w:sz w:val="22"/>
                <w:szCs w:val="22"/>
              </w:rPr>
              <w:fldChar w:fldCharType="separate"/>
            </w:r>
            <w:r w:rsidR="00A00296">
              <w:rPr>
                <w:rFonts w:asciiTheme="minorHAnsi" w:hAnsiTheme="minorHAnsi"/>
                <w:noProof/>
                <w:webHidden/>
                <w:color w:val="auto"/>
                <w:sz w:val="22"/>
                <w:szCs w:val="22"/>
              </w:rPr>
              <w:t>2</w:t>
            </w:r>
            <w:r w:rsidRPr="00BD61A8">
              <w:rPr>
                <w:rFonts w:asciiTheme="minorHAnsi" w:hAnsiTheme="minorHAnsi"/>
                <w:noProof/>
                <w:webHidden/>
                <w:color w:val="auto"/>
                <w:sz w:val="22"/>
                <w:szCs w:val="22"/>
              </w:rPr>
              <w:fldChar w:fldCharType="end"/>
            </w:r>
          </w:hyperlink>
        </w:p>
        <w:p w14:paraId="145D9321" w14:textId="64EA26C9" w:rsidR="00BD61A8" w:rsidRPr="00BD61A8" w:rsidRDefault="00BD61A8">
          <w:pPr>
            <w:pStyle w:val="TOC3"/>
            <w:tabs>
              <w:tab w:val="left" w:pos="660"/>
              <w:tab w:val="right" w:leader="dot" w:pos="9260"/>
            </w:tabs>
            <w:rPr>
              <w:rFonts w:asciiTheme="minorHAnsi" w:eastAsiaTheme="minorEastAsia" w:hAnsiTheme="minorHAnsi" w:cstheme="minorBidi"/>
              <w:i w:val="0"/>
              <w:noProof/>
              <w:kern w:val="2"/>
              <w:lang w:val="en-US"/>
              <w14:ligatures w14:val="standardContextual"/>
            </w:rPr>
          </w:pPr>
          <w:hyperlink w:anchor="_Toc203992793" w:history="1">
            <w:r w:rsidRPr="00BD61A8">
              <w:rPr>
                <w:rStyle w:val="Hyperlink"/>
                <w:rFonts w:asciiTheme="minorHAnsi" w:hAnsiTheme="minorHAnsi"/>
                <w:noProof/>
                <w:lang w:val="es-ES"/>
              </w:rPr>
              <w:t>A.</w:t>
            </w:r>
            <w:r w:rsidRPr="00BD61A8">
              <w:rPr>
                <w:rFonts w:asciiTheme="minorHAnsi" w:eastAsiaTheme="minorEastAsia" w:hAnsiTheme="minorHAnsi" w:cstheme="minorBidi"/>
                <w:i w:val="0"/>
                <w:noProof/>
                <w:kern w:val="2"/>
                <w:lang w:val="en-US"/>
                <w14:ligatures w14:val="standardContextual"/>
              </w:rPr>
              <w:tab/>
            </w:r>
            <w:r w:rsidRPr="00BD61A8">
              <w:rPr>
                <w:rStyle w:val="Hyperlink"/>
                <w:rFonts w:asciiTheme="minorHAnsi" w:hAnsiTheme="minorHAnsi"/>
                <w:noProof/>
                <w:lang w:val="es-ES"/>
              </w:rPr>
              <w:t>Petitioning party</w:t>
            </w:r>
            <w:r w:rsidRPr="00BD61A8">
              <w:rPr>
                <w:rFonts w:asciiTheme="minorHAnsi" w:hAnsiTheme="minorHAnsi"/>
                <w:noProof/>
                <w:webHidden/>
              </w:rPr>
              <w:tab/>
            </w:r>
            <w:r w:rsidRPr="00BD61A8">
              <w:rPr>
                <w:rFonts w:asciiTheme="minorHAnsi" w:hAnsiTheme="minorHAnsi"/>
                <w:noProof/>
                <w:webHidden/>
              </w:rPr>
              <w:fldChar w:fldCharType="begin"/>
            </w:r>
            <w:r w:rsidRPr="00BD61A8">
              <w:rPr>
                <w:rFonts w:asciiTheme="minorHAnsi" w:hAnsiTheme="minorHAnsi"/>
                <w:noProof/>
                <w:webHidden/>
              </w:rPr>
              <w:instrText xml:space="preserve"> PAGEREF _Toc203992793 \h </w:instrText>
            </w:r>
            <w:r w:rsidRPr="00BD61A8">
              <w:rPr>
                <w:rFonts w:asciiTheme="minorHAnsi" w:hAnsiTheme="minorHAnsi"/>
                <w:noProof/>
                <w:webHidden/>
              </w:rPr>
            </w:r>
            <w:r w:rsidRPr="00BD61A8">
              <w:rPr>
                <w:rFonts w:asciiTheme="minorHAnsi" w:hAnsiTheme="minorHAnsi"/>
                <w:noProof/>
                <w:webHidden/>
              </w:rPr>
              <w:fldChar w:fldCharType="separate"/>
            </w:r>
            <w:r w:rsidR="00A00296">
              <w:rPr>
                <w:rFonts w:asciiTheme="minorHAnsi" w:hAnsiTheme="minorHAnsi"/>
                <w:noProof/>
                <w:webHidden/>
              </w:rPr>
              <w:t>2</w:t>
            </w:r>
            <w:r w:rsidRPr="00BD61A8">
              <w:rPr>
                <w:rFonts w:asciiTheme="minorHAnsi" w:hAnsiTheme="minorHAnsi"/>
                <w:noProof/>
                <w:webHidden/>
              </w:rPr>
              <w:fldChar w:fldCharType="end"/>
            </w:r>
          </w:hyperlink>
        </w:p>
        <w:p w14:paraId="64E22650" w14:textId="5068619C" w:rsidR="00BD61A8" w:rsidRPr="00BD61A8" w:rsidRDefault="00BD61A8">
          <w:pPr>
            <w:pStyle w:val="TOC3"/>
            <w:tabs>
              <w:tab w:val="left" w:pos="660"/>
              <w:tab w:val="right" w:leader="dot" w:pos="9260"/>
            </w:tabs>
            <w:rPr>
              <w:rFonts w:asciiTheme="minorHAnsi" w:eastAsiaTheme="minorEastAsia" w:hAnsiTheme="minorHAnsi" w:cstheme="minorBidi"/>
              <w:i w:val="0"/>
              <w:noProof/>
              <w:kern w:val="2"/>
              <w:lang w:val="en-US"/>
              <w14:ligatures w14:val="standardContextual"/>
            </w:rPr>
          </w:pPr>
          <w:hyperlink w:anchor="_Toc203992794" w:history="1">
            <w:r w:rsidRPr="00BD61A8">
              <w:rPr>
                <w:rStyle w:val="Hyperlink"/>
                <w:rFonts w:asciiTheme="minorHAnsi" w:hAnsiTheme="minorHAnsi"/>
                <w:noProof/>
                <w:lang w:val="es-ES"/>
              </w:rPr>
              <w:t>B.</w:t>
            </w:r>
            <w:r w:rsidRPr="00BD61A8">
              <w:rPr>
                <w:rFonts w:asciiTheme="minorHAnsi" w:eastAsiaTheme="minorEastAsia" w:hAnsiTheme="minorHAnsi" w:cstheme="minorBidi"/>
                <w:i w:val="0"/>
                <w:noProof/>
                <w:kern w:val="2"/>
                <w:lang w:val="en-US"/>
                <w14:ligatures w14:val="standardContextual"/>
              </w:rPr>
              <w:tab/>
            </w:r>
            <w:r w:rsidRPr="00BD61A8">
              <w:rPr>
                <w:rStyle w:val="Hyperlink"/>
                <w:rFonts w:asciiTheme="minorHAnsi" w:hAnsiTheme="minorHAnsi"/>
                <w:noProof/>
                <w:lang w:val="es-ES"/>
              </w:rPr>
              <w:t>State</w:t>
            </w:r>
            <w:r w:rsidRPr="00BD61A8">
              <w:rPr>
                <w:rFonts w:asciiTheme="minorHAnsi" w:hAnsiTheme="minorHAnsi"/>
                <w:noProof/>
                <w:webHidden/>
              </w:rPr>
              <w:tab/>
            </w:r>
            <w:r w:rsidRPr="00BD61A8">
              <w:rPr>
                <w:rFonts w:asciiTheme="minorHAnsi" w:hAnsiTheme="minorHAnsi"/>
                <w:noProof/>
                <w:webHidden/>
              </w:rPr>
              <w:fldChar w:fldCharType="begin"/>
            </w:r>
            <w:r w:rsidRPr="00BD61A8">
              <w:rPr>
                <w:rFonts w:asciiTheme="minorHAnsi" w:hAnsiTheme="minorHAnsi"/>
                <w:noProof/>
                <w:webHidden/>
              </w:rPr>
              <w:instrText xml:space="preserve"> PAGEREF _Toc203992794 \h </w:instrText>
            </w:r>
            <w:r w:rsidRPr="00BD61A8">
              <w:rPr>
                <w:rFonts w:asciiTheme="minorHAnsi" w:hAnsiTheme="minorHAnsi"/>
                <w:noProof/>
                <w:webHidden/>
              </w:rPr>
            </w:r>
            <w:r w:rsidRPr="00BD61A8">
              <w:rPr>
                <w:rFonts w:asciiTheme="minorHAnsi" w:hAnsiTheme="minorHAnsi"/>
                <w:noProof/>
                <w:webHidden/>
              </w:rPr>
              <w:fldChar w:fldCharType="separate"/>
            </w:r>
            <w:r w:rsidR="00A00296">
              <w:rPr>
                <w:rFonts w:asciiTheme="minorHAnsi" w:hAnsiTheme="minorHAnsi"/>
                <w:noProof/>
                <w:webHidden/>
              </w:rPr>
              <w:t>4</w:t>
            </w:r>
            <w:r w:rsidRPr="00BD61A8">
              <w:rPr>
                <w:rFonts w:asciiTheme="minorHAnsi" w:hAnsiTheme="minorHAnsi"/>
                <w:noProof/>
                <w:webHidden/>
              </w:rPr>
              <w:fldChar w:fldCharType="end"/>
            </w:r>
          </w:hyperlink>
        </w:p>
        <w:p w14:paraId="52E4B649" w14:textId="66E4405E" w:rsidR="00BD61A8" w:rsidRPr="00BD61A8" w:rsidRDefault="00BD61A8">
          <w:pPr>
            <w:pStyle w:val="TOC1"/>
            <w:tabs>
              <w:tab w:val="left" w:pos="660"/>
              <w:tab w:val="right" w:leader="dot" w:pos="9260"/>
            </w:tabs>
            <w:rPr>
              <w:rFonts w:asciiTheme="minorHAnsi" w:eastAsiaTheme="minorEastAsia" w:hAnsiTheme="minorHAnsi" w:cstheme="minorBidi"/>
              <w:b w:val="0"/>
              <w:noProof/>
              <w:color w:val="auto"/>
              <w:kern w:val="2"/>
              <w:sz w:val="22"/>
              <w:szCs w:val="22"/>
              <w:lang w:val="en-US"/>
              <w14:ligatures w14:val="standardContextual"/>
            </w:rPr>
          </w:pPr>
          <w:hyperlink w:anchor="_Toc203992795" w:history="1">
            <w:r w:rsidRPr="00BD61A8">
              <w:rPr>
                <w:rStyle w:val="Hyperlink"/>
                <w:rFonts w:asciiTheme="minorHAnsi" w:hAnsiTheme="minorHAnsi"/>
                <w:noProof/>
                <w:color w:val="auto"/>
                <w:sz w:val="22"/>
                <w:szCs w:val="22"/>
                <w:lang w:val="es-VE"/>
              </w:rPr>
              <w:t>III.</w:t>
            </w:r>
            <w:r w:rsidRPr="00BD61A8">
              <w:rPr>
                <w:rFonts w:asciiTheme="minorHAnsi" w:eastAsiaTheme="minorEastAsia" w:hAnsiTheme="minorHAnsi" w:cstheme="minorBidi"/>
                <w:b w:val="0"/>
                <w:noProof/>
                <w:color w:val="auto"/>
                <w:kern w:val="2"/>
                <w:sz w:val="22"/>
                <w:szCs w:val="22"/>
                <w:lang w:val="en-US"/>
                <w14:ligatures w14:val="standardContextual"/>
              </w:rPr>
              <w:tab/>
            </w:r>
            <w:r w:rsidRPr="00BD61A8">
              <w:rPr>
                <w:rStyle w:val="Hyperlink"/>
                <w:rFonts w:asciiTheme="minorHAnsi" w:hAnsiTheme="minorHAnsi"/>
                <w:noProof/>
                <w:color w:val="auto"/>
                <w:sz w:val="22"/>
                <w:szCs w:val="22"/>
              </w:rPr>
              <w:t>ADMISSIBILITY ANALYSIS</w:t>
            </w:r>
            <w:r w:rsidRPr="00BD61A8">
              <w:rPr>
                <w:rFonts w:asciiTheme="minorHAnsi" w:hAnsiTheme="minorHAnsi"/>
                <w:noProof/>
                <w:webHidden/>
                <w:color w:val="auto"/>
                <w:sz w:val="22"/>
                <w:szCs w:val="22"/>
              </w:rPr>
              <w:tab/>
            </w:r>
            <w:r w:rsidRPr="00BD61A8">
              <w:rPr>
                <w:rFonts w:asciiTheme="minorHAnsi" w:hAnsiTheme="minorHAnsi"/>
                <w:noProof/>
                <w:webHidden/>
                <w:color w:val="auto"/>
                <w:sz w:val="22"/>
                <w:szCs w:val="22"/>
              </w:rPr>
              <w:fldChar w:fldCharType="begin"/>
            </w:r>
            <w:r w:rsidRPr="00BD61A8">
              <w:rPr>
                <w:rFonts w:asciiTheme="minorHAnsi" w:hAnsiTheme="minorHAnsi"/>
                <w:noProof/>
                <w:webHidden/>
                <w:color w:val="auto"/>
                <w:sz w:val="22"/>
                <w:szCs w:val="22"/>
              </w:rPr>
              <w:instrText xml:space="preserve"> PAGEREF _Toc203992795 \h </w:instrText>
            </w:r>
            <w:r w:rsidRPr="00BD61A8">
              <w:rPr>
                <w:rFonts w:asciiTheme="minorHAnsi" w:hAnsiTheme="minorHAnsi"/>
                <w:noProof/>
                <w:webHidden/>
                <w:color w:val="auto"/>
                <w:sz w:val="22"/>
                <w:szCs w:val="22"/>
              </w:rPr>
            </w:r>
            <w:r w:rsidRPr="00BD61A8">
              <w:rPr>
                <w:rFonts w:asciiTheme="minorHAnsi" w:hAnsiTheme="minorHAnsi"/>
                <w:noProof/>
                <w:webHidden/>
                <w:color w:val="auto"/>
                <w:sz w:val="22"/>
                <w:szCs w:val="22"/>
              </w:rPr>
              <w:fldChar w:fldCharType="separate"/>
            </w:r>
            <w:r w:rsidR="00A00296">
              <w:rPr>
                <w:rFonts w:asciiTheme="minorHAnsi" w:hAnsiTheme="minorHAnsi"/>
                <w:noProof/>
                <w:webHidden/>
                <w:color w:val="auto"/>
                <w:sz w:val="22"/>
                <w:szCs w:val="22"/>
              </w:rPr>
              <w:t>5</w:t>
            </w:r>
            <w:r w:rsidRPr="00BD61A8">
              <w:rPr>
                <w:rFonts w:asciiTheme="minorHAnsi" w:hAnsiTheme="minorHAnsi"/>
                <w:noProof/>
                <w:webHidden/>
                <w:color w:val="auto"/>
                <w:sz w:val="22"/>
                <w:szCs w:val="22"/>
              </w:rPr>
              <w:fldChar w:fldCharType="end"/>
            </w:r>
          </w:hyperlink>
        </w:p>
        <w:p w14:paraId="2B31E596" w14:textId="00140CC7" w:rsidR="00BD61A8" w:rsidRPr="00BD61A8" w:rsidRDefault="00BD61A8">
          <w:pPr>
            <w:pStyle w:val="TOC2"/>
            <w:tabs>
              <w:tab w:val="left" w:pos="440"/>
              <w:tab w:val="right" w:leader="dot" w:pos="9260"/>
            </w:tabs>
            <w:rPr>
              <w:rFonts w:asciiTheme="minorHAnsi" w:eastAsiaTheme="minorEastAsia" w:hAnsiTheme="minorHAnsi" w:cstheme="minorBidi"/>
              <w:noProof/>
              <w:kern w:val="2"/>
              <w:lang w:val="en-US"/>
              <w14:ligatures w14:val="standardContextual"/>
            </w:rPr>
          </w:pPr>
          <w:hyperlink w:anchor="_Toc203992796" w:history="1">
            <w:r w:rsidRPr="00BD61A8">
              <w:rPr>
                <w:rStyle w:val="Hyperlink"/>
                <w:rFonts w:asciiTheme="minorHAnsi" w:hAnsiTheme="minorHAnsi"/>
                <w:noProof/>
                <w:lang w:val="en-US"/>
              </w:rPr>
              <w:t>A.</w:t>
            </w:r>
            <w:r w:rsidRPr="00BD61A8">
              <w:rPr>
                <w:rFonts w:asciiTheme="minorHAnsi" w:eastAsiaTheme="minorEastAsia" w:hAnsiTheme="minorHAnsi" w:cstheme="minorBidi"/>
                <w:noProof/>
                <w:kern w:val="2"/>
                <w:lang w:val="en-US"/>
                <w14:ligatures w14:val="standardContextual"/>
              </w:rPr>
              <w:tab/>
            </w:r>
            <w:r w:rsidRPr="00BD61A8">
              <w:rPr>
                <w:rStyle w:val="Hyperlink"/>
                <w:rFonts w:asciiTheme="minorHAnsi" w:hAnsiTheme="minorHAnsi"/>
                <w:noProof/>
                <w:lang w:val="en-US"/>
              </w:rPr>
              <w:t>Jurisdiction, duplication of procedures and international res judicata</w:t>
            </w:r>
            <w:r w:rsidRPr="00BD61A8">
              <w:rPr>
                <w:rFonts w:asciiTheme="minorHAnsi" w:hAnsiTheme="minorHAnsi"/>
                <w:noProof/>
                <w:webHidden/>
              </w:rPr>
              <w:tab/>
            </w:r>
            <w:r w:rsidRPr="00BD61A8">
              <w:rPr>
                <w:rFonts w:asciiTheme="minorHAnsi" w:hAnsiTheme="minorHAnsi"/>
                <w:noProof/>
                <w:webHidden/>
              </w:rPr>
              <w:fldChar w:fldCharType="begin"/>
            </w:r>
            <w:r w:rsidRPr="00BD61A8">
              <w:rPr>
                <w:rFonts w:asciiTheme="minorHAnsi" w:hAnsiTheme="minorHAnsi"/>
                <w:noProof/>
                <w:webHidden/>
              </w:rPr>
              <w:instrText xml:space="preserve"> PAGEREF _Toc203992796 \h </w:instrText>
            </w:r>
            <w:r w:rsidRPr="00BD61A8">
              <w:rPr>
                <w:rFonts w:asciiTheme="minorHAnsi" w:hAnsiTheme="minorHAnsi"/>
                <w:noProof/>
                <w:webHidden/>
              </w:rPr>
            </w:r>
            <w:r w:rsidRPr="00BD61A8">
              <w:rPr>
                <w:rFonts w:asciiTheme="minorHAnsi" w:hAnsiTheme="minorHAnsi"/>
                <w:noProof/>
                <w:webHidden/>
              </w:rPr>
              <w:fldChar w:fldCharType="separate"/>
            </w:r>
            <w:r w:rsidR="00A00296">
              <w:rPr>
                <w:rFonts w:asciiTheme="minorHAnsi" w:hAnsiTheme="minorHAnsi"/>
                <w:noProof/>
                <w:webHidden/>
              </w:rPr>
              <w:t>5</w:t>
            </w:r>
            <w:r w:rsidRPr="00BD61A8">
              <w:rPr>
                <w:rFonts w:asciiTheme="minorHAnsi" w:hAnsiTheme="minorHAnsi"/>
                <w:noProof/>
                <w:webHidden/>
              </w:rPr>
              <w:fldChar w:fldCharType="end"/>
            </w:r>
          </w:hyperlink>
        </w:p>
        <w:p w14:paraId="344187E1" w14:textId="16FD3662" w:rsidR="00BD61A8" w:rsidRPr="00BD61A8" w:rsidRDefault="00BD61A8">
          <w:pPr>
            <w:pStyle w:val="TOC2"/>
            <w:tabs>
              <w:tab w:val="left" w:pos="440"/>
              <w:tab w:val="right" w:leader="dot" w:pos="9260"/>
            </w:tabs>
            <w:rPr>
              <w:rFonts w:asciiTheme="minorHAnsi" w:eastAsiaTheme="minorEastAsia" w:hAnsiTheme="minorHAnsi" w:cstheme="minorBidi"/>
              <w:noProof/>
              <w:kern w:val="2"/>
              <w:lang w:val="en-US"/>
              <w14:ligatures w14:val="standardContextual"/>
            </w:rPr>
          </w:pPr>
          <w:hyperlink w:anchor="_Toc203992797" w:history="1">
            <w:r w:rsidRPr="00BD61A8">
              <w:rPr>
                <w:rStyle w:val="Hyperlink"/>
                <w:rFonts w:asciiTheme="minorHAnsi" w:hAnsiTheme="minorHAnsi"/>
                <w:noProof/>
                <w:lang w:val="es-ES"/>
              </w:rPr>
              <w:t>B.</w:t>
            </w:r>
            <w:r w:rsidRPr="00BD61A8">
              <w:rPr>
                <w:rFonts w:asciiTheme="minorHAnsi" w:eastAsiaTheme="minorEastAsia" w:hAnsiTheme="minorHAnsi" w:cstheme="minorBidi"/>
                <w:noProof/>
                <w:kern w:val="2"/>
                <w:lang w:val="en-US"/>
                <w14:ligatures w14:val="standardContextual"/>
              </w:rPr>
              <w:tab/>
            </w:r>
            <w:r w:rsidRPr="00BD61A8">
              <w:rPr>
                <w:rStyle w:val="Hyperlink"/>
                <w:rFonts w:asciiTheme="minorHAnsi" w:hAnsiTheme="minorHAnsi"/>
                <w:noProof/>
                <w:lang w:val="es-ES"/>
              </w:rPr>
              <w:t>Admissibility requirements</w:t>
            </w:r>
            <w:r w:rsidRPr="00BD61A8">
              <w:rPr>
                <w:rFonts w:asciiTheme="minorHAnsi" w:hAnsiTheme="minorHAnsi"/>
                <w:noProof/>
                <w:webHidden/>
              </w:rPr>
              <w:tab/>
            </w:r>
            <w:r w:rsidRPr="00BD61A8">
              <w:rPr>
                <w:rFonts w:asciiTheme="minorHAnsi" w:hAnsiTheme="minorHAnsi"/>
                <w:noProof/>
                <w:webHidden/>
              </w:rPr>
              <w:fldChar w:fldCharType="begin"/>
            </w:r>
            <w:r w:rsidRPr="00BD61A8">
              <w:rPr>
                <w:rFonts w:asciiTheme="minorHAnsi" w:hAnsiTheme="minorHAnsi"/>
                <w:noProof/>
                <w:webHidden/>
              </w:rPr>
              <w:instrText xml:space="preserve"> PAGEREF _Toc203992797 \h </w:instrText>
            </w:r>
            <w:r w:rsidRPr="00BD61A8">
              <w:rPr>
                <w:rFonts w:asciiTheme="minorHAnsi" w:hAnsiTheme="minorHAnsi"/>
                <w:noProof/>
                <w:webHidden/>
              </w:rPr>
            </w:r>
            <w:r w:rsidRPr="00BD61A8">
              <w:rPr>
                <w:rFonts w:asciiTheme="minorHAnsi" w:hAnsiTheme="minorHAnsi"/>
                <w:noProof/>
                <w:webHidden/>
              </w:rPr>
              <w:fldChar w:fldCharType="separate"/>
            </w:r>
            <w:r w:rsidR="00A00296">
              <w:rPr>
                <w:rFonts w:asciiTheme="minorHAnsi" w:hAnsiTheme="minorHAnsi"/>
                <w:noProof/>
                <w:webHidden/>
              </w:rPr>
              <w:t>6</w:t>
            </w:r>
            <w:r w:rsidRPr="00BD61A8">
              <w:rPr>
                <w:rFonts w:asciiTheme="minorHAnsi" w:hAnsiTheme="minorHAnsi"/>
                <w:noProof/>
                <w:webHidden/>
              </w:rPr>
              <w:fldChar w:fldCharType="end"/>
            </w:r>
          </w:hyperlink>
        </w:p>
        <w:p w14:paraId="51069B27" w14:textId="506CFF61" w:rsidR="00BD61A8" w:rsidRPr="00BD61A8" w:rsidRDefault="00BD61A8">
          <w:pPr>
            <w:pStyle w:val="TOC3"/>
            <w:tabs>
              <w:tab w:val="left" w:pos="660"/>
              <w:tab w:val="right" w:leader="dot" w:pos="9260"/>
            </w:tabs>
            <w:rPr>
              <w:rFonts w:asciiTheme="minorHAnsi" w:eastAsiaTheme="minorEastAsia" w:hAnsiTheme="minorHAnsi" w:cstheme="minorBidi"/>
              <w:i w:val="0"/>
              <w:noProof/>
              <w:kern w:val="2"/>
              <w:lang w:val="en-US"/>
              <w14:ligatures w14:val="standardContextual"/>
            </w:rPr>
          </w:pPr>
          <w:hyperlink w:anchor="_Toc203992798" w:history="1">
            <w:r w:rsidRPr="00BD61A8">
              <w:rPr>
                <w:rStyle w:val="Hyperlink"/>
                <w:rFonts w:asciiTheme="minorHAnsi" w:hAnsiTheme="minorHAnsi"/>
                <w:noProof/>
              </w:rPr>
              <w:t>1.</w:t>
            </w:r>
            <w:r w:rsidRPr="00BD61A8">
              <w:rPr>
                <w:rFonts w:asciiTheme="minorHAnsi" w:eastAsiaTheme="minorEastAsia" w:hAnsiTheme="minorHAnsi" w:cstheme="minorBidi"/>
                <w:i w:val="0"/>
                <w:noProof/>
                <w:kern w:val="2"/>
                <w:lang w:val="en-US"/>
                <w14:ligatures w14:val="standardContextual"/>
              </w:rPr>
              <w:tab/>
            </w:r>
            <w:r w:rsidRPr="00BD61A8">
              <w:rPr>
                <w:rStyle w:val="Hyperlink"/>
                <w:rFonts w:asciiTheme="minorHAnsi" w:hAnsiTheme="minorHAnsi"/>
                <w:noProof/>
              </w:rPr>
              <w:t>Exhaustion of Domestic Remedies</w:t>
            </w:r>
            <w:r w:rsidRPr="00BD61A8">
              <w:rPr>
                <w:rFonts w:asciiTheme="minorHAnsi" w:hAnsiTheme="minorHAnsi"/>
                <w:noProof/>
                <w:webHidden/>
              </w:rPr>
              <w:tab/>
            </w:r>
            <w:r w:rsidRPr="00BD61A8">
              <w:rPr>
                <w:rFonts w:asciiTheme="minorHAnsi" w:hAnsiTheme="minorHAnsi"/>
                <w:noProof/>
                <w:webHidden/>
              </w:rPr>
              <w:fldChar w:fldCharType="begin"/>
            </w:r>
            <w:r w:rsidRPr="00BD61A8">
              <w:rPr>
                <w:rFonts w:asciiTheme="minorHAnsi" w:hAnsiTheme="minorHAnsi"/>
                <w:noProof/>
                <w:webHidden/>
              </w:rPr>
              <w:instrText xml:space="preserve"> PAGEREF _Toc203992798 \h </w:instrText>
            </w:r>
            <w:r w:rsidRPr="00BD61A8">
              <w:rPr>
                <w:rFonts w:asciiTheme="minorHAnsi" w:hAnsiTheme="minorHAnsi"/>
                <w:noProof/>
                <w:webHidden/>
              </w:rPr>
            </w:r>
            <w:r w:rsidRPr="00BD61A8">
              <w:rPr>
                <w:rFonts w:asciiTheme="minorHAnsi" w:hAnsiTheme="minorHAnsi"/>
                <w:noProof/>
                <w:webHidden/>
              </w:rPr>
              <w:fldChar w:fldCharType="separate"/>
            </w:r>
            <w:r w:rsidR="00A00296">
              <w:rPr>
                <w:rFonts w:asciiTheme="minorHAnsi" w:hAnsiTheme="minorHAnsi"/>
                <w:noProof/>
                <w:webHidden/>
              </w:rPr>
              <w:t>6</w:t>
            </w:r>
            <w:r w:rsidRPr="00BD61A8">
              <w:rPr>
                <w:rFonts w:asciiTheme="minorHAnsi" w:hAnsiTheme="minorHAnsi"/>
                <w:noProof/>
                <w:webHidden/>
              </w:rPr>
              <w:fldChar w:fldCharType="end"/>
            </w:r>
          </w:hyperlink>
        </w:p>
        <w:p w14:paraId="057B0DE6" w14:textId="655DA9FC" w:rsidR="00BD61A8" w:rsidRPr="00BD61A8" w:rsidRDefault="00BD61A8">
          <w:pPr>
            <w:pStyle w:val="TOC3"/>
            <w:tabs>
              <w:tab w:val="left" w:pos="660"/>
              <w:tab w:val="right" w:leader="dot" w:pos="9260"/>
            </w:tabs>
            <w:rPr>
              <w:rFonts w:asciiTheme="minorHAnsi" w:eastAsiaTheme="minorEastAsia" w:hAnsiTheme="minorHAnsi" w:cstheme="minorBidi"/>
              <w:i w:val="0"/>
              <w:noProof/>
              <w:kern w:val="2"/>
              <w:lang w:val="en-US"/>
              <w14:ligatures w14:val="standardContextual"/>
            </w:rPr>
          </w:pPr>
          <w:hyperlink w:anchor="_Toc203992799" w:history="1">
            <w:r w:rsidRPr="00BD61A8">
              <w:rPr>
                <w:rStyle w:val="Hyperlink"/>
                <w:rFonts w:asciiTheme="minorHAnsi" w:hAnsiTheme="minorHAnsi"/>
                <w:iCs/>
                <w:noProof/>
                <w:lang w:val="es-ES"/>
              </w:rPr>
              <w:t>2.</w:t>
            </w:r>
            <w:r w:rsidRPr="00BD61A8">
              <w:rPr>
                <w:rFonts w:asciiTheme="minorHAnsi" w:eastAsiaTheme="minorEastAsia" w:hAnsiTheme="minorHAnsi" w:cstheme="minorBidi"/>
                <w:i w:val="0"/>
                <w:noProof/>
                <w:kern w:val="2"/>
                <w:lang w:val="en-US"/>
                <w14:ligatures w14:val="standardContextual"/>
              </w:rPr>
              <w:tab/>
            </w:r>
            <w:r w:rsidRPr="00BD61A8">
              <w:rPr>
                <w:rStyle w:val="Hyperlink"/>
                <w:rFonts w:asciiTheme="minorHAnsi" w:hAnsiTheme="minorHAnsi"/>
                <w:noProof/>
              </w:rPr>
              <w:t>Deadline</w:t>
            </w:r>
            <w:r w:rsidRPr="00BD61A8">
              <w:rPr>
                <w:rStyle w:val="Hyperlink"/>
                <w:rFonts w:asciiTheme="minorHAnsi" w:hAnsiTheme="minorHAnsi"/>
                <w:iCs/>
                <w:noProof/>
                <w:lang w:val="es-ES"/>
              </w:rPr>
              <w:t xml:space="preserve"> for Submitting the Petition</w:t>
            </w:r>
            <w:r w:rsidRPr="00BD61A8">
              <w:rPr>
                <w:rFonts w:asciiTheme="minorHAnsi" w:hAnsiTheme="minorHAnsi"/>
                <w:noProof/>
                <w:webHidden/>
              </w:rPr>
              <w:tab/>
            </w:r>
            <w:r w:rsidRPr="00BD61A8">
              <w:rPr>
                <w:rFonts w:asciiTheme="minorHAnsi" w:hAnsiTheme="minorHAnsi"/>
                <w:noProof/>
                <w:webHidden/>
              </w:rPr>
              <w:fldChar w:fldCharType="begin"/>
            </w:r>
            <w:r w:rsidRPr="00BD61A8">
              <w:rPr>
                <w:rFonts w:asciiTheme="minorHAnsi" w:hAnsiTheme="minorHAnsi"/>
                <w:noProof/>
                <w:webHidden/>
              </w:rPr>
              <w:instrText xml:space="preserve"> PAGEREF _Toc203992799 \h </w:instrText>
            </w:r>
            <w:r w:rsidRPr="00BD61A8">
              <w:rPr>
                <w:rFonts w:asciiTheme="minorHAnsi" w:hAnsiTheme="minorHAnsi"/>
                <w:noProof/>
                <w:webHidden/>
              </w:rPr>
            </w:r>
            <w:r w:rsidRPr="00BD61A8">
              <w:rPr>
                <w:rFonts w:asciiTheme="minorHAnsi" w:hAnsiTheme="minorHAnsi"/>
                <w:noProof/>
                <w:webHidden/>
              </w:rPr>
              <w:fldChar w:fldCharType="separate"/>
            </w:r>
            <w:r w:rsidR="00A00296">
              <w:rPr>
                <w:rFonts w:asciiTheme="minorHAnsi" w:hAnsiTheme="minorHAnsi"/>
                <w:noProof/>
                <w:webHidden/>
              </w:rPr>
              <w:t>7</w:t>
            </w:r>
            <w:r w:rsidRPr="00BD61A8">
              <w:rPr>
                <w:rFonts w:asciiTheme="minorHAnsi" w:hAnsiTheme="minorHAnsi"/>
                <w:noProof/>
                <w:webHidden/>
              </w:rPr>
              <w:fldChar w:fldCharType="end"/>
            </w:r>
          </w:hyperlink>
        </w:p>
        <w:p w14:paraId="5CD0E527" w14:textId="5679C64D" w:rsidR="00BD61A8" w:rsidRPr="00BD61A8" w:rsidRDefault="00BD61A8">
          <w:pPr>
            <w:pStyle w:val="TOC3"/>
            <w:tabs>
              <w:tab w:val="left" w:pos="660"/>
              <w:tab w:val="right" w:leader="dot" w:pos="9260"/>
            </w:tabs>
            <w:rPr>
              <w:rFonts w:asciiTheme="minorHAnsi" w:eastAsiaTheme="minorEastAsia" w:hAnsiTheme="minorHAnsi" w:cstheme="minorBidi"/>
              <w:i w:val="0"/>
              <w:noProof/>
              <w:kern w:val="2"/>
              <w:lang w:val="en-US"/>
              <w14:ligatures w14:val="standardContextual"/>
            </w:rPr>
          </w:pPr>
          <w:hyperlink w:anchor="_Toc203992800" w:history="1">
            <w:r w:rsidRPr="00BD61A8">
              <w:rPr>
                <w:rStyle w:val="Hyperlink"/>
                <w:rFonts w:asciiTheme="minorHAnsi" w:hAnsiTheme="minorHAnsi"/>
                <w:iCs/>
                <w:noProof/>
                <w:lang w:val="es-ES"/>
              </w:rPr>
              <w:t>3.</w:t>
            </w:r>
            <w:r w:rsidRPr="00BD61A8">
              <w:rPr>
                <w:rFonts w:asciiTheme="minorHAnsi" w:eastAsiaTheme="minorEastAsia" w:hAnsiTheme="minorHAnsi" w:cstheme="minorBidi"/>
                <w:i w:val="0"/>
                <w:noProof/>
                <w:kern w:val="2"/>
                <w:lang w:val="en-US"/>
                <w14:ligatures w14:val="standardContextual"/>
              </w:rPr>
              <w:tab/>
            </w:r>
            <w:r w:rsidRPr="00BD61A8">
              <w:rPr>
                <w:rStyle w:val="Hyperlink"/>
                <w:rFonts w:asciiTheme="minorHAnsi" w:hAnsiTheme="minorHAnsi"/>
                <w:noProof/>
              </w:rPr>
              <w:t>Characterization</w:t>
            </w:r>
            <w:r w:rsidRPr="00BD61A8">
              <w:rPr>
                <w:rStyle w:val="Hyperlink"/>
                <w:rFonts w:asciiTheme="minorHAnsi" w:hAnsiTheme="minorHAnsi"/>
                <w:iCs/>
                <w:noProof/>
                <w:lang w:val="es-ES"/>
              </w:rPr>
              <w:t xml:space="preserve"> of the Alleged Facts</w:t>
            </w:r>
            <w:r w:rsidRPr="00BD61A8">
              <w:rPr>
                <w:rFonts w:asciiTheme="minorHAnsi" w:hAnsiTheme="minorHAnsi"/>
                <w:noProof/>
                <w:webHidden/>
              </w:rPr>
              <w:tab/>
            </w:r>
            <w:r w:rsidRPr="00BD61A8">
              <w:rPr>
                <w:rFonts w:asciiTheme="minorHAnsi" w:hAnsiTheme="minorHAnsi"/>
                <w:noProof/>
                <w:webHidden/>
              </w:rPr>
              <w:fldChar w:fldCharType="begin"/>
            </w:r>
            <w:r w:rsidRPr="00BD61A8">
              <w:rPr>
                <w:rFonts w:asciiTheme="minorHAnsi" w:hAnsiTheme="minorHAnsi"/>
                <w:noProof/>
                <w:webHidden/>
              </w:rPr>
              <w:instrText xml:space="preserve"> PAGEREF _Toc203992800 \h </w:instrText>
            </w:r>
            <w:r w:rsidRPr="00BD61A8">
              <w:rPr>
                <w:rFonts w:asciiTheme="minorHAnsi" w:hAnsiTheme="minorHAnsi"/>
                <w:noProof/>
                <w:webHidden/>
              </w:rPr>
            </w:r>
            <w:r w:rsidRPr="00BD61A8">
              <w:rPr>
                <w:rFonts w:asciiTheme="minorHAnsi" w:hAnsiTheme="minorHAnsi"/>
                <w:noProof/>
                <w:webHidden/>
              </w:rPr>
              <w:fldChar w:fldCharType="separate"/>
            </w:r>
            <w:r w:rsidR="00A00296">
              <w:rPr>
                <w:rFonts w:asciiTheme="minorHAnsi" w:hAnsiTheme="minorHAnsi"/>
                <w:noProof/>
                <w:webHidden/>
              </w:rPr>
              <w:t>7</w:t>
            </w:r>
            <w:r w:rsidRPr="00BD61A8">
              <w:rPr>
                <w:rFonts w:asciiTheme="minorHAnsi" w:hAnsiTheme="minorHAnsi"/>
                <w:noProof/>
                <w:webHidden/>
              </w:rPr>
              <w:fldChar w:fldCharType="end"/>
            </w:r>
          </w:hyperlink>
        </w:p>
        <w:p w14:paraId="54F3F6A3" w14:textId="1BB1E5A3" w:rsidR="00BD61A8" w:rsidRPr="00BD61A8" w:rsidRDefault="00BD61A8">
          <w:pPr>
            <w:pStyle w:val="TOC1"/>
            <w:tabs>
              <w:tab w:val="left" w:pos="660"/>
              <w:tab w:val="right" w:leader="dot" w:pos="9260"/>
            </w:tabs>
            <w:rPr>
              <w:rFonts w:asciiTheme="minorHAnsi" w:eastAsiaTheme="minorEastAsia" w:hAnsiTheme="minorHAnsi" w:cstheme="minorBidi"/>
              <w:b w:val="0"/>
              <w:noProof/>
              <w:color w:val="auto"/>
              <w:kern w:val="2"/>
              <w:sz w:val="22"/>
              <w:szCs w:val="22"/>
              <w:lang w:val="en-US"/>
              <w14:ligatures w14:val="standardContextual"/>
            </w:rPr>
          </w:pPr>
          <w:hyperlink w:anchor="_Toc203992801" w:history="1">
            <w:r w:rsidRPr="00BD61A8">
              <w:rPr>
                <w:rStyle w:val="Hyperlink"/>
                <w:rFonts w:asciiTheme="minorHAnsi" w:hAnsiTheme="minorHAnsi"/>
                <w:noProof/>
                <w:color w:val="auto"/>
                <w:sz w:val="22"/>
                <w:szCs w:val="22"/>
                <w:lang w:val="es-VE"/>
              </w:rPr>
              <w:t>IV.</w:t>
            </w:r>
            <w:r w:rsidRPr="00BD61A8">
              <w:rPr>
                <w:rFonts w:asciiTheme="minorHAnsi" w:eastAsiaTheme="minorEastAsia" w:hAnsiTheme="minorHAnsi" w:cstheme="minorBidi"/>
                <w:b w:val="0"/>
                <w:noProof/>
                <w:color w:val="auto"/>
                <w:kern w:val="2"/>
                <w:sz w:val="22"/>
                <w:szCs w:val="22"/>
                <w:lang w:val="en-US"/>
                <w14:ligatures w14:val="standardContextual"/>
              </w:rPr>
              <w:tab/>
            </w:r>
            <w:r w:rsidRPr="00BD61A8">
              <w:rPr>
                <w:rStyle w:val="Hyperlink"/>
                <w:rFonts w:asciiTheme="minorHAnsi" w:hAnsiTheme="minorHAnsi"/>
                <w:noProof/>
                <w:color w:val="auto"/>
                <w:sz w:val="22"/>
                <w:szCs w:val="22"/>
              </w:rPr>
              <w:t>FINDINGS OF FACT</w:t>
            </w:r>
            <w:r w:rsidRPr="00BD61A8">
              <w:rPr>
                <w:rFonts w:asciiTheme="minorHAnsi" w:hAnsiTheme="minorHAnsi"/>
                <w:noProof/>
                <w:webHidden/>
                <w:color w:val="auto"/>
                <w:sz w:val="22"/>
                <w:szCs w:val="22"/>
              </w:rPr>
              <w:tab/>
            </w:r>
            <w:r w:rsidRPr="00BD61A8">
              <w:rPr>
                <w:rFonts w:asciiTheme="minorHAnsi" w:hAnsiTheme="minorHAnsi"/>
                <w:noProof/>
                <w:webHidden/>
                <w:color w:val="auto"/>
                <w:sz w:val="22"/>
                <w:szCs w:val="22"/>
              </w:rPr>
              <w:fldChar w:fldCharType="begin"/>
            </w:r>
            <w:r w:rsidRPr="00BD61A8">
              <w:rPr>
                <w:rFonts w:asciiTheme="minorHAnsi" w:hAnsiTheme="minorHAnsi"/>
                <w:noProof/>
                <w:webHidden/>
                <w:color w:val="auto"/>
                <w:sz w:val="22"/>
                <w:szCs w:val="22"/>
              </w:rPr>
              <w:instrText xml:space="preserve"> PAGEREF _Toc203992801 \h </w:instrText>
            </w:r>
            <w:r w:rsidRPr="00BD61A8">
              <w:rPr>
                <w:rFonts w:asciiTheme="minorHAnsi" w:hAnsiTheme="minorHAnsi"/>
                <w:noProof/>
                <w:webHidden/>
                <w:color w:val="auto"/>
                <w:sz w:val="22"/>
                <w:szCs w:val="22"/>
              </w:rPr>
            </w:r>
            <w:r w:rsidRPr="00BD61A8">
              <w:rPr>
                <w:rFonts w:asciiTheme="minorHAnsi" w:hAnsiTheme="minorHAnsi"/>
                <w:noProof/>
                <w:webHidden/>
                <w:color w:val="auto"/>
                <w:sz w:val="22"/>
                <w:szCs w:val="22"/>
              </w:rPr>
              <w:fldChar w:fldCharType="separate"/>
            </w:r>
            <w:r w:rsidR="00A00296">
              <w:rPr>
                <w:rFonts w:asciiTheme="minorHAnsi" w:hAnsiTheme="minorHAnsi"/>
                <w:noProof/>
                <w:webHidden/>
                <w:color w:val="auto"/>
                <w:sz w:val="22"/>
                <w:szCs w:val="22"/>
              </w:rPr>
              <w:t>8</w:t>
            </w:r>
            <w:r w:rsidRPr="00BD61A8">
              <w:rPr>
                <w:rFonts w:asciiTheme="minorHAnsi" w:hAnsiTheme="minorHAnsi"/>
                <w:noProof/>
                <w:webHidden/>
                <w:color w:val="auto"/>
                <w:sz w:val="22"/>
                <w:szCs w:val="22"/>
              </w:rPr>
              <w:fldChar w:fldCharType="end"/>
            </w:r>
          </w:hyperlink>
        </w:p>
        <w:p w14:paraId="2E49B384" w14:textId="6D82FE0B" w:rsidR="00BD61A8" w:rsidRPr="00BD61A8" w:rsidRDefault="00BD61A8">
          <w:pPr>
            <w:pStyle w:val="TOC2"/>
            <w:tabs>
              <w:tab w:val="left" w:pos="440"/>
              <w:tab w:val="right" w:leader="dot" w:pos="9260"/>
            </w:tabs>
            <w:rPr>
              <w:rFonts w:asciiTheme="minorHAnsi" w:eastAsiaTheme="minorEastAsia" w:hAnsiTheme="minorHAnsi" w:cstheme="minorBidi"/>
              <w:noProof/>
              <w:kern w:val="2"/>
              <w:lang w:val="en-US"/>
              <w14:ligatures w14:val="standardContextual"/>
            </w:rPr>
          </w:pPr>
          <w:hyperlink w:anchor="_Toc203992802" w:history="1">
            <w:r w:rsidRPr="00BD61A8">
              <w:rPr>
                <w:rStyle w:val="Hyperlink"/>
                <w:rFonts w:asciiTheme="minorHAnsi" w:hAnsiTheme="minorHAnsi"/>
                <w:noProof/>
              </w:rPr>
              <w:t>A.</w:t>
            </w:r>
            <w:r w:rsidRPr="00BD61A8">
              <w:rPr>
                <w:rFonts w:asciiTheme="minorHAnsi" w:eastAsiaTheme="minorEastAsia" w:hAnsiTheme="minorHAnsi" w:cstheme="minorBidi"/>
                <w:noProof/>
                <w:kern w:val="2"/>
                <w:lang w:val="en-US"/>
                <w14:ligatures w14:val="standardContextual"/>
              </w:rPr>
              <w:tab/>
            </w:r>
            <w:r w:rsidRPr="00BD61A8">
              <w:rPr>
                <w:rStyle w:val="Hyperlink"/>
                <w:rFonts w:asciiTheme="minorHAnsi" w:hAnsiTheme="minorHAnsi"/>
                <w:noProof/>
                <w:lang w:val="es-ES"/>
              </w:rPr>
              <w:t>Process of Patrimonial Responsibility..</w:t>
            </w:r>
            <w:r w:rsidRPr="00BD61A8">
              <w:rPr>
                <w:rFonts w:asciiTheme="minorHAnsi" w:hAnsiTheme="minorHAnsi"/>
                <w:noProof/>
                <w:webHidden/>
              </w:rPr>
              <w:tab/>
            </w:r>
            <w:r w:rsidRPr="00BD61A8">
              <w:rPr>
                <w:rFonts w:asciiTheme="minorHAnsi" w:hAnsiTheme="minorHAnsi"/>
                <w:noProof/>
                <w:webHidden/>
              </w:rPr>
              <w:fldChar w:fldCharType="begin"/>
            </w:r>
            <w:r w:rsidRPr="00BD61A8">
              <w:rPr>
                <w:rFonts w:asciiTheme="minorHAnsi" w:hAnsiTheme="minorHAnsi"/>
                <w:noProof/>
                <w:webHidden/>
              </w:rPr>
              <w:instrText xml:space="preserve"> PAGEREF _Toc203992802 \h </w:instrText>
            </w:r>
            <w:r w:rsidRPr="00BD61A8">
              <w:rPr>
                <w:rFonts w:asciiTheme="minorHAnsi" w:hAnsiTheme="minorHAnsi"/>
                <w:noProof/>
                <w:webHidden/>
              </w:rPr>
            </w:r>
            <w:r w:rsidRPr="00BD61A8">
              <w:rPr>
                <w:rFonts w:asciiTheme="minorHAnsi" w:hAnsiTheme="minorHAnsi"/>
                <w:noProof/>
                <w:webHidden/>
              </w:rPr>
              <w:fldChar w:fldCharType="separate"/>
            </w:r>
            <w:r w:rsidR="00A00296">
              <w:rPr>
                <w:rFonts w:asciiTheme="minorHAnsi" w:hAnsiTheme="minorHAnsi"/>
                <w:noProof/>
                <w:webHidden/>
              </w:rPr>
              <w:t>8</w:t>
            </w:r>
            <w:r w:rsidRPr="00BD61A8">
              <w:rPr>
                <w:rFonts w:asciiTheme="minorHAnsi" w:hAnsiTheme="minorHAnsi"/>
                <w:noProof/>
                <w:webHidden/>
              </w:rPr>
              <w:fldChar w:fldCharType="end"/>
            </w:r>
          </w:hyperlink>
        </w:p>
        <w:p w14:paraId="5C78A2CC" w14:textId="4D6D693D" w:rsidR="00BD61A8" w:rsidRPr="00BD61A8" w:rsidRDefault="00BD61A8">
          <w:pPr>
            <w:pStyle w:val="TOC3"/>
            <w:tabs>
              <w:tab w:val="left" w:pos="660"/>
              <w:tab w:val="right" w:leader="dot" w:pos="9260"/>
            </w:tabs>
            <w:rPr>
              <w:rFonts w:asciiTheme="minorHAnsi" w:eastAsiaTheme="minorEastAsia" w:hAnsiTheme="minorHAnsi" w:cstheme="minorBidi"/>
              <w:i w:val="0"/>
              <w:noProof/>
              <w:kern w:val="2"/>
              <w:lang w:val="en-US"/>
              <w14:ligatures w14:val="standardContextual"/>
            </w:rPr>
          </w:pPr>
          <w:hyperlink w:anchor="_Toc203992803" w:history="1">
            <w:r w:rsidRPr="00BD61A8">
              <w:rPr>
                <w:rStyle w:val="Hyperlink"/>
                <w:rFonts w:asciiTheme="minorHAnsi" w:hAnsiTheme="minorHAnsi"/>
                <w:noProof/>
                <w:lang w:val="en-US"/>
              </w:rPr>
              <w:t>1.</w:t>
            </w:r>
            <w:r w:rsidRPr="00BD61A8">
              <w:rPr>
                <w:rFonts w:asciiTheme="minorHAnsi" w:eastAsiaTheme="minorEastAsia" w:hAnsiTheme="minorHAnsi" w:cstheme="minorBidi"/>
                <w:i w:val="0"/>
                <w:noProof/>
                <w:kern w:val="2"/>
                <w:lang w:val="en-US"/>
                <w14:ligatures w14:val="standardContextual"/>
              </w:rPr>
              <w:tab/>
            </w:r>
            <w:r w:rsidRPr="00BD61A8">
              <w:rPr>
                <w:rStyle w:val="Hyperlink"/>
                <w:rFonts w:asciiTheme="minorHAnsi" w:hAnsiTheme="minorHAnsi"/>
                <w:noProof/>
                <w:lang w:val="en-US"/>
              </w:rPr>
              <w:t>Precautionary Measure of General Inhibition of Goods</w:t>
            </w:r>
            <w:r w:rsidRPr="00BD61A8">
              <w:rPr>
                <w:rFonts w:asciiTheme="minorHAnsi" w:hAnsiTheme="minorHAnsi"/>
                <w:noProof/>
                <w:webHidden/>
              </w:rPr>
              <w:tab/>
            </w:r>
            <w:r w:rsidRPr="00BD61A8">
              <w:rPr>
                <w:rFonts w:asciiTheme="minorHAnsi" w:hAnsiTheme="minorHAnsi"/>
                <w:noProof/>
                <w:webHidden/>
              </w:rPr>
              <w:fldChar w:fldCharType="begin"/>
            </w:r>
            <w:r w:rsidRPr="00BD61A8">
              <w:rPr>
                <w:rFonts w:asciiTheme="minorHAnsi" w:hAnsiTheme="minorHAnsi"/>
                <w:noProof/>
                <w:webHidden/>
              </w:rPr>
              <w:instrText xml:space="preserve"> PAGEREF _Toc203992803 \h </w:instrText>
            </w:r>
            <w:r w:rsidRPr="00BD61A8">
              <w:rPr>
                <w:rFonts w:asciiTheme="minorHAnsi" w:hAnsiTheme="minorHAnsi"/>
                <w:noProof/>
                <w:webHidden/>
              </w:rPr>
            </w:r>
            <w:r w:rsidRPr="00BD61A8">
              <w:rPr>
                <w:rFonts w:asciiTheme="minorHAnsi" w:hAnsiTheme="minorHAnsi"/>
                <w:noProof/>
                <w:webHidden/>
              </w:rPr>
              <w:fldChar w:fldCharType="separate"/>
            </w:r>
            <w:r w:rsidR="00A00296">
              <w:rPr>
                <w:rFonts w:asciiTheme="minorHAnsi" w:hAnsiTheme="minorHAnsi"/>
                <w:noProof/>
                <w:webHidden/>
              </w:rPr>
              <w:t>8</w:t>
            </w:r>
            <w:r w:rsidRPr="00BD61A8">
              <w:rPr>
                <w:rFonts w:asciiTheme="minorHAnsi" w:hAnsiTheme="minorHAnsi"/>
                <w:noProof/>
                <w:webHidden/>
              </w:rPr>
              <w:fldChar w:fldCharType="end"/>
            </w:r>
          </w:hyperlink>
        </w:p>
        <w:p w14:paraId="1B0A4FC4" w14:textId="2044107D" w:rsidR="00BD61A8" w:rsidRPr="00BD61A8" w:rsidRDefault="00BD61A8">
          <w:pPr>
            <w:pStyle w:val="TOC3"/>
            <w:tabs>
              <w:tab w:val="left" w:pos="660"/>
              <w:tab w:val="right" w:leader="dot" w:pos="9260"/>
            </w:tabs>
            <w:rPr>
              <w:rFonts w:asciiTheme="minorHAnsi" w:eastAsiaTheme="minorEastAsia" w:hAnsiTheme="minorHAnsi" w:cstheme="minorBidi"/>
              <w:i w:val="0"/>
              <w:noProof/>
              <w:kern w:val="2"/>
              <w:lang w:val="en-US"/>
              <w14:ligatures w14:val="standardContextual"/>
            </w:rPr>
          </w:pPr>
          <w:hyperlink w:anchor="_Toc203992804" w:history="1">
            <w:r w:rsidRPr="00BD61A8">
              <w:rPr>
                <w:rStyle w:val="Hyperlink"/>
                <w:rFonts w:asciiTheme="minorHAnsi" w:hAnsiTheme="minorHAnsi"/>
                <w:noProof/>
                <w:lang w:val="en-US"/>
              </w:rPr>
              <w:t>2.</w:t>
            </w:r>
            <w:r w:rsidRPr="00BD61A8">
              <w:rPr>
                <w:rFonts w:asciiTheme="minorHAnsi" w:eastAsiaTheme="minorEastAsia" w:hAnsiTheme="minorHAnsi" w:cstheme="minorBidi"/>
                <w:i w:val="0"/>
                <w:noProof/>
                <w:kern w:val="2"/>
                <w:lang w:val="en-US"/>
                <w14:ligatures w14:val="standardContextual"/>
              </w:rPr>
              <w:tab/>
            </w:r>
            <w:r w:rsidRPr="00BD61A8">
              <w:rPr>
                <w:rStyle w:val="Hyperlink"/>
                <w:rFonts w:asciiTheme="minorHAnsi" w:hAnsiTheme="minorHAnsi"/>
                <w:noProof/>
                <w:lang w:val="en-US"/>
              </w:rPr>
              <w:t>Decision of first instance of the patrimonial process.</w:t>
            </w:r>
            <w:r w:rsidRPr="00BD61A8">
              <w:rPr>
                <w:rFonts w:asciiTheme="minorHAnsi" w:hAnsiTheme="minorHAnsi"/>
                <w:noProof/>
                <w:webHidden/>
              </w:rPr>
              <w:tab/>
            </w:r>
            <w:r w:rsidRPr="00BD61A8">
              <w:rPr>
                <w:rFonts w:asciiTheme="minorHAnsi" w:hAnsiTheme="minorHAnsi"/>
                <w:noProof/>
                <w:webHidden/>
              </w:rPr>
              <w:fldChar w:fldCharType="begin"/>
            </w:r>
            <w:r w:rsidRPr="00BD61A8">
              <w:rPr>
                <w:rFonts w:asciiTheme="minorHAnsi" w:hAnsiTheme="minorHAnsi"/>
                <w:noProof/>
                <w:webHidden/>
              </w:rPr>
              <w:instrText xml:space="preserve"> PAGEREF _Toc203992804 \h </w:instrText>
            </w:r>
            <w:r w:rsidRPr="00BD61A8">
              <w:rPr>
                <w:rFonts w:asciiTheme="minorHAnsi" w:hAnsiTheme="minorHAnsi"/>
                <w:noProof/>
                <w:webHidden/>
              </w:rPr>
            </w:r>
            <w:r w:rsidRPr="00BD61A8">
              <w:rPr>
                <w:rFonts w:asciiTheme="minorHAnsi" w:hAnsiTheme="minorHAnsi"/>
                <w:noProof/>
                <w:webHidden/>
              </w:rPr>
              <w:fldChar w:fldCharType="separate"/>
            </w:r>
            <w:r w:rsidR="00A00296">
              <w:rPr>
                <w:rFonts w:asciiTheme="minorHAnsi" w:hAnsiTheme="minorHAnsi"/>
                <w:noProof/>
                <w:webHidden/>
              </w:rPr>
              <w:t>10</w:t>
            </w:r>
            <w:r w:rsidRPr="00BD61A8">
              <w:rPr>
                <w:rFonts w:asciiTheme="minorHAnsi" w:hAnsiTheme="minorHAnsi"/>
                <w:noProof/>
                <w:webHidden/>
              </w:rPr>
              <w:fldChar w:fldCharType="end"/>
            </w:r>
          </w:hyperlink>
        </w:p>
        <w:p w14:paraId="75A2DC01" w14:textId="2A5E6064" w:rsidR="00BD61A8" w:rsidRPr="00BD61A8" w:rsidRDefault="00BD61A8">
          <w:pPr>
            <w:pStyle w:val="TOC3"/>
            <w:tabs>
              <w:tab w:val="left" w:pos="660"/>
              <w:tab w:val="right" w:leader="dot" w:pos="9260"/>
            </w:tabs>
            <w:rPr>
              <w:rFonts w:asciiTheme="minorHAnsi" w:eastAsiaTheme="minorEastAsia" w:hAnsiTheme="minorHAnsi" w:cstheme="minorBidi"/>
              <w:i w:val="0"/>
              <w:noProof/>
              <w:kern w:val="2"/>
              <w:lang w:val="en-US"/>
              <w14:ligatures w14:val="standardContextual"/>
            </w:rPr>
          </w:pPr>
          <w:hyperlink w:anchor="_Toc203992805" w:history="1">
            <w:r w:rsidRPr="00BD61A8">
              <w:rPr>
                <w:rStyle w:val="Hyperlink"/>
                <w:rFonts w:asciiTheme="minorHAnsi" w:hAnsiTheme="minorHAnsi"/>
                <w:noProof/>
                <w:lang w:val="en-US"/>
              </w:rPr>
              <w:t>3.</w:t>
            </w:r>
            <w:r w:rsidRPr="00BD61A8">
              <w:rPr>
                <w:rFonts w:asciiTheme="minorHAnsi" w:eastAsiaTheme="minorEastAsia" w:hAnsiTheme="minorHAnsi" w:cstheme="minorBidi"/>
                <w:i w:val="0"/>
                <w:noProof/>
                <w:kern w:val="2"/>
                <w:lang w:val="en-US"/>
                <w14:ligatures w14:val="standardContextual"/>
              </w:rPr>
              <w:tab/>
            </w:r>
            <w:r w:rsidRPr="00BD61A8">
              <w:rPr>
                <w:rStyle w:val="Hyperlink"/>
                <w:rFonts w:asciiTheme="minorHAnsi" w:hAnsiTheme="minorHAnsi"/>
                <w:noProof/>
                <w:lang w:val="en-US"/>
              </w:rPr>
              <w:t>File of the patrimonial process and new general inhibition of assets</w:t>
            </w:r>
            <w:r w:rsidRPr="00BD61A8">
              <w:rPr>
                <w:rFonts w:asciiTheme="minorHAnsi" w:hAnsiTheme="minorHAnsi"/>
                <w:noProof/>
                <w:webHidden/>
              </w:rPr>
              <w:tab/>
            </w:r>
            <w:r w:rsidRPr="00BD61A8">
              <w:rPr>
                <w:rFonts w:asciiTheme="minorHAnsi" w:hAnsiTheme="minorHAnsi"/>
                <w:noProof/>
                <w:webHidden/>
              </w:rPr>
              <w:fldChar w:fldCharType="begin"/>
            </w:r>
            <w:r w:rsidRPr="00BD61A8">
              <w:rPr>
                <w:rFonts w:asciiTheme="minorHAnsi" w:hAnsiTheme="minorHAnsi"/>
                <w:noProof/>
                <w:webHidden/>
              </w:rPr>
              <w:instrText xml:space="preserve"> PAGEREF _Toc203992805 \h </w:instrText>
            </w:r>
            <w:r w:rsidRPr="00BD61A8">
              <w:rPr>
                <w:rFonts w:asciiTheme="minorHAnsi" w:hAnsiTheme="minorHAnsi"/>
                <w:noProof/>
                <w:webHidden/>
              </w:rPr>
            </w:r>
            <w:r w:rsidRPr="00BD61A8">
              <w:rPr>
                <w:rFonts w:asciiTheme="minorHAnsi" w:hAnsiTheme="minorHAnsi"/>
                <w:noProof/>
                <w:webHidden/>
              </w:rPr>
              <w:fldChar w:fldCharType="separate"/>
            </w:r>
            <w:r w:rsidR="00A00296">
              <w:rPr>
                <w:rFonts w:asciiTheme="minorHAnsi" w:hAnsiTheme="minorHAnsi"/>
                <w:noProof/>
                <w:webHidden/>
              </w:rPr>
              <w:t>11</w:t>
            </w:r>
            <w:r w:rsidRPr="00BD61A8">
              <w:rPr>
                <w:rFonts w:asciiTheme="minorHAnsi" w:hAnsiTheme="minorHAnsi"/>
                <w:noProof/>
                <w:webHidden/>
              </w:rPr>
              <w:fldChar w:fldCharType="end"/>
            </w:r>
          </w:hyperlink>
        </w:p>
        <w:p w14:paraId="03DF0F59" w14:textId="233E8BB7" w:rsidR="00BD61A8" w:rsidRPr="00BD61A8" w:rsidRDefault="00BD61A8">
          <w:pPr>
            <w:pStyle w:val="TOC1"/>
            <w:tabs>
              <w:tab w:val="left" w:pos="660"/>
              <w:tab w:val="right" w:leader="dot" w:pos="9260"/>
            </w:tabs>
            <w:rPr>
              <w:rFonts w:asciiTheme="minorHAnsi" w:eastAsiaTheme="minorEastAsia" w:hAnsiTheme="minorHAnsi" w:cstheme="minorBidi"/>
              <w:b w:val="0"/>
              <w:noProof/>
              <w:color w:val="auto"/>
              <w:kern w:val="2"/>
              <w:sz w:val="22"/>
              <w:szCs w:val="22"/>
              <w:lang w:val="en-US"/>
              <w14:ligatures w14:val="standardContextual"/>
            </w:rPr>
          </w:pPr>
          <w:hyperlink w:anchor="_Toc203992806" w:history="1">
            <w:r w:rsidRPr="00BD61A8">
              <w:rPr>
                <w:rStyle w:val="Hyperlink"/>
                <w:rFonts w:asciiTheme="minorHAnsi" w:hAnsiTheme="minorHAnsi"/>
                <w:noProof/>
                <w:color w:val="auto"/>
                <w:sz w:val="22"/>
                <w:szCs w:val="22"/>
                <w:lang w:val="es-VE"/>
              </w:rPr>
              <w:t>V.</w:t>
            </w:r>
            <w:r w:rsidRPr="00BD61A8">
              <w:rPr>
                <w:rFonts w:asciiTheme="minorHAnsi" w:eastAsiaTheme="minorEastAsia" w:hAnsiTheme="minorHAnsi" w:cstheme="minorBidi"/>
                <w:b w:val="0"/>
                <w:noProof/>
                <w:color w:val="auto"/>
                <w:kern w:val="2"/>
                <w:sz w:val="22"/>
                <w:szCs w:val="22"/>
                <w:lang w:val="en-US"/>
                <w14:ligatures w14:val="standardContextual"/>
              </w:rPr>
              <w:tab/>
            </w:r>
            <w:r w:rsidRPr="00BD61A8">
              <w:rPr>
                <w:rStyle w:val="Hyperlink"/>
                <w:rFonts w:asciiTheme="minorHAnsi" w:hAnsiTheme="minorHAnsi"/>
                <w:noProof/>
                <w:color w:val="auto"/>
                <w:sz w:val="22"/>
                <w:szCs w:val="22"/>
              </w:rPr>
              <w:t>LEGAL ANALYSIS</w:t>
            </w:r>
            <w:r w:rsidRPr="00BD61A8">
              <w:rPr>
                <w:rFonts w:asciiTheme="minorHAnsi" w:hAnsiTheme="minorHAnsi"/>
                <w:noProof/>
                <w:webHidden/>
                <w:color w:val="auto"/>
                <w:sz w:val="22"/>
                <w:szCs w:val="22"/>
              </w:rPr>
              <w:tab/>
            </w:r>
            <w:r w:rsidRPr="00BD61A8">
              <w:rPr>
                <w:rFonts w:asciiTheme="minorHAnsi" w:hAnsiTheme="minorHAnsi"/>
                <w:noProof/>
                <w:webHidden/>
                <w:color w:val="auto"/>
                <w:sz w:val="22"/>
                <w:szCs w:val="22"/>
              </w:rPr>
              <w:fldChar w:fldCharType="begin"/>
            </w:r>
            <w:r w:rsidRPr="00BD61A8">
              <w:rPr>
                <w:rFonts w:asciiTheme="minorHAnsi" w:hAnsiTheme="minorHAnsi"/>
                <w:noProof/>
                <w:webHidden/>
                <w:color w:val="auto"/>
                <w:sz w:val="22"/>
                <w:szCs w:val="22"/>
              </w:rPr>
              <w:instrText xml:space="preserve"> PAGEREF _Toc203992806 \h </w:instrText>
            </w:r>
            <w:r w:rsidRPr="00BD61A8">
              <w:rPr>
                <w:rFonts w:asciiTheme="minorHAnsi" w:hAnsiTheme="minorHAnsi"/>
                <w:noProof/>
                <w:webHidden/>
                <w:color w:val="auto"/>
                <w:sz w:val="22"/>
                <w:szCs w:val="22"/>
              </w:rPr>
            </w:r>
            <w:r w:rsidRPr="00BD61A8">
              <w:rPr>
                <w:rFonts w:asciiTheme="minorHAnsi" w:hAnsiTheme="minorHAnsi"/>
                <w:noProof/>
                <w:webHidden/>
                <w:color w:val="auto"/>
                <w:sz w:val="22"/>
                <w:szCs w:val="22"/>
              </w:rPr>
              <w:fldChar w:fldCharType="separate"/>
            </w:r>
            <w:r w:rsidR="00A00296">
              <w:rPr>
                <w:rFonts w:asciiTheme="minorHAnsi" w:hAnsiTheme="minorHAnsi"/>
                <w:noProof/>
                <w:webHidden/>
                <w:color w:val="auto"/>
                <w:sz w:val="22"/>
                <w:szCs w:val="22"/>
              </w:rPr>
              <w:t>12</w:t>
            </w:r>
            <w:r w:rsidRPr="00BD61A8">
              <w:rPr>
                <w:rFonts w:asciiTheme="minorHAnsi" w:hAnsiTheme="minorHAnsi"/>
                <w:noProof/>
                <w:webHidden/>
                <w:color w:val="auto"/>
                <w:sz w:val="22"/>
                <w:szCs w:val="22"/>
              </w:rPr>
              <w:fldChar w:fldCharType="end"/>
            </w:r>
          </w:hyperlink>
        </w:p>
        <w:p w14:paraId="1F5C7BE9" w14:textId="7C60AB6E" w:rsidR="00BD61A8" w:rsidRPr="00BD61A8" w:rsidRDefault="00BD61A8">
          <w:pPr>
            <w:pStyle w:val="TOC2"/>
            <w:tabs>
              <w:tab w:val="left" w:pos="440"/>
              <w:tab w:val="right" w:leader="dot" w:pos="9260"/>
            </w:tabs>
            <w:rPr>
              <w:rFonts w:asciiTheme="minorHAnsi" w:eastAsiaTheme="minorEastAsia" w:hAnsiTheme="minorHAnsi" w:cstheme="minorBidi"/>
              <w:noProof/>
              <w:kern w:val="2"/>
              <w:lang w:val="en-US"/>
              <w14:ligatures w14:val="standardContextual"/>
            </w:rPr>
          </w:pPr>
          <w:hyperlink w:anchor="_Toc203992807" w:history="1">
            <w:r w:rsidRPr="00BD61A8">
              <w:rPr>
                <w:rStyle w:val="Hyperlink"/>
                <w:rFonts w:asciiTheme="minorHAnsi" w:hAnsiTheme="minorHAnsi"/>
                <w:noProof/>
                <w:lang w:val="uz-Cyrl-UZ"/>
              </w:rPr>
              <w:t>A.</w:t>
            </w:r>
            <w:r w:rsidRPr="00BD61A8">
              <w:rPr>
                <w:rFonts w:asciiTheme="minorHAnsi" w:eastAsiaTheme="minorEastAsia" w:hAnsiTheme="minorHAnsi" w:cstheme="minorBidi"/>
                <w:noProof/>
                <w:kern w:val="2"/>
                <w:lang w:val="en-US"/>
                <w14:ligatures w14:val="standardContextual"/>
              </w:rPr>
              <w:tab/>
            </w:r>
            <w:r w:rsidRPr="00BD61A8">
              <w:rPr>
                <w:rStyle w:val="Hyperlink"/>
                <w:rFonts w:asciiTheme="minorHAnsi" w:hAnsiTheme="minorHAnsi"/>
                <w:noProof/>
                <w:lang w:val="uz-Cyrl-UZ"/>
              </w:rPr>
              <w:t>Rights to judicial guarantees and judicial protection</w:t>
            </w:r>
            <w:r w:rsidRPr="00BD61A8">
              <w:rPr>
                <w:rFonts w:asciiTheme="minorHAnsi" w:hAnsiTheme="minorHAnsi"/>
                <w:noProof/>
                <w:webHidden/>
              </w:rPr>
              <w:tab/>
            </w:r>
            <w:r w:rsidRPr="00BD61A8">
              <w:rPr>
                <w:rFonts w:asciiTheme="minorHAnsi" w:hAnsiTheme="minorHAnsi"/>
                <w:noProof/>
                <w:webHidden/>
              </w:rPr>
              <w:fldChar w:fldCharType="begin"/>
            </w:r>
            <w:r w:rsidRPr="00BD61A8">
              <w:rPr>
                <w:rFonts w:asciiTheme="minorHAnsi" w:hAnsiTheme="minorHAnsi"/>
                <w:noProof/>
                <w:webHidden/>
              </w:rPr>
              <w:instrText xml:space="preserve"> PAGEREF _Toc203992807 \h </w:instrText>
            </w:r>
            <w:r w:rsidRPr="00BD61A8">
              <w:rPr>
                <w:rFonts w:asciiTheme="minorHAnsi" w:hAnsiTheme="minorHAnsi"/>
                <w:noProof/>
                <w:webHidden/>
              </w:rPr>
            </w:r>
            <w:r w:rsidRPr="00BD61A8">
              <w:rPr>
                <w:rFonts w:asciiTheme="minorHAnsi" w:hAnsiTheme="minorHAnsi"/>
                <w:noProof/>
                <w:webHidden/>
              </w:rPr>
              <w:fldChar w:fldCharType="separate"/>
            </w:r>
            <w:r w:rsidR="00A00296">
              <w:rPr>
                <w:rFonts w:asciiTheme="minorHAnsi" w:hAnsiTheme="minorHAnsi"/>
                <w:noProof/>
                <w:webHidden/>
              </w:rPr>
              <w:t>12</w:t>
            </w:r>
            <w:r w:rsidRPr="00BD61A8">
              <w:rPr>
                <w:rFonts w:asciiTheme="minorHAnsi" w:hAnsiTheme="minorHAnsi"/>
                <w:noProof/>
                <w:webHidden/>
              </w:rPr>
              <w:fldChar w:fldCharType="end"/>
            </w:r>
          </w:hyperlink>
        </w:p>
        <w:p w14:paraId="3A0A646C" w14:textId="710CF3D4" w:rsidR="00BD61A8" w:rsidRPr="00BD61A8" w:rsidRDefault="00BD61A8">
          <w:pPr>
            <w:pStyle w:val="TOC3"/>
            <w:tabs>
              <w:tab w:val="left" w:pos="660"/>
              <w:tab w:val="right" w:leader="dot" w:pos="9260"/>
            </w:tabs>
            <w:rPr>
              <w:rFonts w:asciiTheme="minorHAnsi" w:eastAsiaTheme="minorEastAsia" w:hAnsiTheme="minorHAnsi" w:cstheme="minorBidi"/>
              <w:i w:val="0"/>
              <w:noProof/>
              <w:kern w:val="2"/>
              <w:lang w:val="en-US"/>
              <w14:ligatures w14:val="standardContextual"/>
            </w:rPr>
          </w:pPr>
          <w:hyperlink w:anchor="_Toc203992808" w:history="1">
            <w:r w:rsidRPr="00BD61A8">
              <w:rPr>
                <w:rStyle w:val="Hyperlink"/>
                <w:rFonts w:asciiTheme="minorHAnsi" w:hAnsiTheme="minorHAnsi"/>
                <w:noProof/>
              </w:rPr>
              <w:t>1.</w:t>
            </w:r>
            <w:r w:rsidRPr="00BD61A8">
              <w:rPr>
                <w:rFonts w:asciiTheme="minorHAnsi" w:eastAsiaTheme="minorEastAsia" w:hAnsiTheme="minorHAnsi" w:cstheme="minorBidi"/>
                <w:i w:val="0"/>
                <w:noProof/>
                <w:kern w:val="2"/>
                <w:lang w:val="en-US"/>
                <w14:ligatures w14:val="standardContextual"/>
              </w:rPr>
              <w:tab/>
            </w:r>
            <w:r w:rsidRPr="00BD61A8">
              <w:rPr>
                <w:rStyle w:val="Hyperlink"/>
                <w:rFonts w:asciiTheme="minorHAnsi" w:hAnsiTheme="minorHAnsi"/>
                <w:noProof/>
              </w:rPr>
              <w:t>General considerations</w:t>
            </w:r>
            <w:r w:rsidRPr="00BD61A8">
              <w:rPr>
                <w:rFonts w:asciiTheme="minorHAnsi" w:hAnsiTheme="minorHAnsi"/>
                <w:noProof/>
                <w:webHidden/>
              </w:rPr>
              <w:tab/>
            </w:r>
            <w:r w:rsidRPr="00BD61A8">
              <w:rPr>
                <w:rFonts w:asciiTheme="minorHAnsi" w:hAnsiTheme="minorHAnsi"/>
                <w:noProof/>
                <w:webHidden/>
              </w:rPr>
              <w:fldChar w:fldCharType="begin"/>
            </w:r>
            <w:r w:rsidRPr="00BD61A8">
              <w:rPr>
                <w:rFonts w:asciiTheme="minorHAnsi" w:hAnsiTheme="minorHAnsi"/>
                <w:noProof/>
                <w:webHidden/>
              </w:rPr>
              <w:instrText xml:space="preserve"> PAGEREF _Toc203992808 \h </w:instrText>
            </w:r>
            <w:r w:rsidRPr="00BD61A8">
              <w:rPr>
                <w:rFonts w:asciiTheme="minorHAnsi" w:hAnsiTheme="minorHAnsi"/>
                <w:noProof/>
                <w:webHidden/>
              </w:rPr>
            </w:r>
            <w:r w:rsidRPr="00BD61A8">
              <w:rPr>
                <w:rFonts w:asciiTheme="minorHAnsi" w:hAnsiTheme="minorHAnsi"/>
                <w:noProof/>
                <w:webHidden/>
              </w:rPr>
              <w:fldChar w:fldCharType="separate"/>
            </w:r>
            <w:r w:rsidR="00A00296">
              <w:rPr>
                <w:rFonts w:asciiTheme="minorHAnsi" w:hAnsiTheme="minorHAnsi"/>
                <w:noProof/>
                <w:webHidden/>
              </w:rPr>
              <w:t>12</w:t>
            </w:r>
            <w:r w:rsidRPr="00BD61A8">
              <w:rPr>
                <w:rFonts w:asciiTheme="minorHAnsi" w:hAnsiTheme="minorHAnsi"/>
                <w:noProof/>
                <w:webHidden/>
              </w:rPr>
              <w:fldChar w:fldCharType="end"/>
            </w:r>
          </w:hyperlink>
        </w:p>
        <w:p w14:paraId="3BBB67B7" w14:textId="3BEF9722" w:rsidR="00BD61A8" w:rsidRPr="00BD61A8" w:rsidRDefault="00BD61A8">
          <w:pPr>
            <w:pStyle w:val="TOC3"/>
            <w:tabs>
              <w:tab w:val="left" w:pos="660"/>
              <w:tab w:val="right" w:leader="dot" w:pos="9260"/>
            </w:tabs>
            <w:rPr>
              <w:rFonts w:asciiTheme="minorHAnsi" w:eastAsiaTheme="minorEastAsia" w:hAnsiTheme="minorHAnsi" w:cstheme="minorBidi"/>
              <w:i w:val="0"/>
              <w:noProof/>
              <w:kern w:val="2"/>
              <w:lang w:val="en-US"/>
              <w14:ligatures w14:val="standardContextual"/>
            </w:rPr>
          </w:pPr>
          <w:hyperlink w:anchor="_Toc203992809" w:history="1">
            <w:r w:rsidRPr="00BD61A8">
              <w:rPr>
                <w:rStyle w:val="Hyperlink"/>
                <w:rFonts w:asciiTheme="minorHAnsi" w:hAnsiTheme="minorHAnsi"/>
                <w:noProof/>
              </w:rPr>
              <w:t>2.</w:t>
            </w:r>
            <w:r w:rsidRPr="00BD61A8">
              <w:rPr>
                <w:rFonts w:asciiTheme="minorHAnsi" w:eastAsiaTheme="minorEastAsia" w:hAnsiTheme="minorHAnsi" w:cstheme="minorBidi"/>
                <w:i w:val="0"/>
                <w:noProof/>
                <w:kern w:val="2"/>
                <w:lang w:val="en-US"/>
                <w14:ligatures w14:val="standardContextual"/>
              </w:rPr>
              <w:tab/>
            </w:r>
            <w:r w:rsidRPr="00BD61A8">
              <w:rPr>
                <w:rStyle w:val="Hyperlink"/>
                <w:rFonts w:asciiTheme="minorHAnsi" w:hAnsiTheme="minorHAnsi"/>
                <w:noProof/>
              </w:rPr>
              <w:t>Analysis of present case</w:t>
            </w:r>
            <w:r w:rsidRPr="00BD61A8">
              <w:rPr>
                <w:rFonts w:asciiTheme="minorHAnsi" w:hAnsiTheme="minorHAnsi"/>
                <w:noProof/>
                <w:webHidden/>
              </w:rPr>
              <w:tab/>
            </w:r>
            <w:r w:rsidRPr="00BD61A8">
              <w:rPr>
                <w:rFonts w:asciiTheme="minorHAnsi" w:hAnsiTheme="minorHAnsi"/>
                <w:noProof/>
                <w:webHidden/>
              </w:rPr>
              <w:fldChar w:fldCharType="begin"/>
            </w:r>
            <w:r w:rsidRPr="00BD61A8">
              <w:rPr>
                <w:rFonts w:asciiTheme="minorHAnsi" w:hAnsiTheme="minorHAnsi"/>
                <w:noProof/>
                <w:webHidden/>
              </w:rPr>
              <w:instrText xml:space="preserve"> PAGEREF _Toc203992809 \h </w:instrText>
            </w:r>
            <w:r w:rsidRPr="00BD61A8">
              <w:rPr>
                <w:rFonts w:asciiTheme="minorHAnsi" w:hAnsiTheme="minorHAnsi"/>
                <w:noProof/>
                <w:webHidden/>
              </w:rPr>
            </w:r>
            <w:r w:rsidRPr="00BD61A8">
              <w:rPr>
                <w:rFonts w:asciiTheme="minorHAnsi" w:hAnsiTheme="minorHAnsi"/>
                <w:noProof/>
                <w:webHidden/>
              </w:rPr>
              <w:fldChar w:fldCharType="separate"/>
            </w:r>
            <w:r w:rsidR="00A00296">
              <w:rPr>
                <w:rFonts w:asciiTheme="minorHAnsi" w:hAnsiTheme="minorHAnsi"/>
                <w:noProof/>
                <w:webHidden/>
              </w:rPr>
              <w:t>15</w:t>
            </w:r>
            <w:r w:rsidRPr="00BD61A8">
              <w:rPr>
                <w:rFonts w:asciiTheme="minorHAnsi" w:hAnsiTheme="minorHAnsi"/>
                <w:noProof/>
                <w:webHidden/>
              </w:rPr>
              <w:fldChar w:fldCharType="end"/>
            </w:r>
          </w:hyperlink>
        </w:p>
        <w:p w14:paraId="1F86A136" w14:textId="34124E80" w:rsidR="00BD61A8" w:rsidRPr="00BD61A8" w:rsidRDefault="00BD61A8">
          <w:pPr>
            <w:pStyle w:val="TOC1"/>
            <w:tabs>
              <w:tab w:val="left" w:pos="660"/>
              <w:tab w:val="right" w:leader="dot" w:pos="9260"/>
            </w:tabs>
            <w:rPr>
              <w:rFonts w:asciiTheme="minorHAnsi" w:eastAsiaTheme="minorEastAsia" w:hAnsiTheme="minorHAnsi" w:cstheme="minorBidi"/>
              <w:b w:val="0"/>
              <w:noProof/>
              <w:color w:val="auto"/>
              <w:kern w:val="2"/>
              <w:sz w:val="22"/>
              <w:szCs w:val="22"/>
              <w:lang w:val="en-US"/>
              <w14:ligatures w14:val="standardContextual"/>
            </w:rPr>
          </w:pPr>
          <w:hyperlink w:anchor="_Toc203992810" w:history="1">
            <w:r w:rsidRPr="00BD61A8">
              <w:rPr>
                <w:rStyle w:val="Hyperlink"/>
                <w:rFonts w:asciiTheme="minorHAnsi" w:hAnsiTheme="minorHAnsi"/>
                <w:noProof/>
                <w:color w:val="auto"/>
                <w:sz w:val="22"/>
                <w:szCs w:val="22"/>
                <w:lang w:val="es-VE"/>
              </w:rPr>
              <w:t>VI.</w:t>
            </w:r>
            <w:r w:rsidRPr="00BD61A8">
              <w:rPr>
                <w:rFonts w:asciiTheme="minorHAnsi" w:eastAsiaTheme="minorEastAsia" w:hAnsiTheme="minorHAnsi" w:cstheme="minorBidi"/>
                <w:b w:val="0"/>
                <w:noProof/>
                <w:color w:val="auto"/>
                <w:kern w:val="2"/>
                <w:sz w:val="22"/>
                <w:szCs w:val="22"/>
                <w:lang w:val="en-US"/>
                <w14:ligatures w14:val="standardContextual"/>
              </w:rPr>
              <w:tab/>
            </w:r>
            <w:r w:rsidRPr="00BD61A8">
              <w:rPr>
                <w:rStyle w:val="Hyperlink"/>
                <w:rFonts w:asciiTheme="minorHAnsi" w:hAnsiTheme="minorHAnsi"/>
                <w:noProof/>
                <w:color w:val="auto"/>
                <w:sz w:val="22"/>
                <w:szCs w:val="22"/>
                <w:lang w:val="en-GB"/>
              </w:rPr>
              <w:t xml:space="preserve">PROCEEDINGS SUBSEQUENT TO REPORT 323/20 AND </w:t>
            </w:r>
            <w:r w:rsidRPr="00BD61A8">
              <w:rPr>
                <w:rStyle w:val="Hyperlink"/>
                <w:rFonts w:asciiTheme="minorHAnsi" w:hAnsiTheme="minorHAnsi"/>
                <w:noProof/>
                <w:color w:val="auto"/>
                <w:sz w:val="22"/>
                <w:szCs w:val="22"/>
                <w:lang w:val="en-US"/>
              </w:rPr>
              <w:t>COMPLIANCE</w:t>
            </w:r>
            <w:r w:rsidRPr="00BD61A8">
              <w:rPr>
                <w:rStyle w:val="Hyperlink"/>
                <w:rFonts w:asciiTheme="minorHAnsi" w:hAnsiTheme="minorHAnsi"/>
                <w:noProof/>
                <w:color w:val="auto"/>
                <w:sz w:val="22"/>
                <w:szCs w:val="22"/>
                <w:lang w:val="en-GB"/>
              </w:rPr>
              <w:t xml:space="preserve"> INFORMATION</w:t>
            </w:r>
            <w:r w:rsidRPr="00BD61A8">
              <w:rPr>
                <w:rFonts w:asciiTheme="minorHAnsi" w:hAnsiTheme="minorHAnsi"/>
                <w:noProof/>
                <w:webHidden/>
                <w:color w:val="auto"/>
                <w:sz w:val="22"/>
                <w:szCs w:val="22"/>
              </w:rPr>
              <w:tab/>
            </w:r>
            <w:r w:rsidRPr="00BD61A8">
              <w:rPr>
                <w:rFonts w:asciiTheme="minorHAnsi" w:hAnsiTheme="minorHAnsi"/>
                <w:noProof/>
                <w:webHidden/>
                <w:color w:val="auto"/>
                <w:sz w:val="22"/>
                <w:szCs w:val="22"/>
              </w:rPr>
              <w:fldChar w:fldCharType="begin"/>
            </w:r>
            <w:r w:rsidRPr="00BD61A8">
              <w:rPr>
                <w:rFonts w:asciiTheme="minorHAnsi" w:hAnsiTheme="minorHAnsi"/>
                <w:noProof/>
                <w:webHidden/>
                <w:color w:val="auto"/>
                <w:sz w:val="22"/>
                <w:szCs w:val="22"/>
              </w:rPr>
              <w:instrText xml:space="preserve"> PAGEREF _Toc203992810 \h </w:instrText>
            </w:r>
            <w:r w:rsidRPr="00BD61A8">
              <w:rPr>
                <w:rFonts w:asciiTheme="minorHAnsi" w:hAnsiTheme="minorHAnsi"/>
                <w:noProof/>
                <w:webHidden/>
                <w:color w:val="auto"/>
                <w:sz w:val="22"/>
                <w:szCs w:val="22"/>
              </w:rPr>
            </w:r>
            <w:r w:rsidRPr="00BD61A8">
              <w:rPr>
                <w:rFonts w:asciiTheme="minorHAnsi" w:hAnsiTheme="minorHAnsi"/>
                <w:noProof/>
                <w:webHidden/>
                <w:color w:val="auto"/>
                <w:sz w:val="22"/>
                <w:szCs w:val="22"/>
              </w:rPr>
              <w:fldChar w:fldCharType="separate"/>
            </w:r>
            <w:r w:rsidR="00A00296">
              <w:rPr>
                <w:rFonts w:asciiTheme="minorHAnsi" w:hAnsiTheme="minorHAnsi"/>
                <w:noProof/>
                <w:webHidden/>
                <w:color w:val="auto"/>
                <w:sz w:val="22"/>
                <w:szCs w:val="22"/>
              </w:rPr>
              <w:t>16</w:t>
            </w:r>
            <w:r w:rsidRPr="00BD61A8">
              <w:rPr>
                <w:rFonts w:asciiTheme="minorHAnsi" w:hAnsiTheme="minorHAnsi"/>
                <w:noProof/>
                <w:webHidden/>
                <w:color w:val="auto"/>
                <w:sz w:val="22"/>
                <w:szCs w:val="22"/>
              </w:rPr>
              <w:fldChar w:fldCharType="end"/>
            </w:r>
          </w:hyperlink>
        </w:p>
        <w:p w14:paraId="0AE36445" w14:textId="4EC54292" w:rsidR="00BD61A8" w:rsidRPr="00BD61A8" w:rsidRDefault="00BD61A8">
          <w:pPr>
            <w:pStyle w:val="TOC1"/>
            <w:tabs>
              <w:tab w:val="left" w:pos="660"/>
              <w:tab w:val="right" w:leader="dot" w:pos="9260"/>
            </w:tabs>
            <w:rPr>
              <w:rFonts w:asciiTheme="minorHAnsi" w:eastAsiaTheme="minorEastAsia" w:hAnsiTheme="minorHAnsi" w:cstheme="minorBidi"/>
              <w:b w:val="0"/>
              <w:noProof/>
              <w:color w:val="auto"/>
              <w:kern w:val="2"/>
              <w:sz w:val="22"/>
              <w:szCs w:val="22"/>
              <w:lang w:val="en-US"/>
              <w14:ligatures w14:val="standardContextual"/>
            </w:rPr>
          </w:pPr>
          <w:hyperlink w:anchor="_Toc203992811" w:history="1">
            <w:r w:rsidRPr="00BD61A8">
              <w:rPr>
                <w:rStyle w:val="Hyperlink"/>
                <w:rFonts w:asciiTheme="minorHAnsi" w:hAnsiTheme="minorHAnsi"/>
                <w:noProof/>
                <w:color w:val="auto"/>
                <w:sz w:val="22"/>
                <w:szCs w:val="22"/>
                <w:lang w:val="es-VE"/>
              </w:rPr>
              <w:t>VII.</w:t>
            </w:r>
            <w:r w:rsidRPr="00BD61A8">
              <w:rPr>
                <w:rFonts w:asciiTheme="minorHAnsi" w:eastAsiaTheme="minorEastAsia" w:hAnsiTheme="minorHAnsi" w:cstheme="minorBidi"/>
                <w:b w:val="0"/>
                <w:noProof/>
                <w:color w:val="auto"/>
                <w:kern w:val="2"/>
                <w:sz w:val="22"/>
                <w:szCs w:val="22"/>
                <w:lang w:val="en-US"/>
                <w14:ligatures w14:val="standardContextual"/>
              </w:rPr>
              <w:tab/>
            </w:r>
            <w:r w:rsidRPr="00BD61A8">
              <w:rPr>
                <w:rStyle w:val="Hyperlink"/>
                <w:rFonts w:asciiTheme="minorHAnsi" w:hAnsiTheme="minorHAnsi"/>
                <w:noProof/>
                <w:color w:val="auto"/>
                <w:sz w:val="22"/>
                <w:szCs w:val="22"/>
                <w:lang w:val="en-US"/>
              </w:rPr>
              <w:t>ACTIONS FOLLOWING REPORT No. 59/25 AND INFORMATION ON COMPLIANCE</w:t>
            </w:r>
            <w:r w:rsidRPr="00BD61A8">
              <w:rPr>
                <w:rFonts w:asciiTheme="minorHAnsi" w:hAnsiTheme="minorHAnsi"/>
                <w:noProof/>
                <w:webHidden/>
                <w:color w:val="auto"/>
                <w:sz w:val="22"/>
                <w:szCs w:val="22"/>
              </w:rPr>
              <w:tab/>
            </w:r>
            <w:r w:rsidRPr="00BD61A8">
              <w:rPr>
                <w:rFonts w:asciiTheme="minorHAnsi" w:hAnsiTheme="minorHAnsi"/>
                <w:noProof/>
                <w:webHidden/>
                <w:color w:val="auto"/>
                <w:sz w:val="22"/>
                <w:szCs w:val="22"/>
              </w:rPr>
              <w:fldChar w:fldCharType="begin"/>
            </w:r>
            <w:r w:rsidRPr="00BD61A8">
              <w:rPr>
                <w:rFonts w:asciiTheme="minorHAnsi" w:hAnsiTheme="minorHAnsi"/>
                <w:noProof/>
                <w:webHidden/>
                <w:color w:val="auto"/>
                <w:sz w:val="22"/>
                <w:szCs w:val="22"/>
              </w:rPr>
              <w:instrText xml:space="preserve"> PAGEREF _Toc203992811 \h </w:instrText>
            </w:r>
            <w:r w:rsidRPr="00BD61A8">
              <w:rPr>
                <w:rFonts w:asciiTheme="minorHAnsi" w:hAnsiTheme="minorHAnsi"/>
                <w:noProof/>
                <w:webHidden/>
                <w:color w:val="auto"/>
                <w:sz w:val="22"/>
                <w:szCs w:val="22"/>
              </w:rPr>
            </w:r>
            <w:r w:rsidRPr="00BD61A8">
              <w:rPr>
                <w:rFonts w:asciiTheme="minorHAnsi" w:hAnsiTheme="minorHAnsi"/>
                <w:noProof/>
                <w:webHidden/>
                <w:color w:val="auto"/>
                <w:sz w:val="22"/>
                <w:szCs w:val="22"/>
              </w:rPr>
              <w:fldChar w:fldCharType="separate"/>
            </w:r>
            <w:r w:rsidR="00A00296">
              <w:rPr>
                <w:rFonts w:asciiTheme="minorHAnsi" w:hAnsiTheme="minorHAnsi"/>
                <w:noProof/>
                <w:webHidden/>
                <w:color w:val="auto"/>
                <w:sz w:val="22"/>
                <w:szCs w:val="22"/>
              </w:rPr>
              <w:t>18</w:t>
            </w:r>
            <w:r w:rsidRPr="00BD61A8">
              <w:rPr>
                <w:rFonts w:asciiTheme="minorHAnsi" w:hAnsiTheme="minorHAnsi"/>
                <w:noProof/>
                <w:webHidden/>
                <w:color w:val="auto"/>
                <w:sz w:val="22"/>
                <w:szCs w:val="22"/>
              </w:rPr>
              <w:fldChar w:fldCharType="end"/>
            </w:r>
          </w:hyperlink>
        </w:p>
        <w:p w14:paraId="508A61C3" w14:textId="575EE945" w:rsidR="00BD61A8" w:rsidRPr="00BD61A8" w:rsidRDefault="00BD61A8">
          <w:pPr>
            <w:pStyle w:val="TOC1"/>
            <w:tabs>
              <w:tab w:val="left" w:pos="660"/>
              <w:tab w:val="right" w:leader="dot" w:pos="9260"/>
            </w:tabs>
            <w:rPr>
              <w:rFonts w:asciiTheme="minorHAnsi" w:eastAsiaTheme="minorEastAsia" w:hAnsiTheme="minorHAnsi" w:cstheme="minorBidi"/>
              <w:b w:val="0"/>
              <w:noProof/>
              <w:color w:val="auto"/>
              <w:kern w:val="2"/>
              <w:sz w:val="22"/>
              <w:szCs w:val="22"/>
              <w:lang w:val="en-US"/>
              <w14:ligatures w14:val="standardContextual"/>
            </w:rPr>
          </w:pPr>
          <w:hyperlink w:anchor="_Toc203992812" w:history="1">
            <w:r w:rsidRPr="00BD61A8">
              <w:rPr>
                <w:rStyle w:val="Hyperlink"/>
                <w:rFonts w:asciiTheme="minorHAnsi" w:hAnsiTheme="minorHAnsi"/>
                <w:noProof/>
                <w:color w:val="auto"/>
                <w:sz w:val="22"/>
                <w:szCs w:val="22"/>
                <w:lang w:val="es-VE"/>
              </w:rPr>
              <w:t>VIII.</w:t>
            </w:r>
            <w:r w:rsidRPr="00BD61A8">
              <w:rPr>
                <w:rFonts w:asciiTheme="minorHAnsi" w:eastAsiaTheme="minorEastAsia" w:hAnsiTheme="minorHAnsi" w:cstheme="minorBidi"/>
                <w:b w:val="0"/>
                <w:noProof/>
                <w:color w:val="auto"/>
                <w:kern w:val="2"/>
                <w:sz w:val="22"/>
                <w:szCs w:val="22"/>
                <w:lang w:val="en-US"/>
                <w14:ligatures w14:val="standardContextual"/>
              </w:rPr>
              <w:tab/>
            </w:r>
            <w:r w:rsidRPr="00BD61A8">
              <w:rPr>
                <w:rStyle w:val="Hyperlink"/>
                <w:rFonts w:asciiTheme="minorHAnsi" w:hAnsiTheme="minorHAnsi"/>
                <w:noProof/>
                <w:color w:val="auto"/>
                <w:sz w:val="22"/>
                <w:szCs w:val="22"/>
              </w:rPr>
              <w:t>FINAL CONCLUSIONS AND RECOMMENDATIONS</w:t>
            </w:r>
            <w:r w:rsidRPr="00BD61A8">
              <w:rPr>
                <w:rFonts w:asciiTheme="minorHAnsi" w:hAnsiTheme="minorHAnsi"/>
                <w:noProof/>
                <w:webHidden/>
                <w:color w:val="auto"/>
                <w:sz w:val="22"/>
                <w:szCs w:val="22"/>
              </w:rPr>
              <w:tab/>
            </w:r>
            <w:r w:rsidRPr="00BD61A8">
              <w:rPr>
                <w:rFonts w:asciiTheme="minorHAnsi" w:hAnsiTheme="minorHAnsi"/>
                <w:noProof/>
                <w:webHidden/>
                <w:color w:val="auto"/>
                <w:sz w:val="22"/>
                <w:szCs w:val="22"/>
              </w:rPr>
              <w:fldChar w:fldCharType="begin"/>
            </w:r>
            <w:r w:rsidRPr="00BD61A8">
              <w:rPr>
                <w:rFonts w:asciiTheme="minorHAnsi" w:hAnsiTheme="minorHAnsi"/>
                <w:noProof/>
                <w:webHidden/>
                <w:color w:val="auto"/>
                <w:sz w:val="22"/>
                <w:szCs w:val="22"/>
              </w:rPr>
              <w:instrText xml:space="preserve"> PAGEREF _Toc203992812 \h </w:instrText>
            </w:r>
            <w:r w:rsidRPr="00BD61A8">
              <w:rPr>
                <w:rFonts w:asciiTheme="minorHAnsi" w:hAnsiTheme="minorHAnsi"/>
                <w:noProof/>
                <w:webHidden/>
                <w:color w:val="auto"/>
                <w:sz w:val="22"/>
                <w:szCs w:val="22"/>
              </w:rPr>
            </w:r>
            <w:r w:rsidRPr="00BD61A8">
              <w:rPr>
                <w:rFonts w:asciiTheme="minorHAnsi" w:hAnsiTheme="minorHAnsi"/>
                <w:noProof/>
                <w:webHidden/>
                <w:color w:val="auto"/>
                <w:sz w:val="22"/>
                <w:szCs w:val="22"/>
              </w:rPr>
              <w:fldChar w:fldCharType="separate"/>
            </w:r>
            <w:r w:rsidR="00A00296">
              <w:rPr>
                <w:rFonts w:asciiTheme="minorHAnsi" w:hAnsiTheme="minorHAnsi"/>
                <w:noProof/>
                <w:webHidden/>
                <w:color w:val="auto"/>
                <w:sz w:val="22"/>
                <w:szCs w:val="22"/>
              </w:rPr>
              <w:t>18</w:t>
            </w:r>
            <w:r w:rsidRPr="00BD61A8">
              <w:rPr>
                <w:rFonts w:asciiTheme="minorHAnsi" w:hAnsiTheme="minorHAnsi"/>
                <w:noProof/>
                <w:webHidden/>
                <w:color w:val="auto"/>
                <w:sz w:val="22"/>
                <w:szCs w:val="22"/>
              </w:rPr>
              <w:fldChar w:fldCharType="end"/>
            </w:r>
          </w:hyperlink>
        </w:p>
        <w:p w14:paraId="67D5669B" w14:textId="69709DF2" w:rsidR="00BD61A8" w:rsidRPr="00BD61A8" w:rsidRDefault="00BD61A8">
          <w:pPr>
            <w:pStyle w:val="TOC1"/>
            <w:tabs>
              <w:tab w:val="left" w:pos="660"/>
              <w:tab w:val="right" w:leader="dot" w:pos="9260"/>
            </w:tabs>
            <w:rPr>
              <w:rFonts w:asciiTheme="minorHAnsi" w:eastAsiaTheme="minorEastAsia" w:hAnsiTheme="minorHAnsi" w:cstheme="minorBidi"/>
              <w:b w:val="0"/>
              <w:noProof/>
              <w:color w:val="auto"/>
              <w:kern w:val="2"/>
              <w:sz w:val="22"/>
              <w:szCs w:val="22"/>
              <w:lang w:val="en-US"/>
              <w14:ligatures w14:val="standardContextual"/>
            </w:rPr>
          </w:pPr>
          <w:hyperlink w:anchor="_Toc203992813" w:history="1">
            <w:r w:rsidRPr="00BD61A8">
              <w:rPr>
                <w:rStyle w:val="Hyperlink"/>
                <w:rFonts w:asciiTheme="minorHAnsi" w:hAnsiTheme="minorHAnsi"/>
                <w:noProof/>
                <w:color w:val="auto"/>
                <w:sz w:val="22"/>
                <w:szCs w:val="22"/>
                <w:lang w:val="es-VE"/>
              </w:rPr>
              <w:t>IX.</w:t>
            </w:r>
            <w:r w:rsidRPr="00BD61A8">
              <w:rPr>
                <w:rFonts w:asciiTheme="minorHAnsi" w:eastAsiaTheme="minorEastAsia" w:hAnsiTheme="minorHAnsi" w:cstheme="minorBidi"/>
                <w:b w:val="0"/>
                <w:noProof/>
                <w:color w:val="auto"/>
                <w:kern w:val="2"/>
                <w:sz w:val="22"/>
                <w:szCs w:val="22"/>
                <w:lang w:val="en-US"/>
                <w14:ligatures w14:val="standardContextual"/>
              </w:rPr>
              <w:tab/>
            </w:r>
            <w:r w:rsidRPr="00BD61A8">
              <w:rPr>
                <w:rStyle w:val="Hyperlink"/>
                <w:rFonts w:asciiTheme="minorHAnsi" w:hAnsiTheme="minorHAnsi"/>
                <w:noProof/>
                <w:color w:val="auto"/>
                <w:sz w:val="22"/>
                <w:szCs w:val="22"/>
                <w:lang w:val="en-US"/>
              </w:rPr>
              <w:t>PUBLICATION</w:t>
            </w:r>
            <w:r w:rsidRPr="00BD61A8">
              <w:rPr>
                <w:rFonts w:asciiTheme="minorHAnsi" w:hAnsiTheme="minorHAnsi"/>
                <w:noProof/>
                <w:webHidden/>
                <w:color w:val="auto"/>
                <w:sz w:val="22"/>
                <w:szCs w:val="22"/>
              </w:rPr>
              <w:tab/>
            </w:r>
            <w:r w:rsidRPr="00BD61A8">
              <w:rPr>
                <w:rFonts w:asciiTheme="minorHAnsi" w:hAnsiTheme="minorHAnsi"/>
                <w:noProof/>
                <w:webHidden/>
                <w:color w:val="auto"/>
                <w:sz w:val="22"/>
                <w:szCs w:val="22"/>
              </w:rPr>
              <w:fldChar w:fldCharType="begin"/>
            </w:r>
            <w:r w:rsidRPr="00BD61A8">
              <w:rPr>
                <w:rFonts w:asciiTheme="minorHAnsi" w:hAnsiTheme="minorHAnsi"/>
                <w:noProof/>
                <w:webHidden/>
                <w:color w:val="auto"/>
                <w:sz w:val="22"/>
                <w:szCs w:val="22"/>
              </w:rPr>
              <w:instrText xml:space="preserve"> PAGEREF _Toc203992813 \h </w:instrText>
            </w:r>
            <w:r w:rsidRPr="00BD61A8">
              <w:rPr>
                <w:rFonts w:asciiTheme="minorHAnsi" w:hAnsiTheme="minorHAnsi"/>
                <w:noProof/>
                <w:webHidden/>
                <w:color w:val="auto"/>
                <w:sz w:val="22"/>
                <w:szCs w:val="22"/>
              </w:rPr>
            </w:r>
            <w:r w:rsidRPr="00BD61A8">
              <w:rPr>
                <w:rFonts w:asciiTheme="minorHAnsi" w:hAnsiTheme="minorHAnsi"/>
                <w:noProof/>
                <w:webHidden/>
                <w:color w:val="auto"/>
                <w:sz w:val="22"/>
                <w:szCs w:val="22"/>
              </w:rPr>
              <w:fldChar w:fldCharType="separate"/>
            </w:r>
            <w:r w:rsidR="00A00296">
              <w:rPr>
                <w:rFonts w:asciiTheme="minorHAnsi" w:hAnsiTheme="minorHAnsi"/>
                <w:noProof/>
                <w:webHidden/>
                <w:color w:val="auto"/>
                <w:sz w:val="22"/>
                <w:szCs w:val="22"/>
              </w:rPr>
              <w:t>18</w:t>
            </w:r>
            <w:r w:rsidRPr="00BD61A8">
              <w:rPr>
                <w:rFonts w:asciiTheme="minorHAnsi" w:hAnsiTheme="minorHAnsi"/>
                <w:noProof/>
                <w:webHidden/>
                <w:color w:val="auto"/>
                <w:sz w:val="22"/>
                <w:szCs w:val="22"/>
              </w:rPr>
              <w:fldChar w:fldCharType="end"/>
            </w:r>
          </w:hyperlink>
        </w:p>
        <w:p w14:paraId="091B7008" w14:textId="00CE3050" w:rsidR="006B6926" w:rsidRDefault="006B6926">
          <w:r w:rsidRPr="00BD61A8">
            <w:rPr>
              <w:rFonts w:asciiTheme="minorHAnsi" w:hAnsiTheme="minorHAnsi"/>
              <w:b/>
              <w:bCs/>
              <w:noProof/>
            </w:rPr>
            <w:fldChar w:fldCharType="end"/>
          </w:r>
        </w:p>
      </w:sdtContent>
    </w:sdt>
    <w:p w14:paraId="4847B3A6" w14:textId="77777777" w:rsidR="00912201" w:rsidRPr="00A42DDB" w:rsidRDefault="00912201" w:rsidP="007374FF">
      <w:pPr>
        <w:rPr>
          <w:rFonts w:ascii="Cambria" w:hAnsi="Cambria"/>
          <w:b/>
          <w:sz w:val="20"/>
          <w:szCs w:val="20"/>
        </w:rPr>
      </w:pPr>
    </w:p>
    <w:p w14:paraId="01C3D1C8" w14:textId="77777777" w:rsidR="004426B1" w:rsidRPr="00A42DDB" w:rsidRDefault="004426B1">
      <w:pPr>
        <w:pStyle w:val="GridTable31"/>
        <w:rPr>
          <w:rFonts w:ascii="Cambria" w:hAnsi="Cambria"/>
        </w:rPr>
      </w:pPr>
    </w:p>
    <w:p w14:paraId="090A3706" w14:textId="50145590" w:rsidR="007374FF" w:rsidRDefault="007374FF" w:rsidP="007374FF">
      <w:pPr>
        <w:tabs>
          <w:tab w:val="left" w:pos="567"/>
        </w:tabs>
        <w:jc w:val="center"/>
        <w:rPr>
          <w:rFonts w:ascii="Cambria" w:hAnsi="Cambria"/>
          <w:b/>
          <w:sz w:val="20"/>
          <w:szCs w:val="20"/>
          <w:lang w:val="es-VE"/>
        </w:rPr>
      </w:pPr>
    </w:p>
    <w:p w14:paraId="3723615C" w14:textId="364E18C3" w:rsidR="00A5392B" w:rsidRDefault="00A5392B" w:rsidP="007374FF">
      <w:pPr>
        <w:tabs>
          <w:tab w:val="left" w:pos="567"/>
        </w:tabs>
        <w:jc w:val="center"/>
        <w:rPr>
          <w:rFonts w:ascii="Cambria" w:hAnsi="Cambria"/>
          <w:b/>
          <w:sz w:val="20"/>
          <w:szCs w:val="20"/>
          <w:lang w:val="es-VE"/>
        </w:rPr>
      </w:pPr>
    </w:p>
    <w:p w14:paraId="6D18C7E7" w14:textId="6AB9EBAA" w:rsidR="00A5392B" w:rsidRDefault="00A5392B" w:rsidP="007374FF">
      <w:pPr>
        <w:tabs>
          <w:tab w:val="left" w:pos="567"/>
        </w:tabs>
        <w:jc w:val="center"/>
        <w:rPr>
          <w:rFonts w:ascii="Cambria" w:hAnsi="Cambria"/>
          <w:b/>
          <w:sz w:val="20"/>
          <w:szCs w:val="20"/>
          <w:lang w:val="es-VE"/>
        </w:rPr>
      </w:pPr>
    </w:p>
    <w:p w14:paraId="7992D79C" w14:textId="1166695F" w:rsidR="00A5392B" w:rsidRDefault="00A5392B" w:rsidP="007374FF">
      <w:pPr>
        <w:tabs>
          <w:tab w:val="left" w:pos="567"/>
        </w:tabs>
        <w:jc w:val="center"/>
        <w:rPr>
          <w:rFonts w:ascii="Cambria" w:hAnsi="Cambria"/>
          <w:b/>
          <w:sz w:val="20"/>
          <w:szCs w:val="20"/>
          <w:lang w:val="es-VE"/>
        </w:rPr>
      </w:pPr>
    </w:p>
    <w:p w14:paraId="20E511FE" w14:textId="0EF004C2" w:rsidR="00A5392B" w:rsidRDefault="00A5392B" w:rsidP="007374FF">
      <w:pPr>
        <w:tabs>
          <w:tab w:val="left" w:pos="567"/>
        </w:tabs>
        <w:jc w:val="center"/>
        <w:rPr>
          <w:rFonts w:ascii="Cambria" w:hAnsi="Cambria"/>
          <w:b/>
          <w:sz w:val="20"/>
          <w:szCs w:val="20"/>
          <w:lang w:val="es-VE"/>
        </w:rPr>
      </w:pPr>
    </w:p>
    <w:p w14:paraId="28F344E5" w14:textId="17A6C46F" w:rsidR="00A5392B" w:rsidRDefault="00A5392B" w:rsidP="007374FF">
      <w:pPr>
        <w:tabs>
          <w:tab w:val="left" w:pos="567"/>
        </w:tabs>
        <w:jc w:val="center"/>
        <w:rPr>
          <w:rFonts w:ascii="Cambria" w:hAnsi="Cambria"/>
          <w:b/>
          <w:sz w:val="20"/>
          <w:szCs w:val="20"/>
          <w:lang w:val="es-VE"/>
        </w:rPr>
      </w:pPr>
    </w:p>
    <w:p w14:paraId="73CA957C" w14:textId="3DD5BAF8" w:rsidR="00A5392B" w:rsidRDefault="00A5392B" w:rsidP="007374FF">
      <w:pPr>
        <w:tabs>
          <w:tab w:val="left" w:pos="567"/>
        </w:tabs>
        <w:jc w:val="center"/>
        <w:rPr>
          <w:rFonts w:ascii="Cambria" w:hAnsi="Cambria"/>
          <w:b/>
          <w:sz w:val="20"/>
          <w:szCs w:val="20"/>
          <w:lang w:val="es-VE"/>
        </w:rPr>
      </w:pPr>
    </w:p>
    <w:p w14:paraId="03565CE2" w14:textId="1C86096F" w:rsidR="00A5392B" w:rsidRDefault="00A5392B" w:rsidP="00A7034B">
      <w:pPr>
        <w:tabs>
          <w:tab w:val="left" w:pos="567"/>
        </w:tabs>
        <w:spacing w:after="0" w:line="240" w:lineRule="auto"/>
        <w:rPr>
          <w:rFonts w:ascii="Cambria" w:eastAsia="Times New Roman" w:hAnsi="Cambria"/>
          <w:sz w:val="20"/>
          <w:szCs w:val="20"/>
          <w:bdr w:val="none" w:sz="0" w:space="0" w:color="auto" w:frame="1"/>
          <w:lang w:val="es-ES_tradnl"/>
        </w:rPr>
      </w:pPr>
    </w:p>
    <w:p w14:paraId="173EE59F" w14:textId="30F4E778" w:rsidR="00A5392B" w:rsidRDefault="00A5392B" w:rsidP="00A7034B">
      <w:pPr>
        <w:tabs>
          <w:tab w:val="left" w:pos="567"/>
        </w:tabs>
        <w:spacing w:after="0" w:line="240" w:lineRule="auto"/>
        <w:rPr>
          <w:rFonts w:ascii="Cambria" w:eastAsia="Times New Roman" w:hAnsi="Cambria"/>
          <w:sz w:val="20"/>
          <w:szCs w:val="20"/>
          <w:bdr w:val="none" w:sz="0" w:space="0" w:color="auto" w:frame="1"/>
          <w:lang w:val="es-ES_tradnl"/>
        </w:rPr>
      </w:pPr>
    </w:p>
    <w:p w14:paraId="3E60BF4F" w14:textId="209815F0" w:rsidR="00B435FD" w:rsidRDefault="00B435FD" w:rsidP="00A7034B">
      <w:pPr>
        <w:tabs>
          <w:tab w:val="left" w:pos="567"/>
        </w:tabs>
        <w:spacing w:after="0" w:line="240" w:lineRule="auto"/>
        <w:rPr>
          <w:rFonts w:ascii="Cambria" w:eastAsia="Times New Roman" w:hAnsi="Cambria"/>
          <w:sz w:val="20"/>
          <w:szCs w:val="20"/>
          <w:bdr w:val="none" w:sz="0" w:space="0" w:color="auto" w:frame="1"/>
          <w:lang w:val="es-ES_tradnl"/>
        </w:rPr>
      </w:pPr>
    </w:p>
    <w:p w14:paraId="503A6FE4" w14:textId="77777777" w:rsidR="00A5392B" w:rsidRDefault="00A5392B" w:rsidP="00A7034B">
      <w:pPr>
        <w:tabs>
          <w:tab w:val="left" w:pos="567"/>
        </w:tabs>
        <w:spacing w:after="0" w:line="240" w:lineRule="auto"/>
        <w:rPr>
          <w:rFonts w:ascii="Cambria" w:eastAsia="Times New Roman" w:hAnsi="Cambria"/>
          <w:sz w:val="20"/>
          <w:szCs w:val="20"/>
          <w:bdr w:val="none" w:sz="0" w:space="0" w:color="auto" w:frame="1"/>
          <w:lang w:val="es-ES_tradnl"/>
        </w:rPr>
      </w:pPr>
    </w:p>
    <w:p w14:paraId="3F25D0C9" w14:textId="77777777" w:rsidR="00D85D81" w:rsidRDefault="00D85D81" w:rsidP="00A7034B">
      <w:pPr>
        <w:tabs>
          <w:tab w:val="left" w:pos="567"/>
        </w:tabs>
        <w:spacing w:after="0" w:line="240" w:lineRule="auto"/>
        <w:rPr>
          <w:rFonts w:ascii="Cambria" w:eastAsia="Times New Roman" w:hAnsi="Cambria"/>
          <w:sz w:val="20"/>
          <w:szCs w:val="20"/>
          <w:bdr w:val="none" w:sz="0" w:space="0" w:color="auto" w:frame="1"/>
          <w:lang w:val="es-ES_tradnl"/>
        </w:rPr>
      </w:pPr>
    </w:p>
    <w:p w14:paraId="0B55A087" w14:textId="77777777" w:rsidR="00D85D81" w:rsidRPr="00A42DDB" w:rsidRDefault="00D85D81" w:rsidP="00A7034B">
      <w:pPr>
        <w:tabs>
          <w:tab w:val="left" w:pos="567"/>
        </w:tabs>
        <w:spacing w:after="0" w:line="240" w:lineRule="auto"/>
        <w:rPr>
          <w:rFonts w:ascii="Cambria" w:eastAsia="Times New Roman" w:hAnsi="Cambria"/>
          <w:sz w:val="20"/>
          <w:szCs w:val="20"/>
          <w:bdr w:val="none" w:sz="0" w:space="0" w:color="auto" w:frame="1"/>
          <w:lang w:val="es-ES_tradnl"/>
        </w:rPr>
      </w:pPr>
    </w:p>
    <w:p w14:paraId="0A9595E2" w14:textId="5052BA7A" w:rsidR="000A46BD" w:rsidRPr="00A42DDB" w:rsidRDefault="000A46BD" w:rsidP="00181298">
      <w:pPr>
        <w:pStyle w:val="Heading1"/>
        <w:numPr>
          <w:ilvl w:val="0"/>
          <w:numId w:val="2"/>
        </w:numPr>
        <w:tabs>
          <w:tab w:val="clear" w:pos="1440"/>
          <w:tab w:val="left" w:pos="360"/>
          <w:tab w:val="num" w:pos="540"/>
          <w:tab w:val="left" w:pos="1350"/>
        </w:tabs>
        <w:ind w:hanging="1440"/>
      </w:pPr>
      <w:bookmarkStart w:id="0" w:name="_Toc536549374"/>
      <w:bookmarkStart w:id="1" w:name="_Toc3453769"/>
      <w:bookmarkStart w:id="2" w:name="_Toc4075187"/>
      <w:bookmarkStart w:id="3" w:name="_Toc16691204"/>
      <w:bookmarkStart w:id="4" w:name="_Toc203992791"/>
      <w:r w:rsidRPr="00A42DDB">
        <w:t>INTRO</w:t>
      </w:r>
      <w:bookmarkEnd w:id="0"/>
      <w:bookmarkEnd w:id="1"/>
      <w:bookmarkEnd w:id="2"/>
      <w:bookmarkEnd w:id="3"/>
      <w:r w:rsidR="00DB0FCC">
        <w:t>DUCTION</w:t>
      </w:r>
      <w:r w:rsidR="00CE470E" w:rsidRPr="009C147B">
        <w:rPr>
          <w:rStyle w:val="FootnoteReference"/>
          <w:rFonts w:asciiTheme="minorHAnsi" w:hAnsiTheme="minorHAnsi"/>
          <w:sz w:val="20"/>
          <w:lang w:val="en"/>
        </w:rPr>
        <w:footnoteReference w:id="1"/>
      </w:r>
      <w:bookmarkEnd w:id="4"/>
    </w:p>
    <w:p w14:paraId="27A3BB92" w14:textId="77777777" w:rsidR="00C4577B" w:rsidRDefault="00C4577B" w:rsidP="00C4577B">
      <w:pPr>
        <w:pStyle w:val="parrafos"/>
        <w:tabs>
          <w:tab w:val="left" w:pos="360"/>
        </w:tabs>
        <w:rPr>
          <w:color w:val="auto"/>
          <w:bdr w:val="none" w:sz="0" w:space="0" w:color="auto"/>
        </w:rPr>
      </w:pPr>
    </w:p>
    <w:p w14:paraId="1F45BED9" w14:textId="77777777" w:rsidR="008D0AE6" w:rsidRPr="004D028B" w:rsidRDefault="00A35B3C" w:rsidP="008D0AE6">
      <w:pPr>
        <w:pStyle w:val="parrafos"/>
        <w:numPr>
          <w:ilvl w:val="0"/>
          <w:numId w:val="28"/>
        </w:numPr>
        <w:tabs>
          <w:tab w:val="left" w:pos="360"/>
        </w:tabs>
        <w:ind w:left="0" w:firstLine="0"/>
        <w:rPr>
          <w:lang w:val="en-US"/>
        </w:rPr>
      </w:pPr>
      <w:r w:rsidRPr="004D028B">
        <w:rPr>
          <w:lang w:val="en-US"/>
        </w:rPr>
        <w:t xml:space="preserve">On July 2, 2005, the Inter-American Commission on Human Rights (hereinafter “the Commission”, “the Inter-American Commission” or “the IACHR”) received a petition presented by David Efraín Villarreal (hereinafter “the petitioning party”) which alleges the international responsibility of the Argentine Republic (hereinafter "the State", "the Argentine State" or "Argentina") for the imposition of a precautionary measure of general inhibition to sell or encumber property for more than 30 years, against Héctor Leonardo Kemelmajen and Rafael Chaikin, within the framework of an action for patrimonial liability brought against them, which in their opinion would </w:t>
      </w:r>
      <w:r w:rsidR="00D14381" w:rsidRPr="004D028B">
        <w:rPr>
          <w:lang w:val="en-US"/>
        </w:rPr>
        <w:t>has</w:t>
      </w:r>
      <w:r w:rsidRPr="004D028B">
        <w:rPr>
          <w:lang w:val="en-US"/>
        </w:rPr>
        <w:t xml:space="preserve"> been delayed beyond a reasonable period of time.</w:t>
      </w:r>
      <w:bookmarkStart w:id="5" w:name="_Toc370840841"/>
      <w:bookmarkStart w:id="6" w:name="_Toc370840745"/>
    </w:p>
    <w:p w14:paraId="7FB59928" w14:textId="77777777" w:rsidR="008D0AE6" w:rsidRPr="004D028B" w:rsidRDefault="008D0AE6" w:rsidP="008D0AE6">
      <w:pPr>
        <w:pStyle w:val="parrafos"/>
        <w:tabs>
          <w:tab w:val="left" w:pos="360"/>
        </w:tabs>
        <w:rPr>
          <w:lang w:val="en-US"/>
        </w:rPr>
      </w:pPr>
    </w:p>
    <w:p w14:paraId="5643DA80" w14:textId="51B74A98" w:rsidR="00C07874" w:rsidRPr="004D028B" w:rsidRDefault="00A35B3C" w:rsidP="008D0AE6">
      <w:pPr>
        <w:pStyle w:val="parrafos"/>
        <w:numPr>
          <w:ilvl w:val="0"/>
          <w:numId w:val="28"/>
        </w:numPr>
        <w:tabs>
          <w:tab w:val="left" w:pos="360"/>
        </w:tabs>
        <w:ind w:left="0" w:firstLine="0"/>
        <w:rPr>
          <w:lang w:val="en-US"/>
        </w:rPr>
      </w:pPr>
      <w:r w:rsidRPr="004D028B">
        <w:rPr>
          <w:lang w:val="en-US"/>
        </w:rPr>
        <w:t>On March 1, 2018, the Commission informed the parties that, according to the instruments that govern its mandate, it deferred the treatment of the admissibility of the matter until the debate and decision on the merits. The Commission made itself available to the parties in order to initiate a friendly settlement process without the conditions for such effect being met. The parties had the statutory deadlines to present their observations on the case. All the information received was duly transferred between the parties.</w:t>
      </w:r>
    </w:p>
    <w:p w14:paraId="05A66768" w14:textId="77777777" w:rsidR="00C07874" w:rsidRPr="004D028B" w:rsidRDefault="00C07874" w:rsidP="00C07874">
      <w:pPr>
        <w:pStyle w:val="ListParagraph"/>
        <w:tabs>
          <w:tab w:val="left" w:pos="567"/>
          <w:tab w:val="left" w:pos="1440"/>
        </w:tabs>
        <w:ind w:left="0"/>
        <w:jc w:val="both"/>
        <w:rPr>
          <w:rFonts w:ascii="Cambria" w:hAnsi="Cambria"/>
          <w:color w:val="000000"/>
          <w:sz w:val="20"/>
          <w:szCs w:val="20"/>
        </w:rPr>
      </w:pPr>
    </w:p>
    <w:p w14:paraId="78A453C0" w14:textId="00E18010" w:rsidR="00D14381" w:rsidRPr="008D0AE6" w:rsidRDefault="00C07874" w:rsidP="00D50A8F">
      <w:pPr>
        <w:pStyle w:val="Heading1"/>
        <w:numPr>
          <w:ilvl w:val="0"/>
          <w:numId w:val="2"/>
        </w:numPr>
        <w:tabs>
          <w:tab w:val="clear" w:pos="1440"/>
          <w:tab w:val="left" w:pos="360"/>
          <w:tab w:val="num" w:pos="540"/>
          <w:tab w:val="left" w:pos="1350"/>
        </w:tabs>
        <w:ind w:hanging="1440"/>
      </w:pPr>
      <w:bookmarkStart w:id="7" w:name="_Toc203992792"/>
      <w:bookmarkStart w:id="8" w:name="_Toc444958127"/>
      <w:bookmarkStart w:id="9" w:name="_Toc433115984"/>
      <w:bookmarkStart w:id="10" w:name="_Toc423514408"/>
      <w:bookmarkStart w:id="11" w:name="_Toc536549376"/>
      <w:bookmarkEnd w:id="5"/>
      <w:bookmarkEnd w:id="6"/>
      <w:r w:rsidRPr="00C07874">
        <w:t>POSITIONS OF THE PARTIES</w:t>
      </w:r>
      <w:bookmarkEnd w:id="7"/>
    </w:p>
    <w:p w14:paraId="1E50BE3A" w14:textId="32CD5927" w:rsidR="00C07874" w:rsidRPr="008D0AE6" w:rsidRDefault="00C07874" w:rsidP="37DD07D2">
      <w:pPr>
        <w:pStyle w:val="Heading3"/>
        <w:numPr>
          <w:ilvl w:val="0"/>
          <w:numId w:val="30"/>
        </w:numPr>
        <w:rPr>
          <w:sz w:val="20"/>
          <w:szCs w:val="20"/>
          <w:lang w:val="es-ES"/>
        </w:rPr>
      </w:pPr>
      <w:bookmarkStart w:id="12" w:name="_Toc203992793"/>
      <w:bookmarkEnd w:id="8"/>
      <w:bookmarkEnd w:id="9"/>
      <w:bookmarkEnd w:id="10"/>
      <w:bookmarkEnd w:id="11"/>
      <w:r w:rsidRPr="37DD07D2">
        <w:rPr>
          <w:sz w:val="20"/>
          <w:szCs w:val="20"/>
          <w:lang w:val="es-ES"/>
        </w:rPr>
        <w:t>Petitioning party</w:t>
      </w:r>
      <w:bookmarkEnd w:id="12"/>
    </w:p>
    <w:p w14:paraId="3F234F3F" w14:textId="77777777" w:rsidR="00C07874" w:rsidRPr="00C07874" w:rsidRDefault="00C07874" w:rsidP="00C07874">
      <w:pPr>
        <w:pStyle w:val="ListParagraph"/>
        <w:tabs>
          <w:tab w:val="left" w:pos="567"/>
          <w:tab w:val="left" w:pos="1440"/>
        </w:tabs>
        <w:jc w:val="both"/>
        <w:rPr>
          <w:rFonts w:ascii="Cambria" w:eastAsia="Times New Roman" w:hAnsi="Cambria"/>
          <w:b/>
          <w:sz w:val="20"/>
          <w:szCs w:val="20"/>
          <w:lang w:val="es-ES_tradnl"/>
        </w:rPr>
      </w:pPr>
    </w:p>
    <w:p w14:paraId="562170A3" w14:textId="77777777" w:rsidR="008D0AE6" w:rsidRPr="004D028B" w:rsidRDefault="00A35B3C" w:rsidP="00490D53">
      <w:pPr>
        <w:pStyle w:val="parrafos"/>
        <w:numPr>
          <w:ilvl w:val="0"/>
          <w:numId w:val="28"/>
        </w:numPr>
        <w:tabs>
          <w:tab w:val="left" w:pos="360"/>
        </w:tabs>
        <w:ind w:left="0" w:firstLine="0"/>
        <w:rPr>
          <w:rFonts w:eastAsia="Times New Roman"/>
          <w:lang w:val="en-US"/>
        </w:rPr>
      </w:pPr>
      <w:r w:rsidRPr="004D028B">
        <w:rPr>
          <w:lang w:val="en-US"/>
        </w:rPr>
        <w:t>The</w:t>
      </w:r>
      <w:r w:rsidRPr="004D028B">
        <w:rPr>
          <w:rFonts w:eastAsia="Times New Roman"/>
          <w:lang w:val="en-US"/>
        </w:rPr>
        <w:t xml:space="preserve"> petitioner indicates that Héctor Leonardo Kemelmajen was a member of the Board of Directors of the financial entity “Caja Mutual Yatay 240 Sociedad Cooperativa de Crédito”, exercising the position of </w:t>
      </w:r>
      <w:r w:rsidR="00D14381" w:rsidRPr="004D028B">
        <w:rPr>
          <w:rFonts w:eastAsia="Times New Roman"/>
          <w:lang w:val="en-US"/>
        </w:rPr>
        <w:t>vocal holder</w:t>
      </w:r>
      <w:r w:rsidRPr="004D028B">
        <w:rPr>
          <w:rFonts w:eastAsia="Times New Roman"/>
          <w:lang w:val="en-US"/>
        </w:rPr>
        <w:t xml:space="preserve"> from April 21, 1979 to May 15, 1980. For his part, Rafael Chaikin was also appointed as a member, however, he never held the position because he did not accept it.</w:t>
      </w:r>
    </w:p>
    <w:p w14:paraId="5EB5F589" w14:textId="77777777" w:rsidR="008D0AE6" w:rsidRPr="004D028B" w:rsidRDefault="008D0AE6" w:rsidP="008D0AE6">
      <w:pPr>
        <w:pStyle w:val="parrafos"/>
        <w:tabs>
          <w:tab w:val="left" w:pos="360"/>
        </w:tabs>
        <w:rPr>
          <w:rFonts w:eastAsia="Times New Roman"/>
          <w:lang w:val="en-US"/>
        </w:rPr>
      </w:pPr>
    </w:p>
    <w:p w14:paraId="01275085" w14:textId="77777777" w:rsidR="00C4166F" w:rsidRPr="004D028B" w:rsidRDefault="00A35B3C" w:rsidP="00CE5544">
      <w:pPr>
        <w:pStyle w:val="parrafos"/>
        <w:numPr>
          <w:ilvl w:val="0"/>
          <w:numId w:val="28"/>
        </w:numPr>
        <w:tabs>
          <w:tab w:val="left" w:pos="360"/>
        </w:tabs>
        <w:ind w:left="0" w:firstLine="0"/>
        <w:rPr>
          <w:rFonts w:eastAsia="Times New Roman"/>
          <w:lang w:val="en-US"/>
        </w:rPr>
      </w:pPr>
      <w:r w:rsidRPr="004D028B">
        <w:rPr>
          <w:rFonts w:eastAsia="Times New Roman"/>
          <w:lang w:val="en-US"/>
        </w:rPr>
        <w:t>It refers that in the eighties the financial entity “Caja Mutual Yatay” filed a bankruptcy request before the National Court of First Instance in Commercial Matters No. 4, Secretariat No. 7, by virtue of which cessation of payments was decreed on February 25, 1982 and May 18, 1983 bankruptcy was declared.</w:t>
      </w:r>
    </w:p>
    <w:p w14:paraId="261BDB5D" w14:textId="77777777" w:rsidR="00C4166F" w:rsidRPr="004D028B" w:rsidRDefault="00C4166F" w:rsidP="00C4166F">
      <w:pPr>
        <w:pStyle w:val="parrafos"/>
        <w:tabs>
          <w:tab w:val="left" w:pos="360"/>
        </w:tabs>
        <w:rPr>
          <w:rFonts w:eastAsia="Times New Roman"/>
          <w:lang w:val="en-US"/>
        </w:rPr>
      </w:pPr>
    </w:p>
    <w:p w14:paraId="3F394341" w14:textId="77777777" w:rsidR="00C4166F" w:rsidRPr="004D028B" w:rsidRDefault="00A35B3C" w:rsidP="0016019F">
      <w:pPr>
        <w:pStyle w:val="parrafos"/>
        <w:numPr>
          <w:ilvl w:val="0"/>
          <w:numId w:val="28"/>
        </w:numPr>
        <w:tabs>
          <w:tab w:val="left" w:pos="360"/>
        </w:tabs>
        <w:ind w:left="0" w:firstLine="0"/>
        <w:rPr>
          <w:rFonts w:eastAsia="Times New Roman"/>
          <w:lang w:val="en-US"/>
        </w:rPr>
      </w:pPr>
      <w:r w:rsidRPr="004D028B">
        <w:rPr>
          <w:rFonts w:eastAsia="Times New Roman"/>
          <w:lang w:val="en-US"/>
        </w:rPr>
        <w:t>It states that, as a result of the previous process, on July 2, 1985, a file entitled CAJA MUTUAL YATAY 240 SOC. COOP DE CRED. LTDA. S / BANKRUPTCY C / FINKELBERG ABRAHAM AND OTHERS (ACTION OF EQUITY RESP.) S / ORDINARY. 39248/94, promoted by the Central Bank of the Argentine Republic, in its capacity as liquidating authority of financial entities. It explains that within the framework of this process, on February 11, 1987, the National Judge of First Instance in Commercial Matters No.4, decreed the precautionary measure of inhibition of assets against the administrative authorities of the “Caja Mutual Yatay” which included the alleged victims of the case, as jointly liable for the damages caused to the entity's creditors, up to the sum of three million five hundred thousand dollars.</w:t>
      </w:r>
    </w:p>
    <w:p w14:paraId="12D5E40A" w14:textId="77777777" w:rsidR="00C4166F" w:rsidRPr="004D028B" w:rsidRDefault="00C4166F" w:rsidP="00C4166F">
      <w:pPr>
        <w:pStyle w:val="ListParagraph"/>
        <w:rPr>
          <w:rFonts w:eastAsia="Times New Roman"/>
        </w:rPr>
      </w:pPr>
    </w:p>
    <w:p w14:paraId="5FB8E0A2" w14:textId="77777777" w:rsidR="00C4166F" w:rsidRPr="004D028B" w:rsidRDefault="00A35B3C" w:rsidP="00A35B3C">
      <w:pPr>
        <w:pStyle w:val="parrafos"/>
        <w:numPr>
          <w:ilvl w:val="0"/>
          <w:numId w:val="28"/>
        </w:numPr>
        <w:tabs>
          <w:tab w:val="left" w:pos="360"/>
        </w:tabs>
        <w:ind w:left="0" w:firstLine="0"/>
        <w:rPr>
          <w:rFonts w:eastAsia="Times New Roman"/>
          <w:lang w:val="en-US"/>
        </w:rPr>
      </w:pPr>
      <w:r w:rsidRPr="004D028B">
        <w:rPr>
          <w:rFonts w:eastAsia="Times New Roman"/>
          <w:lang w:val="en-US"/>
        </w:rPr>
        <w:t xml:space="preserve">It </w:t>
      </w:r>
      <w:r w:rsidR="00C4166F" w:rsidRPr="004D028B">
        <w:rPr>
          <w:rFonts w:eastAsia="Times New Roman"/>
          <w:lang w:val="en-US"/>
        </w:rPr>
        <w:t>contends</w:t>
      </w:r>
      <w:r w:rsidRPr="004D028B">
        <w:rPr>
          <w:rFonts w:eastAsia="Times New Roman"/>
          <w:lang w:val="en-US"/>
        </w:rPr>
        <w:t xml:space="preserve"> that the purpose of the measure was to prevent the sale or encumbrance of any personal or corporate asset, and would persist until the final decision was adopted, but it had to be renewed every five years at the request of the Central Bank of the Argentine Republic. It alleges, however, that in the present case the renewal requests were formulated in an extemporaneous manner contrary to the Civil and Commercial Procedure Code of the Nation, which establishes that the inhibition measures expire by right five years after they have been ordered and </w:t>
      </w:r>
      <w:r w:rsidR="00D14381" w:rsidRPr="004D028B">
        <w:rPr>
          <w:rFonts w:eastAsia="Times New Roman"/>
          <w:lang w:val="en-US"/>
        </w:rPr>
        <w:t>t</w:t>
      </w:r>
      <w:r w:rsidRPr="004D028B">
        <w:rPr>
          <w:rFonts w:eastAsia="Times New Roman"/>
          <w:lang w:val="en-US"/>
        </w:rPr>
        <w:t xml:space="preserve">hey can only be re-registered if requested before the deadline. Specifically, it indicates that the general property inhibition against the alleged victims was registered on October 7, 1987 </w:t>
      </w:r>
      <w:r w:rsidRPr="004D028B">
        <w:rPr>
          <w:rFonts w:eastAsia="Times New Roman"/>
          <w:lang w:val="en-US"/>
        </w:rPr>
        <w:lastRenderedPageBreak/>
        <w:t>with the Real Estate Registry of the Province of Buenos Aires, so that the first five years expired on October 7, 1992, however, the renewal of the measure was requested until April 22, 1994, and closed on November 10, 1994, that is, two years after the deadline for the corresponding re-registration had expired.</w:t>
      </w:r>
    </w:p>
    <w:p w14:paraId="528E9EE3" w14:textId="77777777" w:rsidR="00C4166F" w:rsidRDefault="00C4166F" w:rsidP="00C4166F">
      <w:pPr>
        <w:pStyle w:val="ListParagraph"/>
      </w:pPr>
    </w:p>
    <w:p w14:paraId="04C9599C" w14:textId="77777777" w:rsidR="00C4166F" w:rsidRPr="004D028B" w:rsidRDefault="00A35B3C" w:rsidP="006C3F2B">
      <w:pPr>
        <w:pStyle w:val="parrafos"/>
        <w:numPr>
          <w:ilvl w:val="0"/>
          <w:numId w:val="28"/>
        </w:numPr>
        <w:tabs>
          <w:tab w:val="left" w:pos="360"/>
        </w:tabs>
        <w:ind w:left="0" w:firstLine="0"/>
        <w:rPr>
          <w:rFonts w:eastAsia="Times New Roman"/>
          <w:lang w:val="en-US"/>
        </w:rPr>
      </w:pPr>
      <w:r w:rsidRPr="004D028B">
        <w:rPr>
          <w:lang w:val="en-US"/>
        </w:rPr>
        <w:t xml:space="preserve"> It argues that the restrictions imposed on the right to property should not be extended indefinitely, since this means an early fulfillment of a future sentence. It stands out that, in the case under study, the precautionary measure imposed lasted for more than 30 years.</w:t>
      </w:r>
    </w:p>
    <w:p w14:paraId="3B7F6AB9" w14:textId="77777777" w:rsidR="00C4166F" w:rsidRDefault="00C4166F" w:rsidP="00C4166F">
      <w:pPr>
        <w:pStyle w:val="ListParagraph"/>
      </w:pPr>
    </w:p>
    <w:p w14:paraId="342A76F1" w14:textId="77777777" w:rsidR="00C4166F" w:rsidRPr="004D028B" w:rsidRDefault="00A35B3C" w:rsidP="00764472">
      <w:pPr>
        <w:pStyle w:val="parrafos"/>
        <w:numPr>
          <w:ilvl w:val="0"/>
          <w:numId w:val="28"/>
        </w:numPr>
        <w:tabs>
          <w:tab w:val="left" w:pos="360"/>
        </w:tabs>
        <w:ind w:left="0" w:firstLine="0"/>
        <w:rPr>
          <w:rFonts w:eastAsia="Times New Roman"/>
          <w:lang w:val="en-US"/>
        </w:rPr>
      </w:pPr>
      <w:r w:rsidRPr="004D028B">
        <w:rPr>
          <w:lang w:val="en-US"/>
        </w:rPr>
        <w:t xml:space="preserve">The petitioning party points out that domestic law only allows the issuance of precautionary measures when the plaintiff's claim is credited, and there is a need to guarantee the creditor that the debtor will be in a position to face a possible patrimonial sentence, however, in the present case, the measure was imposed without an adequate analysis of the alleged participation of the alleged victims in the events that led to the failing state of the “Caja Mutual Yatay” in January 1981 in which they had no participation, because in </w:t>
      </w:r>
      <w:r w:rsidR="00D14381" w:rsidRPr="004D028B">
        <w:rPr>
          <w:lang w:val="en-US"/>
        </w:rPr>
        <w:t>in</w:t>
      </w:r>
      <w:r w:rsidRPr="004D028B">
        <w:rPr>
          <w:lang w:val="en-US"/>
        </w:rPr>
        <w:t xml:space="preserve"> the case of Mr. Kemelmajen, he separated from the entity on May 15, 1980, and in the case of Mr. Chaikin, he was never effectively linked, because he did not accept the position to which he was </w:t>
      </w:r>
      <w:r w:rsidR="00D14381" w:rsidRPr="004D028B">
        <w:rPr>
          <w:lang w:val="en-US"/>
        </w:rPr>
        <w:t>offered</w:t>
      </w:r>
      <w:r w:rsidRPr="004D028B">
        <w:rPr>
          <w:lang w:val="en-US"/>
        </w:rPr>
        <w:t>.</w:t>
      </w:r>
    </w:p>
    <w:p w14:paraId="5C21DBE8" w14:textId="77777777" w:rsidR="00C4166F" w:rsidRDefault="00C4166F" w:rsidP="00C4166F">
      <w:pPr>
        <w:pStyle w:val="ListParagraph"/>
      </w:pPr>
    </w:p>
    <w:p w14:paraId="5A529774" w14:textId="77777777" w:rsidR="00C4166F" w:rsidRPr="004D028B" w:rsidRDefault="00A35B3C" w:rsidP="009143DD">
      <w:pPr>
        <w:pStyle w:val="parrafos"/>
        <w:numPr>
          <w:ilvl w:val="0"/>
          <w:numId w:val="28"/>
        </w:numPr>
        <w:tabs>
          <w:tab w:val="left" w:pos="360"/>
        </w:tabs>
        <w:ind w:left="0" w:firstLine="0"/>
        <w:rPr>
          <w:rFonts w:eastAsia="Times New Roman"/>
          <w:lang w:val="en-US"/>
        </w:rPr>
      </w:pPr>
      <w:r w:rsidRPr="004D028B">
        <w:rPr>
          <w:lang w:val="en-US"/>
        </w:rPr>
        <w:t>It states that, within the framework of the process, a final judgment on the merits was never issued and it was filed due to procedural inactivity, so that the inhibition measure continues in force after more than 35 years.</w:t>
      </w:r>
    </w:p>
    <w:p w14:paraId="2D891256" w14:textId="77777777" w:rsidR="00C4166F" w:rsidRDefault="00C4166F" w:rsidP="00C4166F">
      <w:pPr>
        <w:pStyle w:val="ListParagraph"/>
      </w:pPr>
    </w:p>
    <w:p w14:paraId="68257479" w14:textId="451F3C21" w:rsidR="009143DD" w:rsidRPr="004D028B" w:rsidRDefault="00A35B3C" w:rsidP="009143DD">
      <w:pPr>
        <w:pStyle w:val="parrafos"/>
        <w:numPr>
          <w:ilvl w:val="0"/>
          <w:numId w:val="28"/>
        </w:numPr>
        <w:tabs>
          <w:tab w:val="left" w:pos="360"/>
        </w:tabs>
        <w:ind w:left="0" w:firstLine="0"/>
        <w:rPr>
          <w:rFonts w:eastAsia="Times New Roman"/>
          <w:lang w:val="en-US"/>
        </w:rPr>
      </w:pPr>
      <w:r w:rsidRPr="004D028B">
        <w:rPr>
          <w:lang w:val="en-US"/>
        </w:rPr>
        <w:t>Regarding the adverse effects of the precautionary measure of general inhibition of assets, it states that Mr. Rafael Chaikin was a partner of a tourism company "Bantur Viajes y Turismo SRL" that he</w:t>
      </w:r>
      <w:r w:rsidR="005D6BF2" w:rsidRPr="004D028B">
        <w:rPr>
          <w:lang w:val="en-US"/>
        </w:rPr>
        <w:t xml:space="preserve"> </w:t>
      </w:r>
      <w:r w:rsidRPr="004D028B">
        <w:rPr>
          <w:lang w:val="en-US"/>
        </w:rPr>
        <w:t xml:space="preserve">established on November 21, 1985, which was </w:t>
      </w:r>
      <w:r w:rsidR="005D6BF2" w:rsidRPr="004D028B">
        <w:rPr>
          <w:lang w:val="en-US"/>
        </w:rPr>
        <w:t>h</w:t>
      </w:r>
      <w:r w:rsidRPr="004D028B">
        <w:rPr>
          <w:lang w:val="en-US"/>
        </w:rPr>
        <w:t>is main source of income and the precautionary measure had the effect of blocking him commercially and financially, so he could not continue to carry out banking operations, which led to the closure of the company. He adds that, as a consequence of the above, he had to migrate to the United States with his two minor children, and seek a job as a construction worker, which he maintains to date.</w:t>
      </w:r>
    </w:p>
    <w:p w14:paraId="77FA076C" w14:textId="77777777" w:rsidR="00A35B3C" w:rsidRPr="004D028B" w:rsidRDefault="00A35B3C" w:rsidP="009143DD">
      <w:pPr>
        <w:pStyle w:val="parrafos"/>
        <w:tabs>
          <w:tab w:val="left" w:pos="360"/>
        </w:tabs>
        <w:rPr>
          <w:lang w:val="en-US"/>
        </w:rPr>
      </w:pPr>
    </w:p>
    <w:p w14:paraId="093BA9F2" w14:textId="0B83EE1F" w:rsidR="001D126C" w:rsidRPr="004D028B" w:rsidRDefault="008020D4" w:rsidP="00A35B3C">
      <w:pPr>
        <w:pStyle w:val="parrafos"/>
        <w:numPr>
          <w:ilvl w:val="0"/>
          <w:numId w:val="23"/>
        </w:numPr>
        <w:tabs>
          <w:tab w:val="left" w:pos="360"/>
        </w:tabs>
        <w:ind w:left="0" w:firstLine="0"/>
        <w:rPr>
          <w:lang w:val="en-US"/>
        </w:rPr>
      </w:pPr>
      <w:r w:rsidRPr="004D028B">
        <w:rPr>
          <w:lang w:val="en-US"/>
        </w:rPr>
        <w:t xml:space="preserve"> </w:t>
      </w:r>
      <w:r w:rsidR="00A35B3C" w:rsidRPr="004D028B">
        <w:rPr>
          <w:lang w:val="en-US"/>
        </w:rPr>
        <w:t xml:space="preserve">It argues that in the case of Mr. Kemelmajen, he was a partner of the real estate company called “Rabinovich Propiedades SH” which had real estate brokerage as a commercial activity, and the alleged victim was in charge of signing tickets, contracts, reservations and transfers of goodwill, tasks that </w:t>
      </w:r>
      <w:r w:rsidR="005D6BF2" w:rsidRPr="004D028B">
        <w:rPr>
          <w:lang w:val="en-US"/>
        </w:rPr>
        <w:t xml:space="preserve">he </w:t>
      </w:r>
      <w:r w:rsidR="00A35B3C" w:rsidRPr="004D028B">
        <w:rPr>
          <w:lang w:val="en-US"/>
        </w:rPr>
        <w:t xml:space="preserve">could not continue to perform due to the precautionary measure of general inhibition of assets. In addition to the above, he was a law student, a public accountant and had an accounting firm of which he was the sole owner, having accountants in his charge and more than fifty clients. He states that, as a consequence of the general property inhibition precautionary measure, he was unable to maintain his bank accounts in which his clients deposited money for the payment of taxes, which he made by writing his own checks. Likewise, </w:t>
      </w:r>
      <w:r w:rsidR="005D6BF2" w:rsidRPr="004D028B">
        <w:rPr>
          <w:lang w:val="en-US"/>
        </w:rPr>
        <w:t>he</w:t>
      </w:r>
      <w:r w:rsidR="00A35B3C" w:rsidRPr="004D028B">
        <w:rPr>
          <w:lang w:val="en-US"/>
        </w:rPr>
        <w:t xml:space="preserve"> was blocked from accessing loans and maintaining deposits for fear that these would be blocked. Due to all the above, he had to sell his study to the accountant who succeeded him and resigned his professional registration in November 1988 before the Professional Council.</w:t>
      </w:r>
    </w:p>
    <w:p w14:paraId="480344B9" w14:textId="77777777" w:rsidR="00A35B3C" w:rsidRPr="004D028B" w:rsidRDefault="00A35B3C" w:rsidP="00A35B3C">
      <w:pPr>
        <w:pStyle w:val="parrafos"/>
        <w:tabs>
          <w:tab w:val="left" w:pos="360"/>
        </w:tabs>
        <w:rPr>
          <w:lang w:val="en-US"/>
        </w:rPr>
      </w:pPr>
    </w:p>
    <w:p w14:paraId="6A295E28" w14:textId="409E12F5" w:rsidR="00A35B3C" w:rsidRPr="004D028B" w:rsidRDefault="00A35B3C" w:rsidP="00A35B3C">
      <w:pPr>
        <w:pStyle w:val="parrafos"/>
        <w:numPr>
          <w:ilvl w:val="0"/>
          <w:numId w:val="23"/>
        </w:numPr>
        <w:tabs>
          <w:tab w:val="left" w:pos="360"/>
        </w:tabs>
        <w:ind w:left="0" w:firstLine="0"/>
        <w:rPr>
          <w:lang w:val="en-US"/>
        </w:rPr>
      </w:pPr>
      <w:r w:rsidRPr="004D028B">
        <w:rPr>
          <w:lang w:val="en-US"/>
        </w:rPr>
        <w:t>It adds that, at the time of the precautionary measure, Mr. Kemelmajen had a four-year-old daughter and an unborn son and that the blockade measure on his economic life led him to settle in Asunción, Paraguay, where he established a jewelry store</w:t>
      </w:r>
      <w:r w:rsidR="005D6BF2" w:rsidRPr="004D028B">
        <w:rPr>
          <w:lang w:val="en-US"/>
        </w:rPr>
        <w:t xml:space="preserve">. </w:t>
      </w:r>
      <w:r w:rsidRPr="004D028B">
        <w:rPr>
          <w:lang w:val="en-US"/>
        </w:rPr>
        <w:t xml:space="preserve">However, the difficult adaptation to this environment caused his family to return to Buenos Aires and later </w:t>
      </w:r>
      <w:r w:rsidR="00F52711" w:rsidRPr="004D028B">
        <w:rPr>
          <w:lang w:val="en-US"/>
        </w:rPr>
        <w:t xml:space="preserve">led to his </w:t>
      </w:r>
      <w:r w:rsidRPr="004D028B">
        <w:rPr>
          <w:lang w:val="en-US"/>
        </w:rPr>
        <w:t>divorce.</w:t>
      </w:r>
    </w:p>
    <w:p w14:paraId="5780B588" w14:textId="77777777" w:rsidR="00A35B3C" w:rsidRDefault="00A35B3C" w:rsidP="00A35B3C">
      <w:pPr>
        <w:pStyle w:val="ListParagraph"/>
      </w:pPr>
    </w:p>
    <w:p w14:paraId="591A0D65" w14:textId="6BD5F1EF" w:rsidR="00A35B3C" w:rsidRPr="004D028B" w:rsidRDefault="00A35B3C" w:rsidP="00A35B3C">
      <w:pPr>
        <w:pStyle w:val="parrafos"/>
        <w:numPr>
          <w:ilvl w:val="0"/>
          <w:numId w:val="23"/>
        </w:numPr>
        <w:tabs>
          <w:tab w:val="left" w:pos="360"/>
        </w:tabs>
        <w:ind w:left="0" w:firstLine="0"/>
        <w:rPr>
          <w:lang w:val="en-US"/>
        </w:rPr>
      </w:pPr>
      <w:r w:rsidRPr="004D028B">
        <w:rPr>
          <w:lang w:val="en-US"/>
        </w:rPr>
        <w:t>Regarding the admissibility requirements, the petitioning party indicates that the present petition meets all the requirements established in Article 46 of the Convention. Specifically, with respect to the requirement of exhaustion of domestic remedies, the petitioning party indicates that the exception to said rule established in Article 46.2 of the American Convention operates in this case. It states that they did not file appeals against the precautionary measure of inhibition of assets or their renewals because they were never notified of the adoption of the measures, in contravention of the provisions of Article 198 of the CPCC, which provides that the precautionary measures must be notified to those affected within three days of being ordered or made effective. It refers that, in the particular case, they learned of them by virtue of the patrimonial and financial blockades imposed against them.</w:t>
      </w:r>
    </w:p>
    <w:p w14:paraId="26D3EE6F" w14:textId="77777777" w:rsidR="00A35B3C" w:rsidRDefault="00A35B3C" w:rsidP="00A35B3C">
      <w:pPr>
        <w:pStyle w:val="ListParagraph"/>
      </w:pPr>
    </w:p>
    <w:p w14:paraId="09AF581C" w14:textId="0B4A05DE" w:rsidR="00A35B3C" w:rsidRPr="004D028B" w:rsidRDefault="00A35B3C" w:rsidP="00A35B3C">
      <w:pPr>
        <w:pStyle w:val="parrafos"/>
        <w:numPr>
          <w:ilvl w:val="0"/>
          <w:numId w:val="23"/>
        </w:numPr>
        <w:tabs>
          <w:tab w:val="left" w:pos="360"/>
        </w:tabs>
        <w:ind w:left="0" w:firstLine="0"/>
        <w:rPr>
          <w:lang w:val="en-US"/>
        </w:rPr>
      </w:pPr>
      <w:r w:rsidRPr="004D028B">
        <w:rPr>
          <w:lang w:val="en-US"/>
        </w:rPr>
        <w:lastRenderedPageBreak/>
        <w:t>It states that the precautionary measure was subject to the appeal for revocation and appeal, but that due to the fact that they were not notified</w:t>
      </w:r>
      <w:r w:rsidR="00F52711" w:rsidRPr="004D028B">
        <w:rPr>
          <w:lang w:val="en-US"/>
        </w:rPr>
        <w:t>,</w:t>
      </w:r>
      <w:r w:rsidRPr="004D028B">
        <w:rPr>
          <w:lang w:val="en-US"/>
        </w:rPr>
        <w:t xml:space="preserve"> they could not appeal them. It adds that they could have challenged them on the occasion of the spontaneous notification, but as this appeal required a lawyer and a "complex, onerous and extended" procedure, they could not present it since their funds were blocked and they only had what was necessary for the satisfaction of their basic needs. They affirm that against this they tried the legal and gratuitous sponsorship of the State, but at that time it only existed for criminal and family cases and not for commercial matters.</w:t>
      </w:r>
    </w:p>
    <w:p w14:paraId="120E30DF" w14:textId="77777777" w:rsidR="00A35B3C" w:rsidRDefault="00A35B3C" w:rsidP="00A35B3C">
      <w:pPr>
        <w:pStyle w:val="ListParagraph"/>
      </w:pPr>
    </w:p>
    <w:p w14:paraId="07DF06A2" w14:textId="6FB591B8" w:rsidR="00A35B3C" w:rsidRPr="004D028B" w:rsidRDefault="00A35B3C" w:rsidP="00A35B3C">
      <w:pPr>
        <w:pStyle w:val="parrafos"/>
        <w:numPr>
          <w:ilvl w:val="0"/>
          <w:numId w:val="23"/>
        </w:numPr>
        <w:tabs>
          <w:tab w:val="left" w:pos="360"/>
        </w:tabs>
        <w:ind w:left="0" w:firstLine="0"/>
        <w:rPr>
          <w:lang w:val="en-US"/>
        </w:rPr>
      </w:pPr>
      <w:r w:rsidRPr="004D028B">
        <w:rPr>
          <w:lang w:val="en-US"/>
        </w:rPr>
        <w:t>It alleges that the State is right when it states that the alleged victims had the possibility of lifting the general inhibition on their assets if they surrendered assets worth three million five hundred thousand dollars. However, it states that this sum was not within the possibilities of any of the victims in this case, which is why, 30 years after the general property inhibition was imposed, it is still in force due to the impossibility of guaranteeing the removal</w:t>
      </w:r>
      <w:r w:rsidR="00F52711" w:rsidRPr="004D028B">
        <w:rPr>
          <w:lang w:val="en-US"/>
        </w:rPr>
        <w:t xml:space="preserve"> o</w:t>
      </w:r>
      <w:r w:rsidRPr="004D028B">
        <w:rPr>
          <w:lang w:val="en-US"/>
        </w:rPr>
        <w:t>f the same.</w:t>
      </w:r>
    </w:p>
    <w:p w14:paraId="65F3282A" w14:textId="77777777" w:rsidR="007E518C" w:rsidRDefault="007E518C" w:rsidP="007E518C">
      <w:pPr>
        <w:pStyle w:val="ListParagraph"/>
      </w:pPr>
    </w:p>
    <w:p w14:paraId="1F3F9992" w14:textId="28C61DA6" w:rsidR="007E518C" w:rsidRPr="004D028B" w:rsidRDefault="007E518C" w:rsidP="00A35B3C">
      <w:pPr>
        <w:pStyle w:val="parrafos"/>
        <w:numPr>
          <w:ilvl w:val="0"/>
          <w:numId w:val="23"/>
        </w:numPr>
        <w:tabs>
          <w:tab w:val="left" w:pos="360"/>
        </w:tabs>
        <w:ind w:left="0" w:firstLine="0"/>
        <w:rPr>
          <w:lang w:val="en-US"/>
        </w:rPr>
      </w:pPr>
      <w:r w:rsidRPr="004D028B">
        <w:rPr>
          <w:lang w:val="en-US"/>
        </w:rPr>
        <w:t xml:space="preserve">Regarding the law, it argues the violation of the rights to personal integrity of the alleged victims, taking into account that for more than 20 years they did not issue a final judgment in the framework of the incident process of general inhibition of property, by the action of the Central Bank of the Argentine Republic, who, in its capacity as exclusive liquidator of financial entities, prosecuted Messrs. Kemelmajen and Chaikin without their actions being </w:t>
      </w:r>
      <w:r w:rsidR="00F52711" w:rsidRPr="004D028B">
        <w:rPr>
          <w:lang w:val="en-US"/>
        </w:rPr>
        <w:t>linked to</w:t>
      </w:r>
      <w:r w:rsidRPr="004D028B">
        <w:rPr>
          <w:lang w:val="en-US"/>
        </w:rPr>
        <w:t xml:space="preserve"> the “failing state” of the Fund Mutual Yatay and all this had a moral and psychological impact on the alleged victims, in the terms indicated above.</w:t>
      </w:r>
    </w:p>
    <w:p w14:paraId="275870F1" w14:textId="77777777" w:rsidR="007E518C" w:rsidRDefault="007E518C" w:rsidP="007E518C">
      <w:pPr>
        <w:pStyle w:val="ListParagraph"/>
      </w:pPr>
    </w:p>
    <w:p w14:paraId="6EA76847" w14:textId="1CB8DB16" w:rsidR="007E518C" w:rsidRPr="004D028B" w:rsidRDefault="007E518C" w:rsidP="00A35B3C">
      <w:pPr>
        <w:pStyle w:val="parrafos"/>
        <w:numPr>
          <w:ilvl w:val="0"/>
          <w:numId w:val="23"/>
        </w:numPr>
        <w:tabs>
          <w:tab w:val="left" w:pos="360"/>
        </w:tabs>
        <w:ind w:left="0" w:firstLine="0"/>
        <w:rPr>
          <w:lang w:val="en-US"/>
        </w:rPr>
      </w:pPr>
      <w:r w:rsidRPr="004D028B">
        <w:rPr>
          <w:lang w:val="en-US"/>
        </w:rPr>
        <w:t>Likewise, it argues the violation of judicial guarantees and judicial protection, specifically the reasonable term, since the bankruptcy process lasted 37 years, and the precautionary measure of inhibition of assets lasted 33 years, which implies, in addition, an early sentence against the alleged victims, who were also not even linked to the financial entity at the time of the events.</w:t>
      </w:r>
    </w:p>
    <w:p w14:paraId="3FA354D7" w14:textId="77777777" w:rsidR="007E518C" w:rsidRDefault="007E518C" w:rsidP="007E518C">
      <w:pPr>
        <w:pStyle w:val="ListParagraph"/>
      </w:pPr>
    </w:p>
    <w:p w14:paraId="7AB9A95D" w14:textId="7A0B431D" w:rsidR="007E518C" w:rsidRPr="004D028B" w:rsidRDefault="007E518C" w:rsidP="00A35B3C">
      <w:pPr>
        <w:pStyle w:val="parrafos"/>
        <w:numPr>
          <w:ilvl w:val="0"/>
          <w:numId w:val="23"/>
        </w:numPr>
        <w:tabs>
          <w:tab w:val="left" w:pos="360"/>
        </w:tabs>
        <w:ind w:left="0" w:firstLine="0"/>
        <w:rPr>
          <w:lang w:val="en-US"/>
        </w:rPr>
      </w:pPr>
      <w:r w:rsidRPr="004D028B">
        <w:rPr>
          <w:lang w:val="en-US"/>
        </w:rPr>
        <w:t>Likewise, it sustains the violation of the right to private property, since the precautionary measure of general inhibition of selling and/or encumbering their assets for the sum of three million five hundred thousand dollars generated, without justification or legal support, that the alleged victims could not freely exercise their economic rights.</w:t>
      </w:r>
    </w:p>
    <w:p w14:paraId="52DB07CC" w14:textId="77777777" w:rsidR="007E518C" w:rsidRDefault="007E518C" w:rsidP="007E518C">
      <w:pPr>
        <w:pStyle w:val="ListParagraph"/>
      </w:pPr>
    </w:p>
    <w:p w14:paraId="063DF19D" w14:textId="7C9D8C1B" w:rsidR="00E005F8" w:rsidRPr="004D028B" w:rsidRDefault="007E518C" w:rsidP="004012E4">
      <w:pPr>
        <w:pStyle w:val="parrafos"/>
        <w:numPr>
          <w:ilvl w:val="0"/>
          <w:numId w:val="23"/>
        </w:numPr>
        <w:tabs>
          <w:tab w:val="left" w:pos="360"/>
        </w:tabs>
        <w:ind w:left="0" w:firstLine="0"/>
        <w:rPr>
          <w:lang w:val="en-US"/>
        </w:rPr>
      </w:pPr>
      <w:r w:rsidRPr="004D028B">
        <w:rPr>
          <w:lang w:val="en-US"/>
        </w:rPr>
        <w:t xml:space="preserve">Finally, it alleges the violation of the right to equality before the law, referring to the fact that in the present case the Bankruptcy Law was applied in a different manner, by holding the alleged victims responsible for the damages caused to creditors of the Mutual Fund despite the fact that </w:t>
      </w:r>
      <w:r w:rsidR="00F52711" w:rsidRPr="004D028B">
        <w:rPr>
          <w:lang w:val="en-US"/>
        </w:rPr>
        <w:t>t</w:t>
      </w:r>
      <w:r w:rsidRPr="004D028B">
        <w:rPr>
          <w:lang w:val="en-US"/>
        </w:rPr>
        <w:t>hey were not linked to said entity at the time the events that led to the criminal status occurred, which has been taken into account in other cases.</w:t>
      </w:r>
    </w:p>
    <w:p w14:paraId="116AC0EC" w14:textId="0B6C38EB" w:rsidR="00EE5933" w:rsidRPr="00C4166F" w:rsidRDefault="00C07874" w:rsidP="37DD07D2">
      <w:pPr>
        <w:pStyle w:val="Heading3"/>
        <w:numPr>
          <w:ilvl w:val="0"/>
          <w:numId w:val="30"/>
        </w:numPr>
        <w:rPr>
          <w:sz w:val="20"/>
          <w:szCs w:val="20"/>
          <w:lang w:val="es-ES"/>
        </w:rPr>
      </w:pPr>
      <w:bookmarkStart w:id="13" w:name="_Toc203992794"/>
      <w:r w:rsidRPr="37DD07D2">
        <w:rPr>
          <w:sz w:val="20"/>
          <w:szCs w:val="20"/>
          <w:lang w:val="es-ES"/>
        </w:rPr>
        <w:t>State</w:t>
      </w:r>
      <w:bookmarkEnd w:id="13"/>
    </w:p>
    <w:p w14:paraId="4777C9A4" w14:textId="77777777" w:rsidR="00AF7C72" w:rsidRPr="00D1632F" w:rsidRDefault="00AF7C72" w:rsidP="00091AA3">
      <w:pPr>
        <w:tabs>
          <w:tab w:val="left" w:pos="567"/>
          <w:tab w:val="left" w:pos="1440"/>
        </w:tabs>
        <w:spacing w:after="0" w:line="240" w:lineRule="auto"/>
        <w:jc w:val="both"/>
        <w:rPr>
          <w:rFonts w:ascii="Cambria" w:hAnsi="Cambria"/>
          <w:sz w:val="20"/>
          <w:szCs w:val="20"/>
          <w:lang w:val="es-VE"/>
        </w:rPr>
      </w:pPr>
    </w:p>
    <w:p w14:paraId="0BDEE752" w14:textId="0D46EB20" w:rsidR="0067726C" w:rsidRPr="004D028B" w:rsidRDefault="007E518C" w:rsidP="007E518C">
      <w:pPr>
        <w:pStyle w:val="parrafos"/>
        <w:numPr>
          <w:ilvl w:val="0"/>
          <w:numId w:val="23"/>
        </w:numPr>
        <w:tabs>
          <w:tab w:val="left" w:pos="360"/>
        </w:tabs>
        <w:ind w:left="0" w:firstLine="0"/>
        <w:rPr>
          <w:lang w:val="en-US"/>
        </w:rPr>
      </w:pPr>
      <w:r w:rsidRPr="004D028B">
        <w:rPr>
          <w:lang w:val="en-US"/>
        </w:rPr>
        <w:t xml:space="preserve">The State indicates that Héctor Leonardo Kemelmajen was part of the Board of Directors of the “Caja Mutual Yatay” as a titular member from April 21, 1979 to May 15, 1980 and, as regards Rafael Chaikin, specifies that </w:t>
      </w:r>
      <w:r w:rsidR="00CD432A" w:rsidRPr="004D028B">
        <w:rPr>
          <w:lang w:val="en-US"/>
        </w:rPr>
        <w:t>h</w:t>
      </w:r>
      <w:r w:rsidRPr="004D028B">
        <w:rPr>
          <w:lang w:val="en-US"/>
        </w:rPr>
        <w:t>e was also appointed as the titular member, however, he did not exercise the aforementioned position.</w:t>
      </w:r>
    </w:p>
    <w:p w14:paraId="42F81C6E" w14:textId="436779B5" w:rsidR="007E518C" w:rsidRPr="004D028B" w:rsidRDefault="007E518C" w:rsidP="007E518C">
      <w:pPr>
        <w:pStyle w:val="parrafos"/>
        <w:tabs>
          <w:tab w:val="left" w:pos="360"/>
        </w:tabs>
        <w:rPr>
          <w:lang w:val="en-US"/>
        </w:rPr>
      </w:pPr>
    </w:p>
    <w:p w14:paraId="73B4F51C" w14:textId="73B60D9E" w:rsidR="007E518C" w:rsidRPr="004D028B" w:rsidRDefault="007E518C" w:rsidP="007E518C">
      <w:pPr>
        <w:pStyle w:val="parrafos"/>
        <w:numPr>
          <w:ilvl w:val="0"/>
          <w:numId w:val="23"/>
        </w:numPr>
        <w:tabs>
          <w:tab w:val="left" w:pos="360"/>
        </w:tabs>
        <w:ind w:left="0" w:firstLine="0"/>
        <w:rPr>
          <w:lang w:val="en-US"/>
        </w:rPr>
      </w:pPr>
      <w:r w:rsidRPr="004D028B">
        <w:rPr>
          <w:lang w:val="en-US"/>
        </w:rPr>
        <w:t>It indicates that the Caja Mutual Yatay, in fact, filed a bankruptcy request in the eighties, which was confirmed through a judicial decision on May 18, 1983 in the framework of a bankruptcy proceeding carried out by the National Court of First Instance in Lo Comercial No 4, Secretariat No 7, which set February 25, 1982 as the date of cessation of payments.</w:t>
      </w:r>
    </w:p>
    <w:p w14:paraId="5CD37D85" w14:textId="77777777" w:rsidR="007E518C" w:rsidRDefault="007E518C" w:rsidP="007E518C">
      <w:pPr>
        <w:pStyle w:val="ListParagraph"/>
      </w:pPr>
    </w:p>
    <w:p w14:paraId="2A3560E8" w14:textId="08AB4CA6" w:rsidR="007E518C" w:rsidRPr="004D028B" w:rsidRDefault="007E518C" w:rsidP="007E518C">
      <w:pPr>
        <w:pStyle w:val="parrafos"/>
        <w:numPr>
          <w:ilvl w:val="0"/>
          <w:numId w:val="23"/>
        </w:numPr>
        <w:tabs>
          <w:tab w:val="left" w:pos="360"/>
        </w:tabs>
        <w:ind w:left="0" w:firstLine="0"/>
        <w:rPr>
          <w:lang w:val="en-US"/>
        </w:rPr>
      </w:pPr>
      <w:r w:rsidRPr="004D028B">
        <w:rPr>
          <w:lang w:val="en-US"/>
        </w:rPr>
        <w:t xml:space="preserve">It adds that by virtue of this, the </w:t>
      </w:r>
      <w:r w:rsidR="00CD432A" w:rsidRPr="004D028B">
        <w:rPr>
          <w:lang w:val="en-US"/>
        </w:rPr>
        <w:t>Bank of the</w:t>
      </w:r>
      <w:r w:rsidRPr="004D028B">
        <w:rPr>
          <w:lang w:val="en-US"/>
        </w:rPr>
        <w:t xml:space="preserve"> Argentin</w:t>
      </w:r>
      <w:r w:rsidR="00CD432A" w:rsidRPr="004D028B">
        <w:rPr>
          <w:lang w:val="en-US"/>
        </w:rPr>
        <w:t>e Republic</w:t>
      </w:r>
      <w:r w:rsidRPr="004D028B">
        <w:rPr>
          <w:lang w:val="en-US"/>
        </w:rPr>
        <w:t>, as trustee, promoted an incidental process of patrimonial liability and within the framework of the same, a precautionary measure of general inhibition of assets against the alleged victims was decreed, as of April 1987, which was registered in the Real Property Registry of the Province of Buenos Aires on October 7, 1987.</w:t>
      </w:r>
    </w:p>
    <w:p w14:paraId="73796498" w14:textId="77777777" w:rsidR="007E518C" w:rsidRDefault="007E518C" w:rsidP="007E518C">
      <w:pPr>
        <w:pStyle w:val="ListParagraph"/>
      </w:pPr>
    </w:p>
    <w:p w14:paraId="4D4537C5" w14:textId="54712025" w:rsidR="007E518C" w:rsidRPr="004D028B" w:rsidRDefault="007E518C" w:rsidP="007E518C">
      <w:pPr>
        <w:pStyle w:val="parrafos"/>
        <w:numPr>
          <w:ilvl w:val="0"/>
          <w:numId w:val="23"/>
        </w:numPr>
        <w:tabs>
          <w:tab w:val="left" w:pos="360"/>
        </w:tabs>
        <w:ind w:left="0" w:firstLine="0"/>
        <w:rPr>
          <w:lang w:val="en-US"/>
        </w:rPr>
      </w:pPr>
      <w:r w:rsidRPr="004D028B">
        <w:rPr>
          <w:lang w:val="en-US"/>
        </w:rPr>
        <w:lastRenderedPageBreak/>
        <w:t>The State declares that the imposition of this measure of general inhibition of assets was not uninterrupted. It specifies that the alleged victims were not inhibited in the city of Buenos Aires, for four years during the period between the January 3, 2000 to February 10, 2004. It states that they were not inhibited in the jurisdiction of the Province of Buenos Aires between December 16, 1999 and August 3, 2005.</w:t>
      </w:r>
    </w:p>
    <w:p w14:paraId="5F4FF4A4" w14:textId="77777777" w:rsidR="007E518C" w:rsidRDefault="007E518C" w:rsidP="007E518C">
      <w:pPr>
        <w:pStyle w:val="ListParagraph"/>
      </w:pPr>
    </w:p>
    <w:p w14:paraId="12EB134C" w14:textId="659F79A2" w:rsidR="007E518C" w:rsidRPr="004D028B" w:rsidRDefault="007E518C" w:rsidP="007E518C">
      <w:pPr>
        <w:pStyle w:val="parrafos"/>
        <w:numPr>
          <w:ilvl w:val="0"/>
          <w:numId w:val="23"/>
        </w:numPr>
        <w:tabs>
          <w:tab w:val="left" w:pos="360"/>
        </w:tabs>
        <w:ind w:left="0" w:firstLine="0"/>
        <w:rPr>
          <w:lang w:val="en-US"/>
        </w:rPr>
      </w:pPr>
      <w:r w:rsidRPr="004D028B">
        <w:rPr>
          <w:lang w:val="en-US"/>
        </w:rPr>
        <w:t>It indicates that, after this term in which they were not inhibited, the measures were re-registered in the city of Buenos Aires and in the Province of Buenos Aires in the years 2004 and 2005 respectively and once the term provided by law had expire</w:t>
      </w:r>
      <w:r w:rsidR="00CB63F9" w:rsidRPr="004D028B">
        <w:rPr>
          <w:lang w:val="en-US"/>
        </w:rPr>
        <w:t>d,</w:t>
      </w:r>
      <w:r w:rsidRPr="004D028B">
        <w:rPr>
          <w:lang w:val="en-US"/>
        </w:rPr>
        <w:t xml:space="preserve"> they expired.</w:t>
      </w:r>
    </w:p>
    <w:p w14:paraId="6CED9457" w14:textId="77777777" w:rsidR="007E518C" w:rsidRDefault="007E518C" w:rsidP="007E518C">
      <w:pPr>
        <w:pStyle w:val="ListParagraph"/>
      </w:pPr>
    </w:p>
    <w:p w14:paraId="00CA5362" w14:textId="583DBF59" w:rsidR="007E518C" w:rsidRPr="004D028B" w:rsidRDefault="007E518C" w:rsidP="007E518C">
      <w:pPr>
        <w:pStyle w:val="parrafos"/>
        <w:numPr>
          <w:ilvl w:val="0"/>
          <w:numId w:val="23"/>
        </w:numPr>
        <w:tabs>
          <w:tab w:val="left" w:pos="360"/>
        </w:tabs>
        <w:ind w:left="0" w:firstLine="0"/>
        <w:rPr>
          <w:lang w:val="en-US"/>
        </w:rPr>
      </w:pPr>
      <w:r w:rsidRPr="004D028B">
        <w:rPr>
          <w:lang w:val="en-US"/>
        </w:rPr>
        <w:t>It adds that on December 23, 2003, a first instance judgment was issued in which Messrs</w:t>
      </w:r>
      <w:r w:rsidR="00CB63F9" w:rsidRPr="004D028B">
        <w:rPr>
          <w:lang w:val="en-US"/>
        </w:rPr>
        <w:t>,</w:t>
      </w:r>
      <w:r w:rsidRPr="004D028B">
        <w:rPr>
          <w:lang w:val="en-US"/>
        </w:rPr>
        <w:t xml:space="preserve"> Chaikin</w:t>
      </w:r>
      <w:r w:rsidR="00CB63F9" w:rsidRPr="004D028B">
        <w:rPr>
          <w:lang w:val="en-US"/>
        </w:rPr>
        <w:t>,</w:t>
      </w:r>
      <w:r w:rsidRPr="004D028B">
        <w:rPr>
          <w:lang w:val="en-US"/>
        </w:rPr>
        <w:t xml:space="preserve"> and Kemelmajen, among others, were sentenced to pay the plaintiff the sum of $ 6,026,907.82 plus interest and costs . It states that such decision was appealed by the alleged victims and on March 1, 2004 the appeal was granted before the National Chamber of Commercial Appeals. It adds that as a result of this conviction, on March 7, 2012, the registration of a new general inhibition of assets was ordered at the request of the Central Bank of the Argentine Republic against the petitioning party, </w:t>
      </w:r>
      <w:r w:rsidR="00CB63F9" w:rsidRPr="004D028B">
        <w:rPr>
          <w:lang w:val="en-US"/>
        </w:rPr>
        <w:t>which</w:t>
      </w:r>
      <w:r w:rsidRPr="004D028B">
        <w:rPr>
          <w:lang w:val="en-US"/>
        </w:rPr>
        <w:t xml:space="preserve"> as of December 2012 could prove its effective work.</w:t>
      </w:r>
    </w:p>
    <w:p w14:paraId="782580CE" w14:textId="77777777" w:rsidR="007E518C" w:rsidRDefault="007E518C" w:rsidP="007E518C">
      <w:pPr>
        <w:pStyle w:val="ListParagraph"/>
      </w:pPr>
    </w:p>
    <w:p w14:paraId="20911028" w14:textId="61D742DB" w:rsidR="007E518C" w:rsidRPr="004D028B" w:rsidRDefault="007E518C" w:rsidP="007E518C">
      <w:pPr>
        <w:pStyle w:val="parrafos"/>
        <w:numPr>
          <w:ilvl w:val="0"/>
          <w:numId w:val="23"/>
        </w:numPr>
        <w:tabs>
          <w:tab w:val="left" w:pos="360"/>
        </w:tabs>
        <w:ind w:left="0" w:firstLine="0"/>
        <w:rPr>
          <w:lang w:val="en-US"/>
        </w:rPr>
      </w:pPr>
      <w:r w:rsidRPr="004D028B">
        <w:rPr>
          <w:lang w:val="en-US"/>
        </w:rPr>
        <w:t>The State emphasizes that the petitioning party's assertion that the State itself recognized that they were not linked to the Caja Mutual Yatay at the time the criminal status was decreed is not correct, since the only thing the State did is record the start and end date of the alleged victims' employment relationship with the Caja Mutual, which does not imply a consideration on the merits of the matter.</w:t>
      </w:r>
    </w:p>
    <w:p w14:paraId="3EA28951" w14:textId="77777777" w:rsidR="007E518C" w:rsidRDefault="007E518C" w:rsidP="007E518C">
      <w:pPr>
        <w:pStyle w:val="ListParagraph"/>
      </w:pPr>
    </w:p>
    <w:p w14:paraId="1A2CAAD6" w14:textId="75574E36" w:rsidR="007E518C" w:rsidRDefault="007E518C" w:rsidP="007E518C">
      <w:pPr>
        <w:pStyle w:val="parrafos"/>
        <w:numPr>
          <w:ilvl w:val="0"/>
          <w:numId w:val="23"/>
        </w:numPr>
        <w:tabs>
          <w:tab w:val="left" w:pos="360"/>
        </w:tabs>
        <w:ind w:left="0" w:firstLine="0"/>
      </w:pPr>
      <w:r w:rsidRPr="004D028B">
        <w:rPr>
          <w:lang w:val="en-US"/>
        </w:rPr>
        <w:t xml:space="preserve">Regarding the admissibility requirements, the State argues that the requirement of exhaustion of domestic remedies was not met. It states that, as the petitioning party acknowledges, they did not comply with making use of the remedies for reconsideration and appeal to challenge the precautionary measure imposed against them, even though they indicated that these measures had determining effects on their "employment and personal future." It states that the petitioning party relied on a vague reference to the lack of advice and the lack of financial resources without demonstrating how these factors constituted one of the specific exceptions to the rule of prior exhaustion of domestic remedies. </w:t>
      </w:r>
      <w:r w:rsidRPr="007E518C">
        <w:t>"</w:t>
      </w:r>
    </w:p>
    <w:p w14:paraId="5C4AB87C" w14:textId="77777777" w:rsidR="007E518C" w:rsidRDefault="007E518C" w:rsidP="007E518C">
      <w:pPr>
        <w:pStyle w:val="ListParagraph"/>
      </w:pPr>
    </w:p>
    <w:p w14:paraId="316073E4" w14:textId="73B2B467" w:rsidR="007E518C" w:rsidRPr="004D028B" w:rsidRDefault="007E518C" w:rsidP="007E518C">
      <w:pPr>
        <w:pStyle w:val="parrafos"/>
        <w:numPr>
          <w:ilvl w:val="0"/>
          <w:numId w:val="23"/>
        </w:numPr>
        <w:tabs>
          <w:tab w:val="left" w:pos="360"/>
        </w:tabs>
        <w:ind w:left="0" w:firstLine="0"/>
        <w:rPr>
          <w:lang w:val="en-US"/>
        </w:rPr>
      </w:pPr>
      <w:r w:rsidRPr="004D028B">
        <w:rPr>
          <w:lang w:val="en-US"/>
        </w:rPr>
        <w:t>It adds that the alleged victims also had the possibility of questioning the “procedure and / or legitimacy of the measure that ordered the general inhibition of their property” and requesting a substitute measure in accordance with the provisions of Article 203 of the CPCC. However, they did not make such a request either, so they cannot go to the IACHR and pretend to make allegations that were not made at the national headquarters.</w:t>
      </w:r>
    </w:p>
    <w:p w14:paraId="3B7A56B9" w14:textId="77777777" w:rsidR="007E518C" w:rsidRDefault="007E518C" w:rsidP="007E518C">
      <w:pPr>
        <w:pStyle w:val="ListParagraph"/>
      </w:pPr>
    </w:p>
    <w:p w14:paraId="29BFBB1F" w14:textId="37DB5DA5" w:rsidR="007E518C" w:rsidRPr="004D028B" w:rsidRDefault="007E518C" w:rsidP="007E518C">
      <w:pPr>
        <w:pStyle w:val="parrafos"/>
        <w:numPr>
          <w:ilvl w:val="0"/>
          <w:numId w:val="23"/>
        </w:numPr>
        <w:tabs>
          <w:tab w:val="left" w:pos="360"/>
        </w:tabs>
        <w:ind w:left="0" w:firstLine="0"/>
        <w:rPr>
          <w:lang w:val="en-US"/>
        </w:rPr>
      </w:pPr>
      <w:r w:rsidRPr="004D028B">
        <w:rPr>
          <w:lang w:val="en-US"/>
        </w:rPr>
        <w:t>On the other hand, the State argues that the alleged victims filed the petition 20 years after the cessation of payments from the financial entity for which the worked was decreed. It considers that the absence of reproach before the domestic jurisdiction goes against the principle of subsidiarity of international law, and therefore indicated that the “Commission cannot declare admissible a petition in which it is intended, as in the case, to resort to the to correct what was omitted, or to allege what was not alleged before the national courts”. Finally, it specified that the passage of 20 years since the cessation of payments was decreed to the presentation of the complaint before the IACHR exceeded the criterion of reasonableness.</w:t>
      </w:r>
    </w:p>
    <w:p w14:paraId="4F02530B" w14:textId="77777777" w:rsidR="007E518C" w:rsidRDefault="007E518C" w:rsidP="007E518C">
      <w:pPr>
        <w:pStyle w:val="ListParagraph"/>
      </w:pPr>
    </w:p>
    <w:p w14:paraId="00999EDD" w14:textId="371A5815" w:rsidR="004D028B" w:rsidRDefault="007E518C" w:rsidP="004D028B">
      <w:pPr>
        <w:pStyle w:val="parrafos"/>
        <w:numPr>
          <w:ilvl w:val="0"/>
          <w:numId w:val="23"/>
        </w:numPr>
        <w:tabs>
          <w:tab w:val="left" w:pos="360"/>
        </w:tabs>
        <w:ind w:left="0" w:firstLine="0"/>
        <w:rPr>
          <w:lang w:val="en-US"/>
        </w:rPr>
      </w:pPr>
      <w:r w:rsidRPr="004D028B">
        <w:rPr>
          <w:lang w:val="en-US"/>
        </w:rPr>
        <w:t>Regarding the law, the State limited itself to indicating that it was not necessary to refer to aspects related to the merits, taking into account the lack of exhaustion of domestic remedies provided for in Article 46.1. a) of the American Convention.</w:t>
      </w:r>
      <w:bookmarkStart w:id="14" w:name="_Toc34040653"/>
    </w:p>
    <w:p w14:paraId="08B1F96B" w14:textId="1DF12794" w:rsidR="004D028B" w:rsidRPr="004D028B" w:rsidRDefault="004D028B" w:rsidP="004D028B">
      <w:pPr>
        <w:pStyle w:val="parrafos"/>
        <w:tabs>
          <w:tab w:val="left" w:pos="360"/>
        </w:tabs>
        <w:rPr>
          <w:lang w:val="en-US"/>
        </w:rPr>
      </w:pPr>
    </w:p>
    <w:p w14:paraId="3554B509" w14:textId="0C35EB42" w:rsidR="004D028B" w:rsidRDefault="00C07874" w:rsidP="004D028B">
      <w:pPr>
        <w:pStyle w:val="Heading1"/>
        <w:numPr>
          <w:ilvl w:val="0"/>
          <w:numId w:val="2"/>
        </w:numPr>
        <w:tabs>
          <w:tab w:val="clear" w:pos="1440"/>
          <w:tab w:val="left" w:pos="360"/>
          <w:tab w:val="num" w:pos="540"/>
          <w:tab w:val="left" w:pos="1350"/>
        </w:tabs>
        <w:ind w:hanging="1440"/>
      </w:pPr>
      <w:bookmarkStart w:id="15" w:name="_Toc203992795"/>
      <w:bookmarkEnd w:id="14"/>
      <w:r w:rsidRPr="00C07874">
        <w:t>ADMISSIBILITY ANALYSIS</w:t>
      </w:r>
      <w:bookmarkEnd w:id="15"/>
    </w:p>
    <w:p w14:paraId="0B8EF52F" w14:textId="77777777" w:rsidR="004D028B" w:rsidRPr="004D028B" w:rsidRDefault="004D028B" w:rsidP="004D028B">
      <w:pPr>
        <w:rPr>
          <w:lang w:val="es-ES_tradnl"/>
        </w:rPr>
      </w:pPr>
    </w:p>
    <w:p w14:paraId="644D678B" w14:textId="5D57AD27" w:rsidR="004D028B" w:rsidRDefault="00C07874" w:rsidP="004D028B">
      <w:pPr>
        <w:pStyle w:val="Heading2"/>
        <w:numPr>
          <w:ilvl w:val="0"/>
          <w:numId w:val="32"/>
        </w:numPr>
        <w:rPr>
          <w:lang w:val="en-US"/>
        </w:rPr>
      </w:pPr>
      <w:bookmarkStart w:id="16" w:name="_Toc203992796"/>
      <w:r w:rsidRPr="004D028B">
        <w:rPr>
          <w:lang w:val="en-US"/>
        </w:rPr>
        <w:t>Jurisdiction, duplication of procedures and international res judicata</w:t>
      </w:r>
      <w:bookmarkEnd w:id="16"/>
    </w:p>
    <w:p w14:paraId="079A9367" w14:textId="77777777" w:rsidR="004D028B" w:rsidRPr="004D028B" w:rsidRDefault="004D028B" w:rsidP="004D028B">
      <w:pPr>
        <w:rPr>
          <w:lang w:val="en-US"/>
        </w:rPr>
      </w:pPr>
    </w:p>
    <w:tbl>
      <w:tblPr>
        <w:tblpPr w:leftFromText="180" w:rightFromText="180" w:vertAnchor="text" w:horzAnchor="margin" w:tblpX="108" w:tblpY="1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83"/>
        <w:gridCol w:w="5777"/>
      </w:tblGrid>
      <w:tr w:rsidR="006B2387" w:rsidRPr="00F76D66" w14:paraId="631ADC53" w14:textId="77777777" w:rsidTr="00CB7C3D">
        <w:trPr>
          <w:cantSplit/>
          <w:trHeight w:val="260"/>
        </w:trPr>
        <w:tc>
          <w:tcPr>
            <w:tcW w:w="3492" w:type="dxa"/>
            <w:tcBorders>
              <w:top w:val="single" w:sz="4" w:space="0" w:color="auto"/>
              <w:bottom w:val="single" w:sz="6" w:space="0" w:color="auto"/>
            </w:tcBorders>
            <w:shd w:val="clear" w:color="auto" w:fill="386294"/>
            <w:vAlign w:val="center"/>
          </w:tcPr>
          <w:p w14:paraId="74B3E82C" w14:textId="33474899" w:rsidR="006B2387" w:rsidRPr="008A213A" w:rsidRDefault="007E518C" w:rsidP="00CB7C3D">
            <w:pPr>
              <w:pBdr>
                <w:top w:val="nil"/>
                <w:left w:val="nil"/>
                <w:bottom w:val="nil"/>
                <w:right w:val="nil"/>
                <w:between w:val="nil"/>
                <w:bar w:val="nil"/>
              </w:pBdr>
              <w:jc w:val="center"/>
              <w:rPr>
                <w:rFonts w:ascii="Cambria" w:eastAsia="Arial Unicode MS" w:hAnsi="Cambria"/>
                <w:b/>
                <w:bCs/>
                <w:i/>
                <w:color w:val="FFFFFF"/>
                <w:sz w:val="20"/>
                <w:szCs w:val="20"/>
                <w:bdr w:val="nil"/>
              </w:rPr>
            </w:pPr>
            <w:r w:rsidRPr="007E518C">
              <w:rPr>
                <w:rFonts w:ascii="Cambria" w:eastAsia="Arial Unicode MS" w:hAnsi="Cambria"/>
                <w:b/>
                <w:bCs/>
                <w:color w:val="FFFFFF"/>
                <w:sz w:val="20"/>
                <w:szCs w:val="20"/>
                <w:bdr w:val="nil"/>
              </w:rPr>
              <w:lastRenderedPageBreak/>
              <w:t>On the personal competition;</w:t>
            </w:r>
          </w:p>
        </w:tc>
        <w:tc>
          <w:tcPr>
            <w:tcW w:w="5796" w:type="dxa"/>
            <w:shd w:val="clear" w:color="auto" w:fill="auto"/>
            <w:vAlign w:val="center"/>
          </w:tcPr>
          <w:p w14:paraId="34DED194" w14:textId="6EDE3C1C" w:rsidR="006B2387" w:rsidRPr="008A213A" w:rsidRDefault="007E518C" w:rsidP="00CB7C3D">
            <w:pPr>
              <w:pBdr>
                <w:top w:val="nil"/>
                <w:left w:val="nil"/>
                <w:bottom w:val="nil"/>
                <w:right w:val="nil"/>
                <w:between w:val="nil"/>
                <w:bar w:val="nil"/>
              </w:pBdr>
              <w:rPr>
                <w:rFonts w:ascii="Cambria" w:eastAsia="Arial Unicode MS" w:hAnsi="Cambria"/>
                <w:bCs/>
                <w:sz w:val="20"/>
                <w:szCs w:val="20"/>
                <w:bdr w:val="nil"/>
              </w:rPr>
            </w:pPr>
            <w:r>
              <w:rPr>
                <w:rFonts w:ascii="Cambria" w:eastAsia="Arial Unicode MS" w:hAnsi="Cambria"/>
                <w:bCs/>
                <w:sz w:val="20"/>
                <w:szCs w:val="20"/>
                <w:bdr w:val="nil"/>
              </w:rPr>
              <w:t>Yes</w:t>
            </w:r>
          </w:p>
        </w:tc>
      </w:tr>
      <w:tr w:rsidR="006B2387" w:rsidRPr="00F76D66" w14:paraId="07F898EF" w14:textId="77777777" w:rsidTr="00CB7C3D">
        <w:trPr>
          <w:cantSplit/>
          <w:trHeight w:val="300"/>
        </w:trPr>
        <w:tc>
          <w:tcPr>
            <w:tcW w:w="3492" w:type="dxa"/>
            <w:tcBorders>
              <w:top w:val="single" w:sz="6" w:space="0" w:color="auto"/>
              <w:bottom w:val="single" w:sz="6" w:space="0" w:color="auto"/>
            </w:tcBorders>
            <w:shd w:val="clear" w:color="auto" w:fill="386294"/>
            <w:vAlign w:val="center"/>
          </w:tcPr>
          <w:p w14:paraId="188359E2" w14:textId="11710F1A" w:rsidR="006B2387" w:rsidRPr="008A213A" w:rsidRDefault="007E518C" w:rsidP="00CB7C3D">
            <w:pPr>
              <w:pBdr>
                <w:top w:val="nil"/>
                <w:left w:val="nil"/>
                <w:bottom w:val="nil"/>
                <w:right w:val="nil"/>
                <w:between w:val="nil"/>
                <w:bar w:val="nil"/>
              </w:pBdr>
              <w:jc w:val="center"/>
              <w:rPr>
                <w:rFonts w:ascii="Cambria" w:eastAsia="Arial Unicode MS" w:hAnsi="Cambria"/>
                <w:b/>
                <w:bCs/>
                <w:color w:val="FFFFFF"/>
                <w:sz w:val="20"/>
                <w:szCs w:val="20"/>
                <w:bdr w:val="nil"/>
              </w:rPr>
            </w:pPr>
            <w:r w:rsidRPr="007E518C">
              <w:rPr>
                <w:rFonts w:ascii="Cambria" w:eastAsia="Arial Unicode MS" w:hAnsi="Cambria"/>
                <w:b/>
                <w:bCs/>
                <w:color w:val="FFFFFF"/>
                <w:sz w:val="20"/>
                <w:szCs w:val="20"/>
                <w:bdr w:val="nil"/>
              </w:rPr>
              <w:t>By reason of competition;</w:t>
            </w:r>
          </w:p>
        </w:tc>
        <w:tc>
          <w:tcPr>
            <w:tcW w:w="5796" w:type="dxa"/>
            <w:shd w:val="clear" w:color="auto" w:fill="auto"/>
            <w:vAlign w:val="center"/>
          </w:tcPr>
          <w:p w14:paraId="021C0501" w14:textId="60B3391D" w:rsidR="006B2387" w:rsidRPr="008A213A" w:rsidRDefault="007E518C" w:rsidP="00CB7C3D">
            <w:pPr>
              <w:pBdr>
                <w:top w:val="nil"/>
                <w:left w:val="nil"/>
                <w:bottom w:val="nil"/>
                <w:right w:val="nil"/>
                <w:between w:val="nil"/>
                <w:bar w:val="nil"/>
              </w:pBdr>
              <w:rPr>
                <w:rFonts w:ascii="Cambria" w:eastAsia="Arial Unicode MS" w:hAnsi="Cambria"/>
                <w:bCs/>
                <w:sz w:val="20"/>
                <w:szCs w:val="20"/>
                <w:bdr w:val="nil"/>
              </w:rPr>
            </w:pPr>
            <w:r>
              <w:rPr>
                <w:rFonts w:ascii="Cambria" w:eastAsia="Arial Unicode MS" w:hAnsi="Cambria"/>
                <w:bCs/>
                <w:sz w:val="20"/>
                <w:szCs w:val="20"/>
                <w:bdr w:val="nil"/>
              </w:rPr>
              <w:t>Yes</w:t>
            </w:r>
          </w:p>
        </w:tc>
      </w:tr>
      <w:tr w:rsidR="006B2387" w:rsidRPr="00F76D66" w14:paraId="15E8C5A0" w14:textId="77777777" w:rsidTr="00CB7C3D">
        <w:trPr>
          <w:cantSplit/>
          <w:trHeight w:val="282"/>
        </w:trPr>
        <w:tc>
          <w:tcPr>
            <w:tcW w:w="3492" w:type="dxa"/>
            <w:tcBorders>
              <w:top w:val="single" w:sz="6" w:space="0" w:color="auto"/>
              <w:bottom w:val="single" w:sz="6" w:space="0" w:color="auto"/>
            </w:tcBorders>
            <w:shd w:val="clear" w:color="auto" w:fill="386294"/>
            <w:vAlign w:val="center"/>
          </w:tcPr>
          <w:p w14:paraId="670FCAB0" w14:textId="44548DD9" w:rsidR="006B2387" w:rsidRPr="004D028B" w:rsidRDefault="007E518C" w:rsidP="00CB7C3D">
            <w:pPr>
              <w:pBdr>
                <w:top w:val="nil"/>
                <w:left w:val="nil"/>
                <w:bottom w:val="nil"/>
                <w:right w:val="nil"/>
                <w:between w:val="nil"/>
                <w:bar w:val="nil"/>
              </w:pBdr>
              <w:jc w:val="center"/>
              <w:rPr>
                <w:rFonts w:ascii="Cambria" w:eastAsia="Arial Unicode MS" w:hAnsi="Cambria"/>
                <w:b/>
                <w:bCs/>
                <w:color w:val="FFFFFF"/>
                <w:sz w:val="20"/>
                <w:szCs w:val="20"/>
                <w:bdr w:val="nil"/>
                <w:lang w:val="en-US"/>
              </w:rPr>
            </w:pPr>
            <w:r w:rsidRPr="004D028B">
              <w:rPr>
                <w:rFonts w:ascii="Cambria" w:eastAsia="Arial Unicode MS" w:hAnsi="Cambria"/>
                <w:b/>
                <w:bCs/>
                <w:color w:val="FFFFFF"/>
                <w:sz w:val="20"/>
                <w:szCs w:val="20"/>
                <w:bdr w:val="nil"/>
                <w:lang w:val="en-US"/>
              </w:rPr>
              <w:t>Competition in relation to time;</w:t>
            </w:r>
          </w:p>
        </w:tc>
        <w:tc>
          <w:tcPr>
            <w:tcW w:w="5796" w:type="dxa"/>
            <w:shd w:val="clear" w:color="auto" w:fill="auto"/>
            <w:vAlign w:val="center"/>
          </w:tcPr>
          <w:p w14:paraId="63DFA5CE" w14:textId="6D59E0C7" w:rsidR="006B2387" w:rsidRPr="008A213A" w:rsidRDefault="007E518C" w:rsidP="00CB7C3D">
            <w:pPr>
              <w:pBdr>
                <w:top w:val="nil"/>
                <w:left w:val="nil"/>
                <w:bottom w:val="nil"/>
                <w:right w:val="nil"/>
                <w:between w:val="nil"/>
                <w:bar w:val="nil"/>
              </w:pBdr>
              <w:rPr>
                <w:rFonts w:ascii="Cambria" w:eastAsia="Arial Unicode MS" w:hAnsi="Cambria"/>
                <w:bCs/>
                <w:sz w:val="20"/>
                <w:szCs w:val="20"/>
                <w:bdr w:val="nil"/>
              </w:rPr>
            </w:pPr>
            <w:r>
              <w:rPr>
                <w:rFonts w:ascii="Cambria" w:eastAsia="Arial Unicode MS" w:hAnsi="Cambria"/>
                <w:bCs/>
                <w:sz w:val="20"/>
                <w:szCs w:val="20"/>
                <w:bdr w:val="nil"/>
              </w:rPr>
              <w:t>Yes</w:t>
            </w:r>
          </w:p>
        </w:tc>
      </w:tr>
      <w:tr w:rsidR="006B2387" w:rsidRPr="00BD2027" w14:paraId="4C0F8F9C" w14:textId="77777777" w:rsidTr="00CB7C3D">
        <w:trPr>
          <w:cantSplit/>
          <w:trHeight w:val="516"/>
        </w:trPr>
        <w:tc>
          <w:tcPr>
            <w:tcW w:w="3492" w:type="dxa"/>
            <w:tcBorders>
              <w:top w:val="single" w:sz="6" w:space="0" w:color="auto"/>
              <w:bottom w:val="single" w:sz="6" w:space="0" w:color="auto"/>
            </w:tcBorders>
            <w:shd w:val="clear" w:color="auto" w:fill="386294"/>
            <w:vAlign w:val="center"/>
          </w:tcPr>
          <w:p w14:paraId="1DF25349" w14:textId="717BB988" w:rsidR="006B2387" w:rsidRPr="008A213A" w:rsidRDefault="007E518C" w:rsidP="00CB7C3D">
            <w:pPr>
              <w:pBdr>
                <w:top w:val="nil"/>
                <w:left w:val="nil"/>
                <w:bottom w:val="nil"/>
                <w:right w:val="nil"/>
                <w:between w:val="nil"/>
                <w:bar w:val="nil"/>
              </w:pBdr>
              <w:jc w:val="center"/>
              <w:rPr>
                <w:rFonts w:ascii="Cambria" w:eastAsia="Arial Unicode MS" w:hAnsi="Cambria"/>
                <w:b/>
                <w:bCs/>
                <w:color w:val="FFFFFF"/>
                <w:sz w:val="20"/>
                <w:szCs w:val="20"/>
                <w:bdr w:val="nil"/>
              </w:rPr>
            </w:pPr>
            <w:r w:rsidRPr="007E518C">
              <w:rPr>
                <w:rFonts w:ascii="Cambria" w:eastAsia="Arial Unicode MS" w:hAnsi="Cambria"/>
                <w:b/>
                <w:bCs/>
                <w:color w:val="FFFFFF"/>
                <w:sz w:val="20"/>
                <w:szCs w:val="20"/>
                <w:bdr w:val="nil"/>
              </w:rPr>
              <w:t>Competition aspect of matter;</w:t>
            </w:r>
          </w:p>
        </w:tc>
        <w:tc>
          <w:tcPr>
            <w:tcW w:w="5796" w:type="dxa"/>
            <w:shd w:val="clear" w:color="auto" w:fill="auto"/>
            <w:vAlign w:val="center"/>
          </w:tcPr>
          <w:p w14:paraId="7471C7EC" w14:textId="7A43EA94" w:rsidR="006B2387" w:rsidRPr="004D028B" w:rsidRDefault="00A67AA7" w:rsidP="00CB7C3D">
            <w:pPr>
              <w:pBdr>
                <w:top w:val="nil"/>
                <w:left w:val="nil"/>
                <w:bottom w:val="nil"/>
                <w:right w:val="nil"/>
                <w:between w:val="nil"/>
                <w:bar w:val="nil"/>
              </w:pBdr>
              <w:rPr>
                <w:rFonts w:ascii="Cambria" w:eastAsia="Arial Unicode MS" w:hAnsi="Cambria"/>
                <w:bCs/>
                <w:sz w:val="20"/>
                <w:szCs w:val="20"/>
                <w:bdr w:val="nil"/>
                <w:lang w:val="en-US"/>
              </w:rPr>
            </w:pPr>
            <w:r w:rsidRPr="004D028B">
              <w:rPr>
                <w:rFonts w:ascii="Cambria" w:eastAsia="Arial Unicode MS" w:hAnsi="Cambria"/>
                <w:bCs/>
                <w:sz w:val="20"/>
                <w:szCs w:val="20"/>
                <w:bdr w:val="nil"/>
                <w:lang w:val="en-US"/>
              </w:rPr>
              <w:t>Yes, American Convention (deposit of instrument made on September 5, 1984</w:t>
            </w:r>
          </w:p>
        </w:tc>
      </w:tr>
      <w:tr w:rsidR="006B2387" w:rsidRPr="009874CF" w14:paraId="1FCB8DA5" w14:textId="77777777" w:rsidTr="00CB7C3D">
        <w:trPr>
          <w:cantSplit/>
          <w:trHeight w:val="516"/>
        </w:trPr>
        <w:tc>
          <w:tcPr>
            <w:tcW w:w="3492" w:type="dxa"/>
            <w:tcBorders>
              <w:top w:val="single" w:sz="6" w:space="0" w:color="auto"/>
              <w:bottom w:val="single" w:sz="6" w:space="0" w:color="auto"/>
            </w:tcBorders>
            <w:shd w:val="clear" w:color="auto" w:fill="386294"/>
            <w:vAlign w:val="center"/>
          </w:tcPr>
          <w:p w14:paraId="0C053CA6" w14:textId="1E6A7844" w:rsidR="006B2387" w:rsidRPr="004D028B" w:rsidRDefault="007E518C" w:rsidP="00CB7C3D">
            <w:pPr>
              <w:pBdr>
                <w:top w:val="nil"/>
                <w:left w:val="nil"/>
                <w:bottom w:val="nil"/>
                <w:right w:val="nil"/>
                <w:between w:val="nil"/>
                <w:bar w:val="nil"/>
              </w:pBdr>
              <w:jc w:val="center"/>
              <w:rPr>
                <w:rFonts w:ascii="Cambria" w:eastAsia="Arial Unicode MS" w:hAnsi="Cambria"/>
                <w:b/>
                <w:bCs/>
                <w:color w:val="FFFFFF"/>
                <w:sz w:val="20"/>
                <w:szCs w:val="20"/>
                <w:bdr w:val="nil"/>
                <w:lang w:val="en-US"/>
              </w:rPr>
            </w:pPr>
            <w:r w:rsidRPr="004D028B">
              <w:rPr>
                <w:rFonts w:ascii="Cambria" w:eastAsia="Arial Unicode MS" w:hAnsi="Cambria"/>
                <w:b/>
                <w:bCs/>
                <w:color w:val="FFFFFF"/>
                <w:sz w:val="20"/>
                <w:szCs w:val="20"/>
                <w:bdr w:val="nil"/>
                <w:lang w:val="en-US"/>
              </w:rPr>
              <w:t>Duplication of procedures and international res judicata</w:t>
            </w:r>
          </w:p>
        </w:tc>
        <w:tc>
          <w:tcPr>
            <w:tcW w:w="5796" w:type="dxa"/>
            <w:shd w:val="clear" w:color="auto" w:fill="auto"/>
            <w:vAlign w:val="center"/>
          </w:tcPr>
          <w:p w14:paraId="3FF47223" w14:textId="77777777" w:rsidR="006B2387" w:rsidRPr="008A213A" w:rsidRDefault="006B2387" w:rsidP="00CB7C3D">
            <w:pPr>
              <w:pBdr>
                <w:top w:val="nil"/>
                <w:left w:val="nil"/>
                <w:bottom w:val="nil"/>
                <w:right w:val="nil"/>
                <w:between w:val="nil"/>
                <w:bar w:val="nil"/>
              </w:pBdr>
              <w:rPr>
                <w:rFonts w:ascii="Cambria" w:eastAsia="Arial Unicode MS" w:hAnsi="Cambria" w:cs="Univers"/>
                <w:color w:val="0D0D0D"/>
                <w:sz w:val="20"/>
                <w:szCs w:val="20"/>
                <w:bdr w:val="nil"/>
              </w:rPr>
            </w:pPr>
            <w:r w:rsidRPr="008A213A">
              <w:rPr>
                <w:rFonts w:ascii="Cambria" w:eastAsia="Arial Unicode MS" w:hAnsi="Cambria" w:cs="Univers"/>
                <w:color w:val="0D0D0D"/>
                <w:sz w:val="20"/>
                <w:szCs w:val="20"/>
                <w:bdr w:val="nil"/>
              </w:rPr>
              <w:t>No</w:t>
            </w:r>
          </w:p>
        </w:tc>
      </w:tr>
    </w:tbl>
    <w:p w14:paraId="5F05C01E" w14:textId="77777777" w:rsidR="006B2387" w:rsidRPr="0072550B" w:rsidRDefault="006B2387" w:rsidP="006B2387">
      <w:pPr>
        <w:pStyle w:val="parrafos"/>
        <w:tabs>
          <w:tab w:val="left" w:pos="360"/>
        </w:tabs>
        <w:rPr>
          <w:rFonts w:cs="Calibri"/>
        </w:rPr>
      </w:pPr>
    </w:p>
    <w:p w14:paraId="1E4E1663" w14:textId="6D82A29D" w:rsidR="006B2387" w:rsidRPr="00C4166F" w:rsidRDefault="00C07874" w:rsidP="37DD07D2">
      <w:pPr>
        <w:pStyle w:val="Heading2"/>
        <w:numPr>
          <w:ilvl w:val="0"/>
          <w:numId w:val="32"/>
        </w:numPr>
        <w:rPr>
          <w:lang w:val="es-ES"/>
        </w:rPr>
      </w:pPr>
      <w:bookmarkStart w:id="17" w:name="_Toc203992797"/>
      <w:r w:rsidRPr="37DD07D2">
        <w:rPr>
          <w:lang w:val="es-ES"/>
        </w:rPr>
        <w:t>Admissibility requirements</w:t>
      </w:r>
      <w:bookmarkEnd w:id="17"/>
    </w:p>
    <w:p w14:paraId="2B761EA6" w14:textId="77777777" w:rsidR="00C07874" w:rsidRPr="00C07874" w:rsidRDefault="00C07874" w:rsidP="00C07874">
      <w:pPr>
        <w:pStyle w:val="ListParagraph"/>
        <w:ind w:left="1440"/>
        <w:rPr>
          <w:sz w:val="20"/>
          <w:szCs w:val="20"/>
          <w:lang w:val="es-ES"/>
        </w:rPr>
      </w:pPr>
    </w:p>
    <w:p w14:paraId="34BD893D" w14:textId="1471AF9C" w:rsidR="006B2387" w:rsidRPr="00C4166F" w:rsidRDefault="00C07874" w:rsidP="00C4166F">
      <w:pPr>
        <w:pStyle w:val="Heading3"/>
        <w:numPr>
          <w:ilvl w:val="6"/>
          <w:numId w:val="2"/>
        </w:numPr>
        <w:rPr>
          <w:sz w:val="20"/>
          <w:szCs w:val="20"/>
        </w:rPr>
      </w:pPr>
      <w:bookmarkStart w:id="18" w:name="_Toc203992798"/>
      <w:r w:rsidRPr="00C4166F">
        <w:rPr>
          <w:sz w:val="20"/>
          <w:szCs w:val="20"/>
        </w:rPr>
        <w:t>Exhaustion of Domestic Remedies</w:t>
      </w:r>
      <w:bookmarkEnd w:id="18"/>
    </w:p>
    <w:p w14:paraId="6646C89E" w14:textId="77777777" w:rsidR="006B2387" w:rsidRPr="00146E46" w:rsidRDefault="006B2387" w:rsidP="006B2387">
      <w:pPr>
        <w:spacing w:after="0"/>
        <w:rPr>
          <w:lang w:val="en-US"/>
        </w:rPr>
      </w:pPr>
    </w:p>
    <w:p w14:paraId="2CFBADAD" w14:textId="6841C286" w:rsidR="006B2387" w:rsidRPr="004D028B" w:rsidRDefault="00FA27BF" w:rsidP="00FA27BF">
      <w:pPr>
        <w:pStyle w:val="parrafos"/>
        <w:numPr>
          <w:ilvl w:val="0"/>
          <w:numId w:val="23"/>
        </w:numPr>
        <w:tabs>
          <w:tab w:val="left" w:pos="360"/>
        </w:tabs>
        <w:ind w:left="0" w:firstLine="0"/>
        <w:rPr>
          <w:rFonts w:cs="Calibri"/>
          <w:lang w:val="en-US"/>
        </w:rPr>
      </w:pPr>
      <w:r w:rsidRPr="004D028B">
        <w:rPr>
          <w:rFonts w:cs="Calibri"/>
          <w:lang w:val="en-US"/>
        </w:rPr>
        <w:t>Article 46.1.a) of the American Convention provides that, in order for a complaint filed before the Inter-American Commission in accordance with Article 44 of the same instrument to be admissible, domestic remedies must have been tried and exhausted in accordance with the generally recognized principles of international law. This requirement is intended to allow national authorities to learn about the alleged violation of a protected right and, if appropriate, have the opportunity to resolve it before it is known to an international body.</w:t>
      </w:r>
    </w:p>
    <w:p w14:paraId="3DD07FBF" w14:textId="02C19FE7" w:rsidR="00FA27BF" w:rsidRPr="004D028B" w:rsidRDefault="00FA27BF" w:rsidP="00FA27BF">
      <w:pPr>
        <w:pStyle w:val="parrafos"/>
        <w:tabs>
          <w:tab w:val="left" w:pos="360"/>
        </w:tabs>
        <w:rPr>
          <w:rFonts w:cs="Calibri"/>
          <w:lang w:val="en-US"/>
        </w:rPr>
      </w:pPr>
    </w:p>
    <w:p w14:paraId="59200867" w14:textId="74E7B8DC" w:rsidR="00FA27BF" w:rsidRPr="004D028B" w:rsidRDefault="00FA27BF" w:rsidP="00FA27BF">
      <w:pPr>
        <w:pStyle w:val="parrafos"/>
        <w:numPr>
          <w:ilvl w:val="0"/>
          <w:numId w:val="23"/>
        </w:numPr>
        <w:tabs>
          <w:tab w:val="left" w:pos="360"/>
        </w:tabs>
        <w:ind w:left="0" w:firstLine="0"/>
        <w:rPr>
          <w:rFonts w:cs="Calibri"/>
          <w:lang w:val="en-US"/>
        </w:rPr>
      </w:pPr>
      <w:r w:rsidRPr="004D028B">
        <w:rPr>
          <w:rFonts w:cs="Calibri"/>
          <w:lang w:val="en-US"/>
        </w:rPr>
        <w:t xml:space="preserve">The Commission observes that the petition under analysis refers essentially to two aspects: first, to the alleged illegitimacy and illegality of the precautionary measure of general inhibition of property that was decreed against the alleged victims as of 1985, in the framework of the process of patrimonial responsibility promoted against </w:t>
      </w:r>
      <w:r w:rsidR="00F05E69" w:rsidRPr="004D028B">
        <w:rPr>
          <w:rFonts w:cs="Calibri"/>
          <w:lang w:val="en-US"/>
        </w:rPr>
        <w:t>them</w:t>
      </w:r>
      <w:r w:rsidRPr="004D028B">
        <w:rPr>
          <w:rFonts w:cs="Calibri"/>
          <w:lang w:val="en-US"/>
        </w:rPr>
        <w:t>. Second, the petitioning party argues the unreasonable duration of the main proceedings. In this regard, it refers that the bankruptcy process lasted 37 years, and the precautionary measure of inhibition of assets lasted for 33 years.</w:t>
      </w:r>
    </w:p>
    <w:p w14:paraId="68BCD3C8" w14:textId="77777777" w:rsidR="00FA27BF" w:rsidRPr="004D028B" w:rsidRDefault="00FA27BF" w:rsidP="00FA27BF">
      <w:pPr>
        <w:pStyle w:val="ListParagraph"/>
        <w:rPr>
          <w:rFonts w:cs="Calibri"/>
        </w:rPr>
      </w:pPr>
    </w:p>
    <w:p w14:paraId="696BD44F" w14:textId="64E18FA1" w:rsidR="00FA27BF" w:rsidRPr="004D028B" w:rsidRDefault="00FA27BF" w:rsidP="00FA27BF">
      <w:pPr>
        <w:pStyle w:val="parrafos"/>
        <w:numPr>
          <w:ilvl w:val="0"/>
          <w:numId w:val="23"/>
        </w:numPr>
        <w:tabs>
          <w:tab w:val="left" w:pos="360"/>
        </w:tabs>
        <w:ind w:left="0" w:firstLine="0"/>
        <w:rPr>
          <w:rFonts w:cs="Calibri"/>
          <w:lang w:val="en-US"/>
        </w:rPr>
      </w:pPr>
      <w:r w:rsidRPr="004D028B">
        <w:rPr>
          <w:rFonts w:cs="Calibri"/>
          <w:lang w:val="en-US"/>
        </w:rPr>
        <w:t xml:space="preserve">Regarding the first aspect, the Commission stresses that the petitioning party argues that it did not file any recourse to challenge the precautionary measure of inhibition and that in the present case the exception to the rule of exhaustion of domestic remedies provided in Article 46.2 of the American Convention for two fundamental reasons: 1) they were never notified of it and they became aware of the measure </w:t>
      </w:r>
      <w:r w:rsidR="00F05E69" w:rsidRPr="004D028B">
        <w:rPr>
          <w:rFonts w:cs="Calibri"/>
          <w:lang w:val="en-US"/>
        </w:rPr>
        <w:t>after it</w:t>
      </w:r>
      <w:r w:rsidRPr="004D028B">
        <w:rPr>
          <w:rFonts w:cs="Calibri"/>
          <w:lang w:val="en-US"/>
        </w:rPr>
        <w:t xml:space="preserve"> was decreed; 2) although upon learning they could have filed appeals for revocation and appeal, this appeal required a lawyer and it was a complex, expensive and lengthy procedure, and they did not have the means taking into account that their funds were blocked.</w:t>
      </w:r>
    </w:p>
    <w:p w14:paraId="29ED5E2D" w14:textId="77777777" w:rsidR="00FA27BF" w:rsidRPr="004D028B" w:rsidRDefault="00FA27BF" w:rsidP="00FA27BF">
      <w:pPr>
        <w:pStyle w:val="ListParagraph"/>
        <w:rPr>
          <w:rFonts w:cs="Calibri"/>
        </w:rPr>
      </w:pPr>
    </w:p>
    <w:p w14:paraId="2E5910FC" w14:textId="65331470" w:rsidR="00FA27BF" w:rsidRPr="004D028B" w:rsidRDefault="00FA27BF" w:rsidP="00FA27BF">
      <w:pPr>
        <w:pStyle w:val="parrafos"/>
        <w:numPr>
          <w:ilvl w:val="0"/>
          <w:numId w:val="23"/>
        </w:numPr>
        <w:tabs>
          <w:tab w:val="left" w:pos="360"/>
        </w:tabs>
        <w:ind w:left="0" w:firstLine="0"/>
        <w:rPr>
          <w:rFonts w:cs="Calibri"/>
          <w:lang w:val="en-US"/>
        </w:rPr>
      </w:pPr>
      <w:r w:rsidRPr="004D028B">
        <w:rPr>
          <w:rFonts w:cs="Calibri"/>
          <w:lang w:val="en-US"/>
        </w:rPr>
        <w:t xml:space="preserve">The State alleges the lack of exhaustion of domestic remedies, indicating that the petitioning party should file remedies for reconsideration and appeal against the precautionary measure imposed, and that its “vague reference” to the lack of advice and lack of economic resources without </w:t>
      </w:r>
      <w:r w:rsidR="00F05E69" w:rsidRPr="004D028B">
        <w:rPr>
          <w:rFonts w:cs="Calibri"/>
          <w:lang w:val="en-US"/>
        </w:rPr>
        <w:t>d</w:t>
      </w:r>
      <w:r w:rsidRPr="004D028B">
        <w:rPr>
          <w:rFonts w:cs="Calibri"/>
          <w:lang w:val="en-US"/>
        </w:rPr>
        <w:t>emonstrating how these two factors prevented compliance with the rule of exhaustion of domestic remedies cannot constitute the exception provided in Article 46.1 of the American Convention.</w:t>
      </w:r>
    </w:p>
    <w:p w14:paraId="66398E72" w14:textId="77777777" w:rsidR="00FA27BF" w:rsidRPr="004D028B" w:rsidRDefault="00FA27BF" w:rsidP="00FA27BF">
      <w:pPr>
        <w:pStyle w:val="ListParagraph"/>
        <w:rPr>
          <w:rFonts w:cs="Calibri"/>
        </w:rPr>
      </w:pPr>
    </w:p>
    <w:p w14:paraId="4D4A3778" w14:textId="7A915445" w:rsidR="006B2387" w:rsidRPr="004D028B" w:rsidRDefault="00FA27BF" w:rsidP="00FA27BF">
      <w:pPr>
        <w:pStyle w:val="parrafos"/>
        <w:numPr>
          <w:ilvl w:val="0"/>
          <w:numId w:val="23"/>
        </w:numPr>
        <w:tabs>
          <w:tab w:val="left" w:pos="360"/>
        </w:tabs>
        <w:ind w:left="0" w:firstLine="0"/>
        <w:rPr>
          <w:rFonts w:cs="Calibri"/>
          <w:lang w:val="en-US"/>
        </w:rPr>
      </w:pPr>
      <w:r w:rsidRPr="004D028B">
        <w:rPr>
          <w:rFonts w:cs="Calibri"/>
          <w:lang w:val="en-US"/>
        </w:rPr>
        <w:t xml:space="preserve">Regarding the argument raised by the petitioning party regarding the lack of financial resources to challenge the inhibition measure, the IACHR emphasizes that this aspect can be taken into account by the Commission, on a case-by-case basis, to analyze compliance with the requirement of exhaustion of domestic remedies, however the petitioner limited itself to making a generic mention without detailing the particular circumstances surrounding </w:t>
      </w:r>
      <w:r w:rsidR="00F05E69" w:rsidRPr="004D028B">
        <w:rPr>
          <w:rFonts w:cs="Calibri"/>
          <w:lang w:val="en-US"/>
        </w:rPr>
        <w:t>his</w:t>
      </w:r>
      <w:r w:rsidRPr="004D028B">
        <w:rPr>
          <w:rFonts w:cs="Calibri"/>
          <w:lang w:val="en-US"/>
        </w:rPr>
        <w:t xml:space="preserve"> situation, the relationship between such circumstances and the alleged impossibility of exhausting domestic remedies. On the other hand, regarding the lack of legal assistance, the petitioners' argument is also generic in nature, without detailing the efforts made to obtain some type of free </w:t>
      </w:r>
      <w:r w:rsidRPr="004D028B">
        <w:rPr>
          <w:rFonts w:cs="Calibri"/>
          <w:lang w:val="en-US"/>
        </w:rPr>
        <w:lastRenderedPageBreak/>
        <w:t>legal assistance.</w:t>
      </w:r>
      <w:r w:rsidR="006B2387" w:rsidRPr="00FF2957">
        <w:rPr>
          <w:rStyle w:val="FootnoteReference"/>
          <w:rFonts w:asciiTheme="minorHAnsi" w:hAnsiTheme="minorHAnsi"/>
          <w:sz w:val="20"/>
          <w:lang w:val="es-CO"/>
        </w:rPr>
        <w:footnoteReference w:id="2"/>
      </w:r>
      <w:r w:rsidRPr="004D028B">
        <w:rPr>
          <w:lang w:val="en-US"/>
        </w:rPr>
        <w:t xml:space="preserve"> The Commission recalls that once a State party has proven the availability of domestic remedies for the exercise of a right protected by the Convention, the burden of proof shifts to the claimant, who must demonstrate that the exceptions contemplated in Article 46.2 are applicable</w:t>
      </w:r>
      <w:r w:rsidR="006B2387" w:rsidRPr="00AE60CB">
        <w:rPr>
          <w:rStyle w:val="FootnoteReference"/>
          <w:rFonts w:asciiTheme="minorHAnsi" w:hAnsiTheme="minorHAnsi"/>
          <w:sz w:val="20"/>
          <w:lang w:val="es-CO"/>
        </w:rPr>
        <w:footnoteReference w:id="3"/>
      </w:r>
      <w:r w:rsidR="006B2387" w:rsidRPr="004D028B">
        <w:rPr>
          <w:lang w:val="en-US"/>
        </w:rPr>
        <w:t xml:space="preserve">. </w:t>
      </w:r>
    </w:p>
    <w:p w14:paraId="55E5C7A4" w14:textId="77777777" w:rsidR="00FA27BF" w:rsidRPr="004D028B" w:rsidRDefault="00FA27BF" w:rsidP="00FA27BF">
      <w:pPr>
        <w:pStyle w:val="ListParagraph"/>
        <w:rPr>
          <w:rFonts w:cs="Calibri"/>
        </w:rPr>
      </w:pPr>
    </w:p>
    <w:p w14:paraId="29BD1545" w14:textId="593E32BD" w:rsidR="00FA27BF" w:rsidRPr="004D028B" w:rsidRDefault="00FA27BF" w:rsidP="00FA27BF">
      <w:pPr>
        <w:pStyle w:val="parrafos"/>
        <w:numPr>
          <w:ilvl w:val="0"/>
          <w:numId w:val="23"/>
        </w:numPr>
        <w:tabs>
          <w:tab w:val="left" w:pos="360"/>
        </w:tabs>
        <w:ind w:left="0" w:firstLine="0"/>
        <w:rPr>
          <w:rFonts w:cs="Calibri"/>
          <w:lang w:val="en-US"/>
        </w:rPr>
      </w:pPr>
      <w:r w:rsidRPr="004D028B">
        <w:rPr>
          <w:rFonts w:cs="Calibri"/>
          <w:lang w:val="en-US"/>
        </w:rPr>
        <w:t>By virtue of the foregoing, the Commission considers that the part of the claim related to the arbitrary imposition of the precautionary measure becomes inadmissible due to failure to exhaust domestic remedies contemplated in Article 46.1 a) of the American Convention.</w:t>
      </w:r>
    </w:p>
    <w:p w14:paraId="64A08D07" w14:textId="77777777" w:rsidR="00FA27BF" w:rsidRPr="004D028B" w:rsidRDefault="00FA27BF" w:rsidP="00FA27BF">
      <w:pPr>
        <w:pStyle w:val="ListParagraph"/>
        <w:rPr>
          <w:rFonts w:cs="Calibri"/>
        </w:rPr>
      </w:pPr>
    </w:p>
    <w:p w14:paraId="422D72F9" w14:textId="3B6115E8" w:rsidR="00FA27BF" w:rsidRPr="004D028B" w:rsidRDefault="00FA27BF" w:rsidP="00FA27BF">
      <w:pPr>
        <w:pStyle w:val="parrafos"/>
        <w:numPr>
          <w:ilvl w:val="0"/>
          <w:numId w:val="23"/>
        </w:numPr>
        <w:tabs>
          <w:tab w:val="left" w:pos="360"/>
        </w:tabs>
        <w:ind w:left="0" w:firstLine="0"/>
        <w:rPr>
          <w:rFonts w:cs="Calibri"/>
          <w:lang w:val="en-US"/>
        </w:rPr>
      </w:pPr>
      <w:r w:rsidRPr="004D028B">
        <w:rPr>
          <w:rFonts w:cs="Calibri"/>
          <w:lang w:val="en-US"/>
        </w:rPr>
        <w:t>On the other hand, regarding the claim related to the unreasonable delay in the main proceedings, as well as the precautionary measure of general inhibition of property, the Commission emphasizes that the process ended while the petition was pending before the IACHR. In this regard, the Commission emphasizes that the petition was presented on July 2, 2005. At that time, the National Court of First Instance had issued the first instance decision of the process, which was challenged by the alleged victims. On July 7, 2008, the filing of the proceedings was determined and finally on March 7, 2012, the National Court of First Instance in Commercial Matters no. 4 ordered a new injunction of property against the alleged victims by virtue of the sentence passed against them.</w:t>
      </w:r>
    </w:p>
    <w:p w14:paraId="0435F24F" w14:textId="77777777" w:rsidR="00FA27BF" w:rsidRPr="004D028B" w:rsidRDefault="00FA27BF" w:rsidP="00FA27BF">
      <w:pPr>
        <w:pStyle w:val="ListParagraph"/>
        <w:rPr>
          <w:rFonts w:cs="Calibri"/>
        </w:rPr>
      </w:pPr>
    </w:p>
    <w:p w14:paraId="3821E57F" w14:textId="5477692B" w:rsidR="00817F35" w:rsidRPr="004D028B" w:rsidRDefault="00FA27BF" w:rsidP="00FA27BF">
      <w:pPr>
        <w:pStyle w:val="parrafos"/>
        <w:numPr>
          <w:ilvl w:val="0"/>
          <w:numId w:val="23"/>
        </w:numPr>
        <w:tabs>
          <w:tab w:val="left" w:pos="360"/>
        </w:tabs>
        <w:ind w:left="0" w:firstLine="0"/>
        <w:rPr>
          <w:rFonts w:cs="Calibri"/>
          <w:lang w:val="en-US"/>
        </w:rPr>
      </w:pPr>
      <w:r w:rsidRPr="004D028B">
        <w:rPr>
          <w:rFonts w:cs="Calibri"/>
          <w:lang w:val="en-US"/>
        </w:rPr>
        <w:t>The Commission has upheld for decades a criterion by virtue of which “in situations in which the evolution of the facts initially presented at the domestic level implies a change in compliance or non-compliance with the admissibility requirements, the Commission has indicated that its analysis must be made from the current situation at the time of the admissibility pronouncement</w:t>
      </w:r>
      <w:r w:rsidR="00F941E9" w:rsidRPr="004D028B">
        <w:rPr>
          <w:rFonts w:cs="Arial"/>
          <w:lang w:val="en-US" w:bidi="en-US"/>
        </w:rPr>
        <w:t>”</w:t>
      </w:r>
      <w:r w:rsidR="00F941E9" w:rsidRPr="00F941E9">
        <w:rPr>
          <w:rStyle w:val="FootnoteReference"/>
          <w:rFonts w:asciiTheme="minorHAnsi" w:hAnsiTheme="minorHAnsi" w:cs="Arial"/>
          <w:sz w:val="20"/>
          <w:lang w:bidi="en-US"/>
        </w:rPr>
        <w:footnoteReference w:id="4"/>
      </w:r>
      <w:r w:rsidR="00F941E9" w:rsidRPr="004D028B">
        <w:rPr>
          <w:rFonts w:cs="Arial"/>
          <w:lang w:val="en-US" w:bidi="en-US"/>
        </w:rPr>
        <w:t xml:space="preserve">. </w:t>
      </w:r>
    </w:p>
    <w:p w14:paraId="2363242F" w14:textId="77777777" w:rsidR="00FA27BF" w:rsidRPr="004D028B" w:rsidRDefault="00FA27BF" w:rsidP="00FA27BF">
      <w:pPr>
        <w:pStyle w:val="ListParagraph"/>
        <w:rPr>
          <w:rFonts w:cs="Calibri"/>
        </w:rPr>
      </w:pPr>
    </w:p>
    <w:p w14:paraId="69E2899A" w14:textId="5928957C" w:rsidR="00164465" w:rsidRPr="004D028B" w:rsidRDefault="00F05E69" w:rsidP="00164465">
      <w:pPr>
        <w:pStyle w:val="parrafos"/>
        <w:numPr>
          <w:ilvl w:val="0"/>
          <w:numId w:val="23"/>
        </w:numPr>
        <w:tabs>
          <w:tab w:val="left" w:pos="360"/>
        </w:tabs>
        <w:ind w:left="0" w:firstLine="0"/>
        <w:rPr>
          <w:rFonts w:cs="Calibri"/>
          <w:lang w:val="en-US"/>
        </w:rPr>
      </w:pPr>
      <w:r w:rsidRPr="004D028B">
        <w:rPr>
          <w:rFonts w:cs="Calibri"/>
          <w:lang w:val="en-US"/>
        </w:rPr>
        <w:t>I</w:t>
      </w:r>
      <w:r w:rsidR="00FA27BF" w:rsidRPr="004D028B">
        <w:rPr>
          <w:rFonts w:cs="Calibri"/>
          <w:lang w:val="en-US"/>
        </w:rPr>
        <w:t>n view of these considerations, the Commission concludes that in relation to the process for patrimonial liability in the instant case, domestic remedies have been filed and exhausted in accordance with Article 46.1.a of the American Convention.</w:t>
      </w:r>
    </w:p>
    <w:p w14:paraId="2D63D3F4" w14:textId="4414D2D4" w:rsidR="00164465" w:rsidRPr="00164465" w:rsidRDefault="00C07874" w:rsidP="00C4166F">
      <w:pPr>
        <w:pStyle w:val="Heading3"/>
        <w:numPr>
          <w:ilvl w:val="6"/>
          <w:numId w:val="2"/>
        </w:numPr>
        <w:rPr>
          <w:iCs/>
          <w:sz w:val="20"/>
          <w:szCs w:val="20"/>
          <w:lang w:val="es-ES"/>
        </w:rPr>
      </w:pPr>
      <w:bookmarkStart w:id="19" w:name="_Toc203992799"/>
      <w:r w:rsidRPr="00C4166F">
        <w:rPr>
          <w:sz w:val="20"/>
          <w:szCs w:val="20"/>
        </w:rPr>
        <w:t>Deadline</w:t>
      </w:r>
      <w:r>
        <w:rPr>
          <w:iCs/>
          <w:sz w:val="20"/>
          <w:szCs w:val="20"/>
          <w:lang w:val="es-ES"/>
        </w:rPr>
        <w:t xml:space="preserve"> for Submitting the Petition</w:t>
      </w:r>
      <w:bookmarkEnd w:id="19"/>
    </w:p>
    <w:p w14:paraId="62E14B77" w14:textId="4B88426E" w:rsidR="00817F35" w:rsidRPr="00817F35" w:rsidRDefault="00817F35" w:rsidP="00817F35">
      <w:pPr>
        <w:pStyle w:val="parrafos"/>
        <w:tabs>
          <w:tab w:val="left" w:pos="360"/>
        </w:tabs>
        <w:rPr>
          <w:rFonts w:cs="Arial"/>
          <w:lang w:val="es-ES_tradnl"/>
        </w:rPr>
      </w:pPr>
    </w:p>
    <w:p w14:paraId="0EC1C311" w14:textId="13601EC5" w:rsidR="00DF77DB" w:rsidRPr="004D028B" w:rsidRDefault="00FA27BF" w:rsidP="00DF77DB">
      <w:pPr>
        <w:pStyle w:val="parrafos"/>
        <w:numPr>
          <w:ilvl w:val="0"/>
          <w:numId w:val="23"/>
        </w:numPr>
        <w:tabs>
          <w:tab w:val="left" w:pos="360"/>
        </w:tabs>
        <w:ind w:left="0" w:firstLine="0"/>
        <w:rPr>
          <w:rFonts w:cs="Arial"/>
          <w:lang w:val="en-US"/>
        </w:rPr>
      </w:pPr>
      <w:r w:rsidRPr="004D028B">
        <w:rPr>
          <w:rFonts w:cs="Arial"/>
          <w:lang w:val="en-US"/>
        </w:rPr>
        <w:t>Article 46.1.b of the American Convention establishes that for a petition to be admissible by the Commission, it will be required that it be presented within a period of six months from the date on which the alleged injured party has been notified of the final decision. In the claim under analysis, the petition before the IACHR was presented on July 2, 2005 and the last decision of the process was issued on March 7, 2012. Therefore, the exhaustion of domestic remedies occurred while the case was was under an admissibility study. In these circumstances, it has been a constant criterion of the Commission that compliance with the requirement to present the petition on time is intrinsically linked to the exhaustion of domestic remedies and, therefore, it is appropriate to consider it fulfilled</w:t>
      </w:r>
      <w:r w:rsidR="00533DD1" w:rsidRPr="00533DD1">
        <w:rPr>
          <w:rStyle w:val="FootnoteReference"/>
          <w:rFonts w:asciiTheme="minorHAnsi" w:hAnsiTheme="minorHAnsi" w:cs="Arial"/>
          <w:sz w:val="20"/>
          <w:lang w:val="es-ES_tradnl"/>
        </w:rPr>
        <w:footnoteReference w:id="5"/>
      </w:r>
      <w:r w:rsidR="00817F35" w:rsidRPr="004D028B">
        <w:rPr>
          <w:rFonts w:cs="Arial"/>
          <w:lang w:val="en-US"/>
        </w:rPr>
        <w:t>.</w:t>
      </w:r>
    </w:p>
    <w:p w14:paraId="6AA8DCE1" w14:textId="47C00FE4" w:rsidR="00DF77DB" w:rsidRDefault="00C07874" w:rsidP="00C4166F">
      <w:pPr>
        <w:pStyle w:val="Heading3"/>
        <w:numPr>
          <w:ilvl w:val="6"/>
          <w:numId w:val="2"/>
        </w:numPr>
        <w:rPr>
          <w:iCs/>
          <w:sz w:val="20"/>
          <w:szCs w:val="20"/>
          <w:lang w:val="es-ES"/>
        </w:rPr>
      </w:pPr>
      <w:bookmarkStart w:id="20" w:name="_Toc203992800"/>
      <w:r w:rsidRPr="00C4166F">
        <w:rPr>
          <w:sz w:val="20"/>
          <w:szCs w:val="20"/>
        </w:rPr>
        <w:t>Characterization</w:t>
      </w:r>
      <w:r>
        <w:rPr>
          <w:iCs/>
          <w:sz w:val="20"/>
          <w:szCs w:val="20"/>
          <w:lang w:val="es-ES"/>
        </w:rPr>
        <w:t xml:space="preserve"> of the Alleged Facts</w:t>
      </w:r>
      <w:bookmarkEnd w:id="20"/>
    </w:p>
    <w:p w14:paraId="3F50AC3E" w14:textId="77777777" w:rsidR="002E3304" w:rsidRPr="002E3304" w:rsidRDefault="002E3304" w:rsidP="002E3304">
      <w:pPr>
        <w:spacing w:after="0"/>
        <w:rPr>
          <w:lang w:val="es-ES"/>
        </w:rPr>
      </w:pPr>
    </w:p>
    <w:p w14:paraId="32FEC7D2" w14:textId="1374805D" w:rsidR="00AE60CB" w:rsidRPr="004D028B" w:rsidRDefault="00FA27BF" w:rsidP="00FA27BF">
      <w:pPr>
        <w:pStyle w:val="parrafos"/>
        <w:numPr>
          <w:ilvl w:val="0"/>
          <w:numId w:val="23"/>
        </w:numPr>
        <w:tabs>
          <w:tab w:val="left" w:pos="360"/>
        </w:tabs>
        <w:ind w:left="0" w:firstLine="0"/>
        <w:rPr>
          <w:lang w:val="en-US"/>
        </w:rPr>
      </w:pPr>
      <w:r w:rsidRPr="004D028B">
        <w:rPr>
          <w:rFonts w:cs="Arial"/>
          <w:lang w:val="en-US"/>
        </w:rPr>
        <w:t>The Commission considers that if the facts alleged by the petitioning party are proven, related to the prolonged delay in the process for patrimonial liability, they could constitute a violation of Articles 8 and 25 of the American Convention in relation to Article 1.1 of the same instrument. and therefore declares the petition admissible in relation to these articles.</w:t>
      </w:r>
    </w:p>
    <w:p w14:paraId="776D2581" w14:textId="3144CF22" w:rsidR="00C4166F" w:rsidRPr="004D028B" w:rsidRDefault="00C4166F" w:rsidP="00C4166F">
      <w:pPr>
        <w:pStyle w:val="parrafos"/>
        <w:tabs>
          <w:tab w:val="left" w:pos="360"/>
        </w:tabs>
        <w:rPr>
          <w:rFonts w:cs="Arial"/>
          <w:lang w:val="en-US"/>
        </w:rPr>
      </w:pPr>
    </w:p>
    <w:p w14:paraId="37CB1C33" w14:textId="77777777" w:rsidR="00C4166F" w:rsidRPr="004D028B" w:rsidRDefault="00C4166F" w:rsidP="00C4166F">
      <w:pPr>
        <w:pStyle w:val="parrafos"/>
        <w:tabs>
          <w:tab w:val="left" w:pos="360"/>
        </w:tabs>
        <w:rPr>
          <w:lang w:val="en-US"/>
        </w:rPr>
      </w:pPr>
    </w:p>
    <w:p w14:paraId="48192823" w14:textId="77777777" w:rsidR="00C07874" w:rsidRPr="004D028B" w:rsidRDefault="00C07874" w:rsidP="00C07874">
      <w:pPr>
        <w:pStyle w:val="parrafos"/>
        <w:tabs>
          <w:tab w:val="left" w:pos="360"/>
        </w:tabs>
        <w:rPr>
          <w:lang w:val="en-US"/>
        </w:rPr>
      </w:pPr>
    </w:p>
    <w:p w14:paraId="574990D6" w14:textId="479E000B" w:rsidR="00F472FE" w:rsidRDefault="00C4166F" w:rsidP="00C4166F">
      <w:pPr>
        <w:pStyle w:val="Heading1"/>
        <w:numPr>
          <w:ilvl w:val="0"/>
          <w:numId w:val="2"/>
        </w:numPr>
        <w:tabs>
          <w:tab w:val="clear" w:pos="1440"/>
          <w:tab w:val="left" w:pos="360"/>
          <w:tab w:val="num" w:pos="540"/>
          <w:tab w:val="left" w:pos="1350"/>
        </w:tabs>
        <w:ind w:hanging="1440"/>
      </w:pPr>
      <w:bookmarkStart w:id="21" w:name="_Toc203992801"/>
      <w:r>
        <w:t xml:space="preserve">FINDINGS </w:t>
      </w:r>
      <w:r w:rsidR="00C07874">
        <w:t>OF FACT</w:t>
      </w:r>
      <w:bookmarkEnd w:id="21"/>
    </w:p>
    <w:p w14:paraId="788D5A72" w14:textId="77777777" w:rsidR="004E5F78" w:rsidRPr="004E5F78" w:rsidRDefault="004E5F78" w:rsidP="004E5F78">
      <w:pPr>
        <w:spacing w:after="0"/>
        <w:rPr>
          <w:lang w:val="es-ES_tradnl"/>
        </w:rPr>
      </w:pPr>
    </w:p>
    <w:p w14:paraId="5C265F3D" w14:textId="245F6E6D" w:rsidR="00F371B0" w:rsidRPr="00C4166F" w:rsidRDefault="00C07874" w:rsidP="00C4166F">
      <w:pPr>
        <w:pStyle w:val="Heading2"/>
        <w:numPr>
          <w:ilvl w:val="0"/>
          <w:numId w:val="34"/>
        </w:numPr>
      </w:pPr>
      <w:bookmarkStart w:id="22" w:name="_Toc203992802"/>
      <w:r w:rsidRPr="37DD07D2">
        <w:rPr>
          <w:lang w:val="es-ES"/>
        </w:rPr>
        <w:t>Process of Patrimonial Responsibility.</w:t>
      </w:r>
      <w:r w:rsidR="00F371B0" w:rsidRPr="37DD07D2">
        <w:rPr>
          <w:lang w:val="es-ES"/>
        </w:rPr>
        <w:t>.</w:t>
      </w:r>
      <w:bookmarkEnd w:id="22"/>
    </w:p>
    <w:p w14:paraId="664996E1" w14:textId="6143647B" w:rsidR="00680E62" w:rsidRPr="004D028B" w:rsidRDefault="00C07874" w:rsidP="00C4166F">
      <w:pPr>
        <w:pStyle w:val="Heading3"/>
        <w:numPr>
          <w:ilvl w:val="6"/>
          <w:numId w:val="2"/>
        </w:numPr>
        <w:rPr>
          <w:sz w:val="20"/>
          <w:szCs w:val="20"/>
          <w:lang w:val="en-US"/>
        </w:rPr>
      </w:pPr>
      <w:bookmarkStart w:id="23" w:name="_Toc203992803"/>
      <w:r w:rsidRPr="004D028B">
        <w:rPr>
          <w:sz w:val="20"/>
          <w:szCs w:val="20"/>
          <w:lang w:val="en-US"/>
        </w:rPr>
        <w:t>Precautionary Measure of General Inhibition of Goods</w:t>
      </w:r>
      <w:bookmarkEnd w:id="23"/>
      <w:r w:rsidR="00680E62" w:rsidRPr="004D028B">
        <w:rPr>
          <w:sz w:val="20"/>
          <w:szCs w:val="20"/>
          <w:lang w:val="en-US"/>
        </w:rPr>
        <w:t xml:space="preserve"> </w:t>
      </w:r>
    </w:p>
    <w:p w14:paraId="302E3185" w14:textId="77777777" w:rsidR="00680E62" w:rsidRPr="004D028B" w:rsidRDefault="00680E62" w:rsidP="00680E62">
      <w:pPr>
        <w:pStyle w:val="parrafos"/>
        <w:rPr>
          <w:lang w:val="en-US"/>
        </w:rPr>
      </w:pPr>
    </w:p>
    <w:p w14:paraId="0B438DFB" w14:textId="70845001" w:rsidR="00A20209" w:rsidRPr="004D028B" w:rsidRDefault="00FA27BF" w:rsidP="00A20209">
      <w:pPr>
        <w:tabs>
          <w:tab w:val="left" w:pos="360"/>
        </w:tabs>
        <w:spacing w:after="0" w:line="240" w:lineRule="auto"/>
        <w:jc w:val="both"/>
        <w:rPr>
          <w:rFonts w:ascii="Cambria" w:eastAsia="Arial Unicode MS" w:hAnsi="Cambria"/>
          <w:color w:val="000000"/>
          <w:sz w:val="20"/>
          <w:szCs w:val="20"/>
          <w:bdr w:val="nil"/>
          <w:lang w:val="en-US"/>
        </w:rPr>
      </w:pPr>
      <w:r w:rsidRPr="004D028B">
        <w:rPr>
          <w:rFonts w:ascii="Cambria" w:eastAsia="Arial Unicode MS" w:hAnsi="Cambria"/>
          <w:color w:val="000000"/>
          <w:sz w:val="20"/>
          <w:szCs w:val="20"/>
          <w:bdr w:val="nil"/>
          <w:lang w:val="en-US"/>
        </w:rPr>
        <w:t>42. According to available information, on July 2, 1985, the Central Bank of the Argentine Republic, in its capacity as liquidating authority of financial entities, brought an action for patrimonial liability against the members of the Board of Directors of Caja Mutual Yatay, among which were the alleged victims of the present case</w:t>
      </w:r>
      <w:r w:rsidR="00264549" w:rsidRPr="00015072">
        <w:rPr>
          <w:rStyle w:val="FootnoteReference"/>
          <w:rFonts w:ascii="Cambria" w:hAnsi="Cambria"/>
          <w:sz w:val="20"/>
        </w:rPr>
        <w:footnoteReference w:id="6"/>
      </w:r>
      <w:r w:rsidRPr="004D028B">
        <w:rPr>
          <w:rFonts w:ascii="Cambria" w:eastAsia="Arial Unicode MS" w:hAnsi="Cambria"/>
          <w:color w:val="000000"/>
          <w:sz w:val="20"/>
          <w:szCs w:val="20"/>
          <w:bdr w:val="nil"/>
          <w:lang w:val="en-US"/>
        </w:rPr>
        <w:t>. In said lawsuit, the Bank stated that those who acted as administrators of said financial entity were direct perpetrators or participated passively in the conducts that led to the worsening of the equity situation of the “Caja Mutual Yatay 240”</w:t>
      </w:r>
      <w:r w:rsidR="00264549" w:rsidRPr="00264549">
        <w:rPr>
          <w:rStyle w:val="FootnoteReference"/>
          <w:rFonts w:ascii="Cambria" w:hAnsi="Cambria"/>
          <w:sz w:val="20"/>
          <w:lang w:val="en-US"/>
        </w:rPr>
        <w:t xml:space="preserve"> </w:t>
      </w:r>
      <w:r w:rsidR="00264549" w:rsidRPr="00015072">
        <w:rPr>
          <w:rStyle w:val="FootnoteReference"/>
          <w:rFonts w:ascii="Cambria" w:hAnsi="Cambria"/>
          <w:sz w:val="20"/>
        </w:rPr>
        <w:footnoteReference w:id="7"/>
      </w:r>
      <w:r w:rsidRPr="004D028B">
        <w:rPr>
          <w:rFonts w:ascii="Cambria" w:eastAsia="Arial Unicode MS" w:hAnsi="Cambria"/>
          <w:color w:val="000000"/>
          <w:sz w:val="20"/>
          <w:szCs w:val="20"/>
          <w:bdr w:val="nil"/>
          <w:lang w:val="en-US"/>
        </w:rPr>
        <w:t>. Specifically in the lawsuit, it indicated that such events were:</w:t>
      </w:r>
    </w:p>
    <w:p w14:paraId="5F4DAA7F" w14:textId="77777777" w:rsidR="00FA27BF" w:rsidRPr="004D028B" w:rsidRDefault="00FA27BF" w:rsidP="00A20209">
      <w:pPr>
        <w:tabs>
          <w:tab w:val="left" w:pos="360"/>
        </w:tabs>
        <w:spacing w:after="0" w:line="240" w:lineRule="auto"/>
        <w:jc w:val="both"/>
        <w:rPr>
          <w:rFonts w:ascii="Cambria" w:eastAsia="Arial Unicode MS" w:hAnsi="Cambria"/>
          <w:color w:val="000000"/>
          <w:sz w:val="20"/>
          <w:szCs w:val="20"/>
          <w:bdr w:val="nil"/>
          <w:lang w:val="en-US"/>
        </w:rPr>
      </w:pPr>
    </w:p>
    <w:p w14:paraId="0B3F73DE" w14:textId="30F4119C" w:rsidR="00A20209" w:rsidRPr="004D028B" w:rsidRDefault="00FA27BF"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 Your request is based - in your understanding - on the occurrence of the event set forth in art. 166 of Law 19,551 (today Article 173 of Law 24,522). This is because those who served as administrators of the bankrupt</w:t>
      </w:r>
      <w:r w:rsidR="00F05E69" w:rsidRPr="004D028B">
        <w:rPr>
          <w:rFonts w:ascii="Cambria" w:eastAsia="Cambria" w:hAnsi="Cambria" w:cs="Cambria"/>
          <w:color w:val="000000"/>
          <w:sz w:val="18"/>
          <w:szCs w:val="24"/>
          <w:u w:color="000000"/>
          <w:bdr w:val="nil"/>
          <w:lang w:val="en-US" w:eastAsia="es-ES"/>
        </w:rPr>
        <w:t>cy</w:t>
      </w:r>
      <w:r w:rsidRPr="004D028B">
        <w:rPr>
          <w:rFonts w:ascii="Cambria" w:eastAsia="Cambria" w:hAnsi="Cambria" w:cs="Cambria"/>
          <w:color w:val="000000"/>
          <w:sz w:val="18"/>
          <w:szCs w:val="24"/>
          <w:u w:color="000000"/>
          <w:bdr w:val="nil"/>
          <w:lang w:val="en-US" w:eastAsia="es-ES"/>
        </w:rPr>
        <w:t xml:space="preserve"> and other third parties also defendants have had direct responsibility or at least passive, permissive behavior that ultimately aggravated the financial situation of the same.</w:t>
      </w:r>
    </w:p>
    <w:p w14:paraId="07E60560" w14:textId="77777777" w:rsidR="00FA27BF" w:rsidRPr="004D028B" w:rsidRDefault="00FA27BF"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p>
    <w:p w14:paraId="7BD46423" w14:textId="4C784CC3" w:rsidR="00FA27BF" w:rsidRPr="004D028B" w:rsidRDefault="00FA27BF"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 In this way, it imposes individual and shared responsibility from the defendants and co-defendants in the indiscriminate and willful handling of the funds of the bankrupt, thereby incurring the following illicit acts:</w:t>
      </w:r>
    </w:p>
    <w:p w14:paraId="3E25BE7D" w14:textId="49099F98" w:rsidR="00107C43" w:rsidRPr="004D028B"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p>
    <w:p w14:paraId="1449A0E1" w14:textId="26DD9A54" w:rsidR="00107C43"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s-ES" w:eastAsia="es-ES"/>
        </w:rPr>
      </w:pPr>
      <w:r w:rsidRPr="002C6B5A">
        <w:rPr>
          <w:rFonts w:ascii="Cambria" w:eastAsia="Cambria" w:hAnsi="Cambria" w:cs="Cambria"/>
          <w:color w:val="000000"/>
          <w:sz w:val="18"/>
          <w:szCs w:val="24"/>
          <w:u w:color="000000"/>
          <w:bdr w:val="nil"/>
          <w:lang w:val="en-US" w:eastAsia="es-ES"/>
        </w:rPr>
        <w:t xml:space="preserve">a) Irregular credit policy: a.1) Loans granted to people who did not receive current funds.- a.2) Loans granted to persons and / or related companies exceeding the maximum credit support limit established by the BCRA, in contravention of Circulars RF 343, 1321 and “A” 49.- a.3) Shortcomings in debtor files and credit applications.- </w:t>
      </w:r>
      <w:r w:rsidRPr="00107C43">
        <w:rPr>
          <w:rFonts w:ascii="Cambria" w:eastAsia="Cambria" w:hAnsi="Cambria" w:cs="Cambria"/>
          <w:color w:val="000000"/>
          <w:sz w:val="18"/>
          <w:szCs w:val="24"/>
          <w:u w:color="000000"/>
          <w:bdr w:val="nil"/>
          <w:lang w:val="es-ES" w:eastAsia="es-ES"/>
        </w:rPr>
        <w:t>Among them:</w:t>
      </w:r>
    </w:p>
    <w:p w14:paraId="583E142A" w14:textId="26FAA0B2" w:rsidR="00107C43" w:rsidRPr="004D028B" w:rsidRDefault="00107C43" w:rsidP="004D028B">
      <w:pPr>
        <w:numPr>
          <w:ilvl w:val="0"/>
          <w:numId w:val="6"/>
        </w:numPr>
        <w:pBdr>
          <w:top w:val="nil"/>
          <w:left w:val="nil"/>
          <w:bottom w:val="nil"/>
          <w:right w:val="nil"/>
          <w:between w:val="nil"/>
          <w:bar w:val="nil"/>
        </w:pBdr>
        <w:spacing w:after="0" w:line="240" w:lineRule="auto"/>
        <w:ind w:right="27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Anomalies in the signature records - in general, it states that in its opinion different signatures of the same person differ from each other - and in particular that there are signatures of proxies of companies without their corresponding seal;</w:t>
      </w:r>
    </w:p>
    <w:p w14:paraId="67D687F4" w14:textId="7DB157B4" w:rsidR="00107C43" w:rsidRPr="004D028B" w:rsidRDefault="00107C43" w:rsidP="004D028B">
      <w:pPr>
        <w:pBdr>
          <w:top w:val="nil"/>
          <w:left w:val="nil"/>
          <w:bottom w:val="nil"/>
          <w:right w:val="nil"/>
          <w:between w:val="nil"/>
          <w:bar w:val="nil"/>
        </w:pBdr>
        <w:spacing w:after="0" w:line="240" w:lineRule="auto"/>
        <w:ind w:left="1080" w:right="270" w:hanging="36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 xml:space="preserve">• </w:t>
      </w:r>
      <w:r w:rsidRPr="004D028B">
        <w:rPr>
          <w:rFonts w:ascii="Cambria" w:eastAsia="Cambria" w:hAnsi="Cambria" w:cs="Cambria"/>
          <w:color w:val="000000"/>
          <w:sz w:val="18"/>
          <w:szCs w:val="24"/>
          <w:u w:color="000000"/>
          <w:bdr w:val="nil"/>
          <w:lang w:val="en-US" w:eastAsia="es-ES"/>
        </w:rPr>
        <w:tab/>
        <w:t>Lack of credit applications or not fully complied with;</w:t>
      </w:r>
    </w:p>
    <w:p w14:paraId="2C2A7F72" w14:textId="177E80C7" w:rsidR="00107C43" w:rsidRPr="002C6B5A" w:rsidRDefault="00107C43" w:rsidP="004D028B">
      <w:pPr>
        <w:pBdr>
          <w:top w:val="nil"/>
          <w:left w:val="nil"/>
          <w:bottom w:val="nil"/>
          <w:right w:val="nil"/>
          <w:between w:val="nil"/>
          <w:bar w:val="nil"/>
        </w:pBdr>
        <w:spacing w:after="0" w:line="240" w:lineRule="auto"/>
        <w:ind w:left="1080" w:right="270" w:hanging="360"/>
        <w:jc w:val="both"/>
        <w:rPr>
          <w:rFonts w:ascii="Cambria" w:eastAsia="Cambria" w:hAnsi="Cambria" w:cs="Cambria"/>
          <w:color w:val="000000"/>
          <w:sz w:val="18"/>
          <w:szCs w:val="24"/>
          <w:u w:color="000000"/>
          <w:bdr w:val="nil"/>
          <w:lang w:val="en-US" w:eastAsia="es-ES"/>
        </w:rPr>
      </w:pPr>
      <w:r w:rsidRPr="002C6B5A">
        <w:rPr>
          <w:rFonts w:ascii="Cambria" w:eastAsia="Cambria" w:hAnsi="Cambria" w:cs="Cambria"/>
          <w:color w:val="000000"/>
          <w:sz w:val="18"/>
          <w:szCs w:val="24"/>
          <w:u w:color="000000"/>
          <w:bdr w:val="nil"/>
          <w:lang w:val="en-US" w:eastAsia="es-ES"/>
        </w:rPr>
        <w:t xml:space="preserve">• </w:t>
      </w:r>
      <w:r w:rsidRPr="002C6B5A">
        <w:rPr>
          <w:rFonts w:ascii="Cambria" w:eastAsia="Cambria" w:hAnsi="Cambria" w:cs="Cambria"/>
          <w:color w:val="000000"/>
          <w:sz w:val="18"/>
          <w:szCs w:val="24"/>
          <w:u w:color="000000"/>
          <w:bdr w:val="nil"/>
          <w:lang w:val="en-US" w:eastAsia="es-ES"/>
        </w:rPr>
        <w:tab/>
        <w:t>Breach of legal aspects, such as lack of statutes, social contracts, board payroll, marital conformity, etc .;</w:t>
      </w:r>
    </w:p>
    <w:p w14:paraId="75681027" w14:textId="6B1F0F35" w:rsidR="00107C43" w:rsidRPr="004D028B" w:rsidRDefault="00107C43" w:rsidP="004D028B">
      <w:pPr>
        <w:pBdr>
          <w:top w:val="nil"/>
          <w:left w:val="nil"/>
          <w:bottom w:val="nil"/>
          <w:right w:val="nil"/>
          <w:between w:val="nil"/>
          <w:bar w:val="nil"/>
        </w:pBdr>
        <w:spacing w:after="0" w:line="240" w:lineRule="auto"/>
        <w:ind w:left="1080" w:right="270" w:hanging="36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 xml:space="preserve">• </w:t>
      </w:r>
      <w:r w:rsidRPr="004D028B">
        <w:rPr>
          <w:rFonts w:ascii="Cambria" w:eastAsia="Cambria" w:hAnsi="Cambria" w:cs="Cambria"/>
          <w:color w:val="000000"/>
          <w:sz w:val="18"/>
          <w:szCs w:val="24"/>
          <w:u w:color="000000"/>
          <w:bdr w:val="nil"/>
          <w:lang w:val="en-US" w:eastAsia="es-ES"/>
        </w:rPr>
        <w:tab/>
        <w:t>Failures in the manifestations of assets and / or balances; major deficiencies in accounting records, fundamentally lack of inventory of interest accrued by debtor that make it impossible to accurately determine debts;</w:t>
      </w:r>
    </w:p>
    <w:p w14:paraId="34409CE8" w14:textId="219757F2" w:rsidR="00107C43" w:rsidRPr="004D028B" w:rsidRDefault="00107C43" w:rsidP="004D028B">
      <w:pPr>
        <w:pBdr>
          <w:top w:val="nil"/>
          <w:left w:val="nil"/>
          <w:bottom w:val="nil"/>
          <w:right w:val="nil"/>
          <w:between w:val="nil"/>
          <w:bar w:val="nil"/>
        </w:pBdr>
        <w:spacing w:after="0" w:line="240" w:lineRule="auto"/>
        <w:ind w:left="1080" w:right="270" w:hanging="36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 xml:space="preserve">• </w:t>
      </w:r>
      <w:r w:rsidRPr="004D028B">
        <w:rPr>
          <w:rFonts w:ascii="Cambria" w:eastAsia="Cambria" w:hAnsi="Cambria" w:cs="Cambria"/>
          <w:color w:val="000000"/>
          <w:sz w:val="18"/>
          <w:szCs w:val="24"/>
          <w:u w:color="000000"/>
          <w:bdr w:val="nil"/>
          <w:lang w:val="en-US" w:eastAsia="es-ES"/>
        </w:rPr>
        <w:tab/>
        <w:t>Pledge credits in which the respective pledges have not been implemented;</w:t>
      </w:r>
    </w:p>
    <w:p w14:paraId="2DD04A1F" w14:textId="4615A3C6" w:rsidR="00107C43" w:rsidRPr="004D028B" w:rsidRDefault="00107C43" w:rsidP="004D028B">
      <w:pPr>
        <w:pBdr>
          <w:top w:val="nil"/>
          <w:left w:val="nil"/>
          <w:bottom w:val="nil"/>
          <w:right w:val="nil"/>
          <w:between w:val="nil"/>
          <w:bar w:val="nil"/>
        </w:pBdr>
        <w:spacing w:after="0" w:line="240" w:lineRule="auto"/>
        <w:ind w:left="1080" w:right="270" w:hanging="36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 xml:space="preserve">• </w:t>
      </w:r>
      <w:r w:rsidRPr="004D028B">
        <w:rPr>
          <w:rFonts w:ascii="Cambria" w:eastAsia="Cambria" w:hAnsi="Cambria" w:cs="Cambria"/>
          <w:color w:val="000000"/>
          <w:sz w:val="18"/>
          <w:szCs w:val="24"/>
          <w:u w:color="000000"/>
          <w:bdr w:val="nil"/>
          <w:lang w:val="en-US" w:eastAsia="es-ES"/>
        </w:rPr>
        <w:tab/>
        <w:t>Lack of information on commercial references and financial entities;</w:t>
      </w:r>
    </w:p>
    <w:p w14:paraId="2AB858EF" w14:textId="4738B9FF" w:rsidR="00107C43" w:rsidRPr="004D028B" w:rsidRDefault="00107C43" w:rsidP="004D028B">
      <w:pPr>
        <w:pBdr>
          <w:top w:val="nil"/>
          <w:left w:val="nil"/>
          <w:bottom w:val="nil"/>
          <w:right w:val="nil"/>
          <w:between w:val="nil"/>
          <w:bar w:val="nil"/>
        </w:pBdr>
        <w:spacing w:after="0" w:line="240" w:lineRule="auto"/>
        <w:ind w:left="1080" w:right="270" w:hanging="36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 xml:space="preserve">• </w:t>
      </w:r>
      <w:r w:rsidRPr="004D028B">
        <w:rPr>
          <w:rFonts w:ascii="Cambria" w:eastAsia="Cambria" w:hAnsi="Cambria" w:cs="Cambria"/>
          <w:color w:val="000000"/>
          <w:sz w:val="18"/>
          <w:szCs w:val="24"/>
          <w:u w:color="000000"/>
          <w:bdr w:val="nil"/>
          <w:lang w:val="en-US" w:eastAsia="es-ES"/>
        </w:rPr>
        <w:tab/>
        <w:t>Granting of credits to companies without background checks;</w:t>
      </w:r>
    </w:p>
    <w:p w14:paraId="7D38A236" w14:textId="66444805" w:rsidR="00107C43" w:rsidRPr="004D028B" w:rsidRDefault="00107C43" w:rsidP="004D028B">
      <w:pPr>
        <w:pBdr>
          <w:top w:val="nil"/>
          <w:left w:val="nil"/>
          <w:bottom w:val="nil"/>
          <w:right w:val="nil"/>
          <w:between w:val="nil"/>
          <w:bar w:val="nil"/>
        </w:pBdr>
        <w:spacing w:after="0" w:line="240" w:lineRule="auto"/>
        <w:ind w:left="1080" w:right="270" w:hanging="36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 xml:space="preserve">• </w:t>
      </w:r>
      <w:r w:rsidRPr="004D028B">
        <w:rPr>
          <w:rFonts w:ascii="Cambria" w:eastAsia="Cambria" w:hAnsi="Cambria" w:cs="Cambria"/>
          <w:color w:val="000000"/>
          <w:sz w:val="18"/>
          <w:szCs w:val="24"/>
          <w:u w:color="000000"/>
          <w:bdr w:val="nil"/>
          <w:lang w:val="en-US" w:eastAsia="es-ES"/>
        </w:rPr>
        <w:tab/>
        <w:t>Credits granted to companies whose company type was not specified;</w:t>
      </w:r>
    </w:p>
    <w:p w14:paraId="00B3E636" w14:textId="648BE698" w:rsidR="00107C43" w:rsidRPr="004D028B" w:rsidRDefault="00107C43" w:rsidP="004D028B">
      <w:pPr>
        <w:pBdr>
          <w:top w:val="nil"/>
          <w:left w:val="nil"/>
          <w:bottom w:val="nil"/>
          <w:right w:val="nil"/>
          <w:between w:val="nil"/>
          <w:bar w:val="nil"/>
        </w:pBdr>
        <w:spacing w:after="0" w:line="240" w:lineRule="auto"/>
        <w:ind w:left="1080" w:right="270" w:hanging="36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 xml:space="preserve">• </w:t>
      </w:r>
      <w:r w:rsidRPr="004D028B">
        <w:rPr>
          <w:rFonts w:ascii="Cambria" w:eastAsia="Cambria" w:hAnsi="Cambria" w:cs="Cambria"/>
          <w:color w:val="000000"/>
          <w:sz w:val="18"/>
          <w:szCs w:val="24"/>
          <w:u w:color="000000"/>
          <w:bdr w:val="nil"/>
          <w:lang w:val="en-US" w:eastAsia="es-ES"/>
        </w:rPr>
        <w:tab/>
        <w:t>Credits granted with false signatures of some participants;</w:t>
      </w:r>
    </w:p>
    <w:p w14:paraId="77F391F8" w14:textId="661A3BF2" w:rsidR="00107C43" w:rsidRPr="004D028B" w:rsidRDefault="00107C43" w:rsidP="004D028B">
      <w:pPr>
        <w:pBdr>
          <w:top w:val="nil"/>
          <w:left w:val="nil"/>
          <w:bottom w:val="nil"/>
          <w:right w:val="nil"/>
          <w:between w:val="nil"/>
          <w:bar w:val="nil"/>
        </w:pBdr>
        <w:spacing w:after="0" w:line="240" w:lineRule="auto"/>
        <w:ind w:left="1080" w:right="270" w:hanging="36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 xml:space="preserve">• </w:t>
      </w:r>
      <w:r w:rsidRPr="004D028B">
        <w:rPr>
          <w:rFonts w:ascii="Cambria" w:eastAsia="Cambria" w:hAnsi="Cambria" w:cs="Cambria"/>
          <w:color w:val="000000"/>
          <w:sz w:val="18"/>
          <w:szCs w:val="24"/>
          <w:u w:color="000000"/>
          <w:bdr w:val="nil"/>
          <w:lang w:val="en-US" w:eastAsia="es-ES"/>
        </w:rPr>
        <w:tab/>
        <w:t>Credits granted with a false signature on the debt endorsement instrument; cites examples.</w:t>
      </w:r>
    </w:p>
    <w:p w14:paraId="26B6A1E9" w14:textId="575F64F6" w:rsidR="00107C43" w:rsidRPr="004D028B" w:rsidRDefault="00107C43" w:rsidP="004D028B">
      <w:pPr>
        <w:pBdr>
          <w:top w:val="nil"/>
          <w:left w:val="nil"/>
          <w:bottom w:val="nil"/>
          <w:right w:val="nil"/>
          <w:between w:val="nil"/>
          <w:bar w:val="nil"/>
        </w:pBdr>
        <w:spacing w:after="0" w:line="240" w:lineRule="auto"/>
        <w:ind w:right="270"/>
        <w:jc w:val="both"/>
        <w:rPr>
          <w:rFonts w:ascii="Cambria" w:eastAsia="Cambria" w:hAnsi="Cambria" w:cs="Cambria"/>
          <w:color w:val="000000"/>
          <w:sz w:val="18"/>
          <w:szCs w:val="24"/>
          <w:u w:color="000000"/>
          <w:bdr w:val="nil"/>
          <w:lang w:val="en-US" w:eastAsia="es-ES"/>
        </w:rPr>
      </w:pPr>
    </w:p>
    <w:p w14:paraId="19EA434E" w14:textId="77777777" w:rsidR="00107C43" w:rsidRPr="002C6B5A"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r w:rsidRPr="002C6B5A">
        <w:rPr>
          <w:rFonts w:ascii="Cambria" w:eastAsia="Cambria" w:hAnsi="Cambria" w:cs="Cambria"/>
          <w:color w:val="000000"/>
          <w:sz w:val="18"/>
          <w:szCs w:val="24"/>
          <w:u w:color="000000"/>
          <w:bdr w:val="nil"/>
          <w:lang w:val="en-US" w:eastAsia="es-ES"/>
        </w:rPr>
        <w:t>(…) * B) Presentation to B.C.R.A. of Balances of Monthly Balances from January to December 1981, which did not reflect the real equity, economic and financial situation of the entity: b.1) Interest accrual on past due debts of uncertain recovery in the July / December 1981 period. - b.2) Adjustment of interests retroactively to neutralize the deterioration of the patrimonial responsibility.- b.3) Insufficient provisions to address risks of uncollectibility of the portfolio.-</w:t>
      </w:r>
    </w:p>
    <w:p w14:paraId="13788130" w14:textId="042BF603" w:rsidR="00A20209" w:rsidRPr="004D028B" w:rsidRDefault="00107C43" w:rsidP="004D028B">
      <w:pPr>
        <w:pBdr>
          <w:top w:val="nil"/>
          <w:left w:val="nil"/>
          <w:bottom w:val="nil"/>
          <w:right w:val="nil"/>
          <w:between w:val="nil"/>
          <w:bar w:val="nil"/>
        </w:pBdr>
        <w:spacing w:after="0" w:line="240" w:lineRule="auto"/>
        <w:ind w:left="720" w:right="270"/>
        <w:jc w:val="both"/>
        <w:rPr>
          <w:rFonts w:ascii="Cambria" w:eastAsia="Cambria" w:hAnsi="Cambria" w:cs="Cambria"/>
          <w:color w:val="000000"/>
          <w:sz w:val="18"/>
          <w:szCs w:val="24"/>
          <w:u w:color="000000"/>
          <w:bdr w:val="nil"/>
          <w:lang w:val="en-US" w:eastAsia="es-ES"/>
        </w:rPr>
      </w:pPr>
      <w:r w:rsidRPr="002C6B5A">
        <w:rPr>
          <w:rFonts w:ascii="Cambria" w:eastAsia="Cambria" w:hAnsi="Cambria" w:cs="Cambria"/>
          <w:color w:val="000000"/>
          <w:sz w:val="18"/>
          <w:szCs w:val="24"/>
          <w:u w:color="000000"/>
          <w:bdr w:val="nil"/>
          <w:lang w:val="en-US" w:eastAsia="es-ES"/>
        </w:rPr>
        <w:t xml:space="preserve">Regarding the individualized conducts in these three preceding paragraphs, the receivership frames them as constitutive facts of various false information. From this would arise “prima facie”, the result of an irregular business management, which generated a situation of loss of the capital stock.- </w:t>
      </w:r>
      <w:r w:rsidR="00A20209" w:rsidRPr="004D028B">
        <w:rPr>
          <w:rFonts w:ascii="Cambria" w:eastAsia="Cambria" w:hAnsi="Cambria" w:cs="Cambria"/>
          <w:color w:val="000000"/>
          <w:sz w:val="18"/>
          <w:szCs w:val="24"/>
          <w:u w:color="000000"/>
          <w:bdr w:val="nil"/>
          <w:lang w:val="en-US" w:eastAsia="es-ES"/>
        </w:rPr>
        <w:t>(…)</w:t>
      </w:r>
      <w:r w:rsidR="00A20209" w:rsidRPr="00E8243A">
        <w:rPr>
          <w:rStyle w:val="FootnoteReference"/>
          <w:rFonts w:ascii="Cambria" w:hAnsi="Cambria"/>
          <w:sz w:val="16"/>
          <w:szCs w:val="16"/>
        </w:rPr>
        <w:footnoteReference w:id="8"/>
      </w:r>
      <w:r w:rsidR="00A20209" w:rsidRPr="004D028B">
        <w:rPr>
          <w:rFonts w:ascii="Cambria" w:eastAsia="Cambria" w:hAnsi="Cambria" w:cs="Cambria"/>
          <w:color w:val="000000"/>
          <w:sz w:val="18"/>
          <w:szCs w:val="24"/>
          <w:u w:color="000000"/>
          <w:bdr w:val="nil"/>
          <w:lang w:val="en-US" w:eastAsia="es-ES"/>
        </w:rPr>
        <w:t>.</w:t>
      </w:r>
    </w:p>
    <w:p w14:paraId="1100D553" w14:textId="77777777" w:rsidR="00A20209" w:rsidRPr="004D028B" w:rsidRDefault="00A20209" w:rsidP="00A20209">
      <w:pPr>
        <w:pBdr>
          <w:top w:val="nil"/>
          <w:left w:val="nil"/>
          <w:bottom w:val="nil"/>
          <w:right w:val="nil"/>
          <w:between w:val="nil"/>
          <w:bar w:val="nil"/>
        </w:pBdr>
        <w:spacing w:after="0" w:line="240" w:lineRule="auto"/>
        <w:ind w:left="360" w:right="27"/>
        <w:jc w:val="both"/>
        <w:rPr>
          <w:rFonts w:ascii="Cambria" w:eastAsia="Cambria" w:hAnsi="Cambria" w:cs="Cambria"/>
          <w:color w:val="000000"/>
          <w:sz w:val="18"/>
          <w:szCs w:val="24"/>
          <w:u w:color="000000"/>
          <w:bdr w:val="nil"/>
          <w:lang w:val="en-US" w:eastAsia="es-ES"/>
        </w:rPr>
      </w:pPr>
    </w:p>
    <w:p w14:paraId="68047E2F" w14:textId="6310D150" w:rsidR="00A20209" w:rsidRPr="004D028B" w:rsidRDefault="00107C43" w:rsidP="00107C43">
      <w:pPr>
        <w:pStyle w:val="parrafos"/>
        <w:tabs>
          <w:tab w:val="left" w:pos="0"/>
        </w:tabs>
        <w:rPr>
          <w:lang w:val="en-US"/>
        </w:rPr>
      </w:pPr>
      <w:r w:rsidRPr="004D028B">
        <w:rPr>
          <w:lang w:val="en-US"/>
        </w:rPr>
        <w:t>43. On July 3, 1985, the alleged victims presented their answer to the application, in the following terms:</w:t>
      </w:r>
    </w:p>
    <w:p w14:paraId="0F69B149" w14:textId="77777777" w:rsidR="00A20209" w:rsidRPr="004D028B" w:rsidRDefault="00A20209" w:rsidP="00A20209">
      <w:pPr>
        <w:tabs>
          <w:tab w:val="left" w:pos="360"/>
        </w:tabs>
        <w:spacing w:after="0" w:line="240" w:lineRule="auto"/>
        <w:jc w:val="both"/>
        <w:rPr>
          <w:rFonts w:ascii="Cambria" w:eastAsia="Arial Unicode MS" w:hAnsi="Cambria"/>
          <w:color w:val="000000"/>
          <w:sz w:val="20"/>
          <w:szCs w:val="20"/>
          <w:bdr w:val="nil"/>
          <w:lang w:val="en-US"/>
        </w:rPr>
      </w:pPr>
    </w:p>
    <w:p w14:paraId="5758E126" w14:textId="77777777" w:rsidR="00107C43" w:rsidRPr="004D028B"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b/>
          <w:color w:val="000000"/>
          <w:sz w:val="18"/>
          <w:szCs w:val="24"/>
          <w:u w:color="000000"/>
          <w:bdr w:val="nil"/>
          <w:lang w:val="en-US" w:eastAsia="es-ES"/>
        </w:rPr>
      </w:pPr>
      <w:r w:rsidRPr="004D028B">
        <w:rPr>
          <w:rFonts w:ascii="Cambria" w:eastAsia="Cambria" w:hAnsi="Cambria" w:cs="Cambria"/>
          <w:b/>
          <w:color w:val="000000"/>
          <w:sz w:val="18"/>
          <w:szCs w:val="24"/>
          <w:u w:color="000000"/>
          <w:bdr w:val="nil"/>
          <w:lang w:val="en-US" w:eastAsia="es-ES"/>
        </w:rPr>
        <w:t>(…) To FS. 220/221 by CHAIKIN, RAFAEL.-</w:t>
      </w:r>
    </w:p>
    <w:p w14:paraId="378CB3C2" w14:textId="1E546531" w:rsidR="00107C43" w:rsidRPr="004D028B"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He refers in his answer to the claim that none of the facts is attributed to him personally. That he is included as a defendant, without having had any intervention in any act.</w:t>
      </w:r>
    </w:p>
    <w:p w14:paraId="2BD8FA96" w14:textId="77777777" w:rsidR="00107C43" w:rsidRPr="002C6B5A"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r w:rsidRPr="002C6B5A">
        <w:rPr>
          <w:rFonts w:ascii="Cambria" w:eastAsia="Cambria" w:hAnsi="Cambria" w:cs="Cambria"/>
          <w:color w:val="000000"/>
          <w:sz w:val="18"/>
          <w:szCs w:val="24"/>
          <w:u w:color="000000"/>
          <w:bdr w:val="nil"/>
          <w:lang w:val="en-US" w:eastAsia="es-ES"/>
        </w:rPr>
        <w:t>And so it was, because - as he says - he never held any position in the liquidated entity, neither directly or indirectly, nor actively or passively; In other words, he did not perform the position of vocal.-</w:t>
      </w:r>
    </w:p>
    <w:p w14:paraId="3E120F8E" w14:textId="77777777" w:rsidR="00107C43" w:rsidRPr="002C6B5A"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r w:rsidRPr="002C6B5A">
        <w:rPr>
          <w:rFonts w:ascii="Cambria" w:eastAsia="Cambria" w:hAnsi="Cambria" w:cs="Cambria"/>
          <w:color w:val="000000"/>
          <w:sz w:val="18"/>
          <w:szCs w:val="24"/>
          <w:u w:color="000000"/>
          <w:bdr w:val="nil"/>
          <w:lang w:val="en-US" w:eastAsia="es-ES"/>
        </w:rPr>
        <w:t>It clarifies that having been proposed and appointed to occupy a Vocal Office on the Board of Directors is very different from having taken possession of the position or carried out any activity that could imply possession of it.-</w:t>
      </w:r>
    </w:p>
    <w:p w14:paraId="55EB83DD" w14:textId="77777777" w:rsidR="00107C43" w:rsidRPr="002C6B5A"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r w:rsidRPr="002C6B5A">
        <w:rPr>
          <w:rFonts w:ascii="Cambria" w:eastAsia="Cambria" w:hAnsi="Cambria" w:cs="Cambria"/>
          <w:color w:val="000000"/>
          <w:sz w:val="18"/>
          <w:szCs w:val="24"/>
          <w:u w:color="000000"/>
          <w:bdr w:val="nil"/>
          <w:lang w:val="en-US" w:eastAsia="es-ES"/>
        </w:rPr>
        <w:t>With such a position, he categorically denies the facts and the documentary brought by the plaintiff.-</w:t>
      </w:r>
    </w:p>
    <w:p w14:paraId="472EA7DA" w14:textId="77777777" w:rsidR="00107C43" w:rsidRPr="002C6B5A"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r w:rsidRPr="002C6B5A">
        <w:rPr>
          <w:rFonts w:ascii="Cambria" w:eastAsia="Cambria" w:hAnsi="Cambria" w:cs="Cambria"/>
          <w:color w:val="000000"/>
          <w:sz w:val="18"/>
          <w:szCs w:val="24"/>
          <w:u w:color="000000"/>
          <w:bdr w:val="nil"/>
          <w:lang w:val="en-US" w:eastAsia="es-ES"/>
        </w:rPr>
        <w:t>Offers proof to fs. 502/502 round.-</w:t>
      </w:r>
    </w:p>
    <w:p w14:paraId="1FE6FE68" w14:textId="28B20CEB" w:rsidR="00A20209" w:rsidRPr="004D028B"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Finally, he requests the claim be rejected, with costs, -.</w:t>
      </w:r>
    </w:p>
    <w:p w14:paraId="51A66A23" w14:textId="77777777" w:rsidR="00107C43" w:rsidRPr="004D028B"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p>
    <w:p w14:paraId="7BBA9D57" w14:textId="77777777" w:rsidR="00A20209" w:rsidRPr="00C51584" w:rsidRDefault="00A20209" w:rsidP="004D028B">
      <w:pPr>
        <w:pBdr>
          <w:top w:val="nil"/>
          <w:left w:val="nil"/>
          <w:bottom w:val="nil"/>
          <w:right w:val="nil"/>
          <w:between w:val="nil"/>
          <w:bar w:val="nil"/>
        </w:pBdr>
        <w:spacing w:after="0" w:line="240" w:lineRule="auto"/>
        <w:ind w:left="360" w:right="270"/>
        <w:jc w:val="both"/>
        <w:rPr>
          <w:rFonts w:ascii="Cambria" w:eastAsia="Cambria" w:hAnsi="Cambria" w:cs="Cambria"/>
          <w:b/>
          <w:color w:val="000000"/>
          <w:sz w:val="18"/>
          <w:szCs w:val="24"/>
          <w:u w:color="000000"/>
          <w:bdr w:val="nil"/>
          <w:lang w:val="en-US" w:eastAsia="es-ES"/>
        </w:rPr>
      </w:pPr>
      <w:r w:rsidRPr="00C51584">
        <w:rPr>
          <w:rFonts w:ascii="Cambria" w:eastAsia="Cambria" w:hAnsi="Cambria" w:cs="Cambria"/>
          <w:b/>
          <w:color w:val="000000"/>
          <w:sz w:val="18"/>
          <w:szCs w:val="24"/>
          <w:u w:color="000000"/>
          <w:bdr w:val="nil"/>
          <w:lang w:val="en-US" w:eastAsia="es-ES"/>
        </w:rPr>
        <w:t>* A FS. 194/195 por KEMELMAJEN, HECTOR LEONARDO.-</w:t>
      </w:r>
    </w:p>
    <w:p w14:paraId="550697D9" w14:textId="77777777" w:rsidR="00107C43" w:rsidRPr="004D028B"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He denies because he does not record all the facts described in the initial brief and that are attributed to him - in his opinion - in a vague and generalized way; even more so because it was considered that on the date on which they were allegedly carried out, he did not exercise any charge in the liquidated entity.</w:t>
      </w:r>
    </w:p>
    <w:p w14:paraId="78FC3878" w14:textId="77777777" w:rsidR="00107C43" w:rsidRPr="004D028B"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It reaffirms the refusal by highlighting that the plaintiff expressly acknowledges in its letter of promotion of the claim that the imputed facts were Kazakhmated after her retirement from the cooperative, for which she does not bear any responsibility.</w:t>
      </w:r>
    </w:p>
    <w:p w14:paraId="7F0F5AB0" w14:textId="77777777" w:rsidR="00107C43" w:rsidRPr="004D028B"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It ends up denying the authenticity of the instruments attached by the plaintiff.</w:t>
      </w:r>
    </w:p>
    <w:p w14:paraId="0B16FEF6" w14:textId="77777777" w:rsidR="00107C43" w:rsidRPr="004D028B"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Offer proof to Fs. 504 / 505.-</w:t>
      </w:r>
    </w:p>
    <w:p w14:paraId="69D547E2" w14:textId="0C3FE1F0" w:rsidR="002F72EB" w:rsidRPr="004D028B" w:rsidRDefault="00107C43" w:rsidP="004D028B">
      <w:pPr>
        <w:pBdr>
          <w:top w:val="nil"/>
          <w:left w:val="nil"/>
          <w:bottom w:val="nil"/>
          <w:right w:val="nil"/>
          <w:between w:val="nil"/>
          <w:bar w:val="nil"/>
        </w:pBdr>
        <w:spacing w:after="0" w:line="240" w:lineRule="auto"/>
        <w:ind w:left="360" w:right="270"/>
        <w:jc w:val="both"/>
        <w:rPr>
          <w:rFonts w:ascii="Cambria" w:hAnsi="Cambria"/>
          <w:sz w:val="16"/>
          <w:szCs w:val="16"/>
          <w:vertAlign w:val="superscript"/>
          <w:lang w:val="en-US"/>
        </w:rPr>
      </w:pPr>
      <w:r w:rsidRPr="004D028B">
        <w:rPr>
          <w:rFonts w:ascii="Cambria" w:eastAsia="Cambria" w:hAnsi="Cambria" w:cs="Cambria"/>
          <w:color w:val="000000"/>
          <w:sz w:val="18"/>
          <w:szCs w:val="24"/>
          <w:u w:color="000000"/>
          <w:bdr w:val="nil"/>
          <w:lang w:val="en-US" w:eastAsia="es-ES"/>
        </w:rPr>
        <w:t>Petition the timely rejection of the claim, with the imposition of costs to the plaintiff</w:t>
      </w:r>
      <w:r w:rsidR="00A20209" w:rsidRPr="00E8243A">
        <w:rPr>
          <w:rStyle w:val="FootnoteReference"/>
          <w:rFonts w:ascii="Cambria" w:hAnsi="Cambria"/>
          <w:sz w:val="16"/>
          <w:szCs w:val="16"/>
        </w:rPr>
        <w:footnoteReference w:id="9"/>
      </w:r>
    </w:p>
    <w:p w14:paraId="418E5C15" w14:textId="77777777" w:rsidR="005523E4" w:rsidRPr="004D028B" w:rsidRDefault="005523E4" w:rsidP="005523E4">
      <w:pPr>
        <w:pStyle w:val="parrafos"/>
        <w:tabs>
          <w:tab w:val="left" w:pos="360"/>
        </w:tabs>
        <w:rPr>
          <w:lang w:val="en-US"/>
        </w:rPr>
      </w:pPr>
    </w:p>
    <w:p w14:paraId="16199545" w14:textId="59E891CF" w:rsidR="00057227" w:rsidRDefault="00107C43" w:rsidP="00107C43">
      <w:pPr>
        <w:pStyle w:val="parrafos"/>
        <w:numPr>
          <w:ilvl w:val="0"/>
          <w:numId w:val="25"/>
        </w:numPr>
        <w:tabs>
          <w:tab w:val="left" w:pos="270"/>
        </w:tabs>
        <w:ind w:left="0" w:firstLine="0"/>
      </w:pPr>
      <w:r w:rsidRPr="004D028B">
        <w:rPr>
          <w:lang w:val="en-US"/>
        </w:rPr>
        <w:t xml:space="preserve"> On March 17, 1987, the National Court of First Instance in Commercial Matters No. 4, Secretariat No. 7, decreed a general inhibition of assets of a precautionary nature with respect to Rafael Chaikin and Héctor Leonardo Kemelmajen. </w:t>
      </w:r>
      <w:r w:rsidR="00264549" w:rsidRPr="00E8243A">
        <w:rPr>
          <w:rStyle w:val="FootnoteReference"/>
          <w:rFonts w:ascii="Cambria" w:hAnsi="Cambria"/>
          <w:sz w:val="16"/>
          <w:szCs w:val="16"/>
        </w:rPr>
        <w:footnoteReference w:id="10"/>
      </w:r>
      <w:r w:rsidR="00264549">
        <w:rPr>
          <w:lang w:val="en-US"/>
        </w:rPr>
        <w:t xml:space="preserve"> </w:t>
      </w:r>
      <w:r w:rsidRPr="00107C43">
        <w:t>The Commission does not have such a decision.</w:t>
      </w:r>
    </w:p>
    <w:p w14:paraId="2A54B2FE" w14:textId="0E63746C" w:rsidR="00107C43" w:rsidRDefault="00107C43" w:rsidP="00107C43">
      <w:pPr>
        <w:pStyle w:val="parrafos"/>
        <w:tabs>
          <w:tab w:val="left" w:pos="270"/>
        </w:tabs>
      </w:pPr>
    </w:p>
    <w:p w14:paraId="64B569D6" w14:textId="4C9B515B" w:rsidR="00B24C15" w:rsidRPr="004D028B" w:rsidRDefault="00107C43" w:rsidP="00107C43">
      <w:pPr>
        <w:pStyle w:val="parrafos"/>
        <w:numPr>
          <w:ilvl w:val="0"/>
          <w:numId w:val="25"/>
        </w:numPr>
        <w:tabs>
          <w:tab w:val="left" w:pos="360"/>
        </w:tabs>
        <w:ind w:left="0" w:firstLine="0"/>
        <w:rPr>
          <w:lang w:val="en-US"/>
        </w:rPr>
      </w:pPr>
      <w:r w:rsidRPr="004D028B">
        <w:rPr>
          <w:lang w:val="en-US"/>
        </w:rPr>
        <w:t>On April 1, 1987, said measure was registered with the Registry of Real Property of the City of Buenos Aires and on October 7 of the same year with the Registry of Real Property of the Province of Buenos Aires</w:t>
      </w:r>
      <w:r w:rsidR="005A5147" w:rsidRPr="00015072">
        <w:rPr>
          <w:rStyle w:val="FootnoteReference"/>
          <w:rFonts w:asciiTheme="minorHAnsi" w:hAnsiTheme="minorHAnsi"/>
          <w:sz w:val="20"/>
        </w:rPr>
        <w:footnoteReference w:id="11"/>
      </w:r>
      <w:r w:rsidR="00B952C8" w:rsidRPr="004D028B">
        <w:rPr>
          <w:lang w:val="en-US"/>
        </w:rPr>
        <w:t xml:space="preserve">. </w:t>
      </w:r>
    </w:p>
    <w:p w14:paraId="205DC098" w14:textId="77777777" w:rsidR="00107C43" w:rsidRDefault="00107C43" w:rsidP="00107C43">
      <w:pPr>
        <w:pStyle w:val="ListParagraph"/>
      </w:pPr>
    </w:p>
    <w:p w14:paraId="6045157E" w14:textId="1EC19228" w:rsidR="00680E62" w:rsidRPr="004D028B" w:rsidRDefault="00107C43" w:rsidP="00107C43">
      <w:pPr>
        <w:pStyle w:val="parrafos"/>
        <w:numPr>
          <w:ilvl w:val="0"/>
          <w:numId w:val="25"/>
        </w:numPr>
        <w:tabs>
          <w:tab w:val="left" w:pos="360"/>
        </w:tabs>
        <w:ind w:left="0" w:firstLine="0"/>
        <w:rPr>
          <w:lang w:val="en-US"/>
        </w:rPr>
      </w:pPr>
      <w:r w:rsidRPr="004D028B">
        <w:rPr>
          <w:lang w:val="en-US"/>
        </w:rPr>
        <w:t xml:space="preserve">Subsequently, the National Bank of the Argentine Republic requested the re-registration of the inhibition measure. On March 18, 1992, the National Commercial Court of First Instance No. 4, Secretariat No. 7 ordered the re-registration of the inhibition measure before the Real Property Registry of the city of Buenos Aires. Regarding the re-registration of the inhibition measure in the Province of Buenos Aires, it was not requested and therefore expired five years after the initial registration. Subsequently, the plaintiff requested a new general injunction in the Province of Buenos Aires which was ordered on April 22, 1994 and </w:t>
      </w:r>
      <w:r w:rsidR="00F05E69" w:rsidRPr="004D028B">
        <w:rPr>
          <w:lang w:val="en-US"/>
        </w:rPr>
        <w:t>enacted</w:t>
      </w:r>
      <w:r w:rsidRPr="004D028B">
        <w:rPr>
          <w:lang w:val="en-US"/>
        </w:rPr>
        <w:t xml:space="preserve"> on November 10, </w:t>
      </w:r>
      <w:r w:rsidR="00CC602C" w:rsidRPr="004D028B">
        <w:rPr>
          <w:lang w:val="en-US"/>
        </w:rPr>
        <w:t>1994</w:t>
      </w:r>
      <w:r w:rsidR="005A5147" w:rsidRPr="00015072">
        <w:rPr>
          <w:rStyle w:val="FootnoteReference"/>
          <w:rFonts w:asciiTheme="minorHAnsi" w:hAnsiTheme="minorHAnsi"/>
          <w:sz w:val="20"/>
        </w:rPr>
        <w:footnoteReference w:id="12"/>
      </w:r>
      <w:r w:rsidR="00CC602C" w:rsidRPr="004D028B">
        <w:rPr>
          <w:lang w:val="en-US"/>
        </w:rPr>
        <w:t>.</w:t>
      </w:r>
    </w:p>
    <w:p w14:paraId="06E81904" w14:textId="77777777" w:rsidR="00107C43" w:rsidRDefault="00107C43" w:rsidP="00107C43">
      <w:pPr>
        <w:pStyle w:val="ListParagraph"/>
      </w:pPr>
    </w:p>
    <w:p w14:paraId="3DA286D7" w14:textId="3559BB45" w:rsidR="00F80A33" w:rsidRPr="004D028B" w:rsidRDefault="00107C43" w:rsidP="00107C43">
      <w:pPr>
        <w:pStyle w:val="parrafos"/>
        <w:numPr>
          <w:ilvl w:val="0"/>
          <w:numId w:val="25"/>
        </w:numPr>
        <w:tabs>
          <w:tab w:val="left" w:pos="360"/>
        </w:tabs>
        <w:ind w:left="0" w:firstLine="0"/>
        <w:rPr>
          <w:lang w:val="en-US"/>
        </w:rPr>
      </w:pPr>
      <w:r w:rsidRPr="004D028B">
        <w:rPr>
          <w:lang w:val="en-US"/>
        </w:rPr>
        <w:t xml:space="preserve">It is clear that the Central Bank of the Argentine Republic requested a new re-registration in the city of Buenos Aires, which was ordered on November 10, 1994 and was registered on January 3, 1995. Five years after the last registrations, </w:t>
      </w:r>
      <w:r w:rsidR="00F05E69" w:rsidRPr="004D028B">
        <w:rPr>
          <w:lang w:val="en-US"/>
        </w:rPr>
        <w:t>o</w:t>
      </w:r>
      <w:r w:rsidRPr="004D028B">
        <w:rPr>
          <w:lang w:val="en-US"/>
        </w:rPr>
        <w:t>n January 3, 2000, the inhibition expired in the city of Buenos Aires and on December 16, 1999 in the Province of Buenos Aires.</w:t>
      </w:r>
      <w:r w:rsidR="005A5147" w:rsidRPr="00015072">
        <w:rPr>
          <w:rStyle w:val="FootnoteReference"/>
          <w:rFonts w:asciiTheme="minorHAnsi" w:hAnsiTheme="minorHAnsi"/>
          <w:sz w:val="20"/>
        </w:rPr>
        <w:footnoteReference w:id="13"/>
      </w:r>
      <w:r w:rsidR="00F80A33" w:rsidRPr="004D028B">
        <w:rPr>
          <w:rFonts w:asciiTheme="minorHAnsi" w:hAnsiTheme="minorHAnsi"/>
          <w:lang w:val="en-US"/>
        </w:rPr>
        <w:t>.</w:t>
      </w:r>
      <w:r w:rsidR="00F80A33" w:rsidRPr="004D028B">
        <w:rPr>
          <w:lang w:val="en-US"/>
        </w:rPr>
        <w:t xml:space="preserve"> </w:t>
      </w:r>
    </w:p>
    <w:p w14:paraId="74AFBD58" w14:textId="77777777" w:rsidR="00107C43" w:rsidRDefault="00107C43" w:rsidP="00107C43">
      <w:pPr>
        <w:pStyle w:val="ListParagraph"/>
      </w:pPr>
    </w:p>
    <w:p w14:paraId="5205C00F" w14:textId="69F8CB2C" w:rsidR="00566F5C" w:rsidRPr="004D028B" w:rsidRDefault="00107C43" w:rsidP="00107C43">
      <w:pPr>
        <w:pStyle w:val="parrafos"/>
        <w:numPr>
          <w:ilvl w:val="0"/>
          <w:numId w:val="25"/>
        </w:numPr>
        <w:tabs>
          <w:tab w:val="left" w:pos="360"/>
        </w:tabs>
        <w:ind w:left="0" w:firstLine="0"/>
        <w:rPr>
          <w:lang w:val="en-US"/>
        </w:rPr>
      </w:pPr>
      <w:r w:rsidRPr="004D028B">
        <w:rPr>
          <w:lang w:val="en-US"/>
        </w:rPr>
        <w:lastRenderedPageBreak/>
        <w:t>Likewise, according to information available at the request of the Bank of the Republic of Argentina, the general inhibition of assets was ordered to be locked again, which became effective on April 6, 2004 in the city of Buenos Aires and on August 3, 2005 in the Province of Buenos Aires. Five years after the last inhibitions, the expiration of the same operated again</w:t>
      </w:r>
      <w:r w:rsidR="00264549">
        <w:rPr>
          <w:lang w:val="en-US"/>
        </w:rPr>
        <w:t>.</w:t>
      </w:r>
      <w:r w:rsidR="004A3EAA" w:rsidRPr="00015072">
        <w:rPr>
          <w:rStyle w:val="FootnoteReference"/>
          <w:rFonts w:asciiTheme="minorHAnsi" w:hAnsiTheme="minorHAnsi"/>
          <w:sz w:val="20"/>
        </w:rPr>
        <w:footnoteReference w:id="14"/>
      </w:r>
      <w:r w:rsidR="00F06504" w:rsidRPr="004D028B">
        <w:rPr>
          <w:lang w:val="en-US"/>
        </w:rPr>
        <w:t xml:space="preserve"> </w:t>
      </w:r>
    </w:p>
    <w:p w14:paraId="00A155A8" w14:textId="6AF085AB" w:rsidR="00015072" w:rsidRPr="004D028B" w:rsidRDefault="004D40C5" w:rsidP="00C4166F">
      <w:pPr>
        <w:pStyle w:val="Heading3"/>
        <w:numPr>
          <w:ilvl w:val="6"/>
          <w:numId w:val="2"/>
        </w:numPr>
        <w:rPr>
          <w:sz w:val="20"/>
          <w:szCs w:val="20"/>
          <w:lang w:val="en-US"/>
        </w:rPr>
      </w:pPr>
      <w:bookmarkStart w:id="24" w:name="_Toc203992804"/>
      <w:r w:rsidRPr="004D028B">
        <w:rPr>
          <w:sz w:val="20"/>
          <w:szCs w:val="20"/>
          <w:lang w:val="en-US"/>
        </w:rPr>
        <w:t>Decision of first instance of the patrimonial process.</w:t>
      </w:r>
      <w:bookmarkEnd w:id="24"/>
    </w:p>
    <w:p w14:paraId="2F9DC82B" w14:textId="6BD74705" w:rsidR="005A5147" w:rsidRPr="00C4166F" w:rsidRDefault="00107C43" w:rsidP="00C4166F">
      <w:pPr>
        <w:pStyle w:val="parrafos"/>
        <w:numPr>
          <w:ilvl w:val="0"/>
          <w:numId w:val="25"/>
        </w:numPr>
        <w:tabs>
          <w:tab w:val="left" w:pos="360"/>
        </w:tabs>
        <w:ind w:left="0" w:firstLine="0"/>
        <w:rPr>
          <w:lang w:val="es-ES_tradnl"/>
        </w:rPr>
      </w:pPr>
      <w:r w:rsidRPr="004D028B">
        <w:rPr>
          <w:lang w:val="en-US"/>
        </w:rPr>
        <w:t xml:space="preserve">On December 23, 2003, the National Court of First Instance declared the application admissible. </w:t>
      </w:r>
      <w:r w:rsidRPr="00107C43">
        <w:t>In his decision he reasoned that:</w:t>
      </w:r>
    </w:p>
    <w:p w14:paraId="3CCC68DA" w14:textId="77777777" w:rsidR="00C4166F" w:rsidRPr="006C013A" w:rsidRDefault="00C4166F" w:rsidP="00C4166F">
      <w:pPr>
        <w:pStyle w:val="parrafos"/>
        <w:tabs>
          <w:tab w:val="left" w:pos="360"/>
        </w:tabs>
        <w:rPr>
          <w:lang w:val="es-ES_tradnl"/>
        </w:rPr>
      </w:pPr>
    </w:p>
    <w:p w14:paraId="58596ED3" w14:textId="0F03B065" w:rsidR="00F95A9B" w:rsidRPr="004D028B"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 First of all, it must be duly established that this Court considers applicable to the case under analysis, the provision of art. 173 of Law 24,522, which establishes that the agent's fraud is a condition of the duty to indemnify that said norm describes.</w:t>
      </w:r>
    </w:p>
    <w:p w14:paraId="1B92C38C" w14:textId="77777777" w:rsidR="00107C43" w:rsidRPr="004D028B"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p>
    <w:p w14:paraId="567D7B56" w14:textId="77777777" w:rsidR="00107C43" w:rsidRPr="002C6B5A"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r w:rsidRPr="002C6B5A">
        <w:rPr>
          <w:rFonts w:ascii="Cambria" w:eastAsia="Cambria" w:hAnsi="Cambria" w:cs="Cambria"/>
          <w:color w:val="000000"/>
          <w:sz w:val="18"/>
          <w:szCs w:val="24"/>
          <w:u w:color="000000"/>
          <w:bdr w:val="nil"/>
          <w:lang w:val="en-US" w:eastAsia="es-ES"/>
        </w:rPr>
        <w:t xml:space="preserve">This is so even when the present process was initiated when the invoked article 166 of the repealed law 19,551 was in force, since the reform introduced by law 24,522 must be applied immediately to the processes in process with the scope of arts. </w:t>
      </w:r>
      <w:r w:rsidRPr="004D028B">
        <w:rPr>
          <w:rFonts w:ascii="Cambria" w:eastAsia="Cambria" w:hAnsi="Cambria" w:cs="Cambria"/>
          <w:color w:val="000000"/>
          <w:sz w:val="18"/>
          <w:szCs w:val="24"/>
          <w:u w:color="000000"/>
          <w:bdr w:val="nil"/>
          <w:lang w:val="en-US" w:eastAsia="es-ES"/>
        </w:rPr>
        <w:t xml:space="preserve">2nd and 3rd of the Code. Civil (Conf. CN Com. Room "E" in files "Create Argentine Credit SA of Savings and Loan for housing the liquid. </w:t>
      </w:r>
      <w:r w:rsidRPr="002C6B5A">
        <w:rPr>
          <w:rFonts w:ascii="Cambria" w:eastAsia="Cambria" w:hAnsi="Cambria" w:cs="Cambria"/>
          <w:color w:val="000000"/>
          <w:sz w:val="18"/>
          <w:szCs w:val="24"/>
          <w:u w:color="000000"/>
          <w:bdr w:val="nil"/>
          <w:lang w:val="en-US" w:eastAsia="es-ES"/>
        </w:rPr>
        <w:t>C / Campos Antonio and others s / Ordinario", of 3/21/2000 ".; published in ED of 04-24-2001) .-</w:t>
      </w:r>
    </w:p>
    <w:p w14:paraId="26F187E2" w14:textId="77777777" w:rsidR="00107C43" w:rsidRPr="002C6B5A"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p>
    <w:p w14:paraId="1AF6A353" w14:textId="77777777" w:rsidR="00107C43" w:rsidRPr="004D028B"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II.- Following the line of argument of the liquidator-liquidator of the Central Bank, which was exposed in his initial brief and in the argument that was presented at the appropriate procedural opportunity, it is appropriate to state that all those who have been sued (members of the council of administration, receivership and responsible third parties), will be sentenced on the basis of what is deduced from the records of the case, mainly the evidence offered and produced by the plaintiff.-</w:t>
      </w:r>
    </w:p>
    <w:p w14:paraId="02E45FCD" w14:textId="77777777" w:rsidR="00107C43" w:rsidRPr="004D028B"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p>
    <w:p w14:paraId="0C9DF8B6" w14:textId="0E075458" w:rsidR="005A5147" w:rsidRPr="004D028B"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This is so because the attitude of the members of the entity in liquidation “… cannot be merely passive, they are not a decorative figure of the company but rather an organ of it and there is no possibility of excluding their responsibility without a positive activity to state your dissent in writing and make the pertinent compl</w:t>
      </w:r>
      <w:r w:rsidR="00264549">
        <w:rPr>
          <w:rFonts w:ascii="Cambria" w:eastAsia="Cambria" w:hAnsi="Cambria" w:cs="Cambria"/>
          <w:color w:val="000000"/>
          <w:sz w:val="18"/>
          <w:szCs w:val="24"/>
          <w:u w:color="000000"/>
          <w:bdr w:val="nil"/>
          <w:lang w:val="en-US" w:eastAsia="es-ES"/>
        </w:rPr>
        <w:t xml:space="preserve">aint to the trustee (art. 272 </w:t>
      </w:r>
      <w:r w:rsidRPr="004D028B">
        <w:rPr>
          <w:rFonts w:ascii="Cambria" w:eastAsia="Cambria" w:hAnsi="Cambria" w:cs="Cambria"/>
          <w:color w:val="000000"/>
          <w:sz w:val="18"/>
          <w:szCs w:val="24"/>
          <w:u w:color="000000"/>
          <w:bdr w:val="nil"/>
          <w:lang w:val="en-US" w:eastAsia="es-ES"/>
        </w:rPr>
        <w:t>- Paragraph 3º LS)</w:t>
      </w:r>
    </w:p>
    <w:p w14:paraId="6DB57DBC" w14:textId="77777777" w:rsidR="00107C43" w:rsidRPr="004D028B"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p>
    <w:p w14:paraId="235B2500" w14:textId="1A455637" w:rsidR="005A5147" w:rsidRPr="004D028B"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The totality of the arguments put forward by each of the defendants (except Calabressi, who did not answer the claim, despite being duly notified (...) in their respective responses, are not sufficient to exempt them from the responsibility attributed to them, especially if we have in Consideration that - in general - the evidence they offered for this purpose does not appear convincing to separate them from the accusations that the plaintiff imputes to them</w:t>
      </w:r>
      <w:r w:rsidR="005A5147" w:rsidRPr="00E8243A">
        <w:rPr>
          <w:rStyle w:val="FootnoteReference"/>
          <w:rFonts w:ascii="Cambria" w:hAnsi="Cambria"/>
          <w:sz w:val="16"/>
          <w:szCs w:val="16"/>
        </w:rPr>
        <w:footnoteReference w:id="15"/>
      </w:r>
      <w:r w:rsidR="005A5147" w:rsidRPr="004D028B">
        <w:rPr>
          <w:rFonts w:ascii="Cambria" w:eastAsia="Cambria" w:hAnsi="Cambria" w:cs="Cambria"/>
          <w:color w:val="000000"/>
          <w:sz w:val="18"/>
          <w:szCs w:val="24"/>
          <w:u w:color="000000"/>
          <w:bdr w:val="nil"/>
          <w:lang w:val="en-US" w:eastAsia="es-ES"/>
        </w:rPr>
        <w:t xml:space="preserve">. </w:t>
      </w:r>
    </w:p>
    <w:p w14:paraId="7AA74464" w14:textId="77777777" w:rsidR="005A5147" w:rsidRPr="004D028B" w:rsidRDefault="005A5147" w:rsidP="004D028B">
      <w:pPr>
        <w:pStyle w:val="parrafos"/>
        <w:tabs>
          <w:tab w:val="left" w:pos="360"/>
        </w:tabs>
        <w:ind w:right="270"/>
        <w:rPr>
          <w:lang w:val="en-US"/>
        </w:rPr>
      </w:pPr>
    </w:p>
    <w:p w14:paraId="15EC74A2" w14:textId="77777777" w:rsidR="00107C43" w:rsidRPr="004D028B"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 What the liquidator indicates that there are credits granted with false signatures, it can be appreciated with certain executive processes arrived ad effectum videndi et probandi, that such an assertion is true; It is important to highlight that it is one more link, in everything that is imputed to the accused (...) The amount of the sentence - despite the fact that the initial amount amounted to $ 3,424,000,000.- (today $ 342.40) - It will amount to the sum of $ 6,026,907.82, as it is the amount that, according to calculations projected by the representative of the Central Bank of the Argentine Republic, after indicating the net flows of funds, are reported to fs. 3813/3816; the figure recorded is as of April 30, 1995.-</w:t>
      </w:r>
    </w:p>
    <w:p w14:paraId="465F6F5D" w14:textId="3BEB08C3" w:rsidR="005A5147" w:rsidRPr="004D028B" w:rsidRDefault="00107C43"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 xml:space="preserve">(…) Therefore, FAILURE: Giving place to the claim in the preceding terms, condemning (…) CHAIKIN, RAFAEL; KEMELMAJEN, HECTOR LEONARDO (…) to pay the plaintiff the sum of $ 6,026,907.82 plus interest </w:t>
      </w:r>
      <w:r w:rsidR="005A5147" w:rsidRPr="004D028B">
        <w:rPr>
          <w:rFonts w:ascii="Cambria" w:eastAsia="Cambria" w:hAnsi="Cambria" w:cs="Cambria"/>
          <w:color w:val="000000"/>
          <w:sz w:val="18"/>
          <w:szCs w:val="24"/>
          <w:u w:color="000000"/>
          <w:bdr w:val="nil"/>
          <w:lang w:val="en-US" w:eastAsia="es-ES"/>
        </w:rPr>
        <w:t>(…)</w:t>
      </w:r>
      <w:r w:rsidR="004D028B">
        <w:rPr>
          <w:rFonts w:ascii="Cambria" w:eastAsia="Cambria" w:hAnsi="Cambria" w:cs="Cambria"/>
          <w:color w:val="000000"/>
          <w:sz w:val="18"/>
          <w:szCs w:val="24"/>
          <w:u w:color="000000"/>
          <w:bdr w:val="nil"/>
          <w:lang w:val="en-US" w:eastAsia="es-ES"/>
        </w:rPr>
        <w:t>.</w:t>
      </w:r>
      <w:r w:rsidR="005A5147" w:rsidRPr="00E8243A">
        <w:rPr>
          <w:rStyle w:val="FootnoteReference"/>
          <w:rFonts w:ascii="Cambria" w:hAnsi="Cambria"/>
          <w:sz w:val="16"/>
          <w:szCs w:val="16"/>
        </w:rPr>
        <w:footnoteReference w:id="16"/>
      </w:r>
    </w:p>
    <w:p w14:paraId="0F10E0CA" w14:textId="77868600" w:rsidR="00C4166F" w:rsidRPr="004D028B" w:rsidRDefault="004D40C5" w:rsidP="00C4166F">
      <w:pPr>
        <w:pStyle w:val="Heading3"/>
        <w:numPr>
          <w:ilvl w:val="6"/>
          <w:numId w:val="2"/>
        </w:numPr>
        <w:rPr>
          <w:sz w:val="20"/>
          <w:szCs w:val="20"/>
          <w:lang w:val="en-US"/>
        </w:rPr>
      </w:pPr>
      <w:bookmarkStart w:id="25" w:name="_Toc203992805"/>
      <w:r w:rsidRPr="004D028B">
        <w:rPr>
          <w:sz w:val="20"/>
          <w:szCs w:val="20"/>
          <w:lang w:val="en-US"/>
        </w:rPr>
        <w:lastRenderedPageBreak/>
        <w:t>File of the patrimonial process and new general inhibition of assets</w:t>
      </w:r>
      <w:bookmarkEnd w:id="25"/>
    </w:p>
    <w:p w14:paraId="72FECA29" w14:textId="09541E4B" w:rsidR="005A5147" w:rsidRDefault="0034559F" w:rsidP="0034559F">
      <w:pPr>
        <w:pStyle w:val="parrafos"/>
        <w:numPr>
          <w:ilvl w:val="0"/>
          <w:numId w:val="25"/>
        </w:numPr>
        <w:tabs>
          <w:tab w:val="left" w:pos="450"/>
        </w:tabs>
        <w:ind w:left="0" w:firstLine="0"/>
      </w:pPr>
      <w:r w:rsidRPr="004D028B">
        <w:rPr>
          <w:lang w:val="en-US"/>
        </w:rPr>
        <w:t>According to available information, the alleged victims subsequently filed an appeal before the National Chamber of Commercial Appeals, which was granted on March 1, 2004.</w:t>
      </w:r>
      <w:r w:rsidR="00264549" w:rsidRPr="00264549">
        <w:rPr>
          <w:rStyle w:val="FootnoteReference"/>
          <w:rFonts w:asciiTheme="minorHAnsi" w:hAnsiTheme="minorHAnsi"/>
          <w:sz w:val="20"/>
          <w:lang w:val="en-US"/>
        </w:rPr>
        <w:t xml:space="preserve"> </w:t>
      </w:r>
      <w:r w:rsidR="00264549" w:rsidRPr="009A44C6">
        <w:rPr>
          <w:rStyle w:val="FootnoteReference"/>
          <w:rFonts w:asciiTheme="minorHAnsi" w:hAnsiTheme="minorHAnsi"/>
          <w:sz w:val="20"/>
        </w:rPr>
        <w:footnoteReference w:id="17"/>
      </w:r>
      <w:r w:rsidRPr="004D028B">
        <w:rPr>
          <w:lang w:val="en-US"/>
        </w:rPr>
        <w:t xml:space="preserve"> </w:t>
      </w:r>
      <w:r w:rsidRPr="0034559F">
        <w:t>The Commission does not have such a decision.</w:t>
      </w:r>
    </w:p>
    <w:p w14:paraId="42056621" w14:textId="3479B526" w:rsidR="0034559F" w:rsidRDefault="0034559F" w:rsidP="0034559F">
      <w:pPr>
        <w:pStyle w:val="parrafos"/>
        <w:tabs>
          <w:tab w:val="left" w:pos="450"/>
        </w:tabs>
      </w:pPr>
    </w:p>
    <w:p w14:paraId="3C2751AA" w14:textId="72B2F520" w:rsidR="0034559F" w:rsidRPr="004D028B" w:rsidRDefault="0034559F" w:rsidP="0034559F">
      <w:pPr>
        <w:pStyle w:val="parrafos"/>
        <w:numPr>
          <w:ilvl w:val="0"/>
          <w:numId w:val="25"/>
        </w:numPr>
        <w:tabs>
          <w:tab w:val="left" w:pos="450"/>
        </w:tabs>
        <w:ind w:left="0" w:firstLine="0"/>
        <w:rPr>
          <w:lang w:val="en-US"/>
        </w:rPr>
      </w:pPr>
      <w:r w:rsidRPr="004D028B">
        <w:rPr>
          <w:lang w:val="en-US"/>
        </w:rPr>
        <w:t>On May 6, 2004, the National Chamber of Commercial Appeals suspended the terms of second instance until "these proceedings are in a position to be elevated to the superior."</w:t>
      </w:r>
    </w:p>
    <w:p w14:paraId="0CFD94A1" w14:textId="77777777" w:rsidR="0034559F" w:rsidRDefault="0034559F" w:rsidP="0034559F">
      <w:pPr>
        <w:pStyle w:val="ListParagraph"/>
      </w:pPr>
    </w:p>
    <w:p w14:paraId="087BA41E" w14:textId="7ECFA7FB" w:rsidR="00487D1D" w:rsidRPr="004D028B" w:rsidRDefault="0034559F" w:rsidP="00487D1D">
      <w:pPr>
        <w:pStyle w:val="parrafos"/>
        <w:numPr>
          <w:ilvl w:val="0"/>
          <w:numId w:val="25"/>
        </w:numPr>
        <w:tabs>
          <w:tab w:val="left" w:pos="450"/>
        </w:tabs>
        <w:ind w:left="0" w:firstLine="0"/>
        <w:rPr>
          <w:lang w:val="en-US"/>
        </w:rPr>
      </w:pPr>
      <w:r w:rsidRPr="004D028B">
        <w:rPr>
          <w:lang w:val="en-US"/>
        </w:rPr>
        <w:t>On February 1, 2008, the National Chamber of Commercial Appeals stated:</w:t>
      </w:r>
    </w:p>
    <w:p w14:paraId="7F6C3D4B" w14:textId="2909BFB4" w:rsidR="00C4166F" w:rsidRPr="004D028B" w:rsidRDefault="00C4166F" w:rsidP="00C4166F">
      <w:pPr>
        <w:pStyle w:val="parrafos"/>
        <w:tabs>
          <w:tab w:val="left" w:pos="450"/>
        </w:tabs>
        <w:rPr>
          <w:lang w:val="en-US"/>
        </w:rPr>
      </w:pPr>
    </w:p>
    <w:p w14:paraId="0A53CC86" w14:textId="2E8DACAD" w:rsidR="00487D1D" w:rsidRPr="004D028B" w:rsidRDefault="0034559F" w:rsidP="004D028B">
      <w:pPr>
        <w:pBdr>
          <w:top w:val="nil"/>
          <w:left w:val="nil"/>
          <w:bottom w:val="nil"/>
          <w:right w:val="nil"/>
          <w:between w:val="nil"/>
          <w:bar w:val="nil"/>
        </w:pBdr>
        <w:spacing w:after="0" w:line="240" w:lineRule="auto"/>
        <w:ind w:left="360" w:right="270"/>
        <w:jc w:val="both"/>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 In view of the time that has elapsed since the reception of the file from the General Judicial Archive without any activity, it should be returned to be placed in the respective file</w:t>
      </w:r>
      <w:r w:rsidRPr="004D028B">
        <w:rPr>
          <w:rStyle w:val="FootnoteReference"/>
          <w:rFonts w:ascii="Cambria" w:eastAsia="Cambria" w:hAnsi="Cambria" w:cs="Cambria"/>
          <w:color w:val="000000"/>
          <w:sz w:val="18"/>
          <w:szCs w:val="24"/>
          <w:u w:color="000000"/>
          <w:bdr w:val="nil"/>
          <w:vertAlign w:val="baseline"/>
          <w:lang w:val="en-US" w:eastAsia="es-ES"/>
        </w:rPr>
        <w:t xml:space="preserve"> </w:t>
      </w:r>
      <w:r w:rsidR="004D028B">
        <w:rPr>
          <w:rStyle w:val="FootnoteReference"/>
          <w:rFonts w:ascii="Cambria" w:eastAsia="Cambria" w:hAnsi="Cambria" w:cs="Cambria"/>
          <w:color w:val="000000"/>
          <w:sz w:val="18"/>
          <w:szCs w:val="24"/>
          <w:u w:color="000000"/>
          <w:bdr w:val="nil"/>
          <w:vertAlign w:val="baseline"/>
          <w:lang w:val="en-US" w:eastAsia="es-ES"/>
        </w:rPr>
        <w:t>.</w:t>
      </w:r>
      <w:r w:rsidR="007C1146" w:rsidRPr="00527697">
        <w:rPr>
          <w:rStyle w:val="FootnoteReference"/>
          <w:rFonts w:asciiTheme="minorHAnsi" w:eastAsia="Cambria" w:hAnsiTheme="minorHAnsi" w:cs="Cambria"/>
          <w:color w:val="000000"/>
          <w:sz w:val="20"/>
          <w:szCs w:val="20"/>
          <w:u w:color="000000"/>
          <w:bdr w:val="nil"/>
          <w:lang w:val="en-US" w:eastAsia="es-ES"/>
        </w:rPr>
        <w:t xml:space="preserve"> </w:t>
      </w:r>
      <w:r w:rsidR="007C1146" w:rsidRPr="00A704B9">
        <w:rPr>
          <w:rStyle w:val="FootnoteReference"/>
          <w:rFonts w:asciiTheme="minorHAnsi" w:eastAsia="Cambria" w:hAnsiTheme="minorHAnsi" w:cs="Cambria"/>
          <w:color w:val="000000"/>
          <w:sz w:val="20"/>
          <w:szCs w:val="20"/>
          <w:u w:color="000000"/>
          <w:bdr w:val="nil"/>
          <w:lang w:val="es-ES" w:eastAsia="es-ES"/>
        </w:rPr>
        <w:footnoteReference w:id="18"/>
      </w:r>
    </w:p>
    <w:p w14:paraId="4BD9D7F1" w14:textId="77777777" w:rsidR="00487D1D" w:rsidRPr="004D028B" w:rsidRDefault="00487D1D" w:rsidP="00487D1D">
      <w:pPr>
        <w:pStyle w:val="parrafos"/>
        <w:tabs>
          <w:tab w:val="left" w:pos="360"/>
        </w:tabs>
        <w:rPr>
          <w:lang w:val="en-US"/>
        </w:rPr>
      </w:pPr>
    </w:p>
    <w:p w14:paraId="0C5CCC1B" w14:textId="1D4BB81E" w:rsidR="00487D1D" w:rsidRDefault="0034559F" w:rsidP="0034559F">
      <w:pPr>
        <w:pStyle w:val="parrafos"/>
        <w:numPr>
          <w:ilvl w:val="0"/>
          <w:numId w:val="25"/>
        </w:numPr>
        <w:tabs>
          <w:tab w:val="left" w:pos="360"/>
        </w:tabs>
        <w:ind w:left="0" w:firstLine="0"/>
        <w:rPr>
          <w:lang w:val="en-US"/>
        </w:rPr>
      </w:pPr>
      <w:r w:rsidRPr="004D028B">
        <w:rPr>
          <w:lang w:val="en-US"/>
        </w:rPr>
        <w:t>On July 7, 2008, the National Chamber of Commercial Appeals ordered the filing of the proceedings in that instance in the following terms:</w:t>
      </w:r>
    </w:p>
    <w:p w14:paraId="7CE3141D" w14:textId="77777777" w:rsidR="004D028B" w:rsidRPr="004D028B" w:rsidRDefault="004D028B" w:rsidP="004D028B">
      <w:pPr>
        <w:pStyle w:val="parrafos"/>
        <w:tabs>
          <w:tab w:val="left" w:pos="360"/>
        </w:tabs>
        <w:rPr>
          <w:lang w:val="en-US"/>
        </w:rPr>
      </w:pPr>
    </w:p>
    <w:p w14:paraId="4E6D63A4" w14:textId="77777777" w:rsidR="0034559F" w:rsidRPr="004D028B" w:rsidRDefault="0034559F" w:rsidP="004D028B">
      <w:pPr>
        <w:pBdr>
          <w:top w:val="nil"/>
          <w:left w:val="nil"/>
          <w:bottom w:val="nil"/>
          <w:right w:val="nil"/>
          <w:between w:val="nil"/>
          <w:bar w:val="nil"/>
        </w:pBdr>
        <w:spacing w:after="0" w:line="240" w:lineRule="auto"/>
        <w:ind w:left="360" w:right="270"/>
        <w:rPr>
          <w:rFonts w:ascii="Cambria" w:eastAsia="Cambria" w:hAnsi="Cambria" w:cs="Cambria"/>
          <w:color w:val="000000"/>
          <w:sz w:val="18"/>
          <w:szCs w:val="24"/>
          <w:u w:color="000000"/>
          <w:bdr w:val="nil"/>
          <w:lang w:val="en-US" w:eastAsia="es-ES"/>
        </w:rPr>
      </w:pPr>
      <w:r w:rsidRPr="004D028B">
        <w:rPr>
          <w:rFonts w:ascii="Cambria" w:eastAsia="Cambria" w:hAnsi="Cambria" w:cs="Cambria"/>
          <w:color w:val="000000"/>
          <w:sz w:val="18"/>
          <w:szCs w:val="24"/>
          <w:u w:color="000000"/>
          <w:bdr w:val="nil"/>
          <w:lang w:val="en-US" w:eastAsia="es-ES"/>
        </w:rPr>
        <w:t>(…) Intimidate the plaintiff so that within a period of 48 hrs. remove from the Secretariat the documentary and other annexes duly accompanied in the main files, under warning of destruction.</w:t>
      </w:r>
    </w:p>
    <w:p w14:paraId="64FEE746" w14:textId="3C4FA6D7" w:rsidR="005A5147" w:rsidRPr="00487D1D" w:rsidRDefault="0034559F" w:rsidP="004D028B">
      <w:pPr>
        <w:pBdr>
          <w:top w:val="nil"/>
          <w:left w:val="nil"/>
          <w:bottom w:val="nil"/>
          <w:right w:val="nil"/>
          <w:between w:val="nil"/>
          <w:bar w:val="nil"/>
        </w:pBdr>
        <w:spacing w:after="0" w:line="240" w:lineRule="auto"/>
        <w:ind w:left="360" w:right="270"/>
        <w:rPr>
          <w:rFonts w:ascii="Cambria" w:eastAsia="Cambria" w:hAnsi="Cambria" w:cs="Cambria"/>
          <w:color w:val="000000"/>
          <w:sz w:val="18"/>
          <w:szCs w:val="24"/>
          <w:u w:color="000000"/>
          <w:bdr w:val="nil"/>
          <w:lang w:val="es-ES" w:eastAsia="es-ES"/>
        </w:rPr>
      </w:pPr>
      <w:r w:rsidRPr="004D028B">
        <w:rPr>
          <w:rFonts w:ascii="Cambria" w:eastAsia="Cambria" w:hAnsi="Cambria" w:cs="Cambria"/>
          <w:color w:val="000000"/>
          <w:sz w:val="18"/>
          <w:szCs w:val="24"/>
          <w:u w:color="000000"/>
          <w:bdr w:val="nil"/>
          <w:lang w:val="en-US" w:eastAsia="es-ES"/>
        </w:rPr>
        <w:t xml:space="preserve">This, without prejudice to the fact that the expte. It is in the file, because by disposition of the Hon. Chamber of Commerce it is essential to immediately vacate the basement of the building. </w:t>
      </w:r>
      <w:r w:rsidRPr="0034559F">
        <w:rPr>
          <w:rFonts w:ascii="Cambria" w:eastAsia="Cambria" w:hAnsi="Cambria" w:cs="Cambria"/>
          <w:color w:val="000000"/>
          <w:sz w:val="18"/>
          <w:szCs w:val="24"/>
          <w:u w:color="000000"/>
          <w:bdr w:val="nil"/>
          <w:lang w:val="es-ES" w:eastAsia="es-ES"/>
        </w:rPr>
        <w:t>Notify by Secretariat</w:t>
      </w:r>
      <w:r w:rsidRPr="0034559F">
        <w:rPr>
          <w:rStyle w:val="FootnoteReference"/>
          <w:rFonts w:ascii="Cambria" w:eastAsia="Cambria" w:hAnsi="Cambria" w:cs="Cambria"/>
          <w:color w:val="000000"/>
          <w:sz w:val="18"/>
          <w:szCs w:val="24"/>
          <w:u w:color="000000"/>
          <w:bdr w:val="nil"/>
          <w:lang w:val="es-ES" w:eastAsia="es-ES"/>
        </w:rPr>
        <w:t xml:space="preserve"> </w:t>
      </w:r>
      <w:r w:rsidR="00487D1D" w:rsidRPr="00487D1D">
        <w:rPr>
          <w:rStyle w:val="FootnoteReference"/>
          <w:rFonts w:asciiTheme="minorHAnsi" w:eastAsia="Cambria" w:hAnsiTheme="minorHAnsi" w:cs="Cambria"/>
          <w:color w:val="000000"/>
          <w:sz w:val="16"/>
          <w:szCs w:val="16"/>
          <w:u w:color="000000"/>
          <w:bdr w:val="nil"/>
          <w:lang w:val="es-ES" w:eastAsia="es-ES"/>
        </w:rPr>
        <w:footnoteReference w:id="19"/>
      </w:r>
      <w:r w:rsidR="00487D1D">
        <w:rPr>
          <w:rFonts w:ascii="Cambria" w:eastAsia="Cambria" w:hAnsi="Cambria" w:cs="Cambria"/>
          <w:color w:val="000000"/>
          <w:sz w:val="18"/>
          <w:szCs w:val="24"/>
          <w:u w:color="000000"/>
          <w:bdr w:val="nil"/>
          <w:lang w:val="es-ES" w:eastAsia="es-ES"/>
        </w:rPr>
        <w:t>.</w:t>
      </w:r>
    </w:p>
    <w:p w14:paraId="530A4178" w14:textId="77777777" w:rsidR="0063658A" w:rsidRDefault="0063658A" w:rsidP="0063658A">
      <w:pPr>
        <w:pStyle w:val="parrafos"/>
        <w:tabs>
          <w:tab w:val="left" w:pos="360"/>
        </w:tabs>
      </w:pPr>
    </w:p>
    <w:p w14:paraId="2B91D9AA" w14:textId="037521BC" w:rsidR="00070F35" w:rsidRPr="004D028B" w:rsidRDefault="0034559F" w:rsidP="0034559F">
      <w:pPr>
        <w:pStyle w:val="parrafos"/>
        <w:numPr>
          <w:ilvl w:val="0"/>
          <w:numId w:val="25"/>
        </w:numPr>
        <w:tabs>
          <w:tab w:val="left" w:pos="360"/>
        </w:tabs>
        <w:ind w:left="0" w:firstLine="0"/>
        <w:rPr>
          <w:lang w:val="en-US"/>
        </w:rPr>
      </w:pPr>
      <w:r w:rsidRPr="004D028B">
        <w:rPr>
          <w:lang w:val="en-US"/>
        </w:rPr>
        <w:t>Subsequently, on March 7, 2012, the National Court of First Instance in Commercial Matters No. 4, Secretariat No. 7 ordered a new general inhibition of property against the alleged victims. The procedural report presented by the secretariat of the National Court indicated:</w:t>
      </w:r>
    </w:p>
    <w:p w14:paraId="3F9BE95C" w14:textId="77777777" w:rsidR="00C4166F" w:rsidRPr="004D028B" w:rsidRDefault="00C4166F" w:rsidP="00C4166F">
      <w:pPr>
        <w:pStyle w:val="parrafos"/>
        <w:tabs>
          <w:tab w:val="left" w:pos="360"/>
        </w:tabs>
        <w:rPr>
          <w:lang w:val="en-US"/>
        </w:rPr>
      </w:pPr>
    </w:p>
    <w:p w14:paraId="6AC628A9" w14:textId="77777777" w:rsidR="0034559F" w:rsidRPr="004D028B" w:rsidRDefault="0034559F" w:rsidP="004D028B">
      <w:pPr>
        <w:ind w:left="360" w:right="270"/>
        <w:jc w:val="both"/>
        <w:rPr>
          <w:rFonts w:ascii="Cambria" w:eastAsia="Cambria" w:hAnsi="Cambria" w:cs="Cambria"/>
          <w:color w:val="000000"/>
          <w:sz w:val="18"/>
          <w:szCs w:val="18"/>
          <w:u w:color="000000"/>
          <w:lang w:val="en-US" w:eastAsia="es-ES"/>
        </w:rPr>
      </w:pPr>
      <w:r w:rsidRPr="004D028B">
        <w:rPr>
          <w:rFonts w:ascii="Cambria" w:eastAsia="Cambria" w:hAnsi="Cambria" w:cs="Cambria"/>
          <w:color w:val="000000"/>
          <w:sz w:val="18"/>
          <w:szCs w:val="18"/>
          <w:u w:color="000000"/>
          <w:lang w:val="en-US" w:eastAsia="es-ES"/>
        </w:rPr>
        <w:t>(…) By virtue of the conviction relapsed in the record, (…) the registration of a new general inhibition of assets was ordered at the request of the Central Bank of the Argentine Republic against the defendants, including the two persons in question. To date, his work has not been credited.</w:t>
      </w:r>
    </w:p>
    <w:p w14:paraId="4F12C3EB" w14:textId="77777777" w:rsidR="0034559F" w:rsidRPr="004D028B" w:rsidRDefault="0034559F" w:rsidP="004D028B">
      <w:pPr>
        <w:ind w:left="360" w:right="270"/>
        <w:jc w:val="both"/>
        <w:rPr>
          <w:rFonts w:ascii="Cambria" w:eastAsia="Cambria" w:hAnsi="Cambria" w:cs="Cambria"/>
          <w:color w:val="000000"/>
          <w:sz w:val="18"/>
          <w:szCs w:val="18"/>
          <w:u w:color="000000"/>
          <w:lang w:val="en-US" w:eastAsia="es-ES"/>
        </w:rPr>
      </w:pPr>
      <w:r w:rsidRPr="004D028B">
        <w:rPr>
          <w:rFonts w:ascii="Cambria" w:eastAsia="Cambria" w:hAnsi="Cambria" w:cs="Cambria"/>
          <w:color w:val="000000"/>
          <w:sz w:val="18"/>
          <w:szCs w:val="18"/>
          <w:u w:color="000000"/>
          <w:lang w:val="en-US" w:eastAsia="es-ES"/>
        </w:rPr>
        <w:t>saw. On the other hand, after the survey carried out, it should be noted that neither of these two defendants specifically requested the lifting of the general inhibition of assets, and fewer justified or argued the reasons that should be evaluated for its lifting. Nor did they request a replacement of the precautionary measure in the terms of art. 203 of the CPCC.</w:t>
      </w:r>
    </w:p>
    <w:p w14:paraId="2341938F" w14:textId="7787EFFE" w:rsidR="004D028B" w:rsidRPr="004D028B" w:rsidRDefault="0034559F" w:rsidP="004D028B">
      <w:pPr>
        <w:ind w:left="360" w:right="270"/>
        <w:jc w:val="both"/>
        <w:rPr>
          <w:rFonts w:ascii="Cambria" w:eastAsia="Cambria" w:hAnsi="Cambria" w:cs="Cambria"/>
          <w:color w:val="000000"/>
          <w:sz w:val="18"/>
          <w:szCs w:val="18"/>
          <w:u w:color="000000"/>
          <w:lang w:val="en-US" w:eastAsia="es-ES"/>
        </w:rPr>
      </w:pPr>
      <w:r w:rsidRPr="004D028B">
        <w:rPr>
          <w:rFonts w:ascii="Cambria" w:eastAsia="Cambria" w:hAnsi="Cambria" w:cs="Cambria"/>
          <w:color w:val="000000"/>
          <w:sz w:val="18"/>
          <w:szCs w:val="18"/>
          <w:u w:color="000000"/>
          <w:lang w:val="en-US" w:eastAsia="es-ES"/>
        </w:rPr>
        <w:t>Finally, it is reported that in these proceedings the general inhibition of assets of Messrs. Rafael Chaikin and Héctor Leonardo Kemelmajen was not blocked before any other body or public registry. Nor was any disqualification to exercise trade or any other restrictive measure in this regard ordered</w:t>
      </w:r>
      <w:r w:rsidR="004D028B" w:rsidRPr="004D028B">
        <w:rPr>
          <w:rFonts w:ascii="Cambria" w:eastAsia="Cambria" w:hAnsi="Cambria" w:cs="Cambria"/>
          <w:color w:val="000000"/>
          <w:sz w:val="18"/>
          <w:szCs w:val="18"/>
          <w:u w:color="000000"/>
          <w:lang w:val="en-US" w:eastAsia="es-ES"/>
        </w:rPr>
        <w:t>.</w:t>
      </w:r>
      <w:r w:rsidRPr="004D028B">
        <w:rPr>
          <w:rStyle w:val="FootnoteReference"/>
          <w:rFonts w:ascii="Cambria" w:eastAsia="Cambria" w:hAnsi="Cambria" w:cs="Cambria"/>
          <w:color w:val="000000"/>
          <w:sz w:val="18"/>
          <w:szCs w:val="18"/>
          <w:u w:color="000000"/>
          <w:bdr w:val="nil"/>
          <w:lang w:val="en-US" w:eastAsia="es-ES"/>
        </w:rPr>
        <w:t xml:space="preserve"> </w:t>
      </w:r>
      <w:r w:rsidR="0041277A" w:rsidRPr="004D028B">
        <w:rPr>
          <w:rStyle w:val="FootnoteReference"/>
          <w:rFonts w:asciiTheme="minorHAnsi" w:eastAsia="Cambria" w:hAnsiTheme="minorHAnsi" w:cs="Cambria"/>
          <w:color w:val="000000"/>
          <w:sz w:val="18"/>
          <w:szCs w:val="18"/>
          <w:u w:color="000000"/>
          <w:bdr w:val="nil"/>
          <w:lang w:val="es-ES" w:eastAsia="es-ES"/>
        </w:rPr>
        <w:footnoteReference w:id="20"/>
      </w:r>
      <w:r w:rsidR="0041277A" w:rsidRPr="004D028B">
        <w:rPr>
          <w:rFonts w:ascii="Cambria" w:eastAsia="Cambria" w:hAnsi="Cambria" w:cs="Cambria"/>
          <w:color w:val="000000"/>
          <w:sz w:val="18"/>
          <w:szCs w:val="18"/>
          <w:u w:color="000000"/>
          <w:lang w:val="en-US" w:eastAsia="es-ES"/>
        </w:rPr>
        <w:t>.</w:t>
      </w:r>
      <w:r w:rsidR="00487D1D" w:rsidRPr="004D028B">
        <w:rPr>
          <w:rFonts w:ascii="Cambria" w:eastAsia="Cambria" w:hAnsi="Cambria" w:cs="Cambria"/>
          <w:color w:val="000000"/>
          <w:sz w:val="18"/>
          <w:szCs w:val="18"/>
          <w:u w:color="000000"/>
          <w:lang w:val="en-US" w:eastAsia="es-ES"/>
        </w:rPr>
        <w:t xml:space="preserve"> </w:t>
      </w:r>
    </w:p>
    <w:p w14:paraId="5F63622D" w14:textId="44664A6A" w:rsidR="00CB7C3D" w:rsidRPr="004D028B" w:rsidRDefault="0034559F" w:rsidP="00107C43">
      <w:pPr>
        <w:pStyle w:val="parrafos"/>
        <w:numPr>
          <w:ilvl w:val="0"/>
          <w:numId w:val="25"/>
        </w:numPr>
        <w:tabs>
          <w:tab w:val="left" w:pos="360"/>
        </w:tabs>
        <w:ind w:left="0" w:firstLine="0"/>
        <w:rPr>
          <w:color w:val="000000" w:themeColor="text1"/>
          <w:lang w:val="en-US"/>
        </w:rPr>
      </w:pPr>
      <w:r w:rsidRPr="004D028B">
        <w:rPr>
          <w:color w:val="000000" w:themeColor="text1"/>
          <w:lang w:val="en-US"/>
        </w:rPr>
        <w:t>As indicated by the petitioning party, the file continues without a final judgment but without the possibility of reopening</w:t>
      </w:r>
      <w:r w:rsidRPr="004D028B">
        <w:rPr>
          <w:rStyle w:val="FootnoteReference"/>
          <w:rFonts w:ascii="Cambria" w:hAnsi="Cambria"/>
          <w:color w:val="000000" w:themeColor="text1"/>
          <w:sz w:val="20"/>
          <w:vertAlign w:val="baseline"/>
          <w:lang w:val="en-US"/>
        </w:rPr>
        <w:t xml:space="preserve"> </w:t>
      </w:r>
      <w:r w:rsidR="007A1D1E" w:rsidRPr="00CB580E">
        <w:rPr>
          <w:rStyle w:val="FootnoteReference"/>
          <w:rFonts w:asciiTheme="minorHAnsi" w:hAnsiTheme="minorHAnsi"/>
          <w:color w:val="000000" w:themeColor="text1"/>
          <w:sz w:val="20"/>
          <w:lang w:val="es-ES"/>
        </w:rPr>
        <w:footnoteReference w:id="21"/>
      </w:r>
      <w:r w:rsidR="00AF49BE" w:rsidRPr="004D028B">
        <w:rPr>
          <w:color w:val="000000" w:themeColor="text1"/>
          <w:lang w:val="en-US"/>
        </w:rPr>
        <w:t xml:space="preserve">. </w:t>
      </w:r>
    </w:p>
    <w:p w14:paraId="122CF1E9" w14:textId="71B810B3" w:rsidR="001F125E" w:rsidRDefault="001F125E" w:rsidP="001F125E">
      <w:pPr>
        <w:pStyle w:val="parrafos"/>
        <w:tabs>
          <w:tab w:val="left" w:pos="360"/>
        </w:tabs>
        <w:rPr>
          <w:color w:val="000000" w:themeColor="text1"/>
          <w:lang w:val="en-US"/>
        </w:rPr>
      </w:pPr>
    </w:p>
    <w:p w14:paraId="3D65A242" w14:textId="020A8384" w:rsidR="007C1146" w:rsidRDefault="007C1146" w:rsidP="001F125E">
      <w:pPr>
        <w:pStyle w:val="parrafos"/>
        <w:tabs>
          <w:tab w:val="left" w:pos="360"/>
        </w:tabs>
        <w:rPr>
          <w:color w:val="000000" w:themeColor="text1"/>
          <w:lang w:val="en-US"/>
        </w:rPr>
      </w:pPr>
    </w:p>
    <w:p w14:paraId="68640CF5" w14:textId="43A8E6FF" w:rsidR="007C1146" w:rsidRDefault="007C1146" w:rsidP="001F125E">
      <w:pPr>
        <w:pStyle w:val="parrafos"/>
        <w:tabs>
          <w:tab w:val="left" w:pos="360"/>
        </w:tabs>
        <w:rPr>
          <w:color w:val="000000" w:themeColor="text1"/>
          <w:lang w:val="en-US"/>
        </w:rPr>
      </w:pPr>
    </w:p>
    <w:p w14:paraId="41B28FDD" w14:textId="582A9496" w:rsidR="007C1146" w:rsidRDefault="007C1146" w:rsidP="001F125E">
      <w:pPr>
        <w:pStyle w:val="parrafos"/>
        <w:tabs>
          <w:tab w:val="left" w:pos="360"/>
        </w:tabs>
        <w:rPr>
          <w:color w:val="000000" w:themeColor="text1"/>
          <w:lang w:val="en-US"/>
        </w:rPr>
      </w:pPr>
    </w:p>
    <w:p w14:paraId="74932C56" w14:textId="7421FFEB" w:rsidR="007C1146" w:rsidRDefault="007C1146" w:rsidP="001F125E">
      <w:pPr>
        <w:pStyle w:val="parrafos"/>
        <w:tabs>
          <w:tab w:val="left" w:pos="360"/>
        </w:tabs>
        <w:rPr>
          <w:color w:val="000000" w:themeColor="text1"/>
          <w:lang w:val="en-US"/>
        </w:rPr>
      </w:pPr>
    </w:p>
    <w:p w14:paraId="5763D027" w14:textId="70B2D38D" w:rsidR="007C1146" w:rsidRDefault="007C1146" w:rsidP="001F125E">
      <w:pPr>
        <w:pStyle w:val="parrafos"/>
        <w:tabs>
          <w:tab w:val="left" w:pos="360"/>
        </w:tabs>
        <w:rPr>
          <w:color w:val="000000" w:themeColor="text1"/>
          <w:lang w:val="en-US"/>
        </w:rPr>
      </w:pPr>
    </w:p>
    <w:p w14:paraId="176AAC2E" w14:textId="28B388B5" w:rsidR="007C1146" w:rsidRDefault="007C1146" w:rsidP="001F125E">
      <w:pPr>
        <w:pStyle w:val="parrafos"/>
        <w:tabs>
          <w:tab w:val="left" w:pos="360"/>
        </w:tabs>
        <w:rPr>
          <w:color w:val="000000" w:themeColor="text1"/>
          <w:lang w:val="en-US"/>
        </w:rPr>
      </w:pPr>
    </w:p>
    <w:p w14:paraId="0A9056F5" w14:textId="77777777" w:rsidR="007C1146" w:rsidRPr="004D028B" w:rsidRDefault="007C1146" w:rsidP="001F125E">
      <w:pPr>
        <w:pStyle w:val="parrafos"/>
        <w:tabs>
          <w:tab w:val="left" w:pos="360"/>
        </w:tabs>
        <w:rPr>
          <w:color w:val="000000" w:themeColor="text1"/>
          <w:lang w:val="en-US"/>
        </w:rPr>
      </w:pPr>
    </w:p>
    <w:p w14:paraId="6324ED20" w14:textId="586085DA" w:rsidR="00CB7C3D" w:rsidRDefault="004D40C5" w:rsidP="00C4166F">
      <w:pPr>
        <w:pStyle w:val="Heading1"/>
        <w:numPr>
          <w:ilvl w:val="0"/>
          <w:numId w:val="2"/>
        </w:numPr>
        <w:tabs>
          <w:tab w:val="clear" w:pos="1440"/>
          <w:tab w:val="left" w:pos="360"/>
          <w:tab w:val="num" w:pos="540"/>
          <w:tab w:val="left" w:pos="1350"/>
        </w:tabs>
        <w:ind w:hanging="1440"/>
      </w:pPr>
      <w:bookmarkStart w:id="26" w:name="_Toc203992806"/>
      <w:r w:rsidRPr="004D40C5">
        <w:lastRenderedPageBreak/>
        <w:t>L</w:t>
      </w:r>
      <w:r w:rsidR="00F05E69">
        <w:t>EGAL</w:t>
      </w:r>
      <w:r w:rsidRPr="004D40C5">
        <w:t xml:space="preserve"> ANALYSIS</w:t>
      </w:r>
      <w:bookmarkEnd w:id="26"/>
      <w:r>
        <w:t xml:space="preserve"> </w:t>
      </w:r>
    </w:p>
    <w:p w14:paraId="07E7035A" w14:textId="77777777" w:rsidR="00CB7C3D" w:rsidRPr="00CB7C3D" w:rsidRDefault="00CB7C3D" w:rsidP="00CB7C3D">
      <w:pPr>
        <w:spacing w:after="0"/>
        <w:rPr>
          <w:lang w:val="es-ES_tradnl"/>
        </w:rPr>
      </w:pPr>
    </w:p>
    <w:p w14:paraId="020D1295" w14:textId="01AB7DB7" w:rsidR="00CB7C3D" w:rsidRPr="00C4166F" w:rsidRDefault="004D40C5" w:rsidP="00C4166F">
      <w:pPr>
        <w:pStyle w:val="Heading2"/>
        <w:numPr>
          <w:ilvl w:val="0"/>
          <w:numId w:val="36"/>
        </w:numPr>
        <w:rPr>
          <w:i/>
          <w:lang w:val="uz-Cyrl-UZ"/>
        </w:rPr>
      </w:pPr>
      <w:bookmarkStart w:id="27" w:name="_Toc491078736"/>
      <w:bookmarkStart w:id="28" w:name="_Toc203992807"/>
      <w:r w:rsidRPr="004D40C5">
        <w:rPr>
          <w:lang w:val="uz-Cyrl-UZ"/>
        </w:rPr>
        <w:t>Rights to judicial guarantees</w:t>
      </w:r>
      <w:r w:rsidRPr="004D40C5">
        <w:rPr>
          <w:rStyle w:val="FootnoteReference"/>
          <w:rFonts w:ascii="Cambria" w:hAnsi="Cambria"/>
          <w:sz w:val="20"/>
          <w:vertAlign w:val="baseline"/>
          <w:lang w:val="uz-Cyrl-UZ"/>
        </w:rPr>
        <w:t xml:space="preserve"> </w:t>
      </w:r>
      <w:r w:rsidR="00CB7C3D" w:rsidRPr="00CB7C3D">
        <w:rPr>
          <w:rStyle w:val="FootnoteReference"/>
          <w:rFonts w:asciiTheme="minorHAnsi" w:hAnsiTheme="minorHAnsi"/>
          <w:color w:val="000000" w:themeColor="text1"/>
          <w:sz w:val="20"/>
          <w:lang w:val="uz-Cyrl-UZ"/>
        </w:rPr>
        <w:footnoteReference w:id="22"/>
      </w:r>
      <w:r w:rsidR="00CB7C3D" w:rsidRPr="00AC1C46">
        <w:rPr>
          <w:lang w:val="uz-Cyrl-UZ"/>
        </w:rPr>
        <w:t xml:space="preserve"> </w:t>
      </w:r>
      <w:r w:rsidRPr="004D40C5">
        <w:rPr>
          <w:lang w:val="uz-Cyrl-UZ"/>
        </w:rPr>
        <w:t>and judicial protection</w:t>
      </w:r>
      <w:r w:rsidRPr="004D40C5">
        <w:rPr>
          <w:rStyle w:val="FootnoteReference"/>
          <w:rFonts w:ascii="Cambria" w:hAnsi="Cambria"/>
          <w:sz w:val="20"/>
          <w:vertAlign w:val="baseline"/>
          <w:lang w:val="uz-Cyrl-UZ"/>
        </w:rPr>
        <w:t xml:space="preserve"> </w:t>
      </w:r>
      <w:r w:rsidR="00CB7C3D" w:rsidRPr="00CB7C3D">
        <w:rPr>
          <w:rStyle w:val="FootnoteReference"/>
          <w:rFonts w:asciiTheme="minorHAnsi" w:hAnsiTheme="minorHAnsi"/>
          <w:color w:val="000000" w:themeColor="text1"/>
          <w:sz w:val="20"/>
          <w:lang w:val="uz-Cyrl-UZ"/>
        </w:rPr>
        <w:footnoteReference w:id="23"/>
      </w:r>
      <w:bookmarkEnd w:id="27"/>
      <w:bookmarkEnd w:id="28"/>
      <w:r w:rsidR="00CB7C3D" w:rsidRPr="00AC1C46">
        <w:rPr>
          <w:lang w:val="uz-Cyrl-UZ"/>
        </w:rPr>
        <w:t xml:space="preserve"> </w:t>
      </w:r>
    </w:p>
    <w:p w14:paraId="5E543942" w14:textId="4EB15200" w:rsidR="00C4166F" w:rsidRPr="00C4166F" w:rsidRDefault="004D40C5" w:rsidP="00C4166F">
      <w:pPr>
        <w:pStyle w:val="Heading3"/>
        <w:numPr>
          <w:ilvl w:val="6"/>
          <w:numId w:val="2"/>
        </w:numPr>
        <w:rPr>
          <w:sz w:val="20"/>
          <w:szCs w:val="20"/>
        </w:rPr>
      </w:pPr>
      <w:bookmarkStart w:id="29" w:name="_Toc203992808"/>
      <w:r w:rsidRPr="00C4166F">
        <w:rPr>
          <w:sz w:val="20"/>
          <w:szCs w:val="20"/>
        </w:rPr>
        <w:t>General considerations</w:t>
      </w:r>
      <w:bookmarkEnd w:id="29"/>
    </w:p>
    <w:p w14:paraId="7ECC3FC0" w14:textId="49EC1473" w:rsidR="00CB7C3D" w:rsidRDefault="0034559F" w:rsidP="00AA14D0">
      <w:pPr>
        <w:pStyle w:val="parrafos"/>
        <w:numPr>
          <w:ilvl w:val="0"/>
          <w:numId w:val="25"/>
        </w:numPr>
        <w:tabs>
          <w:tab w:val="left" w:pos="360"/>
        </w:tabs>
        <w:ind w:left="0" w:firstLine="0"/>
        <w:rPr>
          <w:color w:val="000000" w:themeColor="text1"/>
          <w:lang w:val="uz-Cyrl-UZ"/>
        </w:rPr>
      </w:pPr>
      <w:r w:rsidRPr="00F05E69">
        <w:rPr>
          <w:rFonts w:cs="TimesNewRoman"/>
          <w:color w:val="000000" w:themeColor="text1"/>
          <w:lang w:val="uz-Cyrl-UZ" w:eastAsia="es-ES_tradnl"/>
        </w:rPr>
        <w:t>The right to judicial guarantees encompasses the set of requirements that must be observed in the procedural instances so that people are in a position to adequately defend their rights before any act of the State</w:t>
      </w:r>
      <w:r w:rsidR="00CB5A02" w:rsidRPr="00CB5A02">
        <w:rPr>
          <w:rFonts w:cs="TimesNewRoman"/>
          <w:color w:val="000000" w:themeColor="text1"/>
          <w:lang w:val="en-US" w:eastAsia="es-ES_tradnl"/>
        </w:rPr>
        <w:t>.</w:t>
      </w:r>
      <w:r w:rsidR="000D5F5D" w:rsidRPr="001D3E10">
        <w:rPr>
          <w:rStyle w:val="FootnoteReference"/>
          <w:rFonts w:asciiTheme="minorHAnsi" w:hAnsiTheme="minorHAnsi"/>
          <w:color w:val="000000" w:themeColor="text1"/>
          <w:sz w:val="20"/>
          <w:lang w:val="es-AR"/>
        </w:rPr>
        <w:footnoteReference w:id="24"/>
      </w:r>
      <w:r w:rsidRPr="00F05E69">
        <w:rPr>
          <w:rFonts w:cs="TimesNewRoman"/>
          <w:color w:val="000000" w:themeColor="text1"/>
          <w:lang w:val="uz-Cyrl-UZ" w:eastAsia="es-ES_tradnl"/>
        </w:rPr>
        <w:t xml:space="preserve"> Both the Commission and the Inter-American Court of Human Rights (hereinafter “the Inter-American Court”, “the Court” or “the Inter-American Court”) have repeatedly stated that, in general, the guarantees established in Article 8 of the American Convention</w:t>
      </w:r>
      <w:r w:rsidR="00F05E69" w:rsidRPr="00F05E69">
        <w:rPr>
          <w:rFonts w:cs="TimesNewRoman"/>
          <w:color w:val="000000" w:themeColor="text1"/>
          <w:lang w:val="en-US" w:eastAsia="es-ES_tradnl"/>
        </w:rPr>
        <w:t xml:space="preserve"> </w:t>
      </w:r>
      <w:r w:rsidRPr="00F05E69">
        <w:rPr>
          <w:rFonts w:cs="TimesNewRoman"/>
          <w:color w:val="000000" w:themeColor="text1"/>
          <w:lang w:val="uz-Cyrl-UZ" w:eastAsia="es-ES_tradnl"/>
        </w:rPr>
        <w:t>are not limited to criminal proceedings, but apply to processes of another nature</w:t>
      </w:r>
      <w:r w:rsidR="00CB5A02" w:rsidRPr="00CB5A02">
        <w:rPr>
          <w:rFonts w:cs="TimesNewRoman"/>
          <w:color w:val="000000" w:themeColor="text1"/>
          <w:lang w:val="en-US" w:eastAsia="es-ES_tradnl"/>
        </w:rPr>
        <w:t>.</w:t>
      </w:r>
      <w:r w:rsidR="00364567" w:rsidRPr="001D3E10">
        <w:rPr>
          <w:rStyle w:val="FootnoteReference"/>
          <w:rFonts w:ascii="Cambria" w:hAnsi="Cambria"/>
          <w:color w:val="000000" w:themeColor="text1"/>
          <w:sz w:val="20"/>
          <w:lang w:val="es-AR"/>
        </w:rPr>
        <w:footnoteReference w:id="25"/>
      </w:r>
      <w:r w:rsidRPr="00F05E69">
        <w:rPr>
          <w:rFonts w:cs="TimesNewRoman"/>
          <w:color w:val="000000" w:themeColor="text1"/>
          <w:lang w:val="uz-Cyrl-UZ" w:eastAsia="es-ES_tradnl"/>
        </w:rPr>
        <w:t xml:space="preserve"> Specifically, in processes in which the rights or interests of individuals are discussed, the “due guarantees” established in Article 8.1 of the American Convention are applicable</w:t>
      </w:r>
      <w:r w:rsidR="00CB5A02" w:rsidRPr="00CB5A02">
        <w:rPr>
          <w:rFonts w:cs="TimesNewRoman"/>
          <w:color w:val="000000" w:themeColor="text1"/>
          <w:lang w:val="en-US" w:eastAsia="es-ES_tradnl"/>
        </w:rPr>
        <w:t>,</w:t>
      </w:r>
      <w:r w:rsidR="00653D12" w:rsidRPr="001D3E10">
        <w:rPr>
          <w:rStyle w:val="FootnoteReference"/>
          <w:rFonts w:asciiTheme="minorHAnsi" w:hAnsiTheme="minorHAnsi"/>
          <w:color w:val="000000" w:themeColor="text1"/>
          <w:sz w:val="20"/>
          <w:lang w:val="es-AR"/>
        </w:rPr>
        <w:footnoteReference w:id="26"/>
      </w:r>
      <w:r w:rsidRPr="00F05E69">
        <w:rPr>
          <w:rFonts w:cs="TimesNewRoman"/>
          <w:color w:val="000000" w:themeColor="text1"/>
          <w:lang w:val="uz-Cyrl-UZ" w:eastAsia="es-ES_tradnl"/>
        </w:rPr>
        <w:t xml:space="preserve"> among which is that of having a decision within a reasonable period of time. This period must be appreciated in relation to the total duration of the process, from the first procedural act, until the final judgment is issued.</w:t>
      </w:r>
      <w:r w:rsidR="001F429E" w:rsidRPr="001D3E10">
        <w:rPr>
          <w:rStyle w:val="FootnoteReference"/>
          <w:rFonts w:asciiTheme="minorHAnsi" w:hAnsiTheme="minorHAnsi"/>
          <w:color w:val="000000" w:themeColor="text1"/>
          <w:sz w:val="20"/>
          <w:lang w:val="es-AR"/>
        </w:rPr>
        <w:footnoteReference w:id="27"/>
      </w:r>
    </w:p>
    <w:p w14:paraId="10A05588" w14:textId="77777777" w:rsidR="00F05E69" w:rsidRPr="00F05E69" w:rsidRDefault="00F05E69" w:rsidP="00F05E69">
      <w:pPr>
        <w:pStyle w:val="parrafos"/>
        <w:tabs>
          <w:tab w:val="left" w:pos="360"/>
        </w:tabs>
        <w:rPr>
          <w:color w:val="000000" w:themeColor="text1"/>
          <w:lang w:val="uz-Cyrl-UZ"/>
        </w:rPr>
      </w:pPr>
    </w:p>
    <w:p w14:paraId="49269BDA" w14:textId="3485F672" w:rsidR="004D028B" w:rsidRDefault="0034559F" w:rsidP="004D028B">
      <w:pPr>
        <w:pStyle w:val="parrafos"/>
        <w:numPr>
          <w:ilvl w:val="0"/>
          <w:numId w:val="25"/>
        </w:numPr>
        <w:tabs>
          <w:tab w:val="left" w:pos="360"/>
        </w:tabs>
        <w:ind w:left="0" w:firstLine="0"/>
        <w:rPr>
          <w:color w:val="000000" w:themeColor="text1"/>
          <w:lang w:val="uz-Cyrl-UZ"/>
        </w:rPr>
      </w:pPr>
      <w:r w:rsidRPr="0034559F">
        <w:rPr>
          <w:rFonts w:cs="Bookman Old Style"/>
          <w:color w:val="000000" w:themeColor="text1"/>
          <w:lang w:val="uz-Cyrl-UZ"/>
        </w:rPr>
        <w:t>In their constant jurisprudence, the organs of the inter-American system have taken into consideration three criteria that are relevant for the analysis of this case, namely: a) the complexity of the matter, b) the conduct of the judicial authorities, and c) the activity process of the interested party.</w:t>
      </w:r>
      <w:r w:rsidR="001F429E" w:rsidRPr="00CB7C3D">
        <w:rPr>
          <w:rStyle w:val="FootnoteReference"/>
          <w:rFonts w:asciiTheme="minorHAnsi" w:hAnsiTheme="minorHAnsi"/>
          <w:color w:val="000000" w:themeColor="text1"/>
          <w:sz w:val="20"/>
          <w:lang w:val="uz-Cyrl-UZ"/>
        </w:rPr>
        <w:footnoteReference w:id="28"/>
      </w:r>
      <w:r w:rsidRPr="0034559F">
        <w:rPr>
          <w:rFonts w:cs="Bookman Old Style"/>
          <w:color w:val="000000" w:themeColor="text1"/>
          <w:lang w:val="uz-Cyrl-UZ"/>
        </w:rPr>
        <w:t xml:space="preserve"> Likewise, it has been established that in addition to these elements, the interest at stake and the impact generated by the duration of the procedure in the situation of the person involved must be taken into account.</w:t>
      </w:r>
      <w:r w:rsidR="006B43A2" w:rsidRPr="001D3E10">
        <w:rPr>
          <w:rStyle w:val="FootnoteReference"/>
          <w:rFonts w:asciiTheme="minorHAnsi" w:hAnsiTheme="minorHAnsi" w:cs="Arial"/>
          <w:color w:val="000000" w:themeColor="text1"/>
          <w:sz w:val="20"/>
          <w:lang w:val="es-AR"/>
        </w:rPr>
        <w:footnoteReference w:id="29"/>
      </w:r>
      <w:r w:rsidRPr="0034559F">
        <w:rPr>
          <w:rFonts w:cs="Bookman Old Style"/>
          <w:color w:val="000000" w:themeColor="text1"/>
          <w:lang w:val="uz-Cyrl-UZ"/>
        </w:rPr>
        <w:t xml:space="preserve"> Regarding this element, the Court has specified that:</w:t>
      </w:r>
    </w:p>
    <w:p w14:paraId="2210059B" w14:textId="185B4C81" w:rsidR="004D028B" w:rsidRPr="004D028B" w:rsidRDefault="004D028B" w:rsidP="004D028B">
      <w:pPr>
        <w:pStyle w:val="parrafos"/>
        <w:tabs>
          <w:tab w:val="left" w:pos="360"/>
        </w:tabs>
        <w:rPr>
          <w:color w:val="000000" w:themeColor="text1"/>
          <w:lang w:val="uz-Cyrl-UZ"/>
        </w:rPr>
      </w:pPr>
    </w:p>
    <w:p w14:paraId="7095DD5B" w14:textId="17AD7D88" w:rsidR="00CB7C3D" w:rsidRPr="004D028B" w:rsidRDefault="0034559F" w:rsidP="004D028B">
      <w:pPr>
        <w:ind w:left="360" w:right="270"/>
        <w:jc w:val="both"/>
        <w:rPr>
          <w:rFonts w:ascii="Cambria" w:eastAsia="Cambria" w:hAnsi="Cambria" w:cs="Cambria"/>
          <w:color w:val="000000"/>
          <w:sz w:val="18"/>
          <w:szCs w:val="18"/>
          <w:u w:color="000000"/>
          <w:lang w:val="en-US" w:eastAsia="es-ES"/>
        </w:rPr>
      </w:pPr>
      <w:r w:rsidRPr="004D028B">
        <w:rPr>
          <w:rFonts w:ascii="Cambria" w:eastAsia="Cambria" w:hAnsi="Cambria" w:cs="Cambria"/>
          <w:color w:val="000000"/>
          <w:sz w:val="18"/>
          <w:szCs w:val="18"/>
          <w:u w:color="000000"/>
          <w:lang w:val="en-US" w:eastAsia="es-ES"/>
        </w:rPr>
        <w:t>(…) In said analysis of reasonableness, the effect generated by the duration of the procedure on the legal situation of the person involved in it must be taken into account, considering, among other elements, the subject matter of the dispute. If the passage of time has a relevant impact on the individual's legal situation, it will be necessary for the procedure to run more diligently so that the case is resolved in a short time</w:t>
      </w:r>
      <w:r w:rsidR="004D028B">
        <w:rPr>
          <w:rFonts w:ascii="Cambria" w:eastAsia="Cambria" w:hAnsi="Cambria" w:cs="Cambria"/>
          <w:color w:val="000000"/>
          <w:sz w:val="18"/>
          <w:szCs w:val="18"/>
          <w:u w:color="000000"/>
          <w:lang w:val="en-US" w:eastAsia="es-ES"/>
        </w:rPr>
        <w:t>.</w:t>
      </w:r>
      <w:r w:rsidRPr="004D028B">
        <w:rPr>
          <w:rFonts w:asciiTheme="minorHAnsi" w:eastAsia="Cambria" w:hAnsiTheme="minorHAnsi" w:cs="Cambria"/>
          <w:color w:val="000000"/>
          <w:sz w:val="20"/>
          <w:szCs w:val="20"/>
          <w:u w:color="000000"/>
          <w:vertAlign w:val="superscript"/>
          <w:lang w:val="en-US" w:eastAsia="es-ES"/>
        </w:rPr>
        <w:t xml:space="preserve"> </w:t>
      </w:r>
      <w:r w:rsidR="00CB7C3D" w:rsidRPr="004D028B">
        <w:rPr>
          <w:rFonts w:asciiTheme="minorHAnsi" w:eastAsia="Cambria" w:hAnsiTheme="minorHAnsi" w:cs="Cambria"/>
          <w:color w:val="000000"/>
          <w:sz w:val="20"/>
          <w:szCs w:val="20"/>
          <w:u w:color="000000"/>
          <w:vertAlign w:val="superscript"/>
          <w:lang w:val="en-US" w:eastAsia="es-ES"/>
        </w:rPr>
        <w:footnoteReference w:id="30"/>
      </w:r>
    </w:p>
    <w:p w14:paraId="44F52832" w14:textId="555BEEB7" w:rsidR="00DB4B16" w:rsidRDefault="0034559F" w:rsidP="00107C43">
      <w:pPr>
        <w:pStyle w:val="parrafos"/>
        <w:numPr>
          <w:ilvl w:val="0"/>
          <w:numId w:val="25"/>
        </w:numPr>
        <w:tabs>
          <w:tab w:val="left" w:pos="360"/>
        </w:tabs>
        <w:ind w:left="0" w:firstLine="0"/>
        <w:rPr>
          <w:color w:val="000000" w:themeColor="text1"/>
          <w:lang w:val="uz-Cyrl-UZ"/>
        </w:rPr>
      </w:pPr>
      <w:r w:rsidRPr="0034559F">
        <w:rPr>
          <w:color w:val="000000" w:themeColor="text1"/>
          <w:lang w:val="uz-Cyrl-UZ"/>
        </w:rPr>
        <w:lastRenderedPageBreak/>
        <w:t>Regarding the argumentative and probative burden on the reasonableness of the term, the Commission has indicated that it is the responsibility of the State to state and prove the reason why more time than is reasonable has been required to issue a final judgment in a particular case</w:t>
      </w:r>
      <w:r w:rsidR="00CB7C3D" w:rsidRPr="00AC1C46">
        <w:rPr>
          <w:color w:val="000000" w:themeColor="text1"/>
          <w:vertAlign w:val="superscript"/>
          <w:lang w:val="uz-Cyrl-UZ"/>
        </w:rPr>
        <w:footnoteReference w:id="31"/>
      </w:r>
      <w:r w:rsidR="00CB7C3D" w:rsidRPr="00AC1C46">
        <w:rPr>
          <w:color w:val="000000" w:themeColor="text1"/>
          <w:lang w:val="uz-Cyrl-UZ"/>
        </w:rPr>
        <w:t xml:space="preserve">. </w:t>
      </w:r>
      <w:r w:rsidRPr="0034559F">
        <w:rPr>
          <w:color w:val="000000" w:themeColor="text1"/>
          <w:lang w:val="uz-Cyrl-UZ"/>
        </w:rPr>
        <w:t>Along the same lines, the Court has indicated that it is up to the State to justify, based on the criteria indicated, the reason why it has required the time elapsed to deal with the cases and, in the event that it does not prove it, the Court has broad powers to make its own estimate in this regard</w:t>
      </w:r>
      <w:r w:rsidR="004D028B" w:rsidRPr="004D028B">
        <w:rPr>
          <w:color w:val="000000" w:themeColor="text1"/>
          <w:lang w:val="en-US"/>
        </w:rPr>
        <w:t>.</w:t>
      </w:r>
      <w:r w:rsidR="00CB7C3D" w:rsidRPr="00AC1C46">
        <w:rPr>
          <w:rStyle w:val="FootnoteReference"/>
          <w:rFonts w:ascii="Cambria" w:hAnsi="Cambria"/>
          <w:color w:val="000000" w:themeColor="text1"/>
          <w:sz w:val="20"/>
          <w:lang w:val="uz-Cyrl-UZ"/>
        </w:rPr>
        <w:footnoteReference w:id="32"/>
      </w:r>
    </w:p>
    <w:p w14:paraId="332412A0" w14:textId="77777777" w:rsidR="00DB4B16" w:rsidRDefault="00DB4B16" w:rsidP="00DB4B16">
      <w:pPr>
        <w:pStyle w:val="parrafos"/>
        <w:tabs>
          <w:tab w:val="left" w:pos="360"/>
        </w:tabs>
        <w:rPr>
          <w:color w:val="000000" w:themeColor="text1"/>
          <w:lang w:val="uz-Cyrl-UZ"/>
        </w:rPr>
      </w:pPr>
    </w:p>
    <w:p w14:paraId="6AD8D674" w14:textId="2AF81A1B" w:rsidR="00DB4B16" w:rsidRPr="00DB4B16" w:rsidRDefault="0034559F" w:rsidP="00107C43">
      <w:pPr>
        <w:pStyle w:val="parrafos"/>
        <w:numPr>
          <w:ilvl w:val="0"/>
          <w:numId w:val="25"/>
        </w:numPr>
        <w:tabs>
          <w:tab w:val="left" w:pos="360"/>
        </w:tabs>
        <w:ind w:left="0" w:firstLine="0"/>
        <w:rPr>
          <w:color w:val="000000" w:themeColor="text1"/>
          <w:lang w:val="uz-Cyrl-UZ"/>
        </w:rPr>
      </w:pPr>
      <w:r w:rsidRPr="0034559F">
        <w:rPr>
          <w:color w:val="000000" w:themeColor="text1"/>
          <w:lang w:val="uz-Cyrl-UZ"/>
        </w:rPr>
        <w:t xml:space="preserve">Regarding the complexity of the matter, the Inter-American Court has emphasized that it has taken into account various criteria to evaluate this element. Among them are: i) the complexity of the </w:t>
      </w:r>
      <w:r w:rsidR="000A321A">
        <w:rPr>
          <w:color w:val="000000" w:themeColor="text1"/>
          <w:lang w:val="en-US"/>
        </w:rPr>
        <w:t>evidence</w:t>
      </w:r>
      <w:r w:rsidR="00CB7C3D" w:rsidRPr="00AC1C46">
        <w:rPr>
          <w:rStyle w:val="FootnoteReference"/>
          <w:rFonts w:ascii="Cambria" w:hAnsi="Cambria"/>
          <w:color w:val="000000" w:themeColor="text1"/>
          <w:sz w:val="20"/>
          <w:lang w:val="uz-Cyrl-UZ"/>
        </w:rPr>
        <w:footnoteReference w:id="33"/>
      </w:r>
      <w:r w:rsidR="00CB7C3D" w:rsidRPr="00DB4B16">
        <w:rPr>
          <w:rFonts w:cs="Helvetica"/>
          <w:color w:val="000000" w:themeColor="text1"/>
          <w:lang w:val="uz-Cyrl-UZ"/>
        </w:rPr>
        <w:t xml:space="preserve">; </w:t>
      </w:r>
      <w:r w:rsidRPr="0034559F">
        <w:rPr>
          <w:rFonts w:cs="Helvetica"/>
          <w:color w:val="000000" w:themeColor="text1"/>
          <w:lang w:val="uz-Cyrl-UZ"/>
        </w:rPr>
        <w:t>ii) the plurality of procedural subjects</w:t>
      </w:r>
      <w:r w:rsidRPr="0034559F">
        <w:rPr>
          <w:rStyle w:val="FootnoteReference"/>
          <w:rFonts w:ascii="Cambria" w:hAnsi="Cambria" w:cs="Helvetica"/>
          <w:color w:val="000000" w:themeColor="text1"/>
          <w:sz w:val="20"/>
          <w:vertAlign w:val="baseline"/>
          <w:lang w:val="uz-Cyrl-UZ"/>
        </w:rPr>
        <w:t xml:space="preserve"> </w:t>
      </w:r>
      <w:r w:rsidR="00CB7C3D" w:rsidRPr="00AC1C46">
        <w:rPr>
          <w:rStyle w:val="FootnoteReference"/>
          <w:rFonts w:ascii="Cambria" w:hAnsi="Cambria"/>
          <w:color w:val="000000" w:themeColor="text1"/>
          <w:sz w:val="20"/>
          <w:lang w:val="uz-Cyrl-UZ"/>
        </w:rPr>
        <w:footnoteReference w:id="34"/>
      </w:r>
      <w:r w:rsidR="00CB7C3D" w:rsidRPr="00DB4B16">
        <w:rPr>
          <w:rFonts w:cs="Helvetica"/>
          <w:color w:val="000000" w:themeColor="text1"/>
          <w:lang w:val="uz-Cyrl-UZ"/>
        </w:rPr>
        <w:t xml:space="preserve"> </w:t>
      </w:r>
      <w:r w:rsidRPr="0034559F">
        <w:rPr>
          <w:rFonts w:cs="Helvetica"/>
          <w:color w:val="000000" w:themeColor="text1"/>
          <w:lang w:val="uz-Cyrl-UZ"/>
        </w:rPr>
        <w:t>or the number of victims</w:t>
      </w:r>
      <w:r w:rsidRPr="0034559F">
        <w:rPr>
          <w:rStyle w:val="FootnoteReference"/>
          <w:rFonts w:ascii="Cambria" w:hAnsi="Cambria" w:cs="Helvetica"/>
          <w:color w:val="000000" w:themeColor="text1"/>
          <w:sz w:val="20"/>
          <w:vertAlign w:val="baseline"/>
          <w:lang w:val="uz-Cyrl-UZ"/>
        </w:rPr>
        <w:t xml:space="preserve"> </w:t>
      </w:r>
      <w:r w:rsidR="00CB7C3D" w:rsidRPr="00AC1C46">
        <w:rPr>
          <w:rStyle w:val="FootnoteReference"/>
          <w:rFonts w:ascii="Cambria" w:hAnsi="Cambria"/>
          <w:color w:val="000000" w:themeColor="text1"/>
          <w:sz w:val="20"/>
          <w:lang w:val="uz-Cyrl-UZ"/>
        </w:rPr>
        <w:footnoteReference w:id="35"/>
      </w:r>
      <w:r w:rsidR="00CB7C3D" w:rsidRPr="00DB4B16">
        <w:rPr>
          <w:rFonts w:cs="Helvetica"/>
          <w:color w:val="000000" w:themeColor="text1"/>
          <w:lang w:val="uz-Cyrl-UZ"/>
        </w:rPr>
        <w:t xml:space="preserve">; iii) </w:t>
      </w:r>
      <w:r w:rsidRPr="0034559F">
        <w:rPr>
          <w:rFonts w:cs="Helvetica"/>
          <w:color w:val="000000" w:themeColor="text1"/>
          <w:lang w:val="uz-Cyrl-UZ"/>
        </w:rPr>
        <w:t xml:space="preserve">the time elapsed since the </w:t>
      </w:r>
      <w:r w:rsidR="000A321A">
        <w:rPr>
          <w:rFonts w:cs="Helvetica"/>
          <w:color w:val="000000" w:themeColor="text1"/>
          <w:lang w:val="en-US"/>
        </w:rPr>
        <w:t>violation</w:t>
      </w:r>
      <w:r w:rsidR="00CB7C3D" w:rsidRPr="00AC1C46">
        <w:rPr>
          <w:rStyle w:val="FootnoteReference"/>
          <w:rFonts w:ascii="Cambria" w:hAnsi="Cambria"/>
          <w:color w:val="000000" w:themeColor="text1"/>
          <w:sz w:val="20"/>
          <w:lang w:val="uz-Cyrl-UZ"/>
        </w:rPr>
        <w:footnoteReference w:id="36"/>
      </w:r>
      <w:r w:rsidR="00CB7C3D" w:rsidRPr="00DB4B16">
        <w:rPr>
          <w:rFonts w:cs="Helvetica"/>
          <w:color w:val="000000" w:themeColor="text1"/>
          <w:lang w:val="uz-Cyrl-UZ"/>
        </w:rPr>
        <w:t xml:space="preserve">; iv) </w:t>
      </w:r>
      <w:r w:rsidRPr="0034559F">
        <w:rPr>
          <w:rFonts w:cs="Helvetica"/>
          <w:color w:val="000000" w:themeColor="text1"/>
          <w:lang w:val="uz-Cyrl-UZ"/>
        </w:rPr>
        <w:t>the characteristics of the appeal in domestic legislation</w:t>
      </w:r>
      <w:r w:rsidRPr="0034559F">
        <w:rPr>
          <w:rStyle w:val="FootnoteReference"/>
          <w:rFonts w:ascii="Cambria" w:hAnsi="Cambria" w:cs="Helvetica"/>
          <w:color w:val="000000" w:themeColor="text1"/>
          <w:sz w:val="20"/>
          <w:vertAlign w:val="baseline"/>
          <w:lang w:val="uz-Cyrl-UZ"/>
        </w:rPr>
        <w:t xml:space="preserve"> </w:t>
      </w:r>
      <w:r w:rsidR="00CB7C3D" w:rsidRPr="00AC1C46">
        <w:rPr>
          <w:rStyle w:val="FootnoteReference"/>
          <w:rFonts w:ascii="Cambria" w:hAnsi="Cambria"/>
          <w:color w:val="000000" w:themeColor="text1"/>
          <w:sz w:val="20"/>
          <w:lang w:val="uz-Cyrl-UZ"/>
        </w:rPr>
        <w:footnoteReference w:id="37"/>
      </w:r>
      <w:r w:rsidR="00CB7C3D" w:rsidRPr="00DB4B16">
        <w:rPr>
          <w:rFonts w:cs="Helvetica"/>
          <w:color w:val="000000" w:themeColor="text1"/>
          <w:lang w:val="uz-Cyrl-UZ"/>
        </w:rPr>
        <w:t xml:space="preserve">, </w:t>
      </w:r>
      <w:r>
        <w:rPr>
          <w:rFonts w:cs="Helvetica"/>
          <w:color w:val="000000" w:themeColor="text1"/>
          <w:lang w:val="en-US"/>
        </w:rPr>
        <w:t>and</w:t>
      </w:r>
      <w:r w:rsidR="00CB7C3D" w:rsidRPr="00DB4B16">
        <w:rPr>
          <w:rFonts w:cs="Helvetica"/>
          <w:color w:val="000000" w:themeColor="text1"/>
          <w:lang w:val="uz-Cyrl-UZ"/>
        </w:rPr>
        <w:t xml:space="preserve"> v) </w:t>
      </w:r>
      <w:r w:rsidRPr="0034559F">
        <w:rPr>
          <w:rFonts w:cs="Helvetica"/>
          <w:color w:val="000000" w:themeColor="text1"/>
          <w:lang w:val="uz-Cyrl-UZ"/>
        </w:rPr>
        <w:t>the context in which the events occurred</w:t>
      </w:r>
      <w:r w:rsidRPr="0034559F">
        <w:rPr>
          <w:rStyle w:val="FootnoteReference"/>
          <w:rFonts w:ascii="Cambria" w:hAnsi="Cambria" w:cs="Helvetica"/>
          <w:color w:val="000000" w:themeColor="text1"/>
          <w:sz w:val="20"/>
          <w:vertAlign w:val="baseline"/>
          <w:lang w:val="uz-Cyrl-UZ"/>
        </w:rPr>
        <w:t xml:space="preserve"> </w:t>
      </w:r>
      <w:r w:rsidR="00CB7C3D" w:rsidRPr="00AC1C46">
        <w:rPr>
          <w:rStyle w:val="FootnoteReference"/>
          <w:rFonts w:ascii="Cambria" w:hAnsi="Cambria"/>
          <w:color w:val="000000" w:themeColor="text1"/>
          <w:sz w:val="20"/>
          <w:lang w:val="uz-Cyrl-UZ"/>
        </w:rPr>
        <w:footnoteReference w:id="38"/>
      </w:r>
      <w:r w:rsidR="00CB7C3D" w:rsidRPr="00DB4B16">
        <w:rPr>
          <w:rFonts w:cs="Helvetica"/>
          <w:color w:val="000000" w:themeColor="text1"/>
          <w:lang w:val="uz-Cyrl-UZ"/>
        </w:rPr>
        <w:t xml:space="preserve">. </w:t>
      </w:r>
    </w:p>
    <w:p w14:paraId="2CFE3D46" w14:textId="77777777" w:rsidR="00DB4B16" w:rsidRDefault="00DB4B16" w:rsidP="00DB4B16">
      <w:pPr>
        <w:pStyle w:val="ListParagraph"/>
        <w:rPr>
          <w:color w:val="000000" w:themeColor="text1"/>
          <w:lang w:val="uz-Cyrl-UZ"/>
        </w:rPr>
      </w:pPr>
    </w:p>
    <w:p w14:paraId="0177ADA9" w14:textId="430C2E5A" w:rsidR="00DB4B16" w:rsidRDefault="0034559F" w:rsidP="00107C43">
      <w:pPr>
        <w:pStyle w:val="parrafos"/>
        <w:numPr>
          <w:ilvl w:val="0"/>
          <w:numId w:val="25"/>
        </w:numPr>
        <w:tabs>
          <w:tab w:val="left" w:pos="360"/>
        </w:tabs>
        <w:ind w:left="0" w:firstLine="0"/>
        <w:rPr>
          <w:color w:val="000000" w:themeColor="text1"/>
          <w:lang w:val="uz-Cyrl-UZ"/>
        </w:rPr>
      </w:pPr>
      <w:r w:rsidRPr="0034559F">
        <w:rPr>
          <w:color w:val="000000" w:themeColor="text1"/>
          <w:lang w:val="uz-Cyrl-UZ"/>
        </w:rPr>
        <w:t>However, even if for one or more of these reasons a case is considered complex, a generic argumentation regarding the complexity of this type of process is not enough, but it is necessary to develop the arguments and present the evidence that shows that this factor influenced the duration of the same</w:t>
      </w:r>
      <w:r w:rsidR="00CB7C3D" w:rsidRPr="00AC1C46">
        <w:rPr>
          <w:rStyle w:val="FootnoteReference"/>
          <w:rFonts w:ascii="Cambria" w:hAnsi="Cambria"/>
          <w:color w:val="000000" w:themeColor="text1"/>
          <w:sz w:val="20"/>
          <w:lang w:val="uz-Cyrl-UZ"/>
        </w:rPr>
        <w:footnoteReference w:id="39"/>
      </w:r>
      <w:r w:rsidR="00CB7C3D" w:rsidRPr="00DB4B16">
        <w:rPr>
          <w:color w:val="000000" w:themeColor="text1"/>
          <w:lang w:val="uz-Cyrl-UZ"/>
        </w:rPr>
        <w:t xml:space="preserve">. </w:t>
      </w:r>
      <w:r w:rsidRPr="0034559F">
        <w:rPr>
          <w:color w:val="000000" w:themeColor="text1"/>
          <w:lang w:val="uz-Cyrl-UZ"/>
        </w:rPr>
        <w:t>In a similar vein, the Commission has indicated that even in cases that may be considered complex by their very nature, it is necessary for the State in question to specifically argue the reasons why the complexity has specifically affected the investigations</w:t>
      </w:r>
      <w:r w:rsidR="00CB7C3D" w:rsidRPr="00AC1C46">
        <w:rPr>
          <w:vertAlign w:val="superscript"/>
        </w:rPr>
        <w:footnoteReference w:id="40"/>
      </w:r>
      <w:r w:rsidR="00CB7C3D" w:rsidRPr="00DB4B16">
        <w:rPr>
          <w:color w:val="000000" w:themeColor="text1"/>
          <w:lang w:val="uz-Cyrl-UZ"/>
        </w:rPr>
        <w:t>.</w:t>
      </w:r>
    </w:p>
    <w:p w14:paraId="7E7B4925" w14:textId="77777777" w:rsidR="00DB4B16" w:rsidRDefault="00DB4B16" w:rsidP="00DB4B16">
      <w:pPr>
        <w:pStyle w:val="ListParagraph"/>
        <w:rPr>
          <w:color w:val="000000" w:themeColor="text1"/>
          <w:lang w:val="uz-Cyrl-UZ"/>
        </w:rPr>
      </w:pPr>
    </w:p>
    <w:p w14:paraId="34D0E34D" w14:textId="64777BC0" w:rsidR="00DB4B16" w:rsidRDefault="0034559F" w:rsidP="00107C43">
      <w:pPr>
        <w:pStyle w:val="parrafos"/>
        <w:numPr>
          <w:ilvl w:val="0"/>
          <w:numId w:val="25"/>
        </w:numPr>
        <w:tabs>
          <w:tab w:val="left" w:pos="360"/>
        </w:tabs>
        <w:ind w:left="0" w:firstLine="0"/>
        <w:rPr>
          <w:color w:val="000000" w:themeColor="text1"/>
          <w:lang w:val="uz-Cyrl-UZ"/>
        </w:rPr>
      </w:pPr>
      <w:r w:rsidRPr="0034559F">
        <w:rPr>
          <w:color w:val="000000" w:themeColor="text1"/>
          <w:lang w:val="uz-Cyrl-UZ"/>
        </w:rPr>
        <w:t>Regarding the second element, that is, the conduct of the judicial authorities, the Court has understood that the judges, as rectors of the process, have the duty to direct and prosecute the judicial procedure in order not to sacrifice justice and due process in favor of formalism.</w:t>
      </w:r>
      <w:r w:rsidR="00961A63" w:rsidRPr="001D3E10">
        <w:rPr>
          <w:rStyle w:val="FootnoteReference"/>
          <w:rFonts w:ascii="Cambria" w:hAnsi="Cambria"/>
          <w:color w:val="000000" w:themeColor="text1"/>
          <w:sz w:val="20"/>
          <w:lang w:val="es-AR"/>
        </w:rPr>
        <w:footnoteReference w:id="41"/>
      </w:r>
      <w:r w:rsidRPr="0034559F">
        <w:rPr>
          <w:color w:val="000000" w:themeColor="text1"/>
          <w:lang w:val="uz-Cyrl-UZ"/>
        </w:rPr>
        <w:t xml:space="preserve"> In cases related to civil proceedings, the Court has ruled in a similar sense</w:t>
      </w:r>
      <w:r w:rsidR="00961A63">
        <w:rPr>
          <w:color w:val="000000" w:themeColor="text1"/>
          <w:lang w:val="en-US"/>
        </w:rPr>
        <w:t>.</w:t>
      </w:r>
      <w:r w:rsidR="00CB7C3D" w:rsidRPr="00AC1C46">
        <w:rPr>
          <w:rStyle w:val="FootnoteReference"/>
          <w:rFonts w:ascii="Cambria" w:hAnsi="Cambria"/>
          <w:color w:val="000000" w:themeColor="text1"/>
          <w:sz w:val="20"/>
          <w:lang w:val="uz-Cyrl-UZ"/>
        </w:rPr>
        <w:footnoteReference w:id="42"/>
      </w:r>
      <w:r w:rsidR="00CB7C3D" w:rsidRPr="00DB4B16">
        <w:rPr>
          <w:color w:val="000000" w:themeColor="text1"/>
          <w:lang w:val="uz-Cyrl-UZ"/>
        </w:rPr>
        <w:t xml:space="preserve"> </w:t>
      </w:r>
      <w:r w:rsidRPr="0034559F">
        <w:rPr>
          <w:color w:val="000000" w:themeColor="text1"/>
          <w:lang w:val="uz-Cyrl-UZ"/>
        </w:rPr>
        <w:t>Also regarding civil disputes, the European Court has indicated that it is up to the States parties to organize their legal system in such a way that their Courts can guarantee the right of all people to obtain a final decision in disputes regarding civil rights and obligations in a reasonable time</w:t>
      </w:r>
      <w:r w:rsidR="00CB7C3D" w:rsidRPr="00AC1C46">
        <w:rPr>
          <w:rStyle w:val="FootnoteReference"/>
          <w:rFonts w:ascii="Cambria" w:hAnsi="Cambria"/>
          <w:color w:val="000000" w:themeColor="text1"/>
          <w:sz w:val="20"/>
          <w:lang w:val="uz-Cyrl-UZ"/>
        </w:rPr>
        <w:footnoteReference w:id="43"/>
      </w:r>
      <w:r w:rsidR="00CB7C3D" w:rsidRPr="00DB4B16">
        <w:rPr>
          <w:color w:val="000000" w:themeColor="text1"/>
          <w:lang w:val="uz-Cyrl-UZ"/>
        </w:rPr>
        <w:t>.</w:t>
      </w:r>
    </w:p>
    <w:p w14:paraId="187C380F" w14:textId="77777777" w:rsidR="00DB4B16" w:rsidRDefault="00DB4B16" w:rsidP="00DB4B16">
      <w:pPr>
        <w:pStyle w:val="ListParagraph"/>
        <w:rPr>
          <w:color w:val="000000" w:themeColor="text1"/>
          <w:lang w:val="uz-Cyrl-UZ"/>
        </w:rPr>
      </w:pPr>
    </w:p>
    <w:p w14:paraId="0848ED4F" w14:textId="7988D300" w:rsidR="00DB4B16" w:rsidRPr="00DB4B16" w:rsidRDefault="0034559F" w:rsidP="00107C43">
      <w:pPr>
        <w:pStyle w:val="parrafos"/>
        <w:numPr>
          <w:ilvl w:val="0"/>
          <w:numId w:val="25"/>
        </w:numPr>
        <w:tabs>
          <w:tab w:val="left" w:pos="360"/>
        </w:tabs>
        <w:ind w:left="0" w:firstLine="0"/>
        <w:rPr>
          <w:color w:val="000000" w:themeColor="text1"/>
          <w:lang w:val="uz-Cyrl-UZ"/>
        </w:rPr>
      </w:pPr>
      <w:r w:rsidRPr="0034559F">
        <w:rPr>
          <w:color w:val="000000" w:themeColor="text1"/>
          <w:lang w:val="uz-Cyrl-UZ"/>
        </w:rPr>
        <w:lastRenderedPageBreak/>
        <w:t>Regarding the third element, that is, the procedural activity of the interested party, the Court has evaluated whether the subjects carried out the interventions in the processes that were reasonably required of them.</w:t>
      </w:r>
      <w:r w:rsidR="00CB7C3D" w:rsidRPr="00AC1C46">
        <w:rPr>
          <w:rStyle w:val="FootnoteReference"/>
          <w:rFonts w:ascii="Cambria" w:hAnsi="Cambria"/>
          <w:color w:val="000000" w:themeColor="text1"/>
          <w:sz w:val="20"/>
          <w:lang w:val="uz-Cyrl-UZ"/>
        </w:rPr>
        <w:footnoteReference w:id="44"/>
      </w:r>
      <w:r w:rsidR="00CB7C3D" w:rsidRPr="00DB4B16">
        <w:rPr>
          <w:color w:val="000000" w:themeColor="text1"/>
          <w:lang w:val="uz-Cyrl-UZ"/>
        </w:rPr>
        <w:t xml:space="preserve">. </w:t>
      </w:r>
      <w:r w:rsidRPr="0034559F">
        <w:rPr>
          <w:rFonts w:cs="Helvetica"/>
          <w:color w:val="000000" w:themeColor="text1"/>
          <w:lang w:val="uz-Cyrl-UZ"/>
        </w:rPr>
        <w:t>Along the same lines, the European Court has indicated that even in legal systems that apply the principle according to which the procedural initiative rests with the parties, their attitude does not absolve the courts of their obligation to ensure a speedy trial</w:t>
      </w:r>
      <w:r w:rsidR="00CB7C3D" w:rsidRPr="00AC1C46">
        <w:rPr>
          <w:rStyle w:val="FootnoteReference"/>
          <w:rFonts w:ascii="Cambria" w:hAnsi="Cambria" w:cs="Helvetica"/>
          <w:color w:val="000000" w:themeColor="text1"/>
          <w:sz w:val="20"/>
          <w:lang w:val="uz-Cyrl-UZ"/>
        </w:rPr>
        <w:footnoteReference w:id="45"/>
      </w:r>
      <w:r w:rsidR="00CB7C3D" w:rsidRPr="00DB4B16">
        <w:rPr>
          <w:rFonts w:cs="Helvetica"/>
          <w:color w:val="000000" w:themeColor="text1"/>
          <w:lang w:val="uz-Cyrl-UZ"/>
        </w:rPr>
        <w:t xml:space="preserve">. </w:t>
      </w:r>
      <w:r w:rsidRPr="0034559F">
        <w:rPr>
          <w:rFonts w:cs="Helvetica"/>
          <w:color w:val="000000" w:themeColor="text1"/>
          <w:lang w:val="uz-Cyrl-UZ"/>
        </w:rPr>
        <w:t>Similarly, the European Court has indicated that the same applies to situations in which the cooperation of an expert is necessary. In such circumstances, the responsibility for the preparation of the case and the expeditious conduct of the process rests with the judicial authority</w:t>
      </w:r>
      <w:r w:rsidR="00CB7C3D" w:rsidRPr="00AC1C46">
        <w:rPr>
          <w:rStyle w:val="FootnoteReference"/>
          <w:rFonts w:ascii="Cambria" w:hAnsi="Cambria" w:cs="Helvetica"/>
          <w:color w:val="000000" w:themeColor="text1"/>
          <w:sz w:val="20"/>
          <w:lang w:val="uz-Cyrl-UZ"/>
        </w:rPr>
        <w:footnoteReference w:id="46"/>
      </w:r>
      <w:r w:rsidR="00CB7C3D" w:rsidRPr="00DB4B16">
        <w:rPr>
          <w:rFonts w:cs="Helvetica"/>
          <w:color w:val="000000" w:themeColor="text1"/>
          <w:lang w:val="uz-Cyrl-UZ"/>
        </w:rPr>
        <w:t xml:space="preserve">. </w:t>
      </w:r>
    </w:p>
    <w:p w14:paraId="53675F59" w14:textId="77777777" w:rsidR="00DB4B16" w:rsidRDefault="00DB4B16" w:rsidP="00DB4B16">
      <w:pPr>
        <w:pStyle w:val="ListParagraph"/>
        <w:rPr>
          <w:rFonts w:cs="Helvetica"/>
          <w:color w:val="000000" w:themeColor="text1"/>
          <w:lang w:val="uz-Cyrl-UZ"/>
        </w:rPr>
      </w:pPr>
    </w:p>
    <w:p w14:paraId="328761F9" w14:textId="4D96A432" w:rsidR="00DB4B16" w:rsidRDefault="0034559F" w:rsidP="00107C43">
      <w:pPr>
        <w:pStyle w:val="parrafos"/>
        <w:numPr>
          <w:ilvl w:val="0"/>
          <w:numId w:val="25"/>
        </w:numPr>
        <w:tabs>
          <w:tab w:val="left" w:pos="360"/>
        </w:tabs>
        <w:ind w:left="0" w:firstLine="0"/>
        <w:rPr>
          <w:color w:val="000000" w:themeColor="text1"/>
          <w:lang w:val="uz-Cyrl-UZ"/>
        </w:rPr>
      </w:pPr>
      <w:r w:rsidRPr="0034559F">
        <w:rPr>
          <w:rFonts w:cs="Helvetica"/>
          <w:color w:val="000000" w:themeColor="text1"/>
          <w:lang w:val="uz-Cyrl-UZ"/>
        </w:rPr>
        <w:t>The European Court has indicated that although certain delays may, in themselves, not be problematic, when analyzed jointly and cumulatively, they may result in the reasonable period of time being exceeded</w:t>
      </w:r>
      <w:r w:rsidR="00CB7C3D" w:rsidRPr="00AC1C46">
        <w:rPr>
          <w:rStyle w:val="FootnoteReference"/>
          <w:rFonts w:ascii="Cambria" w:hAnsi="Cambria" w:cs="Helvetica"/>
          <w:color w:val="000000" w:themeColor="text1"/>
          <w:sz w:val="20"/>
          <w:lang w:val="uz-Cyrl-UZ"/>
        </w:rPr>
        <w:footnoteReference w:id="47"/>
      </w:r>
      <w:r w:rsidR="00CB7C3D" w:rsidRPr="00DB4B16">
        <w:rPr>
          <w:rFonts w:cs="Helvetica"/>
          <w:color w:val="000000" w:themeColor="text1"/>
          <w:lang w:val="uz-Cyrl-UZ"/>
        </w:rPr>
        <w:t xml:space="preserve">. </w:t>
      </w:r>
      <w:r w:rsidRPr="0034559F">
        <w:rPr>
          <w:rFonts w:cs="Helvetica"/>
          <w:color w:val="000000" w:themeColor="text1"/>
          <w:lang w:val="uz-Cyrl-UZ"/>
        </w:rPr>
        <w:t>It has also established that a delay in a particular phase could be permissible, as long as the total duration of the process is not excessive</w:t>
      </w:r>
      <w:r w:rsidR="00CB7C3D" w:rsidRPr="00AC1C46">
        <w:rPr>
          <w:rStyle w:val="FootnoteReference"/>
          <w:rFonts w:ascii="Cambria" w:hAnsi="Cambria" w:cs="Helvetica"/>
          <w:color w:val="000000" w:themeColor="text1"/>
          <w:sz w:val="20"/>
          <w:lang w:val="uz-Cyrl-UZ"/>
        </w:rPr>
        <w:footnoteReference w:id="48"/>
      </w:r>
      <w:r w:rsidR="00CB7C3D" w:rsidRPr="00DB4B16">
        <w:rPr>
          <w:rFonts w:cs="Helvetica"/>
          <w:color w:val="000000" w:themeColor="text1"/>
          <w:lang w:val="uz-Cyrl-UZ"/>
        </w:rPr>
        <w:t xml:space="preserve">. </w:t>
      </w:r>
      <w:r w:rsidRPr="0034559F">
        <w:rPr>
          <w:rFonts w:cs="Helvetica"/>
          <w:color w:val="000000" w:themeColor="text1"/>
          <w:lang w:val="uz-Cyrl-UZ"/>
        </w:rPr>
        <w:t>Likewise, it has indicated that it must be taken into account that the State is responsible for all its authorities, not only its judicial bodies but all public institutions</w:t>
      </w:r>
      <w:r w:rsidRPr="0034559F">
        <w:rPr>
          <w:rStyle w:val="FootnoteReference"/>
          <w:rFonts w:ascii="Cambria" w:hAnsi="Cambria" w:cs="Helvetica"/>
          <w:color w:val="000000" w:themeColor="text1"/>
          <w:sz w:val="20"/>
          <w:vertAlign w:val="baseline"/>
          <w:lang w:val="uz-Cyrl-UZ"/>
        </w:rPr>
        <w:t xml:space="preserve"> </w:t>
      </w:r>
      <w:r w:rsidR="00CB7C3D" w:rsidRPr="00AC1C46">
        <w:rPr>
          <w:rStyle w:val="FootnoteReference"/>
          <w:rFonts w:ascii="Cambria" w:hAnsi="Cambria"/>
          <w:color w:val="000000" w:themeColor="text1"/>
          <w:sz w:val="20"/>
          <w:lang w:val="uz-Cyrl-UZ"/>
        </w:rPr>
        <w:footnoteReference w:id="49"/>
      </w:r>
      <w:r w:rsidR="00CB7C3D" w:rsidRPr="00DB4B16">
        <w:rPr>
          <w:color w:val="000000" w:themeColor="text1"/>
          <w:lang w:val="uz-Cyrl-UZ"/>
        </w:rPr>
        <w:t>.</w:t>
      </w:r>
    </w:p>
    <w:p w14:paraId="322A47F0" w14:textId="77777777" w:rsidR="00DB4B16" w:rsidRDefault="00DB4B16" w:rsidP="00DB4B16">
      <w:pPr>
        <w:pStyle w:val="ListParagraph"/>
        <w:rPr>
          <w:color w:val="000000" w:themeColor="text1"/>
          <w:lang w:val="uz-Cyrl-UZ"/>
        </w:rPr>
      </w:pPr>
    </w:p>
    <w:p w14:paraId="5D7D3619" w14:textId="522266DD" w:rsidR="00DB4B16" w:rsidRDefault="0034559F" w:rsidP="00107C43">
      <w:pPr>
        <w:pStyle w:val="parrafos"/>
        <w:numPr>
          <w:ilvl w:val="0"/>
          <w:numId w:val="25"/>
        </w:numPr>
        <w:tabs>
          <w:tab w:val="left" w:pos="360"/>
        </w:tabs>
        <w:ind w:left="0" w:firstLine="0"/>
        <w:rPr>
          <w:color w:val="000000" w:themeColor="text1"/>
          <w:lang w:val="uz-Cyrl-UZ"/>
        </w:rPr>
      </w:pPr>
      <w:r w:rsidRPr="0034559F">
        <w:rPr>
          <w:color w:val="000000" w:themeColor="text1"/>
          <w:lang w:val="uz-Cyrl-UZ"/>
        </w:rPr>
        <w:t>Likewise, it has indicated that it must be taken into account that the State is responsible for all its authorities, not only its judicial organs but all public institutions. Regarding the fourth element, that is, the impact generated on the legal situation of the person involved in the process, the Court has established that the authorities must act with greater diligence in those cases where the protection of other rights of the person depends on the duration of the process.</w:t>
      </w:r>
      <w:r w:rsidR="00D75694" w:rsidRPr="001D3E10">
        <w:rPr>
          <w:rStyle w:val="FootnoteReference"/>
          <w:rFonts w:ascii="Cambria" w:hAnsi="Cambria"/>
          <w:color w:val="000000" w:themeColor="text1"/>
          <w:sz w:val="20"/>
          <w:lang w:val="es-AR"/>
        </w:rPr>
        <w:footnoteReference w:id="50"/>
      </w:r>
      <w:r w:rsidRPr="0034559F">
        <w:rPr>
          <w:color w:val="000000" w:themeColor="text1"/>
          <w:lang w:val="uz-Cyrl-UZ"/>
        </w:rPr>
        <w:t xml:space="preserve"> In this sense, the Inter-American Court has indicated that in cases of vulnerable people, such as a person with a disability, it is imperative to take the pertinent measures, such as prioritizing the attention and resolution of the procedure by the authorities at their request</w:t>
      </w:r>
      <w:r w:rsidR="00B226C4">
        <w:rPr>
          <w:color w:val="000000" w:themeColor="text1"/>
          <w:lang w:val="en-US"/>
        </w:rPr>
        <w:t xml:space="preserve"> </w:t>
      </w:r>
      <w:r w:rsidRPr="0034559F">
        <w:rPr>
          <w:color w:val="000000" w:themeColor="text1"/>
          <w:lang w:val="uz-Cyrl-UZ"/>
        </w:rPr>
        <w:t>in order to avoid delays in the processing of the processes, so as to guarantee the prompt resolution and execution of the same</w:t>
      </w:r>
      <w:r w:rsidR="00CB7C3D" w:rsidRPr="00AC1C46">
        <w:rPr>
          <w:rStyle w:val="FootnoteReference"/>
          <w:rFonts w:ascii="Cambria" w:hAnsi="Cambria"/>
          <w:color w:val="000000" w:themeColor="text1"/>
          <w:sz w:val="20"/>
          <w:lang w:val="uz-Cyrl-UZ"/>
        </w:rPr>
        <w:footnoteReference w:id="51"/>
      </w:r>
      <w:r w:rsidR="00CB7C3D" w:rsidRPr="00DB4B16">
        <w:rPr>
          <w:rFonts w:cs="Helvetica"/>
          <w:color w:val="000000" w:themeColor="text1"/>
          <w:lang w:val="uz-Cyrl-UZ"/>
        </w:rPr>
        <w:t xml:space="preserve">. </w:t>
      </w:r>
      <w:r w:rsidRPr="0034559F">
        <w:rPr>
          <w:color w:val="000000" w:themeColor="text1"/>
          <w:lang w:val="uz-Cyrl-UZ"/>
        </w:rPr>
        <w:t>Also relevant to the present case, the European Court has indicated that labor disputes, by their very nature, require a decision with particular speed</w:t>
      </w:r>
      <w:r w:rsidRPr="0034559F">
        <w:rPr>
          <w:rStyle w:val="FootnoteReference"/>
          <w:rFonts w:ascii="Cambria" w:hAnsi="Cambria"/>
          <w:color w:val="000000" w:themeColor="text1"/>
          <w:sz w:val="20"/>
          <w:vertAlign w:val="baseline"/>
          <w:lang w:val="uz-Cyrl-UZ"/>
        </w:rPr>
        <w:t xml:space="preserve"> </w:t>
      </w:r>
      <w:r w:rsidR="00CB7C3D" w:rsidRPr="00AC1C46">
        <w:rPr>
          <w:rStyle w:val="FootnoteReference"/>
          <w:rFonts w:ascii="Cambria" w:hAnsi="Cambria"/>
          <w:color w:val="000000" w:themeColor="text1"/>
          <w:sz w:val="20"/>
          <w:lang w:val="uz-Cyrl-UZ"/>
        </w:rPr>
        <w:footnoteReference w:id="52"/>
      </w:r>
      <w:r w:rsidR="00CB7C3D" w:rsidRPr="00DB4B16">
        <w:rPr>
          <w:color w:val="000000" w:themeColor="text1"/>
          <w:lang w:val="uz-Cyrl-UZ"/>
        </w:rPr>
        <w:t xml:space="preserve">. </w:t>
      </w:r>
    </w:p>
    <w:p w14:paraId="7AC94BAF" w14:textId="77777777" w:rsidR="00DB4B16" w:rsidRDefault="00DB4B16" w:rsidP="00DB4B16">
      <w:pPr>
        <w:pStyle w:val="ListParagraph"/>
        <w:rPr>
          <w:color w:val="000000" w:themeColor="text1"/>
          <w:lang w:val="uz-Cyrl-UZ"/>
        </w:rPr>
      </w:pPr>
    </w:p>
    <w:p w14:paraId="48BD34DB" w14:textId="73C144ED" w:rsidR="007273BF" w:rsidRPr="00C4166F" w:rsidRDefault="0034559F" w:rsidP="00C4166F">
      <w:pPr>
        <w:pStyle w:val="parrafos"/>
        <w:numPr>
          <w:ilvl w:val="0"/>
          <w:numId w:val="25"/>
        </w:numPr>
        <w:tabs>
          <w:tab w:val="left" w:pos="360"/>
        </w:tabs>
        <w:ind w:left="0" w:firstLine="0"/>
        <w:rPr>
          <w:color w:val="000000" w:themeColor="text1"/>
          <w:lang w:val="uz-Cyrl-UZ"/>
        </w:rPr>
      </w:pPr>
      <w:r w:rsidRPr="0034559F">
        <w:rPr>
          <w:color w:val="000000" w:themeColor="text1"/>
          <w:lang w:val="uz-Cyrl-UZ"/>
        </w:rPr>
        <w:t>For its part, the right to judicial protection implies the duty of the States to offer an effective judicial remedy against acts that violate the rights of the persons subject to their jurisdiction</w:t>
      </w:r>
      <w:r w:rsidR="00CB7C3D" w:rsidRPr="00AC1C46">
        <w:rPr>
          <w:rStyle w:val="FootnoteReference"/>
          <w:rFonts w:ascii="Cambria" w:hAnsi="Cambria"/>
          <w:color w:val="000000" w:themeColor="text1"/>
          <w:sz w:val="20"/>
          <w:lang w:val="uz-Cyrl-UZ"/>
        </w:rPr>
        <w:footnoteReference w:id="53"/>
      </w:r>
      <w:r w:rsidR="00CB7C3D" w:rsidRPr="00DB4B16">
        <w:rPr>
          <w:color w:val="000000" w:themeColor="text1"/>
          <w:lang w:val="uz-Cyrl-UZ"/>
        </w:rPr>
        <w:t xml:space="preserve">. </w:t>
      </w:r>
      <w:r w:rsidRPr="0034559F">
        <w:rPr>
          <w:rFonts w:cs="Calibri"/>
          <w:color w:val="000000" w:themeColor="text1"/>
          <w:lang w:val="uz-Cyrl-UZ"/>
        </w:rPr>
        <w:t>The Inter-American Court has highlighted the need for domestic processes to guarantee true access to justice in order to determine any right that is in dispute</w:t>
      </w:r>
      <w:r w:rsidRPr="0034559F">
        <w:rPr>
          <w:rStyle w:val="FootnoteReference"/>
          <w:rFonts w:ascii="Cambria" w:hAnsi="Cambria" w:cs="Calibri"/>
          <w:color w:val="000000" w:themeColor="text1"/>
          <w:sz w:val="20"/>
          <w:vertAlign w:val="baseline"/>
          <w:lang w:val="uz-Cyrl-UZ"/>
        </w:rPr>
        <w:t xml:space="preserve"> </w:t>
      </w:r>
      <w:r w:rsidR="00CB7C3D" w:rsidRPr="00AC1C46">
        <w:rPr>
          <w:rStyle w:val="FootnoteReference"/>
          <w:rFonts w:ascii="Cambria" w:hAnsi="Cambria"/>
          <w:color w:val="000000" w:themeColor="text1"/>
          <w:sz w:val="20"/>
          <w:lang w:val="uz-Cyrl-UZ"/>
        </w:rPr>
        <w:footnoteReference w:id="54"/>
      </w:r>
      <w:r w:rsidR="00CB7C3D" w:rsidRPr="00DB4B16">
        <w:rPr>
          <w:rFonts w:cs="Calibri"/>
          <w:color w:val="000000" w:themeColor="text1"/>
          <w:lang w:val="uz-Cyrl-UZ"/>
        </w:rPr>
        <w:t xml:space="preserve">. </w:t>
      </w:r>
      <w:r w:rsidRPr="0034559F">
        <w:rPr>
          <w:rFonts w:cs="Calibri"/>
          <w:color w:val="000000" w:themeColor="text1"/>
          <w:lang w:val="uz-Cyrl-UZ"/>
        </w:rPr>
        <w:t>Likewise, it has indicated that their effectiveness implies that, in addition to the formal existence of the remedies, they give results or responses to the violations of rights contemplated either in the Convention, the Constitution or the laws</w:t>
      </w:r>
      <w:r w:rsidR="00CB7C3D" w:rsidRPr="00AC1C46">
        <w:rPr>
          <w:rStyle w:val="FootnoteReference"/>
          <w:rFonts w:ascii="Cambria" w:hAnsi="Cambria"/>
          <w:color w:val="000000" w:themeColor="text1"/>
          <w:sz w:val="20"/>
          <w:lang w:val="uz-Cyrl-UZ"/>
        </w:rPr>
        <w:footnoteReference w:id="55"/>
      </w:r>
      <w:r w:rsidR="00CB7C3D" w:rsidRPr="00DB4B16">
        <w:rPr>
          <w:color w:val="000000" w:themeColor="text1"/>
          <w:lang w:val="uz-Cyrl-UZ"/>
        </w:rPr>
        <w:t xml:space="preserve">. </w:t>
      </w:r>
    </w:p>
    <w:p w14:paraId="1A71250A" w14:textId="4E3A4829" w:rsidR="007273BF" w:rsidRPr="000D438F" w:rsidRDefault="00B226C4" w:rsidP="000D438F">
      <w:pPr>
        <w:pStyle w:val="Heading3"/>
        <w:numPr>
          <w:ilvl w:val="6"/>
          <w:numId w:val="2"/>
        </w:numPr>
        <w:rPr>
          <w:sz w:val="20"/>
          <w:szCs w:val="20"/>
        </w:rPr>
      </w:pPr>
      <w:bookmarkStart w:id="30" w:name="_Toc203992809"/>
      <w:r w:rsidRPr="00C4166F">
        <w:rPr>
          <w:sz w:val="20"/>
          <w:szCs w:val="20"/>
        </w:rPr>
        <w:lastRenderedPageBreak/>
        <w:t>Analysis of present case</w:t>
      </w:r>
      <w:bookmarkEnd w:id="30"/>
    </w:p>
    <w:p w14:paraId="38592FA7" w14:textId="724F11C2" w:rsidR="00445D95" w:rsidRPr="00445D95" w:rsidRDefault="00C07874" w:rsidP="00107C43">
      <w:pPr>
        <w:pStyle w:val="parrafos"/>
        <w:numPr>
          <w:ilvl w:val="0"/>
          <w:numId w:val="25"/>
        </w:numPr>
        <w:tabs>
          <w:tab w:val="left" w:pos="360"/>
        </w:tabs>
        <w:ind w:left="0" w:firstLine="0"/>
        <w:rPr>
          <w:color w:val="000000" w:themeColor="text1"/>
          <w:lang w:val="uz-Cyrl-UZ"/>
        </w:rPr>
      </w:pPr>
      <w:r w:rsidRPr="004D028B">
        <w:rPr>
          <w:color w:val="000000" w:themeColor="text1"/>
          <w:lang w:val="en-US"/>
        </w:rPr>
        <w:t xml:space="preserve">As indicated in the proven facts, in this case, a process for patrimonial responsibility was initiated against the alleged victims on July 2, 1985 before the National Court of First Instance in Commercial Matters No. 4 and in accordance with the </w:t>
      </w:r>
      <w:r w:rsidR="00B226C4" w:rsidRPr="004D028B">
        <w:rPr>
          <w:color w:val="000000" w:themeColor="text1"/>
          <w:lang w:val="en-US"/>
        </w:rPr>
        <w:t>t</w:t>
      </w:r>
      <w:r w:rsidRPr="004D028B">
        <w:rPr>
          <w:color w:val="000000" w:themeColor="text1"/>
          <w:lang w:val="en-US"/>
        </w:rPr>
        <w:t xml:space="preserve">he information available to the IACHR culminated in the decision of general inhibition of property against the alleged victims on March 7, 2012. </w:t>
      </w:r>
      <w:r w:rsidRPr="000D438F">
        <w:rPr>
          <w:color w:val="000000" w:themeColor="text1"/>
          <w:lang w:val="en-US"/>
        </w:rPr>
        <w:t>In other words, the entire process lasted almost 27 years</w:t>
      </w:r>
      <w:r w:rsidR="00CE6913" w:rsidRPr="000D438F">
        <w:rPr>
          <w:color w:val="000000" w:themeColor="text1"/>
          <w:lang w:val="en-US"/>
        </w:rPr>
        <w:t xml:space="preserve">. </w:t>
      </w:r>
    </w:p>
    <w:p w14:paraId="6D5B84A8" w14:textId="77777777" w:rsidR="00445D95" w:rsidRDefault="00445D95" w:rsidP="00445D95">
      <w:pPr>
        <w:pStyle w:val="parrafos"/>
        <w:tabs>
          <w:tab w:val="left" w:pos="360"/>
        </w:tabs>
        <w:rPr>
          <w:color w:val="000000" w:themeColor="text1"/>
          <w:lang w:val="uz-Cyrl-UZ"/>
        </w:rPr>
      </w:pPr>
    </w:p>
    <w:p w14:paraId="7B7408EE" w14:textId="192286ED" w:rsidR="00DE3808" w:rsidRDefault="00C07874" w:rsidP="00107C43">
      <w:pPr>
        <w:pStyle w:val="parrafos"/>
        <w:numPr>
          <w:ilvl w:val="0"/>
          <w:numId w:val="25"/>
        </w:numPr>
        <w:tabs>
          <w:tab w:val="left" w:pos="360"/>
        </w:tabs>
        <w:ind w:left="0" w:firstLine="0"/>
        <w:rPr>
          <w:color w:val="000000" w:themeColor="text1"/>
          <w:lang w:val="uz-Cyrl-UZ"/>
        </w:rPr>
      </w:pPr>
      <w:r w:rsidRPr="00C07874">
        <w:rPr>
          <w:color w:val="000000" w:themeColor="text1"/>
          <w:lang w:val="uz-Cyrl-UZ"/>
        </w:rPr>
        <w:t>Next, the IACHR will analyze this period in light of the elements usually used to make this determination, as well as the relevant standards cited in the previous section</w:t>
      </w:r>
      <w:r w:rsidR="00CE6913" w:rsidRPr="00445D95">
        <w:rPr>
          <w:color w:val="000000" w:themeColor="text1"/>
          <w:lang w:val="uz-Cyrl-UZ"/>
        </w:rPr>
        <w:t xml:space="preserve">. </w:t>
      </w:r>
    </w:p>
    <w:p w14:paraId="5B2CC168" w14:textId="77777777" w:rsidR="00DE3808" w:rsidRDefault="00DE3808" w:rsidP="00DE3808">
      <w:pPr>
        <w:pStyle w:val="ListParagraph"/>
        <w:rPr>
          <w:color w:val="000000" w:themeColor="text1"/>
          <w:lang w:val="uz-Cyrl-UZ"/>
        </w:rPr>
      </w:pPr>
    </w:p>
    <w:p w14:paraId="1CA74288" w14:textId="28BA3465" w:rsidR="00DE3808" w:rsidRPr="000646DA" w:rsidRDefault="00C07874" w:rsidP="00107C43">
      <w:pPr>
        <w:pStyle w:val="parrafos"/>
        <w:numPr>
          <w:ilvl w:val="0"/>
          <w:numId w:val="25"/>
        </w:numPr>
        <w:tabs>
          <w:tab w:val="left" w:pos="360"/>
        </w:tabs>
        <w:ind w:left="0" w:firstLine="0"/>
        <w:rPr>
          <w:lang w:val="uz-Cyrl-UZ"/>
        </w:rPr>
      </w:pPr>
      <w:r w:rsidRPr="00C07874">
        <w:rPr>
          <w:color w:val="000000" w:themeColor="text1"/>
          <w:lang w:val="uz-Cyrl-UZ"/>
        </w:rPr>
        <w:t>Regarding the complexity of the matter, the Commission observes that the State did not present any arguments or evidence to justify the delay in the process of patrimonial responsibility, considering its complexity. The Commission emphasizes that according to the information available, the purpose of the process was to determine the financial responsibility of the alleged victims after the bankruptcy of the Caja Mutual Yatay, taking into account that they were part of the Board of Directors of said entity. The IACHR considers that this aspect does not prove a complexity of the process that justifies the delay of almost 27 years</w:t>
      </w:r>
      <w:r w:rsidR="000646DA" w:rsidRPr="004D028B">
        <w:rPr>
          <w:color w:val="000000" w:themeColor="text1"/>
          <w:lang w:val="en-US"/>
        </w:rPr>
        <w:t xml:space="preserve">.  </w:t>
      </w:r>
    </w:p>
    <w:p w14:paraId="26942209" w14:textId="77777777" w:rsidR="000646DA" w:rsidRDefault="000646DA" w:rsidP="000646DA">
      <w:pPr>
        <w:pStyle w:val="ListParagraph"/>
        <w:rPr>
          <w:lang w:val="uz-Cyrl-UZ"/>
        </w:rPr>
      </w:pPr>
    </w:p>
    <w:p w14:paraId="669FAF0F" w14:textId="5E69394F" w:rsidR="00FD7F51" w:rsidRDefault="00C07874" w:rsidP="00107C43">
      <w:pPr>
        <w:pStyle w:val="parrafos"/>
        <w:numPr>
          <w:ilvl w:val="0"/>
          <w:numId w:val="25"/>
        </w:numPr>
        <w:tabs>
          <w:tab w:val="left" w:pos="360"/>
        </w:tabs>
        <w:ind w:left="0" w:firstLine="0"/>
        <w:rPr>
          <w:lang w:val="uz-Cyrl-UZ"/>
        </w:rPr>
      </w:pPr>
      <w:r w:rsidRPr="00C07874">
        <w:rPr>
          <w:color w:val="000000" w:themeColor="text1"/>
          <w:spacing w:val="-2"/>
          <w:lang w:val="uz-Cyrl-UZ"/>
        </w:rPr>
        <w:t>Furthermore, the record does not show that there was a particular context in which the events occurred that required complex determinations beyond determining the responsibility of the alleged victims for their participation in the management of the Caja Mutual Yatay</w:t>
      </w:r>
      <w:r w:rsidR="00FD7F51" w:rsidRPr="004D028B">
        <w:rPr>
          <w:color w:val="000000" w:themeColor="text1"/>
          <w:spacing w:val="-2"/>
          <w:lang w:val="en-US"/>
        </w:rPr>
        <w:t>.</w:t>
      </w:r>
    </w:p>
    <w:p w14:paraId="04DEFE36" w14:textId="77777777" w:rsidR="00FD7F51" w:rsidRDefault="00FD7F51" w:rsidP="00FD7F51">
      <w:pPr>
        <w:pStyle w:val="ListParagraph"/>
        <w:rPr>
          <w:color w:val="000000" w:themeColor="text1"/>
          <w:lang w:val="uz-Cyrl-UZ"/>
        </w:rPr>
      </w:pPr>
    </w:p>
    <w:p w14:paraId="5522DE7C" w14:textId="509B9C8B" w:rsidR="0067240F" w:rsidRPr="0067240F" w:rsidRDefault="00C07874" w:rsidP="00107C43">
      <w:pPr>
        <w:pStyle w:val="parrafos"/>
        <w:numPr>
          <w:ilvl w:val="0"/>
          <w:numId w:val="25"/>
        </w:numPr>
        <w:tabs>
          <w:tab w:val="left" w:pos="360"/>
        </w:tabs>
        <w:ind w:left="0" w:firstLine="0"/>
        <w:rPr>
          <w:lang w:val="uz-Cyrl-UZ"/>
        </w:rPr>
      </w:pPr>
      <w:r w:rsidRPr="00C07874">
        <w:rPr>
          <w:color w:val="000000" w:themeColor="text1"/>
          <w:lang w:val="uz-Cyrl-UZ"/>
        </w:rPr>
        <w:t>Regarding the second element, that is, the conduct of the judicial authorities, the IACHR notes that the complaint against the alleged victims was filed on July 2, 1985 and the first instance decision was issued on December 23, 2003 , that is, more than 18 years after the lawsuit was filed. Likewise, the filing of the process was decreed on July 7, 2008, however a new general inhibition of property against the alleged victims was ordered, on March 7, 2012. The alleged victims argued that the filing of the process without a final judgment was the consequence of the procedural inactivity of the State. The Commission considers that in light of the available elements, it appears that the delay in the process is related to the excessive time lapses that the judicial authorities took in issuing the corresponding decisions of the process and the failure to comply with the procedural impulse that corresponded to the process by the plaintiff</w:t>
      </w:r>
      <w:r w:rsidR="0067240F" w:rsidRPr="004D028B">
        <w:rPr>
          <w:lang w:val="en-US"/>
        </w:rPr>
        <w:t xml:space="preserve">. </w:t>
      </w:r>
    </w:p>
    <w:p w14:paraId="5EA00BA6" w14:textId="77777777" w:rsidR="00691C82" w:rsidRDefault="00691C82" w:rsidP="00691C82">
      <w:pPr>
        <w:pStyle w:val="ListParagraph"/>
        <w:rPr>
          <w:lang w:val="uz-Cyrl-UZ"/>
        </w:rPr>
      </w:pPr>
    </w:p>
    <w:p w14:paraId="4ECEAEB0" w14:textId="2CF3E9A4" w:rsidR="00691C82" w:rsidRPr="00012260" w:rsidRDefault="00C07874" w:rsidP="00107C43">
      <w:pPr>
        <w:pStyle w:val="parrafos"/>
        <w:numPr>
          <w:ilvl w:val="0"/>
          <w:numId w:val="25"/>
        </w:numPr>
        <w:tabs>
          <w:tab w:val="left" w:pos="360"/>
        </w:tabs>
        <w:ind w:left="0" w:firstLine="0"/>
        <w:rPr>
          <w:lang w:val="uz-Cyrl-UZ"/>
        </w:rPr>
      </w:pPr>
      <w:r w:rsidRPr="004D028B">
        <w:rPr>
          <w:lang w:val="en-US"/>
        </w:rPr>
        <w:t>Regarding the procedural activity of the interested party, the Commission observes that, according to the information available, the alleged victims made use of the remedies available to them in the process for patrimonial liability. In this regard, it appears that in the context of the process on July 3, 1985, the alleged victims presented their answer to the application. Likewise, after the first instance decision of December 23, 2003, they filed an appeal. However, there is no evidence that proves that through their procedural activities they generated undue delays in the process. Furthermore, the Commission recalls that the expeditious c</w:t>
      </w:r>
      <w:r w:rsidRPr="00012260">
        <w:rPr>
          <w:lang w:val="en-US"/>
        </w:rPr>
        <w:t>onduct of the process rests on the judicial authority</w:t>
      </w:r>
      <w:r w:rsidR="00691C82" w:rsidRPr="00012260">
        <w:rPr>
          <w:rFonts w:cs="Helvetica"/>
          <w:color w:val="000000" w:themeColor="text1"/>
          <w:lang w:val="uz-Cyrl-UZ"/>
        </w:rPr>
        <w:t xml:space="preserve">. </w:t>
      </w:r>
    </w:p>
    <w:p w14:paraId="377BA2E0" w14:textId="77777777" w:rsidR="00F917ED" w:rsidRPr="00012260" w:rsidRDefault="00F917ED" w:rsidP="00F917ED">
      <w:pPr>
        <w:pStyle w:val="ListParagraph"/>
        <w:rPr>
          <w:lang w:val="uz-Cyrl-UZ"/>
        </w:rPr>
      </w:pPr>
    </w:p>
    <w:p w14:paraId="070498D9" w14:textId="575C8541" w:rsidR="0038705B" w:rsidRPr="00012260" w:rsidRDefault="00C07874" w:rsidP="00107C43">
      <w:pPr>
        <w:pStyle w:val="parrafos"/>
        <w:numPr>
          <w:ilvl w:val="0"/>
          <w:numId w:val="25"/>
        </w:numPr>
        <w:tabs>
          <w:tab w:val="left" w:pos="360"/>
        </w:tabs>
        <w:ind w:left="0" w:firstLine="0"/>
        <w:rPr>
          <w:lang w:val="uz-Cyrl-UZ"/>
        </w:rPr>
      </w:pPr>
      <w:r w:rsidRPr="00012260">
        <w:rPr>
          <w:lang w:val="en-US"/>
        </w:rPr>
        <w:t>Finally, with regard to the effect on the legal situation of the person involved in the process, the IACHR notes that the existence of the process implied that for prolonged periods of time the court imposed a measure of general inhibition of property. Although in this case it is not appropriate to rule on the legitimacy of said measure taking into account the admissibility ruling, the Commission notes that the prolonged delay of the process affected the economic rights of the alleged victims as they were prevented from freely disposing of their assets, which were seized for an excessive time. Although the IACHR does not have enough information to prove this point, the alleged victims argued that the precautionary measure for the inhibition of assets lasted for more than 30 years</w:t>
      </w:r>
      <w:r w:rsidR="0038705B" w:rsidRPr="00012260">
        <w:rPr>
          <w:color w:val="000000" w:themeColor="text1"/>
          <w:lang w:val="en-US"/>
        </w:rPr>
        <w:t>.</w:t>
      </w:r>
    </w:p>
    <w:p w14:paraId="108B0FC8" w14:textId="77777777" w:rsidR="0038705B" w:rsidRPr="00012260" w:rsidRDefault="0038705B" w:rsidP="0038705B">
      <w:pPr>
        <w:pStyle w:val="ListParagraph"/>
        <w:rPr>
          <w:lang w:val="uz-Cyrl-UZ"/>
        </w:rPr>
      </w:pPr>
    </w:p>
    <w:p w14:paraId="3F9391FD" w14:textId="38EFBEDB" w:rsidR="0038705B" w:rsidRPr="00012260" w:rsidRDefault="00C07874" w:rsidP="00107C43">
      <w:pPr>
        <w:pStyle w:val="parrafos"/>
        <w:numPr>
          <w:ilvl w:val="0"/>
          <w:numId w:val="25"/>
        </w:numPr>
        <w:tabs>
          <w:tab w:val="left" w:pos="360"/>
        </w:tabs>
        <w:ind w:left="0" w:firstLine="0"/>
        <w:rPr>
          <w:lang w:val="uz-Cyrl-UZ"/>
        </w:rPr>
      </w:pPr>
      <w:r w:rsidRPr="00012260">
        <w:rPr>
          <w:color w:val="000000" w:themeColor="text1"/>
          <w:lang w:val="uz-Cyrl-UZ"/>
        </w:rPr>
        <w:t>By virtue of the foregoing considerations, the Commission concludes that the period of more than 27 years that the process for patrimonial liability took was not duly justified by the State and, therefore, was excessive and violated the guarantee of time reasonable provided in Article 8.1 of the American Convention. Likewise, the Commission concludes that due to the foregoing, said process did not constitute an effective remedy before the competent judges or courts in the terms established in Article 25.1 of the American Convention</w:t>
      </w:r>
      <w:r w:rsidR="0038705B" w:rsidRPr="00012260">
        <w:rPr>
          <w:color w:val="000000" w:themeColor="text1"/>
          <w:lang w:val="en-US"/>
        </w:rPr>
        <w:t xml:space="preserve">. </w:t>
      </w:r>
    </w:p>
    <w:p w14:paraId="74E17695" w14:textId="77777777" w:rsidR="004446EC" w:rsidRPr="00012260" w:rsidRDefault="004446EC" w:rsidP="004446EC">
      <w:pPr>
        <w:pStyle w:val="parrafos"/>
        <w:tabs>
          <w:tab w:val="left" w:pos="426"/>
          <w:tab w:val="left" w:pos="1440"/>
        </w:tabs>
        <w:rPr>
          <w:lang w:val="en-GB"/>
        </w:rPr>
      </w:pPr>
    </w:p>
    <w:p w14:paraId="088F24B3" w14:textId="4C169592" w:rsidR="004446EC" w:rsidRPr="00012260" w:rsidRDefault="004446EC" w:rsidP="002673A6">
      <w:pPr>
        <w:pStyle w:val="Heading1"/>
        <w:numPr>
          <w:ilvl w:val="0"/>
          <w:numId w:val="2"/>
        </w:numPr>
        <w:tabs>
          <w:tab w:val="left" w:pos="360"/>
          <w:tab w:val="num" w:pos="1080"/>
          <w:tab w:val="left" w:pos="1350"/>
        </w:tabs>
        <w:ind w:hanging="1440"/>
        <w:rPr>
          <w:lang w:val="en-GB"/>
        </w:rPr>
      </w:pPr>
      <w:bookmarkStart w:id="31" w:name="_Toc194494919"/>
      <w:bookmarkStart w:id="32" w:name="_Toc203992810"/>
      <w:r w:rsidRPr="00012260">
        <w:rPr>
          <w:lang w:val="en-GB"/>
        </w:rPr>
        <w:t xml:space="preserve">PROCEEDINGS SUBSEQUENT TO REPORT </w:t>
      </w:r>
      <w:r w:rsidR="008C5D64" w:rsidRPr="00012260">
        <w:rPr>
          <w:lang w:val="en-GB"/>
        </w:rPr>
        <w:t>323</w:t>
      </w:r>
      <w:r w:rsidRPr="00012260">
        <w:rPr>
          <w:lang w:val="en-GB"/>
        </w:rPr>
        <w:t>/2</w:t>
      </w:r>
      <w:r w:rsidR="008C5D64" w:rsidRPr="00012260">
        <w:rPr>
          <w:lang w:val="en-GB"/>
        </w:rPr>
        <w:t>0</w:t>
      </w:r>
      <w:r w:rsidRPr="00012260">
        <w:rPr>
          <w:lang w:val="en-GB"/>
        </w:rPr>
        <w:t xml:space="preserve"> AND </w:t>
      </w:r>
      <w:r w:rsidRPr="00012260">
        <w:rPr>
          <w:lang w:val="en-US"/>
        </w:rPr>
        <w:t>COMPLIANCE</w:t>
      </w:r>
      <w:r w:rsidRPr="00012260">
        <w:rPr>
          <w:lang w:val="en-GB"/>
        </w:rPr>
        <w:t xml:space="preserve"> INFORMATION</w:t>
      </w:r>
      <w:bookmarkEnd w:id="31"/>
      <w:bookmarkEnd w:id="32"/>
    </w:p>
    <w:p w14:paraId="767F9029" w14:textId="77777777" w:rsidR="004446EC" w:rsidRPr="00012260" w:rsidRDefault="004446EC" w:rsidP="004446EC">
      <w:pPr>
        <w:pStyle w:val="parrafos"/>
        <w:tabs>
          <w:tab w:val="left" w:pos="426"/>
          <w:tab w:val="left" w:pos="1440"/>
        </w:tabs>
        <w:rPr>
          <w:lang w:val="en-GB"/>
        </w:rPr>
      </w:pPr>
    </w:p>
    <w:p w14:paraId="388A538E" w14:textId="07696C56" w:rsidR="004446EC" w:rsidRPr="00012260" w:rsidRDefault="004446EC" w:rsidP="000F5BEE">
      <w:pPr>
        <w:pStyle w:val="parrafos"/>
        <w:numPr>
          <w:ilvl w:val="0"/>
          <w:numId w:val="25"/>
        </w:numPr>
        <w:tabs>
          <w:tab w:val="left" w:pos="360"/>
        </w:tabs>
        <w:ind w:left="0" w:firstLine="0"/>
        <w:rPr>
          <w:lang w:val="en-GB"/>
        </w:rPr>
      </w:pPr>
      <w:r w:rsidRPr="00012260">
        <w:rPr>
          <w:color w:val="000000" w:themeColor="text1"/>
          <w:lang w:val="uz-Cyrl-UZ"/>
        </w:rPr>
        <w:t>The</w:t>
      </w:r>
      <w:r w:rsidRPr="00012260">
        <w:rPr>
          <w:lang w:val="en-GB"/>
        </w:rPr>
        <w:t xml:space="preserve"> Commission adopted Merits Report No. </w:t>
      </w:r>
      <w:r w:rsidR="008C5D64" w:rsidRPr="00012260">
        <w:rPr>
          <w:lang w:val="en-GB"/>
        </w:rPr>
        <w:t>323</w:t>
      </w:r>
      <w:r w:rsidRPr="00012260">
        <w:rPr>
          <w:lang w:val="en-GB"/>
        </w:rPr>
        <w:t>/2</w:t>
      </w:r>
      <w:r w:rsidR="008C5D64" w:rsidRPr="00012260">
        <w:rPr>
          <w:lang w:val="en-GB"/>
        </w:rPr>
        <w:t>0</w:t>
      </w:r>
      <w:r w:rsidRPr="00012260">
        <w:rPr>
          <w:lang w:val="en-GB"/>
        </w:rPr>
        <w:t xml:space="preserve"> on </w:t>
      </w:r>
      <w:r w:rsidR="008C5D64" w:rsidRPr="00012260">
        <w:rPr>
          <w:lang w:val="en-GB"/>
        </w:rPr>
        <w:t>November</w:t>
      </w:r>
      <w:r w:rsidRPr="00012260">
        <w:rPr>
          <w:lang w:val="en-GB"/>
        </w:rPr>
        <w:t xml:space="preserve"> </w:t>
      </w:r>
      <w:r w:rsidR="008C5D64" w:rsidRPr="00012260">
        <w:rPr>
          <w:lang w:val="en-GB"/>
        </w:rPr>
        <w:t>19</w:t>
      </w:r>
      <w:r w:rsidRPr="00012260">
        <w:rPr>
          <w:lang w:val="en-GB"/>
        </w:rPr>
        <w:t>, 202</w:t>
      </w:r>
      <w:r w:rsidR="008C5D64" w:rsidRPr="00012260">
        <w:rPr>
          <w:lang w:val="en-GB"/>
        </w:rPr>
        <w:t>0</w:t>
      </w:r>
      <w:r w:rsidRPr="00012260">
        <w:rPr>
          <w:lang w:val="en-GB"/>
        </w:rPr>
        <w:t xml:space="preserve">, comprising paragraphs 1 to </w:t>
      </w:r>
      <w:r w:rsidR="000F5BEE" w:rsidRPr="00012260">
        <w:rPr>
          <w:lang w:val="en-GB"/>
        </w:rPr>
        <w:t>73</w:t>
      </w:r>
      <w:r w:rsidRPr="00012260">
        <w:rPr>
          <w:lang w:val="en-GB"/>
        </w:rPr>
        <w:t xml:space="preserve"> above, and transmitted it to the State on </w:t>
      </w:r>
      <w:r w:rsidR="000F5BEE" w:rsidRPr="00012260">
        <w:rPr>
          <w:lang w:val="en-GB"/>
        </w:rPr>
        <w:t>December</w:t>
      </w:r>
      <w:r w:rsidRPr="00012260">
        <w:rPr>
          <w:lang w:val="en-GB"/>
        </w:rPr>
        <w:t xml:space="preserve"> 2</w:t>
      </w:r>
      <w:r w:rsidR="000F5BEE" w:rsidRPr="00012260">
        <w:rPr>
          <w:lang w:val="en-GB"/>
        </w:rPr>
        <w:t>9</w:t>
      </w:r>
      <w:r w:rsidRPr="00012260">
        <w:rPr>
          <w:lang w:val="en-GB"/>
        </w:rPr>
        <w:t xml:space="preserve"> of the same year. In this report the Commission recommended:</w:t>
      </w:r>
    </w:p>
    <w:p w14:paraId="77F3D687" w14:textId="77777777" w:rsidR="00EE36CB" w:rsidRPr="00012260" w:rsidRDefault="00EE36CB" w:rsidP="00EE36CB">
      <w:pPr>
        <w:pStyle w:val="parrafos"/>
        <w:tabs>
          <w:tab w:val="left" w:pos="360"/>
        </w:tabs>
        <w:rPr>
          <w:lang w:val="en-US"/>
        </w:rPr>
      </w:pPr>
    </w:p>
    <w:p w14:paraId="6079F0AA" w14:textId="77777777" w:rsidR="00EE36CB" w:rsidRPr="00012260" w:rsidRDefault="00EE36CB" w:rsidP="00EE36CB">
      <w:pPr>
        <w:pStyle w:val="BodyTextIndent"/>
        <w:numPr>
          <w:ilvl w:val="0"/>
          <w:numId w:val="22"/>
        </w:numPr>
        <w:tabs>
          <w:tab w:val="left" w:pos="450"/>
        </w:tabs>
        <w:ind w:left="0" w:right="720" w:firstLine="0"/>
        <w:jc w:val="both"/>
        <w:rPr>
          <w:rFonts w:ascii="Cambria" w:hAnsi="Cambria"/>
          <w:color w:val="000000" w:themeColor="text1"/>
          <w:sz w:val="20"/>
          <w:szCs w:val="20"/>
          <w:lang w:val="uz-Cyrl-UZ"/>
        </w:rPr>
      </w:pPr>
      <w:r w:rsidRPr="00012260">
        <w:rPr>
          <w:rFonts w:ascii="Cambria" w:hAnsi="Cambria"/>
          <w:color w:val="000000" w:themeColor="text1"/>
          <w:sz w:val="20"/>
          <w:szCs w:val="20"/>
          <w:lang w:val="uz-Cyrl-UZ"/>
        </w:rPr>
        <w:t>Make full reparation</w:t>
      </w:r>
      <w:r w:rsidRPr="00012260">
        <w:rPr>
          <w:rFonts w:ascii="Cambria" w:hAnsi="Cambria"/>
          <w:color w:val="000000" w:themeColor="text1"/>
          <w:sz w:val="20"/>
          <w:szCs w:val="20"/>
          <w:lang w:val="en-US"/>
        </w:rPr>
        <w:t>s</w:t>
      </w:r>
      <w:r w:rsidRPr="00012260">
        <w:rPr>
          <w:rFonts w:ascii="Cambria" w:hAnsi="Cambria"/>
          <w:color w:val="000000" w:themeColor="text1"/>
          <w:sz w:val="20"/>
          <w:szCs w:val="20"/>
          <w:lang w:val="uz-Cyrl-UZ"/>
        </w:rPr>
        <w:t xml:space="preserve"> for the human rights violations declared in this report. In particular, adopt the payment of compensation to the victims for the unreasonable period of duration of the process for patrimonial liability promoted against them</w:t>
      </w:r>
      <w:r w:rsidRPr="00012260">
        <w:rPr>
          <w:rFonts w:ascii="Cambria" w:hAnsi="Cambria"/>
          <w:color w:val="000000" w:themeColor="text1"/>
          <w:sz w:val="20"/>
          <w:szCs w:val="20"/>
          <w:lang w:val="en-US"/>
        </w:rPr>
        <w:t xml:space="preserve">. </w:t>
      </w:r>
    </w:p>
    <w:p w14:paraId="4112967B" w14:textId="77777777" w:rsidR="00EE36CB" w:rsidRPr="00012260" w:rsidRDefault="00EE36CB" w:rsidP="00EE36CB">
      <w:pPr>
        <w:pStyle w:val="BodyTextIndent"/>
        <w:tabs>
          <w:tab w:val="left" w:pos="450"/>
        </w:tabs>
        <w:ind w:left="0" w:right="720" w:firstLine="0"/>
        <w:jc w:val="both"/>
        <w:rPr>
          <w:rFonts w:ascii="Cambria" w:hAnsi="Cambria"/>
          <w:color w:val="000000" w:themeColor="text1"/>
          <w:sz w:val="20"/>
          <w:szCs w:val="20"/>
          <w:lang w:val="uz-Cyrl-UZ"/>
        </w:rPr>
      </w:pPr>
    </w:p>
    <w:p w14:paraId="0123B5AB" w14:textId="77777777" w:rsidR="00EE36CB" w:rsidRPr="00012260" w:rsidRDefault="00EE36CB" w:rsidP="00EE36CB">
      <w:pPr>
        <w:pStyle w:val="BodyTextIndent"/>
        <w:numPr>
          <w:ilvl w:val="0"/>
          <w:numId w:val="22"/>
        </w:numPr>
        <w:tabs>
          <w:tab w:val="left" w:pos="450"/>
        </w:tabs>
        <w:ind w:left="0" w:right="720" w:firstLine="0"/>
        <w:jc w:val="both"/>
        <w:rPr>
          <w:rFonts w:ascii="Cambria" w:hAnsi="Cambria"/>
          <w:color w:val="000000" w:themeColor="text1"/>
          <w:sz w:val="20"/>
          <w:szCs w:val="20"/>
          <w:lang w:val="uz-Cyrl-UZ"/>
        </w:rPr>
      </w:pPr>
      <w:r w:rsidRPr="00012260">
        <w:rPr>
          <w:rFonts w:ascii="Cambria" w:hAnsi="Cambria"/>
          <w:color w:val="000000" w:themeColor="text1"/>
          <w:sz w:val="20"/>
          <w:szCs w:val="20"/>
          <w:lang w:val="uz-Cyrl-UZ"/>
        </w:rPr>
        <w:t>Adopt the necessary training measures to ensure that the judicial processes of patrimonial responsibility are resolved in a timely manner by the corresponding judicial authorities within a reasonable period of time in accordance with the inter-American standards on the matter.</w:t>
      </w:r>
    </w:p>
    <w:p w14:paraId="51FD1173" w14:textId="77777777" w:rsidR="00EE36CB" w:rsidRPr="00012260" w:rsidRDefault="00EE36CB" w:rsidP="00DB0774">
      <w:pPr>
        <w:pStyle w:val="parrafos"/>
        <w:tabs>
          <w:tab w:val="left" w:pos="360"/>
        </w:tabs>
        <w:rPr>
          <w:color w:val="000000" w:themeColor="text1"/>
          <w:lang w:val="uz-Cyrl-UZ"/>
        </w:rPr>
      </w:pPr>
    </w:p>
    <w:p w14:paraId="0A5EF544" w14:textId="57F5E766" w:rsidR="00EE36CB" w:rsidRPr="00012260" w:rsidRDefault="004B7EB8" w:rsidP="004D7A6C">
      <w:pPr>
        <w:pStyle w:val="parrafos"/>
        <w:numPr>
          <w:ilvl w:val="0"/>
          <w:numId w:val="25"/>
        </w:numPr>
        <w:tabs>
          <w:tab w:val="left" w:pos="360"/>
        </w:tabs>
        <w:ind w:left="0" w:firstLine="0"/>
        <w:rPr>
          <w:color w:val="000000" w:themeColor="text1"/>
          <w:lang w:val="uz-Cyrl-UZ"/>
        </w:rPr>
      </w:pPr>
      <w:r w:rsidRPr="00012260">
        <w:rPr>
          <w:color w:val="000000" w:themeColor="text1"/>
          <w:lang w:val="uz-Cyrl-UZ"/>
        </w:rPr>
        <w:t>In the proceedings subsequent to the notification of the merits report, the Commission received reports from the State and the petitioner on compliance with the recommendations established by the IACHR. During this period, the Commission granted seven extensions to the State for the suspension of the time period provided for in Article 51 of the American Convention. Likewise, the State reiterated its willingness to comply with the recommendations and expressly waived its right to file preliminary objections with respect to compliance with the deadline established by the aforementioned article, in accordance with the provisions of Article 46 of the Commission's Rules of Procedure.</w:t>
      </w:r>
    </w:p>
    <w:p w14:paraId="272A285E" w14:textId="77777777" w:rsidR="00DB0774" w:rsidRPr="00012260" w:rsidRDefault="00DB0774" w:rsidP="00DB0774">
      <w:pPr>
        <w:pStyle w:val="parrafos"/>
        <w:tabs>
          <w:tab w:val="left" w:pos="360"/>
        </w:tabs>
        <w:rPr>
          <w:color w:val="000000" w:themeColor="text1"/>
          <w:lang w:val="uz-Cyrl-UZ"/>
        </w:rPr>
      </w:pPr>
    </w:p>
    <w:p w14:paraId="3CD69120" w14:textId="23A704FC" w:rsidR="004D7A6C" w:rsidRPr="00012260" w:rsidRDefault="00DB0774" w:rsidP="00DB0774">
      <w:pPr>
        <w:pStyle w:val="parrafos"/>
        <w:numPr>
          <w:ilvl w:val="0"/>
          <w:numId w:val="25"/>
        </w:numPr>
        <w:tabs>
          <w:tab w:val="left" w:pos="360"/>
        </w:tabs>
        <w:ind w:left="0" w:firstLine="0"/>
        <w:rPr>
          <w:color w:val="000000" w:themeColor="text1"/>
          <w:lang w:val="uz-Cyrl-UZ"/>
        </w:rPr>
      </w:pPr>
      <w:r w:rsidRPr="00012260">
        <w:rPr>
          <w:color w:val="000000" w:themeColor="text1"/>
          <w:lang w:val="uz-Cyrl-UZ"/>
        </w:rPr>
        <w:t xml:space="preserve">The petitioner </w:t>
      </w:r>
      <w:r w:rsidR="009C6AAF" w:rsidRPr="00012260">
        <w:rPr>
          <w:color w:val="000000" w:themeColor="text1"/>
          <w:lang w:val="en-US"/>
        </w:rPr>
        <w:t xml:space="preserve">party </w:t>
      </w:r>
      <w:r w:rsidRPr="00012260">
        <w:rPr>
          <w:color w:val="000000" w:themeColor="text1"/>
          <w:lang w:val="uz-Cyrl-UZ"/>
        </w:rPr>
        <w:t>also submitted a proposal regarding the amount of compensation. It requests a total compensation for non-pecuniary damage and lost profits of US$ 29,000,000 for Mr. Chaikin and US$ 44,800,000 for Mr. Kemelmajen, plus US$ 14,940,000 in fees. </w:t>
      </w:r>
    </w:p>
    <w:p w14:paraId="56FABE89" w14:textId="77777777" w:rsidR="00DB0774" w:rsidRPr="00012260" w:rsidRDefault="00DB0774" w:rsidP="00A10375">
      <w:pPr>
        <w:pStyle w:val="parrafos"/>
        <w:tabs>
          <w:tab w:val="left" w:pos="360"/>
        </w:tabs>
        <w:rPr>
          <w:color w:val="000000" w:themeColor="text1"/>
          <w:lang w:val="uz-Cyrl-UZ"/>
        </w:rPr>
      </w:pPr>
    </w:p>
    <w:p w14:paraId="36F6A579" w14:textId="77777777" w:rsidR="00C309FF" w:rsidRPr="00012260" w:rsidRDefault="00C309FF" w:rsidP="00C309FF">
      <w:pPr>
        <w:pStyle w:val="parrafos"/>
        <w:numPr>
          <w:ilvl w:val="0"/>
          <w:numId w:val="25"/>
        </w:numPr>
        <w:tabs>
          <w:tab w:val="left" w:pos="360"/>
        </w:tabs>
        <w:ind w:left="0" w:firstLine="0"/>
        <w:rPr>
          <w:color w:val="000000" w:themeColor="text1"/>
          <w:lang w:val="uz-Cyrl-UZ"/>
        </w:rPr>
      </w:pPr>
      <w:r w:rsidRPr="00012260">
        <w:rPr>
          <w:color w:val="000000" w:themeColor="text1"/>
          <w:lang w:val="uz-Cyrl-UZ"/>
        </w:rPr>
        <w:t>On December 13, 2021, a working meeting was held with the parties to learn about the progress in the implementation of the recommendations. On January 4, 2022, the State informed that since 2017 there were no precautionary measures of inhibition in force in relation to the assets of the two victims and that no new measures had been ordered. It also requested the IACHR to send a technical note clarifying the content of the scope of the first recommendation.</w:t>
      </w:r>
    </w:p>
    <w:p w14:paraId="2F36EE98" w14:textId="77777777" w:rsidR="00C309FF" w:rsidRPr="00012260" w:rsidRDefault="00C309FF" w:rsidP="00A10375">
      <w:pPr>
        <w:pStyle w:val="parrafos"/>
        <w:tabs>
          <w:tab w:val="left" w:pos="360"/>
        </w:tabs>
        <w:rPr>
          <w:color w:val="000000" w:themeColor="text1"/>
          <w:lang w:val="uz-Cyrl-UZ"/>
        </w:rPr>
      </w:pPr>
    </w:p>
    <w:p w14:paraId="33BAC126" w14:textId="5226D112" w:rsidR="00DB0774" w:rsidRPr="00012260" w:rsidRDefault="00C309FF" w:rsidP="00C309FF">
      <w:pPr>
        <w:pStyle w:val="parrafos"/>
        <w:numPr>
          <w:ilvl w:val="0"/>
          <w:numId w:val="25"/>
        </w:numPr>
        <w:tabs>
          <w:tab w:val="left" w:pos="360"/>
        </w:tabs>
        <w:ind w:left="0" w:firstLine="0"/>
        <w:rPr>
          <w:color w:val="000000" w:themeColor="text1"/>
          <w:lang w:val="uz-Cyrl-UZ"/>
        </w:rPr>
      </w:pPr>
      <w:r w:rsidRPr="00012260">
        <w:rPr>
          <w:color w:val="000000" w:themeColor="text1"/>
          <w:lang w:val="uz-Cyrl-UZ"/>
        </w:rPr>
        <w:t>On February 4, 2022, the Commission sent the parties the technical note requested by the State. In it, the IACHR clarified that the first recommendation issued by the Commission in the instant case refers to integral reparation that also includes non-pecuniary reparations, which include restitution, satisfaction and rehabilitation measures. The Commission concluded in its Admissibility and Merits Report that the duration of the proceedings for pecuniary responsibility was excessive and violated the guarantee of reasonable time, and that the proceedings did not constitute an effective remedy before the competent judges or courts. Therefore, it indicated that the pecuniary reparation established in the first recommendation must have a causal link with the violations declared by the IACHR, that is, the violation of the rights to judicial guarantees and to judicial protection due to the unreasonable duration</w:t>
      </w:r>
      <w:r w:rsidR="00D07D9E" w:rsidRPr="00012260">
        <w:rPr>
          <w:color w:val="000000" w:themeColor="text1"/>
          <w:lang w:val="uz-Cyrl-UZ"/>
        </w:rPr>
        <w:t xml:space="preserve"> of the proceedings for pecuniary liability, as expressly emerges from the language of the recommendation. Such reparation should compensate both material and non-material or moral damages.</w:t>
      </w:r>
    </w:p>
    <w:p w14:paraId="0F72174A" w14:textId="77777777" w:rsidR="00177BE3" w:rsidRPr="00012260" w:rsidRDefault="00177BE3" w:rsidP="00A10375">
      <w:pPr>
        <w:pStyle w:val="parrafos"/>
        <w:tabs>
          <w:tab w:val="left" w:pos="360"/>
        </w:tabs>
        <w:rPr>
          <w:color w:val="000000" w:themeColor="text1"/>
          <w:lang w:val="uz-Cyrl-UZ"/>
        </w:rPr>
      </w:pPr>
    </w:p>
    <w:p w14:paraId="6BC5DFBC" w14:textId="77777777" w:rsidR="00A10375" w:rsidRPr="00012260" w:rsidRDefault="00A10375" w:rsidP="00A10375">
      <w:pPr>
        <w:pStyle w:val="parrafos"/>
        <w:numPr>
          <w:ilvl w:val="0"/>
          <w:numId w:val="25"/>
        </w:numPr>
        <w:tabs>
          <w:tab w:val="left" w:pos="360"/>
        </w:tabs>
        <w:ind w:left="0" w:firstLine="0"/>
        <w:rPr>
          <w:color w:val="000000" w:themeColor="text1"/>
          <w:lang w:val="uz-Cyrl-UZ"/>
        </w:rPr>
      </w:pPr>
      <w:r w:rsidRPr="00012260">
        <w:rPr>
          <w:color w:val="000000" w:themeColor="text1"/>
          <w:lang w:val="uz-Cyrl-UZ"/>
        </w:rPr>
        <w:t>On February 10, 2022, the petitioner requested the IACHR to refer the case to the Court, considering that the State was not interested in reaching an agreement.</w:t>
      </w:r>
    </w:p>
    <w:p w14:paraId="212522C3" w14:textId="77777777" w:rsidR="00A10375" w:rsidRPr="00012260" w:rsidRDefault="00A10375" w:rsidP="00A10375">
      <w:pPr>
        <w:pStyle w:val="parrafos"/>
        <w:tabs>
          <w:tab w:val="left" w:pos="360"/>
        </w:tabs>
        <w:ind w:left="720"/>
        <w:rPr>
          <w:color w:val="000000" w:themeColor="text1"/>
          <w:lang w:val="uz-Cyrl-UZ"/>
        </w:rPr>
      </w:pPr>
    </w:p>
    <w:p w14:paraId="28B3693C" w14:textId="17C2AE60" w:rsidR="00A10375" w:rsidRPr="00012260" w:rsidRDefault="00A10375" w:rsidP="00A10375">
      <w:pPr>
        <w:pStyle w:val="parrafos"/>
        <w:numPr>
          <w:ilvl w:val="0"/>
          <w:numId w:val="25"/>
        </w:numPr>
        <w:tabs>
          <w:tab w:val="left" w:pos="360"/>
        </w:tabs>
        <w:ind w:left="0" w:firstLine="0"/>
        <w:rPr>
          <w:color w:val="000000" w:themeColor="text1"/>
          <w:lang w:val="uz-Cyrl-UZ"/>
        </w:rPr>
      </w:pPr>
      <w:r w:rsidRPr="00012260">
        <w:rPr>
          <w:color w:val="000000" w:themeColor="text1"/>
          <w:lang w:val="uz-Cyrl-UZ"/>
        </w:rPr>
        <w:t xml:space="preserve">On March 8, 2022, the State indicated that the reparations requested by the </w:t>
      </w:r>
      <w:r w:rsidR="001450EF" w:rsidRPr="00012260">
        <w:rPr>
          <w:color w:val="000000" w:themeColor="text1"/>
          <w:lang w:val="en-US"/>
        </w:rPr>
        <w:t>P</w:t>
      </w:r>
      <w:r w:rsidRPr="00012260">
        <w:rPr>
          <w:color w:val="000000" w:themeColor="text1"/>
          <w:lang w:val="uz-Cyrl-UZ"/>
        </w:rPr>
        <w:t xml:space="preserve">etitioner were not consistent with the provisions of the technical note. It also expressed its willingness to initiate, together with the Petitioner, an agreement on compliance with the recommendations that could address the following commitments: </w:t>
      </w:r>
    </w:p>
    <w:p w14:paraId="05D8E6D6" w14:textId="77777777" w:rsidR="00A10375" w:rsidRPr="00012260" w:rsidRDefault="00A10375" w:rsidP="00A10375">
      <w:pPr>
        <w:pStyle w:val="parrafos"/>
        <w:tabs>
          <w:tab w:val="left" w:pos="360"/>
        </w:tabs>
        <w:ind w:left="720"/>
        <w:rPr>
          <w:color w:val="000000" w:themeColor="text1"/>
          <w:lang w:val="uz-Cyrl-UZ"/>
        </w:rPr>
      </w:pPr>
    </w:p>
    <w:p w14:paraId="6237BD9D" w14:textId="4B942779" w:rsidR="00177BE3" w:rsidRPr="00012260" w:rsidRDefault="00A10375" w:rsidP="00A10375">
      <w:pPr>
        <w:pStyle w:val="parrafos"/>
        <w:numPr>
          <w:ilvl w:val="0"/>
          <w:numId w:val="25"/>
        </w:numPr>
        <w:tabs>
          <w:tab w:val="left" w:pos="360"/>
        </w:tabs>
        <w:ind w:left="0" w:firstLine="0"/>
        <w:rPr>
          <w:color w:val="000000" w:themeColor="text1"/>
          <w:lang w:val="uz-Cyrl-UZ"/>
        </w:rPr>
      </w:pPr>
      <w:r w:rsidRPr="00012260">
        <w:rPr>
          <w:color w:val="000000" w:themeColor="text1"/>
          <w:lang w:val="uz-Cyrl-UZ"/>
        </w:rPr>
        <w:lastRenderedPageBreak/>
        <w:t>With regard to the first recommendation, the State proposed the establishment of an Arbitral Tribunal, which, in an impartial and transparent manner, would rule on the basis of the Merits Report, the technical note and the applicable inter-American case law.</w:t>
      </w:r>
    </w:p>
    <w:p w14:paraId="03AB7693" w14:textId="77777777" w:rsidR="00A10375" w:rsidRPr="00012260" w:rsidRDefault="00A10375" w:rsidP="00A10375">
      <w:pPr>
        <w:pStyle w:val="ListParagraph"/>
        <w:rPr>
          <w:color w:val="000000" w:themeColor="text1"/>
          <w:lang w:val="uz-Cyrl-UZ"/>
        </w:rPr>
      </w:pPr>
    </w:p>
    <w:p w14:paraId="19A5A108" w14:textId="77777777" w:rsidR="00752754" w:rsidRPr="00012260" w:rsidRDefault="00752754" w:rsidP="00752754">
      <w:pPr>
        <w:pStyle w:val="parrafos"/>
        <w:numPr>
          <w:ilvl w:val="0"/>
          <w:numId w:val="25"/>
        </w:numPr>
        <w:tabs>
          <w:tab w:val="left" w:pos="360"/>
        </w:tabs>
        <w:ind w:left="0" w:firstLine="0"/>
        <w:rPr>
          <w:color w:val="000000" w:themeColor="text1"/>
          <w:lang w:val="uz-Cyrl-UZ"/>
        </w:rPr>
      </w:pPr>
      <w:r w:rsidRPr="00012260">
        <w:rPr>
          <w:color w:val="000000" w:themeColor="text1"/>
          <w:lang w:val="uz-Cyrl-UZ"/>
        </w:rPr>
        <w:t>With respect to the second recommendation, the State indicated that the petitioners have not indicated their claims with respect to the Commission's second recommendation. Notwithstanding, it mentioned that, within the framework of the compliance agreement, human rights training could be carried out jointly with the IACHR for the national commercial justice system.</w:t>
      </w:r>
    </w:p>
    <w:p w14:paraId="021F7A04" w14:textId="77777777" w:rsidR="00752754" w:rsidRPr="00012260" w:rsidRDefault="00752754" w:rsidP="00752754">
      <w:pPr>
        <w:pStyle w:val="parrafos"/>
        <w:tabs>
          <w:tab w:val="left" w:pos="360"/>
        </w:tabs>
        <w:rPr>
          <w:color w:val="000000" w:themeColor="text1"/>
          <w:lang w:val="uz-Cyrl-UZ"/>
        </w:rPr>
      </w:pPr>
    </w:p>
    <w:p w14:paraId="0C989138" w14:textId="182D67CE" w:rsidR="00752754" w:rsidRPr="00012260" w:rsidRDefault="00752754" w:rsidP="00752754">
      <w:pPr>
        <w:pStyle w:val="parrafos"/>
        <w:numPr>
          <w:ilvl w:val="0"/>
          <w:numId w:val="25"/>
        </w:numPr>
        <w:tabs>
          <w:tab w:val="left" w:pos="360"/>
        </w:tabs>
        <w:ind w:left="0" w:firstLine="0"/>
        <w:rPr>
          <w:color w:val="000000" w:themeColor="text1"/>
          <w:lang w:val="uz-Cyrl-UZ"/>
        </w:rPr>
      </w:pPr>
      <w:r w:rsidRPr="00012260">
        <w:rPr>
          <w:color w:val="000000" w:themeColor="text1"/>
          <w:lang w:val="uz-Cyrl-UZ"/>
        </w:rPr>
        <w:t xml:space="preserve">On March 29, 2022, the Commission indicated to the parties that the creation of an Arbitral Tribunal for the determination of economic reparation was an appropriate measure, taking into account the nature of the violations declared in the Report on Admissibility and Merits; and requested the parties to meet to establish a compliance schedule that includes deadlines and concrete actions to reach said agreement. </w:t>
      </w:r>
    </w:p>
    <w:p w14:paraId="5407D9CD" w14:textId="77777777" w:rsidR="00752754" w:rsidRPr="00012260" w:rsidRDefault="00752754" w:rsidP="00752754">
      <w:pPr>
        <w:pStyle w:val="parrafos"/>
        <w:tabs>
          <w:tab w:val="left" w:pos="360"/>
        </w:tabs>
        <w:rPr>
          <w:color w:val="000000" w:themeColor="text1"/>
          <w:lang w:val="uz-Cyrl-UZ"/>
        </w:rPr>
      </w:pPr>
    </w:p>
    <w:p w14:paraId="38F98961" w14:textId="493037EF" w:rsidR="00A10375" w:rsidRPr="00012260" w:rsidRDefault="00752754" w:rsidP="00752754">
      <w:pPr>
        <w:pStyle w:val="parrafos"/>
        <w:numPr>
          <w:ilvl w:val="0"/>
          <w:numId w:val="25"/>
        </w:numPr>
        <w:tabs>
          <w:tab w:val="left" w:pos="360"/>
        </w:tabs>
        <w:ind w:left="0" w:firstLine="0"/>
        <w:rPr>
          <w:color w:val="000000" w:themeColor="text1"/>
          <w:lang w:val="uz-Cyrl-UZ"/>
        </w:rPr>
      </w:pPr>
      <w:r w:rsidRPr="00012260">
        <w:rPr>
          <w:color w:val="000000" w:themeColor="text1"/>
          <w:lang w:val="uz-Cyrl-UZ"/>
        </w:rPr>
        <w:t>On July 25, 2022, the State attached a proposal for a compliance agreement addressing the March 8, 2022 proposals.</w:t>
      </w:r>
    </w:p>
    <w:p w14:paraId="2764E158" w14:textId="77777777" w:rsidR="005A4AEE" w:rsidRPr="00012260" w:rsidRDefault="005A4AEE" w:rsidP="005A4AEE">
      <w:pPr>
        <w:pStyle w:val="ListParagraph"/>
        <w:rPr>
          <w:color w:val="000000" w:themeColor="text1"/>
          <w:lang w:val="uz-Cyrl-UZ"/>
        </w:rPr>
      </w:pPr>
    </w:p>
    <w:p w14:paraId="776AE6B4" w14:textId="77777777" w:rsidR="005A4AEE" w:rsidRPr="00012260" w:rsidRDefault="005A4AEE" w:rsidP="005A4AEE">
      <w:pPr>
        <w:pStyle w:val="parrafos"/>
        <w:numPr>
          <w:ilvl w:val="0"/>
          <w:numId w:val="25"/>
        </w:numPr>
        <w:tabs>
          <w:tab w:val="left" w:pos="360"/>
        </w:tabs>
        <w:ind w:left="0" w:firstLine="0"/>
        <w:rPr>
          <w:color w:val="000000" w:themeColor="text1"/>
          <w:lang w:val="uz-Cyrl-UZ"/>
        </w:rPr>
      </w:pPr>
      <w:r w:rsidRPr="00012260">
        <w:rPr>
          <w:color w:val="000000" w:themeColor="text1"/>
          <w:lang w:val="uz-Cyrl-UZ"/>
        </w:rPr>
        <w:t xml:space="preserve">The petitioner considered that the case should be sent to the Court, and would not continue with the negotiation process. </w:t>
      </w:r>
    </w:p>
    <w:p w14:paraId="5B2175AF" w14:textId="77777777" w:rsidR="005A4AEE" w:rsidRPr="00012260" w:rsidRDefault="005A4AEE" w:rsidP="005A4AEE">
      <w:pPr>
        <w:pStyle w:val="parrafos"/>
        <w:tabs>
          <w:tab w:val="left" w:pos="360"/>
        </w:tabs>
        <w:ind w:left="720"/>
        <w:rPr>
          <w:color w:val="000000" w:themeColor="text1"/>
          <w:lang w:val="uz-Cyrl-UZ"/>
        </w:rPr>
      </w:pPr>
    </w:p>
    <w:p w14:paraId="2DACA2CD" w14:textId="7713EA22" w:rsidR="005A4AEE" w:rsidRPr="00012260" w:rsidRDefault="005A4AEE" w:rsidP="005A4AEE">
      <w:pPr>
        <w:pStyle w:val="parrafos"/>
        <w:numPr>
          <w:ilvl w:val="0"/>
          <w:numId w:val="25"/>
        </w:numPr>
        <w:tabs>
          <w:tab w:val="left" w:pos="360"/>
        </w:tabs>
        <w:ind w:left="0" w:firstLine="0"/>
        <w:rPr>
          <w:color w:val="000000" w:themeColor="text1"/>
          <w:lang w:val="uz-Cyrl-UZ"/>
        </w:rPr>
      </w:pPr>
      <w:r w:rsidRPr="00012260">
        <w:rPr>
          <w:color w:val="000000" w:themeColor="text1"/>
          <w:lang w:val="uz-Cyrl-UZ"/>
        </w:rPr>
        <w:t>On November 2, 2022, the State informed that, although efforts have been made to reach a consensus on the terms of a compliance agreement, the petitioner party has decided to desist from the dialogue process due to interpretative differences on the content and scope of the recommendations, despite the interpretation made by the Commission through the technical note.</w:t>
      </w:r>
    </w:p>
    <w:p w14:paraId="52EE5F59" w14:textId="77777777" w:rsidR="005A4AEE" w:rsidRPr="00012260" w:rsidRDefault="005A4AEE" w:rsidP="005A4AEE">
      <w:pPr>
        <w:pStyle w:val="parrafos"/>
        <w:tabs>
          <w:tab w:val="left" w:pos="360"/>
        </w:tabs>
        <w:ind w:left="720"/>
        <w:rPr>
          <w:color w:val="000000" w:themeColor="text1"/>
          <w:lang w:val="uz-Cyrl-UZ"/>
        </w:rPr>
      </w:pPr>
    </w:p>
    <w:p w14:paraId="63E021CC" w14:textId="6E95C180" w:rsidR="005A4AEE" w:rsidRPr="00012260" w:rsidRDefault="005A4AEE" w:rsidP="005A4AEE">
      <w:pPr>
        <w:pStyle w:val="parrafos"/>
        <w:numPr>
          <w:ilvl w:val="0"/>
          <w:numId w:val="25"/>
        </w:numPr>
        <w:tabs>
          <w:tab w:val="left" w:pos="360"/>
        </w:tabs>
        <w:ind w:left="0" w:firstLine="0"/>
        <w:rPr>
          <w:color w:val="000000" w:themeColor="text1"/>
          <w:lang w:val="uz-Cyrl-UZ"/>
        </w:rPr>
      </w:pPr>
      <w:r w:rsidRPr="00012260">
        <w:rPr>
          <w:color w:val="000000" w:themeColor="text1"/>
          <w:lang w:val="uz-Cyrl-UZ"/>
        </w:rPr>
        <w:t>The State reiterated its willingness to move forward with the signing of the agreement, although it considered that the conditions are in place for the Commission to adopt a final report in accordance with the provisions of Article 51 of the American Convention on Human Rights, since the only obstacle to compliance with the aforementioned recommendations is the petitioner's insistence on attributing to the international decision legal effects that it lacks.</w:t>
      </w:r>
    </w:p>
    <w:p w14:paraId="26A856C6" w14:textId="77777777" w:rsidR="005A4AEE" w:rsidRPr="00012260" w:rsidRDefault="005A4AEE" w:rsidP="005A4AEE">
      <w:pPr>
        <w:pStyle w:val="ListParagraph"/>
        <w:rPr>
          <w:color w:val="000000" w:themeColor="text1"/>
          <w:lang w:val="uz-Cyrl-UZ"/>
        </w:rPr>
      </w:pPr>
    </w:p>
    <w:p w14:paraId="40321B3D" w14:textId="77777777" w:rsidR="003C5E2E" w:rsidRPr="00012260" w:rsidRDefault="003C5E2E" w:rsidP="003C5E2E">
      <w:pPr>
        <w:pStyle w:val="parrafos"/>
        <w:numPr>
          <w:ilvl w:val="0"/>
          <w:numId w:val="25"/>
        </w:numPr>
        <w:tabs>
          <w:tab w:val="left" w:pos="360"/>
        </w:tabs>
        <w:ind w:left="0" w:firstLine="0"/>
        <w:rPr>
          <w:color w:val="000000" w:themeColor="text1"/>
          <w:lang w:val="uz-Cyrl-UZ"/>
        </w:rPr>
      </w:pPr>
      <w:r w:rsidRPr="00012260">
        <w:rPr>
          <w:color w:val="000000" w:themeColor="text1"/>
          <w:lang w:val="uz-Cyrl-UZ"/>
        </w:rPr>
        <w:t xml:space="preserve">After evaluating the information on the status of compliance with the recommendations, on December 29, 2022, the Commission decided not to send the case to the Inter-American Court and to proceed with the publication of the Report, in accordance with the provisions of Articles 51 of the American Convention and 47 of the Rules of Procedure of the IACHR. </w:t>
      </w:r>
    </w:p>
    <w:p w14:paraId="5D4BC4E8" w14:textId="77777777" w:rsidR="003C5E2E" w:rsidRPr="00012260" w:rsidRDefault="003C5E2E" w:rsidP="003C5E2E">
      <w:pPr>
        <w:pStyle w:val="parrafos"/>
        <w:tabs>
          <w:tab w:val="left" w:pos="360"/>
        </w:tabs>
        <w:ind w:left="720"/>
        <w:rPr>
          <w:color w:val="000000" w:themeColor="text1"/>
          <w:lang w:val="uz-Cyrl-UZ"/>
        </w:rPr>
      </w:pPr>
    </w:p>
    <w:p w14:paraId="55EABD13" w14:textId="0D7300CA" w:rsidR="005A4AEE" w:rsidRPr="00012260" w:rsidRDefault="003C5E2E" w:rsidP="003C5E2E">
      <w:pPr>
        <w:pStyle w:val="parrafos"/>
        <w:numPr>
          <w:ilvl w:val="0"/>
          <w:numId w:val="25"/>
        </w:numPr>
        <w:tabs>
          <w:tab w:val="left" w:pos="360"/>
        </w:tabs>
        <w:ind w:left="0" w:firstLine="0"/>
        <w:rPr>
          <w:color w:val="000000" w:themeColor="text1"/>
          <w:lang w:val="uz-Cyrl-UZ"/>
        </w:rPr>
      </w:pPr>
      <w:r w:rsidRPr="00012260">
        <w:rPr>
          <w:color w:val="000000" w:themeColor="text1"/>
          <w:lang w:val="uz-Cyrl-UZ"/>
        </w:rPr>
        <w:t>The IACHR indicated to both parties that when examining the case:</w:t>
      </w:r>
    </w:p>
    <w:p w14:paraId="6F290803" w14:textId="77777777" w:rsidR="003C5E2E" w:rsidRPr="00012260" w:rsidRDefault="003C5E2E" w:rsidP="003C5E2E">
      <w:pPr>
        <w:pStyle w:val="ListParagraph"/>
        <w:rPr>
          <w:color w:val="000000" w:themeColor="text1"/>
          <w:lang w:val="uz-Cyrl-UZ"/>
        </w:rPr>
      </w:pPr>
    </w:p>
    <w:p w14:paraId="3C6A5615" w14:textId="79A2FC9D" w:rsidR="003C5E2E" w:rsidRPr="00012260" w:rsidRDefault="001450EF" w:rsidP="005F1568">
      <w:pPr>
        <w:pStyle w:val="parrafos"/>
        <w:tabs>
          <w:tab w:val="left" w:pos="360"/>
        </w:tabs>
        <w:ind w:left="360" w:right="630"/>
        <w:rPr>
          <w:color w:val="000000" w:themeColor="text1"/>
          <w:sz w:val="18"/>
          <w:szCs w:val="18"/>
          <w:lang w:val="en-US"/>
        </w:rPr>
      </w:pPr>
      <w:r w:rsidRPr="00012260">
        <w:rPr>
          <w:color w:val="000000" w:themeColor="text1"/>
          <w:sz w:val="18"/>
          <w:szCs w:val="18"/>
          <w:lang w:val="en-US"/>
        </w:rPr>
        <w:t>[it ]</w:t>
      </w:r>
      <w:r w:rsidR="005F1568" w:rsidRPr="00012260">
        <w:rPr>
          <w:color w:val="000000" w:themeColor="text1"/>
          <w:sz w:val="18"/>
          <w:szCs w:val="18"/>
          <w:lang w:val="uz-Cyrl-UZ"/>
        </w:rPr>
        <w:t>noted that the main obstacle to reaching an agreement between the parties has been the controversy regarding the amount of payment necessary to comply with the first recommendation of the report on Admissibility and Merits, the scope of which was clarified by the Commission in a technical note of February 4, 2022 in light of the standards developed in the system to achieve integral reparation. Likewise, that on March 29, 2022, the Commission evaluated the State's proposal to reach a compliance agreement that contemplates, among other measures, the creation of an arbitration tribunal to determine the economic reparation and determined that the proposed reparation was adequate taking into account the nature of the violations declared in the report. The Commission took into account the position of the petitioner in relation to the difficulties in reaching an agreement, without having more concrete elements that would allow it to consider that the proposal presented by the State would not constitute a comprehensive reparation in accordance with the standards of the inter-American system and the scope of the merits report. In this regard, the Commission notes the importance of both parties making their best efforts to achieve full reparation for the material violations in the instant case.</w:t>
      </w:r>
    </w:p>
    <w:p w14:paraId="659A852C" w14:textId="77777777" w:rsidR="00FB6FAD" w:rsidRPr="00012260" w:rsidRDefault="00FB6FAD" w:rsidP="00FB6FAD">
      <w:pPr>
        <w:pStyle w:val="parrafos"/>
        <w:tabs>
          <w:tab w:val="left" w:pos="360"/>
        </w:tabs>
        <w:rPr>
          <w:color w:val="000000" w:themeColor="text1"/>
          <w:lang w:val="en-US"/>
        </w:rPr>
      </w:pPr>
    </w:p>
    <w:p w14:paraId="3D40A26E" w14:textId="3A04CF89" w:rsidR="00FB6FAD" w:rsidRPr="00012260" w:rsidRDefault="00FB6FAD" w:rsidP="00FB6FAD">
      <w:pPr>
        <w:pStyle w:val="parrafos"/>
        <w:numPr>
          <w:ilvl w:val="0"/>
          <w:numId w:val="25"/>
        </w:numPr>
        <w:tabs>
          <w:tab w:val="left" w:pos="360"/>
        </w:tabs>
        <w:ind w:left="0" w:firstLine="0"/>
        <w:rPr>
          <w:color w:val="000000" w:themeColor="text1"/>
          <w:lang w:val="en-US"/>
        </w:rPr>
      </w:pPr>
      <w:r w:rsidRPr="00012260">
        <w:rPr>
          <w:color w:val="000000" w:themeColor="text1"/>
          <w:lang w:val="en-US"/>
        </w:rPr>
        <w:t xml:space="preserve">On </w:t>
      </w:r>
      <w:r w:rsidRPr="00012260">
        <w:rPr>
          <w:color w:val="000000" w:themeColor="text1"/>
          <w:lang w:val="uz-Cyrl-UZ"/>
        </w:rPr>
        <w:t>February</w:t>
      </w:r>
      <w:r w:rsidRPr="00012260">
        <w:rPr>
          <w:color w:val="000000" w:themeColor="text1"/>
          <w:lang w:val="en-US"/>
        </w:rPr>
        <w:t xml:space="preserve"> 12, 2023, the Petitioner accepted the State's payment terms in order to be able to make payment as soon as possible, requesting that the payment be made in US dollars, taking into account that the settlement of both parties will be made in the United States. On April 20, 2023, the State requested an </w:t>
      </w:r>
      <w:r w:rsidRPr="00012260">
        <w:rPr>
          <w:color w:val="000000" w:themeColor="text1"/>
          <w:lang w:val="en-US"/>
        </w:rPr>
        <w:lastRenderedPageBreak/>
        <w:t>extension to respond, as it had not received all the information from its departments. The IACHR has not received a response from the State.</w:t>
      </w:r>
    </w:p>
    <w:p w14:paraId="73A41CEA" w14:textId="77777777" w:rsidR="00FB6FAD" w:rsidRPr="00012260" w:rsidRDefault="00FB6FAD" w:rsidP="00FB6FAD">
      <w:pPr>
        <w:pStyle w:val="parrafos"/>
        <w:tabs>
          <w:tab w:val="left" w:pos="360"/>
        </w:tabs>
        <w:rPr>
          <w:color w:val="000000" w:themeColor="text1"/>
          <w:lang w:val="en-US"/>
        </w:rPr>
      </w:pPr>
    </w:p>
    <w:p w14:paraId="7DC73F92" w14:textId="7167F7FD" w:rsidR="005F1568" w:rsidRDefault="00FB6FAD" w:rsidP="00FB6FAD">
      <w:pPr>
        <w:pStyle w:val="parrafos"/>
        <w:numPr>
          <w:ilvl w:val="0"/>
          <w:numId w:val="25"/>
        </w:numPr>
        <w:tabs>
          <w:tab w:val="left" w:pos="360"/>
        </w:tabs>
        <w:ind w:left="0" w:firstLine="0"/>
        <w:rPr>
          <w:color w:val="000000" w:themeColor="text1"/>
          <w:lang w:val="en-US"/>
        </w:rPr>
      </w:pPr>
      <w:r w:rsidRPr="00012260">
        <w:rPr>
          <w:color w:val="000000" w:themeColor="text1"/>
          <w:lang w:val="en-US"/>
        </w:rPr>
        <w:t xml:space="preserve">On June 28, </w:t>
      </w:r>
      <w:r w:rsidRPr="00012260">
        <w:rPr>
          <w:color w:val="000000" w:themeColor="text1"/>
          <w:lang w:val="uz-Cyrl-UZ"/>
        </w:rPr>
        <w:t>2024</w:t>
      </w:r>
      <w:r w:rsidRPr="00012260">
        <w:rPr>
          <w:color w:val="000000" w:themeColor="text1"/>
          <w:lang w:val="en-US"/>
        </w:rPr>
        <w:t>, the petitioner informed that no reparations had been made. In view of the information available, the Commission notes that both recommendations are still pending compliance by the State.</w:t>
      </w:r>
    </w:p>
    <w:p w14:paraId="4EFC6230" w14:textId="77777777" w:rsidR="00012260" w:rsidRDefault="00012260" w:rsidP="00012260">
      <w:pPr>
        <w:pStyle w:val="ListParagraph"/>
        <w:rPr>
          <w:color w:val="000000" w:themeColor="text1"/>
        </w:rPr>
      </w:pPr>
    </w:p>
    <w:p w14:paraId="47240963" w14:textId="45251F9E" w:rsidR="00012260" w:rsidRPr="00BD2027" w:rsidRDefault="00012260" w:rsidP="00012260">
      <w:pPr>
        <w:pStyle w:val="Heading1"/>
        <w:numPr>
          <w:ilvl w:val="0"/>
          <w:numId w:val="2"/>
        </w:numPr>
        <w:tabs>
          <w:tab w:val="clear" w:pos="1440"/>
          <w:tab w:val="left" w:pos="360"/>
          <w:tab w:val="num" w:pos="540"/>
          <w:tab w:val="left" w:pos="1350"/>
        </w:tabs>
        <w:ind w:hanging="1440"/>
        <w:rPr>
          <w:lang w:val="en-US"/>
        </w:rPr>
      </w:pPr>
      <w:bookmarkStart w:id="33" w:name="_Toc203992811"/>
      <w:r w:rsidRPr="00BD2027">
        <w:rPr>
          <w:color w:val="000000" w:themeColor="text1"/>
          <w:lang w:val="en-US"/>
        </w:rPr>
        <w:t>ACTIONS FOLLOWING REPORT No. 59/25 AND INFORMATION ON COMPLIANCE</w:t>
      </w:r>
      <w:bookmarkEnd w:id="33"/>
    </w:p>
    <w:p w14:paraId="4C88FFD1" w14:textId="77777777" w:rsidR="00012260" w:rsidRPr="00BD2027" w:rsidRDefault="00012260" w:rsidP="00012260">
      <w:pPr>
        <w:pStyle w:val="parrafos"/>
        <w:tabs>
          <w:tab w:val="left" w:pos="360"/>
        </w:tabs>
        <w:rPr>
          <w:color w:val="000000" w:themeColor="text1"/>
          <w:lang w:val="en-US"/>
        </w:rPr>
      </w:pPr>
    </w:p>
    <w:p w14:paraId="3ECAE17F" w14:textId="6BF8B8B1" w:rsidR="00012260" w:rsidRPr="00BD2027" w:rsidRDefault="00012260" w:rsidP="00012260">
      <w:pPr>
        <w:pStyle w:val="parrafos"/>
        <w:numPr>
          <w:ilvl w:val="0"/>
          <w:numId w:val="25"/>
        </w:numPr>
        <w:tabs>
          <w:tab w:val="left" w:pos="360"/>
        </w:tabs>
        <w:ind w:left="0" w:firstLine="0"/>
        <w:rPr>
          <w:color w:val="000000" w:themeColor="text1"/>
          <w:lang w:val="en-US"/>
        </w:rPr>
      </w:pPr>
      <w:r w:rsidRPr="00BD2027">
        <w:rPr>
          <w:color w:val="000000" w:themeColor="text1"/>
          <w:lang w:val="en-US"/>
        </w:rPr>
        <w:t>On April 23, 2025, the Commission adopted Merits Report No. 59/25, which includes paragraphs 1 through 91 above, and issued its final conclusions and recommendations to the State. On April 25 of that same year, it transmitted the report to the State and the petitioning party, granting them two weeks to inform the IACHR of the measures taken to comply with its recommendations. In the absence of a response, on May 23, 2025, the IACHR reiterated its request for information. To date, the Commission has not received a response from the Argentine State regarding Report No. 59/25.</w:t>
      </w:r>
    </w:p>
    <w:p w14:paraId="0839A68C" w14:textId="77777777" w:rsidR="00012260" w:rsidRPr="00BD2027" w:rsidRDefault="00012260" w:rsidP="00012260">
      <w:pPr>
        <w:pStyle w:val="parrafos"/>
        <w:tabs>
          <w:tab w:val="left" w:pos="360"/>
        </w:tabs>
        <w:rPr>
          <w:color w:val="000000" w:themeColor="text1"/>
          <w:lang w:val="en-US"/>
        </w:rPr>
      </w:pPr>
    </w:p>
    <w:p w14:paraId="26B7016F" w14:textId="6D679628" w:rsidR="00012260" w:rsidRPr="00BD2027" w:rsidRDefault="00012260" w:rsidP="00012260">
      <w:pPr>
        <w:pStyle w:val="parrafos"/>
        <w:numPr>
          <w:ilvl w:val="0"/>
          <w:numId w:val="25"/>
        </w:numPr>
        <w:tabs>
          <w:tab w:val="left" w:pos="360"/>
        </w:tabs>
        <w:ind w:left="0" w:firstLine="0"/>
        <w:rPr>
          <w:color w:val="000000" w:themeColor="text1"/>
          <w:lang w:val="en-US"/>
        </w:rPr>
      </w:pPr>
      <w:r w:rsidRPr="00BD2027">
        <w:rPr>
          <w:color w:val="000000" w:themeColor="text1"/>
          <w:lang w:val="en-US"/>
        </w:rPr>
        <w:t>The petitioner reported that the State has not complied with the provisions of the report, nor has it contacted the victims.</w:t>
      </w:r>
    </w:p>
    <w:p w14:paraId="6741A0D8" w14:textId="77777777" w:rsidR="00FB6FAD" w:rsidRPr="00BD2027" w:rsidRDefault="00FB6FAD" w:rsidP="00FB6FAD">
      <w:pPr>
        <w:pStyle w:val="parrafos"/>
        <w:tabs>
          <w:tab w:val="left" w:pos="360"/>
        </w:tabs>
        <w:rPr>
          <w:color w:val="000000" w:themeColor="text1"/>
          <w:lang w:val="en-US"/>
        </w:rPr>
      </w:pPr>
    </w:p>
    <w:p w14:paraId="044C53A9" w14:textId="21B023EF" w:rsidR="000561BB" w:rsidRPr="00BD2027" w:rsidRDefault="00E956CD" w:rsidP="00C4166F">
      <w:pPr>
        <w:pStyle w:val="Heading1"/>
        <w:numPr>
          <w:ilvl w:val="0"/>
          <w:numId w:val="2"/>
        </w:numPr>
        <w:tabs>
          <w:tab w:val="clear" w:pos="1440"/>
          <w:tab w:val="left" w:pos="360"/>
          <w:tab w:val="num" w:pos="540"/>
          <w:tab w:val="left" w:pos="1350"/>
        </w:tabs>
        <w:ind w:hanging="1440"/>
      </w:pPr>
      <w:bookmarkStart w:id="34" w:name="_Toc203992812"/>
      <w:r w:rsidRPr="00BD2027">
        <w:t xml:space="preserve">FINAL </w:t>
      </w:r>
      <w:r w:rsidR="00B10AD6" w:rsidRPr="00BD2027">
        <w:t>CONCLUSIONS AND RECOMMENDATIONS</w:t>
      </w:r>
      <w:bookmarkEnd w:id="34"/>
    </w:p>
    <w:p w14:paraId="5C4A9640" w14:textId="77777777" w:rsidR="000561BB" w:rsidRPr="00BD2027" w:rsidRDefault="000561BB" w:rsidP="000561BB">
      <w:pPr>
        <w:spacing w:after="0"/>
        <w:rPr>
          <w:lang w:val="es-ES_tradnl"/>
        </w:rPr>
      </w:pPr>
    </w:p>
    <w:p w14:paraId="5507F4F5" w14:textId="382D6228" w:rsidR="000561BB" w:rsidRPr="00BD2027" w:rsidRDefault="00C07874" w:rsidP="00107C43">
      <w:pPr>
        <w:pStyle w:val="parrafos"/>
        <w:numPr>
          <w:ilvl w:val="0"/>
          <w:numId w:val="25"/>
        </w:numPr>
        <w:tabs>
          <w:tab w:val="left" w:pos="360"/>
        </w:tabs>
        <w:ind w:left="0" w:firstLine="0"/>
        <w:rPr>
          <w:lang w:val="uz-Cyrl-UZ"/>
        </w:rPr>
      </w:pPr>
      <w:r w:rsidRPr="00BD2027">
        <w:rPr>
          <w:color w:val="auto"/>
          <w:lang w:val="en-US"/>
        </w:rPr>
        <w:t>The Commission concludes that the Argentine State is responsible for the violation of the rights established in Articles 8.1 (</w:t>
      </w:r>
      <w:r w:rsidR="00A90859" w:rsidRPr="00BD2027">
        <w:rPr>
          <w:color w:val="auto"/>
          <w:lang w:val="en-US"/>
        </w:rPr>
        <w:t>fair trial</w:t>
      </w:r>
      <w:r w:rsidRPr="00BD2027">
        <w:rPr>
          <w:color w:val="auto"/>
          <w:lang w:val="en-US"/>
        </w:rPr>
        <w:t>) and 25.1 (judicial protection) of the American Convention on Human Rights, in relation to the obligations established in Article 1.1 of the same instrument</w:t>
      </w:r>
      <w:r w:rsidR="000561BB" w:rsidRPr="00BD2027">
        <w:rPr>
          <w:color w:val="auto"/>
          <w:lang w:val="en-US"/>
        </w:rPr>
        <w:t xml:space="preserve">. </w:t>
      </w:r>
    </w:p>
    <w:p w14:paraId="0FD19292" w14:textId="77777777" w:rsidR="000561BB" w:rsidRPr="00BD2027" w:rsidRDefault="000561BB" w:rsidP="000561BB">
      <w:pPr>
        <w:pStyle w:val="parrafos"/>
        <w:tabs>
          <w:tab w:val="left" w:pos="360"/>
        </w:tabs>
        <w:rPr>
          <w:lang w:val="uz-Cyrl-UZ"/>
        </w:rPr>
      </w:pPr>
    </w:p>
    <w:p w14:paraId="7BE08AE5" w14:textId="0B959F3E" w:rsidR="000561BB" w:rsidRPr="00BD2027" w:rsidRDefault="00C07874" w:rsidP="00107C43">
      <w:pPr>
        <w:pStyle w:val="parrafos"/>
        <w:numPr>
          <w:ilvl w:val="0"/>
          <w:numId w:val="25"/>
        </w:numPr>
        <w:tabs>
          <w:tab w:val="left" w:pos="360"/>
        </w:tabs>
        <w:ind w:left="0" w:firstLine="0"/>
        <w:rPr>
          <w:lang w:val="uz-Cyrl-UZ"/>
        </w:rPr>
      </w:pPr>
      <w:r w:rsidRPr="00BD2027">
        <w:rPr>
          <w:lang w:val="en-US"/>
        </w:rPr>
        <w:t>Based on the analysis and conclusions of this report</w:t>
      </w:r>
      <w:r w:rsidR="000561BB" w:rsidRPr="00BD2027">
        <w:rPr>
          <w:lang w:val="en-US"/>
        </w:rPr>
        <w:t>,</w:t>
      </w:r>
    </w:p>
    <w:p w14:paraId="5ED023FA" w14:textId="1AF83155" w:rsidR="000561BB" w:rsidRPr="00BD2027" w:rsidRDefault="000561BB" w:rsidP="000561BB">
      <w:pPr>
        <w:pStyle w:val="parrafos"/>
        <w:tabs>
          <w:tab w:val="left" w:pos="360"/>
        </w:tabs>
        <w:rPr>
          <w:lang w:val="uz-Cyrl-UZ"/>
        </w:rPr>
      </w:pPr>
    </w:p>
    <w:p w14:paraId="77247161" w14:textId="0D5FCC70" w:rsidR="000561BB" w:rsidRPr="00BD2027" w:rsidRDefault="00B10AD6" w:rsidP="000561BB">
      <w:pPr>
        <w:pStyle w:val="parrafos"/>
        <w:tabs>
          <w:tab w:val="left" w:pos="360"/>
        </w:tabs>
        <w:rPr>
          <w:b/>
          <w:bCs/>
          <w:color w:val="auto"/>
          <w:lang w:val="en-US"/>
        </w:rPr>
      </w:pPr>
      <w:r w:rsidRPr="00BD2027">
        <w:rPr>
          <w:b/>
          <w:bCs/>
          <w:color w:val="auto"/>
          <w:lang w:val="en-US"/>
        </w:rPr>
        <w:t>THE INTER-AMERICAN COMMISSION ON HUMAN RIGHTS RECOMMENDS TO THE STATE OF ARGENTINA</w:t>
      </w:r>
      <w:r w:rsidR="000561BB" w:rsidRPr="00BD2027">
        <w:rPr>
          <w:b/>
          <w:bCs/>
          <w:color w:val="auto"/>
          <w:lang w:val="en-US"/>
        </w:rPr>
        <w:t>:</w:t>
      </w:r>
    </w:p>
    <w:p w14:paraId="233B1282" w14:textId="3B08EFBC" w:rsidR="000561BB" w:rsidRPr="00BD2027" w:rsidRDefault="000561BB" w:rsidP="0038705B">
      <w:pPr>
        <w:pStyle w:val="parrafos"/>
        <w:tabs>
          <w:tab w:val="left" w:pos="360"/>
        </w:tabs>
        <w:rPr>
          <w:lang w:val="en-US"/>
        </w:rPr>
      </w:pPr>
    </w:p>
    <w:p w14:paraId="5AB2EA54" w14:textId="6EAF1CFC" w:rsidR="000561BB" w:rsidRPr="00BD2027" w:rsidRDefault="00C07874" w:rsidP="002108A0">
      <w:pPr>
        <w:pStyle w:val="BodyTextIndent"/>
        <w:numPr>
          <w:ilvl w:val="0"/>
          <w:numId w:val="41"/>
        </w:numPr>
        <w:tabs>
          <w:tab w:val="left" w:pos="450"/>
        </w:tabs>
        <w:ind w:left="0" w:right="720" w:firstLine="0"/>
        <w:jc w:val="both"/>
        <w:rPr>
          <w:rFonts w:ascii="Cambria" w:hAnsi="Cambria"/>
          <w:color w:val="000000" w:themeColor="text1"/>
          <w:sz w:val="20"/>
          <w:szCs w:val="20"/>
          <w:lang w:val="uz-Cyrl-UZ"/>
        </w:rPr>
      </w:pPr>
      <w:r w:rsidRPr="00BD2027">
        <w:rPr>
          <w:rFonts w:ascii="Cambria" w:hAnsi="Cambria"/>
          <w:color w:val="000000" w:themeColor="text1"/>
          <w:sz w:val="20"/>
          <w:szCs w:val="20"/>
          <w:lang w:val="uz-Cyrl-UZ"/>
        </w:rPr>
        <w:t>Make full reparation</w:t>
      </w:r>
      <w:r w:rsidR="00C4166F" w:rsidRPr="00BD2027">
        <w:rPr>
          <w:rFonts w:ascii="Cambria" w:hAnsi="Cambria"/>
          <w:color w:val="000000" w:themeColor="text1"/>
          <w:sz w:val="20"/>
          <w:szCs w:val="20"/>
          <w:lang w:val="en-US"/>
        </w:rPr>
        <w:t>s</w:t>
      </w:r>
      <w:r w:rsidRPr="00BD2027">
        <w:rPr>
          <w:rFonts w:ascii="Cambria" w:hAnsi="Cambria"/>
          <w:color w:val="000000" w:themeColor="text1"/>
          <w:sz w:val="20"/>
          <w:szCs w:val="20"/>
          <w:lang w:val="uz-Cyrl-UZ"/>
        </w:rPr>
        <w:t xml:space="preserve"> for the human rights violations declared in this report. In particular, adopt the payment of compensation to the victims for the unreasonable period of duration of the process for patrimonial liability promoted against them</w:t>
      </w:r>
      <w:r w:rsidR="000561BB" w:rsidRPr="00BD2027">
        <w:rPr>
          <w:rFonts w:ascii="Cambria" w:hAnsi="Cambria"/>
          <w:color w:val="000000" w:themeColor="text1"/>
          <w:sz w:val="20"/>
          <w:szCs w:val="20"/>
          <w:lang w:val="en-US"/>
        </w:rPr>
        <w:t xml:space="preserve">. </w:t>
      </w:r>
    </w:p>
    <w:p w14:paraId="63386E83" w14:textId="77777777" w:rsidR="000561BB" w:rsidRPr="00BD2027" w:rsidRDefault="000561BB" w:rsidP="000561BB">
      <w:pPr>
        <w:pStyle w:val="BodyTextIndent"/>
        <w:tabs>
          <w:tab w:val="left" w:pos="450"/>
        </w:tabs>
        <w:ind w:left="0" w:right="720" w:firstLine="0"/>
        <w:jc w:val="both"/>
        <w:rPr>
          <w:rFonts w:ascii="Cambria" w:hAnsi="Cambria"/>
          <w:color w:val="000000" w:themeColor="text1"/>
          <w:sz w:val="20"/>
          <w:szCs w:val="20"/>
          <w:lang w:val="uz-Cyrl-UZ"/>
        </w:rPr>
      </w:pPr>
    </w:p>
    <w:p w14:paraId="1513A357" w14:textId="42DC16BE" w:rsidR="000561BB" w:rsidRPr="00BD2027" w:rsidRDefault="00C07874" w:rsidP="00610715">
      <w:pPr>
        <w:pStyle w:val="BodyTextIndent"/>
        <w:numPr>
          <w:ilvl w:val="0"/>
          <w:numId w:val="41"/>
        </w:numPr>
        <w:tabs>
          <w:tab w:val="left" w:pos="450"/>
        </w:tabs>
        <w:ind w:left="0" w:right="720" w:firstLine="0"/>
        <w:jc w:val="both"/>
        <w:rPr>
          <w:rFonts w:ascii="Cambria" w:hAnsi="Cambria"/>
          <w:color w:val="000000" w:themeColor="text1"/>
          <w:sz w:val="20"/>
          <w:szCs w:val="20"/>
          <w:lang w:val="uz-Cyrl-UZ"/>
        </w:rPr>
      </w:pPr>
      <w:r w:rsidRPr="00BD2027">
        <w:rPr>
          <w:rFonts w:ascii="Cambria" w:hAnsi="Cambria"/>
          <w:color w:val="000000" w:themeColor="text1"/>
          <w:sz w:val="20"/>
          <w:szCs w:val="20"/>
          <w:lang w:val="uz-Cyrl-UZ"/>
        </w:rPr>
        <w:t>Adopt the necessary training measures to ensure that the judicial processes of patrimonial responsibility are resolved in a timely manner by the corresponding judicial authorities within a reasonable period of time in accordance with the inter-American standards on the matter.</w:t>
      </w:r>
    </w:p>
    <w:p w14:paraId="0F3BE7ED" w14:textId="77777777" w:rsidR="0025587B" w:rsidRPr="00BD2027" w:rsidRDefault="0025587B" w:rsidP="0025587B">
      <w:pPr>
        <w:pStyle w:val="BodyTextIndent"/>
        <w:tabs>
          <w:tab w:val="left" w:pos="450"/>
        </w:tabs>
        <w:ind w:left="0" w:right="720" w:firstLine="0"/>
        <w:jc w:val="both"/>
        <w:rPr>
          <w:rFonts w:ascii="Cambria" w:hAnsi="Cambria"/>
          <w:color w:val="000000" w:themeColor="text1"/>
          <w:sz w:val="20"/>
          <w:szCs w:val="20"/>
          <w:lang w:val="uz-Cyrl-UZ"/>
        </w:rPr>
      </w:pPr>
    </w:p>
    <w:p w14:paraId="569165A0" w14:textId="71CD6150" w:rsidR="000561BB" w:rsidRPr="00BD2027" w:rsidRDefault="00012260" w:rsidP="00E956CD">
      <w:pPr>
        <w:pStyle w:val="Heading1"/>
        <w:numPr>
          <w:ilvl w:val="0"/>
          <w:numId w:val="2"/>
        </w:numPr>
        <w:tabs>
          <w:tab w:val="clear" w:pos="1440"/>
          <w:tab w:val="left" w:pos="360"/>
          <w:tab w:val="num" w:pos="540"/>
          <w:tab w:val="left" w:pos="1350"/>
        </w:tabs>
        <w:ind w:hanging="1440"/>
        <w:rPr>
          <w:lang w:val="en-US"/>
        </w:rPr>
      </w:pPr>
      <w:bookmarkStart w:id="35" w:name="_Toc203992813"/>
      <w:r w:rsidRPr="00BD2027">
        <w:rPr>
          <w:lang w:val="en-US"/>
        </w:rPr>
        <w:t>PUBL</w:t>
      </w:r>
      <w:r w:rsidR="0025587B" w:rsidRPr="00BD2027">
        <w:rPr>
          <w:lang w:val="en-US"/>
        </w:rPr>
        <w:t>ICATION</w:t>
      </w:r>
      <w:bookmarkEnd w:id="35"/>
    </w:p>
    <w:p w14:paraId="7F3C8552" w14:textId="77777777" w:rsidR="0025587B" w:rsidRPr="00BD2027" w:rsidRDefault="0025587B" w:rsidP="0025587B">
      <w:pPr>
        <w:pStyle w:val="parrafos"/>
        <w:tabs>
          <w:tab w:val="left" w:pos="360"/>
        </w:tabs>
        <w:rPr>
          <w:lang w:val="en-US"/>
        </w:rPr>
      </w:pPr>
    </w:p>
    <w:p w14:paraId="5C7C4CE7" w14:textId="1D5B176C" w:rsidR="00012260" w:rsidRPr="00BD2027" w:rsidRDefault="00012260" w:rsidP="00012260">
      <w:pPr>
        <w:pStyle w:val="parrafos"/>
        <w:numPr>
          <w:ilvl w:val="0"/>
          <w:numId w:val="25"/>
        </w:numPr>
        <w:tabs>
          <w:tab w:val="left" w:pos="360"/>
        </w:tabs>
        <w:ind w:left="0" w:firstLine="0"/>
        <w:rPr>
          <w:lang w:val="en-US"/>
        </w:rPr>
      </w:pPr>
      <w:r w:rsidRPr="00BD2027">
        <w:rPr>
          <w:lang w:val="en-US"/>
        </w:rPr>
        <w:t>In accordance with the foregoing and pursuant to Article 51(3) of the American Convention, the Inter-American Commission on Human Rights decides to publish this report and include it in its Annual Report to the General Assembly of the Organization of American States. The Inter-American Commission, in accordance with the rules established in the instruments that regulate its mandate, will continue to evaluate whether the State of Argentina has provided full reparation to the victims in accordance with the recommendations set forth above, until it determines that they have been fully complied with.</w:t>
      </w:r>
    </w:p>
    <w:p w14:paraId="0574C270" w14:textId="06281E6A" w:rsidR="0025587B" w:rsidRDefault="0025587B" w:rsidP="00012260">
      <w:pPr>
        <w:pStyle w:val="parrafos"/>
        <w:tabs>
          <w:tab w:val="left" w:pos="360"/>
        </w:tabs>
        <w:ind w:left="720"/>
        <w:rPr>
          <w:lang w:val="en-US"/>
        </w:rPr>
      </w:pPr>
    </w:p>
    <w:p w14:paraId="1917BA66" w14:textId="50F38A29" w:rsidR="005F513E" w:rsidRPr="0025587B" w:rsidRDefault="005F513E" w:rsidP="005F513E">
      <w:pPr>
        <w:pStyle w:val="parrafos"/>
        <w:tabs>
          <w:tab w:val="left" w:pos="360"/>
        </w:tabs>
        <w:rPr>
          <w:lang w:val="en-US"/>
        </w:rPr>
      </w:pPr>
      <w:r>
        <w:rPr>
          <w:lang w:val="en-US"/>
        </w:rPr>
        <w:tab/>
      </w:r>
      <w:r w:rsidRPr="005F513E">
        <w:rPr>
          <w:lang w:val="en-US"/>
        </w:rPr>
        <w:t>Approved by the Inter-American Commission on Human Rights on July 14, 2025. (Signed): José Luis Caballero Ochoa, President, Arif Bulkan, Second Vice President, Roberta Clarke; Carlos Bernal Pulido and Edgar Stuardo Ralón Orellana, Members of the Commission.</w:t>
      </w:r>
    </w:p>
    <w:sectPr w:rsidR="005F513E" w:rsidRPr="0025587B" w:rsidSect="00912201">
      <w:pgSz w:w="12240" w:h="15840"/>
      <w:pgMar w:top="1440" w:right="153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822B8" w14:textId="77777777" w:rsidR="000427E7" w:rsidRDefault="000427E7" w:rsidP="007374FF">
      <w:pPr>
        <w:spacing w:after="0" w:line="240" w:lineRule="auto"/>
      </w:pPr>
      <w:r>
        <w:separator/>
      </w:r>
    </w:p>
  </w:endnote>
  <w:endnote w:type="continuationSeparator" w:id="0">
    <w:p w14:paraId="0531567A" w14:textId="77777777" w:rsidR="000427E7" w:rsidRDefault="000427E7" w:rsidP="0073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1A7B9" w14:textId="4DB2C676" w:rsidR="00CB7C3D" w:rsidRPr="00934A2C" w:rsidRDefault="00CB7C3D">
    <w:pPr>
      <w:pStyle w:val="Footer"/>
      <w:jc w:val="center"/>
      <w:rPr>
        <w:sz w:val="16"/>
        <w:szCs w:val="22"/>
      </w:rPr>
    </w:pPr>
    <w:r w:rsidRPr="00934A2C">
      <w:rPr>
        <w:sz w:val="16"/>
        <w:szCs w:val="22"/>
      </w:rPr>
      <w:fldChar w:fldCharType="begin"/>
    </w:r>
    <w:r w:rsidRPr="00934A2C">
      <w:rPr>
        <w:sz w:val="16"/>
        <w:szCs w:val="22"/>
      </w:rPr>
      <w:instrText xml:space="preserve"> </w:instrText>
    </w:r>
    <w:r>
      <w:rPr>
        <w:sz w:val="16"/>
        <w:szCs w:val="22"/>
      </w:rPr>
      <w:instrText>PAGE</w:instrText>
    </w:r>
    <w:r w:rsidRPr="00934A2C">
      <w:rPr>
        <w:sz w:val="16"/>
        <w:szCs w:val="22"/>
      </w:rPr>
      <w:instrText xml:space="preserve">   \* MERGEFORMAT </w:instrText>
    </w:r>
    <w:r w:rsidRPr="00934A2C">
      <w:rPr>
        <w:sz w:val="16"/>
        <w:szCs w:val="22"/>
      </w:rPr>
      <w:fldChar w:fldCharType="separate"/>
    </w:r>
    <w:r w:rsidR="008D447D">
      <w:rPr>
        <w:noProof/>
        <w:sz w:val="16"/>
        <w:szCs w:val="22"/>
      </w:rPr>
      <w:t>16</w:t>
    </w:r>
    <w:r w:rsidRPr="00934A2C">
      <w:rPr>
        <w:noProof/>
        <w:sz w:val="16"/>
        <w:szCs w:val="22"/>
      </w:rPr>
      <w:fldChar w:fldCharType="end"/>
    </w:r>
  </w:p>
  <w:p w14:paraId="6BFC48D5" w14:textId="77777777" w:rsidR="00CB7C3D" w:rsidRDefault="00CB7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B0B3" w14:textId="77777777" w:rsidR="00CB7C3D" w:rsidRPr="00934A2C" w:rsidRDefault="00CB7C3D">
    <w:pPr>
      <w:pStyle w:val="Footer"/>
      <w:jc w:val="center"/>
      <w:rPr>
        <w:sz w:val="16"/>
        <w:szCs w:val="22"/>
      </w:rPr>
    </w:pPr>
  </w:p>
  <w:p w14:paraId="116AAEC7" w14:textId="77777777" w:rsidR="00CB7C3D" w:rsidRDefault="00CB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CC36A" w14:textId="77777777" w:rsidR="000427E7" w:rsidRDefault="000427E7" w:rsidP="007374FF">
      <w:pPr>
        <w:spacing w:after="0" w:line="240" w:lineRule="auto"/>
      </w:pPr>
      <w:r>
        <w:separator/>
      </w:r>
    </w:p>
  </w:footnote>
  <w:footnote w:type="continuationSeparator" w:id="0">
    <w:p w14:paraId="6CAB38E7" w14:textId="77777777" w:rsidR="000427E7" w:rsidRDefault="000427E7" w:rsidP="007374FF">
      <w:pPr>
        <w:spacing w:after="0" w:line="240" w:lineRule="auto"/>
      </w:pPr>
      <w:r>
        <w:continuationSeparator/>
      </w:r>
    </w:p>
  </w:footnote>
  <w:footnote w:id="1">
    <w:p w14:paraId="10C8CCBD" w14:textId="77777777" w:rsidR="00CE470E" w:rsidRPr="009C147B" w:rsidRDefault="00CE470E" w:rsidP="009C147B">
      <w:pPr>
        <w:pStyle w:val="FootnoteText"/>
        <w:jc w:val="both"/>
        <w:rPr>
          <w:rFonts w:asciiTheme="minorHAnsi" w:hAnsiTheme="minorHAnsi"/>
        </w:rPr>
      </w:pPr>
      <w:r w:rsidRPr="00192B65">
        <w:rPr>
          <w:rStyle w:val="FootnoteReference"/>
          <w:rFonts w:asciiTheme="minorHAnsi" w:hAnsiTheme="minorHAnsi"/>
          <w:sz w:val="16"/>
          <w:szCs w:val="16"/>
        </w:rPr>
        <w:footnoteRef/>
      </w:r>
      <w:r w:rsidRPr="00192B65">
        <w:rPr>
          <w:rFonts w:asciiTheme="minorHAnsi" w:hAnsiTheme="minorHAnsi"/>
        </w:rPr>
        <w:t xml:space="preserve"> </w:t>
      </w:r>
      <w:r w:rsidRPr="00192B65">
        <w:rPr>
          <w:rFonts w:asciiTheme="minorHAnsi" w:hAnsiTheme="minorHAnsi"/>
          <w:color w:val="auto"/>
          <w:sz w:val="16"/>
          <w:szCs w:val="16"/>
          <w:lang w:val="en"/>
        </w:rPr>
        <w:t>Pursuant to Article 17.2 of the Commission's Rules of Procedure, Commissioner Andrea Pochak, an Argentine national, did not participate in the debate or decision in this case.</w:t>
      </w:r>
    </w:p>
  </w:footnote>
  <w:footnote w:id="2">
    <w:p w14:paraId="75E35682" w14:textId="20A5AA55" w:rsidR="00CB7C3D" w:rsidRPr="004D028B" w:rsidRDefault="00CB7C3D" w:rsidP="00DB4B16">
      <w:pPr>
        <w:pStyle w:val="FootnoteText"/>
        <w:jc w:val="both"/>
        <w:rPr>
          <w:rFonts w:asciiTheme="minorHAnsi" w:hAnsiTheme="minorHAnsi"/>
          <w:sz w:val="16"/>
          <w:szCs w:val="16"/>
        </w:rPr>
      </w:pPr>
      <w:r w:rsidRPr="00533DD1">
        <w:rPr>
          <w:rStyle w:val="FootnoteReference"/>
          <w:rFonts w:asciiTheme="minorHAnsi" w:hAnsiTheme="minorHAnsi"/>
          <w:sz w:val="16"/>
          <w:szCs w:val="16"/>
        </w:rPr>
        <w:footnoteRef/>
      </w:r>
      <w:r w:rsidRPr="004D028B">
        <w:rPr>
          <w:rFonts w:asciiTheme="minorHAnsi" w:hAnsiTheme="minorHAnsi"/>
          <w:sz w:val="16"/>
          <w:szCs w:val="16"/>
        </w:rPr>
        <w:t xml:space="preserve"> </w:t>
      </w:r>
      <w:r w:rsidR="00C07874" w:rsidRPr="004D028B">
        <w:rPr>
          <w:rFonts w:asciiTheme="minorHAnsi" w:hAnsiTheme="minorHAnsi"/>
          <w:sz w:val="16"/>
          <w:szCs w:val="16"/>
        </w:rPr>
        <w:t>IACHR, Report No. 44/09, Petition 12.161, Inadmissibility, Ciro Abadías Bodero Arellano, Peru, March 27, 2009, para. 28; see also IACHR Report 90/90, Case 9893, Uruguay, para. 22</w:t>
      </w:r>
      <w:r w:rsidRPr="004D028B">
        <w:rPr>
          <w:rFonts w:asciiTheme="minorHAnsi" w:hAnsiTheme="minorHAnsi"/>
          <w:sz w:val="16"/>
          <w:szCs w:val="16"/>
        </w:rPr>
        <w:t xml:space="preserve">. </w:t>
      </w:r>
    </w:p>
  </w:footnote>
  <w:footnote w:id="3">
    <w:p w14:paraId="2D7ABC47" w14:textId="69CC9AC0" w:rsidR="00CB7C3D" w:rsidRPr="00527697" w:rsidRDefault="00CB7C3D" w:rsidP="00DB4B16">
      <w:pPr>
        <w:pStyle w:val="FootnoteText"/>
        <w:jc w:val="both"/>
        <w:rPr>
          <w:rFonts w:asciiTheme="minorHAnsi" w:hAnsiTheme="minorHAnsi"/>
          <w:sz w:val="16"/>
          <w:szCs w:val="16"/>
        </w:rPr>
      </w:pPr>
      <w:r w:rsidRPr="00533DD1">
        <w:rPr>
          <w:rStyle w:val="FootnoteReference"/>
          <w:rFonts w:asciiTheme="minorHAnsi" w:hAnsiTheme="minorHAnsi"/>
          <w:sz w:val="16"/>
          <w:szCs w:val="16"/>
        </w:rPr>
        <w:footnoteRef/>
      </w:r>
      <w:r w:rsidRPr="004D028B">
        <w:rPr>
          <w:rFonts w:asciiTheme="minorHAnsi" w:hAnsiTheme="minorHAnsi"/>
          <w:sz w:val="16"/>
          <w:szCs w:val="16"/>
        </w:rPr>
        <w:t xml:space="preserve"> </w:t>
      </w:r>
      <w:r w:rsidR="00C07874" w:rsidRPr="004D028B">
        <w:rPr>
          <w:rFonts w:asciiTheme="minorHAnsi" w:hAnsiTheme="minorHAnsi"/>
          <w:sz w:val="16"/>
          <w:szCs w:val="16"/>
        </w:rPr>
        <w:t xml:space="preserve">I / A Court HR, Exceptions to the exhaustion of domestic remedies (Art. 46.1, 46.2.a and 46.2.b American Convention on Human Rights), requested by the Inter-American Commission on Human Rights, para. </w:t>
      </w:r>
      <w:r w:rsidR="00C07874" w:rsidRPr="00527697">
        <w:rPr>
          <w:rFonts w:asciiTheme="minorHAnsi" w:hAnsiTheme="minorHAnsi"/>
          <w:sz w:val="16"/>
          <w:szCs w:val="16"/>
        </w:rPr>
        <w:t>41</w:t>
      </w:r>
      <w:r w:rsidRPr="00527697">
        <w:rPr>
          <w:rFonts w:asciiTheme="minorHAnsi" w:hAnsiTheme="minorHAnsi"/>
          <w:sz w:val="16"/>
          <w:szCs w:val="16"/>
        </w:rPr>
        <w:t>.</w:t>
      </w:r>
    </w:p>
  </w:footnote>
  <w:footnote w:id="4">
    <w:p w14:paraId="3C8470BF" w14:textId="3386F806" w:rsidR="00CB7C3D" w:rsidRPr="004D028B" w:rsidRDefault="00CB7C3D" w:rsidP="00DB4B16">
      <w:pPr>
        <w:pStyle w:val="NoSpacing"/>
        <w:jc w:val="both"/>
        <w:rPr>
          <w:rFonts w:asciiTheme="minorHAnsi" w:hAnsiTheme="minorHAnsi" w:cs="Verdana"/>
          <w:sz w:val="16"/>
          <w:szCs w:val="16"/>
          <w:lang w:bidi="en-US"/>
        </w:rPr>
      </w:pPr>
      <w:r w:rsidRPr="00533DD1">
        <w:rPr>
          <w:rStyle w:val="FootnoteReference"/>
          <w:rFonts w:asciiTheme="minorHAnsi" w:hAnsiTheme="minorHAnsi"/>
          <w:sz w:val="16"/>
          <w:szCs w:val="16"/>
        </w:rPr>
        <w:footnoteRef/>
      </w:r>
      <w:r w:rsidRPr="00527697">
        <w:rPr>
          <w:rFonts w:asciiTheme="minorHAnsi" w:hAnsiTheme="minorHAnsi"/>
          <w:sz w:val="16"/>
          <w:szCs w:val="16"/>
        </w:rPr>
        <w:t xml:space="preserve"> </w:t>
      </w:r>
      <w:r w:rsidR="00C07874" w:rsidRPr="00527697">
        <w:rPr>
          <w:rFonts w:asciiTheme="minorHAnsi" w:hAnsiTheme="minorHAnsi" w:cs="Verdana"/>
          <w:sz w:val="16"/>
          <w:szCs w:val="16"/>
          <w:lang w:bidi="en-US"/>
        </w:rPr>
        <w:t xml:space="preserve">IACHR, Report No. 20/05, Petition 714/00 (“Rafael Correa Díaz”), February 25, 2005, Peru, para. 32; IACHR, Report No. 25/04, Case 12,361 (“Ana Victoria Sánchez Villalobos et al."), March 11, 2004, Costa Rica, para. </w:t>
      </w:r>
      <w:r w:rsidR="00C07874" w:rsidRPr="004D028B">
        <w:rPr>
          <w:rFonts w:asciiTheme="minorHAnsi" w:hAnsiTheme="minorHAnsi" w:cs="Verdana"/>
          <w:sz w:val="16"/>
          <w:szCs w:val="16"/>
          <w:lang w:bidi="en-US"/>
        </w:rPr>
        <w:t>45; IACHR, Report No. 52/00. Cases 11.830 and 12.038. (Workers dismissed from the Congress of the Republic), June 15, 2001, Peru, Para. 21, Report No. 2/08, Petition 506/05 (“José Rodríguez Dañin,” March 6, 2008, Para. 56</w:t>
      </w:r>
      <w:r w:rsidRPr="004D028B">
        <w:rPr>
          <w:rFonts w:asciiTheme="minorHAnsi" w:hAnsiTheme="minorHAnsi" w:cs="Verdana"/>
          <w:sz w:val="16"/>
          <w:szCs w:val="16"/>
          <w:lang w:bidi="en-US"/>
        </w:rPr>
        <w:t xml:space="preserve">. </w:t>
      </w:r>
    </w:p>
  </w:footnote>
  <w:footnote w:id="5">
    <w:p w14:paraId="14108691" w14:textId="7C6C69D9" w:rsidR="00CB7C3D" w:rsidRPr="004D028B" w:rsidRDefault="00CB7C3D" w:rsidP="00DB4B16">
      <w:pPr>
        <w:pStyle w:val="FootnoteText"/>
        <w:jc w:val="both"/>
      </w:pPr>
      <w:r w:rsidRPr="00533DD1">
        <w:rPr>
          <w:rStyle w:val="FootnoteReference"/>
          <w:rFonts w:asciiTheme="minorHAnsi" w:hAnsiTheme="minorHAnsi"/>
          <w:sz w:val="16"/>
          <w:szCs w:val="16"/>
        </w:rPr>
        <w:footnoteRef/>
      </w:r>
      <w:r w:rsidRPr="004D028B">
        <w:rPr>
          <w:rFonts w:asciiTheme="minorHAnsi" w:hAnsiTheme="minorHAnsi"/>
          <w:sz w:val="16"/>
          <w:szCs w:val="16"/>
        </w:rPr>
        <w:t xml:space="preserve"> </w:t>
      </w:r>
      <w:r w:rsidR="004D40C5" w:rsidRPr="004D028B">
        <w:rPr>
          <w:rFonts w:asciiTheme="minorHAnsi" w:hAnsiTheme="minorHAnsi"/>
          <w:sz w:val="16"/>
          <w:szCs w:val="16"/>
        </w:rPr>
        <w:t>IACHR, Report No. 46/15, Petition 315-01. Cristina Britez Arce. Argentina. July 28, 2015, para. 47</w:t>
      </w:r>
      <w:r w:rsidRPr="004D028B">
        <w:rPr>
          <w:rFonts w:asciiTheme="minorHAnsi" w:hAnsiTheme="minorHAnsi"/>
          <w:sz w:val="16"/>
          <w:szCs w:val="16"/>
        </w:rPr>
        <w:t>.</w:t>
      </w:r>
    </w:p>
  </w:footnote>
  <w:footnote w:id="6">
    <w:p w14:paraId="338D2C00" w14:textId="0A629527" w:rsidR="00264549" w:rsidRPr="00264549" w:rsidRDefault="00264549" w:rsidP="00264549">
      <w:pPr>
        <w:pStyle w:val="FootnoteText"/>
        <w:jc w:val="both"/>
        <w:rPr>
          <w:rFonts w:asciiTheme="minorHAnsi" w:hAnsiTheme="minorHAnsi"/>
          <w:sz w:val="16"/>
          <w:szCs w:val="16"/>
        </w:rPr>
      </w:pPr>
      <w:r w:rsidRPr="008E4EB9">
        <w:rPr>
          <w:rStyle w:val="FootnoteReference"/>
          <w:rFonts w:asciiTheme="minorHAnsi" w:hAnsiTheme="minorHAnsi"/>
          <w:sz w:val="16"/>
          <w:szCs w:val="16"/>
        </w:rPr>
        <w:footnoteRef/>
      </w:r>
      <w:r w:rsidRPr="00264549">
        <w:rPr>
          <w:rFonts w:asciiTheme="minorHAnsi" w:hAnsiTheme="minorHAnsi"/>
          <w:sz w:val="16"/>
          <w:szCs w:val="16"/>
        </w:rPr>
        <w:t xml:space="preserve"> Annex 1. </w:t>
      </w:r>
      <w:r w:rsidRPr="004D028B">
        <w:rPr>
          <w:rFonts w:asciiTheme="minorHAnsi" w:hAnsiTheme="minorHAnsi"/>
          <w:sz w:val="16"/>
          <w:szCs w:val="16"/>
        </w:rPr>
        <w:t>Judicial Power of the Nation. MUTUAL BOX YATAY 240 SOC. COOP. FROM CRED.LTDA. S / BANKRUPTCY C / FINKELBERG ABRAHAM AND OTHERS (ACTION OF EQUITY RESP.) S / ORDINARY. 39248. First instance judgment of December 23, 2003. Annex 3 to the State's brief of May 3, 2013.</w:t>
      </w:r>
    </w:p>
  </w:footnote>
  <w:footnote w:id="7">
    <w:p w14:paraId="45F8AFFD" w14:textId="6376C3E9" w:rsidR="00264549" w:rsidRPr="00264549" w:rsidRDefault="00264549" w:rsidP="00264549">
      <w:pPr>
        <w:pStyle w:val="FootnoteText"/>
        <w:jc w:val="both"/>
      </w:pPr>
      <w:r w:rsidRPr="008E4EB9">
        <w:rPr>
          <w:rStyle w:val="FootnoteReference"/>
          <w:rFonts w:asciiTheme="minorHAnsi" w:hAnsiTheme="minorHAnsi"/>
          <w:sz w:val="16"/>
          <w:szCs w:val="16"/>
        </w:rPr>
        <w:footnoteRef/>
      </w:r>
      <w:r w:rsidRPr="00264549">
        <w:rPr>
          <w:rFonts w:asciiTheme="minorHAnsi" w:hAnsiTheme="minorHAnsi"/>
          <w:sz w:val="16"/>
          <w:szCs w:val="16"/>
        </w:rPr>
        <w:t xml:space="preserve"> Annex 1. </w:t>
      </w:r>
      <w:r w:rsidRPr="004D028B">
        <w:rPr>
          <w:rFonts w:asciiTheme="minorHAnsi" w:hAnsiTheme="minorHAnsi"/>
          <w:sz w:val="16"/>
          <w:szCs w:val="16"/>
        </w:rPr>
        <w:t>Judicial Power of the Nation. MUTUAL BOX YATAY 240 SOC. COOP. FROM CRED.LTDA. S / BANKRUPTCY C / FINKELBERG ABRAHAM AND OTHERS (ACTION OF EQUITY RESP.) S / ORDINARY. 39248. First instance judgment of December 23, 2003. Annex 3 to the State's brief of May 3, 2013.</w:t>
      </w:r>
    </w:p>
  </w:footnote>
  <w:footnote w:id="8">
    <w:p w14:paraId="1424FB34" w14:textId="7218F0FB" w:rsidR="00CB7C3D" w:rsidRPr="004D028B" w:rsidRDefault="00CB7C3D" w:rsidP="00DB4B16">
      <w:pPr>
        <w:pStyle w:val="FootnoteText"/>
        <w:jc w:val="both"/>
        <w:rPr>
          <w:rFonts w:asciiTheme="minorHAnsi" w:hAnsiTheme="minorHAnsi"/>
          <w:sz w:val="16"/>
          <w:szCs w:val="16"/>
        </w:rPr>
      </w:pPr>
      <w:r w:rsidRPr="002B0A92">
        <w:rPr>
          <w:rStyle w:val="FootnoteReference"/>
          <w:rFonts w:asciiTheme="minorHAnsi" w:hAnsiTheme="minorHAnsi"/>
          <w:sz w:val="16"/>
          <w:szCs w:val="16"/>
        </w:rPr>
        <w:footnoteRef/>
      </w:r>
      <w:r w:rsidRPr="00527697">
        <w:rPr>
          <w:rFonts w:asciiTheme="minorHAnsi" w:hAnsiTheme="minorHAnsi"/>
          <w:sz w:val="16"/>
          <w:szCs w:val="16"/>
        </w:rPr>
        <w:t xml:space="preserve"> </w:t>
      </w:r>
      <w:r w:rsidR="004D028B" w:rsidRPr="00527697">
        <w:rPr>
          <w:rFonts w:asciiTheme="minorHAnsi" w:hAnsiTheme="minorHAnsi"/>
          <w:sz w:val="16"/>
          <w:szCs w:val="16"/>
        </w:rPr>
        <w:t>Annex 1</w:t>
      </w:r>
      <w:r w:rsidR="004D40C5" w:rsidRPr="00527697">
        <w:rPr>
          <w:rFonts w:asciiTheme="minorHAnsi" w:hAnsiTheme="minorHAnsi"/>
          <w:sz w:val="16"/>
          <w:szCs w:val="16"/>
        </w:rPr>
        <w:t xml:space="preserve">. </w:t>
      </w:r>
      <w:r w:rsidR="004D40C5" w:rsidRPr="004D028B">
        <w:rPr>
          <w:rFonts w:asciiTheme="minorHAnsi" w:hAnsiTheme="minorHAnsi"/>
          <w:sz w:val="16"/>
          <w:szCs w:val="16"/>
        </w:rPr>
        <w:t>Judicial Power of the Nation. MUTUAL BOX YATAY 240 SOC. COOP. FROM CRED.LTDA. S / BANKRUPTCY C / FINKELBERG ABRAHAM AND OTHERS (ACTION OF EQUITY RESP.) S / ORDINARY. 39248. First instance judgment of December 23, 2003. Annex 3 to the State's brief of May 3, 2013</w:t>
      </w:r>
      <w:r w:rsidRPr="004D028B">
        <w:rPr>
          <w:rFonts w:asciiTheme="minorHAnsi" w:hAnsiTheme="minorHAnsi"/>
          <w:sz w:val="16"/>
          <w:szCs w:val="16"/>
        </w:rPr>
        <w:t>.</w:t>
      </w:r>
    </w:p>
  </w:footnote>
  <w:footnote w:id="9">
    <w:p w14:paraId="69C5BB87" w14:textId="01D3B8AD" w:rsidR="00CB7C3D" w:rsidRPr="004D028B" w:rsidRDefault="00CB7C3D" w:rsidP="00DB4B16">
      <w:pPr>
        <w:pStyle w:val="FootnoteText"/>
        <w:jc w:val="both"/>
        <w:rPr>
          <w:rFonts w:asciiTheme="minorHAnsi" w:hAnsiTheme="minorHAnsi"/>
          <w:sz w:val="16"/>
          <w:szCs w:val="16"/>
        </w:rPr>
      </w:pPr>
      <w:r w:rsidRPr="002B0A92">
        <w:rPr>
          <w:rStyle w:val="FootnoteReference"/>
          <w:rFonts w:asciiTheme="minorHAnsi" w:hAnsiTheme="minorHAnsi"/>
          <w:sz w:val="16"/>
          <w:szCs w:val="16"/>
        </w:rPr>
        <w:footnoteRef/>
      </w:r>
      <w:r w:rsidRPr="004D028B">
        <w:rPr>
          <w:rFonts w:asciiTheme="minorHAnsi" w:hAnsiTheme="minorHAnsi"/>
          <w:sz w:val="16"/>
          <w:szCs w:val="16"/>
        </w:rPr>
        <w:t xml:space="preserve"> </w:t>
      </w:r>
      <w:r w:rsidR="004D028B">
        <w:rPr>
          <w:rFonts w:asciiTheme="minorHAnsi" w:hAnsiTheme="minorHAnsi"/>
          <w:sz w:val="16"/>
          <w:szCs w:val="16"/>
        </w:rPr>
        <w:t>Annex 1</w:t>
      </w:r>
      <w:r w:rsidR="004D40C5" w:rsidRPr="004D028B">
        <w:rPr>
          <w:rFonts w:asciiTheme="minorHAnsi" w:hAnsiTheme="minorHAnsi"/>
          <w:sz w:val="16"/>
          <w:szCs w:val="16"/>
        </w:rPr>
        <w:t>. Judicial Power of the Nation. MUTUAL BOX YATAY 240 SOC. COOP. FROM CRED.LTDA. S / BANKRUPTCY C / FINKELBERG ABRAHAM AND OTHERS (ACTION OF EQUITY RESP.) S / ORDINARY. 39248. First instance judgment of December 23, 2003. Annex 3 to the State's brief of May 3, 2013</w:t>
      </w:r>
      <w:r w:rsidRPr="004D028B">
        <w:rPr>
          <w:rFonts w:asciiTheme="minorHAnsi" w:hAnsiTheme="minorHAnsi"/>
          <w:sz w:val="16"/>
          <w:szCs w:val="16"/>
        </w:rPr>
        <w:t>.</w:t>
      </w:r>
    </w:p>
  </w:footnote>
  <w:footnote w:id="10">
    <w:p w14:paraId="44BE71FB" w14:textId="77777777" w:rsidR="00264549" w:rsidRPr="004D028B" w:rsidRDefault="00264549" w:rsidP="00264549">
      <w:pPr>
        <w:pStyle w:val="FootnoteText"/>
        <w:jc w:val="both"/>
        <w:rPr>
          <w:rFonts w:asciiTheme="minorHAnsi" w:hAnsiTheme="minorHAnsi"/>
          <w:sz w:val="16"/>
          <w:szCs w:val="16"/>
        </w:rPr>
      </w:pPr>
      <w:r w:rsidRPr="002B0A92">
        <w:rPr>
          <w:rStyle w:val="FootnoteReference"/>
          <w:rFonts w:asciiTheme="minorHAnsi" w:hAnsiTheme="minorHAnsi"/>
          <w:sz w:val="16"/>
          <w:szCs w:val="16"/>
        </w:rPr>
        <w:footnoteRef/>
      </w:r>
      <w:r w:rsidRPr="004D028B">
        <w:rPr>
          <w:rFonts w:asciiTheme="minorHAnsi" w:hAnsiTheme="minorHAnsi"/>
          <w:sz w:val="16"/>
          <w:szCs w:val="16"/>
        </w:rPr>
        <w:t xml:space="preserve"> </w:t>
      </w:r>
      <w:r>
        <w:rPr>
          <w:rFonts w:asciiTheme="minorHAnsi" w:hAnsiTheme="minorHAnsi"/>
          <w:sz w:val="16"/>
          <w:szCs w:val="16"/>
        </w:rPr>
        <w:t>Annex 1</w:t>
      </w:r>
      <w:r w:rsidRPr="004D028B">
        <w:rPr>
          <w:rFonts w:asciiTheme="minorHAnsi" w:hAnsiTheme="minorHAnsi"/>
          <w:sz w:val="16"/>
          <w:szCs w:val="16"/>
        </w:rPr>
        <w:t>. Judicial Power of the Nation. MUTUAL BOX YATAY 240 SOC. COOP. FROM CRED.LTDA. S / BANKRUPTCY C / FINKELBERG ABRAHAM AND OTHERS (ACTION OF EQUITY RESP.) S / ORDINARY. 39248. First instance judgment of December 23, 2003. Annex 3 to the State's brief of May 3, 2013.</w:t>
      </w:r>
    </w:p>
  </w:footnote>
  <w:footnote w:id="11">
    <w:p w14:paraId="517038C9" w14:textId="0BB1C9ED" w:rsidR="00CB7C3D" w:rsidRPr="004D028B" w:rsidRDefault="00CB7C3D" w:rsidP="00DB4B16">
      <w:pPr>
        <w:pStyle w:val="FootnoteText"/>
        <w:jc w:val="both"/>
      </w:pPr>
      <w:r w:rsidRPr="002B0A92">
        <w:rPr>
          <w:rStyle w:val="FootnoteReference"/>
          <w:rFonts w:asciiTheme="minorHAnsi" w:hAnsiTheme="minorHAnsi"/>
          <w:sz w:val="16"/>
          <w:szCs w:val="16"/>
        </w:rPr>
        <w:footnoteRef/>
      </w:r>
      <w:r w:rsidRPr="004D028B">
        <w:rPr>
          <w:rFonts w:asciiTheme="minorHAnsi" w:hAnsiTheme="minorHAnsi"/>
          <w:sz w:val="16"/>
          <w:szCs w:val="16"/>
        </w:rPr>
        <w:t xml:space="preserve"> </w:t>
      </w:r>
      <w:r w:rsidR="004D028B">
        <w:rPr>
          <w:rFonts w:asciiTheme="minorHAnsi" w:hAnsiTheme="minorHAnsi"/>
          <w:sz w:val="16"/>
          <w:szCs w:val="16"/>
        </w:rPr>
        <w:t>Annex 1</w:t>
      </w:r>
      <w:r w:rsidR="004D40C5" w:rsidRPr="004D028B">
        <w:rPr>
          <w:rFonts w:asciiTheme="minorHAnsi" w:hAnsiTheme="minorHAnsi"/>
          <w:sz w:val="16"/>
          <w:szCs w:val="16"/>
        </w:rPr>
        <w:t>. Judicial Power of the Nation. MUTUAL BOX YATAY 240 SOC. COOP. FROM CRED.LTDA. S / BANKRUPTCY C / FINKELBERG ABRAHAM AND OTHERS (ACTION OF EQUITY RESP.) S / ORDINARY. 39248. Annex 2 to the State's brief of May 3, 2013</w:t>
      </w:r>
      <w:r w:rsidRPr="004D028B">
        <w:rPr>
          <w:rFonts w:asciiTheme="minorHAnsi" w:hAnsiTheme="minorHAnsi"/>
          <w:sz w:val="16"/>
          <w:szCs w:val="16"/>
        </w:rPr>
        <w:t>.</w:t>
      </w:r>
    </w:p>
  </w:footnote>
  <w:footnote w:id="12">
    <w:p w14:paraId="6FCB3A09" w14:textId="3B87A8A9" w:rsidR="00CB7C3D" w:rsidRPr="004D028B" w:rsidRDefault="00CB7C3D" w:rsidP="00DB4B16">
      <w:pPr>
        <w:pStyle w:val="FootnoteText"/>
        <w:jc w:val="both"/>
      </w:pPr>
      <w:r w:rsidRPr="002B0A92">
        <w:rPr>
          <w:rStyle w:val="FootnoteReference"/>
          <w:rFonts w:asciiTheme="minorHAnsi" w:hAnsiTheme="minorHAnsi"/>
          <w:sz w:val="16"/>
          <w:szCs w:val="16"/>
        </w:rPr>
        <w:footnoteRef/>
      </w:r>
      <w:r w:rsidRPr="004D028B">
        <w:rPr>
          <w:rFonts w:asciiTheme="minorHAnsi" w:hAnsiTheme="minorHAnsi"/>
          <w:sz w:val="16"/>
          <w:szCs w:val="16"/>
        </w:rPr>
        <w:t xml:space="preserve"> </w:t>
      </w:r>
      <w:r w:rsidR="004D028B">
        <w:rPr>
          <w:rFonts w:asciiTheme="minorHAnsi" w:hAnsiTheme="minorHAnsi"/>
          <w:sz w:val="16"/>
          <w:szCs w:val="16"/>
        </w:rPr>
        <w:t>Annex 1</w:t>
      </w:r>
      <w:r w:rsidR="004D40C5" w:rsidRPr="004D028B">
        <w:rPr>
          <w:rFonts w:asciiTheme="minorHAnsi" w:hAnsiTheme="minorHAnsi"/>
          <w:sz w:val="16"/>
          <w:szCs w:val="16"/>
        </w:rPr>
        <w:t>. Judicial Power of the Nation. MUTUAL BOX YATAY 240 SOC. COOP. FROM CRED.LTDA. S / BANKRUPTCY C / FINKELBERG ABRAHAM AND OTHERS (ACTION OF EQUITY RESP.) S / ORDINARY. 39248. Annex 2 to the State's brief of May 3, 2013</w:t>
      </w:r>
      <w:r w:rsidRPr="004D028B">
        <w:rPr>
          <w:rFonts w:asciiTheme="minorHAnsi" w:hAnsiTheme="minorHAnsi"/>
          <w:sz w:val="16"/>
          <w:szCs w:val="16"/>
        </w:rPr>
        <w:t>.</w:t>
      </w:r>
    </w:p>
  </w:footnote>
  <w:footnote w:id="13">
    <w:p w14:paraId="25A62173" w14:textId="6AC0923A" w:rsidR="00CB7C3D" w:rsidRPr="004D028B" w:rsidRDefault="00CB7C3D" w:rsidP="00DB4B16">
      <w:pPr>
        <w:pStyle w:val="FootnoteText"/>
        <w:jc w:val="both"/>
      </w:pPr>
      <w:r w:rsidRPr="002B0A92">
        <w:rPr>
          <w:rStyle w:val="FootnoteReference"/>
          <w:rFonts w:asciiTheme="minorHAnsi" w:hAnsiTheme="minorHAnsi"/>
          <w:sz w:val="16"/>
          <w:szCs w:val="16"/>
        </w:rPr>
        <w:footnoteRef/>
      </w:r>
      <w:r w:rsidRPr="004D028B">
        <w:rPr>
          <w:rFonts w:asciiTheme="minorHAnsi" w:hAnsiTheme="minorHAnsi"/>
          <w:sz w:val="16"/>
          <w:szCs w:val="16"/>
        </w:rPr>
        <w:t xml:space="preserve"> </w:t>
      </w:r>
      <w:r w:rsidR="004D028B">
        <w:rPr>
          <w:rFonts w:asciiTheme="minorHAnsi" w:hAnsiTheme="minorHAnsi"/>
          <w:sz w:val="16"/>
          <w:szCs w:val="16"/>
        </w:rPr>
        <w:t>Annex 1</w:t>
      </w:r>
      <w:r w:rsidR="004D40C5" w:rsidRPr="004D028B">
        <w:rPr>
          <w:rFonts w:asciiTheme="minorHAnsi" w:hAnsiTheme="minorHAnsi"/>
          <w:sz w:val="16"/>
          <w:szCs w:val="16"/>
        </w:rPr>
        <w:t>. Judicial Power of the Nation. MUTUAL BOX YATAY 240 SOC. COOP. FROM CRED.LTDA. S / BANKRUPTCY C / FINKELBERG ABRAHAM AND OTHERS (ACTION OF EQUITY RESP.) S / ORDINARY. 39248. Annex 2 to the State's brief of May 3, 2013</w:t>
      </w:r>
      <w:r w:rsidRPr="004D028B">
        <w:rPr>
          <w:rFonts w:asciiTheme="minorHAnsi" w:hAnsiTheme="minorHAnsi"/>
          <w:sz w:val="16"/>
          <w:szCs w:val="16"/>
        </w:rPr>
        <w:t>.</w:t>
      </w:r>
    </w:p>
  </w:footnote>
  <w:footnote w:id="14">
    <w:p w14:paraId="0A952A0F" w14:textId="686A27DE" w:rsidR="00CB7C3D" w:rsidRPr="004D028B" w:rsidRDefault="00CB7C3D" w:rsidP="00DB4B16">
      <w:pPr>
        <w:pStyle w:val="FootnoteText"/>
        <w:jc w:val="both"/>
      </w:pPr>
      <w:r w:rsidRPr="002B0A92">
        <w:rPr>
          <w:rStyle w:val="FootnoteReference"/>
          <w:rFonts w:asciiTheme="minorHAnsi" w:hAnsiTheme="minorHAnsi"/>
          <w:sz w:val="16"/>
          <w:szCs w:val="16"/>
        </w:rPr>
        <w:footnoteRef/>
      </w:r>
      <w:r w:rsidRPr="004D028B">
        <w:rPr>
          <w:rFonts w:asciiTheme="minorHAnsi" w:hAnsiTheme="minorHAnsi"/>
          <w:sz w:val="16"/>
          <w:szCs w:val="16"/>
        </w:rPr>
        <w:t xml:space="preserve"> </w:t>
      </w:r>
      <w:r w:rsidR="004D028B">
        <w:rPr>
          <w:rFonts w:asciiTheme="minorHAnsi" w:hAnsiTheme="minorHAnsi"/>
          <w:sz w:val="16"/>
          <w:szCs w:val="16"/>
        </w:rPr>
        <w:t>Annex 1</w:t>
      </w:r>
      <w:r w:rsidR="004D40C5" w:rsidRPr="004D028B">
        <w:rPr>
          <w:rFonts w:asciiTheme="minorHAnsi" w:hAnsiTheme="minorHAnsi"/>
          <w:sz w:val="16"/>
          <w:szCs w:val="16"/>
        </w:rPr>
        <w:t>. Judicial Power of the Nation. MUTUAL BOX YATAY 240 SOC. COOP. FROM CRED.LTDA. S / BANKRUPTCY C / FINKELBERG ABRAHAM AND OTHERS (ACTION OF EQUITY RESP.) S / ORDINARY. 39248. Annex 2 to the State's brief of May 3, 2013</w:t>
      </w:r>
      <w:r w:rsidRPr="004D028B">
        <w:rPr>
          <w:rFonts w:asciiTheme="minorHAnsi" w:hAnsiTheme="minorHAnsi"/>
          <w:sz w:val="16"/>
          <w:szCs w:val="16"/>
        </w:rPr>
        <w:t>.</w:t>
      </w:r>
    </w:p>
  </w:footnote>
  <w:footnote w:id="15">
    <w:p w14:paraId="5D0290AA" w14:textId="1C83484E" w:rsidR="00CB7C3D" w:rsidRPr="004D028B" w:rsidRDefault="00CB7C3D" w:rsidP="00DB4B16">
      <w:pPr>
        <w:pStyle w:val="FootnoteText"/>
        <w:jc w:val="both"/>
      </w:pPr>
      <w:r w:rsidRPr="005A602E">
        <w:rPr>
          <w:rStyle w:val="FootnoteReference"/>
          <w:rFonts w:ascii="Cambria" w:hAnsi="Cambria"/>
          <w:sz w:val="16"/>
          <w:szCs w:val="16"/>
        </w:rPr>
        <w:footnoteRef/>
      </w:r>
      <w:r w:rsidRPr="004D028B">
        <w:rPr>
          <w:rFonts w:ascii="Cambria" w:hAnsi="Cambria"/>
          <w:sz w:val="16"/>
          <w:szCs w:val="16"/>
        </w:rPr>
        <w:t xml:space="preserve"> </w:t>
      </w:r>
      <w:r w:rsidR="004D028B">
        <w:rPr>
          <w:rFonts w:ascii="Cambria" w:hAnsi="Cambria"/>
          <w:sz w:val="16"/>
          <w:szCs w:val="16"/>
        </w:rPr>
        <w:t>Annex 1</w:t>
      </w:r>
      <w:r w:rsidR="004D40C5" w:rsidRPr="004D028B">
        <w:rPr>
          <w:rFonts w:ascii="Cambria" w:hAnsi="Cambria"/>
          <w:sz w:val="16"/>
          <w:szCs w:val="16"/>
        </w:rPr>
        <w:t>. Judicial Power of the Nation. MUTUAL BOX YATAY 240 SOC. COOP. FROM CRED.LTDA. S / BANKRUPTCY C / FINKELBERG ABRAHAM AND OTHERS (ACTION OF EQUITY RESP.) S / ORDINARY. 39248. First instance judgment of December 23, 2003. Annex 3 to the State's brief of May 3, 2013</w:t>
      </w:r>
      <w:r w:rsidRPr="004D028B">
        <w:rPr>
          <w:rFonts w:ascii="Cambria" w:hAnsi="Cambria"/>
          <w:sz w:val="16"/>
          <w:szCs w:val="16"/>
        </w:rPr>
        <w:t>.</w:t>
      </w:r>
    </w:p>
  </w:footnote>
  <w:footnote w:id="16">
    <w:p w14:paraId="4674A372" w14:textId="7A451F6D" w:rsidR="00CB7C3D" w:rsidRPr="004D028B" w:rsidRDefault="00CB7C3D" w:rsidP="007A1D1E">
      <w:pPr>
        <w:pStyle w:val="FootnoteText"/>
        <w:jc w:val="both"/>
        <w:rPr>
          <w:rFonts w:asciiTheme="minorHAnsi" w:hAnsiTheme="minorHAnsi"/>
          <w:sz w:val="16"/>
          <w:szCs w:val="16"/>
        </w:rPr>
      </w:pPr>
      <w:r w:rsidRPr="007A1D1E">
        <w:rPr>
          <w:rStyle w:val="FootnoteReference"/>
          <w:rFonts w:asciiTheme="minorHAnsi" w:hAnsiTheme="minorHAnsi"/>
          <w:sz w:val="16"/>
          <w:szCs w:val="16"/>
        </w:rPr>
        <w:footnoteRef/>
      </w:r>
      <w:r w:rsidRPr="004D028B">
        <w:rPr>
          <w:rFonts w:asciiTheme="minorHAnsi" w:hAnsiTheme="minorHAnsi"/>
          <w:sz w:val="16"/>
          <w:szCs w:val="16"/>
        </w:rPr>
        <w:t xml:space="preserve"> </w:t>
      </w:r>
      <w:r w:rsidR="004D028B">
        <w:rPr>
          <w:rFonts w:asciiTheme="minorHAnsi" w:hAnsiTheme="minorHAnsi"/>
          <w:sz w:val="16"/>
          <w:szCs w:val="16"/>
        </w:rPr>
        <w:t>Annex 1</w:t>
      </w:r>
      <w:r w:rsidR="004D40C5" w:rsidRPr="004D028B">
        <w:rPr>
          <w:rFonts w:asciiTheme="minorHAnsi" w:hAnsiTheme="minorHAnsi"/>
          <w:sz w:val="16"/>
          <w:szCs w:val="16"/>
        </w:rPr>
        <w:t>. Judicial Power of the Nation. MUTUAL BOX YATAY 240 SOC. COOP. FROM CRED.LTDA. S / BANKRUPTCY C / FINKELBERG ABRAHAM AND OTHERS (ACTION OF EQUITY RESP.) S / ORDINARY. 39248. First instance judgment of December 23, 2003. Annex 3 to the State's brief of May 3, 2013</w:t>
      </w:r>
      <w:r w:rsidRPr="004D028B">
        <w:rPr>
          <w:rFonts w:asciiTheme="minorHAnsi" w:hAnsiTheme="minorHAnsi"/>
          <w:sz w:val="16"/>
          <w:szCs w:val="16"/>
        </w:rPr>
        <w:t>.</w:t>
      </w:r>
    </w:p>
  </w:footnote>
  <w:footnote w:id="17">
    <w:p w14:paraId="635D3200" w14:textId="6C2B1F0D" w:rsidR="00264549" w:rsidRPr="007C1146" w:rsidRDefault="00264549" w:rsidP="007C1146">
      <w:pPr>
        <w:pStyle w:val="FootnoteText"/>
        <w:jc w:val="both"/>
        <w:rPr>
          <w:rFonts w:asciiTheme="minorHAnsi" w:hAnsiTheme="minorHAnsi"/>
          <w:sz w:val="16"/>
          <w:szCs w:val="16"/>
        </w:rPr>
      </w:pPr>
      <w:r w:rsidRPr="007A1D1E">
        <w:rPr>
          <w:rStyle w:val="FootnoteReference"/>
          <w:rFonts w:asciiTheme="minorHAnsi" w:hAnsiTheme="minorHAnsi"/>
          <w:sz w:val="16"/>
          <w:szCs w:val="16"/>
        </w:rPr>
        <w:footnoteRef/>
      </w:r>
      <w:r w:rsidRPr="007C1146">
        <w:rPr>
          <w:rFonts w:asciiTheme="minorHAnsi" w:hAnsiTheme="minorHAnsi"/>
          <w:sz w:val="16"/>
          <w:szCs w:val="16"/>
        </w:rPr>
        <w:t xml:space="preserve"> </w:t>
      </w:r>
      <w:r w:rsidR="007C1146" w:rsidRPr="007C1146">
        <w:rPr>
          <w:rFonts w:asciiTheme="minorHAnsi" w:hAnsiTheme="minorHAnsi"/>
          <w:sz w:val="16"/>
          <w:szCs w:val="16"/>
        </w:rPr>
        <w:t>Annex</w:t>
      </w:r>
      <w:r w:rsidRPr="007C1146">
        <w:rPr>
          <w:rFonts w:asciiTheme="minorHAnsi" w:hAnsiTheme="minorHAnsi"/>
          <w:sz w:val="16"/>
          <w:szCs w:val="16"/>
        </w:rPr>
        <w:t xml:space="preserve"> 2. </w:t>
      </w:r>
      <w:r w:rsidR="007C1146" w:rsidRPr="007C1146">
        <w:rPr>
          <w:rFonts w:asciiTheme="minorHAnsi" w:hAnsiTheme="minorHAnsi"/>
          <w:sz w:val="16"/>
          <w:szCs w:val="16"/>
        </w:rPr>
        <w:t>Writ of A</w:t>
      </w:r>
      <w:r w:rsidR="007C1146">
        <w:rPr>
          <w:rFonts w:asciiTheme="minorHAnsi" w:hAnsiTheme="minorHAnsi"/>
          <w:sz w:val="16"/>
          <w:szCs w:val="16"/>
        </w:rPr>
        <w:t xml:space="preserve">ppeal of March1, 2004. Annex 2 to the petitioners brief </w:t>
      </w:r>
      <w:r w:rsidR="007C1146" w:rsidRPr="004D028B">
        <w:rPr>
          <w:rFonts w:asciiTheme="minorHAnsi" w:hAnsiTheme="minorHAnsi"/>
          <w:sz w:val="16"/>
          <w:szCs w:val="16"/>
        </w:rPr>
        <w:t>petitioners' brief of July 30, 2009.</w:t>
      </w:r>
    </w:p>
  </w:footnote>
  <w:footnote w:id="18">
    <w:p w14:paraId="3D4F8427" w14:textId="156DC73E" w:rsidR="007C1146" w:rsidRPr="007C1146" w:rsidRDefault="007C1146" w:rsidP="007C1146">
      <w:pPr>
        <w:pStyle w:val="FootnoteText"/>
        <w:jc w:val="both"/>
        <w:rPr>
          <w:rFonts w:asciiTheme="minorHAnsi" w:hAnsiTheme="minorHAnsi"/>
          <w:sz w:val="16"/>
          <w:szCs w:val="16"/>
        </w:rPr>
      </w:pPr>
      <w:r w:rsidRPr="007A1D1E">
        <w:rPr>
          <w:rStyle w:val="FootnoteReference"/>
          <w:rFonts w:asciiTheme="minorHAnsi" w:hAnsiTheme="minorHAnsi"/>
          <w:sz w:val="16"/>
          <w:szCs w:val="16"/>
        </w:rPr>
        <w:footnoteRef/>
      </w:r>
      <w:r w:rsidRPr="00527697">
        <w:rPr>
          <w:rFonts w:asciiTheme="minorHAnsi" w:hAnsiTheme="minorHAnsi"/>
          <w:sz w:val="16"/>
          <w:szCs w:val="16"/>
        </w:rPr>
        <w:t xml:space="preserve"> Annex 3. </w:t>
      </w:r>
      <w:r w:rsidRPr="007C1146">
        <w:rPr>
          <w:rFonts w:asciiTheme="minorHAnsi" w:hAnsiTheme="minorHAnsi"/>
          <w:sz w:val="16"/>
          <w:szCs w:val="16"/>
        </w:rPr>
        <w:t>National Chambers of Commercial Appeals.</w:t>
      </w:r>
      <w:r>
        <w:rPr>
          <w:rFonts w:asciiTheme="minorHAnsi" w:hAnsiTheme="minorHAnsi"/>
          <w:sz w:val="16"/>
          <w:szCs w:val="16"/>
        </w:rPr>
        <w:t xml:space="preserve"> </w:t>
      </w:r>
      <w:r w:rsidRPr="007C1146">
        <w:rPr>
          <w:rFonts w:asciiTheme="minorHAnsi" w:hAnsiTheme="minorHAnsi"/>
          <w:sz w:val="16"/>
          <w:szCs w:val="16"/>
        </w:rPr>
        <w:t xml:space="preserve">Annex 5 to </w:t>
      </w:r>
      <w:r>
        <w:rPr>
          <w:rFonts w:asciiTheme="minorHAnsi" w:hAnsiTheme="minorHAnsi"/>
          <w:sz w:val="16"/>
          <w:szCs w:val="16"/>
        </w:rPr>
        <w:t xml:space="preserve">the petitioners brief </w:t>
      </w:r>
      <w:r w:rsidRPr="004D028B">
        <w:rPr>
          <w:rFonts w:asciiTheme="minorHAnsi" w:hAnsiTheme="minorHAnsi"/>
          <w:sz w:val="16"/>
          <w:szCs w:val="16"/>
        </w:rPr>
        <w:t>petitioners' brief of July 30, 2009.</w:t>
      </w:r>
    </w:p>
  </w:footnote>
  <w:footnote w:id="19">
    <w:p w14:paraId="6977DEFE" w14:textId="67B09794" w:rsidR="00CB7C3D" w:rsidRPr="004D028B" w:rsidRDefault="00CB7C3D" w:rsidP="007A1D1E">
      <w:pPr>
        <w:pStyle w:val="FootnoteText"/>
        <w:jc w:val="both"/>
        <w:rPr>
          <w:rFonts w:asciiTheme="minorHAnsi" w:hAnsiTheme="minorHAnsi"/>
          <w:sz w:val="16"/>
          <w:szCs w:val="16"/>
        </w:rPr>
      </w:pPr>
      <w:r w:rsidRPr="007A1D1E">
        <w:rPr>
          <w:rStyle w:val="FootnoteReference"/>
          <w:rFonts w:asciiTheme="minorHAnsi" w:hAnsiTheme="minorHAnsi"/>
          <w:sz w:val="16"/>
          <w:szCs w:val="16"/>
        </w:rPr>
        <w:footnoteRef/>
      </w:r>
      <w:r w:rsidRPr="004D028B">
        <w:rPr>
          <w:rFonts w:asciiTheme="minorHAnsi" w:hAnsiTheme="minorHAnsi"/>
          <w:sz w:val="16"/>
          <w:szCs w:val="16"/>
        </w:rPr>
        <w:t xml:space="preserve"> </w:t>
      </w:r>
      <w:r w:rsidR="004D40C5" w:rsidRPr="004D028B">
        <w:rPr>
          <w:rFonts w:asciiTheme="minorHAnsi" w:hAnsiTheme="minorHAnsi"/>
          <w:sz w:val="16"/>
          <w:szCs w:val="16"/>
        </w:rPr>
        <w:t>Brief from the petitioners of August 18, 2010</w:t>
      </w:r>
      <w:r w:rsidRPr="004D028B">
        <w:rPr>
          <w:rFonts w:asciiTheme="minorHAnsi" w:hAnsiTheme="minorHAnsi"/>
          <w:sz w:val="16"/>
          <w:szCs w:val="16"/>
        </w:rPr>
        <w:t xml:space="preserve">. </w:t>
      </w:r>
    </w:p>
  </w:footnote>
  <w:footnote w:id="20">
    <w:p w14:paraId="199337DB" w14:textId="1FF985BE" w:rsidR="00CB7C3D" w:rsidRPr="004D028B" w:rsidRDefault="00CB7C3D" w:rsidP="007A1D1E">
      <w:pPr>
        <w:pStyle w:val="FootnoteText"/>
        <w:jc w:val="both"/>
        <w:rPr>
          <w:rFonts w:asciiTheme="minorHAnsi" w:hAnsiTheme="minorHAnsi"/>
          <w:sz w:val="16"/>
          <w:szCs w:val="16"/>
        </w:rPr>
      </w:pPr>
      <w:r w:rsidRPr="007A1D1E">
        <w:rPr>
          <w:rStyle w:val="FootnoteReference"/>
          <w:rFonts w:asciiTheme="minorHAnsi" w:hAnsiTheme="minorHAnsi"/>
          <w:sz w:val="16"/>
          <w:szCs w:val="16"/>
        </w:rPr>
        <w:footnoteRef/>
      </w:r>
      <w:r w:rsidRPr="004D028B">
        <w:rPr>
          <w:rFonts w:asciiTheme="minorHAnsi" w:hAnsiTheme="minorHAnsi"/>
          <w:sz w:val="16"/>
          <w:szCs w:val="16"/>
        </w:rPr>
        <w:t xml:space="preserve"> </w:t>
      </w:r>
      <w:r w:rsidR="00033421" w:rsidRPr="004D028B">
        <w:rPr>
          <w:rFonts w:asciiTheme="minorHAnsi" w:hAnsiTheme="minorHAnsi"/>
          <w:sz w:val="16"/>
          <w:szCs w:val="16"/>
        </w:rPr>
        <w:t>Brief from the petitioners of August 18, 2010</w:t>
      </w:r>
      <w:r w:rsidRPr="004D028B">
        <w:rPr>
          <w:rFonts w:asciiTheme="minorHAnsi" w:hAnsiTheme="minorHAnsi"/>
          <w:sz w:val="16"/>
          <w:szCs w:val="16"/>
        </w:rPr>
        <w:t xml:space="preserve">. </w:t>
      </w:r>
    </w:p>
  </w:footnote>
  <w:footnote w:id="21">
    <w:p w14:paraId="04A5959B" w14:textId="1B28A306" w:rsidR="007A1D1E" w:rsidRPr="004D028B" w:rsidRDefault="007A1D1E" w:rsidP="007A1D1E">
      <w:pPr>
        <w:pStyle w:val="FootnoteText"/>
        <w:jc w:val="both"/>
      </w:pPr>
      <w:r w:rsidRPr="007A1D1E">
        <w:rPr>
          <w:rStyle w:val="FootnoteReference"/>
          <w:rFonts w:asciiTheme="minorHAnsi" w:hAnsiTheme="minorHAnsi"/>
          <w:sz w:val="16"/>
          <w:szCs w:val="16"/>
        </w:rPr>
        <w:footnoteRef/>
      </w:r>
      <w:r w:rsidRPr="004D028B">
        <w:rPr>
          <w:rFonts w:asciiTheme="minorHAnsi" w:hAnsiTheme="minorHAnsi"/>
          <w:sz w:val="16"/>
          <w:szCs w:val="16"/>
        </w:rPr>
        <w:t xml:space="preserve"> </w:t>
      </w:r>
      <w:r w:rsidR="00033421" w:rsidRPr="004D028B">
        <w:rPr>
          <w:rFonts w:asciiTheme="minorHAnsi" w:hAnsiTheme="minorHAnsi"/>
          <w:sz w:val="16"/>
          <w:szCs w:val="16"/>
        </w:rPr>
        <w:t>Brief of observations of the petitioning party of January 30, 2013</w:t>
      </w:r>
      <w:r w:rsidRPr="004D028B">
        <w:rPr>
          <w:rFonts w:asciiTheme="minorHAnsi" w:hAnsiTheme="minorHAnsi"/>
          <w:sz w:val="16"/>
          <w:szCs w:val="16"/>
        </w:rPr>
        <w:t>.</w:t>
      </w:r>
      <w:r w:rsidRPr="004D028B">
        <w:t xml:space="preserve"> </w:t>
      </w:r>
    </w:p>
  </w:footnote>
  <w:footnote w:id="22">
    <w:p w14:paraId="5859DAC4" w14:textId="0CAEEB46" w:rsidR="00CB7C3D" w:rsidRPr="000635BE" w:rsidRDefault="00CB7C3D" w:rsidP="00DB4B16">
      <w:pPr>
        <w:pStyle w:val="BodyTextIndent"/>
        <w:autoSpaceDE w:val="0"/>
        <w:autoSpaceDN w:val="0"/>
        <w:adjustRightInd w:val="0"/>
        <w:ind w:left="0" w:firstLine="0"/>
        <w:jc w:val="both"/>
        <w:rPr>
          <w:rFonts w:ascii="Cambria" w:hAnsi="Cambria" w:cs="Calibri"/>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00033421" w:rsidRPr="00033421">
        <w:rPr>
          <w:rFonts w:ascii="Cambria" w:hAnsi="Cambria" w:cs="Calibri"/>
          <w:color w:val="000000" w:themeColor="text1"/>
          <w:sz w:val="16"/>
          <w:szCs w:val="16"/>
          <w:lang w:val="uz-Cyrl-UZ"/>
        </w:rPr>
        <w:t>Article 8 of the American Convention establishes, as relevant, that: 1. Every person has the right to be heard, with due guarantees and within a reasonable period of time, by a competent, independent and impartial judge or tribunal established previously by law, in the substantiation of any criminal accusation made against it, or for the determination of its rights and obligations of a civil, labor, fiscal or any other nature</w:t>
      </w:r>
      <w:r w:rsidRPr="000635BE">
        <w:rPr>
          <w:rFonts w:ascii="Cambria" w:hAnsi="Cambria" w:cs="Verdana"/>
          <w:color w:val="000000" w:themeColor="text1"/>
          <w:sz w:val="16"/>
          <w:szCs w:val="16"/>
          <w:lang w:val="uz-Cyrl-UZ" w:bidi="en-US"/>
        </w:rPr>
        <w:t>.</w:t>
      </w:r>
    </w:p>
  </w:footnote>
  <w:footnote w:id="23">
    <w:p w14:paraId="0A2A69D9" w14:textId="71174E19" w:rsidR="00CB7C3D" w:rsidRPr="000635BE" w:rsidRDefault="00CB7C3D" w:rsidP="00DB4B16">
      <w:pPr>
        <w:pStyle w:val="BodyTextIndent"/>
        <w:tabs>
          <w:tab w:val="num" w:pos="0"/>
        </w:tabs>
        <w:autoSpaceDE w:val="0"/>
        <w:autoSpaceDN w:val="0"/>
        <w:adjustRightInd w:val="0"/>
        <w:ind w:left="0" w:firstLine="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00033421" w:rsidRPr="00033421">
        <w:rPr>
          <w:rFonts w:ascii="Cambria" w:hAnsi="Cambria"/>
          <w:color w:val="000000" w:themeColor="text1"/>
          <w:sz w:val="16"/>
          <w:szCs w:val="16"/>
          <w:lang w:val="uz-Cyrl-UZ"/>
        </w:rPr>
        <w:t>Article 25.1 of the American Convention establishes that: Every person has the right to a simple and quick recourse or to any other effective recourse before the competent judges or tribunals, which protects them against acts that violate their fundamental rights recognized by the Constitution, the law or this Convention, even when such violation is committed by persons acting in the exercise of their official functions</w:t>
      </w:r>
      <w:r w:rsidRPr="000635BE">
        <w:rPr>
          <w:rFonts w:ascii="Cambria" w:hAnsi="Cambria"/>
          <w:color w:val="000000" w:themeColor="text1"/>
          <w:sz w:val="16"/>
          <w:szCs w:val="16"/>
          <w:lang w:val="uz-Cyrl-UZ"/>
        </w:rPr>
        <w:t>.</w:t>
      </w:r>
    </w:p>
  </w:footnote>
  <w:footnote w:id="24">
    <w:p w14:paraId="28ADD589" w14:textId="6B76D7AE" w:rsidR="000D5F5D" w:rsidRPr="00201C68" w:rsidRDefault="000D5F5D" w:rsidP="00201C68">
      <w:pPr>
        <w:pStyle w:val="Title"/>
        <w:jc w:val="both"/>
        <w:rPr>
          <w:rFonts w:ascii="Cambria" w:hAnsi="Cambria"/>
          <w:color w:val="000000" w:themeColor="text1"/>
          <w:sz w:val="16"/>
          <w:szCs w:val="16"/>
          <w:lang w:val="es-US"/>
        </w:rPr>
      </w:pPr>
      <w:r w:rsidRPr="001D3E10">
        <w:rPr>
          <w:rStyle w:val="FootnoteReference"/>
          <w:rFonts w:ascii="Cambria" w:hAnsi="Cambria"/>
          <w:b w:val="0"/>
          <w:color w:val="000000" w:themeColor="text1"/>
          <w:sz w:val="16"/>
          <w:szCs w:val="16"/>
        </w:rPr>
        <w:footnoteRef/>
      </w:r>
      <w:r w:rsidRPr="00201C68">
        <w:rPr>
          <w:rFonts w:ascii="Cambria" w:hAnsi="Cambria" w:cs="Times New Roman"/>
          <w:b w:val="0"/>
          <w:color w:val="000000" w:themeColor="text1"/>
          <w:sz w:val="16"/>
          <w:szCs w:val="16"/>
          <w:u w:color="000000"/>
          <w:lang w:val="uz-Cyrl-UZ" w:eastAsia="es-ES"/>
        </w:rPr>
        <w:t xml:space="preserve"> </w:t>
      </w:r>
      <w:r w:rsidR="00201C68" w:rsidRPr="00201C68">
        <w:rPr>
          <w:rFonts w:ascii="Cambria" w:hAnsi="Cambria" w:cs="Times New Roman"/>
          <w:b w:val="0"/>
          <w:color w:val="000000" w:themeColor="text1"/>
          <w:sz w:val="16"/>
          <w:szCs w:val="16"/>
          <w:u w:color="000000"/>
          <w:lang w:val="uz-Cyrl-UZ" w:eastAsia="es-ES"/>
        </w:rPr>
        <w:t>IACHR. Report No. 42/14. Case 12.453. Merits. Olga Yolanda Maldonado Ordóñez. Guatemala. July 17, 2014. Para. 62, citing: Inter-American Court of Human Rights. Case of Genie Lacayo v. Nicaragua. Judgment of January 29, 1997. Series C No. 30, para. 74; Inter-American Court of Human Rights. Case of Claude Reyes et al. v. Chile. Judgment of September 19, 2006. Series C No. 151, para. 116; and Inter-American Court of Human Rights. Judicial Guarantees in States of Emergency (Arts. 27.2, 25, and 8 American Convention on Human Rights). Advisory Opinion OC-9/87. October 6, 1987. Series A No. 9, para. 27.</w:t>
      </w:r>
    </w:p>
  </w:footnote>
  <w:footnote w:id="25">
    <w:p w14:paraId="2A45DBD4" w14:textId="684D1E39" w:rsidR="00364567" w:rsidRPr="001D3E10" w:rsidRDefault="00364567" w:rsidP="00364567">
      <w:pPr>
        <w:pStyle w:val="FootnoteText"/>
        <w:jc w:val="both"/>
        <w:rPr>
          <w:rFonts w:ascii="Cambria" w:hAnsi="Cambria"/>
          <w:color w:val="000000" w:themeColor="text1"/>
          <w:sz w:val="16"/>
          <w:szCs w:val="16"/>
          <w:lang w:val="es-AR"/>
        </w:rPr>
      </w:pPr>
      <w:r w:rsidRPr="001D3E10">
        <w:rPr>
          <w:rStyle w:val="FootnoteReference"/>
          <w:rFonts w:ascii="Cambria" w:hAnsi="Cambria"/>
          <w:color w:val="000000" w:themeColor="text1"/>
          <w:sz w:val="16"/>
          <w:szCs w:val="16"/>
          <w:lang w:val="es-AR"/>
        </w:rPr>
        <w:footnoteRef/>
      </w:r>
      <w:r w:rsidRPr="00D954A1">
        <w:rPr>
          <w:rFonts w:ascii="Cambria" w:hAnsi="Cambria"/>
          <w:color w:val="000000" w:themeColor="text1"/>
          <w:sz w:val="16"/>
          <w:szCs w:val="16"/>
        </w:rPr>
        <w:t xml:space="preserve"> </w:t>
      </w:r>
      <w:r w:rsidR="00D954A1" w:rsidRPr="00D954A1">
        <w:rPr>
          <w:rFonts w:ascii="Cambria" w:hAnsi="Cambria"/>
          <w:color w:val="000000" w:themeColor="text1"/>
          <w:sz w:val="16"/>
          <w:szCs w:val="16"/>
        </w:rPr>
        <w:t xml:space="preserve">IACHR, Report No. 65/11, Case 12.600, Merits, Hugo Quintana Coello et al. “Magistrates of the Supreme Court of Justice,” Ecuador, March 31, 2011, para. </w:t>
      </w:r>
      <w:r w:rsidR="00D954A1" w:rsidRPr="00D954A1">
        <w:rPr>
          <w:rFonts w:ascii="Cambria" w:hAnsi="Cambria"/>
          <w:color w:val="000000" w:themeColor="text1"/>
          <w:sz w:val="16"/>
          <w:szCs w:val="16"/>
          <w:lang w:val="es-AR"/>
        </w:rPr>
        <w:t>102.</w:t>
      </w:r>
    </w:p>
  </w:footnote>
  <w:footnote w:id="26">
    <w:p w14:paraId="62AA9C64" w14:textId="6706D69B" w:rsidR="00653D12" w:rsidRPr="009B1C09" w:rsidRDefault="00653D12" w:rsidP="00653D12">
      <w:pPr>
        <w:pStyle w:val="FootnoteText"/>
        <w:jc w:val="both"/>
        <w:rPr>
          <w:rFonts w:ascii="Cambria" w:hAnsi="Cambria"/>
          <w:color w:val="000000" w:themeColor="text1"/>
          <w:sz w:val="16"/>
          <w:szCs w:val="16"/>
        </w:rPr>
      </w:pPr>
      <w:r w:rsidRPr="001D3E10">
        <w:rPr>
          <w:rStyle w:val="FootnoteReference"/>
          <w:rFonts w:ascii="Cambria" w:hAnsi="Cambria"/>
          <w:color w:val="000000" w:themeColor="text1"/>
          <w:sz w:val="16"/>
          <w:szCs w:val="16"/>
          <w:lang w:val="es-AR"/>
        </w:rPr>
        <w:footnoteRef/>
      </w:r>
      <w:r w:rsidRPr="009B7327">
        <w:rPr>
          <w:rFonts w:ascii="Cambria" w:hAnsi="Cambria"/>
          <w:color w:val="000000" w:themeColor="text1"/>
          <w:sz w:val="16"/>
          <w:szCs w:val="16"/>
        </w:rPr>
        <w:t xml:space="preserve"> </w:t>
      </w:r>
      <w:r w:rsidR="009B7327" w:rsidRPr="009B7327">
        <w:rPr>
          <w:rFonts w:ascii="Cambria" w:hAnsi="Cambria"/>
          <w:color w:val="000000" w:themeColor="text1"/>
          <w:sz w:val="16"/>
          <w:szCs w:val="16"/>
        </w:rPr>
        <w:t xml:space="preserve">I/A Court. Barbani Duarte et al. v. Uruguay. Merits, Reparations, and Costs. Judgment of October 13, 2011. Series C No. 234, para. 118; and Case of Claude Reyes et al. v. Chile. Merits, Reparations, and Costs. Judgment of September 19, 2006. Series C No. 151, para. </w:t>
      </w:r>
      <w:r w:rsidR="009B7327" w:rsidRPr="009B1C09">
        <w:rPr>
          <w:rFonts w:ascii="Cambria" w:hAnsi="Cambria"/>
          <w:color w:val="000000" w:themeColor="text1"/>
          <w:sz w:val="16"/>
          <w:szCs w:val="16"/>
        </w:rPr>
        <w:t>118.</w:t>
      </w:r>
    </w:p>
  </w:footnote>
  <w:footnote w:id="27">
    <w:p w14:paraId="060AA876" w14:textId="5ED06E56" w:rsidR="001F429E" w:rsidRPr="009B1C09" w:rsidRDefault="001F429E" w:rsidP="001F429E">
      <w:pPr>
        <w:pStyle w:val="FootnoteText"/>
        <w:jc w:val="both"/>
        <w:rPr>
          <w:rFonts w:ascii="Cambria" w:hAnsi="Cambria"/>
          <w:color w:val="000000" w:themeColor="text1"/>
          <w:sz w:val="16"/>
          <w:szCs w:val="16"/>
        </w:rPr>
      </w:pPr>
      <w:r w:rsidRPr="001D3E10">
        <w:rPr>
          <w:rStyle w:val="FootnoteReference"/>
          <w:rFonts w:ascii="Cambria" w:hAnsi="Cambria"/>
          <w:color w:val="000000" w:themeColor="text1"/>
          <w:sz w:val="16"/>
          <w:szCs w:val="16"/>
          <w:lang w:val="es-AR"/>
        </w:rPr>
        <w:footnoteRef/>
      </w:r>
      <w:r w:rsidRPr="009B1C09">
        <w:rPr>
          <w:rFonts w:ascii="Cambria" w:hAnsi="Cambria"/>
          <w:color w:val="000000" w:themeColor="text1"/>
          <w:sz w:val="16"/>
          <w:szCs w:val="16"/>
        </w:rPr>
        <w:t xml:space="preserve"> </w:t>
      </w:r>
      <w:r w:rsidR="009B1C09" w:rsidRPr="009B1C09">
        <w:rPr>
          <w:rFonts w:ascii="Cambria" w:hAnsi="Cambria"/>
          <w:color w:val="000000" w:themeColor="text1"/>
          <w:sz w:val="16"/>
          <w:szCs w:val="16"/>
        </w:rPr>
        <w:t>I/A Court. Case of Andrade Salmón v. Bolivia. Merits, Reparations, and Costs. Judgment of December 1, 2016. Series C No. 330. Para. 200.</w:t>
      </w:r>
    </w:p>
  </w:footnote>
  <w:footnote w:id="28">
    <w:p w14:paraId="14A506F5" w14:textId="538C4AEB" w:rsidR="001F429E" w:rsidRPr="000635BE" w:rsidRDefault="001F429E" w:rsidP="001F429E">
      <w:pPr>
        <w:pStyle w:val="FootnoteText"/>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00E879EA" w:rsidRPr="00E879EA">
        <w:rPr>
          <w:rFonts w:ascii="Cambria" w:hAnsi="Cambria"/>
          <w:color w:val="000000" w:themeColor="text1"/>
          <w:sz w:val="16"/>
          <w:szCs w:val="16"/>
          <w:lang w:val="uz-Cyrl-UZ"/>
        </w:rPr>
        <w:t>IACHR, Merits Report No. 77/02, Waldemar Gerónimo Pinheiro and José Víctor dos Santos (Case 11.506), December 27, 2002, para. 76. See also Inter-American Court of Human Rights, López Álvarez Case. Judgment of February 1, 2006. Series C No. 141, para. 132; Case of García Asto and Ramírez Rojas. Judgment of November 25, 2005. Series C No. 137, para. 166; and Case of Acosta Calderón. Judgment of June 24, 2005. Series C No. 129, para. 105.</w:t>
      </w:r>
    </w:p>
  </w:footnote>
  <w:footnote w:id="29">
    <w:p w14:paraId="62469936" w14:textId="2FAF6C55" w:rsidR="006B43A2" w:rsidRPr="001D3E10" w:rsidRDefault="006B43A2" w:rsidP="006B43A2">
      <w:pPr>
        <w:tabs>
          <w:tab w:val="left" w:pos="720"/>
          <w:tab w:val="center" w:pos="5400"/>
        </w:tabs>
        <w:suppressAutoHyphens/>
        <w:spacing w:after="0"/>
        <w:jc w:val="both"/>
        <w:rPr>
          <w:rFonts w:ascii="Cambria" w:hAnsi="Cambria"/>
          <w:color w:val="000000" w:themeColor="text1"/>
          <w:sz w:val="16"/>
          <w:szCs w:val="16"/>
        </w:rPr>
      </w:pPr>
      <w:r w:rsidRPr="001D3E10">
        <w:rPr>
          <w:rStyle w:val="FootnoteReference"/>
          <w:rFonts w:ascii="Cambria" w:hAnsi="Cambria"/>
          <w:color w:val="000000" w:themeColor="text1"/>
          <w:sz w:val="16"/>
          <w:szCs w:val="16"/>
        </w:rPr>
        <w:footnoteRef/>
      </w:r>
      <w:r w:rsidR="00F328D8">
        <w:rPr>
          <w:rFonts w:ascii="Cambria" w:hAnsi="Cambria"/>
          <w:color w:val="000000" w:themeColor="text1"/>
          <w:sz w:val="16"/>
          <w:szCs w:val="16"/>
          <w:lang w:val="en-US"/>
        </w:rPr>
        <w:t xml:space="preserve"> </w:t>
      </w:r>
      <w:r w:rsidR="00F328D8" w:rsidRPr="00F328D8">
        <w:rPr>
          <w:rFonts w:ascii="Cambria" w:hAnsi="Cambria"/>
          <w:color w:val="000000" w:themeColor="text1"/>
          <w:sz w:val="16"/>
          <w:szCs w:val="16"/>
          <w:lang w:val="en-US"/>
        </w:rPr>
        <w:t xml:space="preserve">IACHR, Report No. 111/10, Case 12.539, Merits, Sebastián Claus Furlan and family, Argentina, October 21, 2010, para. 100; IACHR. Report No. 1/16. Case 12695. Merits. Vinicio Antonio Poblete Vilches and family members. </w:t>
      </w:r>
      <w:r w:rsidR="00F328D8" w:rsidRPr="00F328D8">
        <w:rPr>
          <w:rFonts w:ascii="Cambria" w:hAnsi="Cambria"/>
          <w:color w:val="000000" w:themeColor="text1"/>
          <w:sz w:val="16"/>
          <w:szCs w:val="16"/>
        </w:rPr>
        <w:t>Chile. April 13, 2016. Para. 149.</w:t>
      </w:r>
      <w:r w:rsidRPr="001D3E10">
        <w:rPr>
          <w:rFonts w:ascii="Cambria" w:hAnsi="Cambria"/>
          <w:color w:val="000000" w:themeColor="text1"/>
          <w:sz w:val="16"/>
          <w:szCs w:val="16"/>
        </w:rPr>
        <w:t xml:space="preserve">  </w:t>
      </w:r>
    </w:p>
  </w:footnote>
  <w:footnote w:id="30">
    <w:p w14:paraId="5DF8A28A" w14:textId="31198012" w:rsidR="00CB7C3D" w:rsidRPr="000635BE" w:rsidRDefault="00CB7C3D" w:rsidP="00DB4B16">
      <w:pPr>
        <w:pStyle w:val="FootnoteText"/>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00DB4B16">
        <w:rPr>
          <w:rFonts w:ascii="Cambria" w:hAnsi="Cambria"/>
          <w:color w:val="000000" w:themeColor="text1"/>
          <w:sz w:val="16"/>
          <w:szCs w:val="16"/>
          <w:lang w:val="uz-Cyrl-UZ"/>
        </w:rPr>
        <w:t xml:space="preserve"> </w:t>
      </w:r>
      <w:r w:rsidR="00033421" w:rsidRPr="00033421">
        <w:rPr>
          <w:rFonts w:ascii="Cambria" w:hAnsi="Cambria"/>
          <w:color w:val="000000" w:themeColor="text1"/>
          <w:sz w:val="16"/>
          <w:szCs w:val="16"/>
          <w:lang w:val="uz-Cyrl-UZ"/>
        </w:rPr>
        <w:t>I / A Court HR. Case of Valle Jaramillo et al. V. Colombia. Merits, Reparations and Costs. Judgment of November 27, 2008. Series C No. 192, para. 155. See also, I / A Court H.R., Case of Kawas Fernández v. Honduras. Merits, Reparations and Costs. Judgment of April 3, 2009 Series C No. 196, paras. 112 and 115; I / A Court H.R., Case of Anzualdo Castro v. Peru. Preliminary Objection, Merits, Reparations and Costs. Judgment of September 22, 2009. Series C No. 202, para. 156; I / A Court H.R., Case of Garibaldi v. Brazil. Preliminary Objections, Merits, Reparations and Costs. Judgment of September 23, 2009. Series C No. 203, para. 133; I / A Court H.R., Case of Radilla Pacheco v. Mexico. Preliminary Objections, Merits, Reparations and Costs. Judgment of November 23, 2009. Series C No. 209, para. 244. See also. IACHR. Report 83-10. 12,584. Background. July 13, 2010. Para. 77</w:t>
      </w:r>
      <w:r w:rsidRPr="000635BE">
        <w:rPr>
          <w:rFonts w:ascii="Cambria" w:hAnsi="Cambria"/>
          <w:color w:val="000000" w:themeColor="text1"/>
          <w:sz w:val="16"/>
          <w:szCs w:val="16"/>
          <w:lang w:val="uz-Cyrl-UZ"/>
        </w:rPr>
        <w:t xml:space="preserve">. </w:t>
      </w:r>
    </w:p>
  </w:footnote>
  <w:footnote w:id="31">
    <w:p w14:paraId="268079E0" w14:textId="7FA4E1DD" w:rsidR="00CB7C3D" w:rsidRPr="000635BE" w:rsidRDefault="00CB7C3D" w:rsidP="00DB4B16">
      <w:pPr>
        <w:tabs>
          <w:tab w:val="left" w:pos="720"/>
        </w:tabs>
        <w:spacing w:after="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00033421" w:rsidRPr="00033421">
        <w:rPr>
          <w:rFonts w:ascii="Cambria" w:hAnsi="Cambria"/>
          <w:color w:val="000000" w:themeColor="text1"/>
          <w:sz w:val="16"/>
          <w:szCs w:val="16"/>
          <w:lang w:val="uz-Cyrl-UZ"/>
        </w:rPr>
        <w:t>IACHR. Report No. 3/16. Case 12.916. Background. Nitza Paola Alvarado Espinoza, Rocío Irene Alvarado Reyes, José Angel Alvarado Herrera and others. Mexico. April 13, 2016. Para. 271</w:t>
      </w:r>
      <w:r w:rsidRPr="000635BE">
        <w:rPr>
          <w:rFonts w:ascii="Cambria" w:hAnsi="Cambria"/>
          <w:color w:val="000000" w:themeColor="text1"/>
          <w:sz w:val="16"/>
          <w:szCs w:val="16"/>
          <w:lang w:val="uz-Cyrl-UZ"/>
        </w:rPr>
        <w:t>.</w:t>
      </w:r>
    </w:p>
  </w:footnote>
  <w:footnote w:id="32">
    <w:p w14:paraId="29D055E0" w14:textId="2CE49F91" w:rsidR="00CB7C3D" w:rsidRPr="000635BE" w:rsidRDefault="00CB7C3D" w:rsidP="00DB4B16">
      <w:pPr>
        <w:tabs>
          <w:tab w:val="left" w:pos="720"/>
        </w:tabs>
        <w:spacing w:after="0"/>
        <w:jc w:val="both"/>
        <w:rPr>
          <w:rFonts w:ascii="Cambria" w:eastAsia="Times New Roman"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00033421" w:rsidRPr="00033421">
        <w:rPr>
          <w:rFonts w:ascii="Cambria" w:eastAsia="Times New Roman" w:hAnsi="Cambria"/>
          <w:bCs/>
          <w:color w:val="000000" w:themeColor="text1"/>
          <w:sz w:val="16"/>
          <w:szCs w:val="16"/>
          <w:lang w:val="uz-Cyrl-UZ"/>
        </w:rPr>
        <w:t>I / A Court HR. Case of Andrade Salmón v. Bolivia. Merits, Reparations and Costs. Judgment of December 1, 2016. Series C No. 330. Para. 157. Citing: Cf. Case of Anzualdo Castro v. Peru. Preliminary Objection, Merits, Reparations and Costs. Judgment of September 22, 2009. Series C No. 202, para. 156, and Case of Tenorio Roca et al. V. Peru, para. 239</w:t>
      </w:r>
      <w:r w:rsidRPr="000635BE">
        <w:rPr>
          <w:rFonts w:ascii="Cambria" w:hAnsi="Cambria"/>
          <w:color w:val="000000" w:themeColor="text1"/>
          <w:sz w:val="16"/>
          <w:szCs w:val="16"/>
          <w:lang w:val="uz-Cyrl-UZ"/>
        </w:rPr>
        <w:t>.</w:t>
      </w:r>
      <w:r w:rsidRPr="000635BE">
        <w:rPr>
          <w:rFonts w:ascii="Cambria" w:hAnsi="Cambria"/>
          <w:color w:val="000000" w:themeColor="text1"/>
          <w:sz w:val="16"/>
          <w:szCs w:val="16"/>
          <w:lang w:val="uz-Cyrl-UZ"/>
        </w:rPr>
        <w:tab/>
      </w:r>
    </w:p>
  </w:footnote>
  <w:footnote w:id="33">
    <w:p w14:paraId="6B8C9E25" w14:textId="7486FED7" w:rsidR="00CB7C3D" w:rsidRPr="000635BE" w:rsidRDefault="00CB7C3D" w:rsidP="00DB4B16">
      <w:pPr>
        <w:spacing w:after="0"/>
        <w:jc w:val="both"/>
        <w:rPr>
          <w:rFonts w:ascii="Cambria" w:hAnsi="Cambria"/>
          <w:color w:val="000000" w:themeColor="text1"/>
          <w:sz w:val="16"/>
          <w:szCs w:val="16"/>
          <w:lang w:val="uz-Cyrl-UZ" w:eastAsia="x-none"/>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00033421" w:rsidRPr="00033421">
        <w:rPr>
          <w:rFonts w:ascii="Cambria" w:hAnsi="Cambria"/>
          <w:color w:val="000000" w:themeColor="text1"/>
          <w:sz w:val="16"/>
          <w:szCs w:val="16"/>
          <w:lang w:val="uz-Cyrl-UZ"/>
        </w:rPr>
        <w:t>I / A Court HR. Case of Genie Lacayo v. Nicaragua. Merits, Reparations and Costs. Judgment of January 29, 1997. Series C No. 30, para. 78, and Case of Quispialaya Vilcapoma v. Peru, para. 179</w:t>
      </w:r>
      <w:r w:rsidRPr="000635BE">
        <w:rPr>
          <w:rFonts w:ascii="Cambria" w:hAnsi="Cambria"/>
          <w:bCs/>
          <w:color w:val="000000" w:themeColor="text1"/>
          <w:sz w:val="16"/>
          <w:szCs w:val="16"/>
          <w:lang w:val="uz-Cyrl-UZ"/>
        </w:rPr>
        <w:t>.</w:t>
      </w:r>
      <w:r w:rsidRPr="000635BE">
        <w:rPr>
          <w:rFonts w:ascii="Cambria" w:hAnsi="Cambria"/>
          <w:color w:val="000000" w:themeColor="text1"/>
          <w:sz w:val="16"/>
          <w:szCs w:val="16"/>
          <w:lang w:val="uz-Cyrl-UZ" w:eastAsia="x-none"/>
        </w:rPr>
        <w:t xml:space="preserve"> </w:t>
      </w:r>
    </w:p>
  </w:footnote>
  <w:footnote w:id="34">
    <w:p w14:paraId="0C9BD8B2" w14:textId="7DF08CB0" w:rsidR="00CB7C3D" w:rsidRPr="000635BE" w:rsidRDefault="00CB7C3D" w:rsidP="00DB4B16">
      <w:pPr>
        <w:spacing w:after="0"/>
        <w:jc w:val="both"/>
        <w:rPr>
          <w:rFonts w:ascii="Cambria" w:hAnsi="Cambria"/>
          <w:color w:val="000000" w:themeColor="text1"/>
          <w:sz w:val="16"/>
          <w:szCs w:val="16"/>
          <w:lang w:val="uz-Cyrl-UZ" w:eastAsia="x-none"/>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00033421" w:rsidRPr="00033421">
        <w:rPr>
          <w:rFonts w:ascii="Cambria" w:hAnsi="Cambria"/>
          <w:color w:val="000000" w:themeColor="text1"/>
          <w:sz w:val="16"/>
          <w:szCs w:val="16"/>
          <w:lang w:val="uz-Cyrl-UZ"/>
        </w:rPr>
        <w:t>I / A Court HR. Case of Acosta Calderón v. Ecuador. Merits, Reparations and Costs. Judgment of June 24, 2005. Series C No. 129, para. 106, and Case of Quispialaya Vilcapoma v. Peru, para. 179</w:t>
      </w:r>
      <w:r w:rsidRPr="000635BE">
        <w:rPr>
          <w:rFonts w:ascii="Cambria" w:hAnsi="Cambria"/>
          <w:color w:val="000000" w:themeColor="text1"/>
          <w:sz w:val="16"/>
          <w:szCs w:val="16"/>
          <w:lang w:val="uz-Cyrl-UZ"/>
        </w:rPr>
        <w:t>.</w:t>
      </w:r>
    </w:p>
  </w:footnote>
  <w:footnote w:id="35">
    <w:p w14:paraId="51D4E3D4" w14:textId="4F302FB0" w:rsidR="00CB7C3D" w:rsidRPr="000635BE" w:rsidRDefault="00CB7C3D" w:rsidP="00DB4B16">
      <w:pPr>
        <w:spacing w:after="0"/>
        <w:jc w:val="both"/>
        <w:rPr>
          <w:rFonts w:ascii="Cambria" w:hAnsi="Cambria"/>
          <w:color w:val="000000" w:themeColor="text1"/>
          <w:sz w:val="16"/>
          <w:szCs w:val="16"/>
          <w:lang w:val="uz-Cyrl-UZ" w:eastAsia="x-none"/>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00033421" w:rsidRPr="00033421">
        <w:rPr>
          <w:rFonts w:ascii="Cambria" w:hAnsi="Cambria"/>
          <w:color w:val="000000" w:themeColor="text1"/>
          <w:sz w:val="16"/>
          <w:szCs w:val="16"/>
          <w:lang w:val="uz-Cyrl-UZ"/>
        </w:rPr>
        <w:t>I / A Court HR. Case of Furlan and family v. Argentina. Preliminary Objections, Merits, Reparations and Costs. Judgment of August 31, 2012. Series C No. 246, para. 156 and Case of Quispialaya Vilcapoma v. Peru, para. 179</w:t>
      </w:r>
      <w:r w:rsidRPr="000635BE">
        <w:rPr>
          <w:rFonts w:ascii="Cambria" w:hAnsi="Cambria"/>
          <w:color w:val="000000" w:themeColor="text1"/>
          <w:sz w:val="16"/>
          <w:szCs w:val="16"/>
          <w:lang w:val="uz-Cyrl-UZ"/>
        </w:rPr>
        <w:t xml:space="preserve">. </w:t>
      </w:r>
    </w:p>
  </w:footnote>
  <w:footnote w:id="36">
    <w:p w14:paraId="6F351A93" w14:textId="6AE8F541" w:rsidR="00CB7C3D" w:rsidRPr="000635BE" w:rsidRDefault="00CB7C3D" w:rsidP="00DB4B16">
      <w:pPr>
        <w:spacing w:after="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00033421" w:rsidRPr="00033421">
        <w:rPr>
          <w:rFonts w:ascii="Cambria" w:hAnsi="Cambria"/>
          <w:color w:val="000000" w:themeColor="text1"/>
          <w:sz w:val="16"/>
          <w:szCs w:val="16"/>
          <w:lang w:val="uz-Cyrl-UZ"/>
        </w:rPr>
        <w:t>I / A Court HR. Case of Gonzales Lluy et al. V. Ecuador. Preliminary Objections, Merits, Reparations and Costs. Judgment of September 1, 2015. Series C No. 298, para. 300</w:t>
      </w:r>
      <w:r w:rsidRPr="000635BE">
        <w:rPr>
          <w:rFonts w:ascii="Cambria" w:hAnsi="Cambria"/>
          <w:color w:val="000000" w:themeColor="text1"/>
          <w:sz w:val="16"/>
          <w:szCs w:val="16"/>
          <w:lang w:val="uz-Cyrl-UZ"/>
        </w:rPr>
        <w:t>.</w:t>
      </w:r>
    </w:p>
  </w:footnote>
  <w:footnote w:id="37">
    <w:p w14:paraId="63495C15" w14:textId="4839FD07" w:rsidR="00CB7C3D" w:rsidRPr="000635BE" w:rsidRDefault="00CB7C3D" w:rsidP="00DB4B16">
      <w:pPr>
        <w:spacing w:after="0"/>
        <w:jc w:val="both"/>
        <w:rPr>
          <w:rFonts w:ascii="Cambria" w:hAnsi="Cambria"/>
          <w:bCs/>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bCs/>
          <w:color w:val="000000" w:themeColor="text1"/>
          <w:sz w:val="16"/>
          <w:szCs w:val="16"/>
          <w:lang w:val="uz-Cyrl-UZ"/>
        </w:rPr>
        <w:t xml:space="preserve"> </w:t>
      </w:r>
      <w:r w:rsidR="00033421" w:rsidRPr="00033421">
        <w:rPr>
          <w:rFonts w:ascii="Cambria" w:hAnsi="Cambria"/>
          <w:color w:val="000000" w:themeColor="text1"/>
          <w:sz w:val="16"/>
          <w:szCs w:val="16"/>
          <w:lang w:val="uz-Cyrl-UZ"/>
        </w:rPr>
        <w:t>I / A Court HR. Case of Salvador Chiriboga v. Ecuador. Preliminary Objection and Merits. Judgment of May 6, 2008. Series C No. 179, para. 83., Case of Furlan and family members v. Argentina, para. 156 and Case of Quispialaya Vilcapoma v. Peru, para. 179. Likewise, Case of Salvador Chiriboga v. Ecuador. Preliminary Objection and Merits. Judgment of May 6, 2008. Series C No. 179, para. 83</w:t>
      </w:r>
      <w:r w:rsidRPr="000635BE">
        <w:rPr>
          <w:rFonts w:ascii="Cambria" w:hAnsi="Cambria"/>
          <w:bCs/>
          <w:color w:val="000000" w:themeColor="text1"/>
          <w:sz w:val="16"/>
          <w:szCs w:val="16"/>
          <w:lang w:val="uz-Cyrl-UZ"/>
        </w:rPr>
        <w:t>.</w:t>
      </w:r>
    </w:p>
  </w:footnote>
  <w:footnote w:id="38">
    <w:p w14:paraId="105E7403" w14:textId="3FF36882" w:rsidR="00CB7C3D" w:rsidRPr="000635BE" w:rsidRDefault="00CB7C3D" w:rsidP="00DB4B16">
      <w:pPr>
        <w:spacing w:after="0"/>
        <w:jc w:val="both"/>
        <w:rPr>
          <w:rFonts w:ascii="Cambria" w:hAnsi="Cambria"/>
          <w:color w:val="000000" w:themeColor="text1"/>
          <w:sz w:val="16"/>
          <w:szCs w:val="16"/>
          <w:lang w:val="uz-Cyrl-UZ" w:eastAsia="x-none"/>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00033421" w:rsidRPr="00033421">
        <w:rPr>
          <w:rFonts w:ascii="Cambria" w:hAnsi="Cambria"/>
          <w:color w:val="000000" w:themeColor="text1"/>
          <w:sz w:val="16"/>
          <w:szCs w:val="16"/>
          <w:lang w:val="uz-Cyrl-UZ"/>
        </w:rPr>
        <w:t>I / A Court HR. Case of Furlan and family members v. Argentina, para. 156. and Case of Quispialaya Vilcapoma v. Peru, para. 179. Likewise, Case of the Pueblo Bello Massacre v. Colombia, para. 184, Case of the Ituango Massacres v. Colombia. Preliminary Objection, Merits, Reparations and Costs. Judgment of July 1, 2006. Series C No. 148, para. 293</w:t>
      </w:r>
      <w:r w:rsidRPr="000635BE">
        <w:rPr>
          <w:rFonts w:ascii="Cambria" w:hAnsi="Cambria"/>
          <w:bCs/>
          <w:color w:val="000000" w:themeColor="text1"/>
          <w:sz w:val="16"/>
          <w:szCs w:val="16"/>
          <w:lang w:val="uz-Cyrl-UZ"/>
        </w:rPr>
        <w:t>.</w:t>
      </w:r>
    </w:p>
  </w:footnote>
  <w:footnote w:id="39">
    <w:p w14:paraId="12955D87" w14:textId="5C691322" w:rsidR="00CB7C3D" w:rsidRPr="00C643D4" w:rsidRDefault="00CB7C3D" w:rsidP="00DB4B16">
      <w:pPr>
        <w:tabs>
          <w:tab w:val="left" w:pos="720"/>
        </w:tabs>
        <w:spacing w:after="0"/>
        <w:jc w:val="both"/>
        <w:rPr>
          <w:rFonts w:ascii="Cambria" w:eastAsia="Times New Roman" w:hAnsi="Cambria"/>
          <w:color w:val="000000" w:themeColor="text1"/>
          <w:sz w:val="16"/>
          <w:szCs w:val="16"/>
          <w:lang w:val="en-US"/>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00033421" w:rsidRPr="00033421">
        <w:rPr>
          <w:rFonts w:ascii="Cambria" w:eastAsia="Times New Roman" w:hAnsi="Cambria"/>
          <w:bCs/>
          <w:color w:val="000000" w:themeColor="text1"/>
          <w:sz w:val="16"/>
          <w:szCs w:val="16"/>
          <w:lang w:val="uz-Cyrl-UZ"/>
        </w:rPr>
        <w:t>I / A Court HR. Case of Andrade Salmón v. Bolivia. Merits, Reparations and Costs. Judgment of December 1, 2016. Series C No. 330. Para. 159</w:t>
      </w:r>
      <w:r w:rsidRPr="000635BE">
        <w:rPr>
          <w:rFonts w:ascii="Cambria" w:eastAsia="Times New Roman" w:hAnsi="Cambria"/>
          <w:bCs/>
          <w:color w:val="000000" w:themeColor="text1"/>
          <w:sz w:val="16"/>
          <w:szCs w:val="16"/>
          <w:lang w:val="uz-Cyrl-UZ"/>
        </w:rPr>
        <w:t>.</w:t>
      </w:r>
    </w:p>
  </w:footnote>
  <w:footnote w:id="40">
    <w:p w14:paraId="0731ADA2" w14:textId="76E8B8CC" w:rsidR="00CB7C3D" w:rsidRPr="000635BE" w:rsidRDefault="00CB7C3D" w:rsidP="00DB4B16">
      <w:pPr>
        <w:tabs>
          <w:tab w:val="left" w:pos="720"/>
        </w:tabs>
        <w:spacing w:after="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00033421" w:rsidRPr="00033421">
        <w:rPr>
          <w:rFonts w:ascii="Cambria" w:hAnsi="Cambria"/>
          <w:color w:val="000000" w:themeColor="text1"/>
          <w:sz w:val="16"/>
          <w:szCs w:val="16"/>
          <w:lang w:val="uz-Cyrl-UZ"/>
        </w:rPr>
        <w:t>IACHR. Report No. 3/16. Case 12.916. Background. Nitza Paola Alvarado Espinoza, Rocío Irene Alvarado Reyes, José Angel Alvarado Herrera and others. Mexico. April 13, 2016. Para. 273</w:t>
      </w:r>
      <w:r w:rsidRPr="000635BE">
        <w:rPr>
          <w:rFonts w:ascii="Cambria" w:hAnsi="Cambria"/>
          <w:color w:val="000000" w:themeColor="text1"/>
          <w:sz w:val="16"/>
          <w:szCs w:val="16"/>
          <w:lang w:val="uz-Cyrl-UZ"/>
        </w:rPr>
        <w:t>.</w:t>
      </w:r>
    </w:p>
  </w:footnote>
  <w:footnote w:id="41">
    <w:p w14:paraId="4C0FE1CD" w14:textId="50E66257" w:rsidR="00961A63" w:rsidRPr="001D3E10" w:rsidRDefault="00961A63" w:rsidP="00961A63">
      <w:pPr>
        <w:pStyle w:val="FootnoteText"/>
        <w:jc w:val="both"/>
        <w:rPr>
          <w:rFonts w:ascii="Cambria" w:hAnsi="Cambria"/>
          <w:bCs/>
          <w:color w:val="000000" w:themeColor="text1"/>
          <w:sz w:val="16"/>
          <w:szCs w:val="16"/>
          <w:lang w:val="es-AR"/>
        </w:rPr>
      </w:pPr>
      <w:r w:rsidRPr="001D3E10">
        <w:rPr>
          <w:rStyle w:val="FootnoteReference"/>
          <w:rFonts w:ascii="Cambria" w:hAnsi="Cambria"/>
          <w:color w:val="000000" w:themeColor="text1"/>
          <w:sz w:val="16"/>
          <w:szCs w:val="16"/>
          <w:lang w:val="es-AR"/>
        </w:rPr>
        <w:footnoteRef/>
      </w:r>
      <w:r w:rsidRPr="00DB443C">
        <w:rPr>
          <w:rFonts w:ascii="Cambria" w:hAnsi="Cambria"/>
          <w:color w:val="000000" w:themeColor="text1"/>
          <w:sz w:val="16"/>
          <w:szCs w:val="16"/>
        </w:rPr>
        <w:t xml:space="preserve"> </w:t>
      </w:r>
      <w:r w:rsidR="00DB443C" w:rsidRPr="00DB443C">
        <w:rPr>
          <w:rFonts w:ascii="Cambria" w:hAnsi="Cambria"/>
          <w:color w:val="000000" w:themeColor="text1"/>
          <w:sz w:val="16"/>
          <w:szCs w:val="16"/>
        </w:rPr>
        <w:t xml:space="preserve">Inter-American Court of Human Rights. Case of Myrna Mack Chang v. Guatemala. Merits, Reparations, and Costs. Judgment of November 25, 2003. Series C No. 101, para. </w:t>
      </w:r>
      <w:r w:rsidR="00DB443C" w:rsidRPr="00DB443C">
        <w:rPr>
          <w:rFonts w:ascii="Cambria" w:hAnsi="Cambria"/>
          <w:color w:val="000000" w:themeColor="text1"/>
          <w:sz w:val="16"/>
          <w:szCs w:val="16"/>
          <w:lang w:val="es-AR"/>
        </w:rPr>
        <w:t>211, and Case of García Ibarra et al. v. Ecuador, para. 132.</w:t>
      </w:r>
    </w:p>
  </w:footnote>
  <w:footnote w:id="42">
    <w:p w14:paraId="59473BBB" w14:textId="0A792A37" w:rsidR="00CB7C3D" w:rsidRPr="000635BE" w:rsidRDefault="00CB7C3D" w:rsidP="00DB4B16">
      <w:pPr>
        <w:tabs>
          <w:tab w:val="left" w:pos="720"/>
        </w:tabs>
        <w:spacing w:after="0"/>
        <w:jc w:val="both"/>
        <w:rPr>
          <w:rFonts w:ascii="Cambria" w:eastAsia="Times New Roman"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00033421" w:rsidRPr="00033421">
        <w:rPr>
          <w:rFonts w:ascii="Cambria" w:eastAsia="Times New Roman" w:hAnsi="Cambria"/>
          <w:bCs/>
          <w:color w:val="000000" w:themeColor="text1"/>
          <w:sz w:val="16"/>
          <w:szCs w:val="16"/>
          <w:lang w:val="uz-Cyrl-UZ"/>
        </w:rPr>
        <w:t>I / A Court HR. Case of Furlan and family v. Argentina. Preliminary Objections, Merits, Reparations and Costs. Judgment of August 31, 2012. Series C No. 246. Para. 169; I / A Court HR. Case of Mémoli v. Argentina. Preliminary Objections, Merits, Reparations and Costs. Judgment of August 22, 2013. Series C No. 265. Paras. 171 and 176</w:t>
      </w:r>
      <w:r w:rsidRPr="000635BE">
        <w:rPr>
          <w:rFonts w:ascii="Cambria" w:eastAsia="Times New Roman" w:hAnsi="Cambria"/>
          <w:bCs/>
          <w:color w:val="000000" w:themeColor="text1"/>
          <w:sz w:val="16"/>
          <w:szCs w:val="16"/>
          <w:lang w:val="uz-Cyrl-UZ"/>
        </w:rPr>
        <w:t xml:space="preserve">. </w:t>
      </w:r>
    </w:p>
  </w:footnote>
  <w:footnote w:id="43">
    <w:p w14:paraId="1CCB5E6F" w14:textId="2FD65B20" w:rsidR="00CB7C3D" w:rsidRPr="000635BE" w:rsidRDefault="00CB7C3D" w:rsidP="00DB4B16">
      <w:pPr>
        <w:pStyle w:val="FootnoteText"/>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00033421" w:rsidRPr="00033421">
        <w:rPr>
          <w:rFonts w:ascii="Cambria" w:hAnsi="Cambria"/>
          <w:color w:val="000000" w:themeColor="text1"/>
          <w:sz w:val="16"/>
          <w:szCs w:val="16"/>
          <w:lang w:val="uz-Cyrl-UZ"/>
        </w:rPr>
        <w:t>European Court of Human Rights, Scordino v. Italy (no. 1) [GC]. Judgment of March 29, 2006, Application No. 36813/97, para. 183</w:t>
      </w:r>
      <w:r w:rsidRPr="000635BE">
        <w:rPr>
          <w:rFonts w:ascii="Cambria" w:hAnsi="Cambria"/>
          <w:color w:val="000000" w:themeColor="text1"/>
          <w:sz w:val="16"/>
          <w:szCs w:val="16"/>
          <w:lang w:val="uz-Cyrl-UZ"/>
        </w:rPr>
        <w:t xml:space="preserve">. </w:t>
      </w:r>
    </w:p>
  </w:footnote>
  <w:footnote w:id="44">
    <w:p w14:paraId="40F29893" w14:textId="6964BAB4" w:rsidR="00CB7C3D" w:rsidRPr="000635BE" w:rsidRDefault="00CB7C3D" w:rsidP="00DB4B16">
      <w:pPr>
        <w:pStyle w:val="FootnoteText"/>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00B10AD6" w:rsidRPr="00B10AD6">
        <w:rPr>
          <w:rFonts w:ascii="Cambria" w:hAnsi="Cambria"/>
          <w:color w:val="000000" w:themeColor="text1"/>
          <w:sz w:val="16"/>
          <w:szCs w:val="16"/>
          <w:lang w:val="uz-Cyrl-UZ"/>
        </w:rPr>
        <w:t>I / A Court HR. Case of Fornerón and daughter v. Argentina. Merits, Reparations and Costs. Judgment of April 27, 2012. Series C No. 242, para. 69</w:t>
      </w:r>
      <w:r w:rsidRPr="000635BE">
        <w:rPr>
          <w:rFonts w:ascii="Cambria" w:hAnsi="Cambria"/>
          <w:bCs/>
          <w:color w:val="000000" w:themeColor="text1"/>
          <w:sz w:val="16"/>
          <w:szCs w:val="16"/>
          <w:lang w:val="uz-Cyrl-UZ"/>
        </w:rPr>
        <w:t>.</w:t>
      </w:r>
    </w:p>
  </w:footnote>
  <w:footnote w:id="45">
    <w:p w14:paraId="35D4077C" w14:textId="43FFB659" w:rsidR="00CB7C3D" w:rsidRPr="000635BE" w:rsidRDefault="00CB7C3D" w:rsidP="00DB4B16">
      <w:pPr>
        <w:pStyle w:val="FootnoteText"/>
        <w:jc w:val="both"/>
        <w:rPr>
          <w:rFonts w:ascii="Cambria" w:hAnsi="Cambria"/>
          <w:color w:val="000000" w:themeColor="text1"/>
          <w:sz w:val="16"/>
          <w:szCs w:val="16"/>
          <w:highlight w:val="yellow"/>
          <w:lang w:val="uz-Cyrl-UZ"/>
        </w:rPr>
      </w:pPr>
      <w:r w:rsidRPr="00924517">
        <w:rPr>
          <w:rStyle w:val="FootnoteReference"/>
          <w:rFonts w:ascii="Cambria" w:hAnsi="Cambria"/>
          <w:color w:val="000000" w:themeColor="text1"/>
          <w:sz w:val="16"/>
          <w:szCs w:val="16"/>
          <w:lang w:val="uz-Cyrl-UZ"/>
        </w:rPr>
        <w:footnoteRef/>
      </w:r>
      <w:r w:rsidRPr="00924517">
        <w:rPr>
          <w:rFonts w:ascii="Cambria" w:hAnsi="Cambria"/>
          <w:color w:val="000000" w:themeColor="text1"/>
          <w:sz w:val="16"/>
          <w:szCs w:val="16"/>
          <w:lang w:val="uz-Cyrl-UZ"/>
        </w:rPr>
        <w:t xml:space="preserve"> </w:t>
      </w:r>
      <w:r w:rsidR="00B10AD6" w:rsidRPr="00B10AD6">
        <w:rPr>
          <w:rFonts w:ascii="Cambria" w:hAnsi="Cambria"/>
          <w:color w:val="000000" w:themeColor="text1"/>
          <w:sz w:val="16"/>
          <w:szCs w:val="16"/>
          <w:lang w:val="uz-Cyrl-UZ"/>
        </w:rPr>
        <w:t>European Court of Human Rights, Pafitis and Others v. Greece. Judgment of February 26, 1998. Application No. 163/1996/782/983, para. 93; European Court of Human Rights. Tierce v. San Marino. Judgment of June 17, 2003. Application No. 69700/01, para. 31; European Court of Human Rights. Sürmeli v. Germany [GC]. Judgment of June 8, 2006. Application No. 75529/01, para. 129</w:t>
      </w:r>
      <w:r w:rsidRPr="00924517">
        <w:rPr>
          <w:rFonts w:ascii="Cambria" w:hAnsi="Cambria"/>
          <w:color w:val="000000" w:themeColor="text1"/>
          <w:sz w:val="16"/>
          <w:szCs w:val="16"/>
          <w:lang w:val="uz-Cyrl-UZ"/>
        </w:rPr>
        <w:t xml:space="preserve">. </w:t>
      </w:r>
    </w:p>
  </w:footnote>
  <w:footnote w:id="46">
    <w:p w14:paraId="222FEFD9" w14:textId="66CBCC93" w:rsidR="00CB7C3D" w:rsidRPr="000635BE" w:rsidRDefault="00CB7C3D" w:rsidP="00DB4B16">
      <w:pPr>
        <w:pStyle w:val="FootnoteText"/>
        <w:jc w:val="both"/>
        <w:rPr>
          <w:rFonts w:ascii="Cambria" w:hAnsi="Cambria"/>
          <w:color w:val="000000" w:themeColor="text1"/>
          <w:sz w:val="16"/>
          <w:szCs w:val="16"/>
          <w:highlight w:val="yellow"/>
          <w:lang w:val="uz-Cyrl-UZ"/>
        </w:rPr>
      </w:pPr>
      <w:r w:rsidRPr="0022010A">
        <w:rPr>
          <w:rStyle w:val="FootnoteReference"/>
          <w:rFonts w:ascii="Cambria" w:hAnsi="Cambria"/>
          <w:color w:val="000000" w:themeColor="text1"/>
          <w:sz w:val="16"/>
          <w:szCs w:val="16"/>
          <w:lang w:val="uz-Cyrl-UZ"/>
        </w:rPr>
        <w:footnoteRef/>
      </w:r>
      <w:r w:rsidRPr="0022010A">
        <w:rPr>
          <w:rFonts w:ascii="Cambria" w:hAnsi="Cambria"/>
          <w:color w:val="000000" w:themeColor="text1"/>
          <w:sz w:val="16"/>
          <w:szCs w:val="16"/>
          <w:lang w:val="uz-Cyrl-UZ"/>
        </w:rPr>
        <w:t xml:space="preserve"> </w:t>
      </w:r>
      <w:r w:rsidR="00B10AD6" w:rsidRPr="00B10AD6">
        <w:rPr>
          <w:rFonts w:ascii="Cambria" w:hAnsi="Cambria"/>
          <w:color w:val="000000" w:themeColor="text1"/>
          <w:sz w:val="16"/>
          <w:szCs w:val="16"/>
          <w:lang w:val="uz-Cyrl-UZ"/>
        </w:rPr>
        <w:t>European Court of Human Rights, Capuano v. Italy. Judgment of June 25, 1987. Application No. 9381/81, paras 30-31; European Court of Human Rights. Versini v. France, Judgment of July 10, 2001. Application No. 40096/98, para. 29; European Court of Human Rights. Sürmeli v. Germany [GC]. Judgment of June 8, 2006. Application No. 75529/01, para. 129</w:t>
      </w:r>
      <w:r w:rsidRPr="0022010A">
        <w:rPr>
          <w:rFonts w:ascii="Cambria" w:hAnsi="Cambria"/>
          <w:color w:val="000000" w:themeColor="text1"/>
          <w:sz w:val="16"/>
          <w:szCs w:val="16"/>
          <w:lang w:val="uz-Cyrl-UZ"/>
        </w:rPr>
        <w:t>.</w:t>
      </w:r>
    </w:p>
  </w:footnote>
  <w:footnote w:id="47">
    <w:p w14:paraId="24111C78" w14:textId="7CD0D0F4" w:rsidR="00CB7C3D" w:rsidRPr="000635BE" w:rsidRDefault="00CB7C3D" w:rsidP="00DB4B16">
      <w:pPr>
        <w:pStyle w:val="FootnoteText"/>
        <w:jc w:val="both"/>
        <w:rPr>
          <w:rFonts w:ascii="Cambria" w:hAnsi="Cambria"/>
          <w:color w:val="000000" w:themeColor="text1"/>
          <w:sz w:val="16"/>
          <w:szCs w:val="16"/>
          <w:highlight w:val="yellow"/>
          <w:lang w:val="uz-Cyrl-UZ"/>
        </w:rPr>
      </w:pPr>
      <w:r w:rsidRPr="007413E4">
        <w:rPr>
          <w:rStyle w:val="FootnoteReference"/>
          <w:rFonts w:ascii="Cambria" w:hAnsi="Cambria"/>
          <w:color w:val="000000" w:themeColor="text1"/>
          <w:sz w:val="16"/>
          <w:szCs w:val="16"/>
          <w:lang w:val="uz-Cyrl-UZ"/>
        </w:rPr>
        <w:footnoteRef/>
      </w:r>
      <w:r w:rsidRPr="007413E4">
        <w:rPr>
          <w:rFonts w:ascii="Cambria" w:hAnsi="Cambria"/>
          <w:color w:val="000000" w:themeColor="text1"/>
          <w:sz w:val="16"/>
          <w:szCs w:val="16"/>
          <w:lang w:val="uz-Cyrl-UZ"/>
        </w:rPr>
        <w:t xml:space="preserve"> </w:t>
      </w:r>
      <w:r w:rsidR="00B10AD6" w:rsidRPr="00B10AD6">
        <w:rPr>
          <w:rFonts w:ascii="Cambria" w:hAnsi="Cambria"/>
          <w:color w:val="000000" w:themeColor="text1"/>
          <w:sz w:val="16"/>
          <w:szCs w:val="16"/>
          <w:lang w:val="uz-Cyrl-UZ"/>
        </w:rPr>
        <w:t>European Court of Human Rights. Deumeland v. Germany. Judgment of May 29, 1986, Application No. 9384/81, para. 90</w:t>
      </w:r>
      <w:r w:rsidRPr="007413E4">
        <w:rPr>
          <w:rFonts w:ascii="Cambria" w:hAnsi="Cambria"/>
          <w:color w:val="000000" w:themeColor="text1"/>
          <w:sz w:val="16"/>
          <w:szCs w:val="16"/>
          <w:lang w:val="uz-Cyrl-UZ"/>
        </w:rPr>
        <w:t>.</w:t>
      </w:r>
    </w:p>
  </w:footnote>
  <w:footnote w:id="48">
    <w:p w14:paraId="3F7DE9C1" w14:textId="5E08CDB3" w:rsidR="00CB7C3D" w:rsidRPr="007413E4" w:rsidRDefault="00CB7C3D" w:rsidP="00DB4B16">
      <w:pPr>
        <w:pStyle w:val="FootnoteText"/>
        <w:jc w:val="both"/>
        <w:rPr>
          <w:rFonts w:ascii="Cambria" w:hAnsi="Cambria"/>
          <w:color w:val="000000" w:themeColor="text1"/>
          <w:sz w:val="16"/>
          <w:szCs w:val="16"/>
          <w:lang w:val="uz-Cyrl-UZ"/>
        </w:rPr>
      </w:pPr>
      <w:r w:rsidRPr="007413E4">
        <w:rPr>
          <w:rStyle w:val="FootnoteReference"/>
          <w:rFonts w:ascii="Cambria" w:hAnsi="Cambria"/>
          <w:color w:val="000000" w:themeColor="text1"/>
          <w:sz w:val="16"/>
          <w:szCs w:val="16"/>
          <w:lang w:val="uz-Cyrl-UZ"/>
        </w:rPr>
        <w:footnoteRef/>
      </w:r>
      <w:r w:rsidRPr="007413E4">
        <w:rPr>
          <w:rFonts w:ascii="Cambria" w:hAnsi="Cambria"/>
          <w:color w:val="000000" w:themeColor="text1"/>
          <w:sz w:val="16"/>
          <w:szCs w:val="16"/>
          <w:lang w:val="uz-Cyrl-UZ"/>
        </w:rPr>
        <w:t xml:space="preserve"> </w:t>
      </w:r>
      <w:r w:rsidR="00B10AD6" w:rsidRPr="00B10AD6">
        <w:rPr>
          <w:rFonts w:ascii="Cambria" w:hAnsi="Cambria"/>
          <w:color w:val="000000" w:themeColor="text1"/>
          <w:sz w:val="16"/>
          <w:szCs w:val="16"/>
          <w:lang w:val="uz-Cyrl-UZ"/>
        </w:rPr>
        <w:t>European Court of Human Rights. Pretto and Others v. Italy. Judgment of December 8, 1983, Application No. 7984/77, para. 37</w:t>
      </w:r>
      <w:r w:rsidRPr="007413E4">
        <w:rPr>
          <w:rFonts w:ascii="Cambria" w:hAnsi="Cambria"/>
          <w:color w:val="000000" w:themeColor="text1"/>
          <w:sz w:val="16"/>
          <w:szCs w:val="16"/>
          <w:lang w:val="uz-Cyrl-UZ"/>
        </w:rPr>
        <w:t>.</w:t>
      </w:r>
    </w:p>
  </w:footnote>
  <w:footnote w:id="49">
    <w:p w14:paraId="5C7D79DD" w14:textId="2B2C4ABB" w:rsidR="00CB7C3D" w:rsidRPr="000635BE" w:rsidRDefault="00CB7C3D" w:rsidP="00DB4B16">
      <w:pPr>
        <w:pStyle w:val="FootnoteText"/>
        <w:jc w:val="both"/>
        <w:rPr>
          <w:rFonts w:ascii="Cambria" w:hAnsi="Cambria"/>
          <w:color w:val="000000" w:themeColor="text1"/>
          <w:sz w:val="16"/>
          <w:szCs w:val="16"/>
          <w:lang w:val="uz-Cyrl-UZ"/>
        </w:rPr>
      </w:pPr>
      <w:r w:rsidRPr="007413E4">
        <w:rPr>
          <w:rStyle w:val="FootnoteReference"/>
          <w:rFonts w:ascii="Cambria" w:hAnsi="Cambria"/>
          <w:color w:val="000000" w:themeColor="text1"/>
          <w:sz w:val="16"/>
          <w:szCs w:val="16"/>
          <w:lang w:val="uz-Cyrl-UZ"/>
        </w:rPr>
        <w:footnoteRef/>
      </w:r>
      <w:r w:rsidRPr="007413E4">
        <w:rPr>
          <w:rFonts w:ascii="Cambria" w:hAnsi="Cambria"/>
          <w:color w:val="000000" w:themeColor="text1"/>
          <w:sz w:val="16"/>
          <w:szCs w:val="16"/>
          <w:lang w:val="uz-Cyrl-UZ"/>
        </w:rPr>
        <w:t xml:space="preserve"> </w:t>
      </w:r>
      <w:r w:rsidR="00B10AD6" w:rsidRPr="00B10AD6">
        <w:rPr>
          <w:rFonts w:ascii="Cambria" w:hAnsi="Cambria"/>
          <w:color w:val="000000" w:themeColor="text1"/>
          <w:sz w:val="16"/>
          <w:szCs w:val="16"/>
          <w:lang w:val="uz-Cyrl-UZ"/>
        </w:rPr>
        <w:t>European Court of Human Rights, Martins Moreira v. Portugal [GC]. Judgment of July 11, 2017. Application No. 19867/12, para. 60</w:t>
      </w:r>
      <w:r w:rsidRPr="007413E4">
        <w:rPr>
          <w:rFonts w:ascii="Cambria" w:hAnsi="Cambria"/>
          <w:color w:val="000000" w:themeColor="text1"/>
          <w:sz w:val="16"/>
          <w:szCs w:val="16"/>
          <w:lang w:val="uz-Cyrl-UZ"/>
        </w:rPr>
        <w:t>.</w:t>
      </w:r>
    </w:p>
  </w:footnote>
  <w:footnote w:id="50">
    <w:p w14:paraId="7A1DFD05" w14:textId="4BC65B30" w:rsidR="00D75694" w:rsidRPr="00D4447F" w:rsidRDefault="00D75694" w:rsidP="00D75694">
      <w:pPr>
        <w:pStyle w:val="FootnoteText"/>
        <w:jc w:val="both"/>
        <w:rPr>
          <w:rFonts w:ascii="Cambria" w:hAnsi="Cambria"/>
          <w:color w:val="000000" w:themeColor="text1"/>
          <w:sz w:val="16"/>
          <w:szCs w:val="16"/>
        </w:rPr>
      </w:pPr>
      <w:r w:rsidRPr="001D3E10">
        <w:rPr>
          <w:rStyle w:val="FootnoteReference"/>
          <w:rFonts w:ascii="Cambria" w:hAnsi="Cambria"/>
          <w:color w:val="000000" w:themeColor="text1"/>
          <w:sz w:val="16"/>
          <w:szCs w:val="16"/>
          <w:lang w:val="es-AR"/>
        </w:rPr>
        <w:footnoteRef/>
      </w:r>
      <w:r w:rsidRPr="00D4447F">
        <w:rPr>
          <w:rFonts w:ascii="Cambria" w:hAnsi="Cambria"/>
          <w:color w:val="000000" w:themeColor="text1"/>
          <w:sz w:val="16"/>
          <w:szCs w:val="16"/>
        </w:rPr>
        <w:t xml:space="preserve"> </w:t>
      </w:r>
      <w:r w:rsidR="00D4447F" w:rsidRPr="00D4447F">
        <w:rPr>
          <w:rFonts w:ascii="Cambria" w:hAnsi="Cambria"/>
          <w:color w:val="000000" w:themeColor="text1"/>
          <w:sz w:val="16"/>
          <w:szCs w:val="16"/>
        </w:rPr>
        <w:t xml:space="preserve">Inter-American Court of Human Rights. </w:t>
      </w:r>
      <w:r w:rsidR="00D4447F" w:rsidRPr="00D4447F">
        <w:rPr>
          <w:rFonts w:ascii="Cambria" w:hAnsi="Cambria"/>
          <w:color w:val="000000" w:themeColor="text1"/>
          <w:sz w:val="16"/>
          <w:szCs w:val="16"/>
          <w:lang w:val="es-AR"/>
        </w:rPr>
        <w:t xml:space="preserve">Case of Valle Jaramillo et al. v. Colombia, para. </w:t>
      </w:r>
      <w:r w:rsidR="00D4447F" w:rsidRPr="00D4447F">
        <w:rPr>
          <w:rFonts w:ascii="Cambria" w:hAnsi="Cambria"/>
          <w:color w:val="000000" w:themeColor="text1"/>
          <w:sz w:val="16"/>
          <w:szCs w:val="16"/>
        </w:rPr>
        <w:t>155, and Case of Furlan and relatives v. Argentina, para. 202.</w:t>
      </w:r>
    </w:p>
  </w:footnote>
  <w:footnote w:id="51">
    <w:p w14:paraId="550BFAB1" w14:textId="7ACA3F91" w:rsidR="00CB7C3D" w:rsidRPr="000635BE" w:rsidRDefault="00CB7C3D" w:rsidP="00DB4B16">
      <w:pPr>
        <w:tabs>
          <w:tab w:val="left" w:pos="720"/>
        </w:tabs>
        <w:spacing w:after="0"/>
        <w:jc w:val="both"/>
        <w:rPr>
          <w:rFonts w:ascii="Cambria" w:eastAsia="Times New Roman"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00B10AD6" w:rsidRPr="00B10AD6">
        <w:rPr>
          <w:rFonts w:ascii="Cambria" w:eastAsia="Times New Roman" w:hAnsi="Cambria"/>
          <w:bCs/>
          <w:color w:val="000000" w:themeColor="text1"/>
          <w:sz w:val="16"/>
          <w:szCs w:val="16"/>
          <w:lang w:val="uz-Cyrl-UZ"/>
        </w:rPr>
        <w:t>I / A Court HR. Case of Furlan and family v. Argentina. Preliminary Objections, Merits, Reparations and Costs. Judgment of August 31, 2012. Series C No. 246. Para. 196</w:t>
      </w:r>
      <w:r w:rsidRPr="000635BE">
        <w:rPr>
          <w:rFonts w:ascii="Cambria" w:eastAsia="Times New Roman" w:hAnsi="Cambria"/>
          <w:bCs/>
          <w:color w:val="000000" w:themeColor="text1"/>
          <w:sz w:val="16"/>
          <w:szCs w:val="16"/>
          <w:lang w:val="uz-Cyrl-UZ"/>
        </w:rPr>
        <w:t>.</w:t>
      </w:r>
    </w:p>
  </w:footnote>
  <w:footnote w:id="52">
    <w:p w14:paraId="479D4AB7" w14:textId="0AF9B154" w:rsidR="00CB7C3D" w:rsidRPr="000635BE" w:rsidRDefault="00CB7C3D" w:rsidP="00DB4B16">
      <w:pPr>
        <w:pStyle w:val="FootnoteText"/>
        <w:jc w:val="both"/>
        <w:rPr>
          <w:rFonts w:ascii="Cambria" w:hAnsi="Cambria"/>
          <w:color w:val="000000" w:themeColor="text1"/>
          <w:sz w:val="16"/>
          <w:szCs w:val="16"/>
          <w:lang w:val="uz-Cyrl-UZ"/>
        </w:rPr>
      </w:pPr>
      <w:r w:rsidRPr="007413E4">
        <w:rPr>
          <w:rStyle w:val="FootnoteReference"/>
          <w:rFonts w:ascii="Cambria" w:hAnsi="Cambria"/>
          <w:color w:val="000000" w:themeColor="text1"/>
          <w:sz w:val="16"/>
          <w:szCs w:val="16"/>
          <w:lang w:val="uz-Cyrl-UZ"/>
        </w:rPr>
        <w:footnoteRef/>
      </w:r>
      <w:r w:rsidRPr="007413E4">
        <w:rPr>
          <w:rFonts w:ascii="Cambria" w:hAnsi="Cambria"/>
          <w:color w:val="000000" w:themeColor="text1"/>
          <w:sz w:val="16"/>
          <w:szCs w:val="16"/>
          <w:lang w:val="uz-Cyrl-UZ"/>
        </w:rPr>
        <w:t xml:space="preserve"> </w:t>
      </w:r>
      <w:r w:rsidR="00B10AD6" w:rsidRPr="00B10AD6">
        <w:rPr>
          <w:rFonts w:ascii="Cambria" w:hAnsi="Cambria"/>
          <w:color w:val="000000" w:themeColor="text1"/>
          <w:sz w:val="16"/>
          <w:szCs w:val="16"/>
          <w:lang w:val="uz-Cyrl-UZ"/>
        </w:rPr>
        <w:t>European Court of Human Rights. Vocaturo v. Italy. Judgment of May 24, 1991, Application No. 11981/95, para. 17</w:t>
      </w:r>
      <w:r w:rsidRPr="007413E4">
        <w:rPr>
          <w:rFonts w:ascii="Cambria" w:hAnsi="Cambria"/>
          <w:color w:val="000000" w:themeColor="text1"/>
          <w:sz w:val="16"/>
          <w:szCs w:val="16"/>
          <w:lang w:val="uz-Cyrl-UZ"/>
        </w:rPr>
        <w:t>.</w:t>
      </w:r>
      <w:r w:rsidRPr="000635BE">
        <w:rPr>
          <w:rFonts w:ascii="Cambria" w:hAnsi="Cambria"/>
          <w:color w:val="000000" w:themeColor="text1"/>
          <w:sz w:val="16"/>
          <w:szCs w:val="16"/>
          <w:lang w:val="uz-Cyrl-UZ"/>
        </w:rPr>
        <w:tab/>
      </w:r>
    </w:p>
  </w:footnote>
  <w:footnote w:id="53">
    <w:p w14:paraId="78483654" w14:textId="00B88EC3" w:rsidR="00CB7C3D" w:rsidRPr="000635BE" w:rsidRDefault="00CB7C3D" w:rsidP="00DB4B16">
      <w:pPr>
        <w:pStyle w:val="FootnoteText"/>
        <w:jc w:val="both"/>
        <w:rPr>
          <w:rFonts w:ascii="Cambria" w:hAnsi="Cambria"/>
          <w:b/>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00B10AD6" w:rsidRPr="00B10AD6">
        <w:rPr>
          <w:rFonts w:ascii="Cambria" w:hAnsi="Cambria"/>
          <w:color w:val="000000" w:themeColor="text1"/>
          <w:sz w:val="16"/>
          <w:szCs w:val="16"/>
          <w:lang w:val="uz-Cyrl-UZ"/>
        </w:rPr>
        <w:t>IACHR. Report No. 42/14. Case 12.453. Background. Olga Yolanda Maldonado Ordóñez. Guatemala. July 17, 2014. Para. 62</w:t>
      </w:r>
      <w:r w:rsidRPr="000635BE">
        <w:rPr>
          <w:rFonts w:ascii="Cambria" w:hAnsi="Cambria"/>
          <w:color w:val="000000" w:themeColor="text1"/>
          <w:sz w:val="16"/>
          <w:szCs w:val="16"/>
          <w:lang w:val="uz-Cyrl-UZ"/>
        </w:rPr>
        <w:t>.</w:t>
      </w:r>
    </w:p>
  </w:footnote>
  <w:footnote w:id="54">
    <w:p w14:paraId="05592B48" w14:textId="52C03093" w:rsidR="00CB7C3D" w:rsidRPr="000635BE" w:rsidRDefault="00CB7C3D" w:rsidP="000A5E8D">
      <w:pPr>
        <w:pStyle w:val="FootnoteText"/>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00B10AD6" w:rsidRPr="00B10AD6">
        <w:rPr>
          <w:rFonts w:ascii="Cambria" w:hAnsi="Cambria"/>
          <w:color w:val="000000" w:themeColor="text1"/>
          <w:sz w:val="16"/>
          <w:szCs w:val="16"/>
          <w:lang w:val="uz-Cyrl-UZ"/>
        </w:rPr>
        <w:t xml:space="preserve">I / A Court HR. Case of Dismissed Congressional Workers (Aguado Alfaro et al.) V. Peru. Preliminary Objections, Merits, Reparations and Costs. Judgment of November 24, 2006. Series C No. 158, para. 107; and </w:t>
      </w:r>
      <w:r w:rsidR="00B10AD6" w:rsidRPr="00B10AD6">
        <w:rPr>
          <w:rFonts w:ascii="Cambria" w:hAnsi="Cambria"/>
          <w:color w:val="000000" w:themeColor="text1"/>
          <w:sz w:val="16"/>
          <w:szCs w:val="16"/>
          <w:u w:val="single"/>
          <w:lang w:val="uz-Cyrl-UZ"/>
        </w:rPr>
        <w:t>Case of the Ituango Massacres v. Colombia. Judgment of July 1, 2006 Series C No. 148</w:t>
      </w:r>
      <w:r w:rsidR="00B10AD6" w:rsidRPr="00B10AD6">
        <w:rPr>
          <w:rFonts w:ascii="Cambria" w:hAnsi="Cambria"/>
          <w:color w:val="000000" w:themeColor="text1"/>
          <w:sz w:val="16"/>
          <w:szCs w:val="16"/>
          <w:lang w:val="uz-Cyrl-UZ"/>
        </w:rPr>
        <w:t>, para. 365</w:t>
      </w:r>
      <w:r w:rsidRPr="000635BE">
        <w:rPr>
          <w:rFonts w:ascii="Cambria" w:hAnsi="Cambria"/>
          <w:color w:val="000000" w:themeColor="text1"/>
          <w:sz w:val="16"/>
          <w:szCs w:val="16"/>
          <w:lang w:val="uz-Cyrl-UZ"/>
        </w:rPr>
        <w:t>.</w:t>
      </w:r>
    </w:p>
  </w:footnote>
  <w:footnote w:id="55">
    <w:p w14:paraId="48DE18E3" w14:textId="4CE0424B" w:rsidR="00CB7C3D" w:rsidRPr="000635BE" w:rsidRDefault="00CB7C3D" w:rsidP="000A5E8D">
      <w:pPr>
        <w:pStyle w:val="FootnoteText"/>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00B10AD6" w:rsidRPr="00B10AD6">
        <w:rPr>
          <w:rFonts w:ascii="Cambria" w:hAnsi="Cambria"/>
          <w:color w:val="000000" w:themeColor="text1"/>
          <w:sz w:val="16"/>
          <w:szCs w:val="16"/>
          <w:lang w:val="uz-Cyrl-UZ"/>
        </w:rPr>
        <w:t>I / A Court HR. Case of Abrill Alosilla et al. V. Peru. Merits, Reparations and Costs. Judgment of March 4, 2011. Series C No. 223, para. 75. The internal citations present in the original text were omitted</w:t>
      </w:r>
      <w:r w:rsidRPr="000635BE">
        <w:rPr>
          <w:rFonts w:ascii="Cambria" w:hAnsi="Cambria"/>
          <w:color w:val="000000" w:themeColor="text1"/>
          <w:sz w:val="16"/>
          <w:szCs w:val="16"/>
          <w:lang w:val="uz-Cyrl-U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FB65" w14:textId="77777777" w:rsidR="00CB7C3D" w:rsidRDefault="00CB7C3D" w:rsidP="0096307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B3D2BAF" w14:textId="77777777" w:rsidR="00CB7C3D" w:rsidRDefault="00CB7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3F670" w14:textId="77777777" w:rsidR="00CB7C3D" w:rsidRDefault="00CB7C3D" w:rsidP="0096307E">
    <w:pPr>
      <w:pStyle w:val="Header"/>
      <w:tabs>
        <w:tab w:val="clear" w:pos="4320"/>
        <w:tab w:val="clear" w:pos="8640"/>
      </w:tabs>
      <w:jc w:val="center"/>
      <w:rPr>
        <w:sz w:val="22"/>
        <w:szCs w:val="22"/>
      </w:rPr>
    </w:pPr>
    <w:r>
      <w:rPr>
        <w:noProof/>
        <w:sz w:val="22"/>
        <w:szCs w:val="22"/>
      </w:rPr>
      <w:drawing>
        <wp:inline distT="0" distB="0" distL="0" distR="0" wp14:anchorId="3F089C66" wp14:editId="4864C321">
          <wp:extent cx="1972945" cy="101600"/>
          <wp:effectExtent l="0" t="0" r="8255" b="0"/>
          <wp:docPr id="4"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945" cy="101600"/>
                  </a:xfrm>
                  <a:prstGeom prst="rect">
                    <a:avLst/>
                  </a:prstGeom>
                  <a:noFill/>
                  <a:ln>
                    <a:noFill/>
                  </a:ln>
                </pic:spPr>
              </pic:pic>
            </a:graphicData>
          </a:graphic>
        </wp:inline>
      </w:drawing>
    </w:r>
  </w:p>
  <w:p w14:paraId="2011F5AA" w14:textId="77777777" w:rsidR="00CB7C3D" w:rsidRPr="00EC7D62" w:rsidRDefault="00A00296" w:rsidP="0096307E">
    <w:pPr>
      <w:pStyle w:val="Header"/>
      <w:tabs>
        <w:tab w:val="clear" w:pos="4320"/>
        <w:tab w:val="clear" w:pos="8640"/>
      </w:tabs>
      <w:jc w:val="center"/>
      <w:rPr>
        <w:sz w:val="22"/>
        <w:szCs w:val="22"/>
      </w:rPr>
    </w:pPr>
    <w:r>
      <w:rPr>
        <w:noProof/>
        <w:sz w:val="22"/>
        <w:szCs w:val="22"/>
      </w:rPr>
      <w:pict w14:anchorId="5C9EAD2A">
        <v:rect id="_x0000_i1025" alt="" style="width:458.85pt;height:.05pt;mso-width-percent:0;mso-height-percent:0;mso-width-percent:0;mso-height-percent:0" o:hrpct="99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AC0D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34636"/>
    <w:multiLevelType w:val="hybridMultilevel"/>
    <w:tmpl w:val="840C5508"/>
    <w:lvl w:ilvl="0" w:tplc="019AC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11905"/>
    <w:multiLevelType w:val="hybridMultilevel"/>
    <w:tmpl w:val="623E54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08285E"/>
    <w:multiLevelType w:val="hybridMultilevel"/>
    <w:tmpl w:val="B5204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100B68"/>
    <w:multiLevelType w:val="hybridMultilevel"/>
    <w:tmpl w:val="9D78AB68"/>
    <w:lvl w:ilvl="0" w:tplc="0409000F">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801AF"/>
    <w:multiLevelType w:val="hybridMultilevel"/>
    <w:tmpl w:val="8BDE28D2"/>
    <w:lvl w:ilvl="0" w:tplc="D91A6C14">
      <w:start w:val="1"/>
      <w:numFmt w:val="decimal"/>
      <w:lvlText w:val="%1."/>
      <w:lvlJc w:val="left"/>
      <w:pPr>
        <w:ind w:left="1260" w:hanging="360"/>
      </w:pPr>
      <w:rPr>
        <w:rFonts w:ascii="Cambria" w:hAnsi="Cambria" w:hint="default"/>
        <w:b w:val="0"/>
        <w:sz w:val="20"/>
        <w:szCs w:val="20"/>
      </w:rPr>
    </w:lvl>
    <w:lvl w:ilvl="1" w:tplc="04090015">
      <w:start w:val="1"/>
      <w:numFmt w:val="upperLetter"/>
      <w:lvlText w:val="%2."/>
      <w:lvlJc w:val="left"/>
      <w:pPr>
        <w:ind w:left="144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1B0AAE"/>
    <w:multiLevelType w:val="hybridMultilevel"/>
    <w:tmpl w:val="DFFED444"/>
    <w:lvl w:ilvl="0" w:tplc="CCA8C5DA">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A0629A"/>
    <w:multiLevelType w:val="hybridMultilevel"/>
    <w:tmpl w:val="0C1833A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2145B"/>
    <w:multiLevelType w:val="hybridMultilevel"/>
    <w:tmpl w:val="C46E6192"/>
    <w:lvl w:ilvl="0" w:tplc="A5BCB49E">
      <w:start w:val="1"/>
      <w:numFmt w:val="upperLetter"/>
      <w:lvlText w:val="%1."/>
      <w:lvlJc w:val="left"/>
      <w:pPr>
        <w:ind w:left="117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2D57788"/>
    <w:multiLevelType w:val="hybridMultilevel"/>
    <w:tmpl w:val="3B662994"/>
    <w:lvl w:ilvl="0" w:tplc="0409000F">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41E77"/>
    <w:multiLevelType w:val="hybridMultilevel"/>
    <w:tmpl w:val="D5D26A5C"/>
    <w:lvl w:ilvl="0" w:tplc="7498795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41DDA"/>
    <w:multiLevelType w:val="hybridMultilevel"/>
    <w:tmpl w:val="CCEC35F2"/>
    <w:lvl w:ilvl="0" w:tplc="F730B806">
      <w:start w:val="1"/>
      <w:numFmt w:val="bullet"/>
      <w:lvlText w:val=""/>
      <w:lvlJc w:val="left"/>
      <w:pPr>
        <w:ind w:left="1080" w:hanging="360"/>
      </w:pPr>
      <w:rPr>
        <w:rFonts w:ascii="Symbol" w:hAnsi="Symbol" w:hint="default"/>
        <w:b w:val="0"/>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795779"/>
    <w:multiLevelType w:val="singleLevel"/>
    <w:tmpl w:val="6132427E"/>
    <w:lvl w:ilvl="0">
      <w:start w:val="1"/>
      <w:numFmt w:val="decimal"/>
      <w:lvlText w:val="%1."/>
      <w:lvlJc w:val="left"/>
      <w:pPr>
        <w:tabs>
          <w:tab w:val="num" w:pos="720"/>
        </w:tabs>
        <w:ind w:left="0" w:firstLine="720"/>
      </w:pPr>
      <w:rPr>
        <w:rFonts w:ascii="Cambria" w:hAnsi="Cambria" w:hint="default"/>
        <w:b w:val="0"/>
        <w:color w:val="auto"/>
        <w:sz w:val="20"/>
        <w:szCs w:val="20"/>
      </w:rPr>
    </w:lvl>
  </w:abstractNum>
  <w:abstractNum w:abstractNumId="14" w15:restartNumberingAfterBreak="0">
    <w:nsid w:val="3C430424"/>
    <w:multiLevelType w:val="hybridMultilevel"/>
    <w:tmpl w:val="28EC4CF0"/>
    <w:lvl w:ilvl="0" w:tplc="16B68ACC">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C8862D6"/>
    <w:multiLevelType w:val="hybridMultilevel"/>
    <w:tmpl w:val="50A897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E8C319B"/>
    <w:multiLevelType w:val="hybridMultilevel"/>
    <w:tmpl w:val="8BDE28D2"/>
    <w:lvl w:ilvl="0" w:tplc="D91A6C14">
      <w:start w:val="1"/>
      <w:numFmt w:val="decimal"/>
      <w:lvlText w:val="%1."/>
      <w:lvlJc w:val="left"/>
      <w:pPr>
        <w:ind w:left="1260" w:hanging="360"/>
      </w:pPr>
      <w:rPr>
        <w:rFonts w:ascii="Cambria" w:hAnsi="Cambria" w:hint="default"/>
        <w:b w:val="0"/>
        <w:sz w:val="20"/>
        <w:szCs w:val="20"/>
      </w:rPr>
    </w:lvl>
    <w:lvl w:ilvl="1" w:tplc="04090015">
      <w:start w:val="1"/>
      <w:numFmt w:val="upperLetter"/>
      <w:lvlText w:val="%2."/>
      <w:lvlJc w:val="left"/>
      <w:pPr>
        <w:ind w:left="144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3B3CE7"/>
    <w:multiLevelType w:val="hybridMultilevel"/>
    <w:tmpl w:val="8BDE28D2"/>
    <w:lvl w:ilvl="0" w:tplc="D91A6C14">
      <w:start w:val="1"/>
      <w:numFmt w:val="decimal"/>
      <w:lvlText w:val="%1."/>
      <w:lvlJc w:val="left"/>
      <w:pPr>
        <w:ind w:left="1260" w:hanging="360"/>
      </w:pPr>
      <w:rPr>
        <w:rFonts w:ascii="Cambria" w:hAnsi="Cambria" w:hint="default"/>
        <w:b w:val="0"/>
        <w:sz w:val="20"/>
        <w:szCs w:val="20"/>
      </w:rPr>
    </w:lvl>
    <w:lvl w:ilvl="1" w:tplc="04090015">
      <w:start w:val="1"/>
      <w:numFmt w:val="upperLetter"/>
      <w:lvlText w:val="%2."/>
      <w:lvlJc w:val="left"/>
      <w:pPr>
        <w:ind w:left="144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16B6C6D"/>
    <w:multiLevelType w:val="hybridMultilevel"/>
    <w:tmpl w:val="AA5AA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C0F2F"/>
    <w:multiLevelType w:val="multilevel"/>
    <w:tmpl w:val="E0D62788"/>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B8905C2"/>
    <w:multiLevelType w:val="hybridMultilevel"/>
    <w:tmpl w:val="2B5A99AA"/>
    <w:lvl w:ilvl="0" w:tplc="84509A94">
      <w:start w:val="1"/>
      <w:numFmt w:val="decimal"/>
      <w:lvlText w:val="%1."/>
      <w:lvlJc w:val="left"/>
      <w:pPr>
        <w:tabs>
          <w:tab w:val="num" w:pos="720"/>
        </w:tabs>
        <w:ind w:left="720" w:hanging="360"/>
      </w:pPr>
      <w:rPr>
        <w:rFonts w:ascii="Cambria" w:hAnsi="Cambria" w:hint="default"/>
        <w:b w:val="0"/>
        <w:sz w:val="20"/>
        <w:szCs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4C0221EB"/>
    <w:multiLevelType w:val="hybridMultilevel"/>
    <w:tmpl w:val="3F9A77B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6023F0"/>
    <w:multiLevelType w:val="hybridMultilevel"/>
    <w:tmpl w:val="F1BEA7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54389A"/>
    <w:multiLevelType w:val="hybridMultilevel"/>
    <w:tmpl w:val="5BA42C7C"/>
    <w:lvl w:ilvl="0" w:tplc="12B4FF68">
      <w:start w:val="1"/>
      <w:numFmt w:val="upperLetter"/>
      <w:lvlText w:val="%1."/>
      <w:lvlJc w:val="left"/>
      <w:pPr>
        <w:ind w:left="360" w:hanging="360"/>
      </w:pPr>
      <w:rPr>
        <w:rFonts w:cs="Times New Roman"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7B63B5"/>
    <w:multiLevelType w:val="hybridMultilevel"/>
    <w:tmpl w:val="89F4C518"/>
    <w:lvl w:ilvl="0" w:tplc="C43A80A0">
      <w:start w:val="1"/>
      <w:numFmt w:val="upperRoman"/>
      <w:pStyle w:val="Heading1"/>
      <w:lvlText w:val="%1."/>
      <w:lvlJc w:val="left"/>
      <w:pPr>
        <w:tabs>
          <w:tab w:val="num" w:pos="1080"/>
        </w:tabs>
        <w:ind w:left="1080" w:hanging="720"/>
      </w:pPr>
    </w:lvl>
    <w:lvl w:ilvl="1" w:tplc="736A0FE4">
      <w:start w:val="2"/>
      <w:numFmt w:val="upperLetter"/>
      <w:lvlText w:val="%2."/>
      <w:lvlJc w:val="left"/>
      <w:pPr>
        <w:tabs>
          <w:tab w:val="num" w:pos="2520"/>
        </w:tabs>
        <w:ind w:left="2520" w:hanging="144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D7D4B9D"/>
    <w:multiLevelType w:val="hybridMultilevel"/>
    <w:tmpl w:val="8BDE28D2"/>
    <w:lvl w:ilvl="0" w:tplc="D91A6C14">
      <w:start w:val="1"/>
      <w:numFmt w:val="decimal"/>
      <w:lvlText w:val="%1."/>
      <w:lvlJc w:val="left"/>
      <w:pPr>
        <w:ind w:left="1260" w:hanging="360"/>
      </w:pPr>
      <w:rPr>
        <w:rFonts w:ascii="Cambria" w:hAnsi="Cambria" w:hint="default"/>
        <w:b w:val="0"/>
        <w:sz w:val="20"/>
        <w:szCs w:val="20"/>
      </w:rPr>
    </w:lvl>
    <w:lvl w:ilvl="1" w:tplc="04090015">
      <w:start w:val="1"/>
      <w:numFmt w:val="upperLetter"/>
      <w:lvlText w:val="%2."/>
      <w:lvlJc w:val="left"/>
      <w:pPr>
        <w:ind w:left="144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3A50A05"/>
    <w:multiLevelType w:val="hybridMultilevel"/>
    <w:tmpl w:val="C30E8EB8"/>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6A101BB"/>
    <w:multiLevelType w:val="hybridMultilevel"/>
    <w:tmpl w:val="B2F4B498"/>
    <w:lvl w:ilvl="0" w:tplc="C7360626">
      <w:start w:val="1"/>
      <w:numFmt w:val="upperRoman"/>
      <w:lvlText w:val="%1."/>
      <w:lvlJc w:val="left"/>
      <w:pPr>
        <w:tabs>
          <w:tab w:val="num" w:pos="1440"/>
        </w:tabs>
        <w:ind w:left="1440" w:hanging="720"/>
      </w:pPr>
      <w:rPr>
        <w:rFonts w:cs="Times New Roman"/>
        <w:b/>
        <w:lang w:val="es-VE"/>
      </w:rPr>
    </w:lvl>
    <w:lvl w:ilvl="1" w:tplc="240A0019">
      <w:start w:val="1"/>
      <w:numFmt w:val="lowerLetter"/>
      <w:lvlText w:val="%2."/>
      <w:lvlJc w:val="left"/>
      <w:pPr>
        <w:tabs>
          <w:tab w:val="num" w:pos="1800"/>
        </w:tabs>
        <w:ind w:left="1800" w:hanging="360"/>
      </w:pPr>
      <w:rPr>
        <w:b/>
      </w:rPr>
    </w:lvl>
    <w:lvl w:ilvl="2" w:tplc="881EAA16">
      <w:start w:val="1"/>
      <w:numFmt w:val="lowerLetter"/>
      <w:lvlText w:val="%3)"/>
      <w:lvlJc w:val="left"/>
      <w:pPr>
        <w:tabs>
          <w:tab w:val="num" w:pos="2700"/>
        </w:tabs>
        <w:ind w:left="2700" w:hanging="360"/>
      </w:pPr>
      <w:rPr>
        <w:rFonts w:cs="Times New Roman"/>
      </w:rPr>
    </w:lvl>
    <w:lvl w:ilvl="3" w:tplc="B87E3F4A">
      <w:start w:val="2"/>
      <w:numFmt w:val="upperLetter"/>
      <w:lvlText w:val="%4."/>
      <w:lvlJc w:val="left"/>
      <w:pPr>
        <w:tabs>
          <w:tab w:val="num" w:pos="3240"/>
        </w:tabs>
        <w:ind w:left="3240" w:hanging="360"/>
      </w:pPr>
      <w:rPr>
        <w:rFonts w:cs="Times New Roman"/>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lvl>
    <w:lvl w:ilvl="6" w:tplc="0409000F">
      <w:start w:val="1"/>
      <w:numFmt w:val="decimal"/>
      <w:lvlText w:val="%7."/>
      <w:lvlJc w:val="left"/>
      <w:pPr>
        <w:tabs>
          <w:tab w:val="num" w:pos="360"/>
        </w:tabs>
        <w:ind w:left="36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8" w15:restartNumberingAfterBreak="0">
    <w:nsid w:val="6B4626DE"/>
    <w:multiLevelType w:val="hybridMultilevel"/>
    <w:tmpl w:val="9A4A8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86ED7"/>
    <w:multiLevelType w:val="hybridMultilevel"/>
    <w:tmpl w:val="39C4A114"/>
    <w:lvl w:ilvl="0" w:tplc="F7DA0936">
      <w:start w:val="1"/>
      <w:numFmt w:val="upperRoman"/>
      <w:lvlText w:val="%1."/>
      <w:lvlJc w:val="left"/>
      <w:pPr>
        <w:ind w:left="720" w:hanging="360"/>
      </w:pPr>
      <w:rPr>
        <w:rFonts w:ascii="Cambria" w:hAnsi="Cambria" w:hint="default"/>
        <w:b/>
        <w:color w:val="000000" w:themeColor="text1"/>
        <w:sz w:val="20"/>
        <w:szCs w:val="20"/>
        <w:lang w:val="es-V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8978E2"/>
    <w:multiLevelType w:val="hybridMultilevel"/>
    <w:tmpl w:val="B0A2E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1B599B"/>
    <w:multiLevelType w:val="hybridMultilevel"/>
    <w:tmpl w:val="A438A172"/>
    <w:lvl w:ilvl="0" w:tplc="20FCA52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DF15907"/>
    <w:multiLevelType w:val="hybridMultilevel"/>
    <w:tmpl w:val="8BDE28D2"/>
    <w:lvl w:ilvl="0" w:tplc="D91A6C14">
      <w:start w:val="1"/>
      <w:numFmt w:val="decimal"/>
      <w:lvlText w:val="%1."/>
      <w:lvlJc w:val="left"/>
      <w:pPr>
        <w:ind w:left="1260" w:hanging="360"/>
      </w:pPr>
      <w:rPr>
        <w:rFonts w:ascii="Cambria" w:hAnsi="Cambria" w:hint="default"/>
        <w:b w:val="0"/>
        <w:sz w:val="20"/>
        <w:szCs w:val="20"/>
      </w:rPr>
    </w:lvl>
    <w:lvl w:ilvl="1" w:tplc="04090015">
      <w:start w:val="1"/>
      <w:numFmt w:val="upperLetter"/>
      <w:lvlText w:val="%2."/>
      <w:lvlJc w:val="left"/>
      <w:pPr>
        <w:ind w:left="144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54939207">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4372377">
    <w:abstractNumId w:val="27"/>
  </w:num>
  <w:num w:numId="3" w16cid:durableId="7635739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61902">
    <w:abstractNumId w:val="25"/>
  </w:num>
  <w:num w:numId="5" w16cid:durableId="1082290719">
    <w:abstractNumId w:val="11"/>
  </w:num>
  <w:num w:numId="6" w16cid:durableId="2072924503">
    <w:abstractNumId w:val="12"/>
  </w:num>
  <w:num w:numId="7" w16cid:durableId="1480920486">
    <w:abstractNumId w:val="3"/>
  </w:num>
  <w:num w:numId="8" w16cid:durableId="283077965">
    <w:abstractNumId w:val="0"/>
  </w:num>
  <w:num w:numId="9" w16cid:durableId="215051026">
    <w:abstractNumId w:val="9"/>
    <w:lvlOverride w:ilvl="0">
      <w:startOverride w:val="1"/>
    </w:lvlOverride>
  </w:num>
  <w:num w:numId="10" w16cid:durableId="1221020747">
    <w:abstractNumId w:val="8"/>
  </w:num>
  <w:num w:numId="11" w16cid:durableId="310598094">
    <w:abstractNumId w:val="20"/>
  </w:num>
  <w:num w:numId="12" w16cid:durableId="1171220229">
    <w:abstractNumId w:val="13"/>
  </w:num>
  <w:num w:numId="13" w16cid:durableId="252280790">
    <w:abstractNumId w:val="29"/>
  </w:num>
  <w:num w:numId="14" w16cid:durableId="850215821">
    <w:abstractNumId w:val="18"/>
  </w:num>
  <w:num w:numId="15" w16cid:durableId="1813982663">
    <w:abstractNumId w:val="19"/>
  </w:num>
  <w:num w:numId="16" w16cid:durableId="350760998">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6399620">
    <w:abstractNumId w:val="32"/>
  </w:num>
  <w:num w:numId="18" w16cid:durableId="1080447466">
    <w:abstractNumId w:val="6"/>
  </w:num>
  <w:num w:numId="19" w16cid:durableId="1617299289">
    <w:abstractNumId w:val="17"/>
  </w:num>
  <w:num w:numId="20" w16cid:durableId="1513107880">
    <w:abstractNumId w:val="16"/>
  </w:num>
  <w:num w:numId="21" w16cid:durableId="102575535">
    <w:abstractNumId w:val="26"/>
  </w:num>
  <w:num w:numId="22" w16cid:durableId="1767144589">
    <w:abstractNumId w:val="15"/>
  </w:num>
  <w:num w:numId="23" w16cid:durableId="435518419">
    <w:abstractNumId w:val="21"/>
  </w:num>
  <w:num w:numId="24" w16cid:durableId="1337539845">
    <w:abstractNumId w:val="5"/>
  </w:num>
  <w:num w:numId="25" w16cid:durableId="389109084">
    <w:abstractNumId w:val="10"/>
  </w:num>
  <w:num w:numId="26" w16cid:durableId="1571958810">
    <w:abstractNumId w:val="22"/>
  </w:num>
  <w:num w:numId="27" w16cid:durableId="240262299">
    <w:abstractNumId w:val="30"/>
  </w:num>
  <w:num w:numId="28" w16cid:durableId="1776826208">
    <w:abstractNumId w:val="28"/>
  </w:num>
  <w:num w:numId="29" w16cid:durableId="152852631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5004758">
    <w:abstractNumId w:val="2"/>
  </w:num>
  <w:num w:numId="31" w16cid:durableId="901259742">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7005213">
    <w:abstractNumId w:val="23"/>
  </w:num>
  <w:num w:numId="33" w16cid:durableId="14759906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7960543">
    <w:abstractNumId w:val="31"/>
  </w:num>
  <w:num w:numId="35" w16cid:durableId="540291436">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4150400">
    <w:abstractNumId w:val="7"/>
  </w:num>
  <w:num w:numId="37" w16cid:durableId="760105390">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5601082">
    <w:abstractNumId w:val="4"/>
  </w:num>
  <w:num w:numId="39" w16cid:durableId="1015576309">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9794027">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6495576">
    <w:abstractNumId w:val="1"/>
  </w:num>
  <w:num w:numId="42" w16cid:durableId="537157552">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4FF"/>
    <w:rsid w:val="00000D38"/>
    <w:rsid w:val="00000DDA"/>
    <w:rsid w:val="000010F8"/>
    <w:rsid w:val="00001C48"/>
    <w:rsid w:val="000036B2"/>
    <w:rsid w:val="00003834"/>
    <w:rsid w:val="00003D23"/>
    <w:rsid w:val="00003FA9"/>
    <w:rsid w:val="00005689"/>
    <w:rsid w:val="000066AB"/>
    <w:rsid w:val="00011273"/>
    <w:rsid w:val="000118B5"/>
    <w:rsid w:val="0001191F"/>
    <w:rsid w:val="0001201B"/>
    <w:rsid w:val="00012260"/>
    <w:rsid w:val="00012320"/>
    <w:rsid w:val="00013365"/>
    <w:rsid w:val="00013A9B"/>
    <w:rsid w:val="00013E9D"/>
    <w:rsid w:val="000144B1"/>
    <w:rsid w:val="00014710"/>
    <w:rsid w:val="00014A2E"/>
    <w:rsid w:val="00015072"/>
    <w:rsid w:val="000156A0"/>
    <w:rsid w:val="00015DB3"/>
    <w:rsid w:val="00015F10"/>
    <w:rsid w:val="000161D5"/>
    <w:rsid w:val="000167C0"/>
    <w:rsid w:val="00017213"/>
    <w:rsid w:val="00017825"/>
    <w:rsid w:val="000213F4"/>
    <w:rsid w:val="00021770"/>
    <w:rsid w:val="00021888"/>
    <w:rsid w:val="00022B9D"/>
    <w:rsid w:val="00023624"/>
    <w:rsid w:val="00024440"/>
    <w:rsid w:val="0002447C"/>
    <w:rsid w:val="0002468B"/>
    <w:rsid w:val="00025C2A"/>
    <w:rsid w:val="00025E3A"/>
    <w:rsid w:val="00026BFC"/>
    <w:rsid w:val="000273FA"/>
    <w:rsid w:val="000279E8"/>
    <w:rsid w:val="00027F06"/>
    <w:rsid w:val="000310C2"/>
    <w:rsid w:val="00031C56"/>
    <w:rsid w:val="00033385"/>
    <w:rsid w:val="00033421"/>
    <w:rsid w:val="000361C3"/>
    <w:rsid w:val="00037C38"/>
    <w:rsid w:val="00037DDD"/>
    <w:rsid w:val="000408DF"/>
    <w:rsid w:val="00040B35"/>
    <w:rsid w:val="00041210"/>
    <w:rsid w:val="00041235"/>
    <w:rsid w:val="000427E7"/>
    <w:rsid w:val="00042CE0"/>
    <w:rsid w:val="00042E0D"/>
    <w:rsid w:val="00044A86"/>
    <w:rsid w:val="00044B8B"/>
    <w:rsid w:val="0004538D"/>
    <w:rsid w:val="0004621B"/>
    <w:rsid w:val="0004740C"/>
    <w:rsid w:val="0004759B"/>
    <w:rsid w:val="000478D9"/>
    <w:rsid w:val="00047B31"/>
    <w:rsid w:val="000506A3"/>
    <w:rsid w:val="00055206"/>
    <w:rsid w:val="0005579B"/>
    <w:rsid w:val="0005584B"/>
    <w:rsid w:val="0005609E"/>
    <w:rsid w:val="000561BB"/>
    <w:rsid w:val="000565A3"/>
    <w:rsid w:val="00057227"/>
    <w:rsid w:val="00057850"/>
    <w:rsid w:val="00057D4F"/>
    <w:rsid w:val="00061F1F"/>
    <w:rsid w:val="00062BEB"/>
    <w:rsid w:val="00062C5F"/>
    <w:rsid w:val="00064157"/>
    <w:rsid w:val="00064319"/>
    <w:rsid w:val="00064377"/>
    <w:rsid w:val="0006438F"/>
    <w:rsid w:val="000646DA"/>
    <w:rsid w:val="00065215"/>
    <w:rsid w:val="00065ADB"/>
    <w:rsid w:val="0006653E"/>
    <w:rsid w:val="000700D3"/>
    <w:rsid w:val="0007015E"/>
    <w:rsid w:val="00070F35"/>
    <w:rsid w:val="00070F82"/>
    <w:rsid w:val="000711A4"/>
    <w:rsid w:val="00073C98"/>
    <w:rsid w:val="0007585E"/>
    <w:rsid w:val="000808FA"/>
    <w:rsid w:val="00080931"/>
    <w:rsid w:val="00081463"/>
    <w:rsid w:val="00081D68"/>
    <w:rsid w:val="00081F45"/>
    <w:rsid w:val="00082E42"/>
    <w:rsid w:val="00083A12"/>
    <w:rsid w:val="00083B09"/>
    <w:rsid w:val="00084D69"/>
    <w:rsid w:val="000854FF"/>
    <w:rsid w:val="00086BE4"/>
    <w:rsid w:val="00087023"/>
    <w:rsid w:val="0009018C"/>
    <w:rsid w:val="000903D4"/>
    <w:rsid w:val="00090E3A"/>
    <w:rsid w:val="00090FC3"/>
    <w:rsid w:val="0009148B"/>
    <w:rsid w:val="00091AA3"/>
    <w:rsid w:val="00091AB3"/>
    <w:rsid w:val="000948D8"/>
    <w:rsid w:val="000957C4"/>
    <w:rsid w:val="000A033F"/>
    <w:rsid w:val="000A0A32"/>
    <w:rsid w:val="000A11BF"/>
    <w:rsid w:val="000A123C"/>
    <w:rsid w:val="000A1BB6"/>
    <w:rsid w:val="000A289A"/>
    <w:rsid w:val="000A321A"/>
    <w:rsid w:val="000A3422"/>
    <w:rsid w:val="000A3B71"/>
    <w:rsid w:val="000A4472"/>
    <w:rsid w:val="000A46BD"/>
    <w:rsid w:val="000A5477"/>
    <w:rsid w:val="000A5869"/>
    <w:rsid w:val="000A5E8D"/>
    <w:rsid w:val="000A6594"/>
    <w:rsid w:val="000A773A"/>
    <w:rsid w:val="000B0B07"/>
    <w:rsid w:val="000B0CEF"/>
    <w:rsid w:val="000B10F1"/>
    <w:rsid w:val="000B1D45"/>
    <w:rsid w:val="000B1E93"/>
    <w:rsid w:val="000B466E"/>
    <w:rsid w:val="000B563D"/>
    <w:rsid w:val="000B5AAE"/>
    <w:rsid w:val="000B6577"/>
    <w:rsid w:val="000B713A"/>
    <w:rsid w:val="000B779E"/>
    <w:rsid w:val="000C09DE"/>
    <w:rsid w:val="000C0BE8"/>
    <w:rsid w:val="000C19B6"/>
    <w:rsid w:val="000C1ED8"/>
    <w:rsid w:val="000C24F3"/>
    <w:rsid w:val="000C2AF3"/>
    <w:rsid w:val="000C37FC"/>
    <w:rsid w:val="000C409A"/>
    <w:rsid w:val="000C4186"/>
    <w:rsid w:val="000C4533"/>
    <w:rsid w:val="000C535B"/>
    <w:rsid w:val="000C57A2"/>
    <w:rsid w:val="000C5859"/>
    <w:rsid w:val="000C5924"/>
    <w:rsid w:val="000C6524"/>
    <w:rsid w:val="000C68FD"/>
    <w:rsid w:val="000C792F"/>
    <w:rsid w:val="000D0BA0"/>
    <w:rsid w:val="000D23A6"/>
    <w:rsid w:val="000D438F"/>
    <w:rsid w:val="000D439C"/>
    <w:rsid w:val="000D4858"/>
    <w:rsid w:val="000D499F"/>
    <w:rsid w:val="000D49D9"/>
    <w:rsid w:val="000D5F5D"/>
    <w:rsid w:val="000D6644"/>
    <w:rsid w:val="000D7A43"/>
    <w:rsid w:val="000D7A63"/>
    <w:rsid w:val="000E061C"/>
    <w:rsid w:val="000E0DB2"/>
    <w:rsid w:val="000E1B0F"/>
    <w:rsid w:val="000E4D30"/>
    <w:rsid w:val="000E6C61"/>
    <w:rsid w:val="000E6FCC"/>
    <w:rsid w:val="000E7B68"/>
    <w:rsid w:val="000E7EF2"/>
    <w:rsid w:val="000F03D3"/>
    <w:rsid w:val="000F1B1D"/>
    <w:rsid w:val="000F1C7F"/>
    <w:rsid w:val="000F21F7"/>
    <w:rsid w:val="000F2EB8"/>
    <w:rsid w:val="000F342F"/>
    <w:rsid w:val="000F5BEE"/>
    <w:rsid w:val="000F611A"/>
    <w:rsid w:val="000F644F"/>
    <w:rsid w:val="000F69F4"/>
    <w:rsid w:val="000F7401"/>
    <w:rsid w:val="00100593"/>
    <w:rsid w:val="00100FA3"/>
    <w:rsid w:val="00101D3B"/>
    <w:rsid w:val="001030AD"/>
    <w:rsid w:val="00103613"/>
    <w:rsid w:val="0010364D"/>
    <w:rsid w:val="001039CA"/>
    <w:rsid w:val="001047E6"/>
    <w:rsid w:val="00106E83"/>
    <w:rsid w:val="0010778F"/>
    <w:rsid w:val="00107C43"/>
    <w:rsid w:val="00110DFA"/>
    <w:rsid w:val="0011132E"/>
    <w:rsid w:val="0011228C"/>
    <w:rsid w:val="00113DD5"/>
    <w:rsid w:val="001140EC"/>
    <w:rsid w:val="00114302"/>
    <w:rsid w:val="00114A86"/>
    <w:rsid w:val="00115057"/>
    <w:rsid w:val="0011509B"/>
    <w:rsid w:val="00117B1D"/>
    <w:rsid w:val="001223D8"/>
    <w:rsid w:val="00122C97"/>
    <w:rsid w:val="00122D48"/>
    <w:rsid w:val="00123659"/>
    <w:rsid w:val="00124566"/>
    <w:rsid w:val="001246C7"/>
    <w:rsid w:val="0012484F"/>
    <w:rsid w:val="001248DA"/>
    <w:rsid w:val="00124B8E"/>
    <w:rsid w:val="00124D86"/>
    <w:rsid w:val="001256BB"/>
    <w:rsid w:val="00126489"/>
    <w:rsid w:val="001275E2"/>
    <w:rsid w:val="00127C95"/>
    <w:rsid w:val="00130275"/>
    <w:rsid w:val="0013034A"/>
    <w:rsid w:val="00130C26"/>
    <w:rsid w:val="001315E8"/>
    <w:rsid w:val="00131FAB"/>
    <w:rsid w:val="001327E0"/>
    <w:rsid w:val="00132B9C"/>
    <w:rsid w:val="0013354F"/>
    <w:rsid w:val="001336A7"/>
    <w:rsid w:val="001345D7"/>
    <w:rsid w:val="00134B3F"/>
    <w:rsid w:val="00134EF2"/>
    <w:rsid w:val="00135195"/>
    <w:rsid w:val="001364A8"/>
    <w:rsid w:val="00137D1D"/>
    <w:rsid w:val="0014103C"/>
    <w:rsid w:val="00141FD8"/>
    <w:rsid w:val="0014215E"/>
    <w:rsid w:val="0014277B"/>
    <w:rsid w:val="00144564"/>
    <w:rsid w:val="0014460A"/>
    <w:rsid w:val="001450EF"/>
    <w:rsid w:val="00145B4B"/>
    <w:rsid w:val="00145F5C"/>
    <w:rsid w:val="0014608F"/>
    <w:rsid w:val="00147A7C"/>
    <w:rsid w:val="00150D09"/>
    <w:rsid w:val="00151E2F"/>
    <w:rsid w:val="001522E8"/>
    <w:rsid w:val="00153411"/>
    <w:rsid w:val="00153E0D"/>
    <w:rsid w:val="00155373"/>
    <w:rsid w:val="0015649D"/>
    <w:rsid w:val="00157A41"/>
    <w:rsid w:val="00157A8C"/>
    <w:rsid w:val="00157F45"/>
    <w:rsid w:val="0016019F"/>
    <w:rsid w:val="0016036E"/>
    <w:rsid w:val="001612C7"/>
    <w:rsid w:val="00163E7D"/>
    <w:rsid w:val="00164465"/>
    <w:rsid w:val="001651E9"/>
    <w:rsid w:val="00165D20"/>
    <w:rsid w:val="00165D93"/>
    <w:rsid w:val="00167380"/>
    <w:rsid w:val="001674F9"/>
    <w:rsid w:val="00167A8B"/>
    <w:rsid w:val="00167CE0"/>
    <w:rsid w:val="00170D39"/>
    <w:rsid w:val="00172650"/>
    <w:rsid w:val="00173C1D"/>
    <w:rsid w:val="00173EA0"/>
    <w:rsid w:val="001749A2"/>
    <w:rsid w:val="0017583C"/>
    <w:rsid w:val="001769DD"/>
    <w:rsid w:val="001774A5"/>
    <w:rsid w:val="00177BE3"/>
    <w:rsid w:val="00181244"/>
    <w:rsid w:val="00181298"/>
    <w:rsid w:val="001818F3"/>
    <w:rsid w:val="00181CED"/>
    <w:rsid w:val="0018225C"/>
    <w:rsid w:val="00182486"/>
    <w:rsid w:val="00183077"/>
    <w:rsid w:val="00183D2C"/>
    <w:rsid w:val="00183E50"/>
    <w:rsid w:val="00184F0D"/>
    <w:rsid w:val="00185A59"/>
    <w:rsid w:val="001862B6"/>
    <w:rsid w:val="00187875"/>
    <w:rsid w:val="00187D7E"/>
    <w:rsid w:val="00190DA7"/>
    <w:rsid w:val="00190E31"/>
    <w:rsid w:val="00191D7C"/>
    <w:rsid w:val="00192349"/>
    <w:rsid w:val="00192A52"/>
    <w:rsid w:val="00192B65"/>
    <w:rsid w:val="0019557C"/>
    <w:rsid w:val="0019690E"/>
    <w:rsid w:val="001969F4"/>
    <w:rsid w:val="00197634"/>
    <w:rsid w:val="001A110B"/>
    <w:rsid w:val="001A34AE"/>
    <w:rsid w:val="001A3677"/>
    <w:rsid w:val="001A3B61"/>
    <w:rsid w:val="001A3BA3"/>
    <w:rsid w:val="001A4224"/>
    <w:rsid w:val="001A4379"/>
    <w:rsid w:val="001A4C9A"/>
    <w:rsid w:val="001A50AE"/>
    <w:rsid w:val="001A5D20"/>
    <w:rsid w:val="001A667F"/>
    <w:rsid w:val="001A74DC"/>
    <w:rsid w:val="001A763F"/>
    <w:rsid w:val="001B0731"/>
    <w:rsid w:val="001B0AB1"/>
    <w:rsid w:val="001B2A4B"/>
    <w:rsid w:val="001B3394"/>
    <w:rsid w:val="001B3B1E"/>
    <w:rsid w:val="001B5476"/>
    <w:rsid w:val="001B69F1"/>
    <w:rsid w:val="001B7C06"/>
    <w:rsid w:val="001B7F0D"/>
    <w:rsid w:val="001C15C2"/>
    <w:rsid w:val="001C15ED"/>
    <w:rsid w:val="001C16E3"/>
    <w:rsid w:val="001C1B1B"/>
    <w:rsid w:val="001C20D4"/>
    <w:rsid w:val="001C21EA"/>
    <w:rsid w:val="001C2D43"/>
    <w:rsid w:val="001C38BD"/>
    <w:rsid w:val="001C3A44"/>
    <w:rsid w:val="001C3E98"/>
    <w:rsid w:val="001C4EA5"/>
    <w:rsid w:val="001C5339"/>
    <w:rsid w:val="001C61C9"/>
    <w:rsid w:val="001C6BE3"/>
    <w:rsid w:val="001D0E06"/>
    <w:rsid w:val="001D126C"/>
    <w:rsid w:val="001D1556"/>
    <w:rsid w:val="001D22BA"/>
    <w:rsid w:val="001D23F2"/>
    <w:rsid w:val="001D3294"/>
    <w:rsid w:val="001D3F36"/>
    <w:rsid w:val="001D4444"/>
    <w:rsid w:val="001D5A94"/>
    <w:rsid w:val="001D677C"/>
    <w:rsid w:val="001D699B"/>
    <w:rsid w:val="001D6D44"/>
    <w:rsid w:val="001D728D"/>
    <w:rsid w:val="001E0A43"/>
    <w:rsid w:val="001E172C"/>
    <w:rsid w:val="001E3486"/>
    <w:rsid w:val="001E45EB"/>
    <w:rsid w:val="001E466D"/>
    <w:rsid w:val="001E6334"/>
    <w:rsid w:val="001E7297"/>
    <w:rsid w:val="001E7680"/>
    <w:rsid w:val="001F0C00"/>
    <w:rsid w:val="001F125E"/>
    <w:rsid w:val="001F2FA2"/>
    <w:rsid w:val="001F429E"/>
    <w:rsid w:val="001F4390"/>
    <w:rsid w:val="001F58EB"/>
    <w:rsid w:val="001F5B71"/>
    <w:rsid w:val="001F7526"/>
    <w:rsid w:val="002007D2"/>
    <w:rsid w:val="00200E34"/>
    <w:rsid w:val="00201C68"/>
    <w:rsid w:val="00201C74"/>
    <w:rsid w:val="00202ECD"/>
    <w:rsid w:val="00203D53"/>
    <w:rsid w:val="00203DFF"/>
    <w:rsid w:val="00204F15"/>
    <w:rsid w:val="00204F58"/>
    <w:rsid w:val="00205F09"/>
    <w:rsid w:val="00206377"/>
    <w:rsid w:val="00206534"/>
    <w:rsid w:val="00206BD5"/>
    <w:rsid w:val="002074EE"/>
    <w:rsid w:val="00210782"/>
    <w:rsid w:val="002108A0"/>
    <w:rsid w:val="00211679"/>
    <w:rsid w:val="00211DA0"/>
    <w:rsid w:val="0021262F"/>
    <w:rsid w:val="00212A2E"/>
    <w:rsid w:val="00213253"/>
    <w:rsid w:val="00215C06"/>
    <w:rsid w:val="0021623A"/>
    <w:rsid w:val="00216408"/>
    <w:rsid w:val="002164E8"/>
    <w:rsid w:val="00216E6A"/>
    <w:rsid w:val="00220561"/>
    <w:rsid w:val="00220BE2"/>
    <w:rsid w:val="00220E4C"/>
    <w:rsid w:val="0022105B"/>
    <w:rsid w:val="00221525"/>
    <w:rsid w:val="00221EBE"/>
    <w:rsid w:val="00222F90"/>
    <w:rsid w:val="00223318"/>
    <w:rsid w:val="00224540"/>
    <w:rsid w:val="0022481A"/>
    <w:rsid w:val="00225F22"/>
    <w:rsid w:val="00226345"/>
    <w:rsid w:val="002265EB"/>
    <w:rsid w:val="0022741E"/>
    <w:rsid w:val="002279BD"/>
    <w:rsid w:val="002305F5"/>
    <w:rsid w:val="0023127B"/>
    <w:rsid w:val="002319B2"/>
    <w:rsid w:val="00232BA2"/>
    <w:rsid w:val="00232D95"/>
    <w:rsid w:val="002333AE"/>
    <w:rsid w:val="00233ADF"/>
    <w:rsid w:val="00234250"/>
    <w:rsid w:val="0023498B"/>
    <w:rsid w:val="00234E3A"/>
    <w:rsid w:val="00234ED2"/>
    <w:rsid w:val="002350E0"/>
    <w:rsid w:val="00235A37"/>
    <w:rsid w:val="00235FEA"/>
    <w:rsid w:val="002363E8"/>
    <w:rsid w:val="002402F5"/>
    <w:rsid w:val="002405FB"/>
    <w:rsid w:val="002409B6"/>
    <w:rsid w:val="0024322E"/>
    <w:rsid w:val="002434EF"/>
    <w:rsid w:val="00243A33"/>
    <w:rsid w:val="00243D64"/>
    <w:rsid w:val="00244396"/>
    <w:rsid w:val="00244AD7"/>
    <w:rsid w:val="00244EE3"/>
    <w:rsid w:val="00245429"/>
    <w:rsid w:val="002459C9"/>
    <w:rsid w:val="00245A6D"/>
    <w:rsid w:val="00246E07"/>
    <w:rsid w:val="0024763D"/>
    <w:rsid w:val="00247B07"/>
    <w:rsid w:val="00247D27"/>
    <w:rsid w:val="00247FD3"/>
    <w:rsid w:val="002508F4"/>
    <w:rsid w:val="00250F57"/>
    <w:rsid w:val="00253E78"/>
    <w:rsid w:val="00253F26"/>
    <w:rsid w:val="00253F87"/>
    <w:rsid w:val="0025587B"/>
    <w:rsid w:val="0025624A"/>
    <w:rsid w:val="002604D6"/>
    <w:rsid w:val="002608B9"/>
    <w:rsid w:val="00262345"/>
    <w:rsid w:val="0026299D"/>
    <w:rsid w:val="00263790"/>
    <w:rsid w:val="00263F07"/>
    <w:rsid w:val="00264549"/>
    <w:rsid w:val="0026499D"/>
    <w:rsid w:val="00264A3B"/>
    <w:rsid w:val="00265110"/>
    <w:rsid w:val="00265166"/>
    <w:rsid w:val="00265A81"/>
    <w:rsid w:val="00265EBD"/>
    <w:rsid w:val="002673A6"/>
    <w:rsid w:val="00267994"/>
    <w:rsid w:val="00267CE6"/>
    <w:rsid w:val="00270276"/>
    <w:rsid w:val="00270FA0"/>
    <w:rsid w:val="00270FE1"/>
    <w:rsid w:val="00271016"/>
    <w:rsid w:val="00272958"/>
    <w:rsid w:val="00273ACF"/>
    <w:rsid w:val="0027431C"/>
    <w:rsid w:val="00275641"/>
    <w:rsid w:val="0027574F"/>
    <w:rsid w:val="00275D74"/>
    <w:rsid w:val="00276638"/>
    <w:rsid w:val="002770D9"/>
    <w:rsid w:val="00280BD3"/>
    <w:rsid w:val="00280C99"/>
    <w:rsid w:val="00280CE0"/>
    <w:rsid w:val="00280FC8"/>
    <w:rsid w:val="00281E3B"/>
    <w:rsid w:val="00283128"/>
    <w:rsid w:val="00284A61"/>
    <w:rsid w:val="00284CE3"/>
    <w:rsid w:val="00284F67"/>
    <w:rsid w:val="0028653C"/>
    <w:rsid w:val="00287BDC"/>
    <w:rsid w:val="00287C5D"/>
    <w:rsid w:val="00287CF6"/>
    <w:rsid w:val="00290287"/>
    <w:rsid w:val="002911FE"/>
    <w:rsid w:val="0029124C"/>
    <w:rsid w:val="00291BA6"/>
    <w:rsid w:val="00292312"/>
    <w:rsid w:val="00292893"/>
    <w:rsid w:val="00292E37"/>
    <w:rsid w:val="00295C40"/>
    <w:rsid w:val="00296B54"/>
    <w:rsid w:val="00297FCB"/>
    <w:rsid w:val="002A0261"/>
    <w:rsid w:val="002A0868"/>
    <w:rsid w:val="002A0A16"/>
    <w:rsid w:val="002A173E"/>
    <w:rsid w:val="002A24A9"/>
    <w:rsid w:val="002A2E72"/>
    <w:rsid w:val="002A333F"/>
    <w:rsid w:val="002A57A4"/>
    <w:rsid w:val="002A5A4D"/>
    <w:rsid w:val="002A65DA"/>
    <w:rsid w:val="002A7069"/>
    <w:rsid w:val="002A7855"/>
    <w:rsid w:val="002B013D"/>
    <w:rsid w:val="002B05F3"/>
    <w:rsid w:val="002B06A6"/>
    <w:rsid w:val="002B0A92"/>
    <w:rsid w:val="002B0F01"/>
    <w:rsid w:val="002B1288"/>
    <w:rsid w:val="002B2A19"/>
    <w:rsid w:val="002B3C3A"/>
    <w:rsid w:val="002B3C87"/>
    <w:rsid w:val="002B3EE9"/>
    <w:rsid w:val="002B4139"/>
    <w:rsid w:val="002B4705"/>
    <w:rsid w:val="002B762B"/>
    <w:rsid w:val="002B7E29"/>
    <w:rsid w:val="002C0D8F"/>
    <w:rsid w:val="002C15C3"/>
    <w:rsid w:val="002C1689"/>
    <w:rsid w:val="002C5377"/>
    <w:rsid w:val="002C5EFC"/>
    <w:rsid w:val="002C6A83"/>
    <w:rsid w:val="002C6B5A"/>
    <w:rsid w:val="002C6D98"/>
    <w:rsid w:val="002D08C9"/>
    <w:rsid w:val="002D1040"/>
    <w:rsid w:val="002D10ED"/>
    <w:rsid w:val="002D4F29"/>
    <w:rsid w:val="002D50A6"/>
    <w:rsid w:val="002D5D96"/>
    <w:rsid w:val="002D6C1A"/>
    <w:rsid w:val="002D7FDD"/>
    <w:rsid w:val="002E08C2"/>
    <w:rsid w:val="002E0B49"/>
    <w:rsid w:val="002E1E01"/>
    <w:rsid w:val="002E271A"/>
    <w:rsid w:val="002E318A"/>
    <w:rsid w:val="002E3304"/>
    <w:rsid w:val="002E3BBD"/>
    <w:rsid w:val="002E4A61"/>
    <w:rsid w:val="002E4BF9"/>
    <w:rsid w:val="002E4D00"/>
    <w:rsid w:val="002E7FB6"/>
    <w:rsid w:val="002F1718"/>
    <w:rsid w:val="002F281B"/>
    <w:rsid w:val="002F3FA3"/>
    <w:rsid w:val="002F4B35"/>
    <w:rsid w:val="002F72EB"/>
    <w:rsid w:val="002F7B57"/>
    <w:rsid w:val="00300EA9"/>
    <w:rsid w:val="0030105A"/>
    <w:rsid w:val="00301657"/>
    <w:rsid w:val="00301BF1"/>
    <w:rsid w:val="00302272"/>
    <w:rsid w:val="00302311"/>
    <w:rsid w:val="0030271C"/>
    <w:rsid w:val="00302C61"/>
    <w:rsid w:val="0030373A"/>
    <w:rsid w:val="0030476A"/>
    <w:rsid w:val="00306BA0"/>
    <w:rsid w:val="00307025"/>
    <w:rsid w:val="0030704D"/>
    <w:rsid w:val="00307A75"/>
    <w:rsid w:val="00311C00"/>
    <w:rsid w:val="00313D14"/>
    <w:rsid w:val="0031453E"/>
    <w:rsid w:val="00314D19"/>
    <w:rsid w:val="00314EC0"/>
    <w:rsid w:val="003152A2"/>
    <w:rsid w:val="00316D3F"/>
    <w:rsid w:val="00317120"/>
    <w:rsid w:val="00317B19"/>
    <w:rsid w:val="00320599"/>
    <w:rsid w:val="00320D0C"/>
    <w:rsid w:val="00321029"/>
    <w:rsid w:val="00322193"/>
    <w:rsid w:val="0032559D"/>
    <w:rsid w:val="0032665E"/>
    <w:rsid w:val="003267F4"/>
    <w:rsid w:val="00327184"/>
    <w:rsid w:val="0032731E"/>
    <w:rsid w:val="003324F7"/>
    <w:rsid w:val="00332755"/>
    <w:rsid w:val="00333A3D"/>
    <w:rsid w:val="00336BC8"/>
    <w:rsid w:val="00337F7A"/>
    <w:rsid w:val="003401E9"/>
    <w:rsid w:val="00340238"/>
    <w:rsid w:val="003402AA"/>
    <w:rsid w:val="003405B4"/>
    <w:rsid w:val="00341BF0"/>
    <w:rsid w:val="00342FA3"/>
    <w:rsid w:val="00343EE3"/>
    <w:rsid w:val="00344276"/>
    <w:rsid w:val="0034559F"/>
    <w:rsid w:val="003468B9"/>
    <w:rsid w:val="00346F9C"/>
    <w:rsid w:val="003470BC"/>
    <w:rsid w:val="0034732A"/>
    <w:rsid w:val="00347A67"/>
    <w:rsid w:val="00350C85"/>
    <w:rsid w:val="0035121C"/>
    <w:rsid w:val="00351675"/>
    <w:rsid w:val="00352121"/>
    <w:rsid w:val="00352F83"/>
    <w:rsid w:val="0035477B"/>
    <w:rsid w:val="00355193"/>
    <w:rsid w:val="00357644"/>
    <w:rsid w:val="0036009A"/>
    <w:rsid w:val="00360F89"/>
    <w:rsid w:val="00362B93"/>
    <w:rsid w:val="00362BA9"/>
    <w:rsid w:val="003632FA"/>
    <w:rsid w:val="00364567"/>
    <w:rsid w:val="003648C0"/>
    <w:rsid w:val="00365C2F"/>
    <w:rsid w:val="00365D0D"/>
    <w:rsid w:val="003664CE"/>
    <w:rsid w:val="0036724C"/>
    <w:rsid w:val="00370493"/>
    <w:rsid w:val="0037241C"/>
    <w:rsid w:val="00372E5C"/>
    <w:rsid w:val="0037347D"/>
    <w:rsid w:val="003739FD"/>
    <w:rsid w:val="00374359"/>
    <w:rsid w:val="003745BA"/>
    <w:rsid w:val="00375496"/>
    <w:rsid w:val="0037555E"/>
    <w:rsid w:val="003760F3"/>
    <w:rsid w:val="00376677"/>
    <w:rsid w:val="00376832"/>
    <w:rsid w:val="00377257"/>
    <w:rsid w:val="00377A1F"/>
    <w:rsid w:val="00377CCF"/>
    <w:rsid w:val="00380349"/>
    <w:rsid w:val="003815E7"/>
    <w:rsid w:val="00382277"/>
    <w:rsid w:val="003827B2"/>
    <w:rsid w:val="003832FD"/>
    <w:rsid w:val="003839BD"/>
    <w:rsid w:val="00383EF5"/>
    <w:rsid w:val="00386944"/>
    <w:rsid w:val="0038705B"/>
    <w:rsid w:val="003870D6"/>
    <w:rsid w:val="00387517"/>
    <w:rsid w:val="0038751E"/>
    <w:rsid w:val="003878D9"/>
    <w:rsid w:val="00390935"/>
    <w:rsid w:val="00390E2A"/>
    <w:rsid w:val="00390F1B"/>
    <w:rsid w:val="003915E3"/>
    <w:rsid w:val="0039220A"/>
    <w:rsid w:val="00392581"/>
    <w:rsid w:val="003928F7"/>
    <w:rsid w:val="00393B26"/>
    <w:rsid w:val="00395654"/>
    <w:rsid w:val="003A234C"/>
    <w:rsid w:val="003A23BF"/>
    <w:rsid w:val="003A2D4A"/>
    <w:rsid w:val="003A3DF3"/>
    <w:rsid w:val="003A44D2"/>
    <w:rsid w:val="003A49D8"/>
    <w:rsid w:val="003A4D11"/>
    <w:rsid w:val="003A5687"/>
    <w:rsid w:val="003A5A3D"/>
    <w:rsid w:val="003A5C93"/>
    <w:rsid w:val="003B1566"/>
    <w:rsid w:val="003B1851"/>
    <w:rsid w:val="003B1B45"/>
    <w:rsid w:val="003B1C54"/>
    <w:rsid w:val="003B308D"/>
    <w:rsid w:val="003B3654"/>
    <w:rsid w:val="003B3D42"/>
    <w:rsid w:val="003B4B8E"/>
    <w:rsid w:val="003B543C"/>
    <w:rsid w:val="003B6CA0"/>
    <w:rsid w:val="003B70D6"/>
    <w:rsid w:val="003B7209"/>
    <w:rsid w:val="003B7215"/>
    <w:rsid w:val="003B740F"/>
    <w:rsid w:val="003B7D2F"/>
    <w:rsid w:val="003C0007"/>
    <w:rsid w:val="003C1CAC"/>
    <w:rsid w:val="003C2255"/>
    <w:rsid w:val="003C3CD2"/>
    <w:rsid w:val="003C58AF"/>
    <w:rsid w:val="003C5E2E"/>
    <w:rsid w:val="003C6CE4"/>
    <w:rsid w:val="003C75BC"/>
    <w:rsid w:val="003C77A4"/>
    <w:rsid w:val="003D06B1"/>
    <w:rsid w:val="003D1543"/>
    <w:rsid w:val="003D19F9"/>
    <w:rsid w:val="003D1EE5"/>
    <w:rsid w:val="003D23E4"/>
    <w:rsid w:val="003D2D8A"/>
    <w:rsid w:val="003D556B"/>
    <w:rsid w:val="003D75DF"/>
    <w:rsid w:val="003D7620"/>
    <w:rsid w:val="003D79DE"/>
    <w:rsid w:val="003D7FB7"/>
    <w:rsid w:val="003E00FC"/>
    <w:rsid w:val="003E1ED9"/>
    <w:rsid w:val="003E2A01"/>
    <w:rsid w:val="003E2E86"/>
    <w:rsid w:val="003E3156"/>
    <w:rsid w:val="003E43FE"/>
    <w:rsid w:val="003E4C87"/>
    <w:rsid w:val="003E50CE"/>
    <w:rsid w:val="003E5E36"/>
    <w:rsid w:val="003E60DB"/>
    <w:rsid w:val="003E62B1"/>
    <w:rsid w:val="003E6849"/>
    <w:rsid w:val="003E68C5"/>
    <w:rsid w:val="003E706C"/>
    <w:rsid w:val="003E7BC9"/>
    <w:rsid w:val="003E7D8C"/>
    <w:rsid w:val="003F09B2"/>
    <w:rsid w:val="003F1630"/>
    <w:rsid w:val="003F174C"/>
    <w:rsid w:val="003F1C99"/>
    <w:rsid w:val="003F3E22"/>
    <w:rsid w:val="003F4A58"/>
    <w:rsid w:val="003F54D3"/>
    <w:rsid w:val="003F5C80"/>
    <w:rsid w:val="003F6D07"/>
    <w:rsid w:val="003F6F3B"/>
    <w:rsid w:val="00401044"/>
    <w:rsid w:val="004012E4"/>
    <w:rsid w:val="00401496"/>
    <w:rsid w:val="0040258C"/>
    <w:rsid w:val="00403C7F"/>
    <w:rsid w:val="004047E3"/>
    <w:rsid w:val="0040538A"/>
    <w:rsid w:val="004054A4"/>
    <w:rsid w:val="004057B2"/>
    <w:rsid w:val="004065DF"/>
    <w:rsid w:val="00406D78"/>
    <w:rsid w:val="00410798"/>
    <w:rsid w:val="004107D9"/>
    <w:rsid w:val="00411104"/>
    <w:rsid w:val="00411335"/>
    <w:rsid w:val="0041277A"/>
    <w:rsid w:val="00412FB1"/>
    <w:rsid w:val="0041308D"/>
    <w:rsid w:val="0041434A"/>
    <w:rsid w:val="0041559E"/>
    <w:rsid w:val="00416DEE"/>
    <w:rsid w:val="00417355"/>
    <w:rsid w:val="00417A59"/>
    <w:rsid w:val="00417D5F"/>
    <w:rsid w:val="00421843"/>
    <w:rsid w:val="00421C97"/>
    <w:rsid w:val="00421EF0"/>
    <w:rsid w:val="00423706"/>
    <w:rsid w:val="00424A16"/>
    <w:rsid w:val="00426070"/>
    <w:rsid w:val="00426124"/>
    <w:rsid w:val="00427380"/>
    <w:rsid w:val="00427886"/>
    <w:rsid w:val="004303CB"/>
    <w:rsid w:val="00430A84"/>
    <w:rsid w:val="00431B03"/>
    <w:rsid w:val="00433389"/>
    <w:rsid w:val="004333F1"/>
    <w:rsid w:val="00433C5E"/>
    <w:rsid w:val="00434DE7"/>
    <w:rsid w:val="004352BA"/>
    <w:rsid w:val="00435EAB"/>
    <w:rsid w:val="00435F3C"/>
    <w:rsid w:val="004364E3"/>
    <w:rsid w:val="0043683C"/>
    <w:rsid w:val="00436CB9"/>
    <w:rsid w:val="00437152"/>
    <w:rsid w:val="004408FA"/>
    <w:rsid w:val="00440AAD"/>
    <w:rsid w:val="00440ABF"/>
    <w:rsid w:val="004411D8"/>
    <w:rsid w:val="00441EE2"/>
    <w:rsid w:val="004426B1"/>
    <w:rsid w:val="00442DFC"/>
    <w:rsid w:val="00443A3E"/>
    <w:rsid w:val="00443DCC"/>
    <w:rsid w:val="004446AE"/>
    <w:rsid w:val="004446EC"/>
    <w:rsid w:val="00445614"/>
    <w:rsid w:val="00445D95"/>
    <w:rsid w:val="004463D8"/>
    <w:rsid w:val="00446D04"/>
    <w:rsid w:val="004472A6"/>
    <w:rsid w:val="00447612"/>
    <w:rsid w:val="0044772B"/>
    <w:rsid w:val="004479EF"/>
    <w:rsid w:val="00452F4C"/>
    <w:rsid w:val="00454107"/>
    <w:rsid w:val="00454452"/>
    <w:rsid w:val="00454FB3"/>
    <w:rsid w:val="004553BC"/>
    <w:rsid w:val="00456271"/>
    <w:rsid w:val="004576DC"/>
    <w:rsid w:val="00457BEB"/>
    <w:rsid w:val="00457DEA"/>
    <w:rsid w:val="00457F4F"/>
    <w:rsid w:val="00460B21"/>
    <w:rsid w:val="004611E2"/>
    <w:rsid w:val="0046159C"/>
    <w:rsid w:val="00461FD2"/>
    <w:rsid w:val="00462DCE"/>
    <w:rsid w:val="00464421"/>
    <w:rsid w:val="00464542"/>
    <w:rsid w:val="00464DBC"/>
    <w:rsid w:val="0046544D"/>
    <w:rsid w:val="00465859"/>
    <w:rsid w:val="004665DE"/>
    <w:rsid w:val="00467D72"/>
    <w:rsid w:val="004713D8"/>
    <w:rsid w:val="00472B1F"/>
    <w:rsid w:val="00475C77"/>
    <w:rsid w:val="00475DC3"/>
    <w:rsid w:val="00475E15"/>
    <w:rsid w:val="00480437"/>
    <w:rsid w:val="0048043A"/>
    <w:rsid w:val="0048143F"/>
    <w:rsid w:val="004815F8"/>
    <w:rsid w:val="00482062"/>
    <w:rsid w:val="00484581"/>
    <w:rsid w:val="00484949"/>
    <w:rsid w:val="00484FD8"/>
    <w:rsid w:val="00486A3A"/>
    <w:rsid w:val="00487D1D"/>
    <w:rsid w:val="00487DA1"/>
    <w:rsid w:val="0049099D"/>
    <w:rsid w:val="00490D01"/>
    <w:rsid w:val="00490D53"/>
    <w:rsid w:val="0049131D"/>
    <w:rsid w:val="004920FA"/>
    <w:rsid w:val="004927F3"/>
    <w:rsid w:val="004936FA"/>
    <w:rsid w:val="00493ADE"/>
    <w:rsid w:val="00493E19"/>
    <w:rsid w:val="00493F23"/>
    <w:rsid w:val="004946CF"/>
    <w:rsid w:val="00494B25"/>
    <w:rsid w:val="0049502F"/>
    <w:rsid w:val="0049524F"/>
    <w:rsid w:val="00495CC8"/>
    <w:rsid w:val="0049690A"/>
    <w:rsid w:val="0049787C"/>
    <w:rsid w:val="00497896"/>
    <w:rsid w:val="004A03F0"/>
    <w:rsid w:val="004A0853"/>
    <w:rsid w:val="004A2055"/>
    <w:rsid w:val="004A2443"/>
    <w:rsid w:val="004A2544"/>
    <w:rsid w:val="004A3574"/>
    <w:rsid w:val="004A36FB"/>
    <w:rsid w:val="004A3EAA"/>
    <w:rsid w:val="004A477E"/>
    <w:rsid w:val="004A50C6"/>
    <w:rsid w:val="004A5D8D"/>
    <w:rsid w:val="004A5EA1"/>
    <w:rsid w:val="004A6BEF"/>
    <w:rsid w:val="004A714E"/>
    <w:rsid w:val="004A77C5"/>
    <w:rsid w:val="004B0049"/>
    <w:rsid w:val="004B0175"/>
    <w:rsid w:val="004B0BF2"/>
    <w:rsid w:val="004B1B1E"/>
    <w:rsid w:val="004B28C2"/>
    <w:rsid w:val="004B42A2"/>
    <w:rsid w:val="004B4753"/>
    <w:rsid w:val="004B48E6"/>
    <w:rsid w:val="004B631B"/>
    <w:rsid w:val="004B718F"/>
    <w:rsid w:val="004B7EB8"/>
    <w:rsid w:val="004C297A"/>
    <w:rsid w:val="004C3ECA"/>
    <w:rsid w:val="004C3F12"/>
    <w:rsid w:val="004C4CBD"/>
    <w:rsid w:val="004C517A"/>
    <w:rsid w:val="004C6669"/>
    <w:rsid w:val="004C70A8"/>
    <w:rsid w:val="004D028B"/>
    <w:rsid w:val="004D067B"/>
    <w:rsid w:val="004D0BBE"/>
    <w:rsid w:val="004D11F8"/>
    <w:rsid w:val="004D40C5"/>
    <w:rsid w:val="004D41CC"/>
    <w:rsid w:val="004D47BE"/>
    <w:rsid w:val="004D52CE"/>
    <w:rsid w:val="004D5ABE"/>
    <w:rsid w:val="004D6F8A"/>
    <w:rsid w:val="004D7116"/>
    <w:rsid w:val="004D7235"/>
    <w:rsid w:val="004D7A6C"/>
    <w:rsid w:val="004E0414"/>
    <w:rsid w:val="004E1A07"/>
    <w:rsid w:val="004E22AE"/>
    <w:rsid w:val="004E2596"/>
    <w:rsid w:val="004E265C"/>
    <w:rsid w:val="004E2B7F"/>
    <w:rsid w:val="004E2CA9"/>
    <w:rsid w:val="004E322E"/>
    <w:rsid w:val="004E35AD"/>
    <w:rsid w:val="004E5209"/>
    <w:rsid w:val="004E5B03"/>
    <w:rsid w:val="004E5F3E"/>
    <w:rsid w:val="004E5F78"/>
    <w:rsid w:val="004E6005"/>
    <w:rsid w:val="004E60EB"/>
    <w:rsid w:val="004E63B7"/>
    <w:rsid w:val="004E6DCF"/>
    <w:rsid w:val="004F04B8"/>
    <w:rsid w:val="004F0F11"/>
    <w:rsid w:val="004F2A69"/>
    <w:rsid w:val="004F3426"/>
    <w:rsid w:val="004F43C2"/>
    <w:rsid w:val="004F49D5"/>
    <w:rsid w:val="004F4EB7"/>
    <w:rsid w:val="004F6FE0"/>
    <w:rsid w:val="00500762"/>
    <w:rsid w:val="00500916"/>
    <w:rsid w:val="005014F7"/>
    <w:rsid w:val="00502262"/>
    <w:rsid w:val="005029B5"/>
    <w:rsid w:val="00502A82"/>
    <w:rsid w:val="005037AA"/>
    <w:rsid w:val="00503B12"/>
    <w:rsid w:val="00504104"/>
    <w:rsid w:val="00504657"/>
    <w:rsid w:val="00506868"/>
    <w:rsid w:val="0050765A"/>
    <w:rsid w:val="005109D9"/>
    <w:rsid w:val="00510C79"/>
    <w:rsid w:val="00510F5B"/>
    <w:rsid w:val="00511991"/>
    <w:rsid w:val="005121D7"/>
    <w:rsid w:val="00514198"/>
    <w:rsid w:val="00514A1F"/>
    <w:rsid w:val="00514AEE"/>
    <w:rsid w:val="005153B2"/>
    <w:rsid w:val="00515CE8"/>
    <w:rsid w:val="00516F75"/>
    <w:rsid w:val="00517F57"/>
    <w:rsid w:val="005203B6"/>
    <w:rsid w:val="00521261"/>
    <w:rsid w:val="00521A29"/>
    <w:rsid w:val="00524102"/>
    <w:rsid w:val="00524679"/>
    <w:rsid w:val="00524832"/>
    <w:rsid w:val="005254A2"/>
    <w:rsid w:val="005255C0"/>
    <w:rsid w:val="00525D16"/>
    <w:rsid w:val="00525E52"/>
    <w:rsid w:val="00527697"/>
    <w:rsid w:val="005338C4"/>
    <w:rsid w:val="00533DD1"/>
    <w:rsid w:val="0053438E"/>
    <w:rsid w:val="00536649"/>
    <w:rsid w:val="005369C9"/>
    <w:rsid w:val="00540FCF"/>
    <w:rsid w:val="005416E2"/>
    <w:rsid w:val="00541AF3"/>
    <w:rsid w:val="005422F2"/>
    <w:rsid w:val="0054379A"/>
    <w:rsid w:val="005445DE"/>
    <w:rsid w:val="0054564E"/>
    <w:rsid w:val="00545680"/>
    <w:rsid w:val="0054635E"/>
    <w:rsid w:val="005468A8"/>
    <w:rsid w:val="005469E1"/>
    <w:rsid w:val="00550C61"/>
    <w:rsid w:val="005523E4"/>
    <w:rsid w:val="005544D8"/>
    <w:rsid w:val="0055548B"/>
    <w:rsid w:val="005579FA"/>
    <w:rsid w:val="00557BCA"/>
    <w:rsid w:val="005601EE"/>
    <w:rsid w:val="00561FAE"/>
    <w:rsid w:val="00562295"/>
    <w:rsid w:val="00562A51"/>
    <w:rsid w:val="00565DF4"/>
    <w:rsid w:val="00566332"/>
    <w:rsid w:val="00566716"/>
    <w:rsid w:val="00566F5C"/>
    <w:rsid w:val="005670F2"/>
    <w:rsid w:val="00567BDE"/>
    <w:rsid w:val="00572882"/>
    <w:rsid w:val="00572F44"/>
    <w:rsid w:val="00573607"/>
    <w:rsid w:val="00573F23"/>
    <w:rsid w:val="005754E9"/>
    <w:rsid w:val="00575FE8"/>
    <w:rsid w:val="00576895"/>
    <w:rsid w:val="00577273"/>
    <w:rsid w:val="0058017D"/>
    <w:rsid w:val="0058020A"/>
    <w:rsid w:val="005804CD"/>
    <w:rsid w:val="0058059D"/>
    <w:rsid w:val="00580D12"/>
    <w:rsid w:val="00581429"/>
    <w:rsid w:val="00581B60"/>
    <w:rsid w:val="00581F95"/>
    <w:rsid w:val="00583128"/>
    <w:rsid w:val="005838B8"/>
    <w:rsid w:val="005843A3"/>
    <w:rsid w:val="00584A8B"/>
    <w:rsid w:val="005854F1"/>
    <w:rsid w:val="00585660"/>
    <w:rsid w:val="005868D3"/>
    <w:rsid w:val="0058697E"/>
    <w:rsid w:val="00591899"/>
    <w:rsid w:val="00593B88"/>
    <w:rsid w:val="00595086"/>
    <w:rsid w:val="005955CC"/>
    <w:rsid w:val="005956C7"/>
    <w:rsid w:val="005957AE"/>
    <w:rsid w:val="00595D03"/>
    <w:rsid w:val="005967CB"/>
    <w:rsid w:val="005977BF"/>
    <w:rsid w:val="005A0ACA"/>
    <w:rsid w:val="005A0D4D"/>
    <w:rsid w:val="005A1116"/>
    <w:rsid w:val="005A226A"/>
    <w:rsid w:val="005A22B2"/>
    <w:rsid w:val="005A25B4"/>
    <w:rsid w:val="005A431E"/>
    <w:rsid w:val="005A4804"/>
    <w:rsid w:val="005A4AEE"/>
    <w:rsid w:val="005A5147"/>
    <w:rsid w:val="005A6045"/>
    <w:rsid w:val="005A6A2F"/>
    <w:rsid w:val="005B2055"/>
    <w:rsid w:val="005B222C"/>
    <w:rsid w:val="005B2D18"/>
    <w:rsid w:val="005B3772"/>
    <w:rsid w:val="005B4FF9"/>
    <w:rsid w:val="005B64AB"/>
    <w:rsid w:val="005B732F"/>
    <w:rsid w:val="005C0A65"/>
    <w:rsid w:val="005C0AA7"/>
    <w:rsid w:val="005C0FA2"/>
    <w:rsid w:val="005C443A"/>
    <w:rsid w:val="005C514C"/>
    <w:rsid w:val="005C51A5"/>
    <w:rsid w:val="005C55DA"/>
    <w:rsid w:val="005C5DF1"/>
    <w:rsid w:val="005C6D61"/>
    <w:rsid w:val="005D0148"/>
    <w:rsid w:val="005D0DDD"/>
    <w:rsid w:val="005D1353"/>
    <w:rsid w:val="005D1682"/>
    <w:rsid w:val="005D1DC3"/>
    <w:rsid w:val="005D214F"/>
    <w:rsid w:val="005D27C4"/>
    <w:rsid w:val="005D27CD"/>
    <w:rsid w:val="005D377B"/>
    <w:rsid w:val="005D50E9"/>
    <w:rsid w:val="005D5168"/>
    <w:rsid w:val="005D5EE2"/>
    <w:rsid w:val="005D6BF2"/>
    <w:rsid w:val="005D793D"/>
    <w:rsid w:val="005D7CD0"/>
    <w:rsid w:val="005E0FFF"/>
    <w:rsid w:val="005E23D8"/>
    <w:rsid w:val="005E27E2"/>
    <w:rsid w:val="005E38F1"/>
    <w:rsid w:val="005E60C2"/>
    <w:rsid w:val="005E651E"/>
    <w:rsid w:val="005E68FA"/>
    <w:rsid w:val="005F07D8"/>
    <w:rsid w:val="005F1568"/>
    <w:rsid w:val="005F2447"/>
    <w:rsid w:val="005F349B"/>
    <w:rsid w:val="005F3D8E"/>
    <w:rsid w:val="005F3E48"/>
    <w:rsid w:val="005F4C36"/>
    <w:rsid w:val="005F513E"/>
    <w:rsid w:val="005F5D9A"/>
    <w:rsid w:val="006002C0"/>
    <w:rsid w:val="006005CF"/>
    <w:rsid w:val="00600885"/>
    <w:rsid w:val="00601750"/>
    <w:rsid w:val="0060260F"/>
    <w:rsid w:val="00603DAD"/>
    <w:rsid w:val="0060490C"/>
    <w:rsid w:val="0060680E"/>
    <w:rsid w:val="00607056"/>
    <w:rsid w:val="00610715"/>
    <w:rsid w:val="006107C8"/>
    <w:rsid w:val="00613150"/>
    <w:rsid w:val="00613E02"/>
    <w:rsid w:val="00613F1E"/>
    <w:rsid w:val="00614C12"/>
    <w:rsid w:val="00615A60"/>
    <w:rsid w:val="00615AD5"/>
    <w:rsid w:val="00622A13"/>
    <w:rsid w:val="00623160"/>
    <w:rsid w:val="00623FDA"/>
    <w:rsid w:val="00624214"/>
    <w:rsid w:val="006245E3"/>
    <w:rsid w:val="006249F3"/>
    <w:rsid w:val="00625968"/>
    <w:rsid w:val="00625CAF"/>
    <w:rsid w:val="00626064"/>
    <w:rsid w:val="006268B0"/>
    <w:rsid w:val="0062714D"/>
    <w:rsid w:val="006272FD"/>
    <w:rsid w:val="0063114C"/>
    <w:rsid w:val="0063261E"/>
    <w:rsid w:val="0063332D"/>
    <w:rsid w:val="00633AD1"/>
    <w:rsid w:val="00633E9F"/>
    <w:rsid w:val="00635CF5"/>
    <w:rsid w:val="00635F28"/>
    <w:rsid w:val="0063658A"/>
    <w:rsid w:val="0063708C"/>
    <w:rsid w:val="00637E26"/>
    <w:rsid w:val="006401D4"/>
    <w:rsid w:val="006410C8"/>
    <w:rsid w:val="006412C3"/>
    <w:rsid w:val="0064178F"/>
    <w:rsid w:val="006418B0"/>
    <w:rsid w:val="006419CF"/>
    <w:rsid w:val="00641A55"/>
    <w:rsid w:val="00641C8D"/>
    <w:rsid w:val="00644883"/>
    <w:rsid w:val="00644BE4"/>
    <w:rsid w:val="0064613C"/>
    <w:rsid w:val="00646B6F"/>
    <w:rsid w:val="00646BC5"/>
    <w:rsid w:val="00646C5A"/>
    <w:rsid w:val="00646D3D"/>
    <w:rsid w:val="0064713C"/>
    <w:rsid w:val="0065003E"/>
    <w:rsid w:val="00650101"/>
    <w:rsid w:val="0065215C"/>
    <w:rsid w:val="00653D12"/>
    <w:rsid w:val="00655325"/>
    <w:rsid w:val="00655E2C"/>
    <w:rsid w:val="0065619F"/>
    <w:rsid w:val="006579D6"/>
    <w:rsid w:val="00657A21"/>
    <w:rsid w:val="006605E8"/>
    <w:rsid w:val="00660BAB"/>
    <w:rsid w:val="00661487"/>
    <w:rsid w:val="00662281"/>
    <w:rsid w:val="00662801"/>
    <w:rsid w:val="00662928"/>
    <w:rsid w:val="00663273"/>
    <w:rsid w:val="00663A9D"/>
    <w:rsid w:val="00664E60"/>
    <w:rsid w:val="00666691"/>
    <w:rsid w:val="00667334"/>
    <w:rsid w:val="00667737"/>
    <w:rsid w:val="006707C1"/>
    <w:rsid w:val="00670AD9"/>
    <w:rsid w:val="0067240F"/>
    <w:rsid w:val="00672CE4"/>
    <w:rsid w:val="00672E8C"/>
    <w:rsid w:val="00672E91"/>
    <w:rsid w:val="00673485"/>
    <w:rsid w:val="006739D9"/>
    <w:rsid w:val="00673CE1"/>
    <w:rsid w:val="00676100"/>
    <w:rsid w:val="0067726C"/>
    <w:rsid w:val="00680481"/>
    <w:rsid w:val="00680E62"/>
    <w:rsid w:val="0068133E"/>
    <w:rsid w:val="0068158B"/>
    <w:rsid w:val="006819CA"/>
    <w:rsid w:val="00683925"/>
    <w:rsid w:val="0068433F"/>
    <w:rsid w:val="00684CFF"/>
    <w:rsid w:val="00685CD8"/>
    <w:rsid w:val="00686624"/>
    <w:rsid w:val="0068682F"/>
    <w:rsid w:val="00686B34"/>
    <w:rsid w:val="006904D1"/>
    <w:rsid w:val="00691C82"/>
    <w:rsid w:val="006928D6"/>
    <w:rsid w:val="00692BB9"/>
    <w:rsid w:val="0069303B"/>
    <w:rsid w:val="006934B7"/>
    <w:rsid w:val="00693E81"/>
    <w:rsid w:val="00694932"/>
    <w:rsid w:val="0069623F"/>
    <w:rsid w:val="006963FD"/>
    <w:rsid w:val="006976BD"/>
    <w:rsid w:val="00697D7B"/>
    <w:rsid w:val="006A0E81"/>
    <w:rsid w:val="006A0ECA"/>
    <w:rsid w:val="006A30D7"/>
    <w:rsid w:val="006A3162"/>
    <w:rsid w:val="006A34D4"/>
    <w:rsid w:val="006A45FC"/>
    <w:rsid w:val="006A56E9"/>
    <w:rsid w:val="006A59AE"/>
    <w:rsid w:val="006A61B5"/>
    <w:rsid w:val="006A6F63"/>
    <w:rsid w:val="006A6FDF"/>
    <w:rsid w:val="006A7D2F"/>
    <w:rsid w:val="006B1442"/>
    <w:rsid w:val="006B1C46"/>
    <w:rsid w:val="006B2276"/>
    <w:rsid w:val="006B2387"/>
    <w:rsid w:val="006B264B"/>
    <w:rsid w:val="006B296C"/>
    <w:rsid w:val="006B2EE1"/>
    <w:rsid w:val="006B3202"/>
    <w:rsid w:val="006B3534"/>
    <w:rsid w:val="006B3C80"/>
    <w:rsid w:val="006B3CD2"/>
    <w:rsid w:val="006B43A2"/>
    <w:rsid w:val="006B63E0"/>
    <w:rsid w:val="006B6926"/>
    <w:rsid w:val="006B74E0"/>
    <w:rsid w:val="006C006F"/>
    <w:rsid w:val="006C00C8"/>
    <w:rsid w:val="006C013A"/>
    <w:rsid w:val="006C062D"/>
    <w:rsid w:val="006C063D"/>
    <w:rsid w:val="006C3F2B"/>
    <w:rsid w:val="006C3FCE"/>
    <w:rsid w:val="006C44FA"/>
    <w:rsid w:val="006C53AA"/>
    <w:rsid w:val="006C7D0D"/>
    <w:rsid w:val="006D0493"/>
    <w:rsid w:val="006D0A88"/>
    <w:rsid w:val="006D111F"/>
    <w:rsid w:val="006D1207"/>
    <w:rsid w:val="006D1953"/>
    <w:rsid w:val="006D1C53"/>
    <w:rsid w:val="006D2194"/>
    <w:rsid w:val="006D24DF"/>
    <w:rsid w:val="006D2B5B"/>
    <w:rsid w:val="006D4CC6"/>
    <w:rsid w:val="006D4F47"/>
    <w:rsid w:val="006D5BAB"/>
    <w:rsid w:val="006D6059"/>
    <w:rsid w:val="006D6674"/>
    <w:rsid w:val="006D7F6D"/>
    <w:rsid w:val="006E1409"/>
    <w:rsid w:val="006E378F"/>
    <w:rsid w:val="006E45F9"/>
    <w:rsid w:val="006E46CB"/>
    <w:rsid w:val="006E4BF6"/>
    <w:rsid w:val="006E4DFE"/>
    <w:rsid w:val="006E5C1D"/>
    <w:rsid w:val="006E6ED0"/>
    <w:rsid w:val="006E76F0"/>
    <w:rsid w:val="006E77A8"/>
    <w:rsid w:val="006E77E1"/>
    <w:rsid w:val="006E7A4D"/>
    <w:rsid w:val="006F003F"/>
    <w:rsid w:val="006F0751"/>
    <w:rsid w:val="006F0907"/>
    <w:rsid w:val="006F0D8F"/>
    <w:rsid w:val="006F15C1"/>
    <w:rsid w:val="006F252A"/>
    <w:rsid w:val="006F3621"/>
    <w:rsid w:val="006F4008"/>
    <w:rsid w:val="006F53AD"/>
    <w:rsid w:val="006F67FA"/>
    <w:rsid w:val="006F6DCA"/>
    <w:rsid w:val="006F77D1"/>
    <w:rsid w:val="00700465"/>
    <w:rsid w:val="007025D1"/>
    <w:rsid w:val="00702699"/>
    <w:rsid w:val="00704FD7"/>
    <w:rsid w:val="007060D8"/>
    <w:rsid w:val="00706230"/>
    <w:rsid w:val="00707CFB"/>
    <w:rsid w:val="00707F65"/>
    <w:rsid w:val="00712356"/>
    <w:rsid w:val="007128FC"/>
    <w:rsid w:val="00712954"/>
    <w:rsid w:val="00712973"/>
    <w:rsid w:val="00712B10"/>
    <w:rsid w:val="00712B8E"/>
    <w:rsid w:val="00712CAD"/>
    <w:rsid w:val="007137AE"/>
    <w:rsid w:val="00713954"/>
    <w:rsid w:val="00713F34"/>
    <w:rsid w:val="00714472"/>
    <w:rsid w:val="00714742"/>
    <w:rsid w:val="00717FE2"/>
    <w:rsid w:val="00720199"/>
    <w:rsid w:val="00720759"/>
    <w:rsid w:val="0072608E"/>
    <w:rsid w:val="007270C3"/>
    <w:rsid w:val="007273BF"/>
    <w:rsid w:val="00730295"/>
    <w:rsid w:val="0073044A"/>
    <w:rsid w:val="00730FAF"/>
    <w:rsid w:val="00732228"/>
    <w:rsid w:val="00732431"/>
    <w:rsid w:val="00732C90"/>
    <w:rsid w:val="00734D23"/>
    <w:rsid w:val="007357DB"/>
    <w:rsid w:val="007358D6"/>
    <w:rsid w:val="007359D8"/>
    <w:rsid w:val="00736776"/>
    <w:rsid w:val="00736EB0"/>
    <w:rsid w:val="00737337"/>
    <w:rsid w:val="007374FF"/>
    <w:rsid w:val="0073760A"/>
    <w:rsid w:val="007419CB"/>
    <w:rsid w:val="00741EEB"/>
    <w:rsid w:val="007427AA"/>
    <w:rsid w:val="00742C44"/>
    <w:rsid w:val="00742F48"/>
    <w:rsid w:val="00743380"/>
    <w:rsid w:val="00743AE4"/>
    <w:rsid w:val="00744DCA"/>
    <w:rsid w:val="0074556A"/>
    <w:rsid w:val="00745650"/>
    <w:rsid w:val="00745B94"/>
    <w:rsid w:val="00745BE3"/>
    <w:rsid w:val="00747924"/>
    <w:rsid w:val="00747A80"/>
    <w:rsid w:val="007500FE"/>
    <w:rsid w:val="0075032A"/>
    <w:rsid w:val="00750E5A"/>
    <w:rsid w:val="00751598"/>
    <w:rsid w:val="0075267A"/>
    <w:rsid w:val="00752754"/>
    <w:rsid w:val="00752B16"/>
    <w:rsid w:val="00752C1E"/>
    <w:rsid w:val="00753452"/>
    <w:rsid w:val="00753A0E"/>
    <w:rsid w:val="00753AED"/>
    <w:rsid w:val="00755902"/>
    <w:rsid w:val="0075635E"/>
    <w:rsid w:val="00757011"/>
    <w:rsid w:val="0075743A"/>
    <w:rsid w:val="007578DD"/>
    <w:rsid w:val="00761907"/>
    <w:rsid w:val="0076199F"/>
    <w:rsid w:val="00762B51"/>
    <w:rsid w:val="00764166"/>
    <w:rsid w:val="00764472"/>
    <w:rsid w:val="00764645"/>
    <w:rsid w:val="00764CB4"/>
    <w:rsid w:val="00764DB2"/>
    <w:rsid w:val="00766713"/>
    <w:rsid w:val="00767F9B"/>
    <w:rsid w:val="007701B9"/>
    <w:rsid w:val="0077261B"/>
    <w:rsid w:val="00772BF0"/>
    <w:rsid w:val="00772DD7"/>
    <w:rsid w:val="0077315C"/>
    <w:rsid w:val="00775653"/>
    <w:rsid w:val="007764B8"/>
    <w:rsid w:val="00777B5F"/>
    <w:rsid w:val="00777EAC"/>
    <w:rsid w:val="00780136"/>
    <w:rsid w:val="007805FF"/>
    <w:rsid w:val="00780B17"/>
    <w:rsid w:val="0078213B"/>
    <w:rsid w:val="00782233"/>
    <w:rsid w:val="007823FB"/>
    <w:rsid w:val="007826B8"/>
    <w:rsid w:val="00782DCB"/>
    <w:rsid w:val="00783A1F"/>
    <w:rsid w:val="00784682"/>
    <w:rsid w:val="0078516A"/>
    <w:rsid w:val="00786928"/>
    <w:rsid w:val="00790D28"/>
    <w:rsid w:val="00791395"/>
    <w:rsid w:val="0079314A"/>
    <w:rsid w:val="007941F5"/>
    <w:rsid w:val="00794662"/>
    <w:rsid w:val="00794EF9"/>
    <w:rsid w:val="007954F0"/>
    <w:rsid w:val="0079623D"/>
    <w:rsid w:val="00796805"/>
    <w:rsid w:val="007A03BA"/>
    <w:rsid w:val="007A0B16"/>
    <w:rsid w:val="007A1D1E"/>
    <w:rsid w:val="007A312B"/>
    <w:rsid w:val="007A3A26"/>
    <w:rsid w:val="007A3A5A"/>
    <w:rsid w:val="007A498E"/>
    <w:rsid w:val="007A4DB1"/>
    <w:rsid w:val="007A6465"/>
    <w:rsid w:val="007A6BF9"/>
    <w:rsid w:val="007B1ABB"/>
    <w:rsid w:val="007B1BFF"/>
    <w:rsid w:val="007B2CEC"/>
    <w:rsid w:val="007B3BDB"/>
    <w:rsid w:val="007B4FB8"/>
    <w:rsid w:val="007B5CAE"/>
    <w:rsid w:val="007B5CF1"/>
    <w:rsid w:val="007B7438"/>
    <w:rsid w:val="007B7DC0"/>
    <w:rsid w:val="007C1146"/>
    <w:rsid w:val="007C2FFB"/>
    <w:rsid w:val="007C35EA"/>
    <w:rsid w:val="007C3AC8"/>
    <w:rsid w:val="007C500E"/>
    <w:rsid w:val="007C619E"/>
    <w:rsid w:val="007C67BC"/>
    <w:rsid w:val="007C7159"/>
    <w:rsid w:val="007C774C"/>
    <w:rsid w:val="007C7CF6"/>
    <w:rsid w:val="007D0421"/>
    <w:rsid w:val="007D0F34"/>
    <w:rsid w:val="007D2653"/>
    <w:rsid w:val="007D59B4"/>
    <w:rsid w:val="007D75F6"/>
    <w:rsid w:val="007D7D34"/>
    <w:rsid w:val="007E1AB8"/>
    <w:rsid w:val="007E2149"/>
    <w:rsid w:val="007E238F"/>
    <w:rsid w:val="007E3834"/>
    <w:rsid w:val="007E4711"/>
    <w:rsid w:val="007E50C2"/>
    <w:rsid w:val="007E518C"/>
    <w:rsid w:val="007E5496"/>
    <w:rsid w:val="007E5697"/>
    <w:rsid w:val="007E581D"/>
    <w:rsid w:val="007E693B"/>
    <w:rsid w:val="007E7582"/>
    <w:rsid w:val="007F0662"/>
    <w:rsid w:val="007F0FD9"/>
    <w:rsid w:val="007F1556"/>
    <w:rsid w:val="007F19A7"/>
    <w:rsid w:val="007F1CF5"/>
    <w:rsid w:val="007F2489"/>
    <w:rsid w:val="007F28C1"/>
    <w:rsid w:val="007F2991"/>
    <w:rsid w:val="007F2BE1"/>
    <w:rsid w:val="007F3BE8"/>
    <w:rsid w:val="007F4B6A"/>
    <w:rsid w:val="007F5344"/>
    <w:rsid w:val="007F5F83"/>
    <w:rsid w:val="007F74E8"/>
    <w:rsid w:val="008007F4"/>
    <w:rsid w:val="00800DD0"/>
    <w:rsid w:val="008020D4"/>
    <w:rsid w:val="00803138"/>
    <w:rsid w:val="00803F18"/>
    <w:rsid w:val="00804287"/>
    <w:rsid w:val="00804C34"/>
    <w:rsid w:val="00806847"/>
    <w:rsid w:val="00810A8B"/>
    <w:rsid w:val="0081162F"/>
    <w:rsid w:val="008122FA"/>
    <w:rsid w:val="00812C6D"/>
    <w:rsid w:val="00812E07"/>
    <w:rsid w:val="00812E1B"/>
    <w:rsid w:val="00813144"/>
    <w:rsid w:val="0081328D"/>
    <w:rsid w:val="00813EDE"/>
    <w:rsid w:val="00814D11"/>
    <w:rsid w:val="00814F6A"/>
    <w:rsid w:val="00816051"/>
    <w:rsid w:val="00816433"/>
    <w:rsid w:val="00816D84"/>
    <w:rsid w:val="00817F35"/>
    <w:rsid w:val="00820A2B"/>
    <w:rsid w:val="00820C0E"/>
    <w:rsid w:val="008210D6"/>
    <w:rsid w:val="00822D2D"/>
    <w:rsid w:val="00822F16"/>
    <w:rsid w:val="00823CB0"/>
    <w:rsid w:val="00823D34"/>
    <w:rsid w:val="008240D0"/>
    <w:rsid w:val="008244DA"/>
    <w:rsid w:val="008259A4"/>
    <w:rsid w:val="00826394"/>
    <w:rsid w:val="00826F69"/>
    <w:rsid w:val="00827259"/>
    <w:rsid w:val="008334F0"/>
    <w:rsid w:val="00834283"/>
    <w:rsid w:val="008342A7"/>
    <w:rsid w:val="00834A99"/>
    <w:rsid w:val="00835991"/>
    <w:rsid w:val="00836915"/>
    <w:rsid w:val="00836AB3"/>
    <w:rsid w:val="00836B49"/>
    <w:rsid w:val="00837072"/>
    <w:rsid w:val="00837092"/>
    <w:rsid w:val="00841EC2"/>
    <w:rsid w:val="00841FF8"/>
    <w:rsid w:val="00842EA1"/>
    <w:rsid w:val="008479E4"/>
    <w:rsid w:val="00851318"/>
    <w:rsid w:val="00851D7F"/>
    <w:rsid w:val="00852045"/>
    <w:rsid w:val="00853247"/>
    <w:rsid w:val="008535CC"/>
    <w:rsid w:val="008540F6"/>
    <w:rsid w:val="00854A79"/>
    <w:rsid w:val="00854CAE"/>
    <w:rsid w:val="00855BEE"/>
    <w:rsid w:val="0085608D"/>
    <w:rsid w:val="008564FC"/>
    <w:rsid w:val="00857173"/>
    <w:rsid w:val="0085731B"/>
    <w:rsid w:val="00857514"/>
    <w:rsid w:val="00857FC2"/>
    <w:rsid w:val="008605F5"/>
    <w:rsid w:val="00863188"/>
    <w:rsid w:val="0086481C"/>
    <w:rsid w:val="00865252"/>
    <w:rsid w:val="00865299"/>
    <w:rsid w:val="00865CBF"/>
    <w:rsid w:val="00866D52"/>
    <w:rsid w:val="008707D6"/>
    <w:rsid w:val="0087082D"/>
    <w:rsid w:val="008709A8"/>
    <w:rsid w:val="0087116D"/>
    <w:rsid w:val="0087154D"/>
    <w:rsid w:val="00871746"/>
    <w:rsid w:val="00871D1B"/>
    <w:rsid w:val="00874234"/>
    <w:rsid w:val="00874B23"/>
    <w:rsid w:val="00874B74"/>
    <w:rsid w:val="008762EF"/>
    <w:rsid w:val="00876822"/>
    <w:rsid w:val="008768CF"/>
    <w:rsid w:val="008776C4"/>
    <w:rsid w:val="008817D6"/>
    <w:rsid w:val="00881869"/>
    <w:rsid w:val="008820C2"/>
    <w:rsid w:val="008831A7"/>
    <w:rsid w:val="008832C5"/>
    <w:rsid w:val="0088387C"/>
    <w:rsid w:val="00884726"/>
    <w:rsid w:val="00884A88"/>
    <w:rsid w:val="00886947"/>
    <w:rsid w:val="00886AEE"/>
    <w:rsid w:val="0088788E"/>
    <w:rsid w:val="00887CAC"/>
    <w:rsid w:val="0089053E"/>
    <w:rsid w:val="0089066B"/>
    <w:rsid w:val="00890B88"/>
    <w:rsid w:val="00890E87"/>
    <w:rsid w:val="00891AE4"/>
    <w:rsid w:val="008930C4"/>
    <w:rsid w:val="00893306"/>
    <w:rsid w:val="00894AEC"/>
    <w:rsid w:val="00894C53"/>
    <w:rsid w:val="00895078"/>
    <w:rsid w:val="00896923"/>
    <w:rsid w:val="008A08ED"/>
    <w:rsid w:val="008A3E38"/>
    <w:rsid w:val="008A4D3F"/>
    <w:rsid w:val="008A55E2"/>
    <w:rsid w:val="008A77B7"/>
    <w:rsid w:val="008A7BA0"/>
    <w:rsid w:val="008B0367"/>
    <w:rsid w:val="008B0E02"/>
    <w:rsid w:val="008B197C"/>
    <w:rsid w:val="008B1F4F"/>
    <w:rsid w:val="008B2E5C"/>
    <w:rsid w:val="008B3562"/>
    <w:rsid w:val="008B3E1E"/>
    <w:rsid w:val="008B45C5"/>
    <w:rsid w:val="008B502D"/>
    <w:rsid w:val="008B56E2"/>
    <w:rsid w:val="008B5FAA"/>
    <w:rsid w:val="008B65B2"/>
    <w:rsid w:val="008B700F"/>
    <w:rsid w:val="008C0FAD"/>
    <w:rsid w:val="008C1140"/>
    <w:rsid w:val="008C21F8"/>
    <w:rsid w:val="008C274E"/>
    <w:rsid w:val="008C2AFE"/>
    <w:rsid w:val="008C33B0"/>
    <w:rsid w:val="008C3A4D"/>
    <w:rsid w:val="008C3EDA"/>
    <w:rsid w:val="008C4659"/>
    <w:rsid w:val="008C5D64"/>
    <w:rsid w:val="008C60DA"/>
    <w:rsid w:val="008C7504"/>
    <w:rsid w:val="008C7662"/>
    <w:rsid w:val="008D0AE6"/>
    <w:rsid w:val="008D223C"/>
    <w:rsid w:val="008D447D"/>
    <w:rsid w:val="008D610C"/>
    <w:rsid w:val="008E06BF"/>
    <w:rsid w:val="008E1375"/>
    <w:rsid w:val="008E1D11"/>
    <w:rsid w:val="008E2934"/>
    <w:rsid w:val="008E2A22"/>
    <w:rsid w:val="008E2B34"/>
    <w:rsid w:val="008E407E"/>
    <w:rsid w:val="008E4752"/>
    <w:rsid w:val="008E4832"/>
    <w:rsid w:val="008E4EB9"/>
    <w:rsid w:val="008E6462"/>
    <w:rsid w:val="008E7774"/>
    <w:rsid w:val="008F149D"/>
    <w:rsid w:val="008F27FC"/>
    <w:rsid w:val="008F2FA2"/>
    <w:rsid w:val="008F432D"/>
    <w:rsid w:val="008F446D"/>
    <w:rsid w:val="008F67EF"/>
    <w:rsid w:val="008F6CA7"/>
    <w:rsid w:val="00900C2A"/>
    <w:rsid w:val="009018F6"/>
    <w:rsid w:val="00901BEF"/>
    <w:rsid w:val="009036A6"/>
    <w:rsid w:val="0090387A"/>
    <w:rsid w:val="009041CE"/>
    <w:rsid w:val="00904FBE"/>
    <w:rsid w:val="00905729"/>
    <w:rsid w:val="00905AD8"/>
    <w:rsid w:val="00907680"/>
    <w:rsid w:val="00911221"/>
    <w:rsid w:val="00911347"/>
    <w:rsid w:val="009119FE"/>
    <w:rsid w:val="00911E82"/>
    <w:rsid w:val="00911ED9"/>
    <w:rsid w:val="00912201"/>
    <w:rsid w:val="009138BD"/>
    <w:rsid w:val="00913F87"/>
    <w:rsid w:val="009143DD"/>
    <w:rsid w:val="00916C4A"/>
    <w:rsid w:val="009170EA"/>
    <w:rsid w:val="009176C2"/>
    <w:rsid w:val="00917F8A"/>
    <w:rsid w:val="00920D86"/>
    <w:rsid w:val="00920DE0"/>
    <w:rsid w:val="00921390"/>
    <w:rsid w:val="009222FF"/>
    <w:rsid w:val="00922508"/>
    <w:rsid w:val="00925F9A"/>
    <w:rsid w:val="009267E0"/>
    <w:rsid w:val="00926D8E"/>
    <w:rsid w:val="0092782A"/>
    <w:rsid w:val="00930C6D"/>
    <w:rsid w:val="0093128A"/>
    <w:rsid w:val="00931F2A"/>
    <w:rsid w:val="00933583"/>
    <w:rsid w:val="00933C2B"/>
    <w:rsid w:val="009342B6"/>
    <w:rsid w:val="009357F1"/>
    <w:rsid w:val="00935880"/>
    <w:rsid w:val="00935A39"/>
    <w:rsid w:val="009360DD"/>
    <w:rsid w:val="0093630F"/>
    <w:rsid w:val="00936B30"/>
    <w:rsid w:val="009375AA"/>
    <w:rsid w:val="0093785B"/>
    <w:rsid w:val="00941206"/>
    <w:rsid w:val="009414EF"/>
    <w:rsid w:val="00944CBF"/>
    <w:rsid w:val="00945345"/>
    <w:rsid w:val="009465B9"/>
    <w:rsid w:val="009469A5"/>
    <w:rsid w:val="00950876"/>
    <w:rsid w:val="00951360"/>
    <w:rsid w:val="009514A6"/>
    <w:rsid w:val="00952301"/>
    <w:rsid w:val="00952A0D"/>
    <w:rsid w:val="00952E02"/>
    <w:rsid w:val="00954D7C"/>
    <w:rsid w:val="009553B4"/>
    <w:rsid w:val="009602C8"/>
    <w:rsid w:val="00960CE7"/>
    <w:rsid w:val="0096115F"/>
    <w:rsid w:val="00961853"/>
    <w:rsid w:val="00961A63"/>
    <w:rsid w:val="00962D1F"/>
    <w:rsid w:val="0096307E"/>
    <w:rsid w:val="0096546C"/>
    <w:rsid w:val="00965684"/>
    <w:rsid w:val="00966386"/>
    <w:rsid w:val="0096650B"/>
    <w:rsid w:val="00967388"/>
    <w:rsid w:val="009738C9"/>
    <w:rsid w:val="009745DC"/>
    <w:rsid w:val="009748BF"/>
    <w:rsid w:val="0097747F"/>
    <w:rsid w:val="00981771"/>
    <w:rsid w:val="00981B8A"/>
    <w:rsid w:val="00981D7A"/>
    <w:rsid w:val="0098241B"/>
    <w:rsid w:val="00982A56"/>
    <w:rsid w:val="00983697"/>
    <w:rsid w:val="0098566A"/>
    <w:rsid w:val="00985FBD"/>
    <w:rsid w:val="00987A72"/>
    <w:rsid w:val="0099081F"/>
    <w:rsid w:val="00990C5D"/>
    <w:rsid w:val="00990E76"/>
    <w:rsid w:val="00991200"/>
    <w:rsid w:val="0099259B"/>
    <w:rsid w:val="009926A8"/>
    <w:rsid w:val="00992C02"/>
    <w:rsid w:val="0099327C"/>
    <w:rsid w:val="009935B8"/>
    <w:rsid w:val="009947A3"/>
    <w:rsid w:val="009949E2"/>
    <w:rsid w:val="0099531B"/>
    <w:rsid w:val="009953C1"/>
    <w:rsid w:val="00995E91"/>
    <w:rsid w:val="00996949"/>
    <w:rsid w:val="009976CC"/>
    <w:rsid w:val="009977A8"/>
    <w:rsid w:val="00997A4E"/>
    <w:rsid w:val="00997AED"/>
    <w:rsid w:val="009A07AB"/>
    <w:rsid w:val="009A0B89"/>
    <w:rsid w:val="009A1323"/>
    <w:rsid w:val="009A32D4"/>
    <w:rsid w:val="009A3600"/>
    <w:rsid w:val="009A401C"/>
    <w:rsid w:val="009A4309"/>
    <w:rsid w:val="009A44C6"/>
    <w:rsid w:val="009A4681"/>
    <w:rsid w:val="009A47E6"/>
    <w:rsid w:val="009A48AE"/>
    <w:rsid w:val="009A5E81"/>
    <w:rsid w:val="009A6044"/>
    <w:rsid w:val="009A6482"/>
    <w:rsid w:val="009A721E"/>
    <w:rsid w:val="009B0307"/>
    <w:rsid w:val="009B10AA"/>
    <w:rsid w:val="009B13CF"/>
    <w:rsid w:val="009B17C8"/>
    <w:rsid w:val="009B1C09"/>
    <w:rsid w:val="009B25E4"/>
    <w:rsid w:val="009B4015"/>
    <w:rsid w:val="009B4179"/>
    <w:rsid w:val="009B4198"/>
    <w:rsid w:val="009B41F2"/>
    <w:rsid w:val="009B4C30"/>
    <w:rsid w:val="009B5F4B"/>
    <w:rsid w:val="009B5F63"/>
    <w:rsid w:val="009B6F68"/>
    <w:rsid w:val="009B7327"/>
    <w:rsid w:val="009B7F37"/>
    <w:rsid w:val="009C037B"/>
    <w:rsid w:val="009C0DAE"/>
    <w:rsid w:val="009C147B"/>
    <w:rsid w:val="009C1C2C"/>
    <w:rsid w:val="009C418E"/>
    <w:rsid w:val="009C600A"/>
    <w:rsid w:val="009C6267"/>
    <w:rsid w:val="009C64DE"/>
    <w:rsid w:val="009C6AAF"/>
    <w:rsid w:val="009C771E"/>
    <w:rsid w:val="009C7C73"/>
    <w:rsid w:val="009C7C86"/>
    <w:rsid w:val="009D0169"/>
    <w:rsid w:val="009D06B4"/>
    <w:rsid w:val="009D0CB2"/>
    <w:rsid w:val="009D2CE1"/>
    <w:rsid w:val="009D38E0"/>
    <w:rsid w:val="009D407C"/>
    <w:rsid w:val="009D4C9D"/>
    <w:rsid w:val="009D50E3"/>
    <w:rsid w:val="009D5388"/>
    <w:rsid w:val="009D59A4"/>
    <w:rsid w:val="009D5D42"/>
    <w:rsid w:val="009D5EC0"/>
    <w:rsid w:val="009D6313"/>
    <w:rsid w:val="009D6379"/>
    <w:rsid w:val="009D63B9"/>
    <w:rsid w:val="009D740E"/>
    <w:rsid w:val="009D7F0A"/>
    <w:rsid w:val="009E048E"/>
    <w:rsid w:val="009E1AD5"/>
    <w:rsid w:val="009E2849"/>
    <w:rsid w:val="009E2D69"/>
    <w:rsid w:val="009E30E6"/>
    <w:rsid w:val="009E454A"/>
    <w:rsid w:val="009E6387"/>
    <w:rsid w:val="009E6605"/>
    <w:rsid w:val="009E6E75"/>
    <w:rsid w:val="009E7A68"/>
    <w:rsid w:val="009E7DAB"/>
    <w:rsid w:val="009F025D"/>
    <w:rsid w:val="009F0872"/>
    <w:rsid w:val="009F15B0"/>
    <w:rsid w:val="009F1FCF"/>
    <w:rsid w:val="009F471B"/>
    <w:rsid w:val="009F5D55"/>
    <w:rsid w:val="009F69C0"/>
    <w:rsid w:val="00A00148"/>
    <w:rsid w:val="00A0023C"/>
    <w:rsid w:val="00A00296"/>
    <w:rsid w:val="00A0173E"/>
    <w:rsid w:val="00A01EB6"/>
    <w:rsid w:val="00A03BD2"/>
    <w:rsid w:val="00A041EB"/>
    <w:rsid w:val="00A04277"/>
    <w:rsid w:val="00A04318"/>
    <w:rsid w:val="00A04A40"/>
    <w:rsid w:val="00A05075"/>
    <w:rsid w:val="00A067EA"/>
    <w:rsid w:val="00A07839"/>
    <w:rsid w:val="00A07EDB"/>
    <w:rsid w:val="00A102F0"/>
    <w:rsid w:val="00A10362"/>
    <w:rsid w:val="00A10375"/>
    <w:rsid w:val="00A1189A"/>
    <w:rsid w:val="00A11E2F"/>
    <w:rsid w:val="00A11EFA"/>
    <w:rsid w:val="00A12001"/>
    <w:rsid w:val="00A12246"/>
    <w:rsid w:val="00A12D96"/>
    <w:rsid w:val="00A13B77"/>
    <w:rsid w:val="00A13BE0"/>
    <w:rsid w:val="00A13C32"/>
    <w:rsid w:val="00A141AA"/>
    <w:rsid w:val="00A15943"/>
    <w:rsid w:val="00A15E39"/>
    <w:rsid w:val="00A168F4"/>
    <w:rsid w:val="00A16B8B"/>
    <w:rsid w:val="00A16BA3"/>
    <w:rsid w:val="00A17A32"/>
    <w:rsid w:val="00A17BE6"/>
    <w:rsid w:val="00A20209"/>
    <w:rsid w:val="00A20744"/>
    <w:rsid w:val="00A208FF"/>
    <w:rsid w:val="00A21B29"/>
    <w:rsid w:val="00A23D88"/>
    <w:rsid w:val="00A25548"/>
    <w:rsid w:val="00A27277"/>
    <w:rsid w:val="00A30CDC"/>
    <w:rsid w:val="00A31D6A"/>
    <w:rsid w:val="00A32DC7"/>
    <w:rsid w:val="00A32DFD"/>
    <w:rsid w:val="00A32E17"/>
    <w:rsid w:val="00A32FA2"/>
    <w:rsid w:val="00A34B54"/>
    <w:rsid w:val="00A34C4B"/>
    <w:rsid w:val="00A3596C"/>
    <w:rsid w:val="00A35B3C"/>
    <w:rsid w:val="00A3708E"/>
    <w:rsid w:val="00A40C51"/>
    <w:rsid w:val="00A40CA2"/>
    <w:rsid w:val="00A41573"/>
    <w:rsid w:val="00A421B5"/>
    <w:rsid w:val="00A42617"/>
    <w:rsid w:val="00A42C50"/>
    <w:rsid w:val="00A42DDB"/>
    <w:rsid w:val="00A42F67"/>
    <w:rsid w:val="00A440A8"/>
    <w:rsid w:val="00A4464F"/>
    <w:rsid w:val="00A44D55"/>
    <w:rsid w:val="00A457DE"/>
    <w:rsid w:val="00A463AF"/>
    <w:rsid w:val="00A465CA"/>
    <w:rsid w:val="00A478A6"/>
    <w:rsid w:val="00A47B43"/>
    <w:rsid w:val="00A50558"/>
    <w:rsid w:val="00A50869"/>
    <w:rsid w:val="00A524DF"/>
    <w:rsid w:val="00A5264F"/>
    <w:rsid w:val="00A53726"/>
    <w:rsid w:val="00A5392B"/>
    <w:rsid w:val="00A554A8"/>
    <w:rsid w:val="00A55879"/>
    <w:rsid w:val="00A55BB4"/>
    <w:rsid w:val="00A56D05"/>
    <w:rsid w:val="00A56DAC"/>
    <w:rsid w:val="00A57933"/>
    <w:rsid w:val="00A57A29"/>
    <w:rsid w:val="00A60079"/>
    <w:rsid w:val="00A6195C"/>
    <w:rsid w:val="00A61CB0"/>
    <w:rsid w:val="00A62D25"/>
    <w:rsid w:val="00A634B6"/>
    <w:rsid w:val="00A64272"/>
    <w:rsid w:val="00A67AA7"/>
    <w:rsid w:val="00A67D92"/>
    <w:rsid w:val="00A7034B"/>
    <w:rsid w:val="00A704B9"/>
    <w:rsid w:val="00A70577"/>
    <w:rsid w:val="00A70CA0"/>
    <w:rsid w:val="00A70FB1"/>
    <w:rsid w:val="00A715DF"/>
    <w:rsid w:val="00A71794"/>
    <w:rsid w:val="00A71DBC"/>
    <w:rsid w:val="00A721A0"/>
    <w:rsid w:val="00A7244C"/>
    <w:rsid w:val="00A75762"/>
    <w:rsid w:val="00A762EC"/>
    <w:rsid w:val="00A76746"/>
    <w:rsid w:val="00A767DD"/>
    <w:rsid w:val="00A768BE"/>
    <w:rsid w:val="00A76975"/>
    <w:rsid w:val="00A770B2"/>
    <w:rsid w:val="00A7748D"/>
    <w:rsid w:val="00A777E4"/>
    <w:rsid w:val="00A779D1"/>
    <w:rsid w:val="00A77B83"/>
    <w:rsid w:val="00A80B74"/>
    <w:rsid w:val="00A82DBB"/>
    <w:rsid w:val="00A85564"/>
    <w:rsid w:val="00A859AA"/>
    <w:rsid w:val="00A85F82"/>
    <w:rsid w:val="00A8649F"/>
    <w:rsid w:val="00A87122"/>
    <w:rsid w:val="00A873FD"/>
    <w:rsid w:val="00A879C1"/>
    <w:rsid w:val="00A90859"/>
    <w:rsid w:val="00A909A5"/>
    <w:rsid w:val="00A924C0"/>
    <w:rsid w:val="00A94861"/>
    <w:rsid w:val="00A94B17"/>
    <w:rsid w:val="00AA0DE8"/>
    <w:rsid w:val="00AA1379"/>
    <w:rsid w:val="00AA1E0B"/>
    <w:rsid w:val="00AA211E"/>
    <w:rsid w:val="00AA362F"/>
    <w:rsid w:val="00AA3C98"/>
    <w:rsid w:val="00AA4271"/>
    <w:rsid w:val="00AA4A41"/>
    <w:rsid w:val="00AA4E8E"/>
    <w:rsid w:val="00AA5010"/>
    <w:rsid w:val="00AA533A"/>
    <w:rsid w:val="00AA5DC9"/>
    <w:rsid w:val="00AA63E8"/>
    <w:rsid w:val="00AA6BBF"/>
    <w:rsid w:val="00AA75F7"/>
    <w:rsid w:val="00AA77F6"/>
    <w:rsid w:val="00AB0F10"/>
    <w:rsid w:val="00AB121E"/>
    <w:rsid w:val="00AB1DAA"/>
    <w:rsid w:val="00AB1DB8"/>
    <w:rsid w:val="00AB20C7"/>
    <w:rsid w:val="00AB2A27"/>
    <w:rsid w:val="00AB2BF9"/>
    <w:rsid w:val="00AB2E9C"/>
    <w:rsid w:val="00AB2FF9"/>
    <w:rsid w:val="00AB3175"/>
    <w:rsid w:val="00AB32A3"/>
    <w:rsid w:val="00AB3712"/>
    <w:rsid w:val="00AB3BE4"/>
    <w:rsid w:val="00AB3F52"/>
    <w:rsid w:val="00AB4D73"/>
    <w:rsid w:val="00AB550E"/>
    <w:rsid w:val="00AB5828"/>
    <w:rsid w:val="00AB6D01"/>
    <w:rsid w:val="00AC00CC"/>
    <w:rsid w:val="00AC3512"/>
    <w:rsid w:val="00AC3A30"/>
    <w:rsid w:val="00AC4F5D"/>
    <w:rsid w:val="00AC51F9"/>
    <w:rsid w:val="00AC5572"/>
    <w:rsid w:val="00AC6696"/>
    <w:rsid w:val="00AC67EF"/>
    <w:rsid w:val="00AC69EE"/>
    <w:rsid w:val="00AC6ABC"/>
    <w:rsid w:val="00AC795E"/>
    <w:rsid w:val="00AD0F56"/>
    <w:rsid w:val="00AD1528"/>
    <w:rsid w:val="00AD1593"/>
    <w:rsid w:val="00AD1927"/>
    <w:rsid w:val="00AD1BF3"/>
    <w:rsid w:val="00AD3E63"/>
    <w:rsid w:val="00AD4AFF"/>
    <w:rsid w:val="00AD503E"/>
    <w:rsid w:val="00AD50D3"/>
    <w:rsid w:val="00AD6914"/>
    <w:rsid w:val="00AD7067"/>
    <w:rsid w:val="00AD779C"/>
    <w:rsid w:val="00AD7978"/>
    <w:rsid w:val="00AE1F9F"/>
    <w:rsid w:val="00AE32AE"/>
    <w:rsid w:val="00AE3FE8"/>
    <w:rsid w:val="00AE472A"/>
    <w:rsid w:val="00AE60CB"/>
    <w:rsid w:val="00AE6AE1"/>
    <w:rsid w:val="00AE6C68"/>
    <w:rsid w:val="00AE6E35"/>
    <w:rsid w:val="00AE72FC"/>
    <w:rsid w:val="00AE7CD1"/>
    <w:rsid w:val="00AF054D"/>
    <w:rsid w:val="00AF21BC"/>
    <w:rsid w:val="00AF27EB"/>
    <w:rsid w:val="00AF3DC7"/>
    <w:rsid w:val="00AF40A7"/>
    <w:rsid w:val="00AF49BE"/>
    <w:rsid w:val="00AF57F8"/>
    <w:rsid w:val="00AF589F"/>
    <w:rsid w:val="00AF58EB"/>
    <w:rsid w:val="00AF7C72"/>
    <w:rsid w:val="00B010C9"/>
    <w:rsid w:val="00B02CCD"/>
    <w:rsid w:val="00B03BC6"/>
    <w:rsid w:val="00B042D1"/>
    <w:rsid w:val="00B0437E"/>
    <w:rsid w:val="00B05847"/>
    <w:rsid w:val="00B065E6"/>
    <w:rsid w:val="00B068D1"/>
    <w:rsid w:val="00B10AD6"/>
    <w:rsid w:val="00B10F06"/>
    <w:rsid w:val="00B12706"/>
    <w:rsid w:val="00B13A79"/>
    <w:rsid w:val="00B13EB7"/>
    <w:rsid w:val="00B1416C"/>
    <w:rsid w:val="00B147D3"/>
    <w:rsid w:val="00B1584C"/>
    <w:rsid w:val="00B15988"/>
    <w:rsid w:val="00B16F46"/>
    <w:rsid w:val="00B17483"/>
    <w:rsid w:val="00B17F90"/>
    <w:rsid w:val="00B2039F"/>
    <w:rsid w:val="00B206EF"/>
    <w:rsid w:val="00B21117"/>
    <w:rsid w:val="00B21696"/>
    <w:rsid w:val="00B222AE"/>
    <w:rsid w:val="00B226C4"/>
    <w:rsid w:val="00B24B37"/>
    <w:rsid w:val="00B24C15"/>
    <w:rsid w:val="00B2550D"/>
    <w:rsid w:val="00B257FD"/>
    <w:rsid w:val="00B25B48"/>
    <w:rsid w:val="00B25D6D"/>
    <w:rsid w:val="00B27275"/>
    <w:rsid w:val="00B27297"/>
    <w:rsid w:val="00B30EAE"/>
    <w:rsid w:val="00B311AE"/>
    <w:rsid w:val="00B31BAA"/>
    <w:rsid w:val="00B31E6F"/>
    <w:rsid w:val="00B31F88"/>
    <w:rsid w:val="00B32172"/>
    <w:rsid w:val="00B331A5"/>
    <w:rsid w:val="00B339A6"/>
    <w:rsid w:val="00B33E87"/>
    <w:rsid w:val="00B367D8"/>
    <w:rsid w:val="00B36BDA"/>
    <w:rsid w:val="00B37533"/>
    <w:rsid w:val="00B4086F"/>
    <w:rsid w:val="00B40AA3"/>
    <w:rsid w:val="00B411A3"/>
    <w:rsid w:val="00B41A2C"/>
    <w:rsid w:val="00B41C67"/>
    <w:rsid w:val="00B4260A"/>
    <w:rsid w:val="00B42B12"/>
    <w:rsid w:val="00B435FD"/>
    <w:rsid w:val="00B4395A"/>
    <w:rsid w:val="00B43B77"/>
    <w:rsid w:val="00B44BBE"/>
    <w:rsid w:val="00B461AB"/>
    <w:rsid w:val="00B5011B"/>
    <w:rsid w:val="00B50486"/>
    <w:rsid w:val="00B50823"/>
    <w:rsid w:val="00B51131"/>
    <w:rsid w:val="00B5145C"/>
    <w:rsid w:val="00B51B2C"/>
    <w:rsid w:val="00B51E8B"/>
    <w:rsid w:val="00B52406"/>
    <w:rsid w:val="00B5283B"/>
    <w:rsid w:val="00B533AC"/>
    <w:rsid w:val="00B53C1D"/>
    <w:rsid w:val="00B53DF4"/>
    <w:rsid w:val="00B54B9C"/>
    <w:rsid w:val="00B55407"/>
    <w:rsid w:val="00B63374"/>
    <w:rsid w:val="00B63BD6"/>
    <w:rsid w:val="00B63F35"/>
    <w:rsid w:val="00B64241"/>
    <w:rsid w:val="00B64B43"/>
    <w:rsid w:val="00B6509D"/>
    <w:rsid w:val="00B65C67"/>
    <w:rsid w:val="00B65D62"/>
    <w:rsid w:val="00B6663F"/>
    <w:rsid w:val="00B6794F"/>
    <w:rsid w:val="00B6795B"/>
    <w:rsid w:val="00B71CD3"/>
    <w:rsid w:val="00B72380"/>
    <w:rsid w:val="00B727CA"/>
    <w:rsid w:val="00B72D58"/>
    <w:rsid w:val="00B73979"/>
    <w:rsid w:val="00B73B3A"/>
    <w:rsid w:val="00B74616"/>
    <w:rsid w:val="00B748F3"/>
    <w:rsid w:val="00B75859"/>
    <w:rsid w:val="00B761AE"/>
    <w:rsid w:val="00B76539"/>
    <w:rsid w:val="00B77847"/>
    <w:rsid w:val="00B801A1"/>
    <w:rsid w:val="00B80DB1"/>
    <w:rsid w:val="00B82968"/>
    <w:rsid w:val="00B85B5F"/>
    <w:rsid w:val="00B879A4"/>
    <w:rsid w:val="00B902B9"/>
    <w:rsid w:val="00B90AFA"/>
    <w:rsid w:val="00B91AC5"/>
    <w:rsid w:val="00B92027"/>
    <w:rsid w:val="00B931A7"/>
    <w:rsid w:val="00B9356F"/>
    <w:rsid w:val="00B93ECB"/>
    <w:rsid w:val="00B94F0B"/>
    <w:rsid w:val="00B952C8"/>
    <w:rsid w:val="00B95A8F"/>
    <w:rsid w:val="00B96E0E"/>
    <w:rsid w:val="00BA0572"/>
    <w:rsid w:val="00BA22E3"/>
    <w:rsid w:val="00BA26D7"/>
    <w:rsid w:val="00BA29BE"/>
    <w:rsid w:val="00BA3755"/>
    <w:rsid w:val="00BA3878"/>
    <w:rsid w:val="00BA3B98"/>
    <w:rsid w:val="00BA4A6B"/>
    <w:rsid w:val="00BA5271"/>
    <w:rsid w:val="00BA5E26"/>
    <w:rsid w:val="00BA6ECF"/>
    <w:rsid w:val="00BA71C1"/>
    <w:rsid w:val="00BA71D0"/>
    <w:rsid w:val="00BA729A"/>
    <w:rsid w:val="00BB0A3C"/>
    <w:rsid w:val="00BB284E"/>
    <w:rsid w:val="00BB3E78"/>
    <w:rsid w:val="00BB4539"/>
    <w:rsid w:val="00BB618A"/>
    <w:rsid w:val="00BB7362"/>
    <w:rsid w:val="00BC0018"/>
    <w:rsid w:val="00BC03F5"/>
    <w:rsid w:val="00BC0DCD"/>
    <w:rsid w:val="00BC1801"/>
    <w:rsid w:val="00BC29F3"/>
    <w:rsid w:val="00BC3A85"/>
    <w:rsid w:val="00BC3AF3"/>
    <w:rsid w:val="00BC48F1"/>
    <w:rsid w:val="00BC4B2E"/>
    <w:rsid w:val="00BC6AC6"/>
    <w:rsid w:val="00BC6F05"/>
    <w:rsid w:val="00BC7826"/>
    <w:rsid w:val="00BD054E"/>
    <w:rsid w:val="00BD2027"/>
    <w:rsid w:val="00BD2AE6"/>
    <w:rsid w:val="00BD2EB3"/>
    <w:rsid w:val="00BD3E71"/>
    <w:rsid w:val="00BD4243"/>
    <w:rsid w:val="00BD44EC"/>
    <w:rsid w:val="00BD4D5B"/>
    <w:rsid w:val="00BD513A"/>
    <w:rsid w:val="00BD56C8"/>
    <w:rsid w:val="00BD5D70"/>
    <w:rsid w:val="00BD5E7C"/>
    <w:rsid w:val="00BD61A8"/>
    <w:rsid w:val="00BD6926"/>
    <w:rsid w:val="00BD777F"/>
    <w:rsid w:val="00BD781A"/>
    <w:rsid w:val="00BE00A9"/>
    <w:rsid w:val="00BE038D"/>
    <w:rsid w:val="00BE1584"/>
    <w:rsid w:val="00BE304C"/>
    <w:rsid w:val="00BE3483"/>
    <w:rsid w:val="00BE3807"/>
    <w:rsid w:val="00BE38BC"/>
    <w:rsid w:val="00BE4489"/>
    <w:rsid w:val="00BE52E8"/>
    <w:rsid w:val="00BE5F60"/>
    <w:rsid w:val="00BE7736"/>
    <w:rsid w:val="00BF0A81"/>
    <w:rsid w:val="00BF0E57"/>
    <w:rsid w:val="00BF466F"/>
    <w:rsid w:val="00BF46BC"/>
    <w:rsid w:val="00BF49D3"/>
    <w:rsid w:val="00BF537F"/>
    <w:rsid w:val="00BF5DCE"/>
    <w:rsid w:val="00BF6433"/>
    <w:rsid w:val="00BF643C"/>
    <w:rsid w:val="00BF65BE"/>
    <w:rsid w:val="00BF6AF8"/>
    <w:rsid w:val="00C003F5"/>
    <w:rsid w:val="00C00720"/>
    <w:rsid w:val="00C00B41"/>
    <w:rsid w:val="00C01BD5"/>
    <w:rsid w:val="00C01D05"/>
    <w:rsid w:val="00C0274D"/>
    <w:rsid w:val="00C029F9"/>
    <w:rsid w:val="00C046AC"/>
    <w:rsid w:val="00C04985"/>
    <w:rsid w:val="00C0511A"/>
    <w:rsid w:val="00C0521F"/>
    <w:rsid w:val="00C05C06"/>
    <w:rsid w:val="00C0668B"/>
    <w:rsid w:val="00C07874"/>
    <w:rsid w:val="00C07AC4"/>
    <w:rsid w:val="00C10C0F"/>
    <w:rsid w:val="00C113C6"/>
    <w:rsid w:val="00C14409"/>
    <w:rsid w:val="00C14DC8"/>
    <w:rsid w:val="00C15FC7"/>
    <w:rsid w:val="00C20290"/>
    <w:rsid w:val="00C20EFA"/>
    <w:rsid w:val="00C2257C"/>
    <w:rsid w:val="00C24006"/>
    <w:rsid w:val="00C246AA"/>
    <w:rsid w:val="00C254E2"/>
    <w:rsid w:val="00C254FD"/>
    <w:rsid w:val="00C261B0"/>
    <w:rsid w:val="00C262EF"/>
    <w:rsid w:val="00C309FF"/>
    <w:rsid w:val="00C30DC9"/>
    <w:rsid w:val="00C31323"/>
    <w:rsid w:val="00C31986"/>
    <w:rsid w:val="00C32575"/>
    <w:rsid w:val="00C3279A"/>
    <w:rsid w:val="00C3328F"/>
    <w:rsid w:val="00C339DF"/>
    <w:rsid w:val="00C35AE2"/>
    <w:rsid w:val="00C3616D"/>
    <w:rsid w:val="00C366D5"/>
    <w:rsid w:val="00C372B8"/>
    <w:rsid w:val="00C3730A"/>
    <w:rsid w:val="00C37ED6"/>
    <w:rsid w:val="00C40944"/>
    <w:rsid w:val="00C4166F"/>
    <w:rsid w:val="00C42FCD"/>
    <w:rsid w:val="00C4360C"/>
    <w:rsid w:val="00C43F2D"/>
    <w:rsid w:val="00C446B7"/>
    <w:rsid w:val="00C4492A"/>
    <w:rsid w:val="00C44DD8"/>
    <w:rsid w:val="00C45778"/>
    <w:rsid w:val="00C4577B"/>
    <w:rsid w:val="00C461B3"/>
    <w:rsid w:val="00C470E4"/>
    <w:rsid w:val="00C471FA"/>
    <w:rsid w:val="00C47383"/>
    <w:rsid w:val="00C50900"/>
    <w:rsid w:val="00C51584"/>
    <w:rsid w:val="00C523CA"/>
    <w:rsid w:val="00C525AA"/>
    <w:rsid w:val="00C53E4B"/>
    <w:rsid w:val="00C543E7"/>
    <w:rsid w:val="00C54C0C"/>
    <w:rsid w:val="00C568A8"/>
    <w:rsid w:val="00C607E9"/>
    <w:rsid w:val="00C62030"/>
    <w:rsid w:val="00C62148"/>
    <w:rsid w:val="00C6425E"/>
    <w:rsid w:val="00C643D4"/>
    <w:rsid w:val="00C656F1"/>
    <w:rsid w:val="00C65C9C"/>
    <w:rsid w:val="00C66AC9"/>
    <w:rsid w:val="00C7104B"/>
    <w:rsid w:val="00C7158D"/>
    <w:rsid w:val="00C722C1"/>
    <w:rsid w:val="00C7232D"/>
    <w:rsid w:val="00C73A5E"/>
    <w:rsid w:val="00C74105"/>
    <w:rsid w:val="00C7441D"/>
    <w:rsid w:val="00C74A70"/>
    <w:rsid w:val="00C7599C"/>
    <w:rsid w:val="00C77003"/>
    <w:rsid w:val="00C77DC5"/>
    <w:rsid w:val="00C807B3"/>
    <w:rsid w:val="00C80843"/>
    <w:rsid w:val="00C82286"/>
    <w:rsid w:val="00C8293E"/>
    <w:rsid w:val="00C82E6F"/>
    <w:rsid w:val="00C83494"/>
    <w:rsid w:val="00C8387C"/>
    <w:rsid w:val="00C83D99"/>
    <w:rsid w:val="00C83DB4"/>
    <w:rsid w:val="00C84B2C"/>
    <w:rsid w:val="00C85322"/>
    <w:rsid w:val="00C85A28"/>
    <w:rsid w:val="00C86E98"/>
    <w:rsid w:val="00C9003F"/>
    <w:rsid w:val="00C90D97"/>
    <w:rsid w:val="00C92488"/>
    <w:rsid w:val="00C93C92"/>
    <w:rsid w:val="00C940C0"/>
    <w:rsid w:val="00C9514E"/>
    <w:rsid w:val="00C95A50"/>
    <w:rsid w:val="00C95DC0"/>
    <w:rsid w:val="00C95E8C"/>
    <w:rsid w:val="00C96468"/>
    <w:rsid w:val="00CA45A7"/>
    <w:rsid w:val="00CA48A9"/>
    <w:rsid w:val="00CA5653"/>
    <w:rsid w:val="00CA59CC"/>
    <w:rsid w:val="00CA609A"/>
    <w:rsid w:val="00CA6924"/>
    <w:rsid w:val="00CA792A"/>
    <w:rsid w:val="00CB0E80"/>
    <w:rsid w:val="00CB309F"/>
    <w:rsid w:val="00CB537A"/>
    <w:rsid w:val="00CB542F"/>
    <w:rsid w:val="00CB580E"/>
    <w:rsid w:val="00CB5A02"/>
    <w:rsid w:val="00CB63F9"/>
    <w:rsid w:val="00CB6D40"/>
    <w:rsid w:val="00CB7411"/>
    <w:rsid w:val="00CB7C3D"/>
    <w:rsid w:val="00CC080F"/>
    <w:rsid w:val="00CC10C9"/>
    <w:rsid w:val="00CC19ED"/>
    <w:rsid w:val="00CC1E0A"/>
    <w:rsid w:val="00CC26D1"/>
    <w:rsid w:val="00CC2A9F"/>
    <w:rsid w:val="00CC2F02"/>
    <w:rsid w:val="00CC3AA0"/>
    <w:rsid w:val="00CC48E1"/>
    <w:rsid w:val="00CC539E"/>
    <w:rsid w:val="00CC5FEE"/>
    <w:rsid w:val="00CC602C"/>
    <w:rsid w:val="00CC620B"/>
    <w:rsid w:val="00CC63D3"/>
    <w:rsid w:val="00CC68BD"/>
    <w:rsid w:val="00CC764C"/>
    <w:rsid w:val="00CD00FF"/>
    <w:rsid w:val="00CD06C0"/>
    <w:rsid w:val="00CD10E1"/>
    <w:rsid w:val="00CD2EBB"/>
    <w:rsid w:val="00CD37ED"/>
    <w:rsid w:val="00CD432A"/>
    <w:rsid w:val="00CD4574"/>
    <w:rsid w:val="00CD534C"/>
    <w:rsid w:val="00CD540D"/>
    <w:rsid w:val="00CD70E3"/>
    <w:rsid w:val="00CE03CC"/>
    <w:rsid w:val="00CE06C1"/>
    <w:rsid w:val="00CE0727"/>
    <w:rsid w:val="00CE09FE"/>
    <w:rsid w:val="00CE144A"/>
    <w:rsid w:val="00CE2235"/>
    <w:rsid w:val="00CE3A06"/>
    <w:rsid w:val="00CE470E"/>
    <w:rsid w:val="00CE48F6"/>
    <w:rsid w:val="00CE5544"/>
    <w:rsid w:val="00CE5DF6"/>
    <w:rsid w:val="00CE60DC"/>
    <w:rsid w:val="00CE6281"/>
    <w:rsid w:val="00CE6913"/>
    <w:rsid w:val="00CE744C"/>
    <w:rsid w:val="00CF257C"/>
    <w:rsid w:val="00CF2E66"/>
    <w:rsid w:val="00CF4295"/>
    <w:rsid w:val="00CF4457"/>
    <w:rsid w:val="00CF510D"/>
    <w:rsid w:val="00CF5AF5"/>
    <w:rsid w:val="00CF5DAD"/>
    <w:rsid w:val="00D0013C"/>
    <w:rsid w:val="00D0042D"/>
    <w:rsid w:val="00D0232D"/>
    <w:rsid w:val="00D025DF"/>
    <w:rsid w:val="00D02EBF"/>
    <w:rsid w:val="00D0387B"/>
    <w:rsid w:val="00D03964"/>
    <w:rsid w:val="00D043C9"/>
    <w:rsid w:val="00D04585"/>
    <w:rsid w:val="00D05386"/>
    <w:rsid w:val="00D05BC6"/>
    <w:rsid w:val="00D06B4B"/>
    <w:rsid w:val="00D072E2"/>
    <w:rsid w:val="00D07D9E"/>
    <w:rsid w:val="00D10A01"/>
    <w:rsid w:val="00D11424"/>
    <w:rsid w:val="00D122F6"/>
    <w:rsid w:val="00D13C4A"/>
    <w:rsid w:val="00D14381"/>
    <w:rsid w:val="00D15C7C"/>
    <w:rsid w:val="00D1632F"/>
    <w:rsid w:val="00D163FA"/>
    <w:rsid w:val="00D16704"/>
    <w:rsid w:val="00D16C51"/>
    <w:rsid w:val="00D20598"/>
    <w:rsid w:val="00D20795"/>
    <w:rsid w:val="00D20E94"/>
    <w:rsid w:val="00D21010"/>
    <w:rsid w:val="00D21FB2"/>
    <w:rsid w:val="00D221C5"/>
    <w:rsid w:val="00D22C72"/>
    <w:rsid w:val="00D24D5B"/>
    <w:rsid w:val="00D253F9"/>
    <w:rsid w:val="00D2643D"/>
    <w:rsid w:val="00D26B24"/>
    <w:rsid w:val="00D26F53"/>
    <w:rsid w:val="00D272DC"/>
    <w:rsid w:val="00D27DD2"/>
    <w:rsid w:val="00D3035B"/>
    <w:rsid w:val="00D31082"/>
    <w:rsid w:val="00D3143C"/>
    <w:rsid w:val="00D3189B"/>
    <w:rsid w:val="00D31BED"/>
    <w:rsid w:val="00D31C20"/>
    <w:rsid w:val="00D31E24"/>
    <w:rsid w:val="00D32F02"/>
    <w:rsid w:val="00D33F19"/>
    <w:rsid w:val="00D34DEE"/>
    <w:rsid w:val="00D34E67"/>
    <w:rsid w:val="00D3634D"/>
    <w:rsid w:val="00D40002"/>
    <w:rsid w:val="00D40CBA"/>
    <w:rsid w:val="00D41839"/>
    <w:rsid w:val="00D41F72"/>
    <w:rsid w:val="00D42A93"/>
    <w:rsid w:val="00D4300D"/>
    <w:rsid w:val="00D43825"/>
    <w:rsid w:val="00D440EA"/>
    <w:rsid w:val="00D4447F"/>
    <w:rsid w:val="00D46426"/>
    <w:rsid w:val="00D46B84"/>
    <w:rsid w:val="00D472E2"/>
    <w:rsid w:val="00D477EA"/>
    <w:rsid w:val="00D47BEA"/>
    <w:rsid w:val="00D47BF7"/>
    <w:rsid w:val="00D47F39"/>
    <w:rsid w:val="00D50A8F"/>
    <w:rsid w:val="00D5156C"/>
    <w:rsid w:val="00D51634"/>
    <w:rsid w:val="00D51F8B"/>
    <w:rsid w:val="00D5275B"/>
    <w:rsid w:val="00D527C1"/>
    <w:rsid w:val="00D528C5"/>
    <w:rsid w:val="00D52B78"/>
    <w:rsid w:val="00D53356"/>
    <w:rsid w:val="00D53552"/>
    <w:rsid w:val="00D53C1E"/>
    <w:rsid w:val="00D560CC"/>
    <w:rsid w:val="00D56AB4"/>
    <w:rsid w:val="00D56F60"/>
    <w:rsid w:val="00D57123"/>
    <w:rsid w:val="00D60154"/>
    <w:rsid w:val="00D60418"/>
    <w:rsid w:val="00D60D3C"/>
    <w:rsid w:val="00D6102C"/>
    <w:rsid w:val="00D6186C"/>
    <w:rsid w:val="00D63EF6"/>
    <w:rsid w:val="00D64DA1"/>
    <w:rsid w:val="00D65B90"/>
    <w:rsid w:val="00D6627B"/>
    <w:rsid w:val="00D6738D"/>
    <w:rsid w:val="00D67654"/>
    <w:rsid w:val="00D70826"/>
    <w:rsid w:val="00D7152E"/>
    <w:rsid w:val="00D71B97"/>
    <w:rsid w:val="00D72863"/>
    <w:rsid w:val="00D73FA7"/>
    <w:rsid w:val="00D74040"/>
    <w:rsid w:val="00D74915"/>
    <w:rsid w:val="00D75694"/>
    <w:rsid w:val="00D80172"/>
    <w:rsid w:val="00D80FD2"/>
    <w:rsid w:val="00D8205A"/>
    <w:rsid w:val="00D824F8"/>
    <w:rsid w:val="00D837DC"/>
    <w:rsid w:val="00D83A20"/>
    <w:rsid w:val="00D83D12"/>
    <w:rsid w:val="00D85D81"/>
    <w:rsid w:val="00D86374"/>
    <w:rsid w:val="00D87108"/>
    <w:rsid w:val="00D87174"/>
    <w:rsid w:val="00D878D1"/>
    <w:rsid w:val="00D87A4B"/>
    <w:rsid w:val="00D87BC4"/>
    <w:rsid w:val="00D92508"/>
    <w:rsid w:val="00D936DA"/>
    <w:rsid w:val="00D9399F"/>
    <w:rsid w:val="00D94BBF"/>
    <w:rsid w:val="00D954A1"/>
    <w:rsid w:val="00D957B8"/>
    <w:rsid w:val="00D95948"/>
    <w:rsid w:val="00D95A61"/>
    <w:rsid w:val="00D95F3E"/>
    <w:rsid w:val="00D96688"/>
    <w:rsid w:val="00D96857"/>
    <w:rsid w:val="00D96A1F"/>
    <w:rsid w:val="00D96B86"/>
    <w:rsid w:val="00DA24DE"/>
    <w:rsid w:val="00DA2588"/>
    <w:rsid w:val="00DA2773"/>
    <w:rsid w:val="00DA31B3"/>
    <w:rsid w:val="00DA3A11"/>
    <w:rsid w:val="00DA3F75"/>
    <w:rsid w:val="00DA4899"/>
    <w:rsid w:val="00DA5639"/>
    <w:rsid w:val="00DA5979"/>
    <w:rsid w:val="00DB0774"/>
    <w:rsid w:val="00DB0FCC"/>
    <w:rsid w:val="00DB1FCC"/>
    <w:rsid w:val="00DB2213"/>
    <w:rsid w:val="00DB2380"/>
    <w:rsid w:val="00DB295B"/>
    <w:rsid w:val="00DB2AD0"/>
    <w:rsid w:val="00DB3F50"/>
    <w:rsid w:val="00DB42AF"/>
    <w:rsid w:val="00DB443C"/>
    <w:rsid w:val="00DB4B16"/>
    <w:rsid w:val="00DB70EE"/>
    <w:rsid w:val="00DC0ACC"/>
    <w:rsid w:val="00DC17E0"/>
    <w:rsid w:val="00DC2C3C"/>
    <w:rsid w:val="00DC335F"/>
    <w:rsid w:val="00DC634D"/>
    <w:rsid w:val="00DC75A2"/>
    <w:rsid w:val="00DD03B7"/>
    <w:rsid w:val="00DD0A6F"/>
    <w:rsid w:val="00DD0D5D"/>
    <w:rsid w:val="00DD1F1C"/>
    <w:rsid w:val="00DD346C"/>
    <w:rsid w:val="00DD4F4B"/>
    <w:rsid w:val="00DD6953"/>
    <w:rsid w:val="00DD6A82"/>
    <w:rsid w:val="00DD7A48"/>
    <w:rsid w:val="00DE00B2"/>
    <w:rsid w:val="00DE0A95"/>
    <w:rsid w:val="00DE290B"/>
    <w:rsid w:val="00DE34E3"/>
    <w:rsid w:val="00DE377E"/>
    <w:rsid w:val="00DE3808"/>
    <w:rsid w:val="00DE387B"/>
    <w:rsid w:val="00DE3D7F"/>
    <w:rsid w:val="00DE3DDD"/>
    <w:rsid w:val="00DE446E"/>
    <w:rsid w:val="00DE7264"/>
    <w:rsid w:val="00DF051E"/>
    <w:rsid w:val="00DF06A9"/>
    <w:rsid w:val="00DF2103"/>
    <w:rsid w:val="00DF334D"/>
    <w:rsid w:val="00DF340E"/>
    <w:rsid w:val="00DF49CD"/>
    <w:rsid w:val="00DF5635"/>
    <w:rsid w:val="00DF77DB"/>
    <w:rsid w:val="00DF7F50"/>
    <w:rsid w:val="00E005F8"/>
    <w:rsid w:val="00E00DBB"/>
    <w:rsid w:val="00E012E2"/>
    <w:rsid w:val="00E01631"/>
    <w:rsid w:val="00E01D12"/>
    <w:rsid w:val="00E02161"/>
    <w:rsid w:val="00E03554"/>
    <w:rsid w:val="00E03BFC"/>
    <w:rsid w:val="00E0448D"/>
    <w:rsid w:val="00E04C16"/>
    <w:rsid w:val="00E05DDD"/>
    <w:rsid w:val="00E06D7D"/>
    <w:rsid w:val="00E10430"/>
    <w:rsid w:val="00E10A05"/>
    <w:rsid w:val="00E10BE5"/>
    <w:rsid w:val="00E11B61"/>
    <w:rsid w:val="00E122CB"/>
    <w:rsid w:val="00E126B1"/>
    <w:rsid w:val="00E12B84"/>
    <w:rsid w:val="00E137A7"/>
    <w:rsid w:val="00E13A0C"/>
    <w:rsid w:val="00E13B11"/>
    <w:rsid w:val="00E148DA"/>
    <w:rsid w:val="00E15078"/>
    <w:rsid w:val="00E16211"/>
    <w:rsid w:val="00E16672"/>
    <w:rsid w:val="00E206F0"/>
    <w:rsid w:val="00E22837"/>
    <w:rsid w:val="00E23B6B"/>
    <w:rsid w:val="00E2432B"/>
    <w:rsid w:val="00E25114"/>
    <w:rsid w:val="00E25166"/>
    <w:rsid w:val="00E264D0"/>
    <w:rsid w:val="00E279F4"/>
    <w:rsid w:val="00E27A9C"/>
    <w:rsid w:val="00E27EE7"/>
    <w:rsid w:val="00E300C5"/>
    <w:rsid w:val="00E30415"/>
    <w:rsid w:val="00E311AA"/>
    <w:rsid w:val="00E31A5E"/>
    <w:rsid w:val="00E32520"/>
    <w:rsid w:val="00E3272A"/>
    <w:rsid w:val="00E3307A"/>
    <w:rsid w:val="00E331AF"/>
    <w:rsid w:val="00E3333E"/>
    <w:rsid w:val="00E336F6"/>
    <w:rsid w:val="00E33B91"/>
    <w:rsid w:val="00E34D0D"/>
    <w:rsid w:val="00E35B27"/>
    <w:rsid w:val="00E3660A"/>
    <w:rsid w:val="00E36DE4"/>
    <w:rsid w:val="00E37229"/>
    <w:rsid w:val="00E37472"/>
    <w:rsid w:val="00E37D5C"/>
    <w:rsid w:val="00E40626"/>
    <w:rsid w:val="00E40EC2"/>
    <w:rsid w:val="00E40F45"/>
    <w:rsid w:val="00E420C7"/>
    <w:rsid w:val="00E4358F"/>
    <w:rsid w:val="00E4386F"/>
    <w:rsid w:val="00E4496F"/>
    <w:rsid w:val="00E44ABB"/>
    <w:rsid w:val="00E44EFC"/>
    <w:rsid w:val="00E44FE4"/>
    <w:rsid w:val="00E508D2"/>
    <w:rsid w:val="00E51B74"/>
    <w:rsid w:val="00E52AB4"/>
    <w:rsid w:val="00E53B8F"/>
    <w:rsid w:val="00E53D89"/>
    <w:rsid w:val="00E54298"/>
    <w:rsid w:val="00E5654B"/>
    <w:rsid w:val="00E56A75"/>
    <w:rsid w:val="00E57404"/>
    <w:rsid w:val="00E57F23"/>
    <w:rsid w:val="00E607F8"/>
    <w:rsid w:val="00E60D69"/>
    <w:rsid w:val="00E61B30"/>
    <w:rsid w:val="00E6272A"/>
    <w:rsid w:val="00E629B9"/>
    <w:rsid w:val="00E62AAE"/>
    <w:rsid w:val="00E6302B"/>
    <w:rsid w:val="00E63707"/>
    <w:rsid w:val="00E641CC"/>
    <w:rsid w:val="00E64431"/>
    <w:rsid w:val="00E65341"/>
    <w:rsid w:val="00E6560C"/>
    <w:rsid w:val="00E66256"/>
    <w:rsid w:val="00E66794"/>
    <w:rsid w:val="00E67FDE"/>
    <w:rsid w:val="00E70123"/>
    <w:rsid w:val="00E70E77"/>
    <w:rsid w:val="00E7140A"/>
    <w:rsid w:val="00E72D69"/>
    <w:rsid w:val="00E7423E"/>
    <w:rsid w:val="00E744C3"/>
    <w:rsid w:val="00E75556"/>
    <w:rsid w:val="00E75852"/>
    <w:rsid w:val="00E76169"/>
    <w:rsid w:val="00E77081"/>
    <w:rsid w:val="00E7791E"/>
    <w:rsid w:val="00E77EF7"/>
    <w:rsid w:val="00E804CE"/>
    <w:rsid w:val="00E805B7"/>
    <w:rsid w:val="00E80AA0"/>
    <w:rsid w:val="00E81C8F"/>
    <w:rsid w:val="00E820E8"/>
    <w:rsid w:val="00E8217D"/>
    <w:rsid w:val="00E821BD"/>
    <w:rsid w:val="00E82CF4"/>
    <w:rsid w:val="00E8380F"/>
    <w:rsid w:val="00E84191"/>
    <w:rsid w:val="00E846AD"/>
    <w:rsid w:val="00E855B9"/>
    <w:rsid w:val="00E86147"/>
    <w:rsid w:val="00E86229"/>
    <w:rsid w:val="00E86BDD"/>
    <w:rsid w:val="00E879EA"/>
    <w:rsid w:val="00E9133B"/>
    <w:rsid w:val="00E917E9"/>
    <w:rsid w:val="00E91A43"/>
    <w:rsid w:val="00E91D84"/>
    <w:rsid w:val="00E9298B"/>
    <w:rsid w:val="00E941BE"/>
    <w:rsid w:val="00E945C5"/>
    <w:rsid w:val="00E94A13"/>
    <w:rsid w:val="00E94A2A"/>
    <w:rsid w:val="00E956CD"/>
    <w:rsid w:val="00E95FDC"/>
    <w:rsid w:val="00E969FB"/>
    <w:rsid w:val="00E9737D"/>
    <w:rsid w:val="00E97FE9"/>
    <w:rsid w:val="00E97FFB"/>
    <w:rsid w:val="00EA185C"/>
    <w:rsid w:val="00EA286B"/>
    <w:rsid w:val="00EA3543"/>
    <w:rsid w:val="00EA3D0E"/>
    <w:rsid w:val="00EA45A6"/>
    <w:rsid w:val="00EA5C44"/>
    <w:rsid w:val="00EA6AF5"/>
    <w:rsid w:val="00EA6BE5"/>
    <w:rsid w:val="00EA730D"/>
    <w:rsid w:val="00EB0D81"/>
    <w:rsid w:val="00EB1CD1"/>
    <w:rsid w:val="00EB1D81"/>
    <w:rsid w:val="00EB35E5"/>
    <w:rsid w:val="00EB53CC"/>
    <w:rsid w:val="00EB5854"/>
    <w:rsid w:val="00EB643C"/>
    <w:rsid w:val="00EB68C6"/>
    <w:rsid w:val="00EB715B"/>
    <w:rsid w:val="00EC1A09"/>
    <w:rsid w:val="00EC1C20"/>
    <w:rsid w:val="00EC4D6C"/>
    <w:rsid w:val="00EC5442"/>
    <w:rsid w:val="00EC61B6"/>
    <w:rsid w:val="00EC632A"/>
    <w:rsid w:val="00EC640B"/>
    <w:rsid w:val="00EC6745"/>
    <w:rsid w:val="00EC6B5F"/>
    <w:rsid w:val="00ED008C"/>
    <w:rsid w:val="00ED0FE5"/>
    <w:rsid w:val="00ED1184"/>
    <w:rsid w:val="00ED15ED"/>
    <w:rsid w:val="00ED20C3"/>
    <w:rsid w:val="00ED342A"/>
    <w:rsid w:val="00ED38AC"/>
    <w:rsid w:val="00ED4FA1"/>
    <w:rsid w:val="00ED5BCE"/>
    <w:rsid w:val="00ED646E"/>
    <w:rsid w:val="00ED6AF1"/>
    <w:rsid w:val="00ED6DA8"/>
    <w:rsid w:val="00ED76AD"/>
    <w:rsid w:val="00EE0C0C"/>
    <w:rsid w:val="00EE1C60"/>
    <w:rsid w:val="00EE2019"/>
    <w:rsid w:val="00EE2A5C"/>
    <w:rsid w:val="00EE312A"/>
    <w:rsid w:val="00EE336F"/>
    <w:rsid w:val="00EE36CB"/>
    <w:rsid w:val="00EE3B14"/>
    <w:rsid w:val="00EE3D2E"/>
    <w:rsid w:val="00EE3F90"/>
    <w:rsid w:val="00EE5472"/>
    <w:rsid w:val="00EE5787"/>
    <w:rsid w:val="00EE5933"/>
    <w:rsid w:val="00EE646B"/>
    <w:rsid w:val="00EE64BE"/>
    <w:rsid w:val="00EE6771"/>
    <w:rsid w:val="00EF077D"/>
    <w:rsid w:val="00EF1C21"/>
    <w:rsid w:val="00EF23BE"/>
    <w:rsid w:val="00EF2611"/>
    <w:rsid w:val="00EF30BD"/>
    <w:rsid w:val="00EF3AFB"/>
    <w:rsid w:val="00EF4B8A"/>
    <w:rsid w:val="00F003AE"/>
    <w:rsid w:val="00F00D0C"/>
    <w:rsid w:val="00F010EF"/>
    <w:rsid w:val="00F018EE"/>
    <w:rsid w:val="00F038CF"/>
    <w:rsid w:val="00F043FF"/>
    <w:rsid w:val="00F051E8"/>
    <w:rsid w:val="00F05E69"/>
    <w:rsid w:val="00F06504"/>
    <w:rsid w:val="00F06BBE"/>
    <w:rsid w:val="00F06F2D"/>
    <w:rsid w:val="00F06FD8"/>
    <w:rsid w:val="00F0769F"/>
    <w:rsid w:val="00F104D8"/>
    <w:rsid w:val="00F117F6"/>
    <w:rsid w:val="00F11DD9"/>
    <w:rsid w:val="00F11F99"/>
    <w:rsid w:val="00F12144"/>
    <w:rsid w:val="00F1271D"/>
    <w:rsid w:val="00F1367F"/>
    <w:rsid w:val="00F13AF0"/>
    <w:rsid w:val="00F13BDA"/>
    <w:rsid w:val="00F14045"/>
    <w:rsid w:val="00F14920"/>
    <w:rsid w:val="00F1629C"/>
    <w:rsid w:val="00F16C8F"/>
    <w:rsid w:val="00F17114"/>
    <w:rsid w:val="00F177C9"/>
    <w:rsid w:val="00F17E49"/>
    <w:rsid w:val="00F17E8C"/>
    <w:rsid w:val="00F202ED"/>
    <w:rsid w:val="00F2031F"/>
    <w:rsid w:val="00F2097C"/>
    <w:rsid w:val="00F22994"/>
    <w:rsid w:val="00F22AE2"/>
    <w:rsid w:val="00F22E86"/>
    <w:rsid w:val="00F240CD"/>
    <w:rsid w:val="00F24916"/>
    <w:rsid w:val="00F25333"/>
    <w:rsid w:val="00F2616F"/>
    <w:rsid w:val="00F276BA"/>
    <w:rsid w:val="00F27726"/>
    <w:rsid w:val="00F30181"/>
    <w:rsid w:val="00F30C9F"/>
    <w:rsid w:val="00F31C58"/>
    <w:rsid w:val="00F3211A"/>
    <w:rsid w:val="00F32383"/>
    <w:rsid w:val="00F328D8"/>
    <w:rsid w:val="00F33660"/>
    <w:rsid w:val="00F341AC"/>
    <w:rsid w:val="00F3654E"/>
    <w:rsid w:val="00F36831"/>
    <w:rsid w:val="00F36DD4"/>
    <w:rsid w:val="00F371B0"/>
    <w:rsid w:val="00F37910"/>
    <w:rsid w:val="00F40ECA"/>
    <w:rsid w:val="00F41859"/>
    <w:rsid w:val="00F41CEF"/>
    <w:rsid w:val="00F42210"/>
    <w:rsid w:val="00F42314"/>
    <w:rsid w:val="00F4251D"/>
    <w:rsid w:val="00F4688E"/>
    <w:rsid w:val="00F472FE"/>
    <w:rsid w:val="00F47839"/>
    <w:rsid w:val="00F50476"/>
    <w:rsid w:val="00F52601"/>
    <w:rsid w:val="00F52711"/>
    <w:rsid w:val="00F5291C"/>
    <w:rsid w:val="00F52C1E"/>
    <w:rsid w:val="00F54BFC"/>
    <w:rsid w:val="00F5573C"/>
    <w:rsid w:val="00F55C31"/>
    <w:rsid w:val="00F56D8A"/>
    <w:rsid w:val="00F56EAB"/>
    <w:rsid w:val="00F60F7F"/>
    <w:rsid w:val="00F61749"/>
    <w:rsid w:val="00F61D8F"/>
    <w:rsid w:val="00F6251D"/>
    <w:rsid w:val="00F62AE7"/>
    <w:rsid w:val="00F646E0"/>
    <w:rsid w:val="00F660E4"/>
    <w:rsid w:val="00F660F0"/>
    <w:rsid w:val="00F6667D"/>
    <w:rsid w:val="00F673FA"/>
    <w:rsid w:val="00F67995"/>
    <w:rsid w:val="00F702B4"/>
    <w:rsid w:val="00F70B8B"/>
    <w:rsid w:val="00F71FF6"/>
    <w:rsid w:val="00F7207B"/>
    <w:rsid w:val="00F7253B"/>
    <w:rsid w:val="00F72821"/>
    <w:rsid w:val="00F72C8C"/>
    <w:rsid w:val="00F735C8"/>
    <w:rsid w:val="00F735EB"/>
    <w:rsid w:val="00F738F4"/>
    <w:rsid w:val="00F74021"/>
    <w:rsid w:val="00F7413A"/>
    <w:rsid w:val="00F74566"/>
    <w:rsid w:val="00F74A37"/>
    <w:rsid w:val="00F758E0"/>
    <w:rsid w:val="00F7651E"/>
    <w:rsid w:val="00F776C2"/>
    <w:rsid w:val="00F8009E"/>
    <w:rsid w:val="00F80336"/>
    <w:rsid w:val="00F807C9"/>
    <w:rsid w:val="00F80955"/>
    <w:rsid w:val="00F80971"/>
    <w:rsid w:val="00F80A33"/>
    <w:rsid w:val="00F81445"/>
    <w:rsid w:val="00F81846"/>
    <w:rsid w:val="00F830A3"/>
    <w:rsid w:val="00F831A0"/>
    <w:rsid w:val="00F838EC"/>
    <w:rsid w:val="00F84FDE"/>
    <w:rsid w:val="00F86BE0"/>
    <w:rsid w:val="00F90F26"/>
    <w:rsid w:val="00F917E7"/>
    <w:rsid w:val="00F917ED"/>
    <w:rsid w:val="00F92272"/>
    <w:rsid w:val="00F92CF9"/>
    <w:rsid w:val="00F93EED"/>
    <w:rsid w:val="00F941E9"/>
    <w:rsid w:val="00F94A96"/>
    <w:rsid w:val="00F94C76"/>
    <w:rsid w:val="00F95A9B"/>
    <w:rsid w:val="00F95B8B"/>
    <w:rsid w:val="00F96F44"/>
    <w:rsid w:val="00FA038A"/>
    <w:rsid w:val="00FA0419"/>
    <w:rsid w:val="00FA13FA"/>
    <w:rsid w:val="00FA158E"/>
    <w:rsid w:val="00FA175E"/>
    <w:rsid w:val="00FA27BF"/>
    <w:rsid w:val="00FA2C95"/>
    <w:rsid w:val="00FA3A7A"/>
    <w:rsid w:val="00FA4BCB"/>
    <w:rsid w:val="00FA537B"/>
    <w:rsid w:val="00FA57C2"/>
    <w:rsid w:val="00FA588D"/>
    <w:rsid w:val="00FA598F"/>
    <w:rsid w:val="00FA5E85"/>
    <w:rsid w:val="00FA6C6D"/>
    <w:rsid w:val="00FB00B3"/>
    <w:rsid w:val="00FB0463"/>
    <w:rsid w:val="00FB1BBD"/>
    <w:rsid w:val="00FB2D3E"/>
    <w:rsid w:val="00FB3046"/>
    <w:rsid w:val="00FB3F06"/>
    <w:rsid w:val="00FB4415"/>
    <w:rsid w:val="00FB4AC3"/>
    <w:rsid w:val="00FB5620"/>
    <w:rsid w:val="00FB5935"/>
    <w:rsid w:val="00FB5FF7"/>
    <w:rsid w:val="00FB618D"/>
    <w:rsid w:val="00FB65DD"/>
    <w:rsid w:val="00FB6FAD"/>
    <w:rsid w:val="00FB7097"/>
    <w:rsid w:val="00FB7DF0"/>
    <w:rsid w:val="00FC07A2"/>
    <w:rsid w:val="00FC2CD2"/>
    <w:rsid w:val="00FC3378"/>
    <w:rsid w:val="00FC3B77"/>
    <w:rsid w:val="00FC3C18"/>
    <w:rsid w:val="00FC4C0B"/>
    <w:rsid w:val="00FC51A7"/>
    <w:rsid w:val="00FC5666"/>
    <w:rsid w:val="00FC5956"/>
    <w:rsid w:val="00FC677B"/>
    <w:rsid w:val="00FC6CB2"/>
    <w:rsid w:val="00FC7A7A"/>
    <w:rsid w:val="00FD0288"/>
    <w:rsid w:val="00FD032A"/>
    <w:rsid w:val="00FD14F4"/>
    <w:rsid w:val="00FD216C"/>
    <w:rsid w:val="00FD2AB3"/>
    <w:rsid w:val="00FD644F"/>
    <w:rsid w:val="00FD6D0B"/>
    <w:rsid w:val="00FD7188"/>
    <w:rsid w:val="00FD7785"/>
    <w:rsid w:val="00FD7F1C"/>
    <w:rsid w:val="00FD7F51"/>
    <w:rsid w:val="00FD7F85"/>
    <w:rsid w:val="00FE00D2"/>
    <w:rsid w:val="00FE2CF4"/>
    <w:rsid w:val="00FE354A"/>
    <w:rsid w:val="00FE365C"/>
    <w:rsid w:val="00FE3AAB"/>
    <w:rsid w:val="00FE478E"/>
    <w:rsid w:val="00FE62E8"/>
    <w:rsid w:val="00FE680E"/>
    <w:rsid w:val="00FE6CC5"/>
    <w:rsid w:val="00FE7A4A"/>
    <w:rsid w:val="00FE7AC1"/>
    <w:rsid w:val="00FF02C5"/>
    <w:rsid w:val="00FF02CA"/>
    <w:rsid w:val="00FF08E4"/>
    <w:rsid w:val="00FF1954"/>
    <w:rsid w:val="00FF566A"/>
    <w:rsid w:val="00FF5AF8"/>
    <w:rsid w:val="00FF5BBF"/>
    <w:rsid w:val="37DD07D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C1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Batang" w:hAnsi="Calibri" w:cs="Times New Roman"/>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72"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eastAsia="en-US"/>
    </w:rPr>
  </w:style>
  <w:style w:type="paragraph" w:styleId="Heading1">
    <w:name w:val="heading 1"/>
    <w:basedOn w:val="Normal"/>
    <w:next w:val="Normal"/>
    <w:link w:val="Heading1Char"/>
    <w:uiPriority w:val="9"/>
    <w:qFormat/>
    <w:rsid w:val="007374FF"/>
    <w:pPr>
      <w:keepNext/>
      <w:numPr>
        <w:numId w:val="1"/>
      </w:numPr>
      <w:spacing w:after="0" w:line="240" w:lineRule="auto"/>
      <w:outlineLvl w:val="0"/>
    </w:pPr>
    <w:rPr>
      <w:rFonts w:ascii="Cambria" w:eastAsia="Times New Roman" w:hAnsi="Cambria"/>
      <w:b/>
      <w:sz w:val="20"/>
      <w:szCs w:val="20"/>
      <w:lang w:val="es-ES_tradnl"/>
    </w:rPr>
  </w:style>
  <w:style w:type="paragraph" w:styleId="Heading2">
    <w:name w:val="heading 2"/>
    <w:basedOn w:val="Normal"/>
    <w:next w:val="Normal"/>
    <w:link w:val="Heading2Char"/>
    <w:qFormat/>
    <w:rsid w:val="007374FF"/>
    <w:pPr>
      <w:keepNext/>
      <w:spacing w:after="0" w:line="240" w:lineRule="auto"/>
      <w:ind w:firstLine="720"/>
      <w:jc w:val="both"/>
      <w:outlineLvl w:val="1"/>
    </w:pPr>
    <w:rPr>
      <w:rFonts w:ascii="Cambria" w:eastAsia="Times New Roman" w:hAnsi="Cambria"/>
      <w:b/>
      <w:sz w:val="20"/>
      <w:szCs w:val="20"/>
      <w:lang w:val="es-ES_tradnl"/>
    </w:rPr>
  </w:style>
  <w:style w:type="paragraph" w:styleId="Heading3">
    <w:name w:val="heading 3"/>
    <w:basedOn w:val="Normal"/>
    <w:next w:val="Normal"/>
    <w:link w:val="Heading3Char"/>
    <w:uiPriority w:val="9"/>
    <w:qFormat/>
    <w:rsid w:val="00BF537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74FF"/>
    <w:rPr>
      <w:rFonts w:ascii="Cambria" w:eastAsia="Times New Roman" w:hAnsi="Cambria"/>
      <w:b/>
      <w:sz w:val="20"/>
      <w:szCs w:val="20"/>
      <w:lang w:eastAsia="en-US"/>
    </w:rPr>
  </w:style>
  <w:style w:type="character" w:customStyle="1" w:styleId="Heading2Char">
    <w:name w:val="Heading 2 Char"/>
    <w:link w:val="Heading2"/>
    <w:rsid w:val="007374FF"/>
    <w:rPr>
      <w:rFonts w:ascii="Cambria" w:eastAsia="Times New Roman" w:hAnsi="Cambria"/>
      <w:b/>
      <w:lang w:val="es-ES_tradnl" w:eastAsia="en-US"/>
    </w:rPr>
  </w:style>
  <w:style w:type="character" w:styleId="Hyperlink">
    <w:name w:val="Hyperlink"/>
    <w:uiPriority w:val="99"/>
    <w:unhideWhenUsed/>
    <w:rsid w:val="007374FF"/>
    <w:rPr>
      <w:u w:val="single"/>
    </w:rPr>
  </w:style>
  <w:style w:type="paragraph" w:styleId="TOC1">
    <w:name w:val="toc 1"/>
    <w:basedOn w:val="Normal"/>
    <w:next w:val="Normal"/>
    <w:autoRedefine/>
    <w:uiPriority w:val="39"/>
    <w:unhideWhenUsed/>
    <w:qFormat/>
    <w:rsid w:val="00243D64"/>
    <w:pPr>
      <w:spacing w:before="120" w:after="0"/>
    </w:pPr>
    <w:rPr>
      <w:b/>
      <w:color w:val="548DD4"/>
      <w:sz w:val="24"/>
      <w:szCs w:val="24"/>
    </w:rPr>
  </w:style>
  <w:style w:type="paragraph" w:styleId="TOC2">
    <w:name w:val="toc 2"/>
    <w:basedOn w:val="Normal"/>
    <w:next w:val="Normal"/>
    <w:autoRedefine/>
    <w:uiPriority w:val="39"/>
    <w:unhideWhenUsed/>
    <w:qFormat/>
    <w:rsid w:val="00E945C5"/>
    <w:pPr>
      <w:spacing w:after="0"/>
    </w:pPr>
    <w:rPr>
      <w:rFonts w:ascii="Cambria" w:hAnsi="Cambria"/>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f Char"/>
    <w:link w:val="FootnoteText"/>
    <w:qFormat/>
    <w:locked/>
    <w:rsid w:val="007374FF"/>
    <w:rPr>
      <w:rFonts w:cs="Calibri"/>
      <w:color w:val="000000"/>
      <w:u w:color="000000"/>
      <w:lang w:val="en-US"/>
    </w:rPr>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
    <w:link w:val="FootnoteTextChar"/>
    <w:unhideWhenUsed/>
    <w:qFormat/>
    <w:rsid w:val="007374FF"/>
    <w:rPr>
      <w:rFonts w:cs="Calibri"/>
      <w:color w:val="000000"/>
      <w:u w:color="000000"/>
      <w:lang w:val="en-US" w:eastAsia="es-CO"/>
    </w:rPr>
  </w:style>
  <w:style w:type="character" w:customStyle="1" w:styleId="FootnoteTextChar1">
    <w:name w:val="Footnote Text Char1"/>
    <w:uiPriority w:val="99"/>
    <w:semiHidden/>
    <w:rsid w:val="007374FF"/>
    <w:rPr>
      <w:lang w:eastAsia="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unhideWhenUsed/>
    <w:qFormat/>
    <w:rsid w:val="007374FF"/>
    <w:rPr>
      <w:rFonts w:ascii="Verdana" w:hAnsi="Verdana"/>
      <w:sz w:val="22"/>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7374FF"/>
    <w:pPr>
      <w:spacing w:before="200" w:after="160" w:line="240" w:lineRule="exact"/>
    </w:pPr>
    <w:rPr>
      <w:rFonts w:ascii="Verdana" w:hAnsi="Verdana"/>
      <w:szCs w:val="20"/>
      <w:vertAlign w:val="superscript"/>
      <w:lang w:eastAsia="es-CO"/>
    </w:rPr>
  </w:style>
  <w:style w:type="paragraph" w:customStyle="1" w:styleId="Cuadrculaclara-nfasis31">
    <w:name w:val="Cuadrícula clara - Énfasis 31"/>
    <w:aliases w:val="Párrafo de lista1,List Paragraph1,List Paragraph11,Colorful List - Accent 11,List Paragraph2"/>
    <w:basedOn w:val="Normal"/>
    <w:link w:val="Cuadrculaclara-nfasis3Car"/>
    <w:uiPriority w:val="99"/>
    <w:qFormat/>
    <w:rsid w:val="007374FF"/>
    <w:pPr>
      <w:ind w:left="708"/>
    </w:pPr>
  </w:style>
  <w:style w:type="character" w:styleId="CommentReference">
    <w:name w:val="annotation reference"/>
    <w:uiPriority w:val="99"/>
    <w:semiHidden/>
    <w:unhideWhenUsed/>
    <w:rsid w:val="007374FF"/>
    <w:rPr>
      <w:sz w:val="16"/>
      <w:szCs w:val="16"/>
    </w:rPr>
  </w:style>
  <w:style w:type="paragraph" w:styleId="CommentText">
    <w:name w:val="annotation text"/>
    <w:basedOn w:val="Normal"/>
    <w:link w:val="CommentTextChar"/>
    <w:uiPriority w:val="99"/>
    <w:semiHidden/>
    <w:unhideWhenUsed/>
    <w:rsid w:val="007374FF"/>
    <w:rPr>
      <w:sz w:val="20"/>
      <w:szCs w:val="20"/>
    </w:rPr>
  </w:style>
  <w:style w:type="character" w:customStyle="1" w:styleId="CommentTextChar">
    <w:name w:val="Comment Text Char"/>
    <w:link w:val="CommentText"/>
    <w:uiPriority w:val="99"/>
    <w:semiHidden/>
    <w:rsid w:val="007374FF"/>
    <w:rPr>
      <w:lang w:eastAsia="en-US"/>
    </w:rPr>
  </w:style>
  <w:style w:type="paragraph" w:styleId="Footer">
    <w:name w:val="footer"/>
    <w:link w:val="FooterChar"/>
    <w:uiPriority w:val="99"/>
    <w:rsid w:val="007374FF"/>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val="en-US"/>
    </w:rPr>
  </w:style>
  <w:style w:type="character" w:customStyle="1" w:styleId="FooterChar">
    <w:name w:val="Footer Char"/>
    <w:link w:val="Footer"/>
    <w:uiPriority w:val="99"/>
    <w:rsid w:val="007374FF"/>
    <w:rPr>
      <w:rFonts w:ascii="Cambria" w:eastAsia="Cambria" w:hAnsi="Cambria" w:cs="Cambria"/>
      <w:color w:val="000000"/>
      <w:sz w:val="24"/>
      <w:szCs w:val="24"/>
      <w:u w:color="000000"/>
      <w:bdr w:val="nil"/>
      <w:lang w:val="en-US" w:eastAsia="es-ES"/>
    </w:rPr>
  </w:style>
  <w:style w:type="paragraph" w:styleId="Header">
    <w:name w:val="header"/>
    <w:aliases w:val="encabezado"/>
    <w:basedOn w:val="Normal"/>
    <w:link w:val="HeaderChar"/>
    <w:rsid w:val="007374FF"/>
    <w:pPr>
      <w:widowControl w:val="0"/>
      <w:tabs>
        <w:tab w:val="center" w:pos="4320"/>
        <w:tab w:val="right" w:pos="8640"/>
      </w:tabs>
      <w:snapToGrid w:val="0"/>
      <w:spacing w:after="0" w:line="240" w:lineRule="auto"/>
    </w:pPr>
    <w:rPr>
      <w:rFonts w:ascii="Univers" w:eastAsia="Times New Roman" w:hAnsi="Univers" w:cs="Univers"/>
      <w:sz w:val="24"/>
      <w:szCs w:val="24"/>
      <w:lang w:val="en-US"/>
    </w:rPr>
  </w:style>
  <w:style w:type="character" w:customStyle="1" w:styleId="HeaderChar">
    <w:name w:val="Header Char"/>
    <w:aliases w:val="encabezado Char"/>
    <w:link w:val="Header"/>
    <w:rsid w:val="007374FF"/>
    <w:rPr>
      <w:rFonts w:ascii="Univers" w:eastAsia="Times New Roman" w:hAnsi="Univers" w:cs="Univers"/>
      <w:sz w:val="24"/>
      <w:szCs w:val="24"/>
      <w:lang w:val="en-US" w:eastAsia="en-US"/>
    </w:rPr>
  </w:style>
  <w:style w:type="character" w:styleId="PageNumber">
    <w:name w:val="page number"/>
    <w:rsid w:val="007374FF"/>
  </w:style>
  <w:style w:type="paragraph" w:styleId="BalloonText">
    <w:name w:val="Balloon Text"/>
    <w:basedOn w:val="Normal"/>
    <w:link w:val="BalloonTextChar"/>
    <w:uiPriority w:val="99"/>
    <w:semiHidden/>
    <w:unhideWhenUsed/>
    <w:rsid w:val="007374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74FF"/>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CD4574"/>
    <w:rPr>
      <w:b/>
      <w:bCs/>
    </w:rPr>
  </w:style>
  <w:style w:type="character" w:customStyle="1" w:styleId="CommentSubjectChar">
    <w:name w:val="Comment Subject Char"/>
    <w:link w:val="CommentSubject"/>
    <w:uiPriority w:val="99"/>
    <w:semiHidden/>
    <w:rsid w:val="00CD4574"/>
    <w:rPr>
      <w:b/>
      <w:bCs/>
      <w:lang w:eastAsia="en-US"/>
    </w:rPr>
  </w:style>
  <w:style w:type="paragraph" w:customStyle="1" w:styleId="1">
    <w:name w:val="1"/>
    <w:basedOn w:val="Normal"/>
    <w:rsid w:val="00E67FDE"/>
    <w:pPr>
      <w:spacing w:after="160" w:line="240" w:lineRule="exact"/>
    </w:pPr>
    <w:rPr>
      <w:sz w:val="20"/>
      <w:szCs w:val="20"/>
      <w:vertAlign w:val="superscript"/>
      <w:lang w:eastAsia="es-CO"/>
    </w:rPr>
  </w:style>
  <w:style w:type="character" w:customStyle="1" w:styleId="Cuadrculaclara-nfasis3Car">
    <w:name w:val="Cuadrícula clara - Énfasis 3 Car"/>
    <w:aliases w:val="Párrafo de lista1 Car,List Paragraph1 Car,List Paragraph11 Car,Colorful List - Accent 11 Car,List Paragraph2 Car"/>
    <w:link w:val="Cuadrculaclara-nfasis31"/>
    <w:locked/>
    <w:rsid w:val="001C1B1B"/>
    <w:rPr>
      <w:sz w:val="22"/>
      <w:szCs w:val="22"/>
      <w:lang w:eastAsia="en-US"/>
    </w:rPr>
  </w:style>
  <w:style w:type="character" w:styleId="Strong">
    <w:name w:val="Strong"/>
    <w:uiPriority w:val="22"/>
    <w:qFormat/>
    <w:rsid w:val="00A04277"/>
    <w:rPr>
      <w:b/>
      <w:bC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0F1B1D"/>
    <w:pPr>
      <w:spacing w:after="160" w:line="240" w:lineRule="exact"/>
    </w:pPr>
    <w:rPr>
      <w:sz w:val="20"/>
      <w:szCs w:val="20"/>
      <w:vertAlign w:val="superscript"/>
      <w:lang w:eastAsia="es-CO"/>
    </w:rPr>
  </w:style>
  <w:style w:type="paragraph" w:styleId="BodyTextIndent">
    <w:name w:val="Body Text Indent"/>
    <w:link w:val="BodyTextIndentChar"/>
    <w:semiHidden/>
    <w:unhideWhenUsed/>
    <w:rsid w:val="00B32172"/>
    <w:pPr>
      <w:ind w:left="2160" w:hanging="720"/>
    </w:pPr>
    <w:rPr>
      <w:rFonts w:ascii="Times New Roman" w:eastAsia="Times New Roman" w:hAnsi="Times New Roman"/>
      <w:color w:val="000000"/>
      <w:u w:color="000000"/>
    </w:rPr>
  </w:style>
  <w:style w:type="character" w:customStyle="1" w:styleId="BodyTextIndentChar">
    <w:name w:val="Body Text Indent Char"/>
    <w:link w:val="BodyTextIndent"/>
    <w:semiHidden/>
    <w:rsid w:val="00B32172"/>
    <w:rPr>
      <w:rFonts w:ascii="Times New Roman" w:eastAsia="Times New Roman" w:hAnsi="Times New Roman"/>
      <w:color w:val="000000"/>
      <w:sz w:val="24"/>
      <w:szCs w:val="24"/>
      <w:u w:color="000000"/>
      <w:lang w:val="es-ES_tradnl" w:eastAsia="es-ES"/>
    </w:rPr>
  </w:style>
  <w:style w:type="character" w:customStyle="1" w:styleId="Heading3Char">
    <w:name w:val="Heading 3 Char"/>
    <w:link w:val="Heading3"/>
    <w:uiPriority w:val="9"/>
    <w:rsid w:val="00BF537F"/>
    <w:rPr>
      <w:rFonts w:ascii="Cambria" w:eastAsia="Times New Roman" w:hAnsi="Cambria" w:cs="Times New Roman"/>
      <w:b/>
      <w:bCs/>
      <w:sz w:val="26"/>
      <w:szCs w:val="26"/>
      <w:lang w:eastAsia="en-US"/>
    </w:rPr>
  </w:style>
  <w:style w:type="paragraph" w:styleId="TOC3">
    <w:name w:val="toc 3"/>
    <w:basedOn w:val="Normal"/>
    <w:next w:val="Normal"/>
    <w:autoRedefine/>
    <w:uiPriority w:val="39"/>
    <w:unhideWhenUsed/>
    <w:rsid w:val="00516F75"/>
    <w:pPr>
      <w:spacing w:after="0"/>
      <w:ind w:left="220"/>
    </w:pPr>
    <w:rPr>
      <w:rFonts w:ascii="Cambria" w:hAnsi="Cambria"/>
      <w:i/>
    </w:rPr>
  </w:style>
  <w:style w:type="paragraph" w:customStyle="1" w:styleId="Cuadrculamediana1-nfasis21">
    <w:name w:val="Cuadrícula mediana 1 - Énfasis 21"/>
    <w:basedOn w:val="Normal"/>
    <w:uiPriority w:val="34"/>
    <w:qFormat/>
    <w:rsid w:val="00210782"/>
    <w:pPr>
      <w:ind w:left="708"/>
    </w:pPr>
  </w:style>
  <w:style w:type="paragraph" w:styleId="BodyText3">
    <w:name w:val="Body Text 3"/>
    <w:basedOn w:val="Normal"/>
    <w:link w:val="BodyText3Char"/>
    <w:uiPriority w:val="99"/>
    <w:unhideWhenUsed/>
    <w:rsid w:val="00212A2E"/>
    <w:pPr>
      <w:pBdr>
        <w:top w:val="nil"/>
        <w:left w:val="nil"/>
        <w:bottom w:val="nil"/>
        <w:right w:val="nil"/>
        <w:between w:val="nil"/>
        <w:bar w:val="nil"/>
      </w:pBdr>
      <w:spacing w:after="120" w:line="240" w:lineRule="auto"/>
    </w:pPr>
    <w:rPr>
      <w:rFonts w:ascii="Cambria" w:eastAsia="Arial Unicode MS" w:hAnsi="Cambria"/>
      <w:sz w:val="16"/>
      <w:szCs w:val="16"/>
      <w:bdr w:val="nil"/>
      <w:lang w:val="es-ES" w:eastAsia="es-ES"/>
    </w:rPr>
  </w:style>
  <w:style w:type="character" w:customStyle="1" w:styleId="BodyText3Char">
    <w:name w:val="Body Text 3 Char"/>
    <w:link w:val="BodyText3"/>
    <w:uiPriority w:val="99"/>
    <w:rsid w:val="00212A2E"/>
    <w:rPr>
      <w:rFonts w:ascii="Cambria" w:eastAsia="Arial Unicode MS" w:hAnsi="Cambria"/>
      <w:sz w:val="16"/>
      <w:szCs w:val="16"/>
      <w:bdr w:val="nil"/>
      <w:lang w:val="es-ES" w:eastAsia="es-ES"/>
    </w:rPr>
  </w:style>
  <w:style w:type="paragraph" w:styleId="EndnoteText">
    <w:name w:val="endnote text"/>
    <w:basedOn w:val="Normal"/>
    <w:link w:val="EndnoteTextChar"/>
    <w:uiPriority w:val="99"/>
    <w:semiHidden/>
    <w:unhideWhenUsed/>
    <w:rsid w:val="00CD70E3"/>
    <w:rPr>
      <w:sz w:val="20"/>
      <w:szCs w:val="20"/>
    </w:rPr>
  </w:style>
  <w:style w:type="character" w:customStyle="1" w:styleId="EndnoteTextChar">
    <w:name w:val="Endnote Text Char"/>
    <w:link w:val="EndnoteText"/>
    <w:uiPriority w:val="99"/>
    <w:semiHidden/>
    <w:rsid w:val="00CD70E3"/>
    <w:rPr>
      <w:lang w:eastAsia="en-US"/>
    </w:rPr>
  </w:style>
  <w:style w:type="character" w:styleId="EndnoteReference">
    <w:name w:val="endnote reference"/>
    <w:uiPriority w:val="99"/>
    <w:semiHidden/>
    <w:unhideWhenUsed/>
    <w:rsid w:val="00CD70E3"/>
    <w:rPr>
      <w:vertAlign w:val="superscript"/>
    </w:rPr>
  </w:style>
  <w:style w:type="paragraph" w:customStyle="1" w:styleId="GridTable31">
    <w:name w:val="Grid Table 31"/>
    <w:basedOn w:val="Heading1"/>
    <w:next w:val="Normal"/>
    <w:uiPriority w:val="39"/>
    <w:unhideWhenUsed/>
    <w:qFormat/>
    <w:rsid w:val="004426B1"/>
    <w:pPr>
      <w:keepLines/>
      <w:numPr>
        <w:numId w:val="0"/>
      </w:numPr>
      <w:spacing w:before="480" w:line="276" w:lineRule="auto"/>
      <w:outlineLvl w:val="9"/>
    </w:pPr>
    <w:rPr>
      <w:rFonts w:ascii="Calibri" w:eastAsia="MS Gothic" w:hAnsi="Calibri"/>
      <w:bCs/>
      <w:color w:val="365F91"/>
      <w:sz w:val="28"/>
      <w:szCs w:val="28"/>
      <w:lang w:val="en-US"/>
    </w:rPr>
  </w:style>
  <w:style w:type="paragraph" w:styleId="TOC4">
    <w:name w:val="toc 4"/>
    <w:basedOn w:val="Normal"/>
    <w:next w:val="Normal"/>
    <w:autoRedefine/>
    <w:uiPriority w:val="39"/>
    <w:semiHidden/>
    <w:unhideWhenUsed/>
    <w:rsid w:val="004426B1"/>
    <w:pPr>
      <w:pBdr>
        <w:between w:val="double" w:sz="6" w:space="0" w:color="auto"/>
      </w:pBdr>
      <w:spacing w:after="0"/>
      <w:ind w:left="440"/>
    </w:pPr>
    <w:rPr>
      <w:rFonts w:ascii="Cambria" w:hAnsi="Cambria"/>
      <w:sz w:val="20"/>
      <w:szCs w:val="20"/>
    </w:rPr>
  </w:style>
  <w:style w:type="paragraph" w:styleId="TOC5">
    <w:name w:val="toc 5"/>
    <w:basedOn w:val="Normal"/>
    <w:next w:val="Normal"/>
    <w:autoRedefine/>
    <w:uiPriority w:val="39"/>
    <w:semiHidden/>
    <w:unhideWhenUsed/>
    <w:rsid w:val="004426B1"/>
    <w:pPr>
      <w:pBdr>
        <w:between w:val="double" w:sz="6" w:space="0" w:color="auto"/>
      </w:pBdr>
      <w:spacing w:after="0"/>
      <w:ind w:left="660"/>
    </w:pPr>
    <w:rPr>
      <w:rFonts w:ascii="Cambria" w:hAnsi="Cambria"/>
      <w:sz w:val="20"/>
      <w:szCs w:val="20"/>
    </w:rPr>
  </w:style>
  <w:style w:type="paragraph" w:styleId="TOC6">
    <w:name w:val="toc 6"/>
    <w:basedOn w:val="Normal"/>
    <w:next w:val="Normal"/>
    <w:autoRedefine/>
    <w:uiPriority w:val="39"/>
    <w:semiHidden/>
    <w:unhideWhenUsed/>
    <w:rsid w:val="004426B1"/>
    <w:pPr>
      <w:pBdr>
        <w:between w:val="double" w:sz="6" w:space="0" w:color="auto"/>
      </w:pBdr>
      <w:spacing w:after="0"/>
      <w:ind w:left="880"/>
    </w:pPr>
    <w:rPr>
      <w:rFonts w:ascii="Cambria" w:hAnsi="Cambria"/>
      <w:sz w:val="20"/>
      <w:szCs w:val="20"/>
    </w:rPr>
  </w:style>
  <w:style w:type="paragraph" w:styleId="TOC7">
    <w:name w:val="toc 7"/>
    <w:basedOn w:val="Normal"/>
    <w:next w:val="Normal"/>
    <w:autoRedefine/>
    <w:uiPriority w:val="39"/>
    <w:semiHidden/>
    <w:unhideWhenUsed/>
    <w:rsid w:val="004426B1"/>
    <w:pPr>
      <w:pBdr>
        <w:between w:val="double" w:sz="6" w:space="0" w:color="auto"/>
      </w:pBdr>
      <w:spacing w:after="0"/>
      <w:ind w:left="1100"/>
    </w:pPr>
    <w:rPr>
      <w:rFonts w:ascii="Cambria" w:hAnsi="Cambria"/>
      <w:sz w:val="20"/>
      <w:szCs w:val="20"/>
    </w:rPr>
  </w:style>
  <w:style w:type="paragraph" w:styleId="TOC8">
    <w:name w:val="toc 8"/>
    <w:basedOn w:val="Normal"/>
    <w:next w:val="Normal"/>
    <w:autoRedefine/>
    <w:uiPriority w:val="39"/>
    <w:semiHidden/>
    <w:unhideWhenUsed/>
    <w:rsid w:val="004426B1"/>
    <w:pPr>
      <w:pBdr>
        <w:between w:val="double" w:sz="6" w:space="0" w:color="auto"/>
      </w:pBdr>
      <w:spacing w:after="0"/>
      <w:ind w:left="1320"/>
    </w:pPr>
    <w:rPr>
      <w:rFonts w:ascii="Cambria" w:hAnsi="Cambria"/>
      <w:sz w:val="20"/>
      <w:szCs w:val="20"/>
    </w:rPr>
  </w:style>
  <w:style w:type="paragraph" w:styleId="TOC9">
    <w:name w:val="toc 9"/>
    <w:basedOn w:val="Normal"/>
    <w:next w:val="Normal"/>
    <w:autoRedefine/>
    <w:uiPriority w:val="39"/>
    <w:semiHidden/>
    <w:unhideWhenUsed/>
    <w:rsid w:val="004426B1"/>
    <w:pPr>
      <w:pBdr>
        <w:between w:val="double" w:sz="6" w:space="0" w:color="auto"/>
      </w:pBdr>
      <w:spacing w:after="0"/>
      <w:ind w:left="1540"/>
    </w:pPr>
    <w:rPr>
      <w:rFonts w:ascii="Cambria" w:hAnsi="Cambria"/>
      <w:sz w:val="20"/>
      <w:szCs w:val="20"/>
    </w:rPr>
  </w:style>
  <w:style w:type="paragraph" w:customStyle="1" w:styleId="Listamulticolor-nfasis11">
    <w:name w:val="Lista multicolor - Énfasis 11"/>
    <w:basedOn w:val="Normal"/>
    <w:qFormat/>
    <w:rsid w:val="00317120"/>
    <w:pPr>
      <w:ind w:left="720"/>
    </w:pPr>
  </w:style>
  <w:style w:type="paragraph" w:styleId="NormalWeb">
    <w:name w:val="Normal (Web)"/>
    <w:basedOn w:val="Normal"/>
    <w:uiPriority w:val="99"/>
    <w:unhideWhenUsed/>
    <w:rsid w:val="00AA5DC9"/>
    <w:pPr>
      <w:spacing w:before="100" w:beforeAutospacing="1" w:after="100" w:afterAutospacing="1" w:line="240" w:lineRule="auto"/>
    </w:pPr>
    <w:rPr>
      <w:rFonts w:ascii="Times New Roman" w:eastAsia="Times New Roman" w:hAnsi="Times New Roman"/>
      <w:sz w:val="24"/>
      <w:szCs w:val="24"/>
      <w:lang w:val="en-US"/>
    </w:rPr>
  </w:style>
  <w:style w:type="paragraph" w:styleId="HTMLPreformatted">
    <w:name w:val="HTML Preformatted"/>
    <w:basedOn w:val="Normal"/>
    <w:link w:val="HTMLPreformattedChar"/>
    <w:uiPriority w:val="99"/>
    <w:semiHidden/>
    <w:unhideWhenUsed/>
    <w:rsid w:val="003B7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semiHidden/>
    <w:rsid w:val="003B70D6"/>
    <w:rPr>
      <w:rFonts w:ascii="Courier New" w:eastAsia="Times New Roman" w:hAnsi="Courier New" w:cs="Courier New"/>
    </w:rPr>
  </w:style>
  <w:style w:type="paragraph" w:customStyle="1" w:styleId="citas">
    <w:name w:val="citas"/>
    <w:basedOn w:val="Listamulticolor-nfasis11"/>
    <w:link w:val="citasChar"/>
    <w:qFormat/>
    <w:rsid w:val="00661487"/>
    <w:pPr>
      <w:pBdr>
        <w:top w:val="nil"/>
        <w:left w:val="nil"/>
        <w:bottom w:val="nil"/>
        <w:right w:val="nil"/>
        <w:between w:val="nil"/>
        <w:bar w:val="nil"/>
      </w:pBdr>
      <w:spacing w:after="0" w:line="240" w:lineRule="auto"/>
      <w:ind w:left="360" w:right="360"/>
      <w:jc w:val="both"/>
    </w:pPr>
    <w:rPr>
      <w:rFonts w:ascii="Cambria" w:eastAsia="Cambria" w:hAnsi="Cambria" w:cs="Cambria"/>
      <w:color w:val="000000"/>
      <w:sz w:val="18"/>
      <w:szCs w:val="24"/>
      <w:u w:color="000000"/>
      <w:bdr w:val="nil"/>
      <w:lang w:val="es-ES" w:eastAsia="es-ES"/>
    </w:rPr>
  </w:style>
  <w:style w:type="character" w:customStyle="1" w:styleId="citasChar">
    <w:name w:val="citas Char"/>
    <w:link w:val="citas"/>
    <w:rsid w:val="00661487"/>
    <w:rPr>
      <w:rFonts w:ascii="Cambria" w:eastAsia="Cambria" w:hAnsi="Cambria" w:cs="Cambria"/>
      <w:color w:val="000000"/>
      <w:sz w:val="18"/>
      <w:szCs w:val="24"/>
      <w:u w:color="000000"/>
      <w:bdr w:val="nil"/>
      <w:lang w:val="es-ES" w:eastAsia="es-ES"/>
    </w:rPr>
  </w:style>
  <w:style w:type="paragraph" w:customStyle="1" w:styleId="parrafos">
    <w:name w:val="parrafos"/>
    <w:basedOn w:val="Normal"/>
    <w:link w:val="parrafosChar"/>
    <w:qFormat/>
    <w:rsid w:val="00181298"/>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181298"/>
    <w:rPr>
      <w:rFonts w:ascii="Cambria" w:eastAsia="Arial Unicode MS" w:hAnsi="Cambria"/>
      <w:color w:val="000000"/>
      <w:bdr w:val="nil"/>
      <w:lang w:val="es-VE"/>
    </w:rPr>
  </w:style>
  <w:style w:type="paragraph" w:styleId="ListParagraph">
    <w:name w:val="List Paragraph"/>
    <w:basedOn w:val="Normal"/>
    <w:link w:val="ListParagraphChar"/>
    <w:qFormat/>
    <w:rsid w:val="00BA22E3"/>
    <w:pPr>
      <w:pBdr>
        <w:top w:val="nil"/>
        <w:left w:val="nil"/>
        <w:bottom w:val="nil"/>
        <w:right w:val="nil"/>
        <w:between w:val="nil"/>
        <w:bar w:val="nil"/>
      </w:pBdr>
      <w:spacing w:after="0" w:line="240" w:lineRule="auto"/>
      <w:ind w:left="720"/>
    </w:pPr>
    <w:rPr>
      <w:rFonts w:ascii="Times New Roman" w:eastAsia="Arial Unicode MS" w:hAnsi="Times New Roman"/>
      <w:sz w:val="24"/>
      <w:szCs w:val="24"/>
      <w:bdr w:val="nil"/>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F941E9"/>
    <w:pPr>
      <w:spacing w:after="0" w:line="240" w:lineRule="auto"/>
      <w:jc w:val="both"/>
    </w:pPr>
    <w:rPr>
      <w:rFonts w:eastAsia="Calibri"/>
      <w:sz w:val="20"/>
      <w:szCs w:val="20"/>
      <w:vertAlign w:val="superscript"/>
      <w:lang w:val="en-US"/>
    </w:rPr>
  </w:style>
  <w:style w:type="paragraph" w:styleId="NoSpacing">
    <w:name w:val="No Spacing"/>
    <w:uiPriority w:val="1"/>
    <w:qFormat/>
    <w:rsid w:val="00F941E9"/>
    <w:rPr>
      <w:rFonts w:eastAsia="MS Mincho"/>
      <w:sz w:val="22"/>
      <w:szCs w:val="22"/>
      <w:lang w:val="en-US" w:eastAsia="en-US"/>
    </w:rPr>
  </w:style>
  <w:style w:type="paragraph" w:styleId="Title">
    <w:name w:val="Title"/>
    <w:basedOn w:val="Normal"/>
    <w:link w:val="TitleChar"/>
    <w:qFormat/>
    <w:rsid w:val="00CB7C3D"/>
    <w:pPr>
      <w:spacing w:after="0" w:line="240" w:lineRule="auto"/>
      <w:jc w:val="center"/>
    </w:pPr>
    <w:rPr>
      <w:rFonts w:ascii="Univers" w:eastAsia="Times New Roman" w:hAnsi="Univers" w:cs="Arial"/>
      <w:b/>
      <w:szCs w:val="24"/>
      <w:lang w:val="es-AR"/>
    </w:rPr>
  </w:style>
  <w:style w:type="character" w:customStyle="1" w:styleId="TitleChar">
    <w:name w:val="Title Char"/>
    <w:basedOn w:val="DefaultParagraphFont"/>
    <w:link w:val="Title"/>
    <w:rsid w:val="00CB7C3D"/>
    <w:rPr>
      <w:rFonts w:ascii="Univers" w:eastAsia="Times New Roman" w:hAnsi="Univers" w:cs="Arial"/>
      <w:b/>
      <w:sz w:val="22"/>
      <w:lang w:val="es-AR" w:eastAsia="en-US"/>
    </w:rPr>
  </w:style>
  <w:style w:type="paragraph" w:styleId="TOCHeading">
    <w:name w:val="TOC Heading"/>
    <w:basedOn w:val="Heading1"/>
    <w:next w:val="Normal"/>
    <w:uiPriority w:val="39"/>
    <w:unhideWhenUsed/>
    <w:qFormat/>
    <w:rsid w:val="006B692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numbering" w:customStyle="1" w:styleId="List1">
    <w:name w:val="List 1"/>
    <w:basedOn w:val="NoList"/>
    <w:rsid w:val="004446EC"/>
    <w:pPr>
      <w:numPr>
        <w:numId w:val="38"/>
      </w:numPr>
    </w:pPr>
  </w:style>
  <w:style w:type="character" w:customStyle="1" w:styleId="ListParagraphChar">
    <w:name w:val="List Paragraph Char"/>
    <w:link w:val="ListParagraph"/>
    <w:locked/>
    <w:rsid w:val="007A312B"/>
    <w:rPr>
      <w:rFonts w:ascii="Times New Roman" w:eastAsia="Arial Unicode MS" w:hAnsi="Times New Roman"/>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5898">
      <w:bodyDiv w:val="1"/>
      <w:marLeft w:val="0"/>
      <w:marRight w:val="0"/>
      <w:marTop w:val="0"/>
      <w:marBottom w:val="0"/>
      <w:divBdr>
        <w:top w:val="none" w:sz="0" w:space="0" w:color="auto"/>
        <w:left w:val="none" w:sz="0" w:space="0" w:color="auto"/>
        <w:bottom w:val="none" w:sz="0" w:space="0" w:color="auto"/>
        <w:right w:val="none" w:sz="0" w:space="0" w:color="auto"/>
      </w:divBdr>
    </w:div>
    <w:div w:id="120849431">
      <w:bodyDiv w:val="1"/>
      <w:marLeft w:val="0"/>
      <w:marRight w:val="0"/>
      <w:marTop w:val="0"/>
      <w:marBottom w:val="0"/>
      <w:divBdr>
        <w:top w:val="none" w:sz="0" w:space="0" w:color="auto"/>
        <w:left w:val="none" w:sz="0" w:space="0" w:color="auto"/>
        <w:bottom w:val="none" w:sz="0" w:space="0" w:color="auto"/>
        <w:right w:val="none" w:sz="0" w:space="0" w:color="auto"/>
      </w:divBdr>
    </w:div>
    <w:div w:id="125436286">
      <w:bodyDiv w:val="1"/>
      <w:marLeft w:val="0"/>
      <w:marRight w:val="0"/>
      <w:marTop w:val="0"/>
      <w:marBottom w:val="0"/>
      <w:divBdr>
        <w:top w:val="none" w:sz="0" w:space="0" w:color="auto"/>
        <w:left w:val="none" w:sz="0" w:space="0" w:color="auto"/>
        <w:bottom w:val="none" w:sz="0" w:space="0" w:color="auto"/>
        <w:right w:val="none" w:sz="0" w:space="0" w:color="auto"/>
      </w:divBdr>
    </w:div>
    <w:div w:id="126897181">
      <w:bodyDiv w:val="1"/>
      <w:marLeft w:val="0"/>
      <w:marRight w:val="0"/>
      <w:marTop w:val="0"/>
      <w:marBottom w:val="0"/>
      <w:divBdr>
        <w:top w:val="none" w:sz="0" w:space="0" w:color="auto"/>
        <w:left w:val="none" w:sz="0" w:space="0" w:color="auto"/>
        <w:bottom w:val="none" w:sz="0" w:space="0" w:color="auto"/>
        <w:right w:val="none" w:sz="0" w:space="0" w:color="auto"/>
      </w:divBdr>
    </w:div>
    <w:div w:id="170415330">
      <w:bodyDiv w:val="1"/>
      <w:marLeft w:val="0"/>
      <w:marRight w:val="0"/>
      <w:marTop w:val="0"/>
      <w:marBottom w:val="0"/>
      <w:divBdr>
        <w:top w:val="none" w:sz="0" w:space="0" w:color="auto"/>
        <w:left w:val="none" w:sz="0" w:space="0" w:color="auto"/>
        <w:bottom w:val="none" w:sz="0" w:space="0" w:color="auto"/>
        <w:right w:val="none" w:sz="0" w:space="0" w:color="auto"/>
      </w:divBdr>
    </w:div>
    <w:div w:id="232741717">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9283591">
      <w:bodyDiv w:val="1"/>
      <w:marLeft w:val="0"/>
      <w:marRight w:val="0"/>
      <w:marTop w:val="0"/>
      <w:marBottom w:val="0"/>
      <w:divBdr>
        <w:top w:val="none" w:sz="0" w:space="0" w:color="auto"/>
        <w:left w:val="none" w:sz="0" w:space="0" w:color="auto"/>
        <w:bottom w:val="none" w:sz="0" w:space="0" w:color="auto"/>
        <w:right w:val="none" w:sz="0" w:space="0" w:color="auto"/>
      </w:divBdr>
    </w:div>
    <w:div w:id="411239699">
      <w:bodyDiv w:val="1"/>
      <w:marLeft w:val="0"/>
      <w:marRight w:val="0"/>
      <w:marTop w:val="0"/>
      <w:marBottom w:val="0"/>
      <w:divBdr>
        <w:top w:val="none" w:sz="0" w:space="0" w:color="auto"/>
        <w:left w:val="none" w:sz="0" w:space="0" w:color="auto"/>
        <w:bottom w:val="none" w:sz="0" w:space="0" w:color="auto"/>
        <w:right w:val="none" w:sz="0" w:space="0" w:color="auto"/>
      </w:divBdr>
    </w:div>
    <w:div w:id="472336212">
      <w:bodyDiv w:val="1"/>
      <w:marLeft w:val="0"/>
      <w:marRight w:val="0"/>
      <w:marTop w:val="0"/>
      <w:marBottom w:val="0"/>
      <w:divBdr>
        <w:top w:val="none" w:sz="0" w:space="0" w:color="auto"/>
        <w:left w:val="none" w:sz="0" w:space="0" w:color="auto"/>
        <w:bottom w:val="none" w:sz="0" w:space="0" w:color="auto"/>
        <w:right w:val="none" w:sz="0" w:space="0" w:color="auto"/>
      </w:divBdr>
    </w:div>
    <w:div w:id="495078822">
      <w:bodyDiv w:val="1"/>
      <w:marLeft w:val="0"/>
      <w:marRight w:val="0"/>
      <w:marTop w:val="0"/>
      <w:marBottom w:val="0"/>
      <w:divBdr>
        <w:top w:val="none" w:sz="0" w:space="0" w:color="auto"/>
        <w:left w:val="none" w:sz="0" w:space="0" w:color="auto"/>
        <w:bottom w:val="none" w:sz="0" w:space="0" w:color="auto"/>
        <w:right w:val="none" w:sz="0" w:space="0" w:color="auto"/>
      </w:divBdr>
    </w:div>
    <w:div w:id="527522065">
      <w:bodyDiv w:val="1"/>
      <w:marLeft w:val="0"/>
      <w:marRight w:val="0"/>
      <w:marTop w:val="0"/>
      <w:marBottom w:val="0"/>
      <w:divBdr>
        <w:top w:val="none" w:sz="0" w:space="0" w:color="auto"/>
        <w:left w:val="none" w:sz="0" w:space="0" w:color="auto"/>
        <w:bottom w:val="none" w:sz="0" w:space="0" w:color="auto"/>
        <w:right w:val="none" w:sz="0" w:space="0" w:color="auto"/>
      </w:divBdr>
    </w:div>
    <w:div w:id="576398816">
      <w:bodyDiv w:val="1"/>
      <w:marLeft w:val="0"/>
      <w:marRight w:val="0"/>
      <w:marTop w:val="0"/>
      <w:marBottom w:val="0"/>
      <w:divBdr>
        <w:top w:val="none" w:sz="0" w:space="0" w:color="auto"/>
        <w:left w:val="none" w:sz="0" w:space="0" w:color="auto"/>
        <w:bottom w:val="none" w:sz="0" w:space="0" w:color="auto"/>
        <w:right w:val="none" w:sz="0" w:space="0" w:color="auto"/>
      </w:divBdr>
      <w:divsChild>
        <w:div w:id="1694724047">
          <w:marLeft w:val="0"/>
          <w:marRight w:val="0"/>
          <w:marTop w:val="0"/>
          <w:marBottom w:val="0"/>
          <w:divBdr>
            <w:top w:val="none" w:sz="0" w:space="0" w:color="auto"/>
            <w:left w:val="none" w:sz="0" w:space="0" w:color="auto"/>
            <w:bottom w:val="none" w:sz="0" w:space="0" w:color="auto"/>
            <w:right w:val="none" w:sz="0" w:space="0" w:color="auto"/>
          </w:divBdr>
          <w:divsChild>
            <w:div w:id="630937342">
              <w:marLeft w:val="0"/>
              <w:marRight w:val="0"/>
              <w:marTop w:val="0"/>
              <w:marBottom w:val="0"/>
              <w:divBdr>
                <w:top w:val="none" w:sz="0" w:space="0" w:color="auto"/>
                <w:left w:val="none" w:sz="0" w:space="0" w:color="auto"/>
                <w:bottom w:val="none" w:sz="0" w:space="0" w:color="auto"/>
                <w:right w:val="none" w:sz="0" w:space="0" w:color="auto"/>
              </w:divBdr>
              <w:divsChild>
                <w:div w:id="454830908">
                  <w:marLeft w:val="0"/>
                  <w:marRight w:val="0"/>
                  <w:marTop w:val="0"/>
                  <w:marBottom w:val="0"/>
                  <w:divBdr>
                    <w:top w:val="none" w:sz="0" w:space="0" w:color="auto"/>
                    <w:left w:val="none" w:sz="0" w:space="0" w:color="auto"/>
                    <w:bottom w:val="none" w:sz="0" w:space="0" w:color="auto"/>
                    <w:right w:val="none" w:sz="0" w:space="0" w:color="auto"/>
                  </w:divBdr>
                  <w:divsChild>
                    <w:div w:id="1705515758">
                      <w:marLeft w:val="0"/>
                      <w:marRight w:val="0"/>
                      <w:marTop w:val="0"/>
                      <w:marBottom w:val="0"/>
                      <w:divBdr>
                        <w:top w:val="none" w:sz="0" w:space="0" w:color="auto"/>
                        <w:left w:val="none" w:sz="0" w:space="0" w:color="auto"/>
                        <w:bottom w:val="none" w:sz="0" w:space="0" w:color="auto"/>
                        <w:right w:val="none" w:sz="0" w:space="0" w:color="auto"/>
                      </w:divBdr>
                      <w:divsChild>
                        <w:div w:id="129132984">
                          <w:marLeft w:val="0"/>
                          <w:marRight w:val="0"/>
                          <w:marTop w:val="0"/>
                          <w:marBottom w:val="0"/>
                          <w:divBdr>
                            <w:top w:val="none" w:sz="0" w:space="0" w:color="auto"/>
                            <w:left w:val="none" w:sz="0" w:space="0" w:color="auto"/>
                            <w:bottom w:val="none" w:sz="0" w:space="0" w:color="auto"/>
                            <w:right w:val="none" w:sz="0" w:space="0" w:color="auto"/>
                          </w:divBdr>
                          <w:divsChild>
                            <w:div w:id="1544828418">
                              <w:marLeft w:val="0"/>
                              <w:marRight w:val="300"/>
                              <w:marTop w:val="180"/>
                              <w:marBottom w:val="0"/>
                              <w:divBdr>
                                <w:top w:val="none" w:sz="0" w:space="0" w:color="auto"/>
                                <w:left w:val="none" w:sz="0" w:space="0" w:color="auto"/>
                                <w:bottom w:val="none" w:sz="0" w:space="0" w:color="auto"/>
                                <w:right w:val="none" w:sz="0" w:space="0" w:color="auto"/>
                              </w:divBdr>
                              <w:divsChild>
                                <w:div w:id="5518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532394">
          <w:marLeft w:val="0"/>
          <w:marRight w:val="0"/>
          <w:marTop w:val="0"/>
          <w:marBottom w:val="0"/>
          <w:divBdr>
            <w:top w:val="none" w:sz="0" w:space="0" w:color="auto"/>
            <w:left w:val="none" w:sz="0" w:space="0" w:color="auto"/>
            <w:bottom w:val="none" w:sz="0" w:space="0" w:color="auto"/>
            <w:right w:val="none" w:sz="0" w:space="0" w:color="auto"/>
          </w:divBdr>
          <w:divsChild>
            <w:div w:id="178356148">
              <w:marLeft w:val="0"/>
              <w:marRight w:val="0"/>
              <w:marTop w:val="0"/>
              <w:marBottom w:val="0"/>
              <w:divBdr>
                <w:top w:val="none" w:sz="0" w:space="0" w:color="auto"/>
                <w:left w:val="none" w:sz="0" w:space="0" w:color="auto"/>
                <w:bottom w:val="none" w:sz="0" w:space="0" w:color="auto"/>
                <w:right w:val="none" w:sz="0" w:space="0" w:color="auto"/>
              </w:divBdr>
              <w:divsChild>
                <w:div w:id="1306351022">
                  <w:marLeft w:val="0"/>
                  <w:marRight w:val="0"/>
                  <w:marTop w:val="0"/>
                  <w:marBottom w:val="0"/>
                  <w:divBdr>
                    <w:top w:val="none" w:sz="0" w:space="0" w:color="auto"/>
                    <w:left w:val="none" w:sz="0" w:space="0" w:color="auto"/>
                    <w:bottom w:val="none" w:sz="0" w:space="0" w:color="auto"/>
                    <w:right w:val="none" w:sz="0" w:space="0" w:color="auto"/>
                  </w:divBdr>
                  <w:divsChild>
                    <w:div w:id="1752893886">
                      <w:marLeft w:val="0"/>
                      <w:marRight w:val="0"/>
                      <w:marTop w:val="0"/>
                      <w:marBottom w:val="0"/>
                      <w:divBdr>
                        <w:top w:val="none" w:sz="0" w:space="0" w:color="auto"/>
                        <w:left w:val="none" w:sz="0" w:space="0" w:color="auto"/>
                        <w:bottom w:val="none" w:sz="0" w:space="0" w:color="auto"/>
                        <w:right w:val="none" w:sz="0" w:space="0" w:color="auto"/>
                      </w:divBdr>
                      <w:divsChild>
                        <w:div w:id="21246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284691">
      <w:bodyDiv w:val="1"/>
      <w:marLeft w:val="0"/>
      <w:marRight w:val="0"/>
      <w:marTop w:val="0"/>
      <w:marBottom w:val="0"/>
      <w:divBdr>
        <w:top w:val="none" w:sz="0" w:space="0" w:color="auto"/>
        <w:left w:val="none" w:sz="0" w:space="0" w:color="auto"/>
        <w:bottom w:val="none" w:sz="0" w:space="0" w:color="auto"/>
        <w:right w:val="none" w:sz="0" w:space="0" w:color="auto"/>
      </w:divBdr>
    </w:div>
    <w:div w:id="653993260">
      <w:bodyDiv w:val="1"/>
      <w:marLeft w:val="0"/>
      <w:marRight w:val="0"/>
      <w:marTop w:val="0"/>
      <w:marBottom w:val="0"/>
      <w:divBdr>
        <w:top w:val="none" w:sz="0" w:space="0" w:color="auto"/>
        <w:left w:val="none" w:sz="0" w:space="0" w:color="auto"/>
        <w:bottom w:val="none" w:sz="0" w:space="0" w:color="auto"/>
        <w:right w:val="none" w:sz="0" w:space="0" w:color="auto"/>
      </w:divBdr>
    </w:div>
    <w:div w:id="829980391">
      <w:bodyDiv w:val="1"/>
      <w:marLeft w:val="0"/>
      <w:marRight w:val="0"/>
      <w:marTop w:val="0"/>
      <w:marBottom w:val="0"/>
      <w:divBdr>
        <w:top w:val="none" w:sz="0" w:space="0" w:color="auto"/>
        <w:left w:val="none" w:sz="0" w:space="0" w:color="auto"/>
        <w:bottom w:val="none" w:sz="0" w:space="0" w:color="auto"/>
        <w:right w:val="none" w:sz="0" w:space="0" w:color="auto"/>
      </w:divBdr>
    </w:div>
    <w:div w:id="835530691">
      <w:bodyDiv w:val="1"/>
      <w:marLeft w:val="0"/>
      <w:marRight w:val="0"/>
      <w:marTop w:val="0"/>
      <w:marBottom w:val="0"/>
      <w:divBdr>
        <w:top w:val="none" w:sz="0" w:space="0" w:color="auto"/>
        <w:left w:val="none" w:sz="0" w:space="0" w:color="auto"/>
        <w:bottom w:val="none" w:sz="0" w:space="0" w:color="auto"/>
        <w:right w:val="none" w:sz="0" w:space="0" w:color="auto"/>
      </w:divBdr>
    </w:div>
    <w:div w:id="908464655">
      <w:bodyDiv w:val="1"/>
      <w:marLeft w:val="0"/>
      <w:marRight w:val="0"/>
      <w:marTop w:val="0"/>
      <w:marBottom w:val="0"/>
      <w:divBdr>
        <w:top w:val="none" w:sz="0" w:space="0" w:color="auto"/>
        <w:left w:val="none" w:sz="0" w:space="0" w:color="auto"/>
        <w:bottom w:val="none" w:sz="0" w:space="0" w:color="auto"/>
        <w:right w:val="none" w:sz="0" w:space="0" w:color="auto"/>
      </w:divBdr>
    </w:div>
    <w:div w:id="1012562550">
      <w:bodyDiv w:val="1"/>
      <w:marLeft w:val="0"/>
      <w:marRight w:val="0"/>
      <w:marTop w:val="0"/>
      <w:marBottom w:val="0"/>
      <w:divBdr>
        <w:top w:val="none" w:sz="0" w:space="0" w:color="auto"/>
        <w:left w:val="none" w:sz="0" w:space="0" w:color="auto"/>
        <w:bottom w:val="none" w:sz="0" w:space="0" w:color="auto"/>
        <w:right w:val="none" w:sz="0" w:space="0" w:color="auto"/>
      </w:divBdr>
    </w:div>
    <w:div w:id="1051536516">
      <w:bodyDiv w:val="1"/>
      <w:marLeft w:val="0"/>
      <w:marRight w:val="0"/>
      <w:marTop w:val="0"/>
      <w:marBottom w:val="0"/>
      <w:divBdr>
        <w:top w:val="none" w:sz="0" w:space="0" w:color="auto"/>
        <w:left w:val="none" w:sz="0" w:space="0" w:color="auto"/>
        <w:bottom w:val="none" w:sz="0" w:space="0" w:color="auto"/>
        <w:right w:val="none" w:sz="0" w:space="0" w:color="auto"/>
      </w:divBdr>
    </w:div>
    <w:div w:id="1065297587">
      <w:bodyDiv w:val="1"/>
      <w:marLeft w:val="0"/>
      <w:marRight w:val="0"/>
      <w:marTop w:val="0"/>
      <w:marBottom w:val="0"/>
      <w:divBdr>
        <w:top w:val="none" w:sz="0" w:space="0" w:color="auto"/>
        <w:left w:val="none" w:sz="0" w:space="0" w:color="auto"/>
        <w:bottom w:val="none" w:sz="0" w:space="0" w:color="auto"/>
        <w:right w:val="none" w:sz="0" w:space="0" w:color="auto"/>
      </w:divBdr>
    </w:div>
    <w:div w:id="1110510685">
      <w:bodyDiv w:val="1"/>
      <w:marLeft w:val="0"/>
      <w:marRight w:val="0"/>
      <w:marTop w:val="0"/>
      <w:marBottom w:val="0"/>
      <w:divBdr>
        <w:top w:val="none" w:sz="0" w:space="0" w:color="auto"/>
        <w:left w:val="none" w:sz="0" w:space="0" w:color="auto"/>
        <w:bottom w:val="none" w:sz="0" w:space="0" w:color="auto"/>
        <w:right w:val="none" w:sz="0" w:space="0" w:color="auto"/>
      </w:divBdr>
    </w:div>
    <w:div w:id="1137071700">
      <w:bodyDiv w:val="1"/>
      <w:marLeft w:val="0"/>
      <w:marRight w:val="0"/>
      <w:marTop w:val="0"/>
      <w:marBottom w:val="0"/>
      <w:divBdr>
        <w:top w:val="none" w:sz="0" w:space="0" w:color="auto"/>
        <w:left w:val="none" w:sz="0" w:space="0" w:color="auto"/>
        <w:bottom w:val="none" w:sz="0" w:space="0" w:color="auto"/>
        <w:right w:val="none" w:sz="0" w:space="0" w:color="auto"/>
      </w:divBdr>
    </w:div>
    <w:div w:id="1157380355">
      <w:bodyDiv w:val="1"/>
      <w:marLeft w:val="0"/>
      <w:marRight w:val="0"/>
      <w:marTop w:val="0"/>
      <w:marBottom w:val="0"/>
      <w:divBdr>
        <w:top w:val="none" w:sz="0" w:space="0" w:color="auto"/>
        <w:left w:val="none" w:sz="0" w:space="0" w:color="auto"/>
        <w:bottom w:val="none" w:sz="0" w:space="0" w:color="auto"/>
        <w:right w:val="none" w:sz="0" w:space="0" w:color="auto"/>
      </w:divBdr>
    </w:div>
    <w:div w:id="1230310779">
      <w:bodyDiv w:val="1"/>
      <w:marLeft w:val="0"/>
      <w:marRight w:val="0"/>
      <w:marTop w:val="0"/>
      <w:marBottom w:val="0"/>
      <w:divBdr>
        <w:top w:val="none" w:sz="0" w:space="0" w:color="auto"/>
        <w:left w:val="none" w:sz="0" w:space="0" w:color="auto"/>
        <w:bottom w:val="none" w:sz="0" w:space="0" w:color="auto"/>
        <w:right w:val="none" w:sz="0" w:space="0" w:color="auto"/>
      </w:divBdr>
    </w:div>
    <w:div w:id="1275941459">
      <w:bodyDiv w:val="1"/>
      <w:marLeft w:val="0"/>
      <w:marRight w:val="0"/>
      <w:marTop w:val="0"/>
      <w:marBottom w:val="0"/>
      <w:divBdr>
        <w:top w:val="none" w:sz="0" w:space="0" w:color="auto"/>
        <w:left w:val="none" w:sz="0" w:space="0" w:color="auto"/>
        <w:bottom w:val="none" w:sz="0" w:space="0" w:color="auto"/>
        <w:right w:val="none" w:sz="0" w:space="0" w:color="auto"/>
      </w:divBdr>
    </w:div>
    <w:div w:id="1298682281">
      <w:bodyDiv w:val="1"/>
      <w:marLeft w:val="0"/>
      <w:marRight w:val="0"/>
      <w:marTop w:val="0"/>
      <w:marBottom w:val="0"/>
      <w:divBdr>
        <w:top w:val="none" w:sz="0" w:space="0" w:color="auto"/>
        <w:left w:val="none" w:sz="0" w:space="0" w:color="auto"/>
        <w:bottom w:val="none" w:sz="0" w:space="0" w:color="auto"/>
        <w:right w:val="none" w:sz="0" w:space="0" w:color="auto"/>
      </w:divBdr>
    </w:div>
    <w:div w:id="1318680647">
      <w:bodyDiv w:val="1"/>
      <w:marLeft w:val="0"/>
      <w:marRight w:val="0"/>
      <w:marTop w:val="0"/>
      <w:marBottom w:val="0"/>
      <w:divBdr>
        <w:top w:val="none" w:sz="0" w:space="0" w:color="auto"/>
        <w:left w:val="none" w:sz="0" w:space="0" w:color="auto"/>
        <w:bottom w:val="none" w:sz="0" w:space="0" w:color="auto"/>
        <w:right w:val="none" w:sz="0" w:space="0" w:color="auto"/>
      </w:divBdr>
    </w:div>
    <w:div w:id="1335689710">
      <w:bodyDiv w:val="1"/>
      <w:marLeft w:val="0"/>
      <w:marRight w:val="0"/>
      <w:marTop w:val="0"/>
      <w:marBottom w:val="0"/>
      <w:divBdr>
        <w:top w:val="none" w:sz="0" w:space="0" w:color="auto"/>
        <w:left w:val="none" w:sz="0" w:space="0" w:color="auto"/>
        <w:bottom w:val="none" w:sz="0" w:space="0" w:color="auto"/>
        <w:right w:val="none" w:sz="0" w:space="0" w:color="auto"/>
      </w:divBdr>
    </w:div>
    <w:div w:id="1419790434">
      <w:bodyDiv w:val="1"/>
      <w:marLeft w:val="0"/>
      <w:marRight w:val="0"/>
      <w:marTop w:val="0"/>
      <w:marBottom w:val="0"/>
      <w:divBdr>
        <w:top w:val="none" w:sz="0" w:space="0" w:color="auto"/>
        <w:left w:val="none" w:sz="0" w:space="0" w:color="auto"/>
        <w:bottom w:val="none" w:sz="0" w:space="0" w:color="auto"/>
        <w:right w:val="none" w:sz="0" w:space="0" w:color="auto"/>
      </w:divBdr>
    </w:div>
    <w:div w:id="1426271666">
      <w:bodyDiv w:val="1"/>
      <w:marLeft w:val="0"/>
      <w:marRight w:val="0"/>
      <w:marTop w:val="0"/>
      <w:marBottom w:val="0"/>
      <w:divBdr>
        <w:top w:val="none" w:sz="0" w:space="0" w:color="auto"/>
        <w:left w:val="none" w:sz="0" w:space="0" w:color="auto"/>
        <w:bottom w:val="none" w:sz="0" w:space="0" w:color="auto"/>
        <w:right w:val="none" w:sz="0" w:space="0" w:color="auto"/>
      </w:divBdr>
    </w:div>
    <w:div w:id="1515878670">
      <w:bodyDiv w:val="1"/>
      <w:marLeft w:val="0"/>
      <w:marRight w:val="0"/>
      <w:marTop w:val="0"/>
      <w:marBottom w:val="0"/>
      <w:divBdr>
        <w:top w:val="none" w:sz="0" w:space="0" w:color="auto"/>
        <w:left w:val="none" w:sz="0" w:space="0" w:color="auto"/>
        <w:bottom w:val="none" w:sz="0" w:space="0" w:color="auto"/>
        <w:right w:val="none" w:sz="0" w:space="0" w:color="auto"/>
      </w:divBdr>
    </w:div>
    <w:div w:id="1559247188">
      <w:bodyDiv w:val="1"/>
      <w:marLeft w:val="0"/>
      <w:marRight w:val="0"/>
      <w:marTop w:val="0"/>
      <w:marBottom w:val="0"/>
      <w:divBdr>
        <w:top w:val="none" w:sz="0" w:space="0" w:color="auto"/>
        <w:left w:val="none" w:sz="0" w:space="0" w:color="auto"/>
        <w:bottom w:val="none" w:sz="0" w:space="0" w:color="auto"/>
        <w:right w:val="none" w:sz="0" w:space="0" w:color="auto"/>
      </w:divBdr>
      <w:divsChild>
        <w:div w:id="1424648892">
          <w:marLeft w:val="0"/>
          <w:marRight w:val="0"/>
          <w:marTop w:val="0"/>
          <w:marBottom w:val="0"/>
          <w:divBdr>
            <w:top w:val="none" w:sz="0" w:space="0" w:color="auto"/>
            <w:left w:val="none" w:sz="0" w:space="0" w:color="auto"/>
            <w:bottom w:val="none" w:sz="0" w:space="0" w:color="auto"/>
            <w:right w:val="none" w:sz="0" w:space="0" w:color="auto"/>
          </w:divBdr>
          <w:divsChild>
            <w:div w:id="1228805350">
              <w:marLeft w:val="0"/>
              <w:marRight w:val="0"/>
              <w:marTop w:val="0"/>
              <w:marBottom w:val="0"/>
              <w:divBdr>
                <w:top w:val="none" w:sz="0" w:space="0" w:color="auto"/>
                <w:left w:val="none" w:sz="0" w:space="0" w:color="auto"/>
                <w:bottom w:val="none" w:sz="0" w:space="0" w:color="auto"/>
                <w:right w:val="none" w:sz="0" w:space="0" w:color="auto"/>
              </w:divBdr>
              <w:divsChild>
                <w:div w:id="1192914533">
                  <w:marLeft w:val="0"/>
                  <w:marRight w:val="0"/>
                  <w:marTop w:val="0"/>
                  <w:marBottom w:val="0"/>
                  <w:divBdr>
                    <w:top w:val="none" w:sz="0" w:space="0" w:color="auto"/>
                    <w:left w:val="none" w:sz="0" w:space="0" w:color="auto"/>
                    <w:bottom w:val="none" w:sz="0" w:space="0" w:color="auto"/>
                    <w:right w:val="none" w:sz="0" w:space="0" w:color="auto"/>
                  </w:divBdr>
                  <w:divsChild>
                    <w:div w:id="446971103">
                      <w:marLeft w:val="0"/>
                      <w:marRight w:val="0"/>
                      <w:marTop w:val="0"/>
                      <w:marBottom w:val="0"/>
                      <w:divBdr>
                        <w:top w:val="none" w:sz="0" w:space="0" w:color="auto"/>
                        <w:left w:val="none" w:sz="0" w:space="0" w:color="auto"/>
                        <w:bottom w:val="none" w:sz="0" w:space="0" w:color="auto"/>
                        <w:right w:val="none" w:sz="0" w:space="0" w:color="auto"/>
                      </w:divBdr>
                      <w:divsChild>
                        <w:div w:id="989938533">
                          <w:marLeft w:val="0"/>
                          <w:marRight w:val="0"/>
                          <w:marTop w:val="0"/>
                          <w:marBottom w:val="0"/>
                          <w:divBdr>
                            <w:top w:val="none" w:sz="0" w:space="0" w:color="auto"/>
                            <w:left w:val="none" w:sz="0" w:space="0" w:color="auto"/>
                            <w:bottom w:val="none" w:sz="0" w:space="0" w:color="auto"/>
                            <w:right w:val="none" w:sz="0" w:space="0" w:color="auto"/>
                          </w:divBdr>
                          <w:divsChild>
                            <w:div w:id="561794272">
                              <w:marLeft w:val="0"/>
                              <w:marRight w:val="300"/>
                              <w:marTop w:val="180"/>
                              <w:marBottom w:val="0"/>
                              <w:divBdr>
                                <w:top w:val="none" w:sz="0" w:space="0" w:color="auto"/>
                                <w:left w:val="none" w:sz="0" w:space="0" w:color="auto"/>
                                <w:bottom w:val="none" w:sz="0" w:space="0" w:color="auto"/>
                                <w:right w:val="none" w:sz="0" w:space="0" w:color="auto"/>
                              </w:divBdr>
                              <w:divsChild>
                                <w:div w:id="139998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218924">
          <w:marLeft w:val="0"/>
          <w:marRight w:val="0"/>
          <w:marTop w:val="0"/>
          <w:marBottom w:val="0"/>
          <w:divBdr>
            <w:top w:val="none" w:sz="0" w:space="0" w:color="auto"/>
            <w:left w:val="none" w:sz="0" w:space="0" w:color="auto"/>
            <w:bottom w:val="none" w:sz="0" w:space="0" w:color="auto"/>
            <w:right w:val="none" w:sz="0" w:space="0" w:color="auto"/>
          </w:divBdr>
          <w:divsChild>
            <w:div w:id="1592663015">
              <w:marLeft w:val="0"/>
              <w:marRight w:val="0"/>
              <w:marTop w:val="0"/>
              <w:marBottom w:val="0"/>
              <w:divBdr>
                <w:top w:val="none" w:sz="0" w:space="0" w:color="auto"/>
                <w:left w:val="none" w:sz="0" w:space="0" w:color="auto"/>
                <w:bottom w:val="none" w:sz="0" w:space="0" w:color="auto"/>
                <w:right w:val="none" w:sz="0" w:space="0" w:color="auto"/>
              </w:divBdr>
              <w:divsChild>
                <w:div w:id="565073445">
                  <w:marLeft w:val="0"/>
                  <w:marRight w:val="0"/>
                  <w:marTop w:val="0"/>
                  <w:marBottom w:val="0"/>
                  <w:divBdr>
                    <w:top w:val="none" w:sz="0" w:space="0" w:color="auto"/>
                    <w:left w:val="none" w:sz="0" w:space="0" w:color="auto"/>
                    <w:bottom w:val="none" w:sz="0" w:space="0" w:color="auto"/>
                    <w:right w:val="none" w:sz="0" w:space="0" w:color="auto"/>
                  </w:divBdr>
                  <w:divsChild>
                    <w:div w:id="2127694526">
                      <w:marLeft w:val="0"/>
                      <w:marRight w:val="0"/>
                      <w:marTop w:val="0"/>
                      <w:marBottom w:val="0"/>
                      <w:divBdr>
                        <w:top w:val="none" w:sz="0" w:space="0" w:color="auto"/>
                        <w:left w:val="none" w:sz="0" w:space="0" w:color="auto"/>
                        <w:bottom w:val="none" w:sz="0" w:space="0" w:color="auto"/>
                        <w:right w:val="none" w:sz="0" w:space="0" w:color="auto"/>
                      </w:divBdr>
                      <w:divsChild>
                        <w:div w:id="12008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919727">
      <w:bodyDiv w:val="1"/>
      <w:marLeft w:val="0"/>
      <w:marRight w:val="0"/>
      <w:marTop w:val="0"/>
      <w:marBottom w:val="0"/>
      <w:divBdr>
        <w:top w:val="none" w:sz="0" w:space="0" w:color="auto"/>
        <w:left w:val="none" w:sz="0" w:space="0" w:color="auto"/>
        <w:bottom w:val="none" w:sz="0" w:space="0" w:color="auto"/>
        <w:right w:val="none" w:sz="0" w:space="0" w:color="auto"/>
      </w:divBdr>
      <w:divsChild>
        <w:div w:id="2075545711">
          <w:marLeft w:val="0"/>
          <w:marRight w:val="0"/>
          <w:marTop w:val="0"/>
          <w:marBottom w:val="0"/>
          <w:divBdr>
            <w:top w:val="none" w:sz="0" w:space="0" w:color="auto"/>
            <w:left w:val="none" w:sz="0" w:space="0" w:color="auto"/>
            <w:bottom w:val="none" w:sz="0" w:space="0" w:color="auto"/>
            <w:right w:val="none" w:sz="0" w:space="0" w:color="auto"/>
          </w:divBdr>
          <w:divsChild>
            <w:div w:id="1167674413">
              <w:marLeft w:val="0"/>
              <w:marRight w:val="0"/>
              <w:marTop w:val="0"/>
              <w:marBottom w:val="0"/>
              <w:divBdr>
                <w:top w:val="none" w:sz="0" w:space="0" w:color="auto"/>
                <w:left w:val="none" w:sz="0" w:space="0" w:color="auto"/>
                <w:bottom w:val="none" w:sz="0" w:space="0" w:color="auto"/>
                <w:right w:val="none" w:sz="0" w:space="0" w:color="auto"/>
              </w:divBdr>
              <w:divsChild>
                <w:div w:id="514225038">
                  <w:marLeft w:val="0"/>
                  <w:marRight w:val="0"/>
                  <w:marTop w:val="0"/>
                  <w:marBottom w:val="0"/>
                  <w:divBdr>
                    <w:top w:val="none" w:sz="0" w:space="0" w:color="auto"/>
                    <w:left w:val="none" w:sz="0" w:space="0" w:color="auto"/>
                    <w:bottom w:val="none" w:sz="0" w:space="0" w:color="auto"/>
                    <w:right w:val="none" w:sz="0" w:space="0" w:color="auto"/>
                  </w:divBdr>
                  <w:divsChild>
                    <w:div w:id="545130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0"/>
                          <w:marRight w:val="0"/>
                          <w:marTop w:val="0"/>
                          <w:marBottom w:val="0"/>
                          <w:divBdr>
                            <w:top w:val="none" w:sz="0" w:space="0" w:color="auto"/>
                            <w:left w:val="none" w:sz="0" w:space="0" w:color="auto"/>
                            <w:bottom w:val="none" w:sz="0" w:space="0" w:color="auto"/>
                            <w:right w:val="none" w:sz="0" w:space="0" w:color="auto"/>
                          </w:divBdr>
                          <w:divsChild>
                            <w:div w:id="607128303">
                              <w:marLeft w:val="0"/>
                              <w:marRight w:val="300"/>
                              <w:marTop w:val="180"/>
                              <w:marBottom w:val="0"/>
                              <w:divBdr>
                                <w:top w:val="none" w:sz="0" w:space="0" w:color="auto"/>
                                <w:left w:val="none" w:sz="0" w:space="0" w:color="auto"/>
                                <w:bottom w:val="none" w:sz="0" w:space="0" w:color="auto"/>
                                <w:right w:val="none" w:sz="0" w:space="0" w:color="auto"/>
                              </w:divBdr>
                              <w:divsChild>
                                <w:div w:id="20277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414717">
          <w:marLeft w:val="0"/>
          <w:marRight w:val="0"/>
          <w:marTop w:val="0"/>
          <w:marBottom w:val="0"/>
          <w:divBdr>
            <w:top w:val="none" w:sz="0" w:space="0" w:color="auto"/>
            <w:left w:val="none" w:sz="0" w:space="0" w:color="auto"/>
            <w:bottom w:val="none" w:sz="0" w:space="0" w:color="auto"/>
            <w:right w:val="none" w:sz="0" w:space="0" w:color="auto"/>
          </w:divBdr>
          <w:divsChild>
            <w:div w:id="1862009118">
              <w:marLeft w:val="0"/>
              <w:marRight w:val="0"/>
              <w:marTop w:val="0"/>
              <w:marBottom w:val="0"/>
              <w:divBdr>
                <w:top w:val="none" w:sz="0" w:space="0" w:color="auto"/>
                <w:left w:val="none" w:sz="0" w:space="0" w:color="auto"/>
                <w:bottom w:val="none" w:sz="0" w:space="0" w:color="auto"/>
                <w:right w:val="none" w:sz="0" w:space="0" w:color="auto"/>
              </w:divBdr>
              <w:divsChild>
                <w:div w:id="1670670516">
                  <w:marLeft w:val="0"/>
                  <w:marRight w:val="0"/>
                  <w:marTop w:val="0"/>
                  <w:marBottom w:val="0"/>
                  <w:divBdr>
                    <w:top w:val="none" w:sz="0" w:space="0" w:color="auto"/>
                    <w:left w:val="none" w:sz="0" w:space="0" w:color="auto"/>
                    <w:bottom w:val="none" w:sz="0" w:space="0" w:color="auto"/>
                    <w:right w:val="none" w:sz="0" w:space="0" w:color="auto"/>
                  </w:divBdr>
                  <w:divsChild>
                    <w:div w:id="1012879628">
                      <w:marLeft w:val="0"/>
                      <w:marRight w:val="0"/>
                      <w:marTop w:val="0"/>
                      <w:marBottom w:val="0"/>
                      <w:divBdr>
                        <w:top w:val="none" w:sz="0" w:space="0" w:color="auto"/>
                        <w:left w:val="none" w:sz="0" w:space="0" w:color="auto"/>
                        <w:bottom w:val="none" w:sz="0" w:space="0" w:color="auto"/>
                        <w:right w:val="none" w:sz="0" w:space="0" w:color="auto"/>
                      </w:divBdr>
                      <w:divsChild>
                        <w:div w:id="13869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112524">
      <w:bodyDiv w:val="1"/>
      <w:marLeft w:val="0"/>
      <w:marRight w:val="0"/>
      <w:marTop w:val="0"/>
      <w:marBottom w:val="0"/>
      <w:divBdr>
        <w:top w:val="none" w:sz="0" w:space="0" w:color="auto"/>
        <w:left w:val="none" w:sz="0" w:space="0" w:color="auto"/>
        <w:bottom w:val="none" w:sz="0" w:space="0" w:color="auto"/>
        <w:right w:val="none" w:sz="0" w:space="0" w:color="auto"/>
      </w:divBdr>
    </w:div>
    <w:div w:id="1888688046">
      <w:bodyDiv w:val="1"/>
      <w:marLeft w:val="0"/>
      <w:marRight w:val="0"/>
      <w:marTop w:val="0"/>
      <w:marBottom w:val="0"/>
      <w:divBdr>
        <w:top w:val="none" w:sz="0" w:space="0" w:color="auto"/>
        <w:left w:val="none" w:sz="0" w:space="0" w:color="auto"/>
        <w:bottom w:val="none" w:sz="0" w:space="0" w:color="auto"/>
        <w:right w:val="none" w:sz="0" w:space="0" w:color="auto"/>
      </w:divBdr>
    </w:div>
    <w:div w:id="2115511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b011329b4c056286b3de6a941ee5e92f">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b6f789f3e518669cab2ff4c7c2990819"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9D7A5043-2848-4021-81C7-FEFC9D8332AD}">
  <ds:schemaRefs>
    <ds:schemaRef ds:uri="http://schemas.openxmlformats.org/officeDocument/2006/bibliography"/>
  </ds:schemaRefs>
</ds:datastoreItem>
</file>

<file path=customXml/itemProps2.xml><?xml version="1.0" encoding="utf-8"?>
<ds:datastoreItem xmlns:ds="http://schemas.openxmlformats.org/officeDocument/2006/customXml" ds:itemID="{135779BD-2B97-4FC7-A1B6-DCC1CA6AD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B30BC-DD58-483D-B03C-F793496BD6E4}">
  <ds:schemaRefs>
    <ds:schemaRef ds:uri="http://schemas.microsoft.com/sharepoint/v3/contenttype/forms"/>
  </ds:schemaRefs>
</ds:datastoreItem>
</file>

<file path=customXml/itemProps4.xml><?xml version="1.0" encoding="utf-8"?>
<ds:datastoreItem xmlns:ds="http://schemas.openxmlformats.org/officeDocument/2006/customXml" ds:itemID="{734D9F5A-5C85-4882-88B8-CB6CF5F0DE1D}">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9245</Words>
  <Characters>52698</Characters>
  <Application>Microsoft Office Word</Application>
  <DocSecurity>0</DocSecurity>
  <Lines>439</Lines>
  <Paragraphs>123</Paragraphs>
  <ScaleCrop>false</ScaleCrop>
  <Company/>
  <LinksUpToDate>false</LinksUpToDate>
  <CharactersWithSpaces>61820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2025-07-31T14:30:00Z</dcterms:created>
  <dcterms:modified xsi:type="dcterms:W3CDTF">2025-07-31T14:30:00Z</dcterms:modified>
</cp:coreProperties>
</file>