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7850" w14:textId="77777777" w:rsidR="00040C3A" w:rsidRPr="003C32BC" w:rsidRDefault="006311DA" w:rsidP="00627C9F">
      <w:pPr>
        <w:jc w:val="both"/>
        <w:rPr>
          <w:rFonts w:asciiTheme="majorHAnsi" w:hAnsiTheme="majorHAnsi" w:cs="Univers"/>
          <w:b/>
          <w:bCs/>
          <w:sz w:val="22"/>
          <w:szCs w:val="22"/>
        </w:rPr>
      </w:pPr>
      <w:r>
        <w:rPr>
          <w:rFonts w:asciiTheme="majorHAnsi" w:hAnsiTheme="majorHAnsi"/>
          <w:noProof/>
          <w:sz w:val="22"/>
        </w:rPr>
        <mc:AlternateContent>
          <mc:Choice Requires="wps">
            <w:drawing>
              <wp:anchor distT="0" distB="0" distL="114300" distR="114300" simplePos="0" relativeHeight="251661311" behindDoc="0" locked="0" layoutInCell="1" allowOverlap="1" wp14:anchorId="40EE6745" wp14:editId="14FC867B">
                <wp:simplePos x="0" y="0"/>
                <wp:positionH relativeFrom="column">
                  <wp:posOffset>-415925</wp:posOffset>
                </wp:positionH>
                <wp:positionV relativeFrom="paragraph">
                  <wp:posOffset>-356870</wp:posOffset>
                </wp:positionV>
                <wp:extent cx="1409700" cy="8977630"/>
                <wp:effectExtent l="0" t="0" r="0" b="0"/>
                <wp:wrapNone/>
                <wp:docPr id="1" name="Rectangle 1"/>
                <wp:cNvGraphicFramePr/>
                <a:graphic xmlns:a="http://schemas.openxmlformats.org/drawingml/2006/main">
                  <a:graphicData uri="http://schemas.microsoft.com/office/word/2010/wordprocessingShape">
                    <wps:wsp>
                      <wps:cNvSpPr/>
                      <wps:spPr>
                        <a:xfrm>
                          <a:off x="0" y="0"/>
                          <a:ext cx="1409700" cy="8977630"/>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0DDB584">
              <v:rect id="Rectangle 1" style="position:absolute;margin-left:-32.75pt;margin-top:-28.1pt;width:111pt;height:706.9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7ae3c" stroked="f" strokeweight="2pt" w14:anchorId="1325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"/>
            </w:pict>
          </mc:Fallback>
        </mc:AlternateContent>
      </w:r>
      <w:r>
        <w:rPr>
          <w:rFonts w:asciiTheme="majorHAnsi" w:hAnsiTheme="majorHAnsi"/>
          <w:noProof/>
          <w:sz w:val="22"/>
        </w:rPr>
        <mc:AlternateContent>
          <mc:Choice Requires="wps">
            <w:drawing>
              <wp:anchor distT="0" distB="0" distL="114300" distR="114300" simplePos="0" relativeHeight="251673600" behindDoc="0" locked="0" layoutInCell="1" allowOverlap="1" wp14:anchorId="36BFC9F1" wp14:editId="76B2F14C">
                <wp:simplePos x="0" y="0"/>
                <wp:positionH relativeFrom="column">
                  <wp:posOffset>1143000</wp:posOffset>
                </wp:positionH>
                <wp:positionV relativeFrom="paragraph">
                  <wp:posOffset>-371475</wp:posOffset>
                </wp:positionV>
                <wp:extent cx="4486275" cy="752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862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394D7" w14:textId="77777777" w:rsidR="00CB2660" w:rsidRDefault="002C1641">
                            <w:r>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FC9F1" id="_x0000_t202" coordsize="21600,21600" o:spt="202" path="m,l,21600r21600,l21600,xe">
                <v:stroke joinstyle="miter"/>
                <v:path gradientshapeok="t" o:connecttype="rect"/>
              </v:shapetype>
              <v:shape id="Text Box 11" o:spid="_x0000_s1026" type="#_x0000_t202" style="position:absolute;left:0;text-align:left;margin-left:90pt;margin-top:-29.25pt;width:353.2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" filled="f" stroked="f" strokeweight=".5pt">
                <v:textbox>
                  <w:txbxContent>
                    <w:p w14:paraId="683394D7" w14:textId="77777777" w:rsidR="00CB2660" w:rsidRDefault="002C1641">
                      <w:r>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p>
                  </w:txbxContent>
                </v:textbox>
              </v:shape>
            </w:pict>
          </mc:Fallback>
        </mc:AlternateContent>
      </w:r>
    </w:p>
    <w:p w14:paraId="052C53DB" w14:textId="77777777" w:rsidR="00040C3A" w:rsidRPr="003C32BC" w:rsidRDefault="00040C3A" w:rsidP="00040C3A">
      <w:pPr>
        <w:tabs>
          <w:tab w:val="center" w:pos="5400"/>
        </w:tabs>
        <w:suppressAutoHyphens/>
        <w:jc w:val="both"/>
        <w:rPr>
          <w:rFonts w:asciiTheme="majorHAnsi" w:hAnsiTheme="majorHAnsi"/>
          <w:sz w:val="22"/>
          <w:szCs w:val="22"/>
          <w:lang w:val="es-ES"/>
        </w:rPr>
      </w:pPr>
    </w:p>
    <w:p w14:paraId="1099B448" w14:textId="77777777" w:rsidR="00040C3A" w:rsidRPr="003C32BC" w:rsidRDefault="00040C3A" w:rsidP="00040C3A">
      <w:pPr>
        <w:tabs>
          <w:tab w:val="center" w:pos="5400"/>
        </w:tabs>
        <w:suppressAutoHyphens/>
        <w:jc w:val="both"/>
        <w:rPr>
          <w:rFonts w:asciiTheme="majorHAnsi" w:hAnsiTheme="majorHAnsi"/>
          <w:sz w:val="22"/>
          <w:szCs w:val="22"/>
          <w:lang w:val="es-ES"/>
        </w:rPr>
      </w:pPr>
    </w:p>
    <w:p w14:paraId="73A5D8B6" w14:textId="77777777" w:rsidR="005128E4" w:rsidRPr="003C32BC" w:rsidRDefault="005128E4" w:rsidP="00040C3A">
      <w:pPr>
        <w:tabs>
          <w:tab w:val="center" w:pos="5400"/>
        </w:tabs>
        <w:suppressAutoHyphens/>
        <w:rPr>
          <w:rFonts w:asciiTheme="majorHAnsi" w:hAnsiTheme="majorHAnsi"/>
          <w:sz w:val="22"/>
          <w:szCs w:val="22"/>
          <w:lang w:val="es-ES_tradnl"/>
        </w:rPr>
      </w:pPr>
    </w:p>
    <w:p w14:paraId="3C77C4EA" w14:textId="77777777" w:rsidR="005128E4" w:rsidRPr="003C32BC" w:rsidRDefault="005128E4" w:rsidP="00040C3A">
      <w:pPr>
        <w:tabs>
          <w:tab w:val="center" w:pos="5400"/>
        </w:tabs>
        <w:suppressAutoHyphens/>
        <w:rPr>
          <w:rFonts w:asciiTheme="majorHAnsi" w:hAnsiTheme="majorHAnsi"/>
          <w:sz w:val="22"/>
          <w:szCs w:val="22"/>
          <w:lang w:val="es-ES_tradnl"/>
        </w:rPr>
      </w:pPr>
    </w:p>
    <w:p w14:paraId="59CA1627" w14:textId="77777777" w:rsidR="005128E4" w:rsidRPr="003C32BC" w:rsidRDefault="005128E4" w:rsidP="00040C3A">
      <w:pPr>
        <w:tabs>
          <w:tab w:val="center" w:pos="5400"/>
        </w:tabs>
        <w:suppressAutoHyphens/>
        <w:rPr>
          <w:rFonts w:asciiTheme="majorHAnsi" w:hAnsiTheme="majorHAnsi"/>
          <w:sz w:val="22"/>
          <w:szCs w:val="22"/>
          <w:lang w:val="es-ES_tradnl"/>
        </w:rPr>
      </w:pPr>
    </w:p>
    <w:p w14:paraId="38C0CB82" w14:textId="77777777" w:rsidR="00040C3A" w:rsidRPr="003C32BC" w:rsidRDefault="00040C3A" w:rsidP="005128E4">
      <w:pPr>
        <w:tabs>
          <w:tab w:val="center" w:pos="5400"/>
        </w:tabs>
        <w:suppressAutoHyphens/>
        <w:jc w:val="center"/>
        <w:rPr>
          <w:rFonts w:asciiTheme="majorHAnsi" w:hAnsiTheme="majorHAnsi"/>
          <w:sz w:val="22"/>
          <w:szCs w:val="22"/>
          <w:lang w:val="es-ES_tradnl"/>
        </w:rPr>
      </w:pPr>
    </w:p>
    <w:p w14:paraId="574BFEEF" w14:textId="77777777" w:rsidR="00040C3A" w:rsidRPr="003C32BC" w:rsidRDefault="00040C3A" w:rsidP="005128E4">
      <w:pPr>
        <w:tabs>
          <w:tab w:val="center" w:pos="5400"/>
        </w:tabs>
        <w:suppressAutoHyphens/>
        <w:jc w:val="center"/>
        <w:rPr>
          <w:rFonts w:asciiTheme="majorHAnsi" w:hAnsiTheme="majorHAnsi"/>
          <w:sz w:val="22"/>
          <w:szCs w:val="22"/>
          <w:lang w:val="es-ES_tradnl"/>
        </w:rPr>
      </w:pPr>
    </w:p>
    <w:p w14:paraId="19800652"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5F7F360E"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2E498EC1"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56F64985"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416F5120"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66882259"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0F9A957D" w14:textId="77777777" w:rsidR="00040C3A" w:rsidRPr="003C32BC" w:rsidRDefault="00E533FF" w:rsidP="3172AE4A">
      <w:pPr>
        <w:tabs>
          <w:tab w:val="center" w:pos="5400"/>
        </w:tabs>
        <w:suppressAutoHyphens/>
        <w:jc w:val="center"/>
        <w:rPr>
          <w:rFonts w:asciiTheme="majorHAnsi" w:hAnsiTheme="majorHAnsi"/>
          <w:sz w:val="22"/>
          <w:szCs w:val="22"/>
        </w:rPr>
      </w:pPr>
      <w:r>
        <w:rPr>
          <w:rFonts w:asciiTheme="majorHAnsi" w:hAnsiTheme="majorHAnsi"/>
          <w:noProof/>
          <w:sz w:val="22"/>
        </w:rPr>
        <mc:AlternateContent>
          <mc:Choice Requires="wps">
            <w:drawing>
              <wp:anchor distT="0" distB="0" distL="114300" distR="114300" simplePos="0" relativeHeight="251669504" behindDoc="0" locked="0" layoutInCell="1" allowOverlap="1" wp14:anchorId="49DFED24" wp14:editId="2E9953B9">
                <wp:simplePos x="0" y="0"/>
                <wp:positionH relativeFrom="column">
                  <wp:posOffset>1209675</wp:posOffset>
                </wp:positionH>
                <wp:positionV relativeFrom="paragraph">
                  <wp:posOffset>79375</wp:posOffset>
                </wp:positionV>
                <wp:extent cx="4333875" cy="2350770"/>
                <wp:effectExtent l="0" t="0" r="0" b="0"/>
                <wp:wrapNone/>
                <wp:docPr id="5" name="Text Box 5"/>
                <wp:cNvGraphicFramePr/>
                <a:graphic xmlns:a="http://schemas.openxmlformats.org/drawingml/2006/main">
                  <a:graphicData uri="http://schemas.microsoft.com/office/word/2010/wordprocessingShape">
                    <wps:wsp>
                      <wps:cNvSpPr/>
                      <wps:spPr>
                        <a:xfrm>
                          <a:off x="0" y="0"/>
                          <a:ext cx="4333875" cy="235077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062B1D4" w14:textId="68F64C7D" w:rsidR="00325191" w:rsidRDefault="00325191" w:rsidP="00D82708">
                            <w:pPr>
                              <w:spacing w:line="276" w:lineRule="auto"/>
                              <w:rPr>
                                <w:rFonts w:ascii="Cambria" w:eastAsia="Cambria" w:hAnsi="Cambria"/>
                                <w:b/>
                                <w:bCs/>
                                <w:color w:val="0D0D0D"/>
                                <w:sz w:val="36"/>
                                <w:szCs w:val="36"/>
                              </w:rPr>
                            </w:pPr>
                            <w:r>
                              <w:rPr>
                                <w:rFonts w:ascii="Cambria" w:hAnsi="Cambria"/>
                                <w:b/>
                                <w:color w:val="0D0D0D"/>
                                <w:sz w:val="36"/>
                              </w:rPr>
                              <w:t xml:space="preserve">REPORT No. </w:t>
                            </w:r>
                            <w:r w:rsidR="00210453">
                              <w:rPr>
                                <w:rFonts w:ascii="Cambria" w:hAnsi="Cambria"/>
                                <w:b/>
                                <w:color w:val="0D0D0D"/>
                                <w:sz w:val="36"/>
                              </w:rPr>
                              <w:t>271</w:t>
                            </w:r>
                            <w:r>
                              <w:rPr>
                                <w:rFonts w:ascii="Cambria" w:hAnsi="Cambria"/>
                                <w:b/>
                                <w:color w:val="0D0D0D"/>
                                <w:sz w:val="36"/>
                              </w:rPr>
                              <w:t>/25</w:t>
                            </w:r>
                          </w:p>
                          <w:p w14:paraId="254CE929" w14:textId="1ABB19C4" w:rsidR="00325191" w:rsidRDefault="00325191" w:rsidP="00D82708">
                            <w:pPr>
                              <w:spacing w:line="276" w:lineRule="auto"/>
                              <w:rPr>
                                <w:rFonts w:ascii="Cambria" w:eastAsia="Cambria" w:hAnsi="Cambria"/>
                                <w:b/>
                                <w:bCs/>
                                <w:color w:val="0D0D0D"/>
                                <w:sz w:val="36"/>
                                <w:szCs w:val="36"/>
                              </w:rPr>
                            </w:pPr>
                            <w:r>
                              <w:rPr>
                                <w:rFonts w:ascii="Cambria" w:hAnsi="Cambria"/>
                                <w:b/>
                                <w:color w:val="0D0D0D"/>
                                <w:sz w:val="36"/>
                              </w:rPr>
                              <w:t xml:space="preserve">CASE </w:t>
                            </w:r>
                            <w:r w:rsidR="007F1EB5">
                              <w:rPr>
                                <w:rFonts w:ascii="Cambria" w:hAnsi="Cambria"/>
                                <w:b/>
                                <w:color w:val="0D0D0D"/>
                                <w:sz w:val="36"/>
                              </w:rPr>
                              <w:t>11.990 B</w:t>
                            </w:r>
                          </w:p>
                          <w:p w14:paraId="5BB6A794" w14:textId="088CF3E8" w:rsidR="00325191" w:rsidRDefault="00C7211F" w:rsidP="00D82708">
                            <w:pPr>
                              <w:spacing w:line="276" w:lineRule="auto"/>
                              <w:rPr>
                                <w:rFonts w:ascii="Cambria" w:eastAsia="Cambria" w:hAnsi="Cambria"/>
                                <w:color w:val="0D0D0D"/>
                              </w:rPr>
                            </w:pPr>
                            <w:r>
                              <w:rPr>
                                <w:rFonts w:ascii="Cambria" w:hAnsi="Cambria"/>
                                <w:color w:val="0D0D0D"/>
                              </w:rPr>
                              <w:t xml:space="preserve">REPORT ON </w:t>
                            </w:r>
                            <w:r w:rsidR="00325191">
                              <w:rPr>
                                <w:rFonts w:ascii="Cambria" w:hAnsi="Cambria"/>
                                <w:color w:val="0D0D0D"/>
                              </w:rPr>
                              <w:t>FRIENDLY SETTLEMENT</w:t>
                            </w:r>
                          </w:p>
                          <w:p w14:paraId="0947B036" w14:textId="77777777" w:rsidR="00325191" w:rsidRDefault="00325191" w:rsidP="00D82708">
                            <w:pPr>
                              <w:spacing w:line="276" w:lineRule="auto"/>
                              <w:rPr>
                                <w:rFonts w:ascii="Cambria" w:eastAsia="Cambria" w:hAnsi="Cambria"/>
                                <w:color w:val="0D0D0D"/>
                              </w:rPr>
                            </w:pPr>
                            <w:r>
                              <w:rPr>
                                <w:rFonts w:ascii="Cambria" w:hAnsi="Cambria"/>
                                <w:color w:val="0D0D0D"/>
                              </w:rPr>
                              <w:t> </w:t>
                            </w:r>
                          </w:p>
                          <w:p w14:paraId="1E3FBA1F" w14:textId="65D55F4D" w:rsidR="00325191" w:rsidRDefault="007F1EB5" w:rsidP="00D82708">
                            <w:pPr>
                              <w:spacing w:line="276" w:lineRule="auto"/>
                              <w:rPr>
                                <w:rFonts w:ascii="Cambria" w:eastAsia="Cambria" w:hAnsi="Cambria"/>
                                <w:color w:val="0D0D0D"/>
                              </w:rPr>
                            </w:pPr>
                            <w:r>
                              <w:rPr>
                                <w:rFonts w:ascii="Cambria" w:hAnsi="Cambria"/>
                                <w:color w:val="0D0D0D"/>
                              </w:rPr>
                              <w:t>JOHN JAIRO</w:t>
                            </w:r>
                            <w:r w:rsidR="00F31CAA">
                              <w:rPr>
                                <w:rFonts w:ascii="Cambria" w:hAnsi="Cambria"/>
                                <w:color w:val="0D0D0D"/>
                              </w:rPr>
                              <w:t xml:space="preserve"> CABARIQUE</w:t>
                            </w:r>
                          </w:p>
                          <w:p w14:paraId="0DD3FB13" w14:textId="45B5F3D9" w:rsidR="00325191" w:rsidRDefault="00325191" w:rsidP="00D82708">
                            <w:pPr>
                              <w:spacing w:line="276" w:lineRule="auto"/>
                              <w:rPr>
                                <w:rFonts w:ascii="Cambria" w:eastAsia="Cambria" w:hAnsi="Cambria"/>
                                <w:color w:val="0D0D0D"/>
                              </w:rPr>
                            </w:pPr>
                            <w:r>
                              <w:rPr>
                                <w:rFonts w:ascii="Cambria" w:hAnsi="Cambria"/>
                                <w:color w:val="0D0D0D"/>
                              </w:rPr>
                              <w:t>CO</w:t>
                            </w:r>
                            <w:r w:rsidR="00F31CAA">
                              <w:rPr>
                                <w:rFonts w:ascii="Cambria" w:hAnsi="Cambria"/>
                                <w:color w:val="0D0D0D"/>
                              </w:rPr>
                              <w:t>LOMBIA</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9DFED24" id="Text Box 5" o:spid="_x0000_s1027" style="position:absolute;left:0;text-align:left;margin-left:95.25pt;margin-top:6.25pt;width:341.25pt;height:18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" filled="f" stroked="f" strokeweight=".5pt">
                <v:textbox>
                  <w:txbxContent>
                    <w:p w14:paraId="4062B1D4" w14:textId="68F64C7D" w:rsidR="00325191" w:rsidRDefault="00325191" w:rsidP="00D82708">
                      <w:pPr>
                        <w:spacing w:line="276" w:lineRule="auto"/>
                        <w:rPr>
                          <w:rFonts w:ascii="Cambria" w:eastAsia="Cambria" w:hAnsi="Cambria"/>
                          <w:b/>
                          <w:bCs/>
                          <w:color w:val="0D0D0D"/>
                          <w:sz w:val="36"/>
                          <w:szCs w:val="36"/>
                        </w:rPr>
                      </w:pPr>
                      <w:r>
                        <w:rPr>
                          <w:rFonts w:ascii="Cambria" w:hAnsi="Cambria"/>
                          <w:b/>
                          <w:color w:val="0D0D0D"/>
                          <w:sz w:val="36"/>
                        </w:rPr>
                        <w:t xml:space="preserve">REPORT No. </w:t>
                      </w:r>
                      <w:r w:rsidR="00210453">
                        <w:rPr>
                          <w:rFonts w:ascii="Cambria" w:hAnsi="Cambria"/>
                          <w:b/>
                          <w:color w:val="0D0D0D"/>
                          <w:sz w:val="36"/>
                        </w:rPr>
                        <w:t>271</w:t>
                      </w:r>
                      <w:r>
                        <w:rPr>
                          <w:rFonts w:ascii="Cambria" w:hAnsi="Cambria"/>
                          <w:b/>
                          <w:color w:val="0D0D0D"/>
                          <w:sz w:val="36"/>
                        </w:rPr>
                        <w:t>/25</w:t>
                      </w:r>
                    </w:p>
                    <w:p w14:paraId="254CE929" w14:textId="1ABB19C4" w:rsidR="00325191" w:rsidRDefault="00325191" w:rsidP="00D82708">
                      <w:pPr>
                        <w:spacing w:line="276" w:lineRule="auto"/>
                        <w:rPr>
                          <w:rFonts w:ascii="Cambria" w:eastAsia="Cambria" w:hAnsi="Cambria"/>
                          <w:b/>
                          <w:bCs/>
                          <w:color w:val="0D0D0D"/>
                          <w:sz w:val="36"/>
                          <w:szCs w:val="36"/>
                        </w:rPr>
                      </w:pPr>
                      <w:r>
                        <w:rPr>
                          <w:rFonts w:ascii="Cambria" w:hAnsi="Cambria"/>
                          <w:b/>
                          <w:color w:val="0D0D0D"/>
                          <w:sz w:val="36"/>
                        </w:rPr>
                        <w:t xml:space="preserve">CASE </w:t>
                      </w:r>
                      <w:r w:rsidR="007F1EB5">
                        <w:rPr>
                          <w:rFonts w:ascii="Cambria" w:hAnsi="Cambria"/>
                          <w:b/>
                          <w:color w:val="0D0D0D"/>
                          <w:sz w:val="36"/>
                        </w:rPr>
                        <w:t>11.990 B</w:t>
                      </w:r>
                    </w:p>
                    <w:p w14:paraId="5BB6A794" w14:textId="088CF3E8" w:rsidR="00325191" w:rsidRDefault="00C7211F" w:rsidP="00D82708">
                      <w:pPr>
                        <w:spacing w:line="276" w:lineRule="auto"/>
                        <w:rPr>
                          <w:rFonts w:ascii="Cambria" w:eastAsia="Cambria" w:hAnsi="Cambria"/>
                          <w:color w:val="0D0D0D"/>
                        </w:rPr>
                      </w:pPr>
                      <w:r>
                        <w:rPr>
                          <w:rFonts w:ascii="Cambria" w:hAnsi="Cambria"/>
                          <w:color w:val="0D0D0D"/>
                        </w:rPr>
                        <w:t xml:space="preserve">REPORT ON </w:t>
                      </w:r>
                      <w:r w:rsidR="00325191">
                        <w:rPr>
                          <w:rFonts w:ascii="Cambria" w:hAnsi="Cambria"/>
                          <w:color w:val="0D0D0D"/>
                        </w:rPr>
                        <w:t>FRIENDLY SETTLEMENT</w:t>
                      </w:r>
                    </w:p>
                    <w:p w14:paraId="0947B036" w14:textId="77777777" w:rsidR="00325191" w:rsidRDefault="00325191" w:rsidP="00D82708">
                      <w:pPr>
                        <w:spacing w:line="276" w:lineRule="auto"/>
                        <w:rPr>
                          <w:rFonts w:ascii="Cambria" w:eastAsia="Cambria" w:hAnsi="Cambria"/>
                          <w:color w:val="0D0D0D"/>
                        </w:rPr>
                      </w:pPr>
                      <w:r>
                        <w:rPr>
                          <w:rFonts w:ascii="Cambria" w:hAnsi="Cambria"/>
                          <w:color w:val="0D0D0D"/>
                        </w:rPr>
                        <w:t> </w:t>
                      </w:r>
                    </w:p>
                    <w:p w14:paraId="1E3FBA1F" w14:textId="65D55F4D" w:rsidR="00325191" w:rsidRDefault="007F1EB5" w:rsidP="00D82708">
                      <w:pPr>
                        <w:spacing w:line="276" w:lineRule="auto"/>
                        <w:rPr>
                          <w:rFonts w:ascii="Cambria" w:eastAsia="Cambria" w:hAnsi="Cambria"/>
                          <w:color w:val="0D0D0D"/>
                        </w:rPr>
                      </w:pPr>
                      <w:r>
                        <w:rPr>
                          <w:rFonts w:ascii="Cambria" w:hAnsi="Cambria"/>
                          <w:color w:val="0D0D0D"/>
                        </w:rPr>
                        <w:t>JOHN JAIRO</w:t>
                      </w:r>
                      <w:r w:rsidR="00F31CAA">
                        <w:rPr>
                          <w:rFonts w:ascii="Cambria" w:hAnsi="Cambria"/>
                          <w:color w:val="0D0D0D"/>
                        </w:rPr>
                        <w:t xml:space="preserve"> CABARIQUE</w:t>
                      </w:r>
                    </w:p>
                    <w:p w14:paraId="0DD3FB13" w14:textId="45B5F3D9" w:rsidR="00325191" w:rsidRDefault="00325191" w:rsidP="00D82708">
                      <w:pPr>
                        <w:spacing w:line="276" w:lineRule="auto"/>
                        <w:rPr>
                          <w:rFonts w:ascii="Cambria" w:eastAsia="Cambria" w:hAnsi="Cambria"/>
                          <w:color w:val="0D0D0D"/>
                        </w:rPr>
                      </w:pPr>
                      <w:r>
                        <w:rPr>
                          <w:rFonts w:ascii="Cambria" w:hAnsi="Cambria"/>
                          <w:color w:val="0D0D0D"/>
                        </w:rPr>
                        <w:t>CO</w:t>
                      </w:r>
                      <w:r w:rsidR="00F31CAA">
                        <w:rPr>
                          <w:rFonts w:ascii="Cambria" w:hAnsi="Cambria"/>
                          <w:color w:val="0D0D0D"/>
                        </w:rPr>
                        <w:t>LOMBIA</w:t>
                      </w:r>
                    </w:p>
                  </w:txbxContent>
                </v:textbox>
              </v:rect>
            </w:pict>
          </mc:Fallback>
        </mc:AlternateContent>
      </w:r>
      <w:r>
        <w:rPr>
          <w:rFonts w:asciiTheme="majorHAnsi" w:hAnsiTheme="majorHAnsi"/>
          <w:noProof/>
          <w:sz w:val="22"/>
        </w:rPr>
        <mc:AlternateContent>
          <mc:Choice Requires="wps">
            <w:drawing>
              <wp:anchor distT="0" distB="0" distL="114300" distR="114300" simplePos="0" relativeHeight="251671552" behindDoc="0" locked="0" layoutInCell="1" allowOverlap="1" wp14:anchorId="4B2DAB49" wp14:editId="3210E982">
                <wp:simplePos x="0" y="0"/>
                <wp:positionH relativeFrom="column">
                  <wp:posOffset>-371475</wp:posOffset>
                </wp:positionH>
                <wp:positionV relativeFrom="paragraph">
                  <wp:posOffset>127000</wp:posOffset>
                </wp:positionV>
                <wp:extent cx="1334135"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66132" w14:textId="7058B4BB" w:rsidR="00627C9F" w:rsidRPr="00E75013" w:rsidRDefault="00627C9F" w:rsidP="002C1641">
                            <w:pPr>
                              <w:jc w:val="right"/>
                              <w:rPr>
                                <w:rFonts w:asciiTheme="minorHAnsi" w:hAnsiTheme="minorHAnsi"/>
                                <w:color w:val="FFFFFF" w:themeColor="background1"/>
                                <w:sz w:val="22"/>
                              </w:rPr>
                            </w:pPr>
                            <w:r w:rsidRPr="00E75013">
                              <w:rPr>
                                <w:rFonts w:asciiTheme="minorHAnsi" w:hAnsiTheme="minorHAnsi"/>
                                <w:color w:val="FFFFFF" w:themeColor="background1"/>
                                <w:sz w:val="22"/>
                              </w:rPr>
                              <w:t>OEA/</w:t>
                            </w:r>
                            <w:proofErr w:type="spellStart"/>
                            <w:r w:rsidRPr="00E75013">
                              <w:rPr>
                                <w:rFonts w:asciiTheme="minorHAnsi" w:hAnsiTheme="minorHAnsi"/>
                                <w:color w:val="FFFFFF" w:themeColor="background1"/>
                                <w:sz w:val="22"/>
                              </w:rPr>
                              <w:t>Ser.L</w:t>
                            </w:r>
                            <w:proofErr w:type="spellEnd"/>
                            <w:r w:rsidRPr="00E75013">
                              <w:rPr>
                                <w:rFonts w:asciiTheme="minorHAnsi" w:hAnsiTheme="minorHAnsi"/>
                                <w:color w:val="FFFFFF" w:themeColor="background1"/>
                                <w:sz w:val="22"/>
                              </w:rPr>
                              <w:t>/V/II</w:t>
                            </w:r>
                          </w:p>
                          <w:p w14:paraId="330BBEF7" w14:textId="1A597223" w:rsidR="00627C9F" w:rsidRPr="00E75013" w:rsidRDefault="00627C9F" w:rsidP="002C1641">
                            <w:pPr>
                              <w:jc w:val="right"/>
                              <w:rPr>
                                <w:rFonts w:asciiTheme="minorHAnsi" w:hAnsiTheme="minorHAnsi"/>
                                <w:color w:val="FFFFFF" w:themeColor="background1"/>
                                <w:sz w:val="22"/>
                              </w:rPr>
                            </w:pPr>
                            <w:r w:rsidRPr="00E75013">
                              <w:rPr>
                                <w:rFonts w:asciiTheme="minorHAnsi" w:hAnsiTheme="minorHAnsi"/>
                                <w:color w:val="FFFFFF" w:themeColor="background1"/>
                                <w:sz w:val="22"/>
                              </w:rPr>
                              <w:t xml:space="preserve">Doc. </w:t>
                            </w:r>
                            <w:r w:rsidR="00210453">
                              <w:rPr>
                                <w:rFonts w:asciiTheme="minorHAnsi" w:hAnsiTheme="minorHAnsi"/>
                                <w:color w:val="FFFFFF" w:themeColor="background1"/>
                                <w:sz w:val="22"/>
                              </w:rPr>
                              <w:t>286</w:t>
                            </w:r>
                          </w:p>
                          <w:p w14:paraId="64A9D0B0" w14:textId="2595B075" w:rsidR="00627C9F" w:rsidRPr="004B7EB6" w:rsidRDefault="00210453" w:rsidP="002C1641">
                            <w:pPr>
                              <w:jc w:val="right"/>
                              <w:rPr>
                                <w:rFonts w:asciiTheme="minorHAnsi" w:hAnsiTheme="minorHAnsi"/>
                                <w:color w:val="FFFFFF" w:themeColor="background1"/>
                                <w:sz w:val="22"/>
                              </w:rPr>
                            </w:pPr>
                            <w:r>
                              <w:rPr>
                                <w:rFonts w:asciiTheme="minorHAnsi" w:hAnsiTheme="minorHAnsi"/>
                                <w:color w:val="FFFFFF" w:themeColor="background1"/>
                                <w:sz w:val="22"/>
                              </w:rPr>
                              <w:t>10 December</w:t>
                            </w:r>
                            <w:r w:rsidR="00627C9F">
                              <w:rPr>
                                <w:rFonts w:asciiTheme="minorHAnsi" w:hAnsiTheme="minorHAnsi"/>
                                <w:color w:val="FFFFFF" w:themeColor="background1"/>
                                <w:sz w:val="22"/>
                              </w:rPr>
                              <w:t xml:space="preserve"> 20</w:t>
                            </w:r>
                            <w:r w:rsidR="007F1EB5">
                              <w:rPr>
                                <w:rFonts w:asciiTheme="minorHAnsi" w:hAnsiTheme="minorHAnsi"/>
                                <w:color w:val="FFFFFF" w:themeColor="background1"/>
                                <w:sz w:val="22"/>
                              </w:rPr>
                              <w:t>25</w:t>
                            </w:r>
                          </w:p>
                          <w:p w14:paraId="61B7CA4D" w14:textId="7D08B095" w:rsidR="00627C9F" w:rsidRPr="004B7EB6" w:rsidRDefault="00627C9F" w:rsidP="002C1641">
                            <w:pPr>
                              <w:jc w:val="right"/>
                              <w:rPr>
                                <w:rFonts w:asciiTheme="minorHAnsi" w:hAnsiTheme="minorHAnsi"/>
                                <w:color w:val="FFFFFF" w:themeColor="background1"/>
                                <w:sz w:val="22"/>
                              </w:rPr>
                            </w:pPr>
                            <w:r>
                              <w:rPr>
                                <w:rFonts w:asciiTheme="minorHAnsi" w:hAnsiTheme="minorHAnsi"/>
                                <w:color w:val="FFFFFF" w:themeColor="background1"/>
                                <w:sz w:val="22"/>
                              </w:rPr>
                              <w:t xml:space="preserve">Original: </w:t>
                            </w:r>
                            <w:r w:rsidR="007F1EB5">
                              <w:rPr>
                                <w:rFonts w:asciiTheme="minorHAnsi" w:hAnsiTheme="minorHAnsi"/>
                                <w:color w:val="FFFFFF" w:themeColor="background1"/>
                                <w:sz w:val="22"/>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AB49" id="Text Box 8" o:spid="_x0000_s1028" type="#_x0000_t202" style="position:absolute;left:0;text-align:left;margin-left:-29.25pt;margin-top:10pt;width:105.0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" filled="f" stroked="f" strokeweight=".5pt">
                <v:textbox>
                  <w:txbxContent>
                    <w:p w14:paraId="7C466132" w14:textId="7058B4BB" w:rsidR="00627C9F" w:rsidRPr="00E75013" w:rsidRDefault="00627C9F" w:rsidP="002C1641">
                      <w:pPr>
                        <w:jc w:val="right"/>
                        <w:rPr>
                          <w:rFonts w:asciiTheme="minorHAnsi" w:hAnsiTheme="minorHAnsi"/>
                          <w:color w:val="FFFFFF" w:themeColor="background1"/>
                          <w:sz w:val="22"/>
                        </w:rPr>
                      </w:pPr>
                      <w:r w:rsidRPr="00E75013">
                        <w:rPr>
                          <w:rFonts w:asciiTheme="minorHAnsi" w:hAnsiTheme="minorHAnsi"/>
                          <w:color w:val="FFFFFF" w:themeColor="background1"/>
                          <w:sz w:val="22"/>
                        </w:rPr>
                        <w:t>OEA/</w:t>
                      </w:r>
                      <w:proofErr w:type="spellStart"/>
                      <w:r w:rsidRPr="00E75013">
                        <w:rPr>
                          <w:rFonts w:asciiTheme="minorHAnsi" w:hAnsiTheme="minorHAnsi"/>
                          <w:color w:val="FFFFFF" w:themeColor="background1"/>
                          <w:sz w:val="22"/>
                        </w:rPr>
                        <w:t>Ser.L</w:t>
                      </w:r>
                      <w:proofErr w:type="spellEnd"/>
                      <w:r w:rsidRPr="00E75013">
                        <w:rPr>
                          <w:rFonts w:asciiTheme="minorHAnsi" w:hAnsiTheme="minorHAnsi"/>
                          <w:color w:val="FFFFFF" w:themeColor="background1"/>
                          <w:sz w:val="22"/>
                        </w:rPr>
                        <w:t>/V/II</w:t>
                      </w:r>
                    </w:p>
                    <w:p w14:paraId="330BBEF7" w14:textId="1A597223" w:rsidR="00627C9F" w:rsidRPr="00E75013" w:rsidRDefault="00627C9F" w:rsidP="002C1641">
                      <w:pPr>
                        <w:jc w:val="right"/>
                        <w:rPr>
                          <w:rFonts w:asciiTheme="minorHAnsi" w:hAnsiTheme="minorHAnsi"/>
                          <w:color w:val="FFFFFF" w:themeColor="background1"/>
                          <w:sz w:val="22"/>
                        </w:rPr>
                      </w:pPr>
                      <w:r w:rsidRPr="00E75013">
                        <w:rPr>
                          <w:rFonts w:asciiTheme="minorHAnsi" w:hAnsiTheme="minorHAnsi"/>
                          <w:color w:val="FFFFFF" w:themeColor="background1"/>
                          <w:sz w:val="22"/>
                        </w:rPr>
                        <w:t xml:space="preserve">Doc. </w:t>
                      </w:r>
                      <w:r w:rsidR="00210453">
                        <w:rPr>
                          <w:rFonts w:asciiTheme="minorHAnsi" w:hAnsiTheme="minorHAnsi"/>
                          <w:color w:val="FFFFFF" w:themeColor="background1"/>
                          <w:sz w:val="22"/>
                        </w:rPr>
                        <w:t>286</w:t>
                      </w:r>
                    </w:p>
                    <w:p w14:paraId="64A9D0B0" w14:textId="2595B075" w:rsidR="00627C9F" w:rsidRPr="004B7EB6" w:rsidRDefault="00210453" w:rsidP="002C1641">
                      <w:pPr>
                        <w:jc w:val="right"/>
                        <w:rPr>
                          <w:rFonts w:asciiTheme="minorHAnsi" w:hAnsiTheme="minorHAnsi"/>
                          <w:color w:val="FFFFFF" w:themeColor="background1"/>
                          <w:sz w:val="22"/>
                        </w:rPr>
                      </w:pPr>
                      <w:r>
                        <w:rPr>
                          <w:rFonts w:asciiTheme="minorHAnsi" w:hAnsiTheme="minorHAnsi"/>
                          <w:color w:val="FFFFFF" w:themeColor="background1"/>
                          <w:sz w:val="22"/>
                        </w:rPr>
                        <w:t>10 December</w:t>
                      </w:r>
                      <w:r w:rsidR="00627C9F">
                        <w:rPr>
                          <w:rFonts w:asciiTheme="minorHAnsi" w:hAnsiTheme="minorHAnsi"/>
                          <w:color w:val="FFFFFF" w:themeColor="background1"/>
                          <w:sz w:val="22"/>
                        </w:rPr>
                        <w:t xml:space="preserve"> 20</w:t>
                      </w:r>
                      <w:r w:rsidR="007F1EB5">
                        <w:rPr>
                          <w:rFonts w:asciiTheme="minorHAnsi" w:hAnsiTheme="minorHAnsi"/>
                          <w:color w:val="FFFFFF" w:themeColor="background1"/>
                          <w:sz w:val="22"/>
                        </w:rPr>
                        <w:t>25</w:t>
                      </w:r>
                    </w:p>
                    <w:p w14:paraId="61B7CA4D" w14:textId="7D08B095" w:rsidR="00627C9F" w:rsidRPr="004B7EB6" w:rsidRDefault="00627C9F" w:rsidP="002C1641">
                      <w:pPr>
                        <w:jc w:val="right"/>
                        <w:rPr>
                          <w:rFonts w:asciiTheme="minorHAnsi" w:hAnsiTheme="minorHAnsi"/>
                          <w:color w:val="FFFFFF" w:themeColor="background1"/>
                          <w:sz w:val="22"/>
                        </w:rPr>
                      </w:pPr>
                      <w:r>
                        <w:rPr>
                          <w:rFonts w:asciiTheme="minorHAnsi" w:hAnsiTheme="minorHAnsi"/>
                          <w:color w:val="FFFFFF" w:themeColor="background1"/>
                          <w:sz w:val="22"/>
                        </w:rPr>
                        <w:t xml:space="preserve">Original: </w:t>
                      </w:r>
                      <w:r w:rsidR="007F1EB5">
                        <w:rPr>
                          <w:rFonts w:asciiTheme="minorHAnsi" w:hAnsiTheme="minorHAnsi"/>
                          <w:color w:val="FFFFFF" w:themeColor="background1"/>
                          <w:sz w:val="22"/>
                        </w:rPr>
                        <w:t>Spanish</w:t>
                      </w:r>
                    </w:p>
                  </w:txbxContent>
                </v:textbox>
              </v:shape>
            </w:pict>
          </mc:Fallback>
        </mc:AlternateContent>
      </w:r>
    </w:p>
    <w:p w14:paraId="38659821"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2C89FAEA" w14:textId="77777777" w:rsidR="00040C3A" w:rsidRPr="003C32BC" w:rsidRDefault="00040C3A" w:rsidP="00040C3A">
      <w:pPr>
        <w:tabs>
          <w:tab w:val="center" w:pos="5400"/>
        </w:tabs>
        <w:suppressAutoHyphens/>
        <w:jc w:val="center"/>
        <w:rPr>
          <w:rFonts w:asciiTheme="majorHAnsi" w:hAnsiTheme="majorHAnsi" w:cs="Arial"/>
          <w:sz w:val="22"/>
          <w:szCs w:val="22"/>
          <w:lang w:val="es-ES_tradnl"/>
        </w:rPr>
      </w:pPr>
    </w:p>
    <w:p w14:paraId="446B9D14"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6F75D956"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171FA69D"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4479DF1"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A82F646"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4D2EBF75"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1573D827"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1838122F"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3A1E4986"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36F77937"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4EF1FD29"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489E0FE"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2889349C"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2B41153"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1097006"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221B6BFA"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10A087A"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8F3DBB4"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E4068BF"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7FF57DB"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9DA38B0"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03BD8066"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7F36EF9"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70F4F67C" w14:textId="77777777" w:rsidR="002C1641" w:rsidRPr="003C32BC" w:rsidRDefault="003C32BC" w:rsidP="00040C3A">
      <w:pPr>
        <w:tabs>
          <w:tab w:val="center" w:pos="5400"/>
        </w:tabs>
        <w:suppressAutoHyphens/>
        <w:jc w:val="center"/>
        <w:rPr>
          <w:rFonts w:asciiTheme="majorHAnsi" w:hAnsiTheme="majorHAnsi"/>
          <w:sz w:val="18"/>
          <w:szCs w:val="22"/>
        </w:rPr>
      </w:pPr>
      <w:r>
        <w:rPr>
          <w:rFonts w:asciiTheme="majorHAnsi" w:hAnsiTheme="majorHAnsi"/>
          <w:noProof/>
          <w:sz w:val="22"/>
        </w:rPr>
        <mc:AlternateContent>
          <mc:Choice Requires="wps">
            <w:drawing>
              <wp:anchor distT="0" distB="0" distL="114300" distR="114300" simplePos="0" relativeHeight="251670528" behindDoc="0" locked="0" layoutInCell="1" allowOverlap="1" wp14:anchorId="4DDAFFD6" wp14:editId="659585E3">
                <wp:simplePos x="0" y="0"/>
                <wp:positionH relativeFrom="column">
                  <wp:posOffset>1209675</wp:posOffset>
                </wp:positionH>
                <wp:positionV relativeFrom="paragraph">
                  <wp:posOffset>71120</wp:posOffset>
                </wp:positionV>
                <wp:extent cx="4595495" cy="695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7FCA5B" w14:textId="7A510892" w:rsidR="00092F32" w:rsidRPr="003C32BC" w:rsidRDefault="00092F32" w:rsidP="004165C2">
                            <w:pPr>
                              <w:tabs>
                                <w:tab w:val="center" w:pos="5400"/>
                              </w:tabs>
                              <w:suppressAutoHyphens/>
                              <w:spacing w:before="60"/>
                              <w:rPr>
                                <w:rFonts w:asciiTheme="majorHAnsi" w:hAnsiTheme="majorHAnsi"/>
                                <w:color w:val="0D0D0D" w:themeColor="text1" w:themeTint="F2"/>
                                <w:sz w:val="18"/>
                                <w:szCs w:val="22"/>
                              </w:rPr>
                            </w:pPr>
                          </w:p>
                          <w:p w14:paraId="0E82D5E9" w14:textId="7090C1FD"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rPr>
                              <w:t xml:space="preserve">Approved electronically by the Commission on </w:t>
                            </w:r>
                            <w:r w:rsidR="00210453">
                              <w:rPr>
                                <w:rFonts w:asciiTheme="majorHAnsi" w:hAnsiTheme="majorHAnsi"/>
                                <w:color w:val="0D0D0D" w:themeColor="text1" w:themeTint="F2"/>
                                <w:sz w:val="18"/>
                              </w:rPr>
                              <w:t>December 10</w:t>
                            </w:r>
                            <w:r>
                              <w:rPr>
                                <w:rFonts w:asciiTheme="majorHAnsi" w:hAnsiTheme="majorHAnsi"/>
                                <w:color w:val="0D0D0D" w:themeColor="text1" w:themeTint="F2"/>
                                <w:sz w:val="18"/>
                              </w:rPr>
                              <w:t>, 20</w:t>
                            </w:r>
                            <w:r w:rsidR="00CC1A99">
                              <w:rPr>
                                <w:rFonts w:asciiTheme="majorHAnsi" w:hAnsiTheme="majorHAnsi"/>
                                <w:color w:val="0D0D0D" w:themeColor="text1" w:themeTint="F2"/>
                                <w:sz w:val="18"/>
                              </w:rPr>
                              <w:t>25</w:t>
                            </w:r>
                            <w:r w:rsidR="008128B1">
                              <w:rPr>
                                <w:rFonts w:asciiTheme="majorHAnsi" w:hAnsiTheme="majorHAnsi"/>
                                <w:color w:val="0D0D0D" w:themeColor="text1" w:themeTint="F2"/>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FFD6" id="Text Box 7" o:spid="_x0000_s1029" type="#_x0000_t202" style="position:absolute;left:0;text-align:left;margin-left:95.25pt;margin-top:5.6pt;width:361.85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" filled="f" stroked="f" strokeweight=".5pt">
                <v:textbox>
                  <w:txbxContent>
                    <w:p w14:paraId="317FCA5B" w14:textId="7A510892" w:rsidR="00092F32" w:rsidRPr="003C32BC" w:rsidRDefault="00092F32" w:rsidP="004165C2">
                      <w:pPr>
                        <w:tabs>
                          <w:tab w:val="center" w:pos="5400"/>
                        </w:tabs>
                        <w:suppressAutoHyphens/>
                        <w:spacing w:before="60"/>
                        <w:rPr>
                          <w:rFonts w:asciiTheme="majorHAnsi" w:hAnsiTheme="majorHAnsi"/>
                          <w:color w:val="0D0D0D" w:themeColor="text1" w:themeTint="F2"/>
                          <w:sz w:val="18"/>
                          <w:szCs w:val="22"/>
                        </w:rPr>
                      </w:pPr>
                    </w:p>
                    <w:p w14:paraId="0E82D5E9" w14:textId="7090C1FD"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rPr>
                        <w:t xml:space="preserve">Approved electronically by the Commission on </w:t>
                      </w:r>
                      <w:r w:rsidR="00210453">
                        <w:rPr>
                          <w:rFonts w:asciiTheme="majorHAnsi" w:hAnsiTheme="majorHAnsi"/>
                          <w:color w:val="0D0D0D" w:themeColor="text1" w:themeTint="F2"/>
                          <w:sz w:val="18"/>
                        </w:rPr>
                        <w:t>December 10</w:t>
                      </w:r>
                      <w:r>
                        <w:rPr>
                          <w:rFonts w:asciiTheme="majorHAnsi" w:hAnsiTheme="majorHAnsi"/>
                          <w:color w:val="0D0D0D" w:themeColor="text1" w:themeTint="F2"/>
                          <w:sz w:val="18"/>
                        </w:rPr>
                        <w:t>, 20</w:t>
                      </w:r>
                      <w:r w:rsidR="00CC1A99">
                        <w:rPr>
                          <w:rFonts w:asciiTheme="majorHAnsi" w:hAnsiTheme="majorHAnsi"/>
                          <w:color w:val="0D0D0D" w:themeColor="text1" w:themeTint="F2"/>
                          <w:sz w:val="18"/>
                        </w:rPr>
                        <w:t>25</w:t>
                      </w:r>
                      <w:r w:rsidR="008128B1">
                        <w:rPr>
                          <w:rFonts w:asciiTheme="majorHAnsi" w:hAnsiTheme="majorHAnsi"/>
                          <w:color w:val="0D0D0D" w:themeColor="text1" w:themeTint="F2"/>
                          <w:sz w:val="18"/>
                        </w:rPr>
                        <w:t>.</w:t>
                      </w:r>
                    </w:p>
                  </w:txbxContent>
                </v:textbox>
              </v:shape>
            </w:pict>
          </mc:Fallback>
        </mc:AlternateContent>
      </w:r>
    </w:p>
    <w:p w14:paraId="00A0DD73"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65C358E"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0A7F6BF2"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555CDC4F"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667CA1C8" w14:textId="77777777" w:rsidR="002C1641" w:rsidRPr="003C32BC" w:rsidRDefault="003C32BC" w:rsidP="5374CB84">
      <w:pPr>
        <w:tabs>
          <w:tab w:val="center" w:pos="5400"/>
        </w:tabs>
        <w:suppressAutoHyphens/>
        <w:jc w:val="center"/>
        <w:rPr>
          <w:rFonts w:asciiTheme="majorHAnsi" w:hAnsiTheme="majorHAnsi"/>
          <w:sz w:val="18"/>
          <w:szCs w:val="18"/>
        </w:rPr>
      </w:pPr>
      <w:r>
        <w:rPr>
          <w:rFonts w:asciiTheme="majorHAnsi" w:hAnsiTheme="majorHAnsi"/>
          <w:noProof/>
          <w:sz w:val="18"/>
        </w:rPr>
        <mc:AlternateContent>
          <mc:Choice Requires="wps">
            <w:drawing>
              <wp:anchor distT="0" distB="0" distL="114300" distR="114300" simplePos="0" relativeHeight="251683840" behindDoc="0" locked="0" layoutInCell="1" allowOverlap="1" wp14:anchorId="343E4ACE" wp14:editId="5A7F943E">
                <wp:simplePos x="0" y="0"/>
                <wp:positionH relativeFrom="column">
                  <wp:posOffset>1210733</wp:posOffset>
                </wp:positionH>
                <wp:positionV relativeFrom="paragraph">
                  <wp:posOffset>95885</wp:posOffset>
                </wp:positionV>
                <wp:extent cx="4824095" cy="762000"/>
                <wp:effectExtent l="0" t="0" r="0" b="0"/>
                <wp:wrapNone/>
                <wp:docPr id="14" name="Text Box 14"/>
                <wp:cNvGraphicFramePr/>
                <a:graphic xmlns:a="http://schemas.openxmlformats.org/drawingml/2006/main">
                  <a:graphicData uri="http://schemas.microsoft.com/office/word/2010/wordprocessingShape">
                    <wps:wsp>
                      <wps:cNvSpPr/>
                      <wps:spPr>
                        <a:xfrm>
                          <a:off x="0" y="0"/>
                          <a:ext cx="4824095" cy="76200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6C720BC1" w14:textId="581CAF98" w:rsidR="00D665E1" w:rsidRPr="001E6C64" w:rsidRDefault="00AD6F1F" w:rsidP="00CE029E">
                            <w:pPr>
                              <w:spacing w:line="276" w:lineRule="auto"/>
                              <w:rPr>
                                <w:rFonts w:ascii="Cambria" w:eastAsia="Cambria" w:hAnsi="Cambria"/>
                                <w:b/>
                                <w:color w:val="595959"/>
                                <w:sz w:val="18"/>
                                <w:szCs w:val="18"/>
                              </w:rPr>
                            </w:pPr>
                            <w:r w:rsidRPr="001E6C64">
                              <w:rPr>
                                <w:rFonts w:ascii="Cambria" w:hAnsi="Cambria"/>
                                <w:b/>
                                <w:color w:val="595959"/>
                                <w:sz w:val="18"/>
                              </w:rPr>
                              <w:t xml:space="preserve">Cite as: </w:t>
                            </w:r>
                            <w:r w:rsidRPr="00577434">
                              <w:rPr>
                                <w:rFonts w:ascii="Cambria" w:hAnsi="Cambria"/>
                                <w:bCs/>
                                <w:color w:val="595959"/>
                                <w:sz w:val="18"/>
                              </w:rPr>
                              <w:t xml:space="preserve">IACHR, Report No. </w:t>
                            </w:r>
                            <w:r w:rsidR="00210453">
                              <w:rPr>
                                <w:rFonts w:ascii="Cambria" w:hAnsi="Cambria"/>
                                <w:bCs/>
                                <w:color w:val="595959"/>
                                <w:sz w:val="18"/>
                              </w:rPr>
                              <w:t>271</w:t>
                            </w:r>
                            <w:r w:rsidRPr="00577434">
                              <w:rPr>
                                <w:rFonts w:ascii="Cambria" w:hAnsi="Cambria"/>
                                <w:bCs/>
                                <w:color w:val="595959"/>
                                <w:sz w:val="18"/>
                              </w:rPr>
                              <w:t>/</w:t>
                            </w:r>
                            <w:r w:rsidR="00CC1A99" w:rsidRPr="00577434">
                              <w:rPr>
                                <w:rFonts w:ascii="Cambria" w:hAnsi="Cambria"/>
                                <w:bCs/>
                                <w:color w:val="595959"/>
                                <w:sz w:val="18"/>
                              </w:rPr>
                              <w:t>2</w:t>
                            </w:r>
                            <w:r w:rsidR="00210453">
                              <w:rPr>
                                <w:rFonts w:ascii="Cambria" w:hAnsi="Cambria"/>
                                <w:bCs/>
                                <w:color w:val="595959"/>
                                <w:sz w:val="18"/>
                              </w:rPr>
                              <w:t xml:space="preserve">5, </w:t>
                            </w:r>
                            <w:r w:rsidRPr="00577434">
                              <w:rPr>
                                <w:rFonts w:ascii="Cambria" w:hAnsi="Cambria"/>
                                <w:bCs/>
                                <w:color w:val="595959"/>
                                <w:sz w:val="18"/>
                              </w:rPr>
                              <w:t xml:space="preserve">Case </w:t>
                            </w:r>
                            <w:r w:rsidR="00CC1A99" w:rsidRPr="00577434">
                              <w:rPr>
                                <w:rFonts w:ascii="Cambria" w:hAnsi="Cambria"/>
                                <w:bCs/>
                                <w:color w:val="595959"/>
                                <w:sz w:val="18"/>
                              </w:rPr>
                              <w:t>11.990</w:t>
                            </w:r>
                            <w:r w:rsidR="00146DD5" w:rsidRPr="00577434">
                              <w:rPr>
                                <w:rFonts w:ascii="Cambria" w:hAnsi="Cambria"/>
                                <w:bCs/>
                                <w:color w:val="595959"/>
                                <w:sz w:val="18"/>
                              </w:rPr>
                              <w:t xml:space="preserve"> </w:t>
                            </w:r>
                            <w:r w:rsidR="00CC1A99" w:rsidRPr="00577434">
                              <w:rPr>
                                <w:rFonts w:ascii="Cambria" w:hAnsi="Cambria"/>
                                <w:bCs/>
                                <w:color w:val="595959"/>
                                <w:sz w:val="18"/>
                              </w:rPr>
                              <w:t>B</w:t>
                            </w:r>
                            <w:r w:rsidRPr="00577434">
                              <w:rPr>
                                <w:rFonts w:ascii="Cambria" w:hAnsi="Cambria"/>
                                <w:bCs/>
                                <w:color w:val="595959"/>
                                <w:sz w:val="18"/>
                              </w:rPr>
                              <w:t>, Friendly Settlement,</w:t>
                            </w:r>
                            <w:r w:rsidR="00CC1A99" w:rsidRPr="00577434">
                              <w:rPr>
                                <w:rFonts w:ascii="Cambria" w:hAnsi="Cambria"/>
                                <w:bCs/>
                                <w:color w:val="595959"/>
                                <w:sz w:val="18"/>
                              </w:rPr>
                              <w:t xml:space="preserve"> John Jairo Cabarique</w:t>
                            </w:r>
                            <w:r w:rsidRPr="00577434">
                              <w:rPr>
                                <w:rFonts w:ascii="Cambria" w:hAnsi="Cambria"/>
                                <w:bCs/>
                                <w:color w:val="595959"/>
                                <w:sz w:val="18"/>
                              </w:rPr>
                              <w:t xml:space="preserve">, </w:t>
                            </w:r>
                            <w:r w:rsidR="00CC1A99" w:rsidRPr="00577434">
                              <w:rPr>
                                <w:rFonts w:ascii="Cambria" w:hAnsi="Cambria"/>
                                <w:bCs/>
                                <w:color w:val="595959"/>
                                <w:sz w:val="18"/>
                              </w:rPr>
                              <w:t>Colombia</w:t>
                            </w:r>
                            <w:r w:rsidRPr="00577434">
                              <w:rPr>
                                <w:rFonts w:ascii="Cambria" w:hAnsi="Cambria"/>
                                <w:bCs/>
                                <w:color w:val="595959"/>
                                <w:sz w:val="18"/>
                              </w:rPr>
                              <w:t xml:space="preserve">, </w:t>
                            </w:r>
                            <w:r w:rsidR="00210453">
                              <w:rPr>
                                <w:rFonts w:ascii="Cambria" w:hAnsi="Cambria"/>
                                <w:bCs/>
                                <w:color w:val="595959"/>
                                <w:sz w:val="18"/>
                              </w:rPr>
                              <w:t>December 10, 2025.</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43E4ACE" id="Text Box 14" o:spid="_x0000_s1030" style="position:absolute;left:0;text-align:left;margin-left:95.35pt;margin-top:7.55pt;width:379.85pt;height:6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" filled="f" stroked="f" strokeweight=".5pt">
                <v:textbox>
                  <w:txbxContent>
                    <w:p w14:paraId="6C720BC1" w14:textId="581CAF98" w:rsidR="00D665E1" w:rsidRPr="001E6C64" w:rsidRDefault="00AD6F1F" w:rsidP="00CE029E">
                      <w:pPr>
                        <w:spacing w:line="276" w:lineRule="auto"/>
                        <w:rPr>
                          <w:rFonts w:ascii="Cambria" w:eastAsia="Cambria" w:hAnsi="Cambria"/>
                          <w:b/>
                          <w:color w:val="595959"/>
                          <w:sz w:val="18"/>
                          <w:szCs w:val="18"/>
                        </w:rPr>
                      </w:pPr>
                      <w:r w:rsidRPr="001E6C64">
                        <w:rPr>
                          <w:rFonts w:ascii="Cambria" w:hAnsi="Cambria"/>
                          <w:b/>
                          <w:color w:val="595959"/>
                          <w:sz w:val="18"/>
                        </w:rPr>
                        <w:t xml:space="preserve">Cite as: </w:t>
                      </w:r>
                      <w:r w:rsidRPr="00577434">
                        <w:rPr>
                          <w:rFonts w:ascii="Cambria" w:hAnsi="Cambria"/>
                          <w:bCs/>
                          <w:color w:val="595959"/>
                          <w:sz w:val="18"/>
                        </w:rPr>
                        <w:t xml:space="preserve">IACHR, Report No. </w:t>
                      </w:r>
                      <w:r w:rsidR="00210453">
                        <w:rPr>
                          <w:rFonts w:ascii="Cambria" w:hAnsi="Cambria"/>
                          <w:bCs/>
                          <w:color w:val="595959"/>
                          <w:sz w:val="18"/>
                        </w:rPr>
                        <w:t>271</w:t>
                      </w:r>
                      <w:r w:rsidRPr="00577434">
                        <w:rPr>
                          <w:rFonts w:ascii="Cambria" w:hAnsi="Cambria"/>
                          <w:bCs/>
                          <w:color w:val="595959"/>
                          <w:sz w:val="18"/>
                        </w:rPr>
                        <w:t>/</w:t>
                      </w:r>
                      <w:r w:rsidR="00CC1A99" w:rsidRPr="00577434">
                        <w:rPr>
                          <w:rFonts w:ascii="Cambria" w:hAnsi="Cambria"/>
                          <w:bCs/>
                          <w:color w:val="595959"/>
                          <w:sz w:val="18"/>
                        </w:rPr>
                        <w:t>2</w:t>
                      </w:r>
                      <w:r w:rsidR="00210453">
                        <w:rPr>
                          <w:rFonts w:ascii="Cambria" w:hAnsi="Cambria"/>
                          <w:bCs/>
                          <w:color w:val="595959"/>
                          <w:sz w:val="18"/>
                        </w:rPr>
                        <w:t xml:space="preserve">5, </w:t>
                      </w:r>
                      <w:r w:rsidRPr="00577434">
                        <w:rPr>
                          <w:rFonts w:ascii="Cambria" w:hAnsi="Cambria"/>
                          <w:bCs/>
                          <w:color w:val="595959"/>
                          <w:sz w:val="18"/>
                        </w:rPr>
                        <w:t xml:space="preserve">Case </w:t>
                      </w:r>
                      <w:r w:rsidR="00CC1A99" w:rsidRPr="00577434">
                        <w:rPr>
                          <w:rFonts w:ascii="Cambria" w:hAnsi="Cambria"/>
                          <w:bCs/>
                          <w:color w:val="595959"/>
                          <w:sz w:val="18"/>
                        </w:rPr>
                        <w:t>11.990</w:t>
                      </w:r>
                      <w:r w:rsidR="00146DD5" w:rsidRPr="00577434">
                        <w:rPr>
                          <w:rFonts w:ascii="Cambria" w:hAnsi="Cambria"/>
                          <w:bCs/>
                          <w:color w:val="595959"/>
                          <w:sz w:val="18"/>
                        </w:rPr>
                        <w:t xml:space="preserve"> </w:t>
                      </w:r>
                      <w:r w:rsidR="00CC1A99" w:rsidRPr="00577434">
                        <w:rPr>
                          <w:rFonts w:ascii="Cambria" w:hAnsi="Cambria"/>
                          <w:bCs/>
                          <w:color w:val="595959"/>
                          <w:sz w:val="18"/>
                        </w:rPr>
                        <w:t>B</w:t>
                      </w:r>
                      <w:r w:rsidRPr="00577434">
                        <w:rPr>
                          <w:rFonts w:ascii="Cambria" w:hAnsi="Cambria"/>
                          <w:bCs/>
                          <w:color w:val="595959"/>
                          <w:sz w:val="18"/>
                        </w:rPr>
                        <w:t>, Friendly Settlement,</w:t>
                      </w:r>
                      <w:r w:rsidR="00CC1A99" w:rsidRPr="00577434">
                        <w:rPr>
                          <w:rFonts w:ascii="Cambria" w:hAnsi="Cambria"/>
                          <w:bCs/>
                          <w:color w:val="595959"/>
                          <w:sz w:val="18"/>
                        </w:rPr>
                        <w:t xml:space="preserve"> John Jairo Cabarique</w:t>
                      </w:r>
                      <w:r w:rsidRPr="00577434">
                        <w:rPr>
                          <w:rFonts w:ascii="Cambria" w:hAnsi="Cambria"/>
                          <w:bCs/>
                          <w:color w:val="595959"/>
                          <w:sz w:val="18"/>
                        </w:rPr>
                        <w:t xml:space="preserve">, </w:t>
                      </w:r>
                      <w:r w:rsidR="00CC1A99" w:rsidRPr="00577434">
                        <w:rPr>
                          <w:rFonts w:ascii="Cambria" w:hAnsi="Cambria"/>
                          <w:bCs/>
                          <w:color w:val="595959"/>
                          <w:sz w:val="18"/>
                        </w:rPr>
                        <w:t>Colombia</w:t>
                      </w:r>
                      <w:r w:rsidRPr="00577434">
                        <w:rPr>
                          <w:rFonts w:ascii="Cambria" w:hAnsi="Cambria"/>
                          <w:bCs/>
                          <w:color w:val="595959"/>
                          <w:sz w:val="18"/>
                        </w:rPr>
                        <w:t xml:space="preserve">, </w:t>
                      </w:r>
                      <w:r w:rsidR="00210453">
                        <w:rPr>
                          <w:rFonts w:ascii="Cambria" w:hAnsi="Cambria"/>
                          <w:bCs/>
                          <w:color w:val="595959"/>
                          <w:sz w:val="18"/>
                        </w:rPr>
                        <w:t>December 10, 2025.</w:t>
                      </w:r>
                    </w:p>
                  </w:txbxContent>
                </v:textbox>
              </v:rect>
            </w:pict>
          </mc:Fallback>
        </mc:AlternateContent>
      </w:r>
    </w:p>
    <w:p w14:paraId="565762C0"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71744B92"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584087E" w14:textId="77777777" w:rsidR="003C32BC" w:rsidRPr="003C32BC" w:rsidRDefault="003C32BC" w:rsidP="003C32BC">
      <w:pPr>
        <w:tabs>
          <w:tab w:val="center" w:pos="5400"/>
        </w:tabs>
        <w:suppressAutoHyphens/>
        <w:jc w:val="center"/>
        <w:rPr>
          <w:rFonts w:asciiTheme="majorHAnsi" w:hAnsiTheme="majorHAnsi"/>
          <w:sz w:val="18"/>
          <w:szCs w:val="22"/>
        </w:rPr>
      </w:pPr>
    </w:p>
    <w:p w14:paraId="05468558" w14:textId="3104AE1E" w:rsidR="003C32BC" w:rsidRPr="003C32BC" w:rsidRDefault="00CB43DF" w:rsidP="003C32BC">
      <w:pPr>
        <w:tabs>
          <w:tab w:val="center" w:pos="5400"/>
        </w:tabs>
        <w:suppressAutoHyphens/>
        <w:jc w:val="center"/>
        <w:rPr>
          <w:rFonts w:asciiTheme="majorHAnsi" w:hAnsiTheme="majorHAnsi"/>
          <w:sz w:val="18"/>
          <w:szCs w:val="22"/>
        </w:rPr>
      </w:pPr>
      <w:r>
        <w:rPr>
          <w:rFonts w:asciiTheme="majorHAnsi" w:hAnsiTheme="majorHAnsi"/>
          <w:noProof/>
          <w:sz w:val="22"/>
        </w:rPr>
        <mc:AlternateContent>
          <mc:Choice Requires="wps">
            <w:drawing>
              <wp:anchor distT="0" distB="0" distL="114300" distR="114300" simplePos="0" relativeHeight="251684864" behindDoc="0" locked="0" layoutInCell="1" allowOverlap="1" wp14:anchorId="2D760FCD" wp14:editId="38078EE3">
                <wp:simplePos x="0" y="0"/>
                <wp:positionH relativeFrom="column">
                  <wp:posOffset>1207770</wp:posOffset>
                </wp:positionH>
                <wp:positionV relativeFrom="paragraph">
                  <wp:posOffset>671195</wp:posOffset>
                </wp:positionV>
                <wp:extent cx="2085975" cy="485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859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99A2C" w14:textId="14C6B717" w:rsidR="003C32BC" w:rsidRDefault="00CB43DF">
                            <w:r w:rsidRPr="00CB43DF">
                              <w:rPr>
                                <w:noProof/>
                              </w:rPr>
                              <w:drawing>
                                <wp:inline distT="0" distB="0" distL="0" distR="0" wp14:anchorId="2E4A33B5" wp14:editId="3258D3EB">
                                  <wp:extent cx="981075" cy="387985"/>
                                  <wp:effectExtent l="0" t="0" r="9525" b="0"/>
                                  <wp:docPr id="791638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387985"/>
                                          </a:xfrm>
                                          <a:prstGeom prst="rect">
                                            <a:avLst/>
                                          </a:prstGeom>
                                          <a:noFill/>
                                          <a:ln>
                                            <a:noFill/>
                                          </a:ln>
                                        </pic:spPr>
                                      </pic:pic>
                                    </a:graphicData>
                                  </a:graphic>
                                </wp:inline>
                              </w:drawing>
                            </w:r>
                            <w:r w:rsidR="003815A8">
                              <w:rPr>
                                <w:noProof/>
                              </w:rPr>
                              <w:drawing>
                                <wp:inline distT="0" distB="0" distL="0" distR="0" wp14:anchorId="39119E85" wp14:editId="73FB393E">
                                  <wp:extent cx="1581150" cy="400050"/>
                                  <wp:effectExtent l="0" t="0" r="0" b="0"/>
                                  <wp:docPr id="6" name="Picture 6"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NG_Principal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60FCD" id="Text Box 2" o:spid="_x0000_s1031" type="#_x0000_t202" style="position:absolute;left:0;text-align:left;margin-left:95.1pt;margin-top:52.85pt;width:164.2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" fillcolor="white [3201]" stroked="f" strokeweight=".5pt">
                <v:textbox>
                  <w:txbxContent>
                    <w:p w14:paraId="4F799A2C" w14:textId="14C6B717" w:rsidR="003C32BC" w:rsidRDefault="00CB43DF">
                      <w:r w:rsidRPr="00CB43DF">
                        <w:rPr>
                          <w:noProof/>
                        </w:rPr>
                        <w:drawing>
                          <wp:inline distT="0" distB="0" distL="0" distR="0" wp14:anchorId="2E4A33B5" wp14:editId="3258D3EB">
                            <wp:extent cx="981075" cy="387985"/>
                            <wp:effectExtent l="0" t="0" r="9525" b="0"/>
                            <wp:docPr id="791638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387985"/>
                                    </a:xfrm>
                                    <a:prstGeom prst="rect">
                                      <a:avLst/>
                                    </a:prstGeom>
                                    <a:noFill/>
                                    <a:ln>
                                      <a:noFill/>
                                    </a:ln>
                                  </pic:spPr>
                                </pic:pic>
                              </a:graphicData>
                            </a:graphic>
                          </wp:inline>
                        </w:drawing>
                      </w:r>
                      <w:r w:rsidR="003815A8">
                        <w:rPr>
                          <w:noProof/>
                        </w:rPr>
                        <w:drawing>
                          <wp:inline distT="0" distB="0" distL="0" distR="0" wp14:anchorId="39119E85" wp14:editId="73FB393E">
                            <wp:extent cx="1581150" cy="400050"/>
                            <wp:effectExtent l="0" t="0" r="0" b="0"/>
                            <wp:docPr id="6" name="Picture 6"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NG_Principal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p>
                  </w:txbxContent>
                </v:textbox>
              </v:shape>
            </w:pict>
          </mc:Fallback>
        </mc:AlternateContent>
      </w:r>
      <w:r w:rsidR="006311DA">
        <w:rPr>
          <w:rFonts w:asciiTheme="majorHAnsi" w:hAnsiTheme="majorHAnsi"/>
          <w:noProof/>
          <w:sz w:val="22"/>
        </w:rPr>
        <mc:AlternateContent>
          <mc:Choice Requires="wps">
            <w:drawing>
              <wp:anchor distT="0" distB="0" distL="114300" distR="114300" simplePos="0" relativeHeight="251686912" behindDoc="0" locked="0" layoutInCell="1" allowOverlap="1" wp14:anchorId="2BB814FE" wp14:editId="4F775BE9">
                <wp:simplePos x="0" y="0"/>
                <wp:positionH relativeFrom="column">
                  <wp:posOffset>-298895</wp:posOffset>
                </wp:positionH>
                <wp:positionV relativeFrom="paragraph">
                  <wp:posOffset>859155</wp:posOffset>
                </wp:positionV>
                <wp:extent cx="1181100" cy="332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5DE31" w14:textId="77777777" w:rsidR="006311DA" w:rsidRPr="004B7EB6" w:rsidRDefault="006311DA" w:rsidP="006311DA">
                            <w:pPr>
                              <w:jc w:val="center"/>
                              <w:rPr>
                                <w:rFonts w:asciiTheme="minorHAnsi" w:hAnsiTheme="minorHAnsi"/>
                                <w:b/>
                                <w:color w:val="FFFFFF" w:themeColor="background1"/>
                              </w:rPr>
                            </w:pPr>
                            <w:r>
                              <w:rPr>
                                <w:rFonts w:asciiTheme="minorHAnsi" w:hAnsiTheme="minorHAnsi"/>
                                <w:b/>
                                <w:color w:val="FFFFFF" w:themeColor="background1"/>
                              </w:rPr>
                              <w:t>www.iachr.org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14FE" id="Text Box 3" o:spid="_x0000_s1032" type="#_x0000_t202" style="position:absolute;left:0;text-align:left;margin-left:-23.55pt;margin-top:67.65pt;width:93pt;height:2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" filled="f" stroked="f" strokeweight=".5pt">
                <v:textbox>
                  <w:txbxContent>
                    <w:p w14:paraId="6535DE31" w14:textId="77777777" w:rsidR="006311DA" w:rsidRPr="004B7EB6" w:rsidRDefault="006311DA" w:rsidP="006311DA">
                      <w:pPr>
                        <w:jc w:val="center"/>
                        <w:rPr>
                          <w:rFonts w:asciiTheme="minorHAnsi" w:hAnsiTheme="minorHAnsi"/>
                          <w:b/>
                          <w:color w:val="FFFFFF" w:themeColor="background1"/>
                        </w:rPr>
                      </w:pPr>
                      <w:r>
                        <w:rPr>
                          <w:rFonts w:asciiTheme="minorHAnsi" w:hAnsiTheme="minorHAnsi"/>
                          <w:b/>
                          <w:color w:val="FFFFFF" w:themeColor="background1"/>
                        </w:rPr>
                        <w:t>www.iachr.org</w:t>
                      </w:r>
                    </w:p>
                  </w:txbxContent>
                </v:textbox>
              </v:shape>
            </w:pict>
          </mc:Fallback>
        </mc:AlternateContent>
      </w:r>
    </w:p>
    <w:p w14:paraId="7D7643F4" w14:textId="77777777" w:rsidR="007607C4" w:rsidRDefault="007607C4" w:rsidP="003C32BC">
      <w:pPr>
        <w:tabs>
          <w:tab w:val="center" w:pos="5400"/>
        </w:tabs>
        <w:suppressAutoHyphens/>
        <w:jc w:val="center"/>
        <w:rPr>
          <w:rFonts w:asciiTheme="majorHAnsi" w:hAnsiTheme="majorHAnsi"/>
          <w:sz w:val="18"/>
          <w:szCs w:val="22"/>
        </w:rPr>
        <w:sectPr w:rsidR="007607C4" w:rsidSect="00853419">
          <w:headerReference w:type="even" r:id="rId11"/>
          <w:headerReference w:type="default" r:id="rId12"/>
          <w:footerReference w:type="default" r:id="rId13"/>
          <w:footerReference w:type="first" r:id="rId14"/>
          <w:type w:val="oddPage"/>
          <w:pgSz w:w="12240" w:h="15840"/>
          <w:pgMar w:top="1440" w:right="1440" w:bottom="1440" w:left="1440" w:header="720" w:footer="720" w:gutter="0"/>
          <w:pgNumType w:start="0"/>
          <w:cols w:space="720"/>
          <w:titlePg/>
          <w:docGrid w:linePitch="326"/>
        </w:sectPr>
      </w:pPr>
    </w:p>
    <w:p w14:paraId="3F3D0826" w14:textId="30C751EA" w:rsidR="00300FCA" w:rsidRPr="00B204E2" w:rsidRDefault="00300FCA" w:rsidP="00300FCA">
      <w:pPr>
        <w:tabs>
          <w:tab w:val="center" w:pos="5400"/>
        </w:tabs>
        <w:suppressAutoHyphens/>
        <w:jc w:val="center"/>
        <w:rPr>
          <w:rFonts w:asciiTheme="majorHAnsi" w:hAnsiTheme="majorHAnsi"/>
          <w:b/>
          <w:sz w:val="18"/>
        </w:rPr>
      </w:pPr>
      <w:r>
        <w:rPr>
          <w:rFonts w:asciiTheme="majorHAnsi" w:hAnsiTheme="majorHAnsi"/>
          <w:b/>
          <w:sz w:val="18"/>
        </w:rPr>
        <w:lastRenderedPageBreak/>
        <w:t xml:space="preserve">REPORT No. </w:t>
      </w:r>
      <w:r w:rsidR="00210453">
        <w:rPr>
          <w:rFonts w:asciiTheme="majorHAnsi" w:hAnsiTheme="majorHAnsi"/>
          <w:b/>
          <w:sz w:val="18"/>
        </w:rPr>
        <w:t>271</w:t>
      </w:r>
      <w:r>
        <w:rPr>
          <w:rFonts w:asciiTheme="majorHAnsi" w:hAnsiTheme="majorHAnsi"/>
          <w:b/>
          <w:sz w:val="18"/>
        </w:rPr>
        <w:t>/25</w:t>
      </w:r>
    </w:p>
    <w:p w14:paraId="236E6DA7" w14:textId="77777777" w:rsidR="00300FCA" w:rsidRPr="00B204E2" w:rsidRDefault="00300FCA" w:rsidP="00300FCA">
      <w:pPr>
        <w:tabs>
          <w:tab w:val="center" w:pos="5400"/>
        </w:tabs>
        <w:suppressAutoHyphens/>
        <w:jc w:val="center"/>
        <w:rPr>
          <w:rFonts w:asciiTheme="majorHAnsi" w:hAnsiTheme="majorHAnsi"/>
          <w:b/>
          <w:sz w:val="18"/>
        </w:rPr>
      </w:pPr>
      <w:r>
        <w:rPr>
          <w:rFonts w:asciiTheme="majorHAnsi" w:hAnsiTheme="majorHAnsi"/>
          <w:b/>
          <w:sz w:val="18"/>
        </w:rPr>
        <w:t>CASE 11.990 B</w:t>
      </w:r>
    </w:p>
    <w:p w14:paraId="5E715CF5" w14:textId="3765297E" w:rsidR="00300FCA" w:rsidRPr="00B204E2" w:rsidRDefault="00300FCA" w:rsidP="00300FCA">
      <w:pPr>
        <w:tabs>
          <w:tab w:val="center" w:pos="5400"/>
        </w:tabs>
        <w:suppressAutoHyphens/>
        <w:jc w:val="center"/>
        <w:rPr>
          <w:rFonts w:asciiTheme="majorHAnsi" w:hAnsiTheme="majorHAnsi"/>
          <w:sz w:val="18"/>
        </w:rPr>
      </w:pPr>
      <w:r>
        <w:rPr>
          <w:rFonts w:asciiTheme="majorHAnsi" w:hAnsiTheme="majorHAnsi"/>
          <w:sz w:val="18"/>
        </w:rPr>
        <w:t>FRIENDLY SETTLEMENT</w:t>
      </w:r>
    </w:p>
    <w:p w14:paraId="3E08132C" w14:textId="77777777" w:rsidR="00300FCA" w:rsidRPr="00210453" w:rsidRDefault="00300FCA" w:rsidP="00300FCA">
      <w:pPr>
        <w:tabs>
          <w:tab w:val="center" w:pos="5400"/>
        </w:tabs>
        <w:suppressAutoHyphens/>
        <w:jc w:val="center"/>
        <w:rPr>
          <w:rFonts w:asciiTheme="majorHAnsi" w:hAnsiTheme="majorHAnsi"/>
          <w:sz w:val="18"/>
          <w:szCs w:val="18"/>
          <w:lang w:val="es-VE"/>
        </w:rPr>
      </w:pPr>
      <w:r w:rsidRPr="00E75013">
        <w:rPr>
          <w:rFonts w:asciiTheme="majorHAnsi" w:hAnsiTheme="majorHAnsi"/>
          <w:sz w:val="18"/>
          <w:lang w:val="es-VE"/>
        </w:rPr>
        <w:t xml:space="preserve">JHON </w:t>
      </w:r>
      <w:r w:rsidRPr="00210453">
        <w:rPr>
          <w:rFonts w:asciiTheme="majorHAnsi" w:hAnsiTheme="majorHAnsi"/>
          <w:sz w:val="18"/>
          <w:lang w:val="es-VE"/>
        </w:rPr>
        <w:t>JAIRO CABARIQUE</w:t>
      </w:r>
    </w:p>
    <w:p w14:paraId="56D4559A" w14:textId="77777777" w:rsidR="00300FCA" w:rsidRPr="00210453" w:rsidRDefault="00300FCA" w:rsidP="00300FCA">
      <w:pPr>
        <w:tabs>
          <w:tab w:val="center" w:pos="5400"/>
        </w:tabs>
        <w:suppressAutoHyphens/>
        <w:jc w:val="center"/>
        <w:rPr>
          <w:rFonts w:asciiTheme="majorHAnsi" w:hAnsiTheme="majorHAnsi"/>
          <w:sz w:val="18"/>
          <w:lang w:val="es-VE"/>
        </w:rPr>
      </w:pPr>
      <w:r w:rsidRPr="00210453">
        <w:rPr>
          <w:rFonts w:asciiTheme="majorHAnsi" w:hAnsiTheme="majorHAnsi"/>
          <w:sz w:val="18"/>
          <w:lang w:val="es-VE"/>
        </w:rPr>
        <w:t>COLOMBIA</w:t>
      </w:r>
      <w:r w:rsidRPr="00210453">
        <w:rPr>
          <w:rStyle w:val="FootnoteReference"/>
          <w:rFonts w:asciiTheme="majorHAnsi" w:hAnsiTheme="majorHAnsi"/>
          <w:sz w:val="18"/>
          <w:lang w:val="es-CO"/>
        </w:rPr>
        <w:footnoteReference w:id="2"/>
      </w:r>
    </w:p>
    <w:p w14:paraId="2AE4CDE3" w14:textId="77CD1A05" w:rsidR="00300FCA" w:rsidRPr="00E75013" w:rsidRDefault="00210453" w:rsidP="00300FCA">
      <w:pPr>
        <w:tabs>
          <w:tab w:val="center" w:pos="5400"/>
        </w:tabs>
        <w:suppressAutoHyphens/>
        <w:jc w:val="center"/>
        <w:rPr>
          <w:rFonts w:asciiTheme="majorHAnsi" w:hAnsiTheme="majorHAnsi"/>
          <w:sz w:val="18"/>
          <w:lang w:val="es-VE"/>
        </w:rPr>
      </w:pPr>
      <w:r w:rsidRPr="00210453">
        <w:rPr>
          <w:rFonts w:asciiTheme="majorHAnsi" w:hAnsiTheme="majorHAnsi"/>
          <w:sz w:val="18"/>
          <w:lang w:val="es-VE"/>
        </w:rPr>
        <w:t>DECEMBER 10</w:t>
      </w:r>
      <w:r w:rsidR="00300FCA" w:rsidRPr="00210453">
        <w:rPr>
          <w:rFonts w:asciiTheme="majorHAnsi" w:hAnsiTheme="majorHAnsi"/>
          <w:sz w:val="18"/>
          <w:lang w:val="es-VE"/>
        </w:rPr>
        <w:t>, 2025</w:t>
      </w:r>
    </w:p>
    <w:p w14:paraId="76631728" w14:textId="7F9CDA71" w:rsidR="00210E0E" w:rsidRPr="00300FCA" w:rsidRDefault="00210E0E" w:rsidP="00145EDC">
      <w:pPr>
        <w:tabs>
          <w:tab w:val="center" w:pos="5400"/>
        </w:tabs>
        <w:suppressAutoHyphens/>
        <w:spacing w:line="276" w:lineRule="auto"/>
        <w:rPr>
          <w:rFonts w:asciiTheme="majorHAnsi" w:hAnsiTheme="majorHAnsi"/>
          <w:color w:val="A6A6A6" w:themeColor="background1" w:themeShade="A6"/>
          <w:sz w:val="20"/>
          <w:szCs w:val="20"/>
          <w:lang w:val="es-CO"/>
        </w:rPr>
      </w:pPr>
    </w:p>
    <w:p w14:paraId="527C4BCC" w14:textId="77777777" w:rsidR="00C55560" w:rsidRPr="00300FCA" w:rsidRDefault="00C55560" w:rsidP="00145EDC">
      <w:pPr>
        <w:tabs>
          <w:tab w:val="center" w:pos="5400"/>
        </w:tabs>
        <w:suppressAutoHyphens/>
        <w:spacing w:line="276" w:lineRule="auto"/>
        <w:rPr>
          <w:rFonts w:asciiTheme="majorHAnsi" w:hAnsiTheme="majorHAnsi"/>
          <w:sz w:val="20"/>
          <w:szCs w:val="20"/>
          <w:lang w:val="es-CO"/>
        </w:rPr>
      </w:pPr>
    </w:p>
    <w:p w14:paraId="0574AB1A" w14:textId="77777777" w:rsidR="00FA675D" w:rsidRPr="00E75013" w:rsidRDefault="00FA675D" w:rsidP="00F3286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E75013">
        <w:rPr>
          <w:b/>
          <w:sz w:val="20"/>
        </w:rPr>
        <w:t>SUMMARY AND RELEVANT PROCEEDINGS OF THE FRIENDLY SETTLEMENT PROCESS</w:t>
      </w:r>
      <w:r w:rsidRPr="00E75013">
        <w:rPr>
          <w:b/>
          <w:color w:val="000000" w:themeColor="text1"/>
          <w:sz w:val="20"/>
        </w:rPr>
        <w:t xml:space="preserve"> </w:t>
      </w:r>
    </w:p>
    <w:p w14:paraId="67D4BDB0" w14:textId="77777777" w:rsidR="00DA37B6" w:rsidRPr="00682FED"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b/>
          <w:color w:val="000000" w:themeColor="text1"/>
          <w:sz w:val="20"/>
          <w:szCs w:val="20"/>
        </w:rPr>
      </w:pPr>
    </w:p>
    <w:p w14:paraId="043F6DE5" w14:textId="3A5A7DAE" w:rsidR="00560AC9" w:rsidRPr="00C425DD" w:rsidRDefault="00560AC9" w:rsidP="00F3286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color w:val="000000" w:themeColor="text1"/>
          <w:sz w:val="20"/>
          <w:szCs w:val="20"/>
        </w:rPr>
      </w:pPr>
      <w:r w:rsidRPr="00682FED">
        <w:rPr>
          <w:color w:val="000000" w:themeColor="text1"/>
          <w:sz w:val="20"/>
        </w:rPr>
        <w:t xml:space="preserve">On March 9, 1998, the Inter-American Commission on Human Rights (hereinafter ''the Commission'' or ''IACHR'') received a petition submitted by </w:t>
      </w:r>
      <w:proofErr w:type="spellStart"/>
      <w:r w:rsidRPr="00682FED">
        <w:rPr>
          <w:rFonts w:asciiTheme="majorHAnsi" w:hAnsiTheme="majorHAnsi"/>
          <w:sz w:val="20"/>
        </w:rPr>
        <w:t>Humanidad</w:t>
      </w:r>
      <w:proofErr w:type="spellEnd"/>
      <w:r w:rsidRPr="00682FED">
        <w:rPr>
          <w:rFonts w:asciiTheme="majorHAnsi" w:hAnsiTheme="majorHAnsi"/>
          <w:sz w:val="20"/>
        </w:rPr>
        <w:t xml:space="preserve"> </w:t>
      </w:r>
      <w:proofErr w:type="spellStart"/>
      <w:r w:rsidRPr="00682FED">
        <w:rPr>
          <w:rFonts w:asciiTheme="majorHAnsi" w:hAnsiTheme="majorHAnsi"/>
          <w:sz w:val="20"/>
        </w:rPr>
        <w:t>Vigente</w:t>
      </w:r>
      <w:proofErr w:type="spellEnd"/>
      <w:r w:rsidRPr="00682FED">
        <w:rPr>
          <w:rFonts w:asciiTheme="majorHAnsi" w:hAnsiTheme="majorHAnsi"/>
          <w:sz w:val="20"/>
        </w:rPr>
        <w:t xml:space="preserve"> and the Corporación Colectivo de Abogados</w:t>
      </w:r>
      <w:r>
        <w:rPr>
          <w:rFonts w:asciiTheme="majorHAnsi" w:hAnsiTheme="majorHAnsi"/>
          <w:sz w:val="20"/>
        </w:rPr>
        <w:t xml:space="preserve"> "José Alvear Restrepo" (</w:t>
      </w:r>
      <w:r>
        <w:rPr>
          <w:rFonts w:asciiTheme="majorHAnsi" w:hAnsiTheme="majorHAnsi"/>
          <w:color w:val="000000" w:themeColor="text1"/>
          <w:sz w:val="20"/>
        </w:rPr>
        <w:t>hereinafter ''the petitioners" or “the petitioning party") alleging the international responsibility of the Republic of Colombia (hereinafter "State" or "Colombian State" or "Colombia"), for</w:t>
      </w:r>
      <w:r>
        <w:rPr>
          <w:color w:val="000000" w:themeColor="text1"/>
          <w:sz w:val="20"/>
        </w:rPr>
        <w:t xml:space="preserve"> </w:t>
      </w:r>
      <w:r w:rsidR="00573CA8">
        <w:rPr>
          <w:color w:val="000000" w:themeColor="text1"/>
          <w:sz w:val="20"/>
        </w:rPr>
        <w:t xml:space="preserve">the </w:t>
      </w:r>
      <w:r>
        <w:rPr>
          <w:color w:val="000000" w:themeColor="text1"/>
          <w:sz w:val="20"/>
        </w:rPr>
        <w:t>violation of human rights under Articles 4 (life), 5 (</w:t>
      </w:r>
      <w:r w:rsidR="00E472F0">
        <w:rPr>
          <w:color w:val="000000" w:themeColor="text1"/>
          <w:sz w:val="20"/>
        </w:rPr>
        <w:t>human treatment</w:t>
      </w:r>
      <w:r>
        <w:rPr>
          <w:color w:val="000000" w:themeColor="text1"/>
          <w:sz w:val="20"/>
        </w:rPr>
        <w:t>), 8 (judicial guarantees), 13 (freedom of thought and expression), 19 (rights of the child), and 25 (judicial protection) in relation to Article 1.1 (obligation to respect rights) of the American Convention on Human Rights, (hereinafter "</w:t>
      </w:r>
      <w:r w:rsidR="007D6652">
        <w:rPr>
          <w:color w:val="000000" w:themeColor="text1"/>
          <w:sz w:val="20"/>
        </w:rPr>
        <w:t xml:space="preserve">the </w:t>
      </w:r>
      <w:r>
        <w:rPr>
          <w:color w:val="000000" w:themeColor="text1"/>
          <w:sz w:val="20"/>
        </w:rPr>
        <w:t>Convention" or "</w:t>
      </w:r>
      <w:r w:rsidR="007D6652">
        <w:rPr>
          <w:color w:val="000000" w:themeColor="text1"/>
          <w:sz w:val="20"/>
        </w:rPr>
        <w:t xml:space="preserve">the </w:t>
      </w:r>
      <w:r>
        <w:rPr>
          <w:color w:val="000000" w:themeColor="text1"/>
          <w:sz w:val="20"/>
        </w:rPr>
        <w:t xml:space="preserve">American Convention") </w:t>
      </w:r>
      <w:r>
        <w:rPr>
          <w:rStyle w:val="normaltextrun"/>
          <w:sz w:val="20"/>
        </w:rPr>
        <w:t xml:space="preserve">for the alleged extrajudicial executions of Oscar Blando Bueno Bonnet, Jefferson González Oquendo, and Jhon Jairo </w:t>
      </w:r>
      <w:proofErr w:type="spellStart"/>
      <w:r>
        <w:rPr>
          <w:rStyle w:val="normaltextrun"/>
          <w:sz w:val="20"/>
        </w:rPr>
        <w:t>Cabarique</w:t>
      </w:r>
      <w:proofErr w:type="spellEnd"/>
      <w:r>
        <w:rPr>
          <w:rStyle w:val="normaltextrun"/>
          <w:sz w:val="20"/>
        </w:rPr>
        <w:t xml:space="preserve"> -who was a child at the time of the </w:t>
      </w:r>
      <w:r w:rsidR="00185AB8">
        <w:rPr>
          <w:rStyle w:val="normaltextrun"/>
          <w:sz w:val="20"/>
        </w:rPr>
        <w:t>events</w:t>
      </w:r>
      <w:r>
        <w:rPr>
          <w:rStyle w:val="normaltextrun"/>
          <w:sz w:val="20"/>
        </w:rPr>
        <w:t xml:space="preserve">- (hereinafter "alleged victims") allegedly perpetrated by State agents on January 10, 1997 in </w:t>
      </w:r>
      <w:proofErr w:type="spellStart"/>
      <w:r>
        <w:rPr>
          <w:rStyle w:val="normaltextrun"/>
          <w:sz w:val="20"/>
        </w:rPr>
        <w:t>Saravena</w:t>
      </w:r>
      <w:proofErr w:type="spellEnd"/>
      <w:r>
        <w:rPr>
          <w:rStyle w:val="normaltextrun"/>
          <w:sz w:val="20"/>
        </w:rPr>
        <w:t xml:space="preserve">, department of Arauca, as well as for the lack of diligence of the judicial authorities in the investigation and </w:t>
      </w:r>
      <w:r w:rsidR="003B45CE">
        <w:rPr>
          <w:rStyle w:val="normaltextrun"/>
          <w:sz w:val="20"/>
        </w:rPr>
        <w:t>punishment of</w:t>
      </w:r>
      <w:r>
        <w:rPr>
          <w:rStyle w:val="normaltextrun"/>
          <w:sz w:val="20"/>
        </w:rPr>
        <w:t xml:space="preserve"> those responsible for the </w:t>
      </w:r>
      <w:r w:rsidR="00910616">
        <w:rPr>
          <w:rStyle w:val="normaltextrun"/>
          <w:sz w:val="20"/>
        </w:rPr>
        <w:t>events</w:t>
      </w:r>
      <w:r>
        <w:rPr>
          <w:rStyle w:val="normaltextrun"/>
          <w:sz w:val="20"/>
        </w:rPr>
        <w:t>.</w:t>
      </w:r>
    </w:p>
    <w:p w14:paraId="10678BFD" w14:textId="77777777" w:rsidR="00560AC9" w:rsidRPr="007F1EB5" w:rsidRDefault="00560AC9" w:rsidP="00560AC9">
      <w:pPr>
        <w:pStyle w:val="ListParagraph"/>
        <w:rPr>
          <w:rFonts w:eastAsia="Times New Roman" w:cstheme="minorHAnsi"/>
          <w:color w:val="000000" w:themeColor="text1"/>
          <w:sz w:val="20"/>
          <w:szCs w:val="20"/>
        </w:rPr>
      </w:pPr>
    </w:p>
    <w:p w14:paraId="6F721950" w14:textId="3C945CA5" w:rsidR="00560AC9" w:rsidRPr="00143283" w:rsidRDefault="00560AC9" w:rsidP="00F3286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eastAsia="Times New Roman" w:hAnsi="Cambria" w:cstheme="minorHAnsi"/>
          <w:color w:val="000000" w:themeColor="text1"/>
          <w:sz w:val="20"/>
          <w:szCs w:val="20"/>
        </w:rPr>
      </w:pPr>
      <w:r>
        <w:rPr>
          <w:rStyle w:val="normaltextrun"/>
          <w:rFonts w:ascii="Cambria" w:hAnsi="Cambria"/>
          <w:sz w:val="20"/>
        </w:rPr>
        <w:t xml:space="preserve">On October 23, 2010, the Commission issued Admissibility Report No. 124/10, in which it declared the petition admissible and </w:t>
      </w:r>
      <w:r w:rsidR="0014682A">
        <w:rPr>
          <w:rStyle w:val="normaltextrun"/>
          <w:rFonts w:ascii="Cambria" w:hAnsi="Cambria"/>
          <w:sz w:val="20"/>
        </w:rPr>
        <w:t xml:space="preserve">declared </w:t>
      </w:r>
      <w:r>
        <w:rPr>
          <w:rStyle w:val="normaltextrun"/>
          <w:rFonts w:ascii="Cambria" w:hAnsi="Cambria"/>
          <w:sz w:val="20"/>
        </w:rPr>
        <w:t>its competence to hear the claim filed by the petitioning party regarding the alleged violation of the rights enshrined in Articles 4 (life), 5 (</w:t>
      </w:r>
      <w:r w:rsidR="008550A6">
        <w:rPr>
          <w:rStyle w:val="normaltextrun"/>
          <w:rFonts w:ascii="Cambria" w:hAnsi="Cambria"/>
          <w:sz w:val="20"/>
        </w:rPr>
        <w:t>humane treatment</w:t>
      </w:r>
      <w:r>
        <w:rPr>
          <w:rStyle w:val="normaltextrun"/>
          <w:rFonts w:ascii="Cambria" w:hAnsi="Cambria"/>
          <w:sz w:val="20"/>
        </w:rPr>
        <w:t>), 8 (judicial guarantees), 13 (freedom of thought and expression), 19 (rights of the child), and 25 (judicial protection), of the American Convention on Human Rights in conjunction with Article 1.1 of the same instrument, to the detriment of the victims and their families. </w:t>
      </w:r>
    </w:p>
    <w:p w14:paraId="0741F8F1" w14:textId="77777777" w:rsidR="00560AC9" w:rsidRPr="007F1EB5" w:rsidRDefault="00560AC9" w:rsidP="00560AC9">
      <w:pPr>
        <w:rPr>
          <w:rFonts w:eastAsia="Times New Roman" w:cstheme="minorHAnsi"/>
          <w:color w:val="000000" w:themeColor="text1"/>
          <w:sz w:val="20"/>
          <w:szCs w:val="20"/>
        </w:rPr>
      </w:pPr>
    </w:p>
    <w:p w14:paraId="08F7F82A" w14:textId="46BB1C76" w:rsidR="00560AC9" w:rsidRDefault="00D13554" w:rsidP="00F32864">
      <w:pPr>
        <w:pStyle w:val="paragraph"/>
        <w:numPr>
          <w:ilvl w:val="0"/>
          <w:numId w:val="57"/>
        </w:numPr>
        <w:spacing w:before="0" w:beforeAutospacing="0" w:after="0" w:afterAutospacing="0"/>
        <w:ind w:left="0" w:firstLine="709"/>
        <w:jc w:val="both"/>
        <w:textAlignment w:val="baseline"/>
        <w:rPr>
          <w:rStyle w:val="normaltextrun"/>
          <w:rFonts w:ascii="Cambria" w:hAnsi="Cambria" w:cs="Segoe UI"/>
          <w:sz w:val="20"/>
          <w:szCs w:val="20"/>
        </w:rPr>
      </w:pPr>
      <w:r>
        <w:rPr>
          <w:rStyle w:val="normaltextrun"/>
          <w:rFonts w:ascii="Cambria" w:hAnsi="Cambria"/>
          <w:sz w:val="20"/>
        </w:rPr>
        <w:t>I</w:t>
      </w:r>
      <w:r w:rsidR="00560AC9">
        <w:rPr>
          <w:rStyle w:val="normaltextrun"/>
          <w:rFonts w:ascii="Cambria" w:hAnsi="Cambria"/>
          <w:sz w:val="20"/>
        </w:rPr>
        <w:t xml:space="preserve">n January 2013, the friendly settlement procedure was initiated in case 11.990, which initially included Oscar Blando Bueno Bonnet, Jefferson González Oquendo and Jhon Jairo </w:t>
      </w:r>
      <w:proofErr w:type="spellStart"/>
      <w:r w:rsidR="00560AC9">
        <w:rPr>
          <w:rStyle w:val="normaltextrun"/>
          <w:rFonts w:ascii="Cambria" w:hAnsi="Cambria"/>
          <w:sz w:val="20"/>
        </w:rPr>
        <w:t>Cabarique</w:t>
      </w:r>
      <w:proofErr w:type="spellEnd"/>
      <w:r w:rsidR="00560AC9">
        <w:rPr>
          <w:rStyle w:val="normaltextrun"/>
          <w:rFonts w:ascii="Cambria" w:hAnsi="Cambria"/>
          <w:sz w:val="20"/>
        </w:rPr>
        <w:t xml:space="preserve"> as alleged victims. On May 6, 2015, the parties signed a friendly settlement agreement (hereinafter “FSA” or “</w:t>
      </w:r>
      <w:r w:rsidR="004163A9">
        <w:rPr>
          <w:rStyle w:val="normaltextrun"/>
          <w:rFonts w:ascii="Cambria" w:hAnsi="Cambria"/>
          <w:sz w:val="20"/>
        </w:rPr>
        <w:t>a</w:t>
      </w:r>
      <w:r w:rsidR="00560AC9">
        <w:rPr>
          <w:rStyle w:val="normaltextrun"/>
          <w:rFonts w:ascii="Cambria" w:hAnsi="Cambria"/>
          <w:sz w:val="20"/>
        </w:rPr>
        <w:t>greement”)</w:t>
      </w:r>
      <w:r w:rsidR="00560AC9">
        <w:rPr>
          <w:rStyle w:val="FootnoteReference"/>
          <w:rFonts w:ascii="Cambria" w:hAnsi="Cambria" w:cs="Segoe UI"/>
          <w:sz w:val="20"/>
          <w:szCs w:val="20"/>
          <w:lang w:val="es-ES"/>
        </w:rPr>
        <w:footnoteReference w:id="3"/>
      </w:r>
      <w:r w:rsidR="00560AC9">
        <w:rPr>
          <w:rStyle w:val="normaltextrun"/>
          <w:rFonts w:ascii="Cambria" w:hAnsi="Cambria"/>
          <w:sz w:val="20"/>
        </w:rPr>
        <w:t xml:space="preserve"> and requested its approval.</w:t>
      </w:r>
    </w:p>
    <w:p w14:paraId="2BF82918" w14:textId="77777777" w:rsidR="00560AC9" w:rsidRPr="007F1EB5" w:rsidRDefault="00560AC9" w:rsidP="00560AC9">
      <w:pPr>
        <w:pStyle w:val="ListParagraph"/>
        <w:rPr>
          <w:rStyle w:val="normaltextrun"/>
          <w:rFonts w:cs="Segoe UI"/>
          <w:sz w:val="20"/>
          <w:szCs w:val="20"/>
        </w:rPr>
      </w:pPr>
    </w:p>
    <w:p w14:paraId="6A4D3C48" w14:textId="6EDA9A55" w:rsidR="00560AC9" w:rsidRPr="00B26F41" w:rsidRDefault="00560AC9" w:rsidP="00F32864">
      <w:pPr>
        <w:pStyle w:val="paragraph"/>
        <w:numPr>
          <w:ilvl w:val="0"/>
          <w:numId w:val="57"/>
        </w:numPr>
        <w:spacing w:before="0" w:beforeAutospacing="0" w:after="0" w:afterAutospacing="0"/>
        <w:ind w:left="0" w:firstLine="709"/>
        <w:jc w:val="both"/>
        <w:textAlignment w:val="baseline"/>
        <w:rPr>
          <w:rStyle w:val="eop"/>
          <w:rFonts w:ascii="Cambria" w:hAnsi="Cambria" w:cs="Segoe UI"/>
          <w:sz w:val="20"/>
          <w:szCs w:val="20"/>
        </w:rPr>
      </w:pPr>
      <w:r>
        <w:rPr>
          <w:rStyle w:val="normaltextrun"/>
          <w:rFonts w:ascii="Cambria" w:hAnsi="Cambria"/>
          <w:sz w:val="20"/>
        </w:rPr>
        <w:t xml:space="preserve">On March 15, 2019, the petitioning party indicated that contact </w:t>
      </w:r>
      <w:r w:rsidR="000A7F41">
        <w:rPr>
          <w:rStyle w:val="normaltextrun"/>
          <w:rFonts w:ascii="Cambria" w:hAnsi="Cambria"/>
          <w:sz w:val="20"/>
        </w:rPr>
        <w:t xml:space="preserve">had been lost </w:t>
      </w:r>
      <w:r>
        <w:rPr>
          <w:rStyle w:val="normaltextrun"/>
          <w:rFonts w:ascii="Cambria" w:hAnsi="Cambria"/>
          <w:sz w:val="20"/>
        </w:rPr>
        <w:t xml:space="preserve">with the relatives of Jhon Jairo </w:t>
      </w:r>
      <w:proofErr w:type="spellStart"/>
      <w:r>
        <w:rPr>
          <w:rStyle w:val="normaltextrun"/>
          <w:rFonts w:ascii="Cambria" w:hAnsi="Cambria"/>
          <w:sz w:val="20"/>
        </w:rPr>
        <w:t>Cabarique</w:t>
      </w:r>
      <w:proofErr w:type="spellEnd"/>
      <w:r>
        <w:rPr>
          <w:rStyle w:val="normaltextrun"/>
          <w:rFonts w:ascii="Cambria" w:hAnsi="Cambria"/>
          <w:sz w:val="20"/>
        </w:rPr>
        <w:t xml:space="preserve"> and requested </w:t>
      </w:r>
      <w:r w:rsidR="000A7F41">
        <w:rPr>
          <w:rStyle w:val="normaltextrun"/>
          <w:rFonts w:ascii="Cambria" w:hAnsi="Cambria"/>
          <w:sz w:val="20"/>
        </w:rPr>
        <w:t xml:space="preserve">his exclusion </w:t>
      </w:r>
      <w:r>
        <w:rPr>
          <w:rStyle w:val="normaltextrun"/>
          <w:rFonts w:ascii="Cambria" w:hAnsi="Cambria"/>
          <w:sz w:val="20"/>
        </w:rPr>
        <w:t xml:space="preserve">as </w:t>
      </w:r>
      <w:r w:rsidR="000A7F41">
        <w:rPr>
          <w:rStyle w:val="normaltextrun"/>
          <w:rFonts w:ascii="Cambria" w:hAnsi="Cambria"/>
          <w:sz w:val="20"/>
        </w:rPr>
        <w:t xml:space="preserve">a </w:t>
      </w:r>
      <w:r>
        <w:rPr>
          <w:rStyle w:val="normaltextrun"/>
          <w:rFonts w:ascii="Cambria" w:hAnsi="Cambria"/>
          <w:sz w:val="20"/>
        </w:rPr>
        <w:t>beneficiar</w:t>
      </w:r>
      <w:r w:rsidR="00CB57DA">
        <w:rPr>
          <w:rStyle w:val="normaltextrun"/>
          <w:rFonts w:ascii="Cambria" w:hAnsi="Cambria"/>
          <w:sz w:val="20"/>
        </w:rPr>
        <w:t>y</w:t>
      </w:r>
      <w:r>
        <w:rPr>
          <w:rStyle w:val="normaltextrun"/>
          <w:rFonts w:ascii="Cambria" w:hAnsi="Cambria"/>
          <w:sz w:val="20"/>
        </w:rPr>
        <w:t xml:space="preserve"> of the agreement</w:t>
      </w:r>
      <w:r w:rsidR="00CB57DA">
        <w:rPr>
          <w:rStyle w:val="normaltextrun"/>
          <w:rFonts w:ascii="Cambria" w:hAnsi="Cambria"/>
          <w:sz w:val="20"/>
        </w:rPr>
        <w:t xml:space="preserve">, along with the dismissal </w:t>
      </w:r>
      <w:r>
        <w:rPr>
          <w:rStyle w:val="normaltextrun"/>
          <w:rFonts w:ascii="Cambria" w:hAnsi="Cambria"/>
          <w:sz w:val="20"/>
        </w:rPr>
        <w:t xml:space="preserve">of the parts of the petition referring to that alleged victim. Consequently, the original petition was </w:t>
      </w:r>
      <w:r w:rsidR="00427D81">
        <w:rPr>
          <w:rStyle w:val="normaltextrun"/>
          <w:rFonts w:ascii="Cambria" w:hAnsi="Cambria"/>
          <w:sz w:val="20"/>
        </w:rPr>
        <w:t>divided</w:t>
      </w:r>
      <w:r>
        <w:rPr>
          <w:rStyle w:val="normaltextrun"/>
          <w:rFonts w:ascii="Cambria" w:hAnsi="Cambria"/>
          <w:sz w:val="20"/>
        </w:rPr>
        <w:t xml:space="preserve"> into two cases: </w:t>
      </w:r>
      <w:r>
        <w:rPr>
          <w:rStyle w:val="normaltextrun"/>
          <w:rFonts w:ascii="Cambria" w:hAnsi="Cambria"/>
          <w:i/>
          <w:sz w:val="20"/>
        </w:rPr>
        <w:t xml:space="preserve">Case 11.990 </w:t>
      </w:r>
      <w:proofErr w:type="gramStart"/>
      <w:r>
        <w:rPr>
          <w:rStyle w:val="normaltextrun"/>
          <w:rFonts w:ascii="Cambria" w:hAnsi="Cambria"/>
          <w:i/>
          <w:sz w:val="20"/>
        </w:rPr>
        <w:t>A</w:t>
      </w:r>
      <w:proofErr w:type="gramEnd"/>
      <w:r>
        <w:rPr>
          <w:rStyle w:val="normaltextrun"/>
          <w:rFonts w:ascii="Cambria" w:hAnsi="Cambria"/>
          <w:i/>
          <w:sz w:val="20"/>
        </w:rPr>
        <w:t xml:space="preserve"> Oscar Orlando Bueno Bonnet and Jefferson González</w:t>
      </w:r>
      <w:r>
        <w:rPr>
          <w:rStyle w:val="FootnoteReference"/>
          <w:rFonts w:ascii="Cambria" w:hAnsi="Cambria" w:cs="Segoe UI"/>
          <w:sz w:val="20"/>
          <w:szCs w:val="20"/>
          <w:lang w:val="es-ES"/>
        </w:rPr>
        <w:footnoteReference w:id="4"/>
      </w:r>
      <w:r>
        <w:rPr>
          <w:rStyle w:val="normaltextrun"/>
          <w:rFonts w:ascii="Cambria" w:hAnsi="Cambria"/>
          <w:sz w:val="20"/>
        </w:rPr>
        <w:t xml:space="preserve"> and </w:t>
      </w:r>
      <w:r>
        <w:rPr>
          <w:rStyle w:val="normaltextrun"/>
          <w:rFonts w:ascii="Cambria" w:hAnsi="Cambria"/>
          <w:i/>
          <w:sz w:val="20"/>
        </w:rPr>
        <w:t>Case 11.990 B Jhon Jairo Cabarique.</w:t>
      </w:r>
      <w:r>
        <w:rPr>
          <w:rStyle w:val="normaltextrun"/>
          <w:rFonts w:ascii="Cambria" w:hAnsi="Cambria"/>
          <w:sz w:val="20"/>
        </w:rPr>
        <w:t xml:space="preserve"> On May 2, 2019, the Commission </w:t>
      </w:r>
      <w:r w:rsidR="00ED1D94">
        <w:rPr>
          <w:rStyle w:val="normaltextrun"/>
          <w:rFonts w:ascii="Cambria" w:hAnsi="Cambria"/>
          <w:sz w:val="20"/>
        </w:rPr>
        <w:t xml:space="preserve">closed </w:t>
      </w:r>
      <w:r>
        <w:rPr>
          <w:rStyle w:val="normaltextrun"/>
          <w:rFonts w:ascii="Cambria" w:hAnsi="Cambria"/>
          <w:i/>
          <w:iCs/>
          <w:sz w:val="20"/>
        </w:rPr>
        <w:t>Case 11.990</w:t>
      </w:r>
      <w:r>
        <w:rPr>
          <w:rStyle w:val="normaltextrun"/>
          <w:rFonts w:ascii="Cambria" w:hAnsi="Cambria"/>
          <w:sz w:val="20"/>
        </w:rPr>
        <w:t xml:space="preserve"> </w:t>
      </w:r>
      <w:r>
        <w:rPr>
          <w:rStyle w:val="normaltextrun"/>
          <w:rFonts w:ascii="Cambria" w:hAnsi="Cambria"/>
          <w:i/>
          <w:iCs/>
          <w:sz w:val="20"/>
        </w:rPr>
        <w:t>B</w:t>
      </w:r>
      <w:r>
        <w:rPr>
          <w:rStyle w:val="normaltextrun"/>
          <w:rFonts w:ascii="Cambria" w:hAnsi="Cambria"/>
          <w:sz w:val="20"/>
        </w:rPr>
        <w:t xml:space="preserve"> in accordance with the provisions of Article 48 (1) (b) of the American Convention on Human Rights and Article 42 of the IACHR Rules of </w:t>
      </w:r>
      <w:proofErr w:type="gramStart"/>
      <w:r>
        <w:rPr>
          <w:rStyle w:val="normaltextrun"/>
          <w:rFonts w:ascii="Cambria" w:hAnsi="Cambria"/>
          <w:sz w:val="20"/>
        </w:rPr>
        <w:t>Procedure, and</w:t>
      </w:r>
      <w:proofErr w:type="gramEnd"/>
      <w:r>
        <w:rPr>
          <w:rStyle w:val="normaltextrun"/>
          <w:rFonts w:ascii="Cambria" w:hAnsi="Cambria"/>
          <w:sz w:val="20"/>
        </w:rPr>
        <w:t xml:space="preserve"> notified the parties on May 9, 2019. </w:t>
      </w:r>
    </w:p>
    <w:p w14:paraId="300E89B2" w14:textId="77777777" w:rsidR="00560AC9" w:rsidRPr="007F1EB5" w:rsidRDefault="00560AC9" w:rsidP="00560AC9">
      <w:pPr>
        <w:pStyle w:val="ListParagraph"/>
        <w:rPr>
          <w:rFonts w:cs="Segoe UI"/>
          <w:sz w:val="20"/>
          <w:szCs w:val="20"/>
        </w:rPr>
      </w:pPr>
    </w:p>
    <w:p w14:paraId="38C54EF3" w14:textId="43E0208C" w:rsidR="00560AC9" w:rsidRDefault="00560AC9" w:rsidP="00F32864">
      <w:pPr>
        <w:pStyle w:val="paragraph"/>
        <w:numPr>
          <w:ilvl w:val="0"/>
          <w:numId w:val="57"/>
        </w:numPr>
        <w:spacing w:before="0" w:beforeAutospacing="0" w:after="0" w:afterAutospacing="0"/>
        <w:ind w:left="0" w:firstLine="709"/>
        <w:jc w:val="both"/>
        <w:textAlignment w:val="baseline"/>
        <w:rPr>
          <w:rFonts w:ascii="Cambria" w:hAnsi="Cambria" w:cs="Segoe UI"/>
          <w:sz w:val="20"/>
          <w:szCs w:val="20"/>
        </w:rPr>
      </w:pPr>
      <w:r>
        <w:rPr>
          <w:rStyle w:val="normaltextrun"/>
          <w:rFonts w:ascii="Cambria" w:hAnsi="Cambria"/>
          <w:sz w:val="20"/>
        </w:rPr>
        <w:t xml:space="preserve">On January 20, 2020, the organization </w:t>
      </w:r>
      <w:proofErr w:type="spellStart"/>
      <w:r>
        <w:rPr>
          <w:rStyle w:val="normaltextrun"/>
          <w:rFonts w:ascii="Cambria" w:hAnsi="Cambria"/>
          <w:sz w:val="20"/>
        </w:rPr>
        <w:t>Humanidad</w:t>
      </w:r>
      <w:proofErr w:type="spellEnd"/>
      <w:r>
        <w:rPr>
          <w:rStyle w:val="normaltextrun"/>
          <w:rFonts w:ascii="Cambria" w:hAnsi="Cambria"/>
          <w:sz w:val="20"/>
        </w:rPr>
        <w:t xml:space="preserve"> </w:t>
      </w:r>
      <w:proofErr w:type="spellStart"/>
      <w:r>
        <w:rPr>
          <w:rStyle w:val="normaltextrun"/>
          <w:rFonts w:ascii="Cambria" w:hAnsi="Cambria"/>
          <w:sz w:val="20"/>
        </w:rPr>
        <w:t>Vigente</w:t>
      </w:r>
      <w:proofErr w:type="spellEnd"/>
      <w:r>
        <w:rPr>
          <w:rStyle w:val="normaltextrun"/>
          <w:rFonts w:ascii="Cambria" w:hAnsi="Cambria"/>
          <w:sz w:val="20"/>
        </w:rPr>
        <w:t xml:space="preserve"> stated that it had regained contact with the </w:t>
      </w:r>
      <w:r w:rsidR="00D85DB0">
        <w:rPr>
          <w:rStyle w:val="normaltextrun"/>
          <w:rFonts w:ascii="Cambria" w:hAnsi="Cambria"/>
          <w:sz w:val="20"/>
        </w:rPr>
        <w:t xml:space="preserve">family </w:t>
      </w:r>
      <w:r>
        <w:rPr>
          <w:rStyle w:val="normaltextrun"/>
          <w:rFonts w:ascii="Cambria" w:hAnsi="Cambria"/>
          <w:sz w:val="20"/>
        </w:rPr>
        <w:t xml:space="preserve">of Jhon Jairo </w:t>
      </w:r>
      <w:proofErr w:type="spellStart"/>
      <w:r>
        <w:rPr>
          <w:rStyle w:val="normaltextrun"/>
          <w:rFonts w:ascii="Cambria" w:hAnsi="Cambria"/>
          <w:sz w:val="20"/>
        </w:rPr>
        <w:t>Cabarique</w:t>
      </w:r>
      <w:proofErr w:type="spellEnd"/>
      <w:r>
        <w:rPr>
          <w:rStyle w:val="normaltextrun"/>
          <w:rFonts w:ascii="Cambria" w:hAnsi="Cambria"/>
          <w:sz w:val="20"/>
        </w:rPr>
        <w:t xml:space="preserve"> and requested that </w:t>
      </w:r>
      <w:r w:rsidR="008702EA">
        <w:rPr>
          <w:rStyle w:val="normaltextrun"/>
          <w:rFonts w:ascii="Cambria" w:hAnsi="Cambria"/>
          <w:sz w:val="20"/>
        </w:rPr>
        <w:t>C</w:t>
      </w:r>
      <w:r>
        <w:rPr>
          <w:rStyle w:val="normaltextrun"/>
          <w:rFonts w:ascii="Cambria" w:hAnsi="Cambria"/>
          <w:sz w:val="20"/>
        </w:rPr>
        <w:t>ase 11.990 B be re</w:t>
      </w:r>
      <w:r w:rsidR="008702EA">
        <w:rPr>
          <w:rStyle w:val="normaltextrun"/>
          <w:rFonts w:ascii="Cambria" w:hAnsi="Cambria"/>
          <w:sz w:val="20"/>
        </w:rPr>
        <w:t>opened</w:t>
      </w:r>
      <w:r>
        <w:rPr>
          <w:rStyle w:val="normaltextrun"/>
          <w:rFonts w:ascii="Cambria" w:hAnsi="Cambria"/>
          <w:sz w:val="20"/>
        </w:rPr>
        <w:t>.</w:t>
      </w:r>
      <w:r>
        <w:rPr>
          <w:rStyle w:val="eop"/>
          <w:rFonts w:ascii="Cambria" w:hAnsi="Cambria"/>
          <w:sz w:val="20"/>
        </w:rPr>
        <w:t> </w:t>
      </w:r>
      <w:r>
        <w:rPr>
          <w:rStyle w:val="normaltextrun"/>
          <w:rFonts w:ascii="Cambria" w:hAnsi="Cambria"/>
          <w:sz w:val="20"/>
        </w:rPr>
        <w:t>On August 7, 2020, the Commission decided</w:t>
      </w:r>
      <w:r w:rsidR="004D0956">
        <w:rPr>
          <w:rStyle w:val="normaltextrun"/>
          <w:rFonts w:ascii="Cambria" w:hAnsi="Cambria"/>
          <w:sz w:val="20"/>
        </w:rPr>
        <w:t xml:space="preserve"> to reopen the case</w:t>
      </w:r>
      <w:r>
        <w:rPr>
          <w:rStyle w:val="normaltextrun"/>
          <w:rFonts w:ascii="Cambria" w:hAnsi="Cambria"/>
          <w:sz w:val="20"/>
        </w:rPr>
        <w:t xml:space="preserve">, in accordance with Article 42.3 of the IACHR Rules of Procedure, </w:t>
      </w:r>
      <w:r w:rsidR="00A801CC">
        <w:rPr>
          <w:rStyle w:val="normaltextrun"/>
          <w:rFonts w:ascii="Cambria" w:hAnsi="Cambria"/>
          <w:sz w:val="20"/>
        </w:rPr>
        <w:t xml:space="preserve">which was communicated to </w:t>
      </w:r>
      <w:r>
        <w:rPr>
          <w:rStyle w:val="normaltextrun"/>
          <w:rFonts w:ascii="Cambria" w:hAnsi="Cambria"/>
          <w:sz w:val="20"/>
        </w:rPr>
        <w:t xml:space="preserve">the parties on October 27, 2020. </w:t>
      </w:r>
    </w:p>
    <w:p w14:paraId="04729F97" w14:textId="77777777" w:rsidR="00560AC9" w:rsidRPr="007F1EB5" w:rsidRDefault="00560AC9" w:rsidP="00560AC9">
      <w:pPr>
        <w:pStyle w:val="ListParagraph"/>
        <w:rPr>
          <w:rFonts w:cs="Segoe UI"/>
          <w:sz w:val="20"/>
          <w:szCs w:val="20"/>
        </w:rPr>
      </w:pPr>
    </w:p>
    <w:p w14:paraId="3C611921" w14:textId="77777777" w:rsidR="00560AC9" w:rsidRPr="007F1EB5" w:rsidRDefault="00560AC9" w:rsidP="00560AC9">
      <w:pPr>
        <w:pStyle w:val="paragraph"/>
        <w:spacing w:before="0" w:beforeAutospacing="0" w:after="0" w:afterAutospacing="0"/>
        <w:ind w:left="709"/>
        <w:jc w:val="both"/>
        <w:textAlignment w:val="baseline"/>
        <w:rPr>
          <w:rFonts w:ascii="Cambria" w:hAnsi="Cambria" w:cs="Segoe UI"/>
          <w:sz w:val="20"/>
          <w:szCs w:val="20"/>
        </w:rPr>
      </w:pPr>
    </w:p>
    <w:p w14:paraId="18AA0F20" w14:textId="3840CFC1" w:rsidR="00300FCA" w:rsidRDefault="00560AC9" w:rsidP="00F32864">
      <w:pPr>
        <w:pStyle w:val="paragraph"/>
        <w:numPr>
          <w:ilvl w:val="0"/>
          <w:numId w:val="57"/>
        </w:numPr>
        <w:spacing w:before="0" w:beforeAutospacing="0" w:after="0" w:afterAutospacing="0"/>
        <w:ind w:left="0" w:firstLine="709"/>
        <w:jc w:val="both"/>
        <w:textAlignment w:val="baseline"/>
        <w:rPr>
          <w:rFonts w:ascii="Cambria" w:hAnsi="Cambria" w:cstheme="minorHAnsi"/>
          <w:color w:val="000000" w:themeColor="text1"/>
          <w:sz w:val="20"/>
          <w:szCs w:val="20"/>
        </w:rPr>
      </w:pPr>
      <w:r>
        <w:rPr>
          <w:rStyle w:val="normaltextrun"/>
          <w:rFonts w:ascii="Cambria" w:hAnsi="Cambria"/>
          <w:sz w:val="20"/>
        </w:rPr>
        <w:lastRenderedPageBreak/>
        <w:t>On July 21, 2021,</w:t>
      </w:r>
      <w:r>
        <w:rPr>
          <w:rFonts w:ascii="Cambria" w:hAnsi="Cambria"/>
          <w:sz w:val="20"/>
        </w:rPr>
        <w:t xml:space="preserve"> the parties signed a memorandum of understanding </w:t>
      </w:r>
      <w:r w:rsidR="006D4BE6">
        <w:rPr>
          <w:rFonts w:ascii="Cambria" w:hAnsi="Cambria"/>
          <w:sz w:val="20"/>
        </w:rPr>
        <w:t xml:space="preserve">to seek </w:t>
      </w:r>
      <w:r>
        <w:rPr>
          <w:rFonts w:ascii="Cambria" w:hAnsi="Cambria"/>
          <w:sz w:val="20"/>
        </w:rPr>
        <w:t xml:space="preserve">a friendly settlement, together with a </w:t>
      </w:r>
      <w:r w:rsidR="006D4BE6">
        <w:rPr>
          <w:rFonts w:ascii="Cambria" w:hAnsi="Cambria"/>
          <w:sz w:val="20"/>
        </w:rPr>
        <w:t xml:space="preserve">timeline to move forward </w:t>
      </w:r>
      <w:r w:rsidR="00C94743">
        <w:rPr>
          <w:rFonts w:ascii="Cambria" w:hAnsi="Cambria"/>
          <w:sz w:val="20"/>
        </w:rPr>
        <w:t>in</w:t>
      </w:r>
      <w:r>
        <w:rPr>
          <w:rFonts w:ascii="Cambria" w:hAnsi="Cambria"/>
          <w:sz w:val="20"/>
        </w:rPr>
        <w:t xml:space="preserve"> the negotiations. In the following months, the parties held bilateral meetings </w:t>
      </w:r>
      <w:r w:rsidR="00C94743">
        <w:rPr>
          <w:rFonts w:ascii="Cambria" w:hAnsi="Cambria"/>
          <w:sz w:val="20"/>
        </w:rPr>
        <w:t xml:space="preserve">with the purpose of </w:t>
      </w:r>
      <w:r>
        <w:rPr>
          <w:rFonts w:ascii="Cambria" w:hAnsi="Cambria"/>
          <w:sz w:val="20"/>
        </w:rPr>
        <w:t>analyz</w:t>
      </w:r>
      <w:r w:rsidR="00C94743">
        <w:rPr>
          <w:rFonts w:ascii="Cambria" w:hAnsi="Cambria"/>
          <w:sz w:val="20"/>
        </w:rPr>
        <w:t>ing</w:t>
      </w:r>
      <w:r>
        <w:rPr>
          <w:rFonts w:ascii="Cambria" w:hAnsi="Cambria"/>
          <w:sz w:val="20"/>
        </w:rPr>
        <w:t xml:space="preserve"> the reparation measures to be included in the agreement, which resulted in the signing </w:t>
      </w:r>
      <w:proofErr w:type="gramStart"/>
      <w:r>
        <w:rPr>
          <w:rFonts w:ascii="Cambria" w:hAnsi="Cambria"/>
          <w:sz w:val="20"/>
        </w:rPr>
        <w:t xml:space="preserve">of </w:t>
      </w:r>
      <w:r w:rsidR="00277A72">
        <w:rPr>
          <w:rFonts w:ascii="Cambria" w:hAnsi="Cambria"/>
          <w:sz w:val="20"/>
        </w:rPr>
        <w:t xml:space="preserve"> said</w:t>
      </w:r>
      <w:proofErr w:type="gramEnd"/>
      <w:r>
        <w:rPr>
          <w:rFonts w:ascii="Cambria" w:hAnsi="Cambria"/>
          <w:sz w:val="20"/>
        </w:rPr>
        <w:t xml:space="preserve"> instrument on May 23, 2024, in the city of Bogotá. Subsequently, </w:t>
      </w:r>
      <w:r>
        <w:rPr>
          <w:rFonts w:ascii="Cambria" w:hAnsi="Cambria"/>
          <w:color w:val="000000" w:themeColor="text1"/>
          <w:sz w:val="20"/>
        </w:rPr>
        <w:t xml:space="preserve">on February 13, 2025, the parties presented a joint report on the progress made with implementation of the FSA and requested </w:t>
      </w:r>
      <w:proofErr w:type="gramStart"/>
      <w:r>
        <w:rPr>
          <w:rFonts w:ascii="Cambria" w:hAnsi="Cambria"/>
          <w:color w:val="000000" w:themeColor="text1"/>
          <w:sz w:val="20"/>
        </w:rPr>
        <w:t>the</w:t>
      </w:r>
      <w:r w:rsidR="00FD2461">
        <w:rPr>
          <w:rFonts w:ascii="Cambria" w:hAnsi="Cambria"/>
          <w:color w:val="000000" w:themeColor="text1"/>
          <w:sz w:val="20"/>
        </w:rPr>
        <w:t xml:space="preserve"> IACHR</w:t>
      </w:r>
      <w:proofErr w:type="gramEnd"/>
      <w:r w:rsidR="00FD2461">
        <w:rPr>
          <w:rFonts w:ascii="Cambria" w:hAnsi="Cambria"/>
          <w:color w:val="000000" w:themeColor="text1"/>
          <w:sz w:val="20"/>
        </w:rPr>
        <w:t xml:space="preserve"> its</w:t>
      </w:r>
      <w:r>
        <w:rPr>
          <w:rFonts w:ascii="Cambria" w:hAnsi="Cambria"/>
          <w:color w:val="000000" w:themeColor="text1"/>
          <w:sz w:val="20"/>
        </w:rPr>
        <w:t xml:space="preserve"> approval.</w:t>
      </w:r>
    </w:p>
    <w:p w14:paraId="27D29F1B" w14:textId="77777777" w:rsidR="00300FCA" w:rsidRDefault="00300FCA" w:rsidP="00300FCA">
      <w:pPr>
        <w:pStyle w:val="paragraph"/>
        <w:spacing w:before="0" w:beforeAutospacing="0" w:after="0" w:afterAutospacing="0"/>
        <w:ind w:left="709"/>
        <w:jc w:val="both"/>
        <w:textAlignment w:val="baseline"/>
        <w:rPr>
          <w:rFonts w:ascii="Cambria" w:hAnsi="Cambria" w:cstheme="minorHAnsi"/>
          <w:color w:val="000000" w:themeColor="text1"/>
          <w:sz w:val="20"/>
          <w:szCs w:val="20"/>
        </w:rPr>
      </w:pPr>
    </w:p>
    <w:p w14:paraId="677E0072" w14:textId="77346A6B" w:rsidR="00DA37B6" w:rsidRPr="00300FCA" w:rsidRDefault="00DB281F" w:rsidP="00F32864">
      <w:pPr>
        <w:pStyle w:val="paragraph"/>
        <w:numPr>
          <w:ilvl w:val="0"/>
          <w:numId w:val="57"/>
        </w:numPr>
        <w:spacing w:before="0" w:beforeAutospacing="0" w:after="0" w:afterAutospacing="0"/>
        <w:ind w:left="0" w:firstLine="709"/>
        <w:jc w:val="both"/>
        <w:textAlignment w:val="baseline"/>
        <w:rPr>
          <w:rFonts w:ascii="Cambria" w:hAnsi="Cambria" w:cstheme="minorHAnsi"/>
          <w:color w:val="000000" w:themeColor="text1"/>
          <w:sz w:val="20"/>
          <w:szCs w:val="20"/>
        </w:rPr>
      </w:pPr>
      <w:r>
        <w:rPr>
          <w:rFonts w:ascii="Cambria" w:hAnsi="Cambria"/>
          <w:color w:val="000000" w:themeColor="text1"/>
          <w:sz w:val="20"/>
        </w:rPr>
        <w:t>Pursuant to Articles 49 of the Convention and 40(5) of the Rules of Procedure of the Commission, t</w:t>
      </w:r>
      <w:r w:rsidR="00560AC9">
        <w:rPr>
          <w:rFonts w:ascii="Cambria" w:hAnsi="Cambria"/>
          <w:color w:val="000000" w:themeColor="text1"/>
          <w:sz w:val="20"/>
        </w:rPr>
        <w:t>his friendly settlement report</w:t>
      </w:r>
      <w:r w:rsidR="0008303A">
        <w:rPr>
          <w:rFonts w:ascii="Cambria" w:hAnsi="Cambria"/>
          <w:color w:val="000000" w:themeColor="text1"/>
          <w:sz w:val="20"/>
        </w:rPr>
        <w:t xml:space="preserve"> includes</w:t>
      </w:r>
      <w:r w:rsidR="00560AC9">
        <w:rPr>
          <w:rFonts w:ascii="Cambria" w:hAnsi="Cambria"/>
          <w:color w:val="000000" w:themeColor="text1"/>
          <w:sz w:val="20"/>
        </w:rPr>
        <w:t xml:space="preserve"> </w:t>
      </w:r>
      <w:r w:rsidR="0008303A">
        <w:rPr>
          <w:rFonts w:ascii="Cambria" w:hAnsi="Cambria"/>
          <w:color w:val="000000" w:themeColor="text1"/>
          <w:sz w:val="20"/>
        </w:rPr>
        <w:t xml:space="preserve">a summary </w:t>
      </w:r>
      <w:r w:rsidR="00560AC9">
        <w:rPr>
          <w:rFonts w:ascii="Cambria" w:hAnsi="Cambria"/>
          <w:color w:val="000000" w:themeColor="text1"/>
          <w:sz w:val="20"/>
        </w:rPr>
        <w:t xml:space="preserve">of the facts alleged by the petitioning party and </w:t>
      </w:r>
      <w:r w:rsidR="0008303A">
        <w:rPr>
          <w:rFonts w:ascii="Cambria" w:hAnsi="Cambria"/>
          <w:color w:val="000000" w:themeColor="text1"/>
          <w:sz w:val="20"/>
        </w:rPr>
        <w:t xml:space="preserve">transcribes </w:t>
      </w:r>
      <w:r w:rsidR="00560AC9">
        <w:rPr>
          <w:rFonts w:ascii="Cambria" w:hAnsi="Cambria"/>
          <w:color w:val="000000" w:themeColor="text1"/>
          <w:sz w:val="20"/>
        </w:rPr>
        <w:t xml:space="preserve">the </w:t>
      </w:r>
      <w:r w:rsidR="0008303A">
        <w:rPr>
          <w:rFonts w:ascii="Cambria" w:hAnsi="Cambria"/>
          <w:color w:val="000000" w:themeColor="text1"/>
          <w:sz w:val="20"/>
        </w:rPr>
        <w:t xml:space="preserve">friendly </w:t>
      </w:r>
      <w:r w:rsidR="00560AC9">
        <w:rPr>
          <w:rFonts w:ascii="Cambria" w:hAnsi="Cambria"/>
          <w:color w:val="000000" w:themeColor="text1"/>
          <w:sz w:val="20"/>
        </w:rPr>
        <w:t xml:space="preserve">settlement agreement signed on May 23, </w:t>
      </w:r>
      <w:proofErr w:type="gramStart"/>
      <w:r w:rsidR="00560AC9">
        <w:rPr>
          <w:rFonts w:ascii="Cambria" w:hAnsi="Cambria"/>
          <w:color w:val="000000" w:themeColor="text1"/>
          <w:sz w:val="20"/>
        </w:rPr>
        <w:t>2024</w:t>
      </w:r>
      <w:proofErr w:type="gramEnd"/>
      <w:r w:rsidR="00560AC9">
        <w:rPr>
          <w:rFonts w:ascii="Cambria" w:hAnsi="Cambria"/>
          <w:color w:val="000000" w:themeColor="text1"/>
          <w:sz w:val="20"/>
        </w:rPr>
        <w:t xml:space="preserve"> </w:t>
      </w:r>
      <w:r w:rsidR="0085786E">
        <w:rPr>
          <w:rFonts w:ascii="Cambria" w:hAnsi="Cambria"/>
          <w:color w:val="000000" w:themeColor="text1"/>
          <w:sz w:val="20"/>
        </w:rPr>
        <w:t xml:space="preserve">by </w:t>
      </w:r>
      <w:r w:rsidR="00560AC9">
        <w:rPr>
          <w:rFonts w:ascii="Cambria" w:hAnsi="Cambria"/>
          <w:color w:val="000000" w:themeColor="text1"/>
          <w:sz w:val="20"/>
        </w:rPr>
        <w:t xml:space="preserve">the petitioning party and the Colombian State. </w:t>
      </w:r>
      <w:r w:rsidR="00DF5BBB">
        <w:rPr>
          <w:rFonts w:ascii="Cambria" w:hAnsi="Cambria"/>
          <w:color w:val="000000" w:themeColor="text1"/>
          <w:sz w:val="20"/>
        </w:rPr>
        <w:t>Likewise, t</w:t>
      </w:r>
      <w:r w:rsidR="00560AC9">
        <w:rPr>
          <w:rFonts w:ascii="Cambria" w:hAnsi="Cambria"/>
          <w:color w:val="000000" w:themeColor="text1"/>
          <w:sz w:val="20"/>
        </w:rPr>
        <w:t xml:space="preserve">he Commission </w:t>
      </w:r>
      <w:r w:rsidR="00DF5BBB">
        <w:rPr>
          <w:rFonts w:ascii="Cambria" w:hAnsi="Cambria"/>
          <w:color w:val="000000" w:themeColor="text1"/>
          <w:sz w:val="20"/>
        </w:rPr>
        <w:t xml:space="preserve">hereby </w:t>
      </w:r>
      <w:r w:rsidR="00560AC9">
        <w:rPr>
          <w:rFonts w:ascii="Cambria" w:hAnsi="Cambria"/>
          <w:color w:val="000000" w:themeColor="text1"/>
          <w:sz w:val="20"/>
        </w:rPr>
        <w:t>approves the agreement signed by the parties and decides to publish this report in its Annual Report to the General Assembly of the Organization of American States.</w:t>
      </w:r>
    </w:p>
    <w:p w14:paraId="67E40AC0" w14:textId="77777777" w:rsidR="00DA37B6" w:rsidRPr="00E75013"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6985AA48" w14:textId="77777777" w:rsidR="00FA675D" w:rsidRPr="00E75013" w:rsidRDefault="00FA675D" w:rsidP="00F3286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E75013">
        <w:rPr>
          <w:b/>
          <w:sz w:val="20"/>
          <w:szCs w:val="20"/>
        </w:rPr>
        <w:t>THE FACTS ALLEGED</w:t>
      </w:r>
      <w:r w:rsidRPr="00E75013">
        <w:rPr>
          <w:b/>
          <w:color w:val="000000" w:themeColor="text1"/>
          <w:sz w:val="20"/>
          <w:szCs w:val="20"/>
        </w:rPr>
        <w:t xml:space="preserve"> </w:t>
      </w:r>
    </w:p>
    <w:p w14:paraId="47E28A2F" w14:textId="77777777" w:rsidR="00DA37B6" w:rsidRPr="00E75013" w:rsidRDefault="00DA37B6" w:rsidP="00561E2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5E4F4D42" w14:textId="77777777" w:rsidR="00561E26" w:rsidRPr="00E75013" w:rsidRDefault="00561E26" w:rsidP="00F3286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hAnsi="Cambria" w:cs="Arial"/>
          <w:sz w:val="20"/>
          <w:szCs w:val="20"/>
        </w:rPr>
      </w:pPr>
      <w:r w:rsidRPr="00E75013">
        <w:rPr>
          <w:rFonts w:ascii="Cambria" w:hAnsi="Cambria"/>
          <w:sz w:val="20"/>
          <w:szCs w:val="20"/>
        </w:rPr>
        <w:t xml:space="preserve">The petitioners alleged that on January 10, 1997, at approximately 8:30 pm, Oscar Orlando Bueno Bonet, Jean Carlo Cavarique, and Jefferson González Oquendo were traveling through the city of </w:t>
      </w:r>
      <w:proofErr w:type="spellStart"/>
      <w:r w:rsidRPr="00E75013">
        <w:rPr>
          <w:rFonts w:ascii="Cambria" w:hAnsi="Cambria"/>
          <w:sz w:val="20"/>
          <w:szCs w:val="20"/>
        </w:rPr>
        <w:t>Saravena</w:t>
      </w:r>
      <w:proofErr w:type="spellEnd"/>
      <w:r w:rsidRPr="00E75013">
        <w:rPr>
          <w:rFonts w:ascii="Cambria" w:hAnsi="Cambria"/>
          <w:sz w:val="20"/>
          <w:szCs w:val="20"/>
        </w:rPr>
        <w:t>, Arauca Department, on two motorcycles.  They maintain that when they were in front of the “</w:t>
      </w:r>
      <w:proofErr w:type="spellStart"/>
      <w:r w:rsidRPr="00E75013">
        <w:rPr>
          <w:rFonts w:ascii="Cambria" w:hAnsi="Cambria"/>
          <w:sz w:val="20"/>
          <w:szCs w:val="20"/>
        </w:rPr>
        <w:t>Copetran</w:t>
      </w:r>
      <w:proofErr w:type="spellEnd"/>
      <w:r w:rsidRPr="00E75013">
        <w:rPr>
          <w:rFonts w:ascii="Cambria" w:hAnsi="Cambria"/>
          <w:sz w:val="20"/>
          <w:szCs w:val="20"/>
        </w:rPr>
        <w:t xml:space="preserve">” Hotel, the alleged victims were intercepted by a National Army patrol attached to the </w:t>
      </w:r>
      <w:proofErr w:type="spellStart"/>
      <w:r w:rsidRPr="00E75013">
        <w:rPr>
          <w:rFonts w:ascii="Cambria" w:hAnsi="Cambria"/>
          <w:sz w:val="20"/>
          <w:szCs w:val="20"/>
        </w:rPr>
        <w:t>Reveis</w:t>
      </w:r>
      <w:proofErr w:type="spellEnd"/>
      <w:r w:rsidRPr="00E75013">
        <w:rPr>
          <w:rFonts w:ascii="Cambria" w:hAnsi="Cambria"/>
          <w:sz w:val="20"/>
          <w:szCs w:val="20"/>
        </w:rPr>
        <w:t xml:space="preserve"> Pizarro Battalion and that the soldiers began to shoot at the alleged victims, who got off their motorcycles and started to run.  </w:t>
      </w:r>
    </w:p>
    <w:p w14:paraId="2353C9D9" w14:textId="77777777" w:rsidR="00561E26" w:rsidRPr="00E75013" w:rsidRDefault="00561E26" w:rsidP="00561E26">
      <w:p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num" w:pos="4320"/>
        </w:tabs>
        <w:ind w:firstLine="720"/>
        <w:jc w:val="both"/>
        <w:rPr>
          <w:rFonts w:ascii="Cambria" w:hAnsi="Cambria" w:cs="Arial"/>
          <w:sz w:val="20"/>
          <w:szCs w:val="20"/>
        </w:rPr>
      </w:pPr>
    </w:p>
    <w:p w14:paraId="607360BF" w14:textId="77777777" w:rsidR="00561E26" w:rsidRPr="00E75013" w:rsidRDefault="00561E26" w:rsidP="00F3286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ind w:left="0" w:firstLine="720"/>
        <w:jc w:val="both"/>
        <w:rPr>
          <w:rFonts w:ascii="Cambria" w:hAnsi="Cambria" w:cs="Arial"/>
          <w:sz w:val="20"/>
          <w:szCs w:val="20"/>
        </w:rPr>
      </w:pPr>
      <w:r w:rsidRPr="00E75013">
        <w:rPr>
          <w:rFonts w:ascii="Cambria" w:hAnsi="Cambria"/>
          <w:sz w:val="20"/>
          <w:szCs w:val="20"/>
        </w:rPr>
        <w:t xml:space="preserve">The petitioning party also stated that Jefferson González was pursued by another soldier along three streets to the yard of a house, where he was shot and killed. Similarly, as for Jhon Carlo Cabarique, who was then 17 years old, they alleged that he was put against a wall and riddled with bullets by another one of the soldiers. </w:t>
      </w:r>
    </w:p>
    <w:p w14:paraId="45537433" w14:textId="77777777" w:rsidR="00561E26" w:rsidRPr="00E75013" w:rsidRDefault="00561E26" w:rsidP="00561E26">
      <w:pPr>
        <w:tabs>
          <w:tab w:val="num" w:pos="720"/>
          <w:tab w:val="num" w:pos="4320"/>
        </w:tabs>
        <w:ind w:firstLine="720"/>
        <w:jc w:val="both"/>
        <w:rPr>
          <w:rFonts w:ascii="Cambria" w:hAnsi="Cambria" w:cs="Arial"/>
          <w:sz w:val="20"/>
          <w:szCs w:val="20"/>
        </w:rPr>
      </w:pPr>
    </w:p>
    <w:p w14:paraId="2D9DA930" w14:textId="7E302A5E" w:rsidR="00561E26" w:rsidRPr="00E75013" w:rsidRDefault="00561E26" w:rsidP="00F3286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ind w:left="0" w:firstLine="720"/>
        <w:jc w:val="both"/>
        <w:rPr>
          <w:rFonts w:ascii="Cambria" w:hAnsi="Cambria" w:cs="Arial"/>
          <w:sz w:val="20"/>
          <w:szCs w:val="20"/>
        </w:rPr>
      </w:pPr>
      <w:r w:rsidRPr="00E75013">
        <w:rPr>
          <w:rFonts w:ascii="Cambria" w:hAnsi="Cambria"/>
          <w:sz w:val="20"/>
          <w:szCs w:val="20"/>
        </w:rPr>
        <w:t>The petitioners maintained that on January 14, 1997, Military Criminal Court 124 opened an investigation and that on April 21, 1997, the father and the wife of Oscar Bueno lodged a complaint regarding the murder of the alleged victims by members of the National Armed Forces.  In addition, they indicated that on May 20, 1997, the Prosecutor’s Office of Department 40 [</w:t>
      </w:r>
      <w:proofErr w:type="spellStart"/>
      <w:r w:rsidRPr="00E75013">
        <w:rPr>
          <w:rFonts w:ascii="Cambria" w:hAnsi="Cambria"/>
          <w:i/>
          <w:sz w:val="20"/>
          <w:szCs w:val="20"/>
        </w:rPr>
        <w:t>Fiscalía</w:t>
      </w:r>
      <w:proofErr w:type="spellEnd"/>
      <w:r w:rsidRPr="00E75013">
        <w:rPr>
          <w:rFonts w:ascii="Cambria" w:hAnsi="Cambria"/>
          <w:i/>
          <w:sz w:val="20"/>
          <w:szCs w:val="20"/>
        </w:rPr>
        <w:t xml:space="preserve"> Seccional 40</w:t>
      </w:r>
      <w:r w:rsidRPr="00E75013">
        <w:rPr>
          <w:rFonts w:ascii="Cambria" w:hAnsi="Cambria"/>
          <w:sz w:val="20"/>
          <w:szCs w:val="20"/>
        </w:rPr>
        <w:t xml:space="preserve">] for the Judges of </w:t>
      </w:r>
      <w:proofErr w:type="spellStart"/>
      <w:r w:rsidRPr="00E75013">
        <w:rPr>
          <w:rFonts w:ascii="Cambria" w:hAnsi="Cambria"/>
          <w:sz w:val="20"/>
          <w:szCs w:val="20"/>
        </w:rPr>
        <w:t>Saravena</w:t>
      </w:r>
      <w:proofErr w:type="spellEnd"/>
      <w:r w:rsidRPr="00E75013">
        <w:rPr>
          <w:rFonts w:ascii="Cambria" w:hAnsi="Cambria"/>
          <w:sz w:val="20"/>
          <w:szCs w:val="20"/>
        </w:rPr>
        <w:t xml:space="preserve"> Circuit opened a preliminary investigation.  On the other hand, they mentioned that the Prosecutor’s Office sent the case file to Military Criminal Court of First Instance 124 (hereinafter “Military Criminal Court”), which issued a writ of prohibition on July 24, 1997, on the grounds that “the soldiers involved acted in legitimate self-defense in combat circumstances”. </w:t>
      </w:r>
    </w:p>
    <w:p w14:paraId="1470560E" w14:textId="77777777" w:rsidR="00561E26" w:rsidRPr="00E75013" w:rsidRDefault="00561E26" w:rsidP="00561E26">
      <w:pPr>
        <w:tabs>
          <w:tab w:val="num" w:pos="720"/>
        </w:tabs>
        <w:ind w:firstLine="720"/>
        <w:jc w:val="both"/>
        <w:rPr>
          <w:rFonts w:ascii="Cambria" w:hAnsi="Cambria" w:cs="Arial"/>
          <w:sz w:val="20"/>
          <w:szCs w:val="20"/>
        </w:rPr>
      </w:pPr>
    </w:p>
    <w:p w14:paraId="34A212BB" w14:textId="77777777" w:rsidR="00561E26" w:rsidRPr="00E75013" w:rsidRDefault="00561E26" w:rsidP="00F3286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ind w:left="0" w:firstLine="720"/>
        <w:jc w:val="both"/>
        <w:rPr>
          <w:rFonts w:ascii="Cambria" w:hAnsi="Cambria" w:cs="Arial"/>
          <w:sz w:val="20"/>
          <w:szCs w:val="20"/>
        </w:rPr>
      </w:pPr>
      <w:r w:rsidRPr="00E75013">
        <w:rPr>
          <w:rFonts w:ascii="Cambria" w:hAnsi="Cambria"/>
          <w:sz w:val="20"/>
          <w:szCs w:val="20"/>
        </w:rPr>
        <w:t xml:space="preserve">According to the petitioner's account, on May 13, 1998, the Military Criminal Court revoked the writ of prohibition and formally opened an investigation against Corporal Carlos Medina, Lieutenant Diego Martínez, and Private Reimond </w:t>
      </w:r>
      <w:proofErr w:type="spellStart"/>
      <w:r w:rsidRPr="00E75013">
        <w:rPr>
          <w:rFonts w:ascii="Cambria" w:hAnsi="Cambria"/>
          <w:sz w:val="20"/>
          <w:szCs w:val="20"/>
        </w:rPr>
        <w:t>Piñerez</w:t>
      </w:r>
      <w:proofErr w:type="spellEnd"/>
      <w:r w:rsidRPr="00E75013">
        <w:rPr>
          <w:rFonts w:ascii="Cambria" w:hAnsi="Cambria"/>
          <w:sz w:val="20"/>
          <w:szCs w:val="20"/>
        </w:rPr>
        <w:t xml:space="preserve"> for the alleged crime of murder during combat.  The petitioners claimed that on July 13, 1998, the Public Ministry [Public Prosecutors’ Office, </w:t>
      </w:r>
      <w:proofErr w:type="spellStart"/>
      <w:r w:rsidRPr="00E75013">
        <w:rPr>
          <w:rFonts w:ascii="Cambria" w:hAnsi="Cambria"/>
          <w:i/>
          <w:sz w:val="20"/>
          <w:szCs w:val="20"/>
        </w:rPr>
        <w:t>Ministerio</w:t>
      </w:r>
      <w:proofErr w:type="spellEnd"/>
      <w:r w:rsidRPr="00E75013">
        <w:rPr>
          <w:rFonts w:ascii="Cambria" w:hAnsi="Cambria"/>
          <w:i/>
          <w:sz w:val="20"/>
          <w:szCs w:val="20"/>
        </w:rPr>
        <w:t xml:space="preserve"> Público] </w:t>
      </w:r>
      <w:r w:rsidRPr="00E75013">
        <w:rPr>
          <w:rFonts w:ascii="Cambria" w:hAnsi="Cambria"/>
          <w:sz w:val="20"/>
          <w:szCs w:val="20"/>
        </w:rPr>
        <w:t>requested the Military Criminal Court to invoke conflict of jurisdiction with the ordinary criminal courts, due to the serious inconsistencies that occurred during the investigation into the alleged acts.</w:t>
      </w:r>
    </w:p>
    <w:p w14:paraId="48B559E3" w14:textId="77777777" w:rsidR="00561E26" w:rsidRPr="00E75013" w:rsidRDefault="00561E26" w:rsidP="00561E26">
      <w:pPr>
        <w:tabs>
          <w:tab w:val="num" w:pos="720"/>
          <w:tab w:val="num" w:pos="4320"/>
        </w:tabs>
        <w:ind w:firstLine="720"/>
        <w:jc w:val="both"/>
        <w:rPr>
          <w:rFonts w:ascii="Cambria" w:hAnsi="Cambria" w:cs="Arial"/>
          <w:sz w:val="20"/>
          <w:szCs w:val="20"/>
        </w:rPr>
      </w:pPr>
    </w:p>
    <w:p w14:paraId="70463E04" w14:textId="77777777" w:rsidR="00561E26" w:rsidRPr="00E75013" w:rsidRDefault="00561E26" w:rsidP="00F3286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1440"/>
        </w:tabs>
        <w:ind w:left="0" w:firstLine="720"/>
        <w:jc w:val="both"/>
        <w:rPr>
          <w:rFonts w:ascii="Cambria" w:hAnsi="Cambria" w:cs="Arial"/>
          <w:sz w:val="20"/>
          <w:szCs w:val="20"/>
        </w:rPr>
      </w:pPr>
      <w:r w:rsidRPr="00E75013">
        <w:rPr>
          <w:rFonts w:ascii="Cambria" w:hAnsi="Cambria"/>
          <w:sz w:val="20"/>
          <w:szCs w:val="20"/>
        </w:rPr>
        <w:t>In the petition, it was denounced that, on October 2, 1998, the Military Criminal Court denied the request of the Public Ministry (Public Prosecutors’ Office), and referred the case file to the Military Superior Court, which upheld the decision of the Military Criminal Court on April 6, 1999 and that on June 23, 2000, the Military Criminal Court closed the preliminary investigative stage, without issuing a warrant to detain [</w:t>
      </w:r>
      <w:proofErr w:type="spellStart"/>
      <w:r w:rsidRPr="00E75013">
        <w:rPr>
          <w:rFonts w:ascii="Cambria" w:hAnsi="Cambria"/>
          <w:i/>
          <w:sz w:val="20"/>
          <w:szCs w:val="20"/>
        </w:rPr>
        <w:t>medida</w:t>
      </w:r>
      <w:proofErr w:type="spellEnd"/>
      <w:r w:rsidRPr="00E75013">
        <w:rPr>
          <w:rFonts w:ascii="Cambria" w:hAnsi="Cambria"/>
          <w:i/>
          <w:sz w:val="20"/>
          <w:szCs w:val="20"/>
        </w:rPr>
        <w:t xml:space="preserve"> de </w:t>
      </w:r>
      <w:proofErr w:type="spellStart"/>
      <w:r w:rsidRPr="00E75013">
        <w:rPr>
          <w:rFonts w:ascii="Cambria" w:hAnsi="Cambria"/>
          <w:i/>
          <w:sz w:val="20"/>
          <w:szCs w:val="20"/>
        </w:rPr>
        <w:t>aseguramiento</w:t>
      </w:r>
      <w:proofErr w:type="spellEnd"/>
      <w:r w:rsidRPr="00E75013">
        <w:rPr>
          <w:rFonts w:ascii="Cambria" w:hAnsi="Cambria"/>
          <w:sz w:val="20"/>
          <w:szCs w:val="20"/>
        </w:rPr>
        <w:t>] against the three members of the National Army.</w:t>
      </w:r>
    </w:p>
    <w:p w14:paraId="51C61683" w14:textId="77777777" w:rsidR="00561E26" w:rsidRPr="00E75013" w:rsidRDefault="00561E26" w:rsidP="00561E26">
      <w:pPr>
        <w:tabs>
          <w:tab w:val="num" w:pos="720"/>
          <w:tab w:val="left" w:pos="1440"/>
          <w:tab w:val="num" w:pos="4320"/>
        </w:tabs>
        <w:ind w:firstLine="720"/>
        <w:jc w:val="both"/>
        <w:rPr>
          <w:rFonts w:ascii="Cambria" w:hAnsi="Cambria" w:cs="Arial"/>
          <w:sz w:val="20"/>
          <w:szCs w:val="20"/>
        </w:rPr>
      </w:pPr>
    </w:p>
    <w:p w14:paraId="375A918E" w14:textId="77777777" w:rsidR="00561E26" w:rsidRPr="00E75013" w:rsidRDefault="00561E26" w:rsidP="00F3286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1440"/>
        </w:tabs>
        <w:ind w:left="0" w:firstLine="720"/>
        <w:jc w:val="both"/>
        <w:rPr>
          <w:rFonts w:ascii="Cambria" w:hAnsi="Cambria" w:cs="Arial"/>
          <w:sz w:val="20"/>
          <w:szCs w:val="20"/>
        </w:rPr>
      </w:pPr>
      <w:r w:rsidRPr="00E75013">
        <w:rPr>
          <w:rFonts w:ascii="Cambria" w:hAnsi="Cambria"/>
          <w:sz w:val="20"/>
          <w:szCs w:val="20"/>
        </w:rPr>
        <w:t>However, they referred that on May 28, 1999, the Office of the State Attorney for Human Rights [</w:t>
      </w:r>
      <w:r w:rsidRPr="00E75013">
        <w:rPr>
          <w:rFonts w:ascii="Cambria" w:hAnsi="Cambria"/>
          <w:i/>
          <w:sz w:val="20"/>
          <w:szCs w:val="20"/>
        </w:rPr>
        <w:t xml:space="preserve">Procuraduría </w:t>
      </w:r>
      <w:proofErr w:type="spellStart"/>
      <w:r w:rsidRPr="00E75013">
        <w:rPr>
          <w:rFonts w:ascii="Cambria" w:hAnsi="Cambria"/>
          <w:i/>
          <w:sz w:val="20"/>
          <w:szCs w:val="20"/>
        </w:rPr>
        <w:t>Delegada</w:t>
      </w:r>
      <w:proofErr w:type="spellEnd"/>
      <w:r w:rsidRPr="00E75013">
        <w:rPr>
          <w:rFonts w:ascii="Cambria" w:hAnsi="Cambria"/>
          <w:i/>
          <w:sz w:val="20"/>
          <w:szCs w:val="20"/>
        </w:rPr>
        <w:t xml:space="preserve"> </w:t>
      </w:r>
      <w:proofErr w:type="gramStart"/>
      <w:r w:rsidRPr="00E75013">
        <w:rPr>
          <w:rFonts w:ascii="Cambria" w:hAnsi="Cambria"/>
          <w:i/>
          <w:sz w:val="20"/>
          <w:szCs w:val="20"/>
        </w:rPr>
        <w:t>para Derechos</w:t>
      </w:r>
      <w:proofErr w:type="gramEnd"/>
      <w:r w:rsidRPr="00E75013">
        <w:rPr>
          <w:rFonts w:ascii="Cambria" w:hAnsi="Cambria"/>
          <w:i/>
          <w:sz w:val="20"/>
          <w:szCs w:val="20"/>
        </w:rPr>
        <w:t xml:space="preserve"> Humanos</w:t>
      </w:r>
      <w:r w:rsidRPr="00E75013">
        <w:rPr>
          <w:rFonts w:ascii="Cambria" w:hAnsi="Cambria"/>
          <w:sz w:val="20"/>
          <w:szCs w:val="20"/>
        </w:rPr>
        <w:t xml:space="preserve">] opened a disciplinary investigation against the members of the National Army patrol attached to the </w:t>
      </w:r>
      <w:proofErr w:type="spellStart"/>
      <w:r w:rsidRPr="00E75013">
        <w:rPr>
          <w:rFonts w:ascii="Cambria" w:hAnsi="Cambria"/>
          <w:sz w:val="20"/>
          <w:szCs w:val="20"/>
        </w:rPr>
        <w:t>Reveis</w:t>
      </w:r>
      <w:proofErr w:type="spellEnd"/>
      <w:r w:rsidRPr="00E75013">
        <w:rPr>
          <w:rFonts w:ascii="Cambria" w:hAnsi="Cambria"/>
          <w:sz w:val="20"/>
          <w:szCs w:val="20"/>
        </w:rPr>
        <w:t xml:space="preserve"> Pizarro Battalion.  They claimed that </w:t>
      </w:r>
      <w:proofErr w:type="gramStart"/>
      <w:r w:rsidRPr="00E75013">
        <w:rPr>
          <w:rFonts w:ascii="Cambria" w:hAnsi="Cambria"/>
          <w:sz w:val="20"/>
          <w:szCs w:val="20"/>
        </w:rPr>
        <w:t>despite the fact that</w:t>
      </w:r>
      <w:proofErr w:type="gramEnd"/>
      <w:r w:rsidRPr="00E75013">
        <w:rPr>
          <w:rFonts w:ascii="Cambria" w:hAnsi="Cambria"/>
          <w:sz w:val="20"/>
          <w:szCs w:val="20"/>
        </w:rPr>
        <w:t xml:space="preserve"> a list of charges was issued on February 16, 2000, the investigation conducted by the State Attorney for Human Rights was closed on March 15, 2002, due to the statute of limitations.  In this regard, the petitioners declared that there was no opportunity for the relatives of the alleged victims to testify or participate in the disciplinary </w:t>
      </w:r>
      <w:r w:rsidRPr="00E75013">
        <w:rPr>
          <w:rFonts w:ascii="Cambria" w:hAnsi="Cambria"/>
          <w:sz w:val="20"/>
          <w:szCs w:val="20"/>
        </w:rPr>
        <w:lastRenderedPageBreak/>
        <w:t xml:space="preserve">proceeding, since they were not allowed to </w:t>
      </w:r>
      <w:proofErr w:type="gramStart"/>
      <w:r w:rsidRPr="00E75013">
        <w:rPr>
          <w:rFonts w:ascii="Cambria" w:hAnsi="Cambria"/>
          <w:sz w:val="20"/>
          <w:szCs w:val="20"/>
        </w:rPr>
        <w:t>access to</w:t>
      </w:r>
      <w:proofErr w:type="gramEnd"/>
      <w:r w:rsidRPr="00E75013">
        <w:rPr>
          <w:rFonts w:ascii="Cambria" w:hAnsi="Cambria"/>
          <w:sz w:val="20"/>
          <w:szCs w:val="20"/>
        </w:rPr>
        <w:t xml:space="preserve"> the file of the disciplinary investigative proceedings, even when they were requested.</w:t>
      </w:r>
    </w:p>
    <w:p w14:paraId="288ED8FE" w14:textId="77777777" w:rsidR="00561E26" w:rsidRPr="00E75013" w:rsidRDefault="00561E26" w:rsidP="00561E26">
      <w:pPr>
        <w:tabs>
          <w:tab w:val="num" w:pos="720"/>
          <w:tab w:val="left" w:pos="1440"/>
          <w:tab w:val="num" w:pos="4320"/>
        </w:tabs>
        <w:ind w:firstLine="720"/>
        <w:jc w:val="both"/>
        <w:rPr>
          <w:rFonts w:ascii="Cambria" w:hAnsi="Cambria" w:cs="Arial"/>
          <w:sz w:val="20"/>
          <w:szCs w:val="20"/>
        </w:rPr>
      </w:pPr>
    </w:p>
    <w:p w14:paraId="0B274B0A" w14:textId="77777777" w:rsidR="00561E26" w:rsidRPr="00E75013" w:rsidRDefault="00561E26" w:rsidP="00F3286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1440"/>
        </w:tabs>
        <w:ind w:left="0" w:firstLine="720"/>
        <w:jc w:val="both"/>
        <w:rPr>
          <w:rFonts w:ascii="Cambria" w:hAnsi="Cambria" w:cs="Arial"/>
          <w:sz w:val="20"/>
          <w:szCs w:val="20"/>
        </w:rPr>
      </w:pPr>
      <w:r w:rsidRPr="00E75013">
        <w:rPr>
          <w:rFonts w:ascii="Cambria" w:hAnsi="Cambria"/>
          <w:sz w:val="20"/>
          <w:szCs w:val="20"/>
        </w:rPr>
        <w:t>Moreover, the petitioners stated that on December 18, 1998, the family members of Oscar Bueno and Jefferson González filed complaints with the Adjudicatory Administrative Tribunal of Arauca against the Nation—Ministry of Defense.  They indicated that on September 9, 1999, that Tribunal found the Nation—Ministry of Defense to be administratively responsible for the deaths of Oscar Bueno and Jefferson González, at the hands of members of the National Army.</w:t>
      </w:r>
    </w:p>
    <w:p w14:paraId="7D766C09" w14:textId="77777777" w:rsidR="00561E26" w:rsidRPr="00E75013" w:rsidRDefault="00561E26" w:rsidP="00561E26">
      <w:pPr>
        <w:tabs>
          <w:tab w:val="num" w:pos="720"/>
          <w:tab w:val="num" w:pos="4320"/>
        </w:tabs>
        <w:ind w:firstLine="720"/>
        <w:jc w:val="both"/>
        <w:rPr>
          <w:rFonts w:ascii="Cambria" w:hAnsi="Cambria" w:cs="Arial"/>
          <w:sz w:val="20"/>
          <w:szCs w:val="20"/>
        </w:rPr>
      </w:pPr>
    </w:p>
    <w:p w14:paraId="431B9852" w14:textId="77777777" w:rsidR="00561E26" w:rsidRPr="00E75013" w:rsidRDefault="00561E26" w:rsidP="00F3286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ind w:left="0" w:firstLine="720"/>
        <w:jc w:val="both"/>
        <w:rPr>
          <w:rFonts w:ascii="Cambria" w:hAnsi="Cambria" w:cs="Arial"/>
          <w:sz w:val="20"/>
          <w:szCs w:val="20"/>
        </w:rPr>
      </w:pPr>
      <w:r w:rsidRPr="00E75013">
        <w:rPr>
          <w:rFonts w:ascii="Cambria" w:hAnsi="Cambria"/>
          <w:sz w:val="20"/>
          <w:szCs w:val="20"/>
        </w:rPr>
        <w:t xml:space="preserve">The petitioners held that the decision by the Prosecutor’s Office to refer the investigation to a military criminal court was </w:t>
      </w:r>
      <w:proofErr w:type="gramStart"/>
      <w:r w:rsidRPr="00E75013">
        <w:rPr>
          <w:rFonts w:ascii="Cambria" w:hAnsi="Cambria"/>
          <w:sz w:val="20"/>
          <w:szCs w:val="20"/>
        </w:rPr>
        <w:t>done</w:t>
      </w:r>
      <w:proofErr w:type="gramEnd"/>
      <w:r w:rsidRPr="00E75013">
        <w:rPr>
          <w:rFonts w:ascii="Cambria" w:hAnsi="Cambria"/>
          <w:sz w:val="20"/>
          <w:szCs w:val="20"/>
        </w:rPr>
        <w:t xml:space="preserve"> in disregard for the fact that military acts that constitute human rights violations cannot be considered as acts of service.  On this point, they argued that the acts were extrajudicial executions, since the alleged victims, who were unarmed and </w:t>
      </w:r>
      <w:proofErr w:type="gramStart"/>
      <w:r w:rsidRPr="00E75013">
        <w:rPr>
          <w:rFonts w:ascii="Cambria" w:hAnsi="Cambria"/>
          <w:sz w:val="20"/>
          <w:szCs w:val="20"/>
        </w:rPr>
        <w:t>absolutely defenseless</w:t>
      </w:r>
      <w:proofErr w:type="gramEnd"/>
      <w:r w:rsidRPr="00E75013">
        <w:rPr>
          <w:rFonts w:ascii="Cambria" w:hAnsi="Cambria"/>
          <w:sz w:val="20"/>
          <w:szCs w:val="20"/>
        </w:rPr>
        <w:t>, were attacked, pursued, and murdered by members of the National Army.</w:t>
      </w:r>
    </w:p>
    <w:p w14:paraId="0EFEAE48" w14:textId="77777777" w:rsidR="00DA37B6" w:rsidRPr="00E75013" w:rsidRDefault="00DA37B6" w:rsidP="00561E2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ascii="Cambria" w:eastAsia="MS Mincho" w:hAnsi="Cambria" w:cstheme="minorHAnsi"/>
          <w:b/>
          <w:color w:val="000000" w:themeColor="text1"/>
          <w:sz w:val="20"/>
          <w:szCs w:val="20"/>
        </w:rPr>
      </w:pPr>
    </w:p>
    <w:p w14:paraId="5B70C384" w14:textId="77777777" w:rsidR="00FA675D" w:rsidRPr="00E75013" w:rsidRDefault="00FA675D" w:rsidP="00F3286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rPr>
      </w:pPr>
      <w:r w:rsidRPr="00E75013">
        <w:rPr>
          <w:rFonts w:ascii="Cambria" w:hAnsi="Cambria"/>
          <w:b/>
          <w:color w:val="000000" w:themeColor="text1"/>
          <w:sz w:val="20"/>
          <w:szCs w:val="20"/>
        </w:rPr>
        <w:t>FRIENDLY SETTLEMENT</w:t>
      </w:r>
    </w:p>
    <w:p w14:paraId="1009841C" w14:textId="77777777" w:rsidR="00DA37B6"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lang w:val="es-CO"/>
        </w:rPr>
      </w:pPr>
    </w:p>
    <w:p w14:paraId="2E652D7F" w14:textId="77777777" w:rsidR="006E6748" w:rsidRPr="00515E91" w:rsidRDefault="006E6748" w:rsidP="006E6748">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z w:val="20"/>
          <w:bdr w:val="none" w:sz="0" w:space="0" w:color="auto"/>
        </w:rPr>
      </w:pPr>
      <w:r>
        <w:rPr>
          <w:sz w:val="20"/>
        </w:rPr>
        <w:t>On May 23, 2024, in Bogotá, the parties signed a friendly settlement agreement, which reads as follows:</w:t>
      </w:r>
    </w:p>
    <w:p w14:paraId="520BEBE2" w14:textId="77777777" w:rsidR="006E6748" w:rsidRPr="007F1EB5" w:rsidRDefault="006E6748"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0511310C" w14:textId="77777777" w:rsidR="00674DB5" w:rsidRPr="00674DB5" w:rsidRDefault="00674DB5" w:rsidP="00674DB5">
      <w:pPr>
        <w:pStyle w:val="Heading3"/>
        <w:spacing w:before="0"/>
        <w:ind w:left="720" w:right="720"/>
        <w:jc w:val="center"/>
        <w:rPr>
          <w:rFonts w:ascii="Cambria" w:hAnsi="Cambria"/>
          <w:b/>
          <w:bCs/>
          <w:color w:val="000000" w:themeColor="text1"/>
          <w:sz w:val="18"/>
          <w:szCs w:val="18"/>
        </w:rPr>
      </w:pPr>
      <w:r>
        <w:rPr>
          <w:rFonts w:ascii="Cambria" w:hAnsi="Cambria"/>
          <w:b/>
          <w:color w:val="000000" w:themeColor="text1"/>
          <w:sz w:val="18"/>
        </w:rPr>
        <w:t>FRIENDLY SETTLEMENT AGREEMENT</w:t>
      </w:r>
    </w:p>
    <w:p w14:paraId="7F93566C" w14:textId="77777777" w:rsidR="00674DB5" w:rsidRPr="00674DB5" w:rsidRDefault="00674DB5" w:rsidP="00674DB5">
      <w:pPr>
        <w:ind w:left="720" w:right="720"/>
        <w:jc w:val="center"/>
        <w:rPr>
          <w:rFonts w:ascii="Cambria" w:hAnsi="Cambria"/>
          <w:b/>
          <w:bCs/>
          <w:color w:val="000000" w:themeColor="text1"/>
          <w:sz w:val="18"/>
          <w:szCs w:val="18"/>
        </w:rPr>
      </w:pPr>
      <w:r>
        <w:rPr>
          <w:rFonts w:ascii="Cambria" w:hAnsi="Cambria"/>
          <w:b/>
          <w:color w:val="000000" w:themeColor="text1"/>
          <w:sz w:val="18"/>
        </w:rPr>
        <w:t xml:space="preserve">CASE 11.990 B Jhon Jairo </w:t>
      </w:r>
      <w:proofErr w:type="spellStart"/>
      <w:r>
        <w:rPr>
          <w:rFonts w:ascii="Cambria" w:hAnsi="Cambria"/>
          <w:b/>
          <w:color w:val="000000" w:themeColor="text1"/>
          <w:sz w:val="18"/>
        </w:rPr>
        <w:t>Cabarique</w:t>
      </w:r>
      <w:proofErr w:type="spellEnd"/>
    </w:p>
    <w:p w14:paraId="52676EDC" w14:textId="77777777" w:rsidR="00674DB5" w:rsidRPr="007F1EB5" w:rsidRDefault="00674DB5" w:rsidP="00674DB5">
      <w:pPr>
        <w:pStyle w:val="BodyText"/>
        <w:spacing w:after="0"/>
        <w:ind w:left="720" w:right="720"/>
        <w:jc w:val="both"/>
        <w:rPr>
          <w:rFonts w:ascii="Cambria" w:hAnsi="Cambria"/>
          <w:w w:val="105"/>
          <w:sz w:val="18"/>
          <w:szCs w:val="18"/>
        </w:rPr>
      </w:pPr>
    </w:p>
    <w:p w14:paraId="6514D10D" w14:textId="18D6670A" w:rsidR="00674DB5" w:rsidRPr="00206DB4" w:rsidRDefault="00674DB5" w:rsidP="00674DB5">
      <w:pPr>
        <w:pStyle w:val="BodyText"/>
        <w:spacing w:after="0"/>
        <w:ind w:left="720" w:right="713"/>
        <w:jc w:val="both"/>
        <w:rPr>
          <w:rFonts w:ascii="Cambria" w:hAnsi="Cambria"/>
          <w:sz w:val="18"/>
          <w:szCs w:val="18"/>
        </w:rPr>
      </w:pPr>
      <w:r>
        <w:rPr>
          <w:rFonts w:ascii="Cambria" w:hAnsi="Cambria"/>
          <w:sz w:val="18"/>
        </w:rPr>
        <w:t xml:space="preserve">On May 23, 2024 in the city of Bogotá, </w:t>
      </w:r>
      <w:r w:rsidR="00912851">
        <w:rPr>
          <w:rFonts w:ascii="Cambria" w:hAnsi="Cambria"/>
          <w:sz w:val="18"/>
        </w:rPr>
        <w:t xml:space="preserve">a </w:t>
      </w:r>
      <w:r>
        <w:rPr>
          <w:rFonts w:ascii="Cambria" w:hAnsi="Cambria"/>
          <w:sz w:val="18"/>
        </w:rPr>
        <w:t xml:space="preserve">meeting </w:t>
      </w:r>
      <w:r w:rsidR="00912851">
        <w:rPr>
          <w:rFonts w:ascii="Cambria" w:hAnsi="Cambria"/>
          <w:sz w:val="18"/>
        </w:rPr>
        <w:t xml:space="preserve">was held </w:t>
      </w:r>
      <w:r>
        <w:rPr>
          <w:rFonts w:ascii="Cambria" w:hAnsi="Cambria"/>
          <w:sz w:val="18"/>
        </w:rPr>
        <w:t xml:space="preserve">between, on the one hand, Jhon Jairo Camargo Motta, Director (E) of International Legal Defense of the National Agency of Legal Defense of the State, acting in the name and on behalf of the Colombian State, hereinafter referred to as "the Colombian State" and, on the other, Rafael Barrios Mendivil, attorney at law, and Jomary </w:t>
      </w:r>
      <w:proofErr w:type="spellStart"/>
      <w:r>
        <w:rPr>
          <w:rFonts w:ascii="Cambria" w:hAnsi="Cambria"/>
          <w:sz w:val="18"/>
        </w:rPr>
        <w:t>Ortegón</w:t>
      </w:r>
      <w:proofErr w:type="spellEnd"/>
      <w:r>
        <w:rPr>
          <w:rFonts w:ascii="Cambria" w:hAnsi="Cambria"/>
          <w:sz w:val="18"/>
        </w:rPr>
        <w:t xml:space="preserve"> Osorio and María Alejandra Escobar Cortázar, attorneys at law, representing the </w:t>
      </w:r>
      <w:r w:rsidR="00F158E7">
        <w:rPr>
          <w:rFonts w:ascii="Cambria" w:hAnsi="Cambria"/>
          <w:sz w:val="18"/>
        </w:rPr>
        <w:t xml:space="preserve">Colectivo </w:t>
      </w:r>
      <w:r w:rsidR="00471A65">
        <w:rPr>
          <w:rFonts w:ascii="Cambria" w:hAnsi="Cambria"/>
          <w:sz w:val="18"/>
        </w:rPr>
        <w:t xml:space="preserve">de Abogados y </w:t>
      </w:r>
      <w:proofErr w:type="spellStart"/>
      <w:r w:rsidR="00471A65">
        <w:rPr>
          <w:rFonts w:ascii="Cambria" w:hAnsi="Cambria"/>
          <w:sz w:val="18"/>
        </w:rPr>
        <w:t>Abogadas</w:t>
      </w:r>
      <w:proofErr w:type="spellEnd"/>
      <w:r w:rsidR="00471A65">
        <w:rPr>
          <w:rFonts w:ascii="Cambria" w:hAnsi="Cambria"/>
          <w:sz w:val="18"/>
        </w:rPr>
        <w:t xml:space="preserve"> </w:t>
      </w:r>
      <w:r>
        <w:rPr>
          <w:rFonts w:ascii="Cambria" w:hAnsi="Cambria"/>
          <w:sz w:val="18"/>
        </w:rPr>
        <w:t xml:space="preserve">"José Alvear Restrepo" Lawyers Association (CAJAR), and attorney Olga Lilia Silva and attorney Daniel Ricardo Franco Arredondo, representing the Organization </w:t>
      </w:r>
      <w:proofErr w:type="spellStart"/>
      <w:r>
        <w:rPr>
          <w:rFonts w:ascii="Cambria" w:hAnsi="Cambria"/>
          <w:sz w:val="18"/>
        </w:rPr>
        <w:t>Humanidad</w:t>
      </w:r>
      <w:proofErr w:type="spellEnd"/>
      <w:r>
        <w:rPr>
          <w:rFonts w:ascii="Cambria" w:hAnsi="Cambria"/>
          <w:sz w:val="18"/>
        </w:rPr>
        <w:t xml:space="preserve"> </w:t>
      </w:r>
      <w:proofErr w:type="spellStart"/>
      <w:r>
        <w:rPr>
          <w:rFonts w:ascii="Cambria" w:hAnsi="Cambria"/>
          <w:sz w:val="18"/>
        </w:rPr>
        <w:t>Vigente</w:t>
      </w:r>
      <w:proofErr w:type="spellEnd"/>
      <w:r>
        <w:rPr>
          <w:rFonts w:ascii="Cambria" w:hAnsi="Cambria"/>
          <w:sz w:val="18"/>
        </w:rPr>
        <w:t xml:space="preserve"> Corporación Jurídica (HVCJ), hereinafter referred to as "the petitioning party". The parties have decided to enter into this Friendly Settlement Agreement </w:t>
      </w:r>
      <w:proofErr w:type="gramStart"/>
      <w:r>
        <w:rPr>
          <w:rFonts w:ascii="Cambria" w:hAnsi="Cambria"/>
          <w:sz w:val="18"/>
        </w:rPr>
        <w:t>with regard to</w:t>
      </w:r>
      <w:proofErr w:type="gramEnd"/>
      <w:r>
        <w:rPr>
          <w:rFonts w:ascii="Cambria" w:hAnsi="Cambria"/>
          <w:sz w:val="18"/>
        </w:rPr>
        <w:t xml:space="preserve"> Case 11.990 B Jhon Jairo Cabarique, pending before the Inter-American Commission on Human Rights.</w:t>
      </w:r>
    </w:p>
    <w:p w14:paraId="6AA4C579" w14:textId="77777777" w:rsidR="00674DB5" w:rsidRPr="007F1EB5" w:rsidRDefault="00674DB5" w:rsidP="00674DB5">
      <w:pPr>
        <w:pStyle w:val="Heading3"/>
        <w:spacing w:before="0"/>
        <w:ind w:left="720" w:right="713"/>
        <w:jc w:val="both"/>
        <w:rPr>
          <w:rFonts w:ascii="Cambria" w:hAnsi="Cambria"/>
          <w:sz w:val="18"/>
          <w:szCs w:val="18"/>
        </w:rPr>
      </w:pPr>
    </w:p>
    <w:p w14:paraId="4E38A66C" w14:textId="77777777" w:rsidR="00674DB5" w:rsidRPr="00674DB5" w:rsidRDefault="00674DB5" w:rsidP="00674DB5">
      <w:pPr>
        <w:pStyle w:val="Heading3"/>
        <w:spacing w:before="0"/>
        <w:ind w:left="720" w:right="720"/>
        <w:rPr>
          <w:rFonts w:ascii="Cambria" w:hAnsi="Cambria"/>
          <w:b/>
          <w:bCs/>
          <w:color w:val="000000" w:themeColor="text1"/>
          <w:spacing w:val="-2"/>
          <w:sz w:val="18"/>
          <w:szCs w:val="18"/>
        </w:rPr>
      </w:pPr>
      <w:r>
        <w:rPr>
          <w:rFonts w:ascii="Cambria" w:hAnsi="Cambria"/>
          <w:b/>
          <w:color w:val="000000" w:themeColor="text1"/>
          <w:sz w:val="18"/>
        </w:rPr>
        <w:t>PART ONE: DEFINITIONS</w:t>
      </w:r>
    </w:p>
    <w:p w14:paraId="6E55538D" w14:textId="77777777" w:rsidR="00674DB5" w:rsidRPr="007F1EB5" w:rsidRDefault="00674DB5" w:rsidP="00674DB5">
      <w:pPr>
        <w:ind w:left="720"/>
        <w:rPr>
          <w:rFonts w:ascii="Cambria" w:hAnsi="Cambria"/>
          <w:sz w:val="18"/>
          <w:szCs w:val="18"/>
        </w:rPr>
      </w:pPr>
    </w:p>
    <w:p w14:paraId="5A732BA7" w14:textId="77777777" w:rsidR="00674DB5" w:rsidRPr="00206DB4"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rPr>
      </w:pPr>
      <w:r>
        <w:rPr>
          <w:rFonts w:ascii="Cambria" w:hAnsi="Cambria"/>
          <w:b/>
          <w:sz w:val="18"/>
          <w:u w:val="single"/>
          <w:bdr w:val="none" w:sz="0" w:space="0" w:color="auto"/>
        </w:rPr>
        <w:t>IACHR or Inter-American Commission:</w:t>
      </w:r>
      <w:r>
        <w:rPr>
          <w:rFonts w:ascii="Cambria" w:hAnsi="Cambria"/>
          <w:b/>
          <w:sz w:val="18"/>
          <w:bdr w:val="none" w:sz="0" w:space="0" w:color="auto"/>
        </w:rPr>
        <w:t xml:space="preserve"> </w:t>
      </w:r>
      <w:r>
        <w:rPr>
          <w:rFonts w:ascii="Cambria" w:hAnsi="Cambria"/>
          <w:sz w:val="18"/>
          <w:bdr w:val="none" w:sz="0" w:space="0" w:color="auto"/>
        </w:rPr>
        <w:t>Inter-American Commission on Human Rights.</w:t>
      </w:r>
    </w:p>
    <w:p w14:paraId="0F5E8102" w14:textId="77777777" w:rsidR="00674DB5" w:rsidRPr="007F1EB5"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rPr>
      </w:pPr>
    </w:p>
    <w:p w14:paraId="3787ED50" w14:textId="743BAD17" w:rsidR="00674DB5" w:rsidRPr="00206DB4"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rPr>
      </w:pPr>
      <w:r>
        <w:rPr>
          <w:rFonts w:ascii="Cambria" w:hAnsi="Cambria"/>
          <w:b/>
          <w:sz w:val="18"/>
          <w:u w:val="single"/>
          <w:bdr w:val="none" w:sz="0" w:space="0" w:color="auto"/>
        </w:rPr>
        <w:t xml:space="preserve">Moral </w:t>
      </w:r>
      <w:proofErr w:type="gramStart"/>
      <w:r>
        <w:rPr>
          <w:rFonts w:ascii="Cambria" w:hAnsi="Cambria"/>
          <w:b/>
          <w:sz w:val="18"/>
          <w:u w:val="single"/>
          <w:bdr w:val="none" w:sz="0" w:space="0" w:color="auto"/>
        </w:rPr>
        <w:t>damages</w:t>
      </w:r>
      <w:proofErr w:type="gramEnd"/>
      <w:r>
        <w:rPr>
          <w:rFonts w:ascii="Cambria" w:hAnsi="Cambria"/>
          <w:b/>
          <w:sz w:val="18"/>
          <w:u w:val="single"/>
          <w:bdr w:val="none" w:sz="0" w:space="0" w:color="auto"/>
        </w:rPr>
        <w:t>:</w:t>
      </w:r>
      <w:r>
        <w:rPr>
          <w:rFonts w:ascii="Cambria" w:hAnsi="Cambria"/>
          <w:b/>
          <w:sz w:val="18"/>
          <w:bdr w:val="none" w:sz="0" w:space="0" w:color="auto"/>
        </w:rPr>
        <w:t xml:space="preserve"> </w:t>
      </w:r>
      <w:r w:rsidR="00533F20" w:rsidRPr="00E75013">
        <w:rPr>
          <w:rFonts w:ascii="Cambria" w:hAnsi="Cambria"/>
          <w:bCs/>
          <w:sz w:val="18"/>
          <w:bdr w:val="none" w:sz="0" w:space="0" w:color="auto"/>
        </w:rPr>
        <w:t>Harmful</w:t>
      </w:r>
      <w:r w:rsidR="00533F20">
        <w:rPr>
          <w:rFonts w:ascii="Cambria" w:hAnsi="Cambria"/>
          <w:b/>
          <w:sz w:val="18"/>
          <w:bdr w:val="none" w:sz="0" w:space="0" w:color="auto"/>
        </w:rPr>
        <w:t xml:space="preserve"> </w:t>
      </w:r>
      <w:r w:rsidR="00533F20">
        <w:rPr>
          <w:rFonts w:ascii="Cambria" w:hAnsi="Cambria"/>
          <w:sz w:val="18"/>
          <w:bdr w:val="none" w:sz="0" w:space="0" w:color="auto"/>
        </w:rPr>
        <w:t xml:space="preserve">effects </w:t>
      </w:r>
      <w:r>
        <w:rPr>
          <w:rFonts w:ascii="Cambria" w:hAnsi="Cambria"/>
          <w:sz w:val="18"/>
          <w:bdr w:val="none" w:sz="0" w:space="0" w:color="auto"/>
        </w:rPr>
        <w:t xml:space="preserve">of the facts of the case </w:t>
      </w:r>
      <w:r w:rsidR="00875FE4">
        <w:rPr>
          <w:rFonts w:ascii="Cambria" w:hAnsi="Cambria"/>
          <w:sz w:val="18"/>
          <w:bdr w:val="none" w:sz="0" w:space="0" w:color="auto"/>
        </w:rPr>
        <w:t xml:space="preserve">not economic or property-related in nature </w:t>
      </w:r>
      <w:r>
        <w:rPr>
          <w:rFonts w:ascii="Cambria" w:hAnsi="Cambria"/>
          <w:sz w:val="18"/>
          <w:bdr w:val="none" w:sz="0" w:space="0" w:color="auto"/>
        </w:rPr>
        <w:t>that result in the pain, affliction, sadness, distress, and anxiety of the victims.</w:t>
      </w:r>
    </w:p>
    <w:p w14:paraId="74A7E9C1" w14:textId="77777777" w:rsidR="00674DB5" w:rsidRPr="007F1EB5"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rPr>
      </w:pPr>
    </w:p>
    <w:p w14:paraId="68BF8D31" w14:textId="77777777" w:rsidR="00674DB5" w:rsidRPr="00206DB4"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hAnsi="Cambria"/>
          <w:sz w:val="18"/>
          <w:szCs w:val="18"/>
          <w:bdr w:val="none" w:sz="0" w:space="0" w:color="auto"/>
        </w:rPr>
      </w:pPr>
      <w:r>
        <w:rPr>
          <w:rFonts w:ascii="Cambria" w:hAnsi="Cambria"/>
          <w:b/>
          <w:sz w:val="18"/>
          <w:u w:val="single"/>
          <w:bdr w:val="none" w:sz="0" w:space="0" w:color="auto"/>
        </w:rPr>
        <w:t>Non-material damage:</w:t>
      </w:r>
      <w:r>
        <w:rPr>
          <w:rFonts w:ascii="Cambria" w:hAnsi="Cambria"/>
          <w:b/>
          <w:sz w:val="18"/>
          <w:bdr w:val="none" w:sz="0" w:space="0" w:color="auto"/>
        </w:rPr>
        <w:t xml:space="preserve"> </w:t>
      </w:r>
      <w:r>
        <w:rPr>
          <w:rFonts w:ascii="Cambria" w:hAnsi="Cambria"/>
          <w:sz w:val="18"/>
          <w:bdr w:val="none" w:sz="0" w:space="0" w:color="auto"/>
        </w:rPr>
        <w:t>Includes both the suffering and affliction caused to the victims, the impairment of values of great importance to the persons concerned, as well as alterations, of a non-pecuniary nature, in the living conditions of the victim or his family.</w:t>
      </w:r>
    </w:p>
    <w:p w14:paraId="17988937" w14:textId="77777777" w:rsidR="00674DB5" w:rsidRPr="007F1EB5"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b/>
          <w:bCs/>
          <w:sz w:val="18"/>
          <w:szCs w:val="18"/>
          <w:u w:val="single"/>
          <w:bdr w:val="none" w:sz="0" w:space="0" w:color="auto"/>
        </w:rPr>
      </w:pPr>
    </w:p>
    <w:p w14:paraId="51D4B27C" w14:textId="77777777" w:rsidR="00674DB5" w:rsidRPr="00206DB4"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rPr>
      </w:pPr>
      <w:r>
        <w:rPr>
          <w:rFonts w:ascii="Cambria" w:hAnsi="Cambria"/>
          <w:b/>
          <w:sz w:val="18"/>
          <w:u w:val="single"/>
          <w:bdr w:val="none" w:sz="0" w:space="0" w:color="auto"/>
        </w:rPr>
        <w:t>State or Colombian State:</w:t>
      </w:r>
      <w:r>
        <w:rPr>
          <w:rFonts w:ascii="Cambria" w:hAnsi="Cambria"/>
          <w:b/>
          <w:sz w:val="18"/>
          <w:bdr w:val="none" w:sz="0" w:space="0" w:color="auto"/>
        </w:rPr>
        <w:t xml:space="preserve"> </w:t>
      </w:r>
      <w:r>
        <w:rPr>
          <w:rFonts w:ascii="Cambria" w:hAnsi="Cambria"/>
          <w:sz w:val="18"/>
          <w:bdr w:val="none" w:sz="0" w:space="0" w:color="auto"/>
        </w:rPr>
        <w:t>In accordance with Public International Law, the State is understood to be the entity that has agreed to abide by the American Convention on Human Rights, hereinafter the “American Convention” or “ACHR.”</w:t>
      </w:r>
    </w:p>
    <w:p w14:paraId="67D01F07" w14:textId="77777777" w:rsidR="00674DB5" w:rsidRPr="007F1EB5" w:rsidRDefault="00674DB5" w:rsidP="00674DB5">
      <w:pPr>
        <w:pStyle w:val="BodyText"/>
        <w:spacing w:after="0"/>
        <w:ind w:right="720"/>
        <w:jc w:val="both"/>
        <w:rPr>
          <w:rFonts w:ascii="Cambria" w:hAnsi="Cambria"/>
          <w:b/>
          <w:bCs/>
          <w:sz w:val="18"/>
          <w:szCs w:val="18"/>
          <w:u w:val="single" w:color="131313"/>
        </w:rPr>
      </w:pPr>
    </w:p>
    <w:p w14:paraId="36434388" w14:textId="77777777" w:rsidR="00674DB5" w:rsidRPr="007F1EB5" w:rsidRDefault="00674DB5" w:rsidP="00674DB5">
      <w:pPr>
        <w:pStyle w:val="BodyText"/>
        <w:spacing w:after="0"/>
        <w:ind w:left="720" w:right="720"/>
        <w:jc w:val="both"/>
        <w:rPr>
          <w:rFonts w:ascii="Cambria" w:hAnsi="Cambria"/>
          <w:sz w:val="18"/>
          <w:szCs w:val="18"/>
          <w:lang w:val="es-VE"/>
        </w:rPr>
      </w:pPr>
      <w:r w:rsidRPr="007F1EB5">
        <w:rPr>
          <w:rFonts w:ascii="Cambria" w:hAnsi="Cambria"/>
          <w:b/>
          <w:sz w:val="18"/>
          <w:u w:val="single" w:color="131313"/>
          <w:lang w:val="es-VE"/>
        </w:rPr>
        <w:t xml:space="preserve">The </w:t>
      </w:r>
      <w:proofErr w:type="spellStart"/>
      <w:r w:rsidRPr="007F1EB5">
        <w:rPr>
          <w:rFonts w:ascii="Cambria" w:hAnsi="Cambria"/>
          <w:b/>
          <w:sz w:val="18"/>
          <w:u w:val="single" w:color="131313"/>
          <w:lang w:val="es-VE"/>
        </w:rPr>
        <w:t>Petitioning</w:t>
      </w:r>
      <w:proofErr w:type="spellEnd"/>
      <w:r w:rsidRPr="007F1EB5">
        <w:rPr>
          <w:rFonts w:ascii="Cambria" w:hAnsi="Cambria"/>
          <w:b/>
          <w:sz w:val="18"/>
          <w:u w:val="single" w:color="131313"/>
          <w:lang w:val="es-VE"/>
        </w:rPr>
        <w:t xml:space="preserve"> </w:t>
      </w:r>
      <w:proofErr w:type="spellStart"/>
      <w:r w:rsidRPr="007F1EB5">
        <w:rPr>
          <w:rFonts w:ascii="Cambria" w:hAnsi="Cambria"/>
          <w:b/>
          <w:sz w:val="18"/>
          <w:u w:val="single" w:color="131313"/>
          <w:lang w:val="es-VE"/>
        </w:rPr>
        <w:t>Party</w:t>
      </w:r>
      <w:proofErr w:type="spellEnd"/>
      <w:r w:rsidRPr="007F1EB5">
        <w:rPr>
          <w:rFonts w:ascii="Cambria" w:hAnsi="Cambria"/>
          <w:b/>
          <w:sz w:val="18"/>
          <w:u w:val="single" w:color="131313"/>
          <w:lang w:val="es-VE"/>
        </w:rPr>
        <w:t>:</w:t>
      </w:r>
      <w:r w:rsidRPr="007F1EB5">
        <w:rPr>
          <w:rFonts w:ascii="Cambria" w:hAnsi="Cambria"/>
          <w:sz w:val="18"/>
          <w:lang w:val="es-VE"/>
        </w:rPr>
        <w:t xml:space="preserve"> Colectivo de </w:t>
      </w:r>
      <w:proofErr w:type="gramStart"/>
      <w:r w:rsidRPr="007F1EB5">
        <w:rPr>
          <w:rFonts w:ascii="Cambria" w:hAnsi="Cambria"/>
          <w:sz w:val="18"/>
          <w:lang w:val="es-VE"/>
        </w:rPr>
        <w:t>Abogados y Abogadas</w:t>
      </w:r>
      <w:proofErr w:type="gramEnd"/>
      <w:r w:rsidRPr="007F1EB5">
        <w:rPr>
          <w:rFonts w:ascii="Cambria" w:hAnsi="Cambria"/>
          <w:sz w:val="18"/>
          <w:lang w:val="es-VE"/>
        </w:rPr>
        <w:t xml:space="preserve"> "José Alvear Restrepo" (CAJAR) and Humanidad Vigente Corporación Jurídica (HVCJ).</w:t>
      </w:r>
    </w:p>
    <w:p w14:paraId="4D829923" w14:textId="77777777" w:rsidR="00674DB5" w:rsidRPr="00206DB4" w:rsidRDefault="00674DB5" w:rsidP="00674DB5">
      <w:pPr>
        <w:pStyle w:val="BodyText"/>
        <w:spacing w:after="0"/>
        <w:ind w:left="720" w:right="720"/>
        <w:jc w:val="both"/>
        <w:rPr>
          <w:rFonts w:ascii="Cambria" w:hAnsi="Cambria"/>
          <w:sz w:val="18"/>
          <w:szCs w:val="18"/>
          <w:lang w:val="es-AR"/>
        </w:rPr>
      </w:pPr>
    </w:p>
    <w:p w14:paraId="2639C0AA" w14:textId="6A2ECA9E" w:rsidR="00674DB5" w:rsidRPr="00206DB4" w:rsidRDefault="00674DB5" w:rsidP="00674DB5">
      <w:pPr>
        <w:pStyle w:val="BodyText"/>
        <w:spacing w:after="0"/>
        <w:ind w:left="720" w:right="720"/>
        <w:jc w:val="both"/>
        <w:rPr>
          <w:rFonts w:ascii="Cambria" w:hAnsi="Cambria"/>
          <w:sz w:val="18"/>
          <w:szCs w:val="18"/>
        </w:rPr>
      </w:pPr>
      <w:r>
        <w:rPr>
          <w:rFonts w:ascii="Cambria" w:hAnsi="Cambria"/>
          <w:b/>
          <w:sz w:val="18"/>
          <w:u w:val="single" w:color="1C1C1C"/>
        </w:rPr>
        <w:t>Satisfaction measures:</w:t>
      </w:r>
      <w:r>
        <w:rPr>
          <w:rFonts w:ascii="Cambria" w:hAnsi="Cambria"/>
          <w:sz w:val="18"/>
        </w:rPr>
        <w:t xml:space="preserve"> Non-pecuniary measures that are intended to </w:t>
      </w:r>
      <w:r w:rsidR="00D15A30">
        <w:rPr>
          <w:rFonts w:ascii="Cambria" w:hAnsi="Cambria"/>
          <w:sz w:val="18"/>
        </w:rPr>
        <w:t xml:space="preserve">ensure the </w:t>
      </w:r>
      <w:r>
        <w:rPr>
          <w:rFonts w:ascii="Cambria" w:hAnsi="Cambria"/>
          <w:sz w:val="18"/>
        </w:rPr>
        <w:t>recover</w:t>
      </w:r>
      <w:r w:rsidR="004D66D2">
        <w:rPr>
          <w:rFonts w:ascii="Cambria" w:hAnsi="Cambria"/>
          <w:sz w:val="18"/>
        </w:rPr>
        <w:t>y of the victims</w:t>
      </w:r>
      <w:r>
        <w:rPr>
          <w:rFonts w:ascii="Cambria" w:hAnsi="Cambria"/>
          <w:sz w:val="18"/>
        </w:rPr>
        <w:t xml:space="preserve"> from the harm </w:t>
      </w:r>
      <w:r w:rsidR="004D66D2">
        <w:rPr>
          <w:rFonts w:ascii="Cambria" w:hAnsi="Cambria"/>
          <w:sz w:val="18"/>
        </w:rPr>
        <w:t xml:space="preserve">caused </w:t>
      </w:r>
      <w:r>
        <w:rPr>
          <w:rFonts w:ascii="Cambria" w:hAnsi="Cambria"/>
          <w:sz w:val="18"/>
        </w:rPr>
        <w:t xml:space="preserve">to them. Measures of this kind </w:t>
      </w:r>
      <w:r w:rsidR="004D66D2">
        <w:rPr>
          <w:rFonts w:ascii="Cambria" w:hAnsi="Cambria"/>
          <w:sz w:val="18"/>
        </w:rPr>
        <w:t>include</w:t>
      </w:r>
      <w:r>
        <w:rPr>
          <w:rFonts w:ascii="Cambria" w:hAnsi="Cambria"/>
          <w:sz w:val="18"/>
        </w:rPr>
        <w:t xml:space="preserve"> public knowledge of the truth and acts of </w:t>
      </w:r>
      <w:r w:rsidR="0029529D">
        <w:rPr>
          <w:rFonts w:ascii="Cambria" w:hAnsi="Cambria"/>
          <w:sz w:val="18"/>
        </w:rPr>
        <w:t>reparation</w:t>
      </w:r>
      <w:r>
        <w:rPr>
          <w:rFonts w:ascii="Cambria" w:hAnsi="Cambria"/>
          <w:sz w:val="18"/>
        </w:rPr>
        <w:t>.</w:t>
      </w:r>
    </w:p>
    <w:p w14:paraId="10A0F148" w14:textId="77777777" w:rsidR="00674DB5" w:rsidRPr="007F1EB5" w:rsidRDefault="00674DB5" w:rsidP="00674DB5">
      <w:pPr>
        <w:pStyle w:val="BodyText"/>
        <w:spacing w:after="0"/>
        <w:ind w:left="720" w:right="720"/>
        <w:jc w:val="both"/>
        <w:rPr>
          <w:rFonts w:ascii="Cambria" w:hAnsi="Cambria"/>
          <w:sz w:val="18"/>
          <w:szCs w:val="18"/>
        </w:rPr>
      </w:pPr>
    </w:p>
    <w:p w14:paraId="0955217D" w14:textId="77777777" w:rsidR="00674DB5" w:rsidRPr="00206DB4" w:rsidRDefault="00674DB5" w:rsidP="00674DB5">
      <w:pPr>
        <w:pStyle w:val="BodyText"/>
        <w:spacing w:after="0"/>
        <w:ind w:left="720" w:right="720"/>
        <w:jc w:val="both"/>
        <w:rPr>
          <w:rFonts w:ascii="Cambria" w:hAnsi="Cambria"/>
          <w:spacing w:val="-2"/>
          <w:sz w:val="18"/>
          <w:szCs w:val="18"/>
        </w:rPr>
      </w:pPr>
      <w:r>
        <w:rPr>
          <w:rFonts w:ascii="Cambria" w:hAnsi="Cambria"/>
          <w:b/>
          <w:sz w:val="18"/>
          <w:u w:val="single" w:color="1C1C1C"/>
        </w:rPr>
        <w:t>Parties:</w:t>
      </w:r>
      <w:r>
        <w:rPr>
          <w:rFonts w:ascii="Cambria" w:hAnsi="Cambria"/>
          <w:sz w:val="18"/>
        </w:rPr>
        <w:t xml:space="preserve"> State of Colombia, family members of Jhon Jairo Cabarique, and the petitioning party.</w:t>
      </w:r>
    </w:p>
    <w:p w14:paraId="21F27315" w14:textId="77777777" w:rsidR="00674DB5" w:rsidRPr="007F1EB5" w:rsidRDefault="00674DB5" w:rsidP="00674DB5">
      <w:pPr>
        <w:pStyle w:val="BodyText"/>
        <w:spacing w:after="0"/>
        <w:ind w:left="720" w:right="720"/>
        <w:jc w:val="both"/>
        <w:rPr>
          <w:rFonts w:ascii="Cambria" w:hAnsi="Cambria"/>
          <w:spacing w:val="-2"/>
          <w:sz w:val="18"/>
          <w:szCs w:val="18"/>
        </w:rPr>
      </w:pPr>
    </w:p>
    <w:p w14:paraId="6D35A8B8" w14:textId="2020069D" w:rsidR="00674DB5" w:rsidRPr="00206DB4" w:rsidRDefault="00674DB5" w:rsidP="00674DB5">
      <w:pPr>
        <w:ind w:left="720" w:right="720"/>
        <w:jc w:val="both"/>
        <w:rPr>
          <w:rFonts w:ascii="Cambria" w:hAnsi="Cambria"/>
          <w:sz w:val="18"/>
          <w:szCs w:val="18"/>
        </w:rPr>
      </w:pPr>
      <w:r>
        <w:rPr>
          <w:rFonts w:ascii="Cambria" w:hAnsi="Cambria"/>
          <w:b/>
          <w:sz w:val="18"/>
          <w:u w:val="single" w:color="131313"/>
        </w:rPr>
        <w:lastRenderedPageBreak/>
        <w:t>Acknowledgement of responsibility:</w:t>
      </w:r>
      <w:r>
        <w:rPr>
          <w:rFonts w:ascii="Cambria" w:hAnsi="Cambria"/>
          <w:sz w:val="18"/>
        </w:rPr>
        <w:t xml:space="preserve"> Acceptance of the </w:t>
      </w:r>
      <w:r w:rsidR="000B2A74">
        <w:rPr>
          <w:rFonts w:ascii="Cambria" w:hAnsi="Cambria"/>
          <w:sz w:val="18"/>
        </w:rPr>
        <w:t xml:space="preserve">actions </w:t>
      </w:r>
      <w:r>
        <w:rPr>
          <w:rFonts w:ascii="Cambria" w:hAnsi="Cambria"/>
          <w:sz w:val="18"/>
        </w:rPr>
        <w:t>and omissions attributed to the State that violate one or more of its obligations under international human rights law.</w:t>
      </w:r>
    </w:p>
    <w:p w14:paraId="3E968E9C" w14:textId="77777777" w:rsidR="00674DB5" w:rsidRPr="007F1EB5" w:rsidRDefault="00674DB5" w:rsidP="00674DB5">
      <w:pPr>
        <w:ind w:right="720"/>
        <w:jc w:val="both"/>
        <w:rPr>
          <w:rFonts w:ascii="Cambria" w:hAnsi="Cambria"/>
          <w:sz w:val="18"/>
          <w:szCs w:val="18"/>
        </w:rPr>
      </w:pPr>
    </w:p>
    <w:p w14:paraId="30E9C293" w14:textId="2F69DBE9" w:rsidR="00674DB5" w:rsidRPr="00206DB4"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rPr>
      </w:pPr>
      <w:r>
        <w:rPr>
          <w:rFonts w:ascii="Cambria" w:hAnsi="Cambria"/>
          <w:b/>
          <w:sz w:val="18"/>
          <w:u w:val="single"/>
          <w:bdr w:val="none" w:sz="0" w:space="0" w:color="auto"/>
        </w:rPr>
        <w:t>Comprehensive reparation:</w:t>
      </w:r>
      <w:r>
        <w:rPr>
          <w:rFonts w:ascii="Cambria" w:hAnsi="Cambria"/>
          <w:b/>
          <w:sz w:val="18"/>
          <w:bdr w:val="none" w:sz="0" w:space="0" w:color="auto"/>
        </w:rPr>
        <w:t xml:space="preserve"> </w:t>
      </w:r>
      <w:r>
        <w:rPr>
          <w:rFonts w:ascii="Cambria" w:hAnsi="Cambria"/>
          <w:sz w:val="18"/>
          <w:bdr w:val="none" w:sz="0" w:space="0" w:color="auto"/>
        </w:rPr>
        <w:t xml:space="preserve">All measures </w:t>
      </w:r>
      <w:r w:rsidR="00F53BA5">
        <w:rPr>
          <w:rFonts w:ascii="Cambria" w:hAnsi="Cambria"/>
          <w:sz w:val="18"/>
          <w:bdr w:val="none" w:sz="0" w:space="0" w:color="auto"/>
        </w:rPr>
        <w:t xml:space="preserve">aimed </w:t>
      </w:r>
      <w:r>
        <w:rPr>
          <w:rFonts w:ascii="Cambria" w:hAnsi="Cambria"/>
          <w:sz w:val="18"/>
          <w:bdr w:val="none" w:sz="0" w:space="0" w:color="auto"/>
        </w:rPr>
        <w:t xml:space="preserve">to restore the dignity and rights of the victims and their families affected by human rights violations, through actions of cessation, satisfaction, rehabilitation, restitution, compensation, and non-repetition. </w:t>
      </w:r>
    </w:p>
    <w:p w14:paraId="12DA5B52" w14:textId="77777777" w:rsidR="00674DB5" w:rsidRPr="007F1EB5" w:rsidRDefault="00674DB5" w:rsidP="00674DB5">
      <w:pPr>
        <w:ind w:right="720"/>
        <w:jc w:val="both"/>
        <w:rPr>
          <w:rFonts w:ascii="Cambria" w:hAnsi="Cambria"/>
          <w:w w:val="105"/>
          <w:sz w:val="18"/>
          <w:szCs w:val="18"/>
        </w:rPr>
      </w:pPr>
    </w:p>
    <w:p w14:paraId="5DEE0B10" w14:textId="0B264148" w:rsidR="00674DB5" w:rsidRPr="00206DB4"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rPr>
      </w:pPr>
      <w:r>
        <w:rPr>
          <w:rFonts w:ascii="Cambria" w:hAnsi="Cambria"/>
          <w:b/>
          <w:sz w:val="18"/>
          <w:u w:val="single"/>
          <w:bdr w:val="none" w:sz="0" w:space="0" w:color="auto"/>
        </w:rPr>
        <w:t>Friendly Settlement:</w:t>
      </w:r>
      <w:r>
        <w:rPr>
          <w:rFonts w:ascii="Cambria" w:hAnsi="Cambria"/>
          <w:b/>
          <w:sz w:val="18"/>
          <w:bdr w:val="none" w:sz="0" w:space="0" w:color="auto"/>
        </w:rPr>
        <w:t xml:space="preserve"> </w:t>
      </w:r>
      <w:r>
        <w:rPr>
          <w:rFonts w:ascii="Cambria" w:hAnsi="Cambria"/>
          <w:sz w:val="18"/>
          <w:bdr w:val="none" w:sz="0" w:space="0" w:color="auto"/>
        </w:rPr>
        <w:t>Alternative dispute resolution mechanism used for peaceful and consensual settlement before the Inter-American Commission on Human</w:t>
      </w:r>
      <w:r w:rsidR="002629F2">
        <w:rPr>
          <w:rFonts w:ascii="Cambria" w:hAnsi="Cambria"/>
          <w:sz w:val="18"/>
          <w:bdr w:val="none" w:sz="0" w:space="0" w:color="auto"/>
        </w:rPr>
        <w:t xml:space="preserve"> Rights</w:t>
      </w:r>
      <w:r>
        <w:rPr>
          <w:rFonts w:ascii="Cambria" w:hAnsi="Cambria"/>
          <w:sz w:val="18"/>
          <w:bdr w:val="none" w:sz="0" w:space="0" w:color="auto"/>
        </w:rPr>
        <w:t>, through the individual petition system.</w:t>
      </w:r>
    </w:p>
    <w:p w14:paraId="102B6073" w14:textId="77777777" w:rsidR="00674DB5" w:rsidRPr="007F1EB5" w:rsidRDefault="00674DB5" w:rsidP="00674DB5">
      <w:pPr>
        <w:ind w:left="810" w:right="720" w:hanging="90"/>
        <w:jc w:val="both"/>
        <w:rPr>
          <w:rFonts w:ascii="Cambria" w:hAnsi="Cambria"/>
          <w:sz w:val="18"/>
          <w:szCs w:val="18"/>
        </w:rPr>
      </w:pPr>
    </w:p>
    <w:p w14:paraId="6B1FC403" w14:textId="77777777" w:rsidR="00674DB5" w:rsidRPr="00206DB4"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13"/>
        <w:jc w:val="both"/>
        <w:rPr>
          <w:rFonts w:ascii="Cambria" w:eastAsia="Calibri" w:hAnsi="Cambria"/>
          <w:sz w:val="18"/>
          <w:szCs w:val="18"/>
          <w:bdr w:val="none" w:sz="0" w:space="0" w:color="auto"/>
        </w:rPr>
      </w:pPr>
      <w:r>
        <w:rPr>
          <w:rFonts w:ascii="Cambria" w:hAnsi="Cambria"/>
          <w:b/>
          <w:sz w:val="18"/>
          <w:u w:val="single" w:color="131313"/>
        </w:rPr>
        <w:t>Victims:</w:t>
      </w:r>
      <w:r>
        <w:rPr>
          <w:rFonts w:ascii="Cambria" w:hAnsi="Cambria"/>
          <w:b/>
          <w:sz w:val="18"/>
        </w:rPr>
        <w:t xml:space="preserve"> </w:t>
      </w:r>
      <w:r>
        <w:rPr>
          <w:rFonts w:ascii="Cambria" w:hAnsi="Cambria"/>
          <w:sz w:val="18"/>
          <w:bdr w:val="none" w:sz="0" w:space="0" w:color="auto"/>
        </w:rPr>
        <w:t xml:space="preserve">Jhon Jairo </w:t>
      </w:r>
      <w:proofErr w:type="spellStart"/>
      <w:r>
        <w:rPr>
          <w:rFonts w:ascii="Cambria" w:hAnsi="Cambria"/>
          <w:sz w:val="18"/>
          <w:bdr w:val="none" w:sz="0" w:space="0" w:color="auto"/>
        </w:rPr>
        <w:t>Cabarique</w:t>
      </w:r>
      <w:proofErr w:type="spellEnd"/>
      <w:r>
        <w:rPr>
          <w:rFonts w:ascii="Cambria" w:hAnsi="Cambria"/>
          <w:sz w:val="18"/>
          <w:bdr w:val="none" w:sz="0" w:space="0" w:color="auto"/>
        </w:rPr>
        <w:t xml:space="preserve"> and members of his family.</w:t>
      </w:r>
    </w:p>
    <w:p w14:paraId="3CAF95AF" w14:textId="77777777" w:rsidR="00674DB5" w:rsidRPr="007F1EB5" w:rsidRDefault="00674DB5" w:rsidP="00674DB5">
      <w:pPr>
        <w:ind w:right="720"/>
        <w:jc w:val="both"/>
        <w:rPr>
          <w:rFonts w:ascii="Cambria" w:hAnsi="Cambria"/>
          <w:sz w:val="18"/>
          <w:szCs w:val="18"/>
        </w:rPr>
      </w:pPr>
    </w:p>
    <w:p w14:paraId="370E384F" w14:textId="77777777" w:rsidR="00674DB5" w:rsidRPr="00674DB5" w:rsidRDefault="00674DB5" w:rsidP="00674DB5">
      <w:pPr>
        <w:pStyle w:val="Heading2"/>
        <w:spacing w:before="0"/>
        <w:ind w:left="709" w:right="720" w:firstLine="11"/>
        <w:jc w:val="both"/>
        <w:rPr>
          <w:rFonts w:ascii="Cambria" w:hAnsi="Cambria"/>
          <w:b/>
          <w:bCs/>
          <w:i/>
          <w:iCs/>
          <w:color w:val="000000" w:themeColor="text1"/>
          <w:sz w:val="18"/>
          <w:szCs w:val="18"/>
        </w:rPr>
      </w:pPr>
      <w:r>
        <w:rPr>
          <w:rFonts w:ascii="Cambria" w:hAnsi="Cambria"/>
          <w:b/>
          <w:color w:val="000000" w:themeColor="text1"/>
          <w:sz w:val="18"/>
        </w:rPr>
        <w:t>PART TWO: BACKGROUND IN THE INTER-AMERICAN HUMAN RIGHTS SYSTEM.</w:t>
      </w:r>
    </w:p>
    <w:p w14:paraId="37931175" w14:textId="77777777" w:rsidR="00674DB5" w:rsidRPr="007F1EB5" w:rsidRDefault="00674DB5" w:rsidP="00674DB5">
      <w:pPr>
        <w:rPr>
          <w:rFonts w:ascii="Cambria" w:hAnsi="Cambria"/>
          <w:sz w:val="18"/>
          <w:szCs w:val="18"/>
        </w:rPr>
      </w:pPr>
    </w:p>
    <w:p w14:paraId="2011786B" w14:textId="2908EC58" w:rsidR="00674DB5" w:rsidRPr="00206DB4" w:rsidRDefault="00674DB5" w:rsidP="00F32864">
      <w:pPr>
        <w:pStyle w:val="ListParagraph"/>
        <w:numPr>
          <w:ilvl w:val="0"/>
          <w:numId w:val="62"/>
        </w:numPr>
        <w:tabs>
          <w:tab w:val="left" w:pos="990"/>
        </w:tabs>
        <w:ind w:left="709" w:right="713" w:firstLine="0"/>
        <w:jc w:val="both"/>
        <w:rPr>
          <w:sz w:val="18"/>
          <w:szCs w:val="18"/>
        </w:rPr>
      </w:pPr>
      <w:r>
        <w:rPr>
          <w:sz w:val="18"/>
        </w:rPr>
        <w:t>On May 6, 2015, the Colombian State signed a Friendly Settlement Agreement</w:t>
      </w:r>
      <w:r w:rsidRPr="00206DB4">
        <w:rPr>
          <w:rStyle w:val="FootnoteReference"/>
          <w:sz w:val="18"/>
          <w:szCs w:val="18"/>
          <w:lang w:val="es-AR"/>
        </w:rPr>
        <w:footnoteReference w:id="5"/>
      </w:r>
      <w:r>
        <w:rPr>
          <w:sz w:val="18"/>
        </w:rPr>
        <w:t xml:space="preserve">, in connection with Case 11.990 Oscar Orlando Bueno Bonnet </w:t>
      </w:r>
      <w:r w:rsidR="00202D41">
        <w:rPr>
          <w:sz w:val="18"/>
        </w:rPr>
        <w:t>et. al.</w:t>
      </w:r>
      <w:r>
        <w:rPr>
          <w:sz w:val="18"/>
        </w:rPr>
        <w:t xml:space="preserve">, regarding the events that occurred on January 10, 1997, in which members of the </w:t>
      </w:r>
      <w:r w:rsidR="00E32B0E">
        <w:rPr>
          <w:sz w:val="18"/>
        </w:rPr>
        <w:t>s</w:t>
      </w:r>
      <w:r>
        <w:rPr>
          <w:sz w:val="18"/>
        </w:rPr>
        <w:t xml:space="preserve">ecurity </w:t>
      </w:r>
      <w:r w:rsidR="00E32B0E">
        <w:rPr>
          <w:sz w:val="18"/>
        </w:rPr>
        <w:t>f</w:t>
      </w:r>
      <w:r>
        <w:rPr>
          <w:sz w:val="18"/>
        </w:rPr>
        <w:t xml:space="preserve">orces repeatedly shot and killed </w:t>
      </w:r>
      <w:r w:rsidR="00DF6E6A">
        <w:rPr>
          <w:sz w:val="18"/>
        </w:rPr>
        <w:t xml:space="preserve">the youths </w:t>
      </w:r>
      <w:r>
        <w:rPr>
          <w:sz w:val="18"/>
        </w:rPr>
        <w:t xml:space="preserve">Oscar Orlando Bueno Bonnet, Jhon Jairo Cabarique, and Jefferson González Oquendo, in </w:t>
      </w:r>
      <w:proofErr w:type="spellStart"/>
      <w:r>
        <w:rPr>
          <w:sz w:val="18"/>
        </w:rPr>
        <w:t>Saravena</w:t>
      </w:r>
      <w:proofErr w:type="spellEnd"/>
      <w:r>
        <w:rPr>
          <w:sz w:val="18"/>
        </w:rPr>
        <w:t xml:space="preserve"> (Arauca).</w:t>
      </w:r>
    </w:p>
    <w:p w14:paraId="59455C37" w14:textId="77777777" w:rsidR="00674DB5" w:rsidRPr="007F1EB5" w:rsidRDefault="00674DB5" w:rsidP="00674DB5">
      <w:pPr>
        <w:pStyle w:val="ListParagraph"/>
        <w:tabs>
          <w:tab w:val="left" w:pos="990"/>
        </w:tabs>
        <w:ind w:left="709" w:right="713"/>
        <w:jc w:val="both"/>
        <w:rPr>
          <w:sz w:val="18"/>
          <w:szCs w:val="18"/>
        </w:rPr>
      </w:pPr>
    </w:p>
    <w:p w14:paraId="54EF7E6C" w14:textId="6389E05B" w:rsidR="00674DB5" w:rsidRDefault="00674DB5" w:rsidP="00F32864">
      <w:pPr>
        <w:pStyle w:val="ListParagraph"/>
        <w:numPr>
          <w:ilvl w:val="0"/>
          <w:numId w:val="62"/>
        </w:numPr>
        <w:tabs>
          <w:tab w:val="left" w:pos="990"/>
        </w:tabs>
        <w:ind w:left="709" w:right="713" w:firstLine="0"/>
        <w:jc w:val="both"/>
        <w:rPr>
          <w:sz w:val="18"/>
          <w:szCs w:val="18"/>
        </w:rPr>
      </w:pPr>
      <w:r>
        <w:rPr>
          <w:sz w:val="18"/>
        </w:rPr>
        <w:t xml:space="preserve">The State acknowledged </w:t>
      </w:r>
      <w:r w:rsidR="0047314F">
        <w:rPr>
          <w:sz w:val="18"/>
        </w:rPr>
        <w:t xml:space="preserve">its </w:t>
      </w:r>
      <w:r>
        <w:rPr>
          <w:sz w:val="18"/>
        </w:rPr>
        <w:t xml:space="preserve">international responsibility for the violation of the rights enshrined in Articles 4 (right to life) to the detriment of </w:t>
      </w:r>
      <w:r w:rsidR="00D270D8">
        <w:rPr>
          <w:sz w:val="18"/>
        </w:rPr>
        <w:t xml:space="preserve">youths </w:t>
      </w:r>
      <w:r>
        <w:rPr>
          <w:sz w:val="18"/>
        </w:rPr>
        <w:t xml:space="preserve">Oscar Orlando Bueno Bonnet, Jhon Jairo Cabarique, and Jefferson Oquendo, as well as Articles 5 (right to </w:t>
      </w:r>
      <w:r w:rsidR="00CE0AE6">
        <w:rPr>
          <w:sz w:val="18"/>
        </w:rPr>
        <w:t>humane treatment</w:t>
      </w:r>
      <w:r>
        <w:rPr>
          <w:sz w:val="18"/>
        </w:rPr>
        <w:t xml:space="preserve">), 8 (judicial guarantees), and 25 (judicial protection) to the detriment of the victims and their </w:t>
      </w:r>
      <w:r w:rsidR="00841B5D">
        <w:rPr>
          <w:sz w:val="18"/>
        </w:rPr>
        <w:t>families</w:t>
      </w:r>
      <w:r>
        <w:rPr>
          <w:sz w:val="18"/>
        </w:rPr>
        <w:t>.</w:t>
      </w:r>
    </w:p>
    <w:p w14:paraId="02D1EA47" w14:textId="77777777" w:rsidR="00674DB5" w:rsidRPr="007F1EB5" w:rsidRDefault="00674DB5" w:rsidP="00674DB5">
      <w:pPr>
        <w:pStyle w:val="ListParagraph"/>
        <w:rPr>
          <w:sz w:val="18"/>
          <w:szCs w:val="18"/>
        </w:rPr>
      </w:pPr>
    </w:p>
    <w:p w14:paraId="4A154EA1" w14:textId="3A7C6BF1" w:rsidR="00674DB5" w:rsidRDefault="00674DB5" w:rsidP="00F32864">
      <w:pPr>
        <w:pStyle w:val="ListParagraph"/>
        <w:numPr>
          <w:ilvl w:val="0"/>
          <w:numId w:val="62"/>
        </w:numPr>
        <w:tabs>
          <w:tab w:val="left" w:pos="990"/>
        </w:tabs>
        <w:ind w:left="709" w:right="713" w:firstLine="0"/>
        <w:jc w:val="both"/>
        <w:rPr>
          <w:sz w:val="18"/>
          <w:szCs w:val="18"/>
        </w:rPr>
      </w:pPr>
      <w:r>
        <w:rPr>
          <w:sz w:val="18"/>
        </w:rPr>
        <w:t xml:space="preserve">In 2019, the Inter-American Commission on Human Rights </w:t>
      </w:r>
      <w:r w:rsidR="00D270D8">
        <w:rPr>
          <w:sz w:val="18"/>
        </w:rPr>
        <w:t xml:space="preserve">divided </w:t>
      </w:r>
      <w:r>
        <w:rPr>
          <w:sz w:val="18"/>
        </w:rPr>
        <w:t xml:space="preserve">Case No. 11.990 Oscar Orlando Bueno Bonnet </w:t>
      </w:r>
      <w:r w:rsidR="004850AB">
        <w:rPr>
          <w:sz w:val="18"/>
        </w:rPr>
        <w:t>et al</w:t>
      </w:r>
      <w:r>
        <w:rPr>
          <w:sz w:val="18"/>
        </w:rPr>
        <w:t xml:space="preserve">. into Case No. 11.990 </w:t>
      </w:r>
      <w:proofErr w:type="gramStart"/>
      <w:r>
        <w:rPr>
          <w:sz w:val="18"/>
        </w:rPr>
        <w:t>A</w:t>
      </w:r>
      <w:proofErr w:type="gramEnd"/>
      <w:r>
        <w:rPr>
          <w:sz w:val="18"/>
        </w:rPr>
        <w:t xml:space="preserve"> Oscar Orlando Bueno Bonnet</w:t>
      </w:r>
      <w:r w:rsidR="00E67251">
        <w:rPr>
          <w:sz w:val="18"/>
        </w:rPr>
        <w:t xml:space="preserve"> et al</w:t>
      </w:r>
      <w:r>
        <w:rPr>
          <w:sz w:val="18"/>
        </w:rPr>
        <w:t>. and Case No. 11.990 B Jhon Jairo Cabarique.</w:t>
      </w:r>
    </w:p>
    <w:p w14:paraId="2E76501B" w14:textId="77777777" w:rsidR="00674DB5" w:rsidRPr="007F1EB5" w:rsidRDefault="00674DB5" w:rsidP="00674DB5">
      <w:pPr>
        <w:pStyle w:val="ListParagraph"/>
        <w:rPr>
          <w:sz w:val="18"/>
          <w:szCs w:val="18"/>
        </w:rPr>
      </w:pPr>
    </w:p>
    <w:p w14:paraId="0BEBEF95" w14:textId="5CCE4588" w:rsidR="00674DB5" w:rsidRDefault="00674DB5" w:rsidP="00F32864">
      <w:pPr>
        <w:pStyle w:val="ListParagraph"/>
        <w:numPr>
          <w:ilvl w:val="0"/>
          <w:numId w:val="62"/>
        </w:numPr>
        <w:tabs>
          <w:tab w:val="left" w:pos="990"/>
        </w:tabs>
        <w:ind w:left="709" w:right="713" w:firstLine="0"/>
        <w:jc w:val="both"/>
        <w:rPr>
          <w:sz w:val="18"/>
          <w:szCs w:val="18"/>
        </w:rPr>
      </w:pPr>
      <w:r>
        <w:rPr>
          <w:sz w:val="18"/>
        </w:rPr>
        <w:t xml:space="preserve">In Report No. 34/19 of March 29, 2019, the Inter-American Commission on Human Rights approved the </w:t>
      </w:r>
      <w:r w:rsidR="005A1A26">
        <w:rPr>
          <w:sz w:val="18"/>
        </w:rPr>
        <w:t xml:space="preserve">friendly settlement agreement </w:t>
      </w:r>
      <w:r>
        <w:rPr>
          <w:sz w:val="18"/>
        </w:rPr>
        <w:t xml:space="preserve">reached in Case 11.990 </w:t>
      </w:r>
      <w:proofErr w:type="gramStart"/>
      <w:r>
        <w:rPr>
          <w:sz w:val="18"/>
        </w:rPr>
        <w:t>A</w:t>
      </w:r>
      <w:proofErr w:type="gramEnd"/>
      <w:r>
        <w:rPr>
          <w:sz w:val="18"/>
        </w:rPr>
        <w:t xml:space="preserve"> Oscar Orlando Bueno Bonnet </w:t>
      </w:r>
      <w:r w:rsidR="005A1A26">
        <w:rPr>
          <w:sz w:val="18"/>
        </w:rPr>
        <w:t>et al.</w:t>
      </w:r>
    </w:p>
    <w:p w14:paraId="7552DD73" w14:textId="77777777" w:rsidR="00674DB5" w:rsidRPr="007F1EB5" w:rsidRDefault="00674DB5" w:rsidP="00674DB5">
      <w:pPr>
        <w:pStyle w:val="ListParagraph"/>
        <w:rPr>
          <w:sz w:val="18"/>
          <w:szCs w:val="18"/>
        </w:rPr>
      </w:pPr>
    </w:p>
    <w:p w14:paraId="07067912" w14:textId="77777777" w:rsidR="00674DB5" w:rsidRPr="00206DB4" w:rsidRDefault="00674DB5" w:rsidP="00F32864">
      <w:pPr>
        <w:pStyle w:val="ListParagraph"/>
        <w:numPr>
          <w:ilvl w:val="0"/>
          <w:numId w:val="62"/>
        </w:numPr>
        <w:tabs>
          <w:tab w:val="left" w:pos="990"/>
        </w:tabs>
        <w:ind w:left="709" w:right="713" w:firstLine="0"/>
        <w:jc w:val="both"/>
        <w:rPr>
          <w:sz w:val="18"/>
          <w:szCs w:val="18"/>
        </w:rPr>
      </w:pPr>
      <w:r>
        <w:rPr>
          <w:sz w:val="18"/>
        </w:rPr>
        <w:t>On July 21, 2021, the parties decided to enter into a memorandum of understanding for the search for a friendly settlement agreement in Case 11.990 B Jhon Jairo Cabarique.</w:t>
      </w:r>
    </w:p>
    <w:p w14:paraId="1E5F576C"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rFonts w:ascii="Cambria" w:hAnsi="Cambria"/>
          <w:sz w:val="18"/>
          <w:szCs w:val="18"/>
        </w:rPr>
      </w:pPr>
    </w:p>
    <w:p w14:paraId="4AA98055" w14:textId="77777777" w:rsidR="00674DB5" w:rsidRPr="00206DB4" w:rsidRDefault="00674DB5" w:rsidP="00674DB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10" w:right="720" w:hanging="90"/>
        <w:rPr>
          <w:b/>
          <w:bCs/>
          <w:sz w:val="18"/>
          <w:szCs w:val="18"/>
        </w:rPr>
      </w:pPr>
      <w:r>
        <w:rPr>
          <w:b/>
          <w:sz w:val="18"/>
        </w:rPr>
        <w:t>PART THREE: PROGRESS ON MATTERS OF JUSTICE</w:t>
      </w:r>
    </w:p>
    <w:p w14:paraId="63AD1C43"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rFonts w:ascii="Cambria" w:hAnsi="Cambria"/>
          <w:sz w:val="18"/>
          <w:szCs w:val="18"/>
        </w:rPr>
      </w:pPr>
    </w:p>
    <w:p w14:paraId="032218F3" w14:textId="0E5D9B97" w:rsidR="00674DB5" w:rsidRPr="00206DB4" w:rsidRDefault="00674DB5" w:rsidP="00F32864">
      <w:pPr>
        <w:pStyle w:val="ListParagraph"/>
        <w:widowControl w:val="0"/>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firstLine="0"/>
        <w:jc w:val="both"/>
        <w:rPr>
          <w:sz w:val="18"/>
          <w:szCs w:val="18"/>
        </w:rPr>
      </w:pPr>
      <w:r>
        <w:rPr>
          <w:sz w:val="18"/>
        </w:rPr>
        <w:t>Through Resolution SDSJ No. 2674 of May 31, 2021, the Chamber for the Definition of Legal Situations (SDSJ) (</w:t>
      </w:r>
      <w:r>
        <w:rPr>
          <w:i/>
          <w:iCs/>
          <w:sz w:val="18"/>
        </w:rPr>
        <w:t xml:space="preserve">Sala de </w:t>
      </w:r>
      <w:proofErr w:type="spellStart"/>
      <w:r>
        <w:rPr>
          <w:i/>
          <w:iCs/>
          <w:sz w:val="18"/>
        </w:rPr>
        <w:t>Definición</w:t>
      </w:r>
      <w:proofErr w:type="spellEnd"/>
      <w:r>
        <w:rPr>
          <w:i/>
          <w:iCs/>
          <w:sz w:val="18"/>
        </w:rPr>
        <w:t xml:space="preserve"> de </w:t>
      </w:r>
      <w:proofErr w:type="spellStart"/>
      <w:r>
        <w:rPr>
          <w:i/>
          <w:iCs/>
          <w:sz w:val="18"/>
        </w:rPr>
        <w:t>Situaciones</w:t>
      </w:r>
      <w:proofErr w:type="spellEnd"/>
      <w:r>
        <w:rPr>
          <w:i/>
          <w:iCs/>
          <w:sz w:val="18"/>
        </w:rPr>
        <w:t xml:space="preserve"> </w:t>
      </w:r>
      <w:proofErr w:type="spellStart"/>
      <w:r>
        <w:rPr>
          <w:i/>
          <w:iCs/>
          <w:sz w:val="18"/>
        </w:rPr>
        <w:t>Jurídicas</w:t>
      </w:r>
      <w:proofErr w:type="spellEnd"/>
      <w:r>
        <w:rPr>
          <w:sz w:val="18"/>
        </w:rPr>
        <w:t xml:space="preserve">) of the Special Jurisdiction for Peace accepted the submission to </w:t>
      </w:r>
      <w:r w:rsidR="003C116A">
        <w:rPr>
          <w:sz w:val="18"/>
        </w:rPr>
        <w:t xml:space="preserve">said authority </w:t>
      </w:r>
      <w:r w:rsidR="003A65EB">
        <w:rPr>
          <w:sz w:val="18"/>
        </w:rPr>
        <w:t xml:space="preserve">, </w:t>
      </w:r>
      <w:r w:rsidR="00D660C2">
        <w:rPr>
          <w:sz w:val="18"/>
        </w:rPr>
        <w:t>due to</w:t>
      </w:r>
      <w:r w:rsidR="003A65EB">
        <w:rPr>
          <w:sz w:val="18"/>
        </w:rPr>
        <w:t xml:space="preserve"> prevailing </w:t>
      </w:r>
      <w:r w:rsidR="00D660C2">
        <w:rPr>
          <w:sz w:val="18"/>
        </w:rPr>
        <w:t>jurisdiction</w:t>
      </w:r>
      <w:r w:rsidR="003A65EB">
        <w:rPr>
          <w:sz w:val="18"/>
        </w:rPr>
        <w:t xml:space="preserve">, </w:t>
      </w:r>
      <w:r>
        <w:rPr>
          <w:sz w:val="18"/>
        </w:rPr>
        <w:t xml:space="preserve"> </w:t>
      </w:r>
      <w:r w:rsidR="00BE0E79">
        <w:rPr>
          <w:sz w:val="18"/>
        </w:rPr>
        <w:t xml:space="preserve">of </w:t>
      </w:r>
      <w:r w:rsidR="008A6787">
        <w:rPr>
          <w:sz w:val="18"/>
        </w:rPr>
        <w:t>Messrs.</w:t>
      </w:r>
      <w:r w:rsidR="00736409">
        <w:rPr>
          <w:sz w:val="18"/>
        </w:rPr>
        <w:t xml:space="preserve"> </w:t>
      </w:r>
      <w:r>
        <w:rPr>
          <w:sz w:val="18"/>
        </w:rPr>
        <w:t xml:space="preserve">(SLV) (R) </w:t>
      </w:r>
      <w:proofErr w:type="spellStart"/>
      <w:r>
        <w:rPr>
          <w:sz w:val="18"/>
        </w:rPr>
        <w:t>Álbaro</w:t>
      </w:r>
      <w:proofErr w:type="spellEnd"/>
      <w:r>
        <w:rPr>
          <w:sz w:val="18"/>
        </w:rPr>
        <w:t xml:space="preserve"> Agustín Córdoba Guerra and Professional Soldier (SLP) (R) Leonardo Prieto Cáceres </w:t>
      </w:r>
      <w:r w:rsidR="00BE0E79">
        <w:rPr>
          <w:sz w:val="18"/>
        </w:rPr>
        <w:t xml:space="preserve">to be tried </w:t>
      </w:r>
      <w:r>
        <w:rPr>
          <w:sz w:val="18"/>
        </w:rPr>
        <w:t xml:space="preserve">exclusively for the events of January 10, 1997, in which Oscar Orlando Bueno Bonett (sic), Jefferson González Oquendo, and Jhon Jairo </w:t>
      </w:r>
      <w:proofErr w:type="spellStart"/>
      <w:r>
        <w:rPr>
          <w:sz w:val="18"/>
        </w:rPr>
        <w:t>Cabarique</w:t>
      </w:r>
      <w:proofErr w:type="spellEnd"/>
      <w:r>
        <w:rPr>
          <w:sz w:val="18"/>
        </w:rPr>
        <w:t xml:space="preserve"> were victims in the municipality of </w:t>
      </w:r>
      <w:proofErr w:type="spellStart"/>
      <w:r>
        <w:rPr>
          <w:sz w:val="18"/>
        </w:rPr>
        <w:t>Saravena</w:t>
      </w:r>
      <w:proofErr w:type="spellEnd"/>
      <w:r>
        <w:rPr>
          <w:sz w:val="18"/>
        </w:rPr>
        <w:t xml:space="preserve"> (Arauca)</w:t>
      </w:r>
      <w:r w:rsidR="00F91356">
        <w:rPr>
          <w:sz w:val="18"/>
        </w:rPr>
        <w:t>. These</w:t>
      </w:r>
      <w:r>
        <w:rPr>
          <w:sz w:val="18"/>
        </w:rPr>
        <w:t xml:space="preserve"> events </w:t>
      </w:r>
      <w:r w:rsidR="00550563">
        <w:rPr>
          <w:sz w:val="18"/>
        </w:rPr>
        <w:t xml:space="preserve">led to </w:t>
      </w:r>
      <w:r>
        <w:rPr>
          <w:sz w:val="18"/>
        </w:rPr>
        <w:t>criminal proceeding</w:t>
      </w:r>
      <w:r w:rsidR="00550563">
        <w:rPr>
          <w:sz w:val="18"/>
        </w:rPr>
        <w:t>s</w:t>
      </w:r>
      <w:r>
        <w:rPr>
          <w:sz w:val="18"/>
        </w:rPr>
        <w:t xml:space="preserve"> under file number 2014-00003 of the Criminal Court of the </w:t>
      </w:r>
      <w:proofErr w:type="spellStart"/>
      <w:r>
        <w:rPr>
          <w:sz w:val="18"/>
        </w:rPr>
        <w:t>Saravena</w:t>
      </w:r>
      <w:proofErr w:type="spellEnd"/>
      <w:r>
        <w:rPr>
          <w:sz w:val="18"/>
        </w:rPr>
        <w:t xml:space="preserve"> Circuit (Arauca),</w:t>
      </w:r>
      <w:r w:rsidR="009D579D" w:rsidRPr="00206DB4">
        <w:rPr>
          <w:rStyle w:val="FootnoteReference"/>
          <w:sz w:val="18"/>
          <w:szCs w:val="18"/>
          <w:lang w:val="es-AR"/>
        </w:rPr>
        <w:footnoteReference w:id="6"/>
      </w:r>
      <w:r>
        <w:rPr>
          <w:sz w:val="18"/>
        </w:rPr>
        <w:t xml:space="preserve"> to which Leonardo Prieto Cáceres, Albaro Agustín Córdoba Guerra, Wilson Diaz Duran, Raymon Piñeres, Luis Felipe Villamizar Anaya, and Carlos Eduardo Medina Leguizamón</w:t>
      </w:r>
      <w:r w:rsidR="00F079A7">
        <w:rPr>
          <w:sz w:val="18"/>
        </w:rPr>
        <w:t xml:space="preserve"> </w:t>
      </w:r>
      <w:r>
        <w:rPr>
          <w:sz w:val="18"/>
        </w:rPr>
        <w:t>were linked by</w:t>
      </w:r>
      <w:r w:rsidR="00777D07">
        <w:rPr>
          <w:sz w:val="18"/>
        </w:rPr>
        <w:t xml:space="preserve"> means of the</w:t>
      </w:r>
      <w:r>
        <w:rPr>
          <w:sz w:val="18"/>
        </w:rPr>
        <w:t xml:space="preserve"> indictment resolution </w:t>
      </w:r>
      <w:r w:rsidR="00856BE2">
        <w:rPr>
          <w:sz w:val="18"/>
        </w:rPr>
        <w:t xml:space="preserve">issued </w:t>
      </w:r>
      <w:r w:rsidR="00777D07">
        <w:rPr>
          <w:sz w:val="18"/>
        </w:rPr>
        <w:t>by 72</w:t>
      </w:r>
      <w:r w:rsidR="00777D07" w:rsidRPr="00E75013">
        <w:rPr>
          <w:sz w:val="18"/>
          <w:vertAlign w:val="superscript"/>
        </w:rPr>
        <w:t>nd</w:t>
      </w:r>
      <w:r w:rsidR="00777D07">
        <w:rPr>
          <w:sz w:val="18"/>
        </w:rPr>
        <w:t xml:space="preserve"> Human Rights Unit of the Office</w:t>
      </w:r>
      <w:r w:rsidR="00B93B8F">
        <w:rPr>
          <w:sz w:val="18"/>
        </w:rPr>
        <w:t xml:space="preserve"> </w:t>
      </w:r>
      <w:r w:rsidR="00777D07">
        <w:rPr>
          <w:sz w:val="18"/>
        </w:rPr>
        <w:t xml:space="preserve">of the </w:t>
      </w:r>
      <w:r w:rsidR="00B93B8F">
        <w:rPr>
          <w:sz w:val="18"/>
        </w:rPr>
        <w:t>Prosecutor</w:t>
      </w:r>
      <w:r>
        <w:rPr>
          <w:sz w:val="18"/>
        </w:rPr>
        <w:t xml:space="preserve"> on September 3, 2013.</w:t>
      </w:r>
      <w:r w:rsidR="009D579D" w:rsidRPr="00206DB4">
        <w:rPr>
          <w:rStyle w:val="FootnoteReference"/>
          <w:sz w:val="18"/>
          <w:szCs w:val="18"/>
          <w:lang w:val="es-AR"/>
        </w:rPr>
        <w:footnoteReference w:id="7"/>
      </w:r>
    </w:p>
    <w:p w14:paraId="4E23D740" w14:textId="77777777" w:rsidR="00674DB5" w:rsidRPr="007F1EB5" w:rsidRDefault="00674DB5" w:rsidP="00674DB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49" w:right="720"/>
        <w:jc w:val="both"/>
        <w:rPr>
          <w:sz w:val="18"/>
          <w:szCs w:val="18"/>
        </w:rPr>
      </w:pPr>
    </w:p>
    <w:p w14:paraId="50059C33" w14:textId="4CC6A5D4" w:rsidR="00674DB5" w:rsidRPr="00206DB4"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rPr>
      </w:pPr>
      <w:r>
        <w:rPr>
          <w:rFonts w:ascii="Cambria" w:hAnsi="Cambria"/>
          <w:sz w:val="18"/>
        </w:rPr>
        <w:t>2.</w:t>
      </w:r>
      <w:r>
        <w:rPr>
          <w:rFonts w:ascii="Cambria" w:hAnsi="Cambria"/>
          <w:sz w:val="18"/>
        </w:rPr>
        <w:tab/>
      </w:r>
      <w:r w:rsidR="00305645">
        <w:rPr>
          <w:rFonts w:ascii="Cambria" w:hAnsi="Cambria"/>
          <w:sz w:val="18"/>
        </w:rPr>
        <w:t xml:space="preserve">Resolution </w:t>
      </w:r>
      <w:r>
        <w:rPr>
          <w:rFonts w:ascii="Cambria" w:hAnsi="Cambria"/>
          <w:sz w:val="18"/>
        </w:rPr>
        <w:t>SDSJ N</w:t>
      </w:r>
      <w:r w:rsidR="00305645">
        <w:rPr>
          <w:rFonts w:ascii="Cambria" w:hAnsi="Cambria"/>
          <w:sz w:val="18"/>
        </w:rPr>
        <w:t>o</w:t>
      </w:r>
      <w:r>
        <w:rPr>
          <w:rFonts w:ascii="Cambria" w:hAnsi="Cambria"/>
          <w:sz w:val="18"/>
        </w:rPr>
        <w:t xml:space="preserve">. 2674 of May 31, 2021, </w:t>
      </w:r>
      <w:r w:rsidR="001F6FF9">
        <w:rPr>
          <w:rFonts w:ascii="Cambria" w:hAnsi="Cambria"/>
          <w:sz w:val="18"/>
        </w:rPr>
        <w:t xml:space="preserve">required the respondents </w:t>
      </w:r>
      <w:r>
        <w:rPr>
          <w:rFonts w:ascii="Cambria" w:hAnsi="Cambria"/>
          <w:sz w:val="18"/>
        </w:rPr>
        <w:t xml:space="preserve">SLV (R) </w:t>
      </w:r>
      <w:proofErr w:type="spellStart"/>
      <w:r>
        <w:rPr>
          <w:rFonts w:ascii="Cambria" w:hAnsi="Cambria"/>
          <w:sz w:val="18"/>
        </w:rPr>
        <w:t>Álbaro</w:t>
      </w:r>
      <w:proofErr w:type="spellEnd"/>
      <w:r>
        <w:rPr>
          <w:rFonts w:ascii="Cambria" w:hAnsi="Cambria"/>
          <w:sz w:val="18"/>
        </w:rPr>
        <w:t xml:space="preserve"> Agustín Córdoba Guerra and SLP (R) Leonardo Prieto Cáceres </w:t>
      </w:r>
      <w:r w:rsidR="001F6FF9">
        <w:rPr>
          <w:rFonts w:ascii="Cambria" w:hAnsi="Cambria"/>
          <w:sz w:val="18"/>
        </w:rPr>
        <w:t xml:space="preserve">to submit </w:t>
      </w:r>
      <w:r>
        <w:rPr>
          <w:rFonts w:ascii="Cambria" w:hAnsi="Cambria"/>
          <w:sz w:val="18"/>
        </w:rPr>
        <w:t xml:space="preserve">a clear, concrete, and </w:t>
      </w:r>
      <w:r w:rsidR="0005731A">
        <w:rPr>
          <w:rFonts w:ascii="Cambria" w:hAnsi="Cambria"/>
          <w:sz w:val="18"/>
        </w:rPr>
        <w:t xml:space="preserve">scheduled </w:t>
      </w:r>
      <w:r>
        <w:rPr>
          <w:rFonts w:ascii="Cambria" w:hAnsi="Cambria"/>
          <w:sz w:val="18"/>
        </w:rPr>
        <w:t>preliminary plan for the fulfillment of the</w:t>
      </w:r>
      <w:r w:rsidR="0005731A">
        <w:rPr>
          <w:rFonts w:ascii="Cambria" w:hAnsi="Cambria"/>
          <w:sz w:val="18"/>
        </w:rPr>
        <w:t>ir</w:t>
      </w:r>
      <w:r>
        <w:rPr>
          <w:rFonts w:ascii="Cambria" w:hAnsi="Cambria"/>
          <w:sz w:val="18"/>
        </w:rPr>
        <w:t xml:space="preserve"> commitments </w:t>
      </w:r>
      <w:r w:rsidR="00125698">
        <w:rPr>
          <w:rFonts w:ascii="Cambria" w:hAnsi="Cambria"/>
          <w:sz w:val="18"/>
        </w:rPr>
        <w:t xml:space="preserve">assumed </w:t>
      </w:r>
      <w:r>
        <w:rPr>
          <w:rFonts w:ascii="Cambria" w:hAnsi="Cambria"/>
          <w:sz w:val="18"/>
        </w:rPr>
        <w:t>to clarif</w:t>
      </w:r>
      <w:r w:rsidR="00125698">
        <w:rPr>
          <w:rFonts w:ascii="Cambria" w:hAnsi="Cambria"/>
          <w:sz w:val="18"/>
        </w:rPr>
        <w:t xml:space="preserve">y the </w:t>
      </w:r>
      <w:r>
        <w:rPr>
          <w:rFonts w:ascii="Cambria" w:hAnsi="Cambria"/>
          <w:sz w:val="18"/>
        </w:rPr>
        <w:t xml:space="preserve">truth, </w:t>
      </w:r>
      <w:r w:rsidR="007031B6">
        <w:rPr>
          <w:rFonts w:ascii="Cambria" w:hAnsi="Cambria"/>
          <w:sz w:val="18"/>
        </w:rPr>
        <w:t xml:space="preserve">provide </w:t>
      </w:r>
      <w:r>
        <w:rPr>
          <w:rFonts w:ascii="Cambria" w:hAnsi="Cambria"/>
          <w:sz w:val="18"/>
        </w:rPr>
        <w:t>non-pecuniary reparation to the victims, and establis</w:t>
      </w:r>
      <w:r w:rsidR="007031B6">
        <w:rPr>
          <w:rFonts w:ascii="Cambria" w:hAnsi="Cambria"/>
          <w:sz w:val="18"/>
        </w:rPr>
        <w:t xml:space="preserve">h </w:t>
      </w:r>
      <w:r>
        <w:rPr>
          <w:rFonts w:ascii="Cambria" w:hAnsi="Cambria"/>
          <w:sz w:val="18"/>
        </w:rPr>
        <w:t>guarantees for non-repetition.</w:t>
      </w:r>
      <w:r w:rsidRPr="00206DB4">
        <w:rPr>
          <w:rStyle w:val="FootnoteReference"/>
          <w:rFonts w:ascii="Cambria" w:hAnsi="Cambria"/>
          <w:sz w:val="18"/>
          <w:szCs w:val="18"/>
          <w:lang w:val="es-AR"/>
        </w:rPr>
        <w:footnoteReference w:id="8"/>
      </w:r>
    </w:p>
    <w:p w14:paraId="02463B3B"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20"/>
        <w:jc w:val="both"/>
        <w:rPr>
          <w:rFonts w:ascii="Cambria" w:hAnsi="Cambria"/>
          <w:sz w:val="18"/>
          <w:szCs w:val="18"/>
        </w:rPr>
      </w:pPr>
    </w:p>
    <w:p w14:paraId="5B5AECB8" w14:textId="49B6F4A1" w:rsidR="00674DB5" w:rsidRPr="00206DB4"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rPr>
      </w:pPr>
      <w:r>
        <w:rPr>
          <w:rFonts w:ascii="Cambria" w:hAnsi="Cambria"/>
          <w:sz w:val="18"/>
        </w:rPr>
        <w:t>3.</w:t>
      </w:r>
      <w:r>
        <w:rPr>
          <w:rFonts w:ascii="Cambria" w:hAnsi="Cambria"/>
          <w:sz w:val="18"/>
        </w:rPr>
        <w:tab/>
        <w:t xml:space="preserve">The facts </w:t>
      </w:r>
      <w:r w:rsidR="00385027">
        <w:rPr>
          <w:rFonts w:ascii="Cambria" w:hAnsi="Cambria"/>
          <w:sz w:val="18"/>
        </w:rPr>
        <w:t xml:space="preserve">on </w:t>
      </w:r>
      <w:r>
        <w:rPr>
          <w:rFonts w:ascii="Cambria" w:hAnsi="Cambria"/>
          <w:sz w:val="18"/>
        </w:rPr>
        <w:t xml:space="preserve">which the submission of the two </w:t>
      </w:r>
      <w:r w:rsidR="00385027">
        <w:rPr>
          <w:rFonts w:ascii="Cambria" w:hAnsi="Cambria"/>
          <w:sz w:val="18"/>
        </w:rPr>
        <w:t xml:space="preserve">defendants </w:t>
      </w:r>
      <w:r>
        <w:rPr>
          <w:rFonts w:ascii="Cambria" w:hAnsi="Cambria"/>
          <w:sz w:val="18"/>
        </w:rPr>
        <w:t xml:space="preserve">was accepted are the subject of a </w:t>
      </w:r>
      <w:r w:rsidR="00053204">
        <w:rPr>
          <w:rFonts w:ascii="Cambria" w:hAnsi="Cambria"/>
          <w:sz w:val="18"/>
        </w:rPr>
        <w:t xml:space="preserve">pending </w:t>
      </w:r>
      <w:r>
        <w:rPr>
          <w:rFonts w:ascii="Cambria" w:hAnsi="Cambria"/>
          <w:sz w:val="18"/>
        </w:rPr>
        <w:t xml:space="preserve">friendly settlement agreement, approved by </w:t>
      </w:r>
      <w:r w:rsidR="00053204">
        <w:rPr>
          <w:rFonts w:ascii="Cambria" w:hAnsi="Cambria"/>
          <w:sz w:val="18"/>
        </w:rPr>
        <w:t>R</w:t>
      </w:r>
      <w:r>
        <w:rPr>
          <w:rFonts w:ascii="Cambria" w:hAnsi="Cambria"/>
          <w:sz w:val="18"/>
        </w:rPr>
        <w:t xml:space="preserve">eport No. 34/19 issued by the Inter-American </w:t>
      </w:r>
      <w:r>
        <w:rPr>
          <w:rFonts w:ascii="Cambria" w:hAnsi="Cambria"/>
          <w:sz w:val="18"/>
        </w:rPr>
        <w:lastRenderedPageBreak/>
        <w:t xml:space="preserve">Commission, in relation to </w:t>
      </w:r>
      <w:r w:rsidR="008D1913">
        <w:rPr>
          <w:rFonts w:ascii="Cambria" w:hAnsi="Cambria"/>
          <w:sz w:val="18"/>
        </w:rPr>
        <w:t>C</w:t>
      </w:r>
      <w:r>
        <w:rPr>
          <w:rFonts w:ascii="Cambria" w:hAnsi="Cambria"/>
          <w:sz w:val="18"/>
        </w:rPr>
        <w:t xml:space="preserve">ase No. 11.990 </w:t>
      </w:r>
      <w:proofErr w:type="gramStart"/>
      <w:r>
        <w:rPr>
          <w:rFonts w:ascii="Cambria" w:hAnsi="Cambria"/>
          <w:sz w:val="18"/>
        </w:rPr>
        <w:t>A</w:t>
      </w:r>
      <w:proofErr w:type="gramEnd"/>
      <w:r>
        <w:rPr>
          <w:rFonts w:ascii="Cambria" w:hAnsi="Cambria"/>
          <w:sz w:val="18"/>
        </w:rPr>
        <w:t xml:space="preserve"> Oscar Orlando Bueno Bonnet </w:t>
      </w:r>
      <w:r w:rsidR="008D1913">
        <w:rPr>
          <w:rFonts w:ascii="Cambria" w:hAnsi="Cambria"/>
          <w:sz w:val="18"/>
        </w:rPr>
        <w:t>et al</w:t>
      </w:r>
      <w:r>
        <w:rPr>
          <w:rFonts w:ascii="Cambria" w:hAnsi="Cambria"/>
          <w:sz w:val="18"/>
        </w:rPr>
        <w:t>.</w:t>
      </w:r>
      <w:r w:rsidRPr="00206DB4">
        <w:rPr>
          <w:rStyle w:val="FootnoteReference"/>
          <w:rFonts w:ascii="Cambria" w:hAnsi="Cambria"/>
          <w:sz w:val="18"/>
          <w:szCs w:val="18"/>
          <w:lang w:val="es-AR"/>
        </w:rPr>
        <w:footnoteReference w:id="9"/>
      </w:r>
    </w:p>
    <w:p w14:paraId="4A384814"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rPr>
      </w:pPr>
    </w:p>
    <w:p w14:paraId="6C32140F" w14:textId="72254293" w:rsidR="00674DB5" w:rsidRPr="00206DB4"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rPr>
      </w:pPr>
      <w:r>
        <w:rPr>
          <w:rFonts w:ascii="Cambria" w:hAnsi="Cambria"/>
          <w:sz w:val="18"/>
        </w:rPr>
        <w:t>4.</w:t>
      </w:r>
      <w:r>
        <w:rPr>
          <w:rFonts w:ascii="Cambria" w:hAnsi="Cambria"/>
          <w:sz w:val="18"/>
        </w:rPr>
        <w:tab/>
        <w:t xml:space="preserve">By means of Resolution No. 1819 of May 26, 2022, the Chamber for the Definition of Legal Situations granted an extension to the Investigation and </w:t>
      </w:r>
      <w:r w:rsidR="00727178">
        <w:rPr>
          <w:rFonts w:ascii="Cambria" w:hAnsi="Cambria"/>
          <w:sz w:val="18"/>
        </w:rPr>
        <w:t xml:space="preserve">Prosecution </w:t>
      </w:r>
      <w:r>
        <w:rPr>
          <w:rFonts w:ascii="Cambria" w:hAnsi="Cambria"/>
          <w:sz w:val="18"/>
        </w:rPr>
        <w:t xml:space="preserve">Unit (UIA), in order to fully comply with the task ordered in Resolution No. 2674 of May 31, 2021 regarding the identification and contacting of all indirect victims </w:t>
      </w:r>
      <w:r w:rsidR="00B113FF">
        <w:rPr>
          <w:rFonts w:ascii="Cambria" w:hAnsi="Cambria"/>
          <w:sz w:val="18"/>
        </w:rPr>
        <w:t>in case</w:t>
      </w:r>
      <w:r>
        <w:rPr>
          <w:rFonts w:ascii="Cambria" w:hAnsi="Cambria"/>
          <w:sz w:val="18"/>
        </w:rPr>
        <w:t xml:space="preserve"> 2014-00003 of the Criminal Court of the </w:t>
      </w:r>
      <w:proofErr w:type="spellStart"/>
      <w:r>
        <w:rPr>
          <w:rFonts w:ascii="Cambria" w:hAnsi="Cambria"/>
          <w:sz w:val="18"/>
        </w:rPr>
        <w:t>Saravena</w:t>
      </w:r>
      <w:proofErr w:type="spellEnd"/>
      <w:r>
        <w:rPr>
          <w:rFonts w:ascii="Cambria" w:hAnsi="Cambria"/>
          <w:sz w:val="18"/>
        </w:rPr>
        <w:t xml:space="preserve"> Circuit (Arauca) and Resolution No. 3735 of October 6, 2022 stressed </w:t>
      </w:r>
      <w:r w:rsidR="00CA0AE0">
        <w:rPr>
          <w:rFonts w:ascii="Cambria" w:hAnsi="Cambria"/>
          <w:sz w:val="18"/>
        </w:rPr>
        <w:t xml:space="preserve">its </w:t>
      </w:r>
      <w:r>
        <w:rPr>
          <w:rFonts w:ascii="Cambria" w:hAnsi="Cambria"/>
          <w:sz w:val="18"/>
        </w:rPr>
        <w:t>compliance.</w:t>
      </w:r>
      <w:r w:rsidRPr="00206DB4">
        <w:rPr>
          <w:rStyle w:val="FootnoteReference"/>
          <w:rFonts w:ascii="Cambria" w:hAnsi="Cambria"/>
          <w:sz w:val="18"/>
          <w:szCs w:val="18"/>
          <w:lang w:val="es-AR"/>
        </w:rPr>
        <w:footnoteReference w:id="10"/>
      </w:r>
    </w:p>
    <w:p w14:paraId="583879C3"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rPr>
      </w:pPr>
    </w:p>
    <w:p w14:paraId="09A4007D" w14:textId="4B24F4C3" w:rsidR="00674DB5" w:rsidRPr="00206DB4"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rPr>
      </w:pPr>
      <w:r>
        <w:rPr>
          <w:rFonts w:ascii="Cambria" w:hAnsi="Cambria"/>
          <w:sz w:val="18"/>
        </w:rPr>
        <w:t>5.</w:t>
      </w:r>
      <w:r>
        <w:rPr>
          <w:rFonts w:ascii="Cambria" w:hAnsi="Cambria"/>
          <w:sz w:val="18"/>
        </w:rPr>
        <w:tab/>
        <w:t xml:space="preserve">In response to SDSJ Resolution No. 2674 of May 31, 2021, SLP (R) Leonardo Prieto Cáceres, </w:t>
      </w:r>
      <w:r w:rsidR="00AD55B2">
        <w:rPr>
          <w:rFonts w:ascii="Cambria" w:hAnsi="Cambria"/>
          <w:sz w:val="18"/>
        </w:rPr>
        <w:t>in</w:t>
      </w:r>
      <w:r>
        <w:rPr>
          <w:rFonts w:ascii="Cambria" w:hAnsi="Cambria"/>
          <w:sz w:val="18"/>
        </w:rPr>
        <w:t xml:space="preserve"> letter </w:t>
      </w:r>
      <w:r w:rsidR="00C34C9B">
        <w:rPr>
          <w:rFonts w:ascii="Cambria" w:hAnsi="Cambria"/>
          <w:sz w:val="18"/>
        </w:rPr>
        <w:t xml:space="preserve">dated </w:t>
      </w:r>
      <w:r>
        <w:rPr>
          <w:rFonts w:ascii="Cambria" w:hAnsi="Cambria"/>
          <w:sz w:val="18"/>
        </w:rPr>
        <w:t>June 23, 2021, submitted his proposal for a clear</w:t>
      </w:r>
      <w:r w:rsidR="00C34C9B">
        <w:rPr>
          <w:rFonts w:ascii="Cambria" w:hAnsi="Cambria"/>
          <w:sz w:val="18"/>
        </w:rPr>
        <w:t xml:space="preserve">, </w:t>
      </w:r>
      <w:r>
        <w:rPr>
          <w:rFonts w:ascii="Cambria" w:hAnsi="Cambria"/>
          <w:sz w:val="18"/>
        </w:rPr>
        <w:t xml:space="preserve">concrete </w:t>
      </w:r>
      <w:r w:rsidR="00C34C9B">
        <w:rPr>
          <w:rFonts w:ascii="Cambria" w:hAnsi="Cambria"/>
          <w:sz w:val="18"/>
        </w:rPr>
        <w:t xml:space="preserve">and scheduled </w:t>
      </w:r>
      <w:r w:rsidR="00FE2E17">
        <w:rPr>
          <w:rFonts w:ascii="Cambria" w:hAnsi="Cambria"/>
          <w:sz w:val="18"/>
        </w:rPr>
        <w:t xml:space="preserve">commitment </w:t>
      </w:r>
      <w:r>
        <w:rPr>
          <w:rFonts w:ascii="Cambria" w:hAnsi="Cambria"/>
          <w:sz w:val="18"/>
        </w:rPr>
        <w:t>(CCCP)</w:t>
      </w:r>
      <w:r w:rsidR="00FE2E17">
        <w:rPr>
          <w:rFonts w:ascii="Cambria" w:hAnsi="Cambria"/>
          <w:sz w:val="18"/>
        </w:rPr>
        <w:t xml:space="preserve"> with the Chamber for Definition of Legal Situations</w:t>
      </w:r>
      <w:r>
        <w:rPr>
          <w:rFonts w:ascii="Cambria" w:hAnsi="Cambria"/>
          <w:sz w:val="18"/>
        </w:rPr>
        <w:t xml:space="preserve">. Likewise, SLV (R) </w:t>
      </w:r>
      <w:proofErr w:type="spellStart"/>
      <w:r>
        <w:rPr>
          <w:rFonts w:ascii="Cambria" w:hAnsi="Cambria"/>
          <w:sz w:val="18"/>
        </w:rPr>
        <w:t>Álbaro</w:t>
      </w:r>
      <w:proofErr w:type="spellEnd"/>
      <w:r>
        <w:rPr>
          <w:rFonts w:ascii="Cambria" w:hAnsi="Cambria"/>
          <w:sz w:val="18"/>
        </w:rPr>
        <w:t xml:space="preserve"> Agustín Córdoba Guerra submitted his CCCP proposal, in a letter dated July 16, 2021,</w:t>
      </w:r>
      <w:r w:rsidRPr="00206DB4">
        <w:rPr>
          <w:rStyle w:val="FootnoteReference"/>
          <w:rFonts w:ascii="Cambria" w:hAnsi="Cambria"/>
          <w:sz w:val="18"/>
          <w:szCs w:val="18"/>
          <w:lang w:val="es-AR"/>
        </w:rPr>
        <w:footnoteReference w:id="11"/>
      </w:r>
      <w:r>
        <w:rPr>
          <w:rFonts w:ascii="Cambria" w:hAnsi="Cambria"/>
          <w:sz w:val="18"/>
        </w:rPr>
        <w:t xml:space="preserve"> </w:t>
      </w:r>
      <w:r w:rsidR="00772D6A">
        <w:rPr>
          <w:rFonts w:ascii="Cambria" w:hAnsi="Cambria"/>
          <w:sz w:val="18"/>
        </w:rPr>
        <w:t xml:space="preserve">as well as </w:t>
      </w:r>
      <w:r>
        <w:rPr>
          <w:rFonts w:ascii="Cambria" w:hAnsi="Cambria"/>
          <w:sz w:val="18"/>
        </w:rPr>
        <w:t>the completed F1 form.</w:t>
      </w:r>
      <w:r w:rsidRPr="00206DB4">
        <w:rPr>
          <w:rStyle w:val="FootnoteReference"/>
          <w:rFonts w:ascii="Cambria" w:hAnsi="Cambria"/>
          <w:sz w:val="18"/>
          <w:szCs w:val="18"/>
          <w:lang w:val="es-AR"/>
        </w:rPr>
        <w:footnoteReference w:id="12"/>
      </w:r>
    </w:p>
    <w:p w14:paraId="73B37C4C"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09" w:right="720"/>
        <w:jc w:val="both"/>
        <w:rPr>
          <w:rFonts w:ascii="Cambria" w:hAnsi="Cambria"/>
          <w:sz w:val="18"/>
          <w:szCs w:val="18"/>
        </w:rPr>
      </w:pPr>
    </w:p>
    <w:p w14:paraId="47B454FD" w14:textId="25DAB3B3" w:rsidR="00674DB5" w:rsidRDefault="00F56245" w:rsidP="00F32864">
      <w:pPr>
        <w:pStyle w:val="ListParagraph"/>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rPr>
      </w:pPr>
      <w:r>
        <w:rPr>
          <w:sz w:val="18"/>
        </w:rPr>
        <w:t xml:space="preserve">By </w:t>
      </w:r>
      <w:r w:rsidR="00674DB5">
        <w:rPr>
          <w:sz w:val="18"/>
        </w:rPr>
        <w:t xml:space="preserve">Resolution No. 2749 of June 4, 2021, the SDSJ accredited Mrs. Gabriela Esmeralda Bueno as an indirect victim, </w:t>
      </w:r>
      <w:r w:rsidR="004F5068">
        <w:rPr>
          <w:sz w:val="18"/>
        </w:rPr>
        <w:t>in relation to her connection and family relation</w:t>
      </w:r>
      <w:r w:rsidR="00E96E84">
        <w:rPr>
          <w:sz w:val="18"/>
        </w:rPr>
        <w:t xml:space="preserve">ship </w:t>
      </w:r>
      <w:r w:rsidR="00674DB5">
        <w:rPr>
          <w:sz w:val="18"/>
        </w:rPr>
        <w:t xml:space="preserve">with Mr. Oscar Orlando Bueno Bonnet, a victim </w:t>
      </w:r>
      <w:r w:rsidR="00E96E84">
        <w:rPr>
          <w:sz w:val="18"/>
        </w:rPr>
        <w:t xml:space="preserve">identified </w:t>
      </w:r>
      <w:r w:rsidR="00674DB5">
        <w:rPr>
          <w:sz w:val="18"/>
        </w:rPr>
        <w:t>in the proceeding</w:t>
      </w:r>
      <w:r w:rsidR="00E96E84">
        <w:rPr>
          <w:sz w:val="18"/>
        </w:rPr>
        <w:t>s</w:t>
      </w:r>
      <w:r w:rsidR="00B159BB">
        <w:rPr>
          <w:sz w:val="18"/>
        </w:rPr>
        <w:t xml:space="preserve"> filed in case</w:t>
      </w:r>
      <w:r w:rsidR="00674DB5">
        <w:rPr>
          <w:sz w:val="18"/>
        </w:rPr>
        <w:t xml:space="preserve"> No. 2014-00003 of the Criminal Court of the </w:t>
      </w:r>
      <w:proofErr w:type="spellStart"/>
      <w:r w:rsidR="00674DB5">
        <w:rPr>
          <w:sz w:val="18"/>
        </w:rPr>
        <w:t>Saravena</w:t>
      </w:r>
      <w:proofErr w:type="spellEnd"/>
      <w:r w:rsidR="00674DB5">
        <w:rPr>
          <w:sz w:val="18"/>
        </w:rPr>
        <w:t xml:space="preserve"> Circuit (Arauca).</w:t>
      </w:r>
      <w:r w:rsidR="00674DB5" w:rsidRPr="00206DB4">
        <w:rPr>
          <w:rStyle w:val="FootnoteReference"/>
          <w:sz w:val="18"/>
          <w:szCs w:val="18"/>
          <w:lang w:val="es-AR"/>
        </w:rPr>
        <w:footnoteReference w:id="13"/>
      </w:r>
    </w:p>
    <w:p w14:paraId="6C2D3E9B" w14:textId="77777777" w:rsidR="00674DB5" w:rsidRPr="007F1EB5" w:rsidRDefault="00674DB5" w:rsidP="00674DB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right="720"/>
        <w:jc w:val="both"/>
        <w:rPr>
          <w:sz w:val="18"/>
          <w:szCs w:val="18"/>
        </w:rPr>
      </w:pPr>
    </w:p>
    <w:p w14:paraId="1EC7B234" w14:textId="4BEBAD4B" w:rsidR="00674DB5" w:rsidRDefault="00674DB5" w:rsidP="00F32864">
      <w:pPr>
        <w:pStyle w:val="ListParagraph"/>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rPr>
      </w:pPr>
      <w:r>
        <w:rPr>
          <w:sz w:val="18"/>
        </w:rPr>
        <w:t xml:space="preserve">After preliminary verification of the proposals submitted by the </w:t>
      </w:r>
      <w:r w:rsidR="004B6D26">
        <w:rPr>
          <w:sz w:val="18"/>
        </w:rPr>
        <w:t>parties</w:t>
      </w:r>
      <w:r>
        <w:rPr>
          <w:sz w:val="18"/>
        </w:rPr>
        <w:t xml:space="preserve">, it was observed that they were prepared </w:t>
      </w:r>
      <w:r w:rsidR="00D718FF">
        <w:rPr>
          <w:sz w:val="18"/>
        </w:rPr>
        <w:t xml:space="preserve">in accordance with the request and </w:t>
      </w:r>
      <w:r>
        <w:rPr>
          <w:sz w:val="18"/>
        </w:rPr>
        <w:t xml:space="preserve">provided information </w:t>
      </w:r>
      <w:r w:rsidR="00842668">
        <w:rPr>
          <w:sz w:val="18"/>
        </w:rPr>
        <w:t xml:space="preserve">on the pillars of </w:t>
      </w:r>
      <w:r>
        <w:rPr>
          <w:sz w:val="18"/>
        </w:rPr>
        <w:t xml:space="preserve">truth, reparation, and non-repetition, which </w:t>
      </w:r>
      <w:r w:rsidR="00842668">
        <w:rPr>
          <w:sz w:val="18"/>
        </w:rPr>
        <w:t xml:space="preserve">allows for the initiation of a </w:t>
      </w:r>
      <w:r>
        <w:rPr>
          <w:sz w:val="18"/>
        </w:rPr>
        <w:t xml:space="preserve">dialogue </w:t>
      </w:r>
      <w:r w:rsidR="00903C12">
        <w:rPr>
          <w:sz w:val="18"/>
        </w:rPr>
        <w:t xml:space="preserve">process </w:t>
      </w:r>
      <w:r>
        <w:rPr>
          <w:sz w:val="18"/>
        </w:rPr>
        <w:t xml:space="preserve">with the victims and the </w:t>
      </w:r>
      <w:r w:rsidR="00903C12">
        <w:rPr>
          <w:sz w:val="18"/>
        </w:rPr>
        <w:t xml:space="preserve">Office of the </w:t>
      </w:r>
      <w:r>
        <w:rPr>
          <w:sz w:val="18"/>
        </w:rPr>
        <w:t>Public Prosecutor.</w:t>
      </w:r>
      <w:r w:rsidRPr="00206DB4">
        <w:rPr>
          <w:rStyle w:val="FootnoteReference"/>
          <w:sz w:val="18"/>
          <w:szCs w:val="18"/>
          <w:lang w:val="es-AR"/>
        </w:rPr>
        <w:footnoteReference w:id="14"/>
      </w:r>
    </w:p>
    <w:p w14:paraId="6E0C2BF6" w14:textId="77777777" w:rsidR="00674DB5" w:rsidRPr="007F1EB5" w:rsidRDefault="00674DB5" w:rsidP="00674DB5">
      <w:pPr>
        <w:pStyle w:val="ListParagraph"/>
        <w:rPr>
          <w:sz w:val="18"/>
          <w:szCs w:val="18"/>
        </w:rPr>
      </w:pPr>
    </w:p>
    <w:p w14:paraId="63FF699C" w14:textId="77777777" w:rsidR="00674DB5" w:rsidRPr="001758AA" w:rsidRDefault="00674DB5" w:rsidP="00F32864">
      <w:pPr>
        <w:pStyle w:val="ListParagraph"/>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rPr>
      </w:pPr>
      <w:r>
        <w:rPr>
          <w:sz w:val="18"/>
        </w:rPr>
        <w:t xml:space="preserve">On November 24, 2022, through official letter No. 3931, the Criminal Court of the </w:t>
      </w:r>
      <w:proofErr w:type="spellStart"/>
      <w:r>
        <w:rPr>
          <w:sz w:val="18"/>
        </w:rPr>
        <w:t>Saravena</w:t>
      </w:r>
      <w:proofErr w:type="spellEnd"/>
      <w:r>
        <w:rPr>
          <w:sz w:val="18"/>
        </w:rPr>
        <w:t xml:space="preserve"> Circuit - Arauca requested the Special Jurisdiction for Peace to return file 817363104001201400003, summary 3964, </w:t>
      </w:r>
      <w:proofErr w:type="gramStart"/>
      <w:r>
        <w:rPr>
          <w:sz w:val="18"/>
        </w:rPr>
        <w:t>in order to</w:t>
      </w:r>
      <w:proofErr w:type="gramEnd"/>
      <w:r>
        <w:rPr>
          <w:sz w:val="18"/>
        </w:rPr>
        <w:t xml:space="preserve"> continue the trial in the ordinary courts (</w:t>
      </w:r>
      <w:proofErr w:type="spellStart"/>
      <w:r>
        <w:rPr>
          <w:i/>
          <w:iCs/>
          <w:sz w:val="18"/>
        </w:rPr>
        <w:t>jurisdicción</w:t>
      </w:r>
      <w:proofErr w:type="spellEnd"/>
      <w:r>
        <w:rPr>
          <w:i/>
          <w:iCs/>
          <w:sz w:val="18"/>
        </w:rPr>
        <w:t xml:space="preserve"> </w:t>
      </w:r>
      <w:proofErr w:type="spellStart"/>
      <w:r>
        <w:rPr>
          <w:i/>
          <w:iCs/>
          <w:sz w:val="18"/>
        </w:rPr>
        <w:t>ordinaria</w:t>
      </w:r>
      <w:proofErr w:type="spellEnd"/>
      <w:r>
        <w:rPr>
          <w:sz w:val="18"/>
        </w:rPr>
        <w:t xml:space="preserve">) of the defendants Luis Felipe Villamizar Anaya, Wilson Díaz Durán, and Raimond Piñeres. On November 3, 2023, the Criminal Court of the </w:t>
      </w:r>
      <w:proofErr w:type="spellStart"/>
      <w:r>
        <w:rPr>
          <w:sz w:val="18"/>
        </w:rPr>
        <w:t>Saravena</w:t>
      </w:r>
      <w:proofErr w:type="spellEnd"/>
      <w:r>
        <w:rPr>
          <w:sz w:val="18"/>
        </w:rPr>
        <w:t xml:space="preserve"> Circuit - Arauca informed the victims' representatives that the file had not yet been returned by the Special Jurisdiction for Peace to continue with the corresponding proceeding.</w:t>
      </w:r>
    </w:p>
    <w:p w14:paraId="58837F94" w14:textId="77777777" w:rsidR="00674DB5" w:rsidRPr="007F1EB5" w:rsidRDefault="00674DB5" w:rsidP="00674DB5">
      <w:pPr>
        <w:pStyle w:val="ListParagraph"/>
        <w:rPr>
          <w:sz w:val="18"/>
          <w:szCs w:val="18"/>
        </w:rPr>
      </w:pPr>
    </w:p>
    <w:p w14:paraId="47C23EE9" w14:textId="7BD83D5B" w:rsidR="00674DB5" w:rsidRDefault="00674DB5" w:rsidP="00F32864">
      <w:pPr>
        <w:pStyle w:val="ListParagraph"/>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rPr>
      </w:pPr>
      <w:r>
        <w:rPr>
          <w:sz w:val="18"/>
        </w:rPr>
        <w:t xml:space="preserve">Through Resolution No. 491 of February 12, 2023, the SDSJ accredited Mrs. </w:t>
      </w:r>
      <w:proofErr w:type="spellStart"/>
      <w:r>
        <w:rPr>
          <w:sz w:val="18"/>
        </w:rPr>
        <w:t>Eucaris</w:t>
      </w:r>
      <w:proofErr w:type="spellEnd"/>
      <w:r>
        <w:rPr>
          <w:sz w:val="18"/>
        </w:rPr>
        <w:t xml:space="preserve"> Oquendo Hernández</w:t>
      </w:r>
      <w:r w:rsidR="001B48B0">
        <w:rPr>
          <w:sz w:val="18"/>
        </w:rPr>
        <w:t xml:space="preserve"> as an indirect victim, in her capacity </w:t>
      </w:r>
      <w:r>
        <w:rPr>
          <w:sz w:val="18"/>
        </w:rPr>
        <w:t xml:space="preserve">as mother, due to her </w:t>
      </w:r>
      <w:r w:rsidR="007E03D0">
        <w:rPr>
          <w:sz w:val="18"/>
        </w:rPr>
        <w:t xml:space="preserve">connection and family relationship </w:t>
      </w:r>
      <w:r>
        <w:rPr>
          <w:sz w:val="18"/>
        </w:rPr>
        <w:t>with Mr. Jefferson Darío González Oquendo</w:t>
      </w:r>
      <w:r w:rsidR="007E03D0">
        <w:rPr>
          <w:sz w:val="18"/>
        </w:rPr>
        <w:t>;</w:t>
      </w:r>
      <w:r>
        <w:rPr>
          <w:sz w:val="18"/>
        </w:rPr>
        <w:t xml:space="preserve"> and Mr. Kevin Andrey Bueno Solano as a</w:t>
      </w:r>
      <w:r w:rsidR="00696CFB">
        <w:rPr>
          <w:sz w:val="18"/>
        </w:rPr>
        <w:t>n indirect victim, in his capacity as</w:t>
      </w:r>
      <w:r>
        <w:rPr>
          <w:sz w:val="18"/>
        </w:rPr>
        <w:t xml:space="preserve"> son, due to his </w:t>
      </w:r>
      <w:r w:rsidR="00696CFB">
        <w:rPr>
          <w:sz w:val="18"/>
        </w:rPr>
        <w:t xml:space="preserve">connection and family relationship </w:t>
      </w:r>
      <w:r>
        <w:rPr>
          <w:sz w:val="18"/>
        </w:rPr>
        <w:t>with Mr. Oscar Orlando Bueno Bonett (sic).</w:t>
      </w:r>
      <w:r w:rsidRPr="00206DB4">
        <w:rPr>
          <w:rStyle w:val="FootnoteReference"/>
          <w:sz w:val="18"/>
          <w:szCs w:val="18"/>
          <w:lang w:val="es-AR"/>
        </w:rPr>
        <w:footnoteReference w:id="15"/>
      </w:r>
    </w:p>
    <w:p w14:paraId="01F44AF0" w14:textId="77777777" w:rsidR="00674DB5" w:rsidRPr="007F1EB5" w:rsidRDefault="00674DB5" w:rsidP="00674DB5">
      <w:pPr>
        <w:pStyle w:val="ListParagraph"/>
        <w:rPr>
          <w:sz w:val="18"/>
          <w:szCs w:val="18"/>
        </w:rPr>
      </w:pPr>
    </w:p>
    <w:p w14:paraId="13EB87F2" w14:textId="3F2C283B" w:rsidR="00674DB5" w:rsidRDefault="00BD78BA" w:rsidP="00F32864">
      <w:pPr>
        <w:pStyle w:val="ListParagraph"/>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rPr>
      </w:pPr>
      <w:r>
        <w:rPr>
          <w:sz w:val="18"/>
        </w:rPr>
        <w:t xml:space="preserve">The SDSJ, through </w:t>
      </w:r>
      <w:r w:rsidR="00674DB5">
        <w:rPr>
          <w:sz w:val="18"/>
        </w:rPr>
        <w:t>Resolution No. 531 of February 14, 2023, gave a preliminary account of the review, which, based on the proposed contributions of the participants at this stage, is sufficient to initiate dialogue for the purposes of restorative, retributive, and prospective justice</w:t>
      </w:r>
      <w:r w:rsidR="0055310A">
        <w:rPr>
          <w:sz w:val="18"/>
        </w:rPr>
        <w:t>.</w:t>
      </w:r>
      <w:r w:rsidR="00674DB5">
        <w:rPr>
          <w:sz w:val="18"/>
        </w:rPr>
        <w:t xml:space="preserve"> </w:t>
      </w:r>
      <w:r w:rsidR="0055310A">
        <w:rPr>
          <w:sz w:val="18"/>
        </w:rPr>
        <w:t>T</w:t>
      </w:r>
      <w:r w:rsidR="00674DB5">
        <w:rPr>
          <w:sz w:val="18"/>
        </w:rPr>
        <w:t xml:space="preserve">herefore, through the Judicial Secretariat of the Chamber, it ordered the transfer of the CCCP </w:t>
      </w:r>
      <w:r w:rsidR="00B071F5">
        <w:rPr>
          <w:sz w:val="18"/>
        </w:rPr>
        <w:t xml:space="preserve">proposal </w:t>
      </w:r>
      <w:r w:rsidR="00674DB5">
        <w:rPr>
          <w:sz w:val="18"/>
        </w:rPr>
        <w:t xml:space="preserve">documents to the </w:t>
      </w:r>
      <w:r w:rsidR="00B071F5">
        <w:rPr>
          <w:sz w:val="18"/>
        </w:rPr>
        <w:t xml:space="preserve">Office of the </w:t>
      </w:r>
      <w:r w:rsidR="00674DB5">
        <w:rPr>
          <w:sz w:val="18"/>
        </w:rPr>
        <w:t xml:space="preserve">Public Prosecutors for </w:t>
      </w:r>
      <w:r w:rsidR="00B071F5">
        <w:rPr>
          <w:sz w:val="18"/>
        </w:rPr>
        <w:t xml:space="preserve">a ruling within </w:t>
      </w:r>
      <w:r w:rsidR="00674DB5">
        <w:rPr>
          <w:sz w:val="18"/>
        </w:rPr>
        <w:t xml:space="preserve">fifteen (15) </w:t>
      </w:r>
      <w:r w:rsidR="00A70BE2">
        <w:rPr>
          <w:sz w:val="18"/>
        </w:rPr>
        <w:t xml:space="preserve">business </w:t>
      </w:r>
      <w:r w:rsidR="00674DB5">
        <w:rPr>
          <w:sz w:val="18"/>
        </w:rPr>
        <w:t>days following receipt of this resolution.</w:t>
      </w:r>
      <w:r w:rsidR="00674DB5" w:rsidRPr="00206DB4">
        <w:rPr>
          <w:rStyle w:val="FootnoteReference"/>
          <w:sz w:val="18"/>
          <w:szCs w:val="18"/>
          <w:lang w:val="es-AR"/>
        </w:rPr>
        <w:footnoteReference w:id="16"/>
      </w:r>
    </w:p>
    <w:p w14:paraId="4DCB0F94" w14:textId="77777777" w:rsidR="00674DB5" w:rsidRPr="007F1EB5" w:rsidRDefault="00674DB5" w:rsidP="00674DB5">
      <w:pPr>
        <w:pStyle w:val="ListParagraph"/>
        <w:rPr>
          <w:sz w:val="18"/>
          <w:szCs w:val="18"/>
        </w:rPr>
      </w:pPr>
    </w:p>
    <w:p w14:paraId="0221883F" w14:textId="30AB2B0B" w:rsidR="00674DB5" w:rsidRDefault="00FA79DB" w:rsidP="00F32864">
      <w:pPr>
        <w:pStyle w:val="ListParagraph"/>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rPr>
      </w:pPr>
      <w:r>
        <w:rPr>
          <w:sz w:val="18"/>
        </w:rPr>
        <w:t>Similarly,</w:t>
      </w:r>
      <w:r w:rsidR="00674DB5">
        <w:rPr>
          <w:sz w:val="18"/>
        </w:rPr>
        <w:t xml:space="preserve"> through Resolution No. 531 of February 14, 2023, the SDSJ ordered notification of the victims accredited in Resolution No. 2749 of June 4, 2021: Mrs. Gabriela Esmeralda Bueno and her legal representative, attorney Olga Lilia Silva López; and in Resolution </w:t>
      </w:r>
      <w:r w:rsidR="00555F5E">
        <w:rPr>
          <w:sz w:val="18"/>
        </w:rPr>
        <w:t xml:space="preserve">No. </w:t>
      </w:r>
      <w:r w:rsidR="00674DB5">
        <w:rPr>
          <w:sz w:val="18"/>
        </w:rPr>
        <w:t xml:space="preserve"> 491 of February 13, 20236 (sic), of Mr. Kevin Andrey Bueno Solano and Mrs. </w:t>
      </w:r>
      <w:proofErr w:type="spellStart"/>
      <w:r w:rsidR="00674DB5">
        <w:rPr>
          <w:sz w:val="18"/>
        </w:rPr>
        <w:t>Eucaris</w:t>
      </w:r>
      <w:proofErr w:type="spellEnd"/>
      <w:r w:rsidR="00674DB5">
        <w:rPr>
          <w:sz w:val="18"/>
        </w:rPr>
        <w:t xml:space="preserve"> Oquendo Hernández.</w:t>
      </w:r>
      <w:r w:rsidR="00674DB5" w:rsidRPr="00206DB4">
        <w:rPr>
          <w:rStyle w:val="FootnoteReference"/>
          <w:sz w:val="18"/>
          <w:szCs w:val="18"/>
          <w:lang w:val="es-AR"/>
        </w:rPr>
        <w:footnoteReference w:id="17"/>
      </w:r>
    </w:p>
    <w:p w14:paraId="5B748671" w14:textId="77777777" w:rsidR="00674DB5" w:rsidRPr="007F1EB5" w:rsidRDefault="00674DB5" w:rsidP="00674DB5">
      <w:pPr>
        <w:pStyle w:val="ListParagraph"/>
        <w:rPr>
          <w:sz w:val="18"/>
          <w:szCs w:val="18"/>
        </w:rPr>
      </w:pPr>
    </w:p>
    <w:p w14:paraId="205687AE" w14:textId="1371CF51" w:rsidR="00674DB5" w:rsidRDefault="00674DB5" w:rsidP="00F32864">
      <w:pPr>
        <w:pStyle w:val="ListParagraph"/>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rPr>
      </w:pPr>
      <w:r>
        <w:rPr>
          <w:sz w:val="18"/>
        </w:rPr>
        <w:t xml:space="preserve">On October 23, 2023, the victims, through their </w:t>
      </w:r>
      <w:r w:rsidR="00A97E10">
        <w:rPr>
          <w:sz w:val="18"/>
        </w:rPr>
        <w:t xml:space="preserve">legal </w:t>
      </w:r>
      <w:r>
        <w:rPr>
          <w:sz w:val="18"/>
        </w:rPr>
        <w:t xml:space="preserve">representatives, </w:t>
      </w:r>
      <w:proofErr w:type="spellStart"/>
      <w:r>
        <w:rPr>
          <w:sz w:val="18"/>
        </w:rPr>
        <w:t>Humanidad</w:t>
      </w:r>
      <w:proofErr w:type="spellEnd"/>
      <w:r>
        <w:rPr>
          <w:sz w:val="18"/>
        </w:rPr>
        <w:t xml:space="preserve"> </w:t>
      </w:r>
      <w:proofErr w:type="spellStart"/>
      <w:r>
        <w:rPr>
          <w:sz w:val="18"/>
        </w:rPr>
        <w:t>Vigente</w:t>
      </w:r>
      <w:proofErr w:type="spellEnd"/>
      <w:r>
        <w:rPr>
          <w:sz w:val="18"/>
        </w:rPr>
        <w:t xml:space="preserve">, </w:t>
      </w:r>
      <w:r w:rsidR="00A97E10">
        <w:rPr>
          <w:sz w:val="18"/>
        </w:rPr>
        <w:t xml:space="preserve">submitted </w:t>
      </w:r>
      <w:r>
        <w:rPr>
          <w:sz w:val="18"/>
        </w:rPr>
        <w:t xml:space="preserve">before the Chamber for the Definition of Legal Situations their views regarding the CCCPs presented by </w:t>
      </w:r>
      <w:proofErr w:type="spellStart"/>
      <w:r>
        <w:rPr>
          <w:sz w:val="18"/>
        </w:rPr>
        <w:t>Álbaro</w:t>
      </w:r>
      <w:proofErr w:type="spellEnd"/>
      <w:r>
        <w:rPr>
          <w:sz w:val="18"/>
        </w:rPr>
        <w:t xml:space="preserve"> Agustín Córdoba Guerra and Leonardo Prieto Cáceres, in response to Resolutions No. 3207 of September 25, 2023</w:t>
      </w:r>
      <w:r w:rsidR="001E072C">
        <w:rPr>
          <w:sz w:val="18"/>
        </w:rPr>
        <w:t>,</w:t>
      </w:r>
      <w:r>
        <w:rPr>
          <w:sz w:val="18"/>
        </w:rPr>
        <w:t xml:space="preserve"> and 531 of February 2023. They </w:t>
      </w:r>
      <w:r w:rsidR="00117781">
        <w:rPr>
          <w:sz w:val="18"/>
        </w:rPr>
        <w:t>highlighted</w:t>
      </w:r>
      <w:r>
        <w:rPr>
          <w:sz w:val="18"/>
        </w:rPr>
        <w:t xml:space="preserve"> that, in both cases, the standards of </w:t>
      </w:r>
      <w:r>
        <w:rPr>
          <w:sz w:val="18"/>
        </w:rPr>
        <w:lastRenderedPageBreak/>
        <w:t xml:space="preserve">contributions to </w:t>
      </w:r>
      <w:r w:rsidR="006A7E76">
        <w:rPr>
          <w:sz w:val="18"/>
        </w:rPr>
        <w:t xml:space="preserve">the </w:t>
      </w:r>
      <w:r>
        <w:rPr>
          <w:sz w:val="18"/>
        </w:rPr>
        <w:t xml:space="preserve">truth do not exceed those already achieved by the ordinary justice system; that both proposals for reparation bear no relation to the victims’ expectations for truth and justice </w:t>
      </w:r>
      <w:r w:rsidR="00F976C0">
        <w:rPr>
          <w:sz w:val="18"/>
        </w:rPr>
        <w:t>with</w:t>
      </w:r>
      <w:r>
        <w:rPr>
          <w:sz w:val="18"/>
        </w:rPr>
        <w:t>in the framework</w:t>
      </w:r>
      <w:r w:rsidR="00A64AE0">
        <w:rPr>
          <w:sz w:val="18"/>
        </w:rPr>
        <w:t xml:space="preserve"> of transitional justice</w:t>
      </w:r>
      <w:r>
        <w:rPr>
          <w:sz w:val="18"/>
        </w:rPr>
        <w:t>; and that, in terms of guarantees of non-repetition, the proposals are disconnected and have no impact on the context in which the events occurred in such a way as to reverse the structures of violence that preceded and facilitated th</w:t>
      </w:r>
      <w:r w:rsidR="00C347A6">
        <w:rPr>
          <w:sz w:val="18"/>
        </w:rPr>
        <w:t>em</w:t>
      </w:r>
      <w:r>
        <w:rPr>
          <w:sz w:val="18"/>
        </w:rPr>
        <w:t>.</w:t>
      </w:r>
    </w:p>
    <w:p w14:paraId="329FD489" w14:textId="77777777" w:rsidR="00674DB5" w:rsidRPr="007F1EB5" w:rsidRDefault="00674DB5" w:rsidP="00674DB5">
      <w:pPr>
        <w:pStyle w:val="ListParagraph"/>
        <w:rPr>
          <w:sz w:val="18"/>
          <w:szCs w:val="18"/>
        </w:rPr>
      </w:pPr>
    </w:p>
    <w:p w14:paraId="38A959B2" w14:textId="5FDF80CD" w:rsidR="00674DB5" w:rsidRDefault="00674DB5" w:rsidP="00F32864">
      <w:pPr>
        <w:pStyle w:val="ListParagraph"/>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rPr>
      </w:pPr>
      <w:r>
        <w:rPr>
          <w:sz w:val="18"/>
        </w:rPr>
        <w:t xml:space="preserve">While the case remains within the Chamber for the Definition of Legal Situations, </w:t>
      </w:r>
      <w:r w:rsidR="008C5622">
        <w:rPr>
          <w:sz w:val="18"/>
        </w:rPr>
        <w:t xml:space="preserve">the </w:t>
      </w:r>
      <w:r>
        <w:rPr>
          <w:sz w:val="18"/>
        </w:rPr>
        <w:t xml:space="preserve">dialogue and restorative efforts will continue </w:t>
      </w:r>
      <w:proofErr w:type="gramStart"/>
      <w:r w:rsidR="008C5622">
        <w:rPr>
          <w:sz w:val="18"/>
        </w:rPr>
        <w:t>in order to</w:t>
      </w:r>
      <w:proofErr w:type="gramEnd"/>
      <w:r w:rsidR="008C5622">
        <w:rPr>
          <w:sz w:val="18"/>
        </w:rPr>
        <w:t xml:space="preserve"> </w:t>
      </w:r>
      <w:r w:rsidR="00C73030">
        <w:rPr>
          <w:sz w:val="18"/>
        </w:rPr>
        <w:t xml:space="preserve">obtain concrete </w:t>
      </w:r>
      <w:r>
        <w:rPr>
          <w:sz w:val="18"/>
        </w:rPr>
        <w:t>contributions that guarantee the rights of the victims</w:t>
      </w:r>
      <w:r w:rsidR="00C73030">
        <w:rPr>
          <w:sz w:val="18"/>
        </w:rPr>
        <w:t xml:space="preserve">, and these will be </w:t>
      </w:r>
      <w:r w:rsidR="00546918">
        <w:rPr>
          <w:sz w:val="18"/>
        </w:rPr>
        <w:t>evaluated</w:t>
      </w:r>
      <w:r>
        <w:rPr>
          <w:sz w:val="18"/>
        </w:rPr>
        <w:t>.</w:t>
      </w:r>
      <w:r w:rsidRPr="00206DB4">
        <w:rPr>
          <w:rStyle w:val="FootnoteReference"/>
          <w:sz w:val="18"/>
          <w:szCs w:val="18"/>
          <w:lang w:val="es-AR"/>
        </w:rPr>
        <w:footnoteReference w:id="18"/>
      </w:r>
    </w:p>
    <w:p w14:paraId="53E2D7E8" w14:textId="77777777" w:rsidR="00674DB5" w:rsidRPr="007F1EB5" w:rsidRDefault="00674DB5" w:rsidP="00674DB5">
      <w:pPr>
        <w:pStyle w:val="ListParagraph"/>
        <w:rPr>
          <w:sz w:val="18"/>
          <w:szCs w:val="18"/>
        </w:rPr>
      </w:pPr>
    </w:p>
    <w:p w14:paraId="4081BBBE" w14:textId="1799C08C" w:rsidR="00674DB5" w:rsidRPr="005972B8" w:rsidRDefault="00546918" w:rsidP="00F32864">
      <w:pPr>
        <w:pStyle w:val="ListParagraph"/>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autoSpaceDE w:val="0"/>
        <w:autoSpaceDN w:val="0"/>
        <w:ind w:left="720" w:right="720" w:hanging="11"/>
        <w:jc w:val="both"/>
        <w:rPr>
          <w:sz w:val="18"/>
          <w:szCs w:val="18"/>
        </w:rPr>
      </w:pPr>
      <w:r>
        <w:rPr>
          <w:sz w:val="18"/>
        </w:rPr>
        <w:t xml:space="preserve">With regards to </w:t>
      </w:r>
      <w:r w:rsidR="00674DB5">
        <w:rPr>
          <w:sz w:val="18"/>
        </w:rPr>
        <w:t>the defendants Luis Felipe Villamizar Anaya, Wilson Díaz Durán, and Raimond Piñeres, since July 31, 2018</w:t>
      </w:r>
      <w:r w:rsidR="00016D24">
        <w:rPr>
          <w:sz w:val="18"/>
        </w:rPr>
        <w:t>,</w:t>
      </w:r>
      <w:r w:rsidR="00674DB5">
        <w:rPr>
          <w:sz w:val="18"/>
        </w:rPr>
        <w:t xml:space="preserve"> there has been no progress </w:t>
      </w:r>
      <w:r w:rsidR="00F70A68">
        <w:rPr>
          <w:sz w:val="18"/>
        </w:rPr>
        <w:t xml:space="preserve">in the </w:t>
      </w:r>
      <w:r w:rsidR="00674DB5">
        <w:rPr>
          <w:sz w:val="18"/>
        </w:rPr>
        <w:t xml:space="preserve">investigation, trial, and punishment in the criminal proceedings against them in the ordinary jurisdiction </w:t>
      </w:r>
      <w:r w:rsidR="00F70A68">
        <w:rPr>
          <w:sz w:val="18"/>
        </w:rPr>
        <w:t xml:space="preserve">of </w:t>
      </w:r>
      <w:r w:rsidR="00674DB5">
        <w:rPr>
          <w:sz w:val="18"/>
        </w:rPr>
        <w:t xml:space="preserve">the Criminal Court of the </w:t>
      </w:r>
      <w:r w:rsidR="00F70A68">
        <w:rPr>
          <w:sz w:val="18"/>
        </w:rPr>
        <w:t xml:space="preserve">Circuit of </w:t>
      </w:r>
      <w:proofErr w:type="spellStart"/>
      <w:r w:rsidR="00674DB5">
        <w:rPr>
          <w:sz w:val="18"/>
        </w:rPr>
        <w:t>Saravena</w:t>
      </w:r>
      <w:proofErr w:type="spellEnd"/>
      <w:r w:rsidR="00674DB5">
        <w:rPr>
          <w:sz w:val="18"/>
        </w:rPr>
        <w:t xml:space="preserve"> - Arauca, with provisional headquarters in Arauca - Arauca.</w:t>
      </w:r>
      <w:r w:rsidR="00674DB5" w:rsidRPr="00206DB4">
        <w:rPr>
          <w:rStyle w:val="FootnoteReference"/>
          <w:sz w:val="18"/>
          <w:szCs w:val="18"/>
          <w:lang w:val="es-AR"/>
        </w:rPr>
        <w:footnoteReference w:id="19"/>
      </w:r>
    </w:p>
    <w:p w14:paraId="4C0C4768"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firstLine="709"/>
        <w:jc w:val="both"/>
        <w:rPr>
          <w:rFonts w:ascii="Cambria" w:hAnsi="Cambria"/>
          <w:sz w:val="18"/>
          <w:szCs w:val="18"/>
        </w:rPr>
      </w:pPr>
    </w:p>
    <w:p w14:paraId="0E1C4364" w14:textId="77777777" w:rsidR="00674DB5" w:rsidRPr="00206DB4" w:rsidRDefault="00674DB5" w:rsidP="00674DB5">
      <w:pPr>
        <w:pStyle w:val="Heading4"/>
        <w:spacing w:before="0"/>
        <w:ind w:left="810" w:right="720" w:hanging="90"/>
        <w:rPr>
          <w:rFonts w:ascii="Cambria" w:hAnsi="Cambria"/>
          <w:b/>
          <w:bCs/>
          <w:i w:val="0"/>
          <w:iCs w:val="0"/>
          <w:color w:val="auto"/>
          <w:spacing w:val="-2"/>
          <w:sz w:val="18"/>
          <w:szCs w:val="18"/>
        </w:rPr>
      </w:pPr>
      <w:r>
        <w:rPr>
          <w:rFonts w:ascii="Cambria" w:hAnsi="Cambria"/>
          <w:b/>
          <w:i w:val="0"/>
          <w:color w:val="auto"/>
          <w:sz w:val="18"/>
        </w:rPr>
        <w:t>PART FOUR: BENEFICIARIES</w:t>
      </w:r>
    </w:p>
    <w:p w14:paraId="6D52084D" w14:textId="77777777" w:rsidR="00674DB5" w:rsidRPr="007F1EB5"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hAnsi="Cambria"/>
          <w:b/>
          <w:sz w:val="18"/>
          <w:szCs w:val="18"/>
        </w:rPr>
      </w:pPr>
    </w:p>
    <w:p w14:paraId="7F155BEB" w14:textId="77777777" w:rsidR="00674DB5" w:rsidRPr="00206DB4"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20" w:hanging="11"/>
        <w:jc w:val="both"/>
        <w:rPr>
          <w:rFonts w:ascii="Cambria" w:hAnsi="Cambria"/>
          <w:sz w:val="18"/>
          <w:szCs w:val="18"/>
        </w:rPr>
      </w:pPr>
      <w:r>
        <w:rPr>
          <w:rFonts w:ascii="Cambria" w:hAnsi="Cambria"/>
          <w:sz w:val="18"/>
        </w:rPr>
        <w:t xml:space="preserve">The Colombian State recognizes the following persons as victims in this agreement: </w:t>
      </w:r>
    </w:p>
    <w:tbl>
      <w:tblPr>
        <w:tblpPr w:leftFromText="141" w:rightFromText="141" w:vertAnchor="text" w:horzAnchor="margin" w:tblpXSpec="center" w:tblpY="137"/>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2131"/>
      </w:tblGrid>
      <w:tr w:rsidR="00674DB5" w:rsidRPr="0019594F" w14:paraId="52E945FC" w14:textId="77777777" w:rsidTr="005C365E">
        <w:trPr>
          <w:trHeight w:val="208"/>
        </w:trPr>
        <w:tc>
          <w:tcPr>
            <w:tcW w:w="3823" w:type="dxa"/>
            <w:shd w:val="clear" w:color="auto" w:fill="D9D9D9" w:themeFill="background1" w:themeFillShade="D9"/>
            <w:tcMar>
              <w:top w:w="0" w:type="dxa"/>
              <w:left w:w="108" w:type="dxa"/>
              <w:bottom w:w="0" w:type="dxa"/>
              <w:right w:w="108" w:type="dxa"/>
            </w:tcMar>
            <w:vAlign w:val="center"/>
            <w:hideMark/>
          </w:tcPr>
          <w:p w14:paraId="71744094" w14:textId="77777777" w:rsidR="00674DB5" w:rsidRPr="00206DB4" w:rsidRDefault="00674DB5" w:rsidP="005C365E">
            <w:pPr>
              <w:pBdr>
                <w:top w:val="none" w:sz="0" w:space="0" w:color="auto"/>
                <w:left w:val="none" w:sz="0" w:space="0" w:color="auto"/>
                <w:bottom w:val="none" w:sz="0" w:space="0" w:color="auto"/>
                <w:right w:val="none" w:sz="0" w:space="0" w:color="auto"/>
                <w:between w:val="none" w:sz="0" w:space="0" w:color="auto"/>
                <w:bar w:val="none" w:sz="0" w:color="auto"/>
              </w:pBdr>
              <w:ind w:right="720"/>
              <w:jc w:val="center"/>
              <w:rPr>
                <w:rFonts w:ascii="Cambria" w:hAnsi="Cambria"/>
                <w:b/>
                <w:bCs/>
                <w:sz w:val="18"/>
                <w:szCs w:val="18"/>
              </w:rPr>
            </w:pPr>
            <w:r>
              <w:rPr>
                <w:rFonts w:ascii="Cambria" w:hAnsi="Cambria"/>
                <w:b/>
                <w:sz w:val="18"/>
              </w:rPr>
              <w:t>Name</w:t>
            </w:r>
          </w:p>
        </w:tc>
        <w:tc>
          <w:tcPr>
            <w:tcW w:w="2131" w:type="dxa"/>
            <w:shd w:val="clear" w:color="auto" w:fill="D9D9D9" w:themeFill="background1" w:themeFillShade="D9"/>
            <w:tcMar>
              <w:top w:w="0" w:type="dxa"/>
              <w:left w:w="108" w:type="dxa"/>
              <w:bottom w:w="0" w:type="dxa"/>
              <w:right w:w="108" w:type="dxa"/>
            </w:tcMar>
            <w:vAlign w:val="center"/>
            <w:hideMark/>
          </w:tcPr>
          <w:p w14:paraId="13DE5180" w14:textId="77777777" w:rsidR="00674DB5" w:rsidRPr="00206DB4" w:rsidRDefault="00674DB5" w:rsidP="005C36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b/>
                <w:bCs/>
                <w:sz w:val="18"/>
                <w:szCs w:val="18"/>
              </w:rPr>
            </w:pPr>
            <w:r>
              <w:rPr>
                <w:rFonts w:ascii="Cambria" w:hAnsi="Cambria"/>
                <w:b/>
                <w:sz w:val="18"/>
              </w:rPr>
              <w:t xml:space="preserve">Relationship </w:t>
            </w:r>
            <w:proofErr w:type="gramStart"/>
            <w:r>
              <w:rPr>
                <w:rFonts w:ascii="Cambria" w:hAnsi="Cambria"/>
                <w:b/>
                <w:sz w:val="18"/>
              </w:rPr>
              <w:t>to</w:t>
            </w:r>
            <w:proofErr w:type="gramEnd"/>
            <w:r>
              <w:rPr>
                <w:rFonts w:ascii="Cambria" w:hAnsi="Cambria"/>
                <w:b/>
                <w:sz w:val="18"/>
              </w:rPr>
              <w:t xml:space="preserve"> the direct victim</w:t>
            </w:r>
          </w:p>
        </w:tc>
      </w:tr>
      <w:tr w:rsidR="00674DB5" w:rsidRPr="00206DB4" w14:paraId="7EB77E26" w14:textId="77777777" w:rsidTr="005C365E">
        <w:trPr>
          <w:trHeight w:val="208"/>
        </w:trPr>
        <w:tc>
          <w:tcPr>
            <w:tcW w:w="3823" w:type="dxa"/>
            <w:tcMar>
              <w:top w:w="0" w:type="dxa"/>
              <w:left w:w="108" w:type="dxa"/>
              <w:bottom w:w="0" w:type="dxa"/>
              <w:right w:w="108" w:type="dxa"/>
            </w:tcMar>
            <w:vAlign w:val="center"/>
          </w:tcPr>
          <w:p w14:paraId="5A2EAE03" w14:textId="77777777" w:rsidR="00674DB5" w:rsidRPr="00206DB4" w:rsidRDefault="00674DB5" w:rsidP="005C365E">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mbria" w:hAnsi="Cambria"/>
                <w:sz w:val="18"/>
                <w:szCs w:val="18"/>
              </w:rPr>
            </w:pPr>
            <w:r>
              <w:rPr>
                <w:rFonts w:ascii="Cambria" w:hAnsi="Cambria"/>
                <w:sz w:val="18"/>
              </w:rPr>
              <w:t xml:space="preserve">Jhon Jairo </w:t>
            </w:r>
            <w:proofErr w:type="spellStart"/>
            <w:r>
              <w:rPr>
                <w:rFonts w:ascii="Cambria" w:hAnsi="Cambria"/>
                <w:sz w:val="18"/>
              </w:rPr>
              <w:t>Cabarique</w:t>
            </w:r>
            <w:proofErr w:type="spellEnd"/>
          </w:p>
        </w:tc>
        <w:tc>
          <w:tcPr>
            <w:tcW w:w="2131" w:type="dxa"/>
            <w:tcMar>
              <w:top w:w="0" w:type="dxa"/>
              <w:left w:w="108" w:type="dxa"/>
              <w:bottom w:w="0" w:type="dxa"/>
              <w:right w:w="108" w:type="dxa"/>
            </w:tcMar>
            <w:vAlign w:val="center"/>
          </w:tcPr>
          <w:p w14:paraId="4BD67E48" w14:textId="77777777" w:rsidR="00674DB5" w:rsidRPr="00206DB4" w:rsidRDefault="00674DB5" w:rsidP="005C365E">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18"/>
                <w:szCs w:val="18"/>
              </w:rPr>
            </w:pPr>
            <w:r>
              <w:rPr>
                <w:rFonts w:ascii="Cambria" w:hAnsi="Cambria"/>
                <w:sz w:val="18"/>
              </w:rPr>
              <w:t>Direct victim</w:t>
            </w:r>
          </w:p>
        </w:tc>
      </w:tr>
      <w:tr w:rsidR="00674DB5" w:rsidRPr="00206DB4" w14:paraId="62F1ABFE" w14:textId="77777777" w:rsidTr="005C365E">
        <w:trPr>
          <w:trHeight w:val="60"/>
        </w:trPr>
        <w:tc>
          <w:tcPr>
            <w:tcW w:w="3823" w:type="dxa"/>
            <w:shd w:val="clear" w:color="auto" w:fill="FFFFFF" w:themeFill="background1"/>
            <w:tcMar>
              <w:top w:w="0" w:type="dxa"/>
              <w:left w:w="108" w:type="dxa"/>
              <w:bottom w:w="0" w:type="dxa"/>
              <w:right w:w="108" w:type="dxa"/>
            </w:tcMar>
            <w:vAlign w:val="center"/>
          </w:tcPr>
          <w:p w14:paraId="606F6A85" w14:textId="77777777" w:rsidR="00674DB5" w:rsidRPr="00206DB4" w:rsidRDefault="00674DB5" w:rsidP="005C365E">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mbria" w:hAnsi="Cambria"/>
                <w:sz w:val="18"/>
                <w:szCs w:val="18"/>
              </w:rPr>
            </w:pPr>
            <w:r>
              <w:rPr>
                <w:rFonts w:ascii="Cambria" w:hAnsi="Cambria"/>
                <w:sz w:val="18"/>
              </w:rPr>
              <w:t>Kevin Alfonso Álvarez Cabarique</w:t>
            </w:r>
          </w:p>
        </w:tc>
        <w:tc>
          <w:tcPr>
            <w:tcW w:w="2131" w:type="dxa"/>
            <w:shd w:val="clear" w:color="auto" w:fill="FFFFFF" w:themeFill="background1"/>
            <w:tcMar>
              <w:top w:w="0" w:type="dxa"/>
              <w:left w:w="108" w:type="dxa"/>
              <w:bottom w:w="0" w:type="dxa"/>
              <w:right w:w="108" w:type="dxa"/>
            </w:tcMar>
            <w:vAlign w:val="center"/>
          </w:tcPr>
          <w:p w14:paraId="2D564DC1" w14:textId="77777777" w:rsidR="00674DB5" w:rsidRPr="00206DB4" w:rsidRDefault="00674DB5" w:rsidP="005C365E">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18"/>
                <w:szCs w:val="18"/>
              </w:rPr>
            </w:pPr>
            <w:r>
              <w:rPr>
                <w:rFonts w:ascii="Cambria" w:hAnsi="Cambria"/>
                <w:sz w:val="18"/>
              </w:rPr>
              <w:t xml:space="preserve">Brother </w:t>
            </w:r>
          </w:p>
        </w:tc>
      </w:tr>
      <w:tr w:rsidR="00674DB5" w:rsidRPr="00206DB4" w14:paraId="32C55311" w14:textId="77777777" w:rsidTr="005C365E">
        <w:trPr>
          <w:trHeight w:val="60"/>
        </w:trPr>
        <w:tc>
          <w:tcPr>
            <w:tcW w:w="3823" w:type="dxa"/>
            <w:shd w:val="clear" w:color="auto" w:fill="FFFFFF" w:themeFill="background1"/>
            <w:tcMar>
              <w:top w:w="0" w:type="dxa"/>
              <w:left w:w="108" w:type="dxa"/>
              <w:bottom w:w="0" w:type="dxa"/>
              <w:right w:w="108" w:type="dxa"/>
            </w:tcMar>
            <w:vAlign w:val="center"/>
          </w:tcPr>
          <w:p w14:paraId="6C602908" w14:textId="77777777" w:rsidR="00674DB5" w:rsidRPr="00206DB4" w:rsidRDefault="00674DB5" w:rsidP="005C365E">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mbria" w:hAnsi="Cambria"/>
                <w:sz w:val="18"/>
                <w:szCs w:val="18"/>
              </w:rPr>
            </w:pPr>
            <w:r>
              <w:rPr>
                <w:rFonts w:ascii="Cambria" w:hAnsi="Cambria"/>
                <w:sz w:val="18"/>
              </w:rPr>
              <w:t xml:space="preserve">Rosalba </w:t>
            </w:r>
            <w:proofErr w:type="spellStart"/>
            <w:r>
              <w:rPr>
                <w:rFonts w:ascii="Cambria" w:hAnsi="Cambria"/>
                <w:sz w:val="18"/>
              </w:rPr>
              <w:t>Cabarique</w:t>
            </w:r>
            <w:proofErr w:type="spellEnd"/>
            <w:r>
              <w:rPr>
                <w:rFonts w:ascii="Cambria" w:hAnsi="Cambria"/>
                <w:sz w:val="18"/>
              </w:rPr>
              <w:t xml:space="preserve"> Fuentes</w:t>
            </w:r>
          </w:p>
        </w:tc>
        <w:tc>
          <w:tcPr>
            <w:tcW w:w="2131" w:type="dxa"/>
            <w:shd w:val="clear" w:color="auto" w:fill="FFFFFF" w:themeFill="background1"/>
            <w:tcMar>
              <w:top w:w="0" w:type="dxa"/>
              <w:left w:w="108" w:type="dxa"/>
              <w:bottom w:w="0" w:type="dxa"/>
              <w:right w:w="108" w:type="dxa"/>
            </w:tcMar>
            <w:vAlign w:val="center"/>
          </w:tcPr>
          <w:p w14:paraId="4012F81D" w14:textId="77777777" w:rsidR="00674DB5" w:rsidRPr="00206DB4" w:rsidRDefault="00674DB5" w:rsidP="005C365E">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18"/>
                <w:szCs w:val="18"/>
              </w:rPr>
            </w:pPr>
            <w:r>
              <w:rPr>
                <w:rFonts w:ascii="Cambria" w:hAnsi="Cambria"/>
                <w:sz w:val="18"/>
              </w:rPr>
              <w:t>Mother</w:t>
            </w:r>
          </w:p>
        </w:tc>
      </w:tr>
      <w:tr w:rsidR="00674DB5" w:rsidRPr="00206DB4" w14:paraId="41D706FF" w14:textId="77777777" w:rsidTr="005C365E">
        <w:trPr>
          <w:trHeight w:val="60"/>
        </w:trPr>
        <w:tc>
          <w:tcPr>
            <w:tcW w:w="3823" w:type="dxa"/>
            <w:shd w:val="clear" w:color="auto" w:fill="FFFFFF" w:themeFill="background1"/>
            <w:tcMar>
              <w:top w:w="0" w:type="dxa"/>
              <w:left w:w="108" w:type="dxa"/>
              <w:bottom w:w="0" w:type="dxa"/>
              <w:right w:w="108" w:type="dxa"/>
            </w:tcMar>
            <w:vAlign w:val="center"/>
          </w:tcPr>
          <w:p w14:paraId="5710878B" w14:textId="77777777" w:rsidR="00674DB5" w:rsidRPr="00206DB4" w:rsidRDefault="00674DB5" w:rsidP="005C365E">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mbria" w:hAnsi="Cambria"/>
                <w:sz w:val="18"/>
                <w:szCs w:val="18"/>
              </w:rPr>
            </w:pPr>
            <w:r>
              <w:rPr>
                <w:rFonts w:ascii="Cambria" w:hAnsi="Cambria"/>
                <w:sz w:val="18"/>
              </w:rPr>
              <w:t xml:space="preserve">Jaquelin Bravo </w:t>
            </w:r>
            <w:proofErr w:type="spellStart"/>
            <w:r>
              <w:rPr>
                <w:rFonts w:ascii="Cambria" w:hAnsi="Cambria"/>
                <w:sz w:val="18"/>
              </w:rPr>
              <w:t>Cabarique</w:t>
            </w:r>
            <w:proofErr w:type="spellEnd"/>
          </w:p>
        </w:tc>
        <w:tc>
          <w:tcPr>
            <w:tcW w:w="2131" w:type="dxa"/>
            <w:shd w:val="clear" w:color="auto" w:fill="FFFFFF" w:themeFill="background1"/>
            <w:tcMar>
              <w:top w:w="0" w:type="dxa"/>
              <w:left w:w="108" w:type="dxa"/>
              <w:bottom w:w="0" w:type="dxa"/>
              <w:right w:w="108" w:type="dxa"/>
            </w:tcMar>
            <w:vAlign w:val="center"/>
          </w:tcPr>
          <w:p w14:paraId="302CCD91" w14:textId="77777777" w:rsidR="00674DB5" w:rsidRPr="00206DB4" w:rsidRDefault="00674DB5" w:rsidP="005C365E">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18"/>
                <w:szCs w:val="18"/>
              </w:rPr>
            </w:pPr>
            <w:r>
              <w:rPr>
                <w:rFonts w:ascii="Cambria" w:hAnsi="Cambria"/>
                <w:sz w:val="18"/>
              </w:rPr>
              <w:t xml:space="preserve">Sister </w:t>
            </w:r>
          </w:p>
        </w:tc>
      </w:tr>
    </w:tbl>
    <w:p w14:paraId="71343DE0" w14:textId="77777777" w:rsidR="00674DB5" w:rsidRPr="00206DB4" w:rsidRDefault="00674DB5" w:rsidP="00674DB5">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center"/>
        <w:rPr>
          <w:rFonts w:ascii="Cambria" w:hAnsi="Cambria"/>
          <w:sz w:val="18"/>
          <w:szCs w:val="18"/>
          <w:lang w:val="es-ES"/>
        </w:rPr>
      </w:pPr>
    </w:p>
    <w:p w14:paraId="7C36A106" w14:textId="77777777" w:rsidR="00674DB5" w:rsidRPr="00206DB4" w:rsidRDefault="00674DB5" w:rsidP="00674DB5">
      <w:pPr>
        <w:pStyle w:val="BodyText"/>
        <w:spacing w:after="0"/>
        <w:ind w:left="810" w:right="720" w:hanging="90"/>
        <w:jc w:val="center"/>
        <w:rPr>
          <w:rFonts w:ascii="Cambria" w:hAnsi="Cambria"/>
          <w:sz w:val="18"/>
          <w:szCs w:val="18"/>
          <w:lang w:val="es-AR"/>
        </w:rPr>
      </w:pPr>
    </w:p>
    <w:p w14:paraId="56CC5DB0" w14:textId="77777777" w:rsidR="00674DB5" w:rsidRPr="00206DB4" w:rsidRDefault="00674DB5" w:rsidP="00674DB5">
      <w:pPr>
        <w:pStyle w:val="BodyText"/>
        <w:spacing w:after="0"/>
        <w:ind w:left="810" w:right="720" w:hanging="90"/>
        <w:jc w:val="center"/>
        <w:rPr>
          <w:rFonts w:ascii="Cambria" w:hAnsi="Cambria"/>
          <w:sz w:val="18"/>
          <w:szCs w:val="18"/>
          <w:lang w:val="es-AR"/>
        </w:rPr>
      </w:pPr>
    </w:p>
    <w:p w14:paraId="7933022D" w14:textId="77777777" w:rsidR="00674DB5" w:rsidRPr="00206DB4" w:rsidRDefault="00674DB5" w:rsidP="00674DB5">
      <w:pPr>
        <w:ind w:left="810" w:right="720" w:hanging="90"/>
        <w:jc w:val="center"/>
        <w:rPr>
          <w:rFonts w:ascii="Cambria" w:hAnsi="Cambria"/>
          <w:w w:val="105"/>
          <w:sz w:val="18"/>
          <w:szCs w:val="18"/>
          <w:lang w:val="es-AR"/>
        </w:rPr>
      </w:pPr>
    </w:p>
    <w:p w14:paraId="34E75F00" w14:textId="77777777" w:rsidR="00674DB5" w:rsidRPr="00206DB4" w:rsidRDefault="00674DB5" w:rsidP="00674DB5">
      <w:pPr>
        <w:ind w:left="810" w:right="720" w:hanging="90"/>
        <w:jc w:val="center"/>
        <w:rPr>
          <w:rFonts w:ascii="Cambria" w:hAnsi="Cambria"/>
          <w:w w:val="105"/>
          <w:sz w:val="18"/>
          <w:szCs w:val="18"/>
          <w:lang w:val="es-AR"/>
        </w:rPr>
      </w:pPr>
    </w:p>
    <w:p w14:paraId="2B345725" w14:textId="77777777" w:rsidR="00674DB5" w:rsidRPr="00206DB4" w:rsidRDefault="00674DB5" w:rsidP="00674DB5">
      <w:pPr>
        <w:ind w:left="810" w:right="720" w:hanging="90"/>
        <w:jc w:val="both"/>
        <w:rPr>
          <w:rFonts w:ascii="Cambria" w:hAnsi="Cambria"/>
          <w:w w:val="105"/>
          <w:sz w:val="18"/>
          <w:szCs w:val="18"/>
          <w:lang w:val="es-AR"/>
        </w:rPr>
      </w:pPr>
    </w:p>
    <w:p w14:paraId="11FFFF9C" w14:textId="77777777" w:rsidR="00674DB5" w:rsidRPr="00206DB4" w:rsidRDefault="00674DB5" w:rsidP="00674DB5">
      <w:pPr>
        <w:ind w:left="810" w:right="720" w:hanging="90"/>
        <w:jc w:val="both"/>
        <w:rPr>
          <w:rFonts w:ascii="Cambria" w:hAnsi="Cambria"/>
          <w:w w:val="105"/>
          <w:sz w:val="18"/>
          <w:szCs w:val="18"/>
          <w:lang w:val="es-AR"/>
        </w:rPr>
      </w:pPr>
    </w:p>
    <w:p w14:paraId="24FDBCFE" w14:textId="77777777" w:rsidR="00674DB5" w:rsidRPr="00206DB4" w:rsidRDefault="00674DB5" w:rsidP="00674DB5">
      <w:pPr>
        <w:ind w:right="720"/>
        <w:jc w:val="both"/>
        <w:rPr>
          <w:rFonts w:ascii="Cambria" w:hAnsi="Cambria"/>
          <w:sz w:val="18"/>
          <w:szCs w:val="18"/>
          <w:lang w:val="es-AR"/>
        </w:rPr>
      </w:pPr>
    </w:p>
    <w:p w14:paraId="35483464" w14:textId="007C8784" w:rsidR="00674DB5" w:rsidRPr="00206DB4" w:rsidRDefault="00674DB5" w:rsidP="00674DB5">
      <w:pPr>
        <w:ind w:left="709" w:right="713"/>
        <w:jc w:val="both"/>
        <w:rPr>
          <w:rFonts w:ascii="Cambria" w:hAnsi="Cambria"/>
          <w:sz w:val="18"/>
          <w:szCs w:val="18"/>
        </w:rPr>
      </w:pPr>
      <w:r>
        <w:rPr>
          <w:rFonts w:ascii="Cambria" w:hAnsi="Cambria"/>
          <w:sz w:val="18"/>
        </w:rPr>
        <w:t xml:space="preserve">By signing this Friendly Settlement Agreement, the petitioners declare that the persons listed above are the </w:t>
      </w:r>
      <w:r w:rsidR="00FC0664">
        <w:rPr>
          <w:rFonts w:ascii="Cambria" w:hAnsi="Cambria"/>
          <w:sz w:val="18"/>
        </w:rPr>
        <w:t xml:space="preserve">family members </w:t>
      </w:r>
      <w:r>
        <w:rPr>
          <w:rFonts w:ascii="Cambria" w:hAnsi="Cambria"/>
          <w:sz w:val="18"/>
        </w:rPr>
        <w:t>of Jhon Jairo Cabarique, with legal standing and interested in pursuing this proceeding and that they: i) were alive at the time of the occurrence of the facts;</w:t>
      </w:r>
      <w:r w:rsidRPr="00206DB4">
        <w:rPr>
          <w:rStyle w:val="FootnoteReference"/>
          <w:rFonts w:ascii="Cambria" w:hAnsi="Cambria"/>
          <w:sz w:val="18"/>
          <w:szCs w:val="18"/>
          <w:lang w:val="es-AR"/>
        </w:rPr>
        <w:footnoteReference w:id="20"/>
      </w:r>
      <w:r>
        <w:rPr>
          <w:rFonts w:ascii="Cambria" w:hAnsi="Cambria"/>
          <w:sz w:val="18"/>
        </w:rPr>
        <w:t xml:space="preserve"> and ii) are alive at the signing of this document.</w:t>
      </w:r>
    </w:p>
    <w:p w14:paraId="2E0EAB2F" w14:textId="77777777" w:rsidR="00674DB5" w:rsidRPr="007F1EB5" w:rsidRDefault="00674DB5" w:rsidP="00674DB5">
      <w:pPr>
        <w:ind w:left="709" w:right="713"/>
        <w:jc w:val="both"/>
        <w:rPr>
          <w:rFonts w:ascii="Cambria" w:hAnsi="Cambria"/>
          <w:sz w:val="18"/>
          <w:szCs w:val="18"/>
        </w:rPr>
      </w:pPr>
    </w:p>
    <w:p w14:paraId="03C9EF29" w14:textId="77777777" w:rsidR="00674DB5" w:rsidRPr="00206DB4" w:rsidRDefault="00674DB5" w:rsidP="00674DB5">
      <w:pPr>
        <w:ind w:left="709" w:right="713"/>
        <w:jc w:val="both"/>
        <w:rPr>
          <w:rFonts w:ascii="Cambria" w:hAnsi="Cambria"/>
          <w:sz w:val="18"/>
          <w:szCs w:val="18"/>
        </w:rPr>
      </w:pPr>
      <w:r>
        <w:rPr>
          <w:rFonts w:ascii="Cambria" w:hAnsi="Cambria"/>
          <w:sz w:val="18"/>
        </w:rPr>
        <w:t>Thus, following the signing of the Friendly Settlement Agreement, the parties agree that no new beneficiaries will be included.</w:t>
      </w:r>
    </w:p>
    <w:p w14:paraId="74E8BD80" w14:textId="77777777" w:rsidR="00674DB5" w:rsidRPr="007F1EB5" w:rsidRDefault="00674DB5" w:rsidP="00674DB5">
      <w:pPr>
        <w:ind w:right="720"/>
        <w:rPr>
          <w:rFonts w:ascii="Cambria" w:hAnsi="Cambria"/>
          <w:b/>
          <w:bCs/>
          <w:sz w:val="18"/>
          <w:szCs w:val="18"/>
        </w:rPr>
      </w:pPr>
    </w:p>
    <w:p w14:paraId="1FBACDE4" w14:textId="77777777" w:rsidR="00674DB5" w:rsidRPr="00055FD8" w:rsidRDefault="00674DB5" w:rsidP="00674DB5">
      <w:pPr>
        <w:ind w:left="810" w:right="720" w:hanging="90"/>
        <w:rPr>
          <w:rFonts w:ascii="Cambria" w:hAnsi="Cambria"/>
          <w:b/>
          <w:bCs/>
          <w:sz w:val="18"/>
          <w:szCs w:val="18"/>
        </w:rPr>
      </w:pPr>
      <w:r>
        <w:rPr>
          <w:rFonts w:ascii="Cambria" w:hAnsi="Cambria"/>
          <w:b/>
          <w:sz w:val="18"/>
        </w:rPr>
        <w:t>PART FIVE</w:t>
      </w:r>
      <w:proofErr w:type="gramStart"/>
      <w:r>
        <w:rPr>
          <w:rFonts w:ascii="Cambria" w:hAnsi="Cambria"/>
          <w:b/>
          <w:sz w:val="18"/>
        </w:rPr>
        <w:t>:  ACKNOWLEDGMENT</w:t>
      </w:r>
      <w:proofErr w:type="gramEnd"/>
      <w:r>
        <w:rPr>
          <w:rFonts w:ascii="Cambria" w:hAnsi="Cambria"/>
          <w:b/>
          <w:sz w:val="18"/>
        </w:rPr>
        <w:t xml:space="preserve"> OF RESPONSIBILITY</w:t>
      </w:r>
    </w:p>
    <w:p w14:paraId="5C795701" w14:textId="77777777" w:rsidR="00674DB5" w:rsidRPr="007F1EB5" w:rsidRDefault="00674DB5" w:rsidP="00674DB5">
      <w:pPr>
        <w:pStyle w:val="BodyText"/>
        <w:spacing w:after="0"/>
        <w:ind w:right="720"/>
        <w:jc w:val="both"/>
        <w:rPr>
          <w:rFonts w:ascii="Cambria" w:hAnsi="Cambria"/>
          <w:sz w:val="18"/>
          <w:szCs w:val="18"/>
        </w:rPr>
      </w:pPr>
    </w:p>
    <w:p w14:paraId="360B9D87" w14:textId="3E5C1102" w:rsidR="00674DB5" w:rsidRPr="00206DB4" w:rsidRDefault="00674DB5" w:rsidP="00674DB5">
      <w:pPr>
        <w:pStyle w:val="BodyText"/>
        <w:spacing w:after="0"/>
        <w:ind w:left="709" w:right="720" w:firstLine="11"/>
        <w:jc w:val="both"/>
        <w:rPr>
          <w:rFonts w:ascii="Cambria" w:hAnsi="Cambria"/>
          <w:sz w:val="18"/>
          <w:szCs w:val="18"/>
        </w:rPr>
      </w:pPr>
      <w:r>
        <w:rPr>
          <w:rFonts w:ascii="Cambria" w:hAnsi="Cambria"/>
          <w:sz w:val="18"/>
        </w:rPr>
        <w:t xml:space="preserve">The Colombian State acknowledges international responsibility for the violation of the rights enshrined in Articles 4 (right to life) to the detriment of Jhon Jairo Cabarique, as well as Articles 5 (right to </w:t>
      </w:r>
      <w:r w:rsidR="008C03E5">
        <w:rPr>
          <w:rFonts w:ascii="Cambria" w:hAnsi="Cambria"/>
          <w:sz w:val="18"/>
        </w:rPr>
        <w:t>humane treatment</w:t>
      </w:r>
      <w:r>
        <w:rPr>
          <w:rFonts w:ascii="Cambria" w:hAnsi="Cambria"/>
          <w:sz w:val="18"/>
        </w:rPr>
        <w:t xml:space="preserve">), 8 (judicial guarantees), and 25 (judicial protection) to the detriment of the victim and his </w:t>
      </w:r>
      <w:r w:rsidR="00C00BD3">
        <w:rPr>
          <w:rFonts w:ascii="Cambria" w:hAnsi="Cambria"/>
          <w:sz w:val="18"/>
        </w:rPr>
        <w:t xml:space="preserve">family </w:t>
      </w:r>
      <w:r>
        <w:rPr>
          <w:rFonts w:ascii="Cambria" w:hAnsi="Cambria"/>
          <w:sz w:val="18"/>
        </w:rPr>
        <w:t xml:space="preserve">for the events that occurred on January 10, 1997, in which members of the security forces shot young Jhon Jairo </w:t>
      </w:r>
      <w:proofErr w:type="spellStart"/>
      <w:r>
        <w:rPr>
          <w:rFonts w:ascii="Cambria" w:hAnsi="Cambria"/>
          <w:sz w:val="18"/>
        </w:rPr>
        <w:t>Cabarique</w:t>
      </w:r>
      <w:proofErr w:type="spellEnd"/>
      <w:r>
        <w:rPr>
          <w:rFonts w:ascii="Cambria" w:hAnsi="Cambria"/>
          <w:sz w:val="18"/>
        </w:rPr>
        <w:t xml:space="preserve"> in </w:t>
      </w:r>
      <w:proofErr w:type="spellStart"/>
      <w:r>
        <w:rPr>
          <w:rFonts w:ascii="Cambria" w:hAnsi="Cambria"/>
          <w:sz w:val="18"/>
        </w:rPr>
        <w:t>Saravena</w:t>
      </w:r>
      <w:proofErr w:type="spellEnd"/>
      <w:r>
        <w:rPr>
          <w:rFonts w:ascii="Cambria" w:hAnsi="Cambria"/>
          <w:sz w:val="18"/>
        </w:rPr>
        <w:t xml:space="preserve"> (Arauca), wh</w:t>
      </w:r>
      <w:r w:rsidR="00155783">
        <w:rPr>
          <w:rFonts w:ascii="Cambria" w:hAnsi="Cambria"/>
          <w:sz w:val="18"/>
        </w:rPr>
        <w:t>ile</w:t>
      </w:r>
      <w:r>
        <w:rPr>
          <w:rFonts w:ascii="Cambria" w:hAnsi="Cambria"/>
          <w:sz w:val="18"/>
        </w:rPr>
        <w:t xml:space="preserve"> he was riding a motorcycle through the </w:t>
      </w:r>
      <w:r w:rsidR="00155783">
        <w:rPr>
          <w:rFonts w:ascii="Cambria" w:hAnsi="Cambria"/>
          <w:sz w:val="18"/>
        </w:rPr>
        <w:t>town center</w:t>
      </w:r>
      <w:r>
        <w:rPr>
          <w:rFonts w:ascii="Cambria" w:hAnsi="Cambria"/>
          <w:sz w:val="18"/>
        </w:rPr>
        <w:t xml:space="preserve">. </w:t>
      </w:r>
      <w:r w:rsidR="00FF452E">
        <w:rPr>
          <w:rFonts w:ascii="Cambria" w:hAnsi="Cambria"/>
          <w:sz w:val="18"/>
        </w:rPr>
        <w:t xml:space="preserve">When he passed the checkpoint and heard </w:t>
      </w:r>
      <w:r>
        <w:rPr>
          <w:rFonts w:ascii="Cambria" w:hAnsi="Cambria"/>
          <w:sz w:val="18"/>
        </w:rPr>
        <w:t xml:space="preserve">gunshots, young Jhon Cairo </w:t>
      </w:r>
      <w:proofErr w:type="spellStart"/>
      <w:r>
        <w:rPr>
          <w:rFonts w:ascii="Cambria" w:hAnsi="Cambria"/>
          <w:sz w:val="18"/>
        </w:rPr>
        <w:t>Cabarique</w:t>
      </w:r>
      <w:proofErr w:type="spellEnd"/>
      <w:r>
        <w:rPr>
          <w:rFonts w:ascii="Cambria" w:hAnsi="Cambria"/>
          <w:sz w:val="18"/>
        </w:rPr>
        <w:t xml:space="preserve"> got off his motorcycle and raised his arms </w:t>
      </w:r>
      <w:r w:rsidR="00780390">
        <w:rPr>
          <w:rFonts w:ascii="Cambria" w:hAnsi="Cambria"/>
          <w:sz w:val="18"/>
        </w:rPr>
        <w:t xml:space="preserve">to show </w:t>
      </w:r>
      <w:r>
        <w:rPr>
          <w:rFonts w:ascii="Cambria" w:hAnsi="Cambria"/>
          <w:sz w:val="18"/>
        </w:rPr>
        <w:t xml:space="preserve">that he was unarmed and defenseless. He then </w:t>
      </w:r>
      <w:r w:rsidR="002B06C1">
        <w:rPr>
          <w:rFonts w:ascii="Cambria" w:hAnsi="Cambria"/>
          <w:sz w:val="18"/>
        </w:rPr>
        <w:t xml:space="preserve">began to run, pursued by </w:t>
      </w:r>
      <w:r>
        <w:rPr>
          <w:rFonts w:ascii="Cambria" w:hAnsi="Cambria"/>
          <w:sz w:val="18"/>
        </w:rPr>
        <w:t xml:space="preserve">members of the security forces stationed at the checkpoint. </w:t>
      </w:r>
      <w:r w:rsidR="00F021D5">
        <w:rPr>
          <w:rFonts w:ascii="Cambria" w:hAnsi="Cambria"/>
          <w:sz w:val="18"/>
        </w:rPr>
        <w:t xml:space="preserve">They followed young </w:t>
      </w:r>
      <w:r>
        <w:rPr>
          <w:rFonts w:ascii="Cambria" w:hAnsi="Cambria"/>
          <w:sz w:val="18"/>
        </w:rPr>
        <w:t xml:space="preserve">Jhon Jairo </w:t>
      </w:r>
      <w:proofErr w:type="spellStart"/>
      <w:r>
        <w:rPr>
          <w:rFonts w:ascii="Cambria" w:hAnsi="Cambria"/>
          <w:sz w:val="18"/>
        </w:rPr>
        <w:t>Cabarique</w:t>
      </w:r>
      <w:proofErr w:type="spellEnd"/>
      <w:r>
        <w:rPr>
          <w:rFonts w:ascii="Cambria" w:hAnsi="Cambria"/>
          <w:sz w:val="18"/>
        </w:rPr>
        <w:t xml:space="preserve"> to the junction of Carrera 16 A with Calle 30, where the homicide took place.</w:t>
      </w:r>
    </w:p>
    <w:p w14:paraId="76A7078D" w14:textId="77777777" w:rsidR="00674DB5" w:rsidRPr="007F1EB5" w:rsidRDefault="00674DB5" w:rsidP="00674DB5">
      <w:pPr>
        <w:pStyle w:val="BodyText"/>
        <w:spacing w:after="0"/>
        <w:ind w:right="720"/>
        <w:jc w:val="both"/>
        <w:rPr>
          <w:rFonts w:ascii="Cambria" w:hAnsi="Cambria"/>
          <w:sz w:val="18"/>
          <w:szCs w:val="18"/>
        </w:rPr>
      </w:pPr>
    </w:p>
    <w:p w14:paraId="00D99F51" w14:textId="77777777" w:rsidR="00674DB5" w:rsidRPr="00206DB4" w:rsidRDefault="00674DB5" w:rsidP="00674DB5">
      <w:pPr>
        <w:ind w:left="810" w:right="720" w:hanging="90"/>
        <w:rPr>
          <w:rFonts w:ascii="Cambria" w:hAnsi="Cambria"/>
          <w:b/>
          <w:bCs/>
          <w:w w:val="105"/>
          <w:sz w:val="18"/>
          <w:szCs w:val="18"/>
        </w:rPr>
      </w:pPr>
      <w:r>
        <w:rPr>
          <w:rFonts w:ascii="Cambria" w:hAnsi="Cambria"/>
          <w:b/>
          <w:sz w:val="18"/>
        </w:rPr>
        <w:t>PART SIX: MEASURES OF SATISFACTION</w:t>
      </w:r>
    </w:p>
    <w:p w14:paraId="37C199E7" w14:textId="77777777" w:rsidR="00674DB5" w:rsidRPr="007F1EB5" w:rsidRDefault="00674DB5" w:rsidP="00674DB5">
      <w:pPr>
        <w:ind w:left="810" w:right="720" w:hanging="90"/>
        <w:jc w:val="both"/>
        <w:rPr>
          <w:rFonts w:ascii="Cambria" w:hAnsi="Cambria"/>
          <w:b/>
          <w:bCs/>
          <w:w w:val="105"/>
          <w:sz w:val="18"/>
          <w:szCs w:val="18"/>
        </w:rPr>
      </w:pPr>
    </w:p>
    <w:p w14:paraId="193A0498" w14:textId="6D054FD1" w:rsidR="00674DB5" w:rsidRPr="00206DB4" w:rsidRDefault="00674DB5" w:rsidP="00674DB5">
      <w:pPr>
        <w:ind w:left="810" w:right="720" w:hanging="90"/>
        <w:jc w:val="both"/>
        <w:rPr>
          <w:rFonts w:ascii="Cambria" w:hAnsi="Cambria"/>
          <w:sz w:val="18"/>
          <w:szCs w:val="18"/>
        </w:rPr>
      </w:pPr>
      <w:r>
        <w:rPr>
          <w:rFonts w:ascii="Cambria" w:hAnsi="Cambria"/>
          <w:sz w:val="18"/>
        </w:rPr>
        <w:t xml:space="preserve">The Colombian State undertakes to </w:t>
      </w:r>
      <w:r w:rsidR="00527975">
        <w:rPr>
          <w:rFonts w:ascii="Cambria" w:hAnsi="Cambria"/>
          <w:sz w:val="18"/>
        </w:rPr>
        <w:t xml:space="preserve">implement </w:t>
      </w:r>
      <w:r>
        <w:rPr>
          <w:rFonts w:ascii="Cambria" w:hAnsi="Cambria"/>
          <w:sz w:val="18"/>
        </w:rPr>
        <w:t>the following satisfaction measures:</w:t>
      </w:r>
    </w:p>
    <w:p w14:paraId="61CEF9B5" w14:textId="77777777" w:rsidR="00674DB5" w:rsidRPr="007F1EB5" w:rsidRDefault="00674DB5" w:rsidP="00674DB5">
      <w:pPr>
        <w:ind w:left="810" w:right="720" w:hanging="90"/>
        <w:jc w:val="both"/>
        <w:rPr>
          <w:rFonts w:ascii="Cambria" w:hAnsi="Cambria"/>
          <w:sz w:val="18"/>
          <w:szCs w:val="18"/>
        </w:rPr>
      </w:pPr>
    </w:p>
    <w:p w14:paraId="5C4E8153" w14:textId="77777777" w:rsidR="00674DB5" w:rsidRPr="00206DB4" w:rsidRDefault="00674DB5" w:rsidP="00F32864">
      <w:pPr>
        <w:pStyle w:val="ListParagraph"/>
        <w:widowControl w:val="0"/>
        <w:numPr>
          <w:ilvl w:val="1"/>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ind w:left="810" w:right="720" w:firstLine="183"/>
        <w:jc w:val="both"/>
        <w:rPr>
          <w:b/>
          <w:bCs/>
          <w:sz w:val="18"/>
          <w:szCs w:val="18"/>
        </w:rPr>
      </w:pPr>
      <w:r>
        <w:rPr>
          <w:b/>
          <w:sz w:val="18"/>
        </w:rPr>
        <w:t>Acknowledgment of responsibility and request for forgiveness</w:t>
      </w:r>
    </w:p>
    <w:p w14:paraId="4AC42E8F" w14:textId="77777777" w:rsidR="00674DB5" w:rsidRPr="007F1EB5" w:rsidRDefault="00674DB5" w:rsidP="00674DB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993" w:right="720"/>
        <w:jc w:val="right"/>
        <w:rPr>
          <w:b/>
          <w:bCs/>
          <w:sz w:val="18"/>
          <w:szCs w:val="18"/>
        </w:rPr>
      </w:pPr>
    </w:p>
    <w:p w14:paraId="633B02E2" w14:textId="282C7B5F" w:rsidR="00674DB5" w:rsidRPr="00206DB4"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rPr>
      </w:pPr>
      <w:r>
        <w:rPr>
          <w:rFonts w:ascii="Cambria" w:hAnsi="Cambria"/>
          <w:sz w:val="18"/>
        </w:rPr>
        <w:t xml:space="preserve">The Colombian State will </w:t>
      </w:r>
      <w:r w:rsidR="00A1402A">
        <w:rPr>
          <w:rFonts w:ascii="Cambria" w:hAnsi="Cambria"/>
          <w:sz w:val="18"/>
        </w:rPr>
        <w:t>hold</w:t>
      </w:r>
      <w:r>
        <w:rPr>
          <w:rFonts w:ascii="Cambria" w:hAnsi="Cambria"/>
          <w:sz w:val="18"/>
        </w:rPr>
        <w:t xml:space="preserve"> a Public Act of Acknowledgement of Responsibility, </w:t>
      </w:r>
      <w:r w:rsidR="005509F0">
        <w:rPr>
          <w:rFonts w:ascii="Cambria" w:hAnsi="Cambria"/>
          <w:sz w:val="18"/>
        </w:rPr>
        <w:t xml:space="preserve">which will be </w:t>
      </w:r>
      <w:r>
        <w:rPr>
          <w:rFonts w:ascii="Cambria" w:hAnsi="Cambria"/>
          <w:sz w:val="18"/>
        </w:rPr>
        <w:t xml:space="preserve">coordinated with the </w:t>
      </w:r>
      <w:r w:rsidR="005509F0">
        <w:rPr>
          <w:rFonts w:ascii="Cambria" w:hAnsi="Cambria"/>
          <w:sz w:val="18"/>
        </w:rPr>
        <w:t xml:space="preserve">family members </w:t>
      </w:r>
      <w:r>
        <w:rPr>
          <w:rFonts w:ascii="Cambria" w:hAnsi="Cambria"/>
          <w:sz w:val="18"/>
        </w:rPr>
        <w:t xml:space="preserve">of Mr. Jhon Jairo </w:t>
      </w:r>
      <w:proofErr w:type="spellStart"/>
      <w:r>
        <w:rPr>
          <w:rFonts w:ascii="Cambria" w:hAnsi="Cambria"/>
          <w:sz w:val="18"/>
        </w:rPr>
        <w:t>Cabarique</w:t>
      </w:r>
      <w:proofErr w:type="spellEnd"/>
      <w:r>
        <w:rPr>
          <w:rFonts w:ascii="Cambria" w:hAnsi="Cambria"/>
          <w:sz w:val="18"/>
        </w:rPr>
        <w:t xml:space="preserve"> and</w:t>
      </w:r>
      <w:r w:rsidR="005509F0">
        <w:rPr>
          <w:rFonts w:ascii="Cambria" w:hAnsi="Cambria"/>
          <w:sz w:val="18"/>
        </w:rPr>
        <w:t xml:space="preserve"> their</w:t>
      </w:r>
      <w:r>
        <w:rPr>
          <w:rFonts w:ascii="Cambria" w:hAnsi="Cambria"/>
          <w:sz w:val="18"/>
        </w:rPr>
        <w:t xml:space="preserve"> representatives. The ceremony shall be consistent with the acknowledgment of responsibility set forth in the present Agreement and will be chaired by a senior Government official. </w:t>
      </w:r>
    </w:p>
    <w:p w14:paraId="69EA7742"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rPr>
      </w:pPr>
    </w:p>
    <w:p w14:paraId="62EE130A" w14:textId="77777777" w:rsidR="00674DB5" w:rsidRPr="00206DB4"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rPr>
      </w:pPr>
      <w:r>
        <w:rPr>
          <w:rFonts w:ascii="Cambria" w:hAnsi="Cambria"/>
          <w:sz w:val="18"/>
        </w:rPr>
        <w:t xml:space="preserve">The National Agency for the Legal Defense of the State shall be responsible for coordinating performance of this measure of satisfaction. </w:t>
      </w:r>
    </w:p>
    <w:p w14:paraId="625D4E55"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rPr>
          <w:rFonts w:ascii="Cambria" w:hAnsi="Cambria"/>
          <w:b/>
          <w:bCs/>
          <w:sz w:val="18"/>
          <w:szCs w:val="18"/>
        </w:rPr>
      </w:pPr>
    </w:p>
    <w:p w14:paraId="3092FBB4" w14:textId="77777777" w:rsidR="00674DB5" w:rsidRPr="00206DB4" w:rsidRDefault="00674DB5" w:rsidP="00F32864">
      <w:pPr>
        <w:pStyle w:val="ListParagraph"/>
        <w:widowControl w:val="0"/>
        <w:numPr>
          <w:ilvl w:val="1"/>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18" w:right="713" w:hanging="425"/>
        <w:jc w:val="both"/>
        <w:rPr>
          <w:b/>
          <w:bCs/>
          <w:sz w:val="18"/>
          <w:szCs w:val="18"/>
        </w:rPr>
      </w:pPr>
      <w:r>
        <w:rPr>
          <w:b/>
          <w:sz w:val="18"/>
        </w:rPr>
        <w:t>Commemorative plaque</w:t>
      </w:r>
    </w:p>
    <w:p w14:paraId="11CF06A7" w14:textId="77777777" w:rsidR="00674DB5" w:rsidRPr="00206DB4"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993" w:right="713"/>
        <w:jc w:val="both"/>
        <w:rPr>
          <w:rFonts w:ascii="Cambria" w:hAnsi="Cambria"/>
          <w:b/>
          <w:bCs/>
          <w:sz w:val="18"/>
          <w:szCs w:val="18"/>
          <w:lang w:val="es-AR"/>
        </w:rPr>
      </w:pPr>
    </w:p>
    <w:p w14:paraId="4E3EFB7A" w14:textId="0D5A5125" w:rsidR="00674DB5" w:rsidRPr="00206DB4" w:rsidRDefault="00674DB5" w:rsidP="00674DB5">
      <w:pPr>
        <w:pStyle w:val="BodyText"/>
        <w:spacing w:after="0"/>
        <w:ind w:left="709" w:right="720"/>
        <w:jc w:val="both"/>
        <w:rPr>
          <w:rFonts w:ascii="Cambria" w:hAnsi="Cambria"/>
          <w:sz w:val="18"/>
          <w:szCs w:val="18"/>
        </w:rPr>
      </w:pPr>
      <w:r>
        <w:rPr>
          <w:rFonts w:ascii="Cambria" w:hAnsi="Cambria"/>
          <w:sz w:val="18"/>
        </w:rPr>
        <w:t xml:space="preserve">The State shall deliver to the </w:t>
      </w:r>
      <w:r w:rsidR="00911B0E">
        <w:rPr>
          <w:rFonts w:ascii="Cambria" w:hAnsi="Cambria"/>
          <w:sz w:val="18"/>
        </w:rPr>
        <w:t xml:space="preserve">family members </w:t>
      </w:r>
      <w:r>
        <w:rPr>
          <w:rFonts w:ascii="Cambria" w:hAnsi="Cambria"/>
          <w:sz w:val="18"/>
        </w:rPr>
        <w:t xml:space="preserve">of Jhon Jairo </w:t>
      </w:r>
      <w:proofErr w:type="spellStart"/>
      <w:r>
        <w:rPr>
          <w:rFonts w:ascii="Cambria" w:hAnsi="Cambria"/>
          <w:sz w:val="18"/>
        </w:rPr>
        <w:t>Cabarique</w:t>
      </w:r>
      <w:proofErr w:type="spellEnd"/>
      <w:r>
        <w:rPr>
          <w:rFonts w:ascii="Cambria" w:hAnsi="Cambria"/>
          <w:sz w:val="18"/>
        </w:rPr>
        <w:t xml:space="preserve"> and </w:t>
      </w:r>
      <w:r w:rsidR="00911B0E">
        <w:rPr>
          <w:rFonts w:ascii="Cambria" w:hAnsi="Cambria"/>
          <w:sz w:val="18"/>
        </w:rPr>
        <w:t xml:space="preserve">their </w:t>
      </w:r>
      <w:r>
        <w:rPr>
          <w:rFonts w:ascii="Cambria" w:hAnsi="Cambria"/>
          <w:sz w:val="18"/>
        </w:rPr>
        <w:t xml:space="preserve">representatives a commemorative plaque to be installed </w:t>
      </w:r>
      <w:r w:rsidR="00911B0E">
        <w:rPr>
          <w:rFonts w:ascii="Cambria" w:hAnsi="Cambria"/>
          <w:sz w:val="18"/>
        </w:rPr>
        <w:t>o</w:t>
      </w:r>
      <w:r>
        <w:rPr>
          <w:rFonts w:ascii="Cambria" w:hAnsi="Cambria"/>
          <w:sz w:val="18"/>
        </w:rPr>
        <w:t xml:space="preserve">n the commemorative mural prepared in advance </w:t>
      </w:r>
      <w:r w:rsidR="00911B0E">
        <w:rPr>
          <w:rFonts w:ascii="Cambria" w:hAnsi="Cambria"/>
          <w:sz w:val="18"/>
        </w:rPr>
        <w:t>with</w:t>
      </w:r>
      <w:r>
        <w:rPr>
          <w:rFonts w:ascii="Cambria" w:hAnsi="Cambria"/>
          <w:sz w:val="18"/>
        </w:rPr>
        <w:t xml:space="preserve">in the framework of the Friendly Settlement Agreement signed in case 11.990 </w:t>
      </w:r>
      <w:proofErr w:type="gramStart"/>
      <w:r>
        <w:rPr>
          <w:rFonts w:ascii="Cambria" w:hAnsi="Cambria"/>
          <w:sz w:val="18"/>
        </w:rPr>
        <w:t>A</w:t>
      </w:r>
      <w:proofErr w:type="gramEnd"/>
      <w:r>
        <w:rPr>
          <w:rFonts w:ascii="Cambria" w:hAnsi="Cambria"/>
          <w:sz w:val="18"/>
        </w:rPr>
        <w:t xml:space="preserve"> Oscar Orlando Bueno Bonnet </w:t>
      </w:r>
      <w:r w:rsidR="00490CDB">
        <w:rPr>
          <w:rFonts w:ascii="Cambria" w:hAnsi="Cambria"/>
          <w:sz w:val="18"/>
        </w:rPr>
        <w:t>et al</w:t>
      </w:r>
      <w:r>
        <w:rPr>
          <w:rFonts w:ascii="Cambria" w:hAnsi="Cambria"/>
          <w:sz w:val="18"/>
        </w:rPr>
        <w:t>.</w:t>
      </w:r>
      <w:r w:rsidR="00490CDB">
        <w:rPr>
          <w:rFonts w:ascii="Cambria" w:hAnsi="Cambria"/>
          <w:sz w:val="18"/>
        </w:rPr>
        <w:t>, which will bear the following text</w:t>
      </w:r>
      <w:r>
        <w:rPr>
          <w:rFonts w:ascii="Cambria" w:hAnsi="Cambria"/>
          <w:sz w:val="18"/>
        </w:rPr>
        <w:t>:</w:t>
      </w:r>
    </w:p>
    <w:p w14:paraId="614243BF" w14:textId="77777777" w:rsidR="00674DB5" w:rsidRPr="007F1EB5" w:rsidRDefault="00674DB5" w:rsidP="00674DB5">
      <w:pPr>
        <w:pStyle w:val="BodyText"/>
        <w:spacing w:after="0"/>
        <w:ind w:right="720"/>
        <w:jc w:val="both"/>
        <w:rPr>
          <w:rFonts w:ascii="Cambria" w:hAnsi="Cambria"/>
          <w:sz w:val="18"/>
          <w:szCs w:val="18"/>
        </w:rPr>
      </w:pPr>
    </w:p>
    <w:p w14:paraId="462DDAB7" w14:textId="77777777" w:rsidR="00674DB5" w:rsidRPr="00206DB4" w:rsidRDefault="00674DB5" w:rsidP="00674DB5">
      <w:pPr>
        <w:ind w:left="810" w:right="720" w:hanging="90"/>
        <w:jc w:val="center"/>
        <w:rPr>
          <w:rFonts w:ascii="Cambria" w:hAnsi="Cambria"/>
          <w:sz w:val="18"/>
          <w:szCs w:val="18"/>
        </w:rPr>
      </w:pPr>
      <w:r>
        <w:rPr>
          <w:rFonts w:ascii="Cambria" w:hAnsi="Cambria"/>
          <w:sz w:val="18"/>
        </w:rPr>
        <w:t>In memory of:</w:t>
      </w:r>
    </w:p>
    <w:p w14:paraId="682C80A2" w14:textId="77777777" w:rsidR="00674DB5" w:rsidRPr="00206DB4" w:rsidRDefault="00674DB5" w:rsidP="00674DB5">
      <w:pPr>
        <w:ind w:left="810" w:right="720" w:hanging="90"/>
        <w:jc w:val="center"/>
        <w:rPr>
          <w:rFonts w:ascii="Cambria" w:hAnsi="Cambria"/>
          <w:spacing w:val="-4"/>
          <w:sz w:val="18"/>
          <w:szCs w:val="18"/>
        </w:rPr>
      </w:pPr>
      <w:r>
        <w:rPr>
          <w:rFonts w:ascii="Cambria" w:hAnsi="Cambria"/>
          <w:sz w:val="18"/>
        </w:rPr>
        <w:t>Oscar Orlando Bueno Bonnet</w:t>
      </w:r>
    </w:p>
    <w:p w14:paraId="0E4FC51C" w14:textId="77777777" w:rsidR="00674DB5" w:rsidRPr="007F1EB5" w:rsidRDefault="00674DB5" w:rsidP="00674DB5">
      <w:pPr>
        <w:ind w:left="810" w:right="720" w:hanging="90"/>
        <w:jc w:val="center"/>
        <w:rPr>
          <w:rFonts w:ascii="Cambria" w:hAnsi="Cambria"/>
          <w:sz w:val="18"/>
          <w:szCs w:val="18"/>
          <w:lang w:val="es-VE"/>
        </w:rPr>
      </w:pPr>
      <w:r w:rsidRPr="007F1EB5">
        <w:rPr>
          <w:rFonts w:ascii="Cambria" w:hAnsi="Cambria"/>
          <w:sz w:val="18"/>
          <w:lang w:val="es-VE"/>
        </w:rPr>
        <w:t>Jefferson González Oquendo</w:t>
      </w:r>
    </w:p>
    <w:p w14:paraId="2549791F" w14:textId="77777777" w:rsidR="00674DB5" w:rsidRPr="007F1EB5" w:rsidRDefault="00674DB5" w:rsidP="00674DB5">
      <w:pPr>
        <w:ind w:left="810" w:right="720" w:hanging="90"/>
        <w:jc w:val="center"/>
        <w:rPr>
          <w:rFonts w:ascii="Cambria" w:hAnsi="Cambria"/>
          <w:sz w:val="18"/>
          <w:szCs w:val="18"/>
          <w:lang w:val="es-VE"/>
        </w:rPr>
      </w:pPr>
      <w:r w:rsidRPr="007F1EB5">
        <w:rPr>
          <w:rFonts w:ascii="Cambria" w:hAnsi="Cambria"/>
          <w:sz w:val="18"/>
          <w:lang w:val="es-VE"/>
        </w:rPr>
        <w:t xml:space="preserve">Jhon Jairo </w:t>
      </w:r>
      <w:proofErr w:type="spellStart"/>
      <w:r w:rsidRPr="007F1EB5">
        <w:rPr>
          <w:rFonts w:ascii="Cambria" w:hAnsi="Cambria"/>
          <w:sz w:val="18"/>
          <w:lang w:val="es-VE"/>
        </w:rPr>
        <w:t>Cabarique</w:t>
      </w:r>
      <w:proofErr w:type="spellEnd"/>
    </w:p>
    <w:p w14:paraId="0EB86BB6" w14:textId="77777777" w:rsidR="00674DB5" w:rsidRPr="00206DB4" w:rsidRDefault="00674DB5" w:rsidP="00674DB5">
      <w:pPr>
        <w:ind w:left="810" w:right="720" w:hanging="90"/>
        <w:jc w:val="center"/>
        <w:rPr>
          <w:rFonts w:ascii="Cambria" w:hAnsi="Cambria"/>
          <w:sz w:val="18"/>
          <w:szCs w:val="18"/>
          <w:lang w:val="es-AR"/>
        </w:rPr>
      </w:pPr>
    </w:p>
    <w:p w14:paraId="5408E99A" w14:textId="0D186916" w:rsidR="00674DB5" w:rsidRPr="00206DB4" w:rsidRDefault="00674DB5" w:rsidP="00674DB5">
      <w:pPr>
        <w:pStyle w:val="BodyText"/>
        <w:spacing w:after="0"/>
        <w:ind w:left="1134" w:right="996"/>
        <w:jc w:val="center"/>
        <w:rPr>
          <w:rFonts w:ascii="Cambria" w:hAnsi="Cambria"/>
          <w:sz w:val="18"/>
          <w:szCs w:val="18"/>
        </w:rPr>
      </w:pPr>
      <w:r>
        <w:rPr>
          <w:rFonts w:ascii="Cambria" w:hAnsi="Cambria"/>
          <w:sz w:val="18"/>
        </w:rPr>
        <w:t xml:space="preserve">Killed by members of the </w:t>
      </w:r>
      <w:r w:rsidR="00F75887">
        <w:rPr>
          <w:rFonts w:ascii="Cambria" w:hAnsi="Cambria"/>
          <w:sz w:val="18"/>
        </w:rPr>
        <w:t>s</w:t>
      </w:r>
      <w:r>
        <w:rPr>
          <w:rFonts w:ascii="Cambria" w:hAnsi="Cambria"/>
          <w:sz w:val="18"/>
        </w:rPr>
        <w:t xml:space="preserve">ecurity </w:t>
      </w:r>
      <w:r w:rsidR="00F75887">
        <w:rPr>
          <w:rFonts w:ascii="Cambria" w:hAnsi="Cambria"/>
          <w:sz w:val="18"/>
        </w:rPr>
        <w:t>f</w:t>
      </w:r>
      <w:r>
        <w:rPr>
          <w:rFonts w:ascii="Cambria" w:hAnsi="Cambria"/>
          <w:sz w:val="18"/>
        </w:rPr>
        <w:t xml:space="preserve">orces attached to the Cavalry Group "G.R.". Gabriel </w:t>
      </w:r>
      <w:proofErr w:type="spellStart"/>
      <w:r>
        <w:rPr>
          <w:rFonts w:ascii="Cambria" w:hAnsi="Cambria"/>
          <w:sz w:val="18"/>
        </w:rPr>
        <w:t>Revéiz</w:t>
      </w:r>
      <w:proofErr w:type="spellEnd"/>
      <w:r>
        <w:rPr>
          <w:rFonts w:ascii="Cambria" w:hAnsi="Cambria"/>
          <w:sz w:val="18"/>
        </w:rPr>
        <w:t xml:space="preserve"> Pizarro", on January 10, 1997, in front of the </w:t>
      </w:r>
      <w:proofErr w:type="spellStart"/>
      <w:r>
        <w:rPr>
          <w:rFonts w:ascii="Cambria" w:hAnsi="Cambria"/>
          <w:sz w:val="18"/>
        </w:rPr>
        <w:t>Copetrán</w:t>
      </w:r>
      <w:proofErr w:type="spellEnd"/>
      <w:r>
        <w:rPr>
          <w:rFonts w:ascii="Cambria" w:hAnsi="Cambria"/>
          <w:sz w:val="18"/>
        </w:rPr>
        <w:t xml:space="preserve"> Hotel in the municipality of </w:t>
      </w:r>
      <w:proofErr w:type="spellStart"/>
      <w:r>
        <w:rPr>
          <w:rFonts w:ascii="Cambria" w:hAnsi="Cambria"/>
          <w:sz w:val="18"/>
        </w:rPr>
        <w:t>Saravena</w:t>
      </w:r>
      <w:proofErr w:type="spellEnd"/>
      <w:r>
        <w:rPr>
          <w:rFonts w:ascii="Cambria" w:hAnsi="Cambria"/>
          <w:sz w:val="18"/>
        </w:rPr>
        <w:t xml:space="preserve"> - Arauca.</w:t>
      </w:r>
    </w:p>
    <w:p w14:paraId="74F69388" w14:textId="7C84188D" w:rsidR="00674DB5" w:rsidRPr="00206DB4" w:rsidRDefault="00674DB5" w:rsidP="00674DB5">
      <w:pPr>
        <w:pStyle w:val="BodyText"/>
        <w:spacing w:after="0"/>
        <w:ind w:left="1134" w:right="996"/>
        <w:jc w:val="center"/>
        <w:rPr>
          <w:rFonts w:ascii="Cambria" w:hAnsi="Cambria"/>
          <w:sz w:val="18"/>
          <w:szCs w:val="18"/>
        </w:rPr>
      </w:pPr>
      <w:r>
        <w:rPr>
          <w:rFonts w:ascii="Cambria" w:hAnsi="Cambria"/>
          <w:sz w:val="18"/>
        </w:rPr>
        <w:t xml:space="preserve">This mural was created in compliance with the Friendly Settlement Agreements </w:t>
      </w:r>
      <w:r w:rsidR="00AF62AA">
        <w:rPr>
          <w:rFonts w:ascii="Cambria" w:hAnsi="Cambria"/>
          <w:sz w:val="18"/>
        </w:rPr>
        <w:t>in</w:t>
      </w:r>
      <w:r>
        <w:rPr>
          <w:rFonts w:ascii="Cambria" w:hAnsi="Cambria"/>
          <w:sz w:val="18"/>
        </w:rPr>
        <w:t xml:space="preserve"> Cases 11.990 A and 11.990 B before the Inter-American Commission on Human Rights, as a guarantee of non-repetition and to preserve the historical memory of the victims.</w:t>
      </w:r>
    </w:p>
    <w:p w14:paraId="3286B966" w14:textId="77777777" w:rsidR="00674DB5" w:rsidRPr="007F1EB5" w:rsidRDefault="00674DB5" w:rsidP="00674DB5">
      <w:pPr>
        <w:pStyle w:val="BodyText"/>
        <w:spacing w:after="0"/>
        <w:ind w:right="720"/>
        <w:rPr>
          <w:rFonts w:ascii="Cambria" w:hAnsi="Cambria"/>
          <w:sz w:val="18"/>
          <w:szCs w:val="18"/>
        </w:rPr>
      </w:pPr>
    </w:p>
    <w:p w14:paraId="75835498" w14:textId="77777777" w:rsidR="00674DB5" w:rsidRPr="00206DB4" w:rsidRDefault="00674DB5" w:rsidP="00674DB5">
      <w:pPr>
        <w:pStyle w:val="BodyText"/>
        <w:spacing w:after="0"/>
        <w:ind w:left="810" w:right="720" w:hanging="90"/>
        <w:jc w:val="center"/>
        <w:rPr>
          <w:rFonts w:ascii="Cambria" w:hAnsi="Cambria"/>
          <w:sz w:val="18"/>
          <w:szCs w:val="18"/>
        </w:rPr>
      </w:pPr>
      <w:r>
        <w:rPr>
          <w:rFonts w:ascii="Cambria" w:hAnsi="Cambria"/>
          <w:sz w:val="18"/>
        </w:rPr>
        <w:t>"Historical memory is the antidote to amnesia of justice."</w:t>
      </w:r>
    </w:p>
    <w:p w14:paraId="4A51438E" w14:textId="77777777" w:rsidR="00674DB5" w:rsidRPr="007F1EB5" w:rsidRDefault="00674DB5" w:rsidP="00674DB5">
      <w:pPr>
        <w:pStyle w:val="BodyText"/>
        <w:spacing w:after="0"/>
        <w:ind w:left="810" w:right="720" w:hanging="90"/>
        <w:jc w:val="center"/>
        <w:rPr>
          <w:rFonts w:ascii="Cambria" w:hAnsi="Cambria"/>
          <w:sz w:val="18"/>
          <w:szCs w:val="18"/>
        </w:rPr>
      </w:pPr>
    </w:p>
    <w:p w14:paraId="2A996DA3" w14:textId="77777777" w:rsidR="00674DB5" w:rsidRPr="00206DB4" w:rsidRDefault="00674DB5" w:rsidP="00674DB5">
      <w:pPr>
        <w:pStyle w:val="BodyText"/>
        <w:spacing w:after="0"/>
        <w:ind w:left="810" w:right="720" w:hanging="90"/>
        <w:jc w:val="center"/>
        <w:rPr>
          <w:rFonts w:ascii="Cambria" w:hAnsi="Cambria"/>
          <w:sz w:val="18"/>
          <w:szCs w:val="18"/>
        </w:rPr>
      </w:pPr>
      <w:proofErr w:type="spellStart"/>
      <w:r>
        <w:rPr>
          <w:rFonts w:ascii="Cambria" w:hAnsi="Cambria"/>
          <w:sz w:val="18"/>
        </w:rPr>
        <w:t>Saravena</w:t>
      </w:r>
      <w:proofErr w:type="spellEnd"/>
      <w:r>
        <w:rPr>
          <w:rFonts w:ascii="Cambria" w:hAnsi="Cambria"/>
          <w:sz w:val="18"/>
        </w:rPr>
        <w:t>- Arauca,</w:t>
      </w:r>
    </w:p>
    <w:p w14:paraId="5B0FD1E4" w14:textId="77777777" w:rsidR="00674DB5" w:rsidRPr="007F1EB5" w:rsidRDefault="00674DB5" w:rsidP="00674DB5">
      <w:pPr>
        <w:pStyle w:val="BodyText"/>
        <w:spacing w:after="0"/>
        <w:ind w:left="810" w:right="720" w:hanging="90"/>
        <w:jc w:val="center"/>
        <w:rPr>
          <w:rFonts w:ascii="Cambria" w:hAnsi="Cambria"/>
          <w:sz w:val="18"/>
          <w:szCs w:val="18"/>
        </w:rPr>
      </w:pPr>
    </w:p>
    <w:p w14:paraId="08F40334" w14:textId="77777777" w:rsidR="00674DB5" w:rsidRPr="00206DB4" w:rsidRDefault="00674DB5" w:rsidP="00674DB5">
      <w:pPr>
        <w:pStyle w:val="BodyText"/>
        <w:spacing w:after="0"/>
        <w:ind w:left="810" w:right="720" w:hanging="90"/>
        <w:jc w:val="center"/>
        <w:rPr>
          <w:rFonts w:ascii="Cambria" w:hAnsi="Cambria"/>
          <w:sz w:val="18"/>
          <w:szCs w:val="18"/>
        </w:rPr>
      </w:pPr>
      <w:r>
        <w:rPr>
          <w:rFonts w:ascii="Cambria" w:hAnsi="Cambria"/>
          <w:sz w:val="18"/>
        </w:rPr>
        <w:t>Case 11.990 A -2015</w:t>
      </w:r>
    </w:p>
    <w:p w14:paraId="142BA089" w14:textId="77777777" w:rsidR="00674DB5" w:rsidRPr="00206DB4" w:rsidRDefault="00674DB5" w:rsidP="00674DB5">
      <w:pPr>
        <w:pStyle w:val="BodyText"/>
        <w:spacing w:after="0"/>
        <w:ind w:left="810" w:right="720" w:hanging="90"/>
        <w:jc w:val="center"/>
        <w:rPr>
          <w:rFonts w:ascii="Cambria" w:hAnsi="Cambria"/>
          <w:sz w:val="18"/>
          <w:szCs w:val="18"/>
        </w:rPr>
      </w:pPr>
      <w:r>
        <w:rPr>
          <w:rFonts w:ascii="Cambria" w:hAnsi="Cambria"/>
          <w:sz w:val="18"/>
        </w:rPr>
        <w:t>Case 11.990 B - 2024</w:t>
      </w:r>
      <w:r w:rsidRPr="00206DB4">
        <w:rPr>
          <w:rStyle w:val="FootnoteReference"/>
          <w:rFonts w:ascii="Cambria" w:hAnsi="Cambria"/>
          <w:sz w:val="18"/>
          <w:szCs w:val="18"/>
          <w:lang w:val="pt-BR"/>
        </w:rPr>
        <w:footnoteReference w:id="21"/>
      </w:r>
      <w:r>
        <w:rPr>
          <w:rFonts w:ascii="Cambria" w:hAnsi="Cambria"/>
          <w:sz w:val="18"/>
        </w:rPr>
        <w:t>"</w:t>
      </w:r>
    </w:p>
    <w:p w14:paraId="68BA558C" w14:textId="77777777" w:rsidR="00674DB5" w:rsidRPr="007F1EB5" w:rsidRDefault="00674DB5" w:rsidP="00674DB5">
      <w:pPr>
        <w:pStyle w:val="Heading4"/>
        <w:spacing w:before="0"/>
        <w:ind w:right="720"/>
        <w:jc w:val="both"/>
        <w:rPr>
          <w:rFonts w:ascii="Cambria" w:hAnsi="Cambria"/>
          <w:b/>
          <w:bCs/>
          <w:i w:val="0"/>
          <w:iCs w:val="0"/>
          <w:color w:val="auto"/>
          <w:w w:val="115"/>
          <w:sz w:val="18"/>
          <w:szCs w:val="18"/>
        </w:rPr>
      </w:pPr>
    </w:p>
    <w:p w14:paraId="4F70DB63" w14:textId="72AED5D3" w:rsidR="00674DB5" w:rsidRPr="00206DB4" w:rsidRDefault="00674DB5" w:rsidP="00674DB5">
      <w:pPr>
        <w:pStyle w:val="Heading4"/>
        <w:spacing w:before="0"/>
        <w:ind w:left="810" w:right="720" w:hanging="90"/>
        <w:rPr>
          <w:rFonts w:ascii="Cambria" w:hAnsi="Cambria"/>
          <w:b/>
          <w:bCs/>
          <w:i w:val="0"/>
          <w:iCs w:val="0"/>
          <w:color w:val="auto"/>
          <w:spacing w:val="-2"/>
          <w:w w:val="115"/>
          <w:sz w:val="18"/>
          <w:szCs w:val="18"/>
        </w:rPr>
      </w:pPr>
      <w:r>
        <w:rPr>
          <w:rFonts w:ascii="Cambria" w:hAnsi="Cambria"/>
          <w:b/>
          <w:i w:val="0"/>
          <w:color w:val="auto"/>
          <w:sz w:val="18"/>
        </w:rPr>
        <w:t>PART SEVEN: JUSTICE MEASURE</w:t>
      </w:r>
    </w:p>
    <w:p w14:paraId="379D44A6" w14:textId="77777777" w:rsidR="00674DB5" w:rsidRPr="007F1EB5" w:rsidRDefault="00674DB5" w:rsidP="00674DB5">
      <w:pPr>
        <w:rPr>
          <w:rFonts w:ascii="Cambria" w:hAnsi="Cambria"/>
          <w:sz w:val="18"/>
          <w:szCs w:val="18"/>
        </w:rPr>
      </w:pPr>
    </w:p>
    <w:p w14:paraId="275F6C6C" w14:textId="77777777" w:rsidR="00674DB5" w:rsidRPr="00206DB4"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rPr>
      </w:pPr>
      <w:r>
        <w:rPr>
          <w:rFonts w:ascii="Cambria" w:hAnsi="Cambria"/>
          <w:sz w:val="18"/>
        </w:rPr>
        <w:t>The State will continue to implement all necessary actions to comply with the obligation to investigate, prosecute, and punish those responsible for the facts.</w:t>
      </w:r>
    </w:p>
    <w:p w14:paraId="12CF3617"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rPr>
      </w:pPr>
    </w:p>
    <w:p w14:paraId="325AD571" w14:textId="384E028E" w:rsidR="00674DB5" w:rsidRPr="00206DB4"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rPr>
      </w:pPr>
      <w:r>
        <w:rPr>
          <w:rFonts w:ascii="Cambria" w:hAnsi="Cambria"/>
          <w:sz w:val="18"/>
        </w:rPr>
        <w:t xml:space="preserve">In the event that the Special Jurisdiction for Peace (JEP) dismisses the participants whose submission was previously accepted, and for the rest of the military personnel involved in the criminal proceedings over whom the JEP does not exercise its jurisdiction, the </w:t>
      </w:r>
      <w:r w:rsidR="007474DF">
        <w:rPr>
          <w:rFonts w:ascii="Cambria" w:hAnsi="Cambria"/>
          <w:sz w:val="18"/>
        </w:rPr>
        <w:t xml:space="preserve">Office of the </w:t>
      </w:r>
      <w:r>
        <w:rPr>
          <w:rFonts w:ascii="Cambria" w:hAnsi="Cambria"/>
          <w:sz w:val="18"/>
        </w:rPr>
        <w:t>Attorney General will study the feasibility of creating the figure of a special agency in the ordinary jurisdiction.</w:t>
      </w:r>
      <w:r w:rsidRPr="00206DB4">
        <w:rPr>
          <w:rStyle w:val="FootnoteReference"/>
          <w:rFonts w:ascii="Cambria" w:hAnsi="Cambria"/>
          <w:sz w:val="18"/>
          <w:szCs w:val="18"/>
          <w:lang w:val="es-AR"/>
        </w:rPr>
        <w:footnoteReference w:id="22"/>
      </w:r>
    </w:p>
    <w:p w14:paraId="61BB15A8"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rPr>
      </w:pPr>
    </w:p>
    <w:p w14:paraId="613AC46B" w14:textId="5CBDE6FA" w:rsidR="00674DB5" w:rsidRPr="00206DB4"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w w:val="110"/>
          <w:sz w:val="18"/>
          <w:szCs w:val="18"/>
        </w:rPr>
      </w:pPr>
      <w:r>
        <w:rPr>
          <w:rFonts w:ascii="Cambria" w:hAnsi="Cambria"/>
          <w:sz w:val="18"/>
        </w:rPr>
        <w:t xml:space="preserve">Likewise, the Office of the Attorney General of the Nation shall exercise its functions as a special intervener in the matter related to the transitional benefits of the </w:t>
      </w:r>
      <w:r w:rsidR="00544372">
        <w:rPr>
          <w:rFonts w:ascii="Cambria" w:hAnsi="Cambria"/>
          <w:sz w:val="18"/>
        </w:rPr>
        <w:t>defendants</w:t>
      </w:r>
      <w:r>
        <w:rPr>
          <w:rFonts w:ascii="Cambria" w:hAnsi="Cambria"/>
          <w:sz w:val="18"/>
        </w:rPr>
        <w:t xml:space="preserve"> Leonardo Prieto Cáceres and Álvaro Agustín Córdoba Guerra, especially </w:t>
      </w:r>
      <w:r w:rsidR="007B3A14">
        <w:rPr>
          <w:rFonts w:ascii="Cambria" w:hAnsi="Cambria"/>
          <w:sz w:val="18"/>
        </w:rPr>
        <w:t xml:space="preserve">with the aim of ensuring that the </w:t>
      </w:r>
      <w:r>
        <w:rPr>
          <w:rFonts w:ascii="Cambria" w:hAnsi="Cambria"/>
          <w:sz w:val="18"/>
        </w:rPr>
        <w:t xml:space="preserve">competent Chambers and Sections of the Special Jurisdiction for Peace </w:t>
      </w:r>
      <w:r w:rsidR="007B3A14">
        <w:rPr>
          <w:rFonts w:ascii="Cambria" w:hAnsi="Cambria"/>
          <w:sz w:val="18"/>
        </w:rPr>
        <w:t>ri</w:t>
      </w:r>
      <w:r w:rsidR="00210F4F">
        <w:rPr>
          <w:rFonts w:ascii="Cambria" w:hAnsi="Cambria"/>
          <w:sz w:val="18"/>
        </w:rPr>
        <w:t xml:space="preserve">gorously enforce the </w:t>
      </w:r>
      <w:r>
        <w:rPr>
          <w:rFonts w:ascii="Cambria" w:hAnsi="Cambria"/>
          <w:sz w:val="18"/>
        </w:rPr>
        <w:t>established terms and conditions (</w:t>
      </w:r>
      <w:proofErr w:type="spellStart"/>
      <w:r>
        <w:rPr>
          <w:rFonts w:ascii="Cambria" w:hAnsi="Cambria"/>
          <w:i/>
          <w:iCs/>
          <w:sz w:val="18"/>
        </w:rPr>
        <w:t>régimen</w:t>
      </w:r>
      <w:proofErr w:type="spellEnd"/>
      <w:r>
        <w:rPr>
          <w:rFonts w:ascii="Cambria" w:hAnsi="Cambria"/>
          <w:i/>
          <w:iCs/>
          <w:sz w:val="18"/>
        </w:rPr>
        <w:t xml:space="preserve"> de </w:t>
      </w:r>
      <w:proofErr w:type="spellStart"/>
      <w:r>
        <w:rPr>
          <w:rFonts w:ascii="Cambria" w:hAnsi="Cambria"/>
          <w:i/>
          <w:iCs/>
          <w:sz w:val="18"/>
        </w:rPr>
        <w:t>condicionalidad</w:t>
      </w:r>
      <w:proofErr w:type="spellEnd"/>
      <w:r>
        <w:rPr>
          <w:rFonts w:ascii="Cambria" w:hAnsi="Cambria"/>
          <w:sz w:val="18"/>
        </w:rPr>
        <w:t>) and the satisfaction of the rights of the victims, in accordance with their constitutional and legal powers and the guidelines established by jurisprudence.</w:t>
      </w:r>
      <w:r w:rsidRPr="00206DB4">
        <w:rPr>
          <w:rStyle w:val="FootnoteReference"/>
          <w:rFonts w:ascii="Cambria" w:hAnsi="Cambria"/>
          <w:w w:val="110"/>
          <w:sz w:val="18"/>
          <w:szCs w:val="18"/>
        </w:rPr>
        <w:footnoteReference w:id="23"/>
      </w:r>
    </w:p>
    <w:p w14:paraId="268E166A" w14:textId="77777777" w:rsidR="00674DB5" w:rsidRPr="007F1EB5" w:rsidRDefault="00674DB5" w:rsidP="00674DB5">
      <w:pPr>
        <w:ind w:left="810" w:right="720" w:hanging="90"/>
        <w:jc w:val="both"/>
        <w:rPr>
          <w:rFonts w:ascii="Cambria" w:hAnsi="Cambria"/>
          <w:sz w:val="18"/>
          <w:szCs w:val="18"/>
        </w:rPr>
      </w:pPr>
    </w:p>
    <w:p w14:paraId="33FE964F" w14:textId="77777777" w:rsidR="00674DB5" w:rsidRPr="00674DB5" w:rsidRDefault="00674DB5" w:rsidP="00674DB5">
      <w:pPr>
        <w:pStyle w:val="Heading3"/>
        <w:spacing w:before="0"/>
        <w:ind w:left="810" w:right="720" w:hanging="90"/>
        <w:rPr>
          <w:rFonts w:ascii="Cambria" w:hAnsi="Cambria"/>
          <w:b/>
          <w:bCs/>
          <w:color w:val="000000" w:themeColor="text1"/>
          <w:spacing w:val="-2"/>
          <w:sz w:val="18"/>
          <w:szCs w:val="18"/>
        </w:rPr>
      </w:pPr>
      <w:r>
        <w:rPr>
          <w:rFonts w:ascii="Cambria" w:hAnsi="Cambria"/>
          <w:b/>
          <w:color w:val="000000" w:themeColor="text1"/>
          <w:sz w:val="18"/>
        </w:rPr>
        <w:t>PART EIGHT: HEALTH MEASURE</w:t>
      </w:r>
    </w:p>
    <w:p w14:paraId="48D91836" w14:textId="77777777" w:rsidR="00674DB5" w:rsidRPr="007F1EB5" w:rsidRDefault="00674DB5" w:rsidP="00674DB5">
      <w:pPr>
        <w:pStyle w:val="BodyText"/>
        <w:spacing w:after="0"/>
        <w:ind w:right="720"/>
        <w:jc w:val="both"/>
        <w:rPr>
          <w:rFonts w:ascii="Cambria" w:hAnsi="Cambria"/>
          <w:spacing w:val="-2"/>
          <w:w w:val="105"/>
          <w:sz w:val="18"/>
          <w:szCs w:val="18"/>
        </w:rPr>
      </w:pPr>
    </w:p>
    <w:p w14:paraId="4B829C58" w14:textId="5742328A" w:rsidR="00674DB5" w:rsidRPr="00206DB4"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9" w:right="713"/>
        <w:jc w:val="both"/>
        <w:rPr>
          <w:rFonts w:ascii="Cambria" w:hAnsi="Cambria"/>
          <w:sz w:val="18"/>
          <w:szCs w:val="18"/>
        </w:rPr>
      </w:pPr>
      <w:r>
        <w:rPr>
          <w:rFonts w:ascii="Cambria" w:hAnsi="Cambria"/>
          <w:sz w:val="18"/>
        </w:rPr>
        <w:t xml:space="preserve">The Ministry of Health and Social Protection will implement health rehabilitation measures </w:t>
      </w:r>
      <w:r w:rsidR="006C6A05">
        <w:rPr>
          <w:rFonts w:ascii="Cambria" w:hAnsi="Cambria"/>
          <w:sz w:val="18"/>
        </w:rPr>
        <w:t xml:space="preserve">consisting </w:t>
      </w:r>
      <w:r w:rsidR="008F11FB">
        <w:rPr>
          <w:rFonts w:ascii="Cambria" w:hAnsi="Cambria"/>
          <w:sz w:val="18"/>
        </w:rPr>
        <w:t xml:space="preserve">of </w:t>
      </w:r>
      <w:r>
        <w:rPr>
          <w:rFonts w:ascii="Cambria" w:hAnsi="Cambria"/>
          <w:sz w:val="18"/>
        </w:rPr>
        <w:t>medical, psychological, and psychosocial care through the General Social Security Health System (SGSSS) and the</w:t>
      </w:r>
      <w:r w:rsidR="008F11FB">
        <w:rPr>
          <w:rFonts w:ascii="Cambria" w:hAnsi="Cambria"/>
          <w:sz w:val="18"/>
        </w:rPr>
        <w:t xml:space="preserve"> Comprehensive </w:t>
      </w:r>
      <w:r>
        <w:rPr>
          <w:rFonts w:ascii="Cambria" w:hAnsi="Cambria"/>
          <w:sz w:val="18"/>
        </w:rPr>
        <w:t xml:space="preserve">Psychosocial </w:t>
      </w:r>
      <w:r w:rsidR="003C4FFA">
        <w:rPr>
          <w:rFonts w:ascii="Cambria" w:hAnsi="Cambria"/>
          <w:sz w:val="18"/>
        </w:rPr>
        <w:t xml:space="preserve">Care </w:t>
      </w:r>
      <w:r>
        <w:rPr>
          <w:rFonts w:ascii="Cambria" w:hAnsi="Cambria"/>
          <w:sz w:val="18"/>
        </w:rPr>
        <w:t>and Health Program for Victims (PAPSIVI).</w:t>
      </w:r>
    </w:p>
    <w:p w14:paraId="6CB4B5CE" w14:textId="77777777" w:rsidR="00674DB5" w:rsidRPr="007F1EB5" w:rsidRDefault="00674DB5" w:rsidP="00674DB5">
      <w:pPr>
        <w:pStyle w:val="BodyText"/>
        <w:spacing w:after="0"/>
        <w:ind w:right="720"/>
        <w:jc w:val="both"/>
        <w:rPr>
          <w:rFonts w:ascii="Cambria" w:hAnsi="Cambria"/>
          <w:sz w:val="18"/>
          <w:szCs w:val="18"/>
        </w:rPr>
      </w:pPr>
    </w:p>
    <w:p w14:paraId="6BAF97DE" w14:textId="2199C54E" w:rsidR="00674DB5" w:rsidRPr="00206DB4" w:rsidRDefault="00674DB5" w:rsidP="00674DB5">
      <w:pPr>
        <w:pStyle w:val="BodyText"/>
        <w:spacing w:after="0"/>
        <w:ind w:left="709" w:right="720"/>
        <w:jc w:val="both"/>
        <w:rPr>
          <w:rFonts w:ascii="Cambria" w:hAnsi="Cambria"/>
          <w:sz w:val="18"/>
          <w:szCs w:val="18"/>
        </w:rPr>
      </w:pPr>
      <w:r>
        <w:rPr>
          <w:rFonts w:ascii="Cambria" w:hAnsi="Cambria"/>
          <w:sz w:val="18"/>
        </w:rPr>
        <w:t xml:space="preserve">Adequate, timely, and priority treatment will be guaranteed to those </w:t>
      </w:r>
      <w:proofErr w:type="gramStart"/>
      <w:r>
        <w:rPr>
          <w:rFonts w:ascii="Cambria" w:hAnsi="Cambria"/>
          <w:sz w:val="18"/>
        </w:rPr>
        <w:t>persons</w:t>
      </w:r>
      <w:proofErr w:type="gramEnd"/>
      <w:r>
        <w:rPr>
          <w:rFonts w:ascii="Cambria" w:hAnsi="Cambria"/>
          <w:sz w:val="18"/>
        </w:rPr>
        <w:t xml:space="preserve"> who require</w:t>
      </w:r>
      <w:r w:rsidR="003756E8">
        <w:rPr>
          <w:rFonts w:ascii="Cambria" w:hAnsi="Cambria"/>
          <w:sz w:val="18"/>
        </w:rPr>
        <w:t xml:space="preserve"> it, upon expression of their will,</w:t>
      </w:r>
      <w:r>
        <w:rPr>
          <w:rFonts w:ascii="Cambria" w:hAnsi="Cambria"/>
          <w:sz w:val="18"/>
        </w:rPr>
        <w:t xml:space="preserve"> and for as long as necessary. The psychological treatment and psychosocial care </w:t>
      </w:r>
      <w:r>
        <w:rPr>
          <w:rFonts w:ascii="Cambria" w:hAnsi="Cambria"/>
          <w:sz w:val="18"/>
        </w:rPr>
        <w:lastRenderedPageBreak/>
        <w:t xml:space="preserve">provided must </w:t>
      </w:r>
      <w:proofErr w:type="gramStart"/>
      <w:r>
        <w:rPr>
          <w:rFonts w:ascii="Cambria" w:hAnsi="Cambria"/>
          <w:sz w:val="18"/>
        </w:rPr>
        <w:t>take into account</w:t>
      </w:r>
      <w:proofErr w:type="gramEnd"/>
      <w:r>
        <w:rPr>
          <w:rFonts w:ascii="Cambria" w:hAnsi="Cambria"/>
          <w:sz w:val="18"/>
        </w:rPr>
        <w:t xml:space="preserve"> the </w:t>
      </w:r>
      <w:proofErr w:type="gramStart"/>
      <w:r>
        <w:rPr>
          <w:rFonts w:ascii="Cambria" w:hAnsi="Cambria"/>
          <w:sz w:val="18"/>
        </w:rPr>
        <w:t>particular circumstances</w:t>
      </w:r>
      <w:proofErr w:type="gramEnd"/>
      <w:r>
        <w:rPr>
          <w:rFonts w:ascii="Cambria" w:hAnsi="Cambria"/>
          <w:sz w:val="18"/>
        </w:rPr>
        <w:t xml:space="preserve"> and needs of each person, so that family and individual treatment is provided, as agreed with each person and after an individual assessment.</w:t>
      </w:r>
    </w:p>
    <w:p w14:paraId="4A621F8D" w14:textId="77777777" w:rsidR="00674DB5" w:rsidRPr="007F1EB5" w:rsidRDefault="00674DB5" w:rsidP="00674DB5">
      <w:pPr>
        <w:pStyle w:val="BodyText"/>
        <w:spacing w:after="0"/>
        <w:ind w:left="709" w:right="720"/>
        <w:jc w:val="both"/>
        <w:rPr>
          <w:rFonts w:ascii="Cambria" w:hAnsi="Cambria"/>
          <w:sz w:val="18"/>
          <w:szCs w:val="18"/>
        </w:rPr>
      </w:pPr>
    </w:p>
    <w:p w14:paraId="31614076" w14:textId="2722D756" w:rsidR="00674DB5" w:rsidRPr="00206DB4" w:rsidRDefault="00DF5FE9" w:rsidP="00674DB5">
      <w:pPr>
        <w:pStyle w:val="BodyText"/>
        <w:spacing w:after="0"/>
        <w:ind w:left="709" w:right="720"/>
        <w:jc w:val="both"/>
        <w:rPr>
          <w:rFonts w:ascii="Cambria" w:hAnsi="Cambria"/>
          <w:sz w:val="18"/>
          <w:szCs w:val="18"/>
        </w:rPr>
      </w:pPr>
      <w:r>
        <w:rPr>
          <w:rFonts w:ascii="Cambria" w:hAnsi="Cambria"/>
          <w:sz w:val="18"/>
        </w:rPr>
        <w:t xml:space="preserve">Within the framework of </w:t>
      </w:r>
      <w:r w:rsidR="00674DB5">
        <w:rPr>
          <w:rFonts w:ascii="Cambria" w:hAnsi="Cambria"/>
          <w:sz w:val="18"/>
        </w:rPr>
        <w:t xml:space="preserve">comprehensive health care, the beneficiaries of the measures </w:t>
      </w:r>
      <w:r w:rsidR="00335D7F">
        <w:rPr>
          <w:rFonts w:ascii="Cambria" w:hAnsi="Cambria"/>
          <w:sz w:val="18"/>
        </w:rPr>
        <w:t xml:space="preserve">will </w:t>
      </w:r>
      <w:proofErr w:type="gramStart"/>
      <w:r w:rsidR="00335D7F">
        <w:rPr>
          <w:rFonts w:ascii="Cambria" w:hAnsi="Cambria"/>
          <w:sz w:val="18"/>
        </w:rPr>
        <w:t xml:space="preserve">be </w:t>
      </w:r>
      <w:r w:rsidR="00674DB5">
        <w:rPr>
          <w:rFonts w:ascii="Cambria" w:hAnsi="Cambria"/>
          <w:sz w:val="18"/>
        </w:rPr>
        <w:t>guaranteed</w:t>
      </w:r>
      <w:proofErr w:type="gramEnd"/>
      <w:r w:rsidR="00674DB5">
        <w:rPr>
          <w:rFonts w:ascii="Cambria" w:hAnsi="Cambria"/>
          <w:sz w:val="18"/>
        </w:rPr>
        <w:t xml:space="preserve"> timely and quality access to the</w:t>
      </w:r>
      <w:r w:rsidR="000D4DCA">
        <w:rPr>
          <w:rFonts w:ascii="Cambria" w:hAnsi="Cambria"/>
          <w:sz w:val="18"/>
        </w:rPr>
        <w:t xml:space="preserve"> necessary</w:t>
      </w:r>
      <w:r w:rsidR="00674DB5">
        <w:rPr>
          <w:rFonts w:ascii="Cambria" w:hAnsi="Cambria"/>
          <w:sz w:val="18"/>
        </w:rPr>
        <w:t xml:space="preserve"> medicines and treatments (including physical and mental health care), in accordance with the provisions governing the SGSS, </w:t>
      </w:r>
      <w:r w:rsidR="00FF43AE">
        <w:rPr>
          <w:rFonts w:ascii="Cambria" w:hAnsi="Cambria"/>
          <w:sz w:val="18"/>
        </w:rPr>
        <w:t xml:space="preserve">while also </w:t>
      </w:r>
      <w:r w:rsidR="00674DB5">
        <w:rPr>
          <w:rFonts w:ascii="Cambria" w:hAnsi="Cambria"/>
          <w:sz w:val="18"/>
        </w:rPr>
        <w:t xml:space="preserve">receiving priority and specialized care based on their status as victims. </w:t>
      </w:r>
    </w:p>
    <w:p w14:paraId="7AF2B958" w14:textId="77777777" w:rsidR="00674DB5" w:rsidRPr="007F1EB5" w:rsidRDefault="00674DB5" w:rsidP="00674DB5">
      <w:pPr>
        <w:pStyle w:val="NormalWeb"/>
        <w:spacing w:before="0" w:beforeAutospacing="0" w:after="0" w:afterAutospacing="0"/>
        <w:ind w:right="713"/>
        <w:jc w:val="both"/>
        <w:rPr>
          <w:rFonts w:ascii="Cambria" w:hAnsi="Cambria"/>
          <w:sz w:val="18"/>
          <w:szCs w:val="18"/>
          <w:lang w:eastAsia="es-MX"/>
        </w:rPr>
      </w:pPr>
    </w:p>
    <w:p w14:paraId="4CBD53F0" w14:textId="135C847A" w:rsidR="00674DB5" w:rsidRPr="00206DB4" w:rsidRDefault="00FF43AE" w:rsidP="00674DB5">
      <w:pPr>
        <w:pStyle w:val="NormalWeb"/>
        <w:spacing w:before="0" w:beforeAutospacing="0" w:after="0" w:afterAutospacing="0"/>
        <w:ind w:left="709" w:right="713"/>
        <w:jc w:val="both"/>
        <w:rPr>
          <w:rFonts w:ascii="Cambria" w:hAnsi="Cambria"/>
          <w:sz w:val="18"/>
          <w:szCs w:val="18"/>
        </w:rPr>
      </w:pPr>
      <w:r>
        <w:rPr>
          <w:rFonts w:ascii="Cambria" w:hAnsi="Cambria"/>
          <w:sz w:val="18"/>
        </w:rPr>
        <w:t xml:space="preserve">To this end, </w:t>
      </w:r>
      <w:r w:rsidR="00674DB5">
        <w:rPr>
          <w:rFonts w:ascii="Cambria" w:hAnsi="Cambria"/>
          <w:sz w:val="18"/>
        </w:rPr>
        <w:t xml:space="preserve">a comprehensive health management channel will be guaranteed through the </w:t>
      </w:r>
      <w:r>
        <w:rPr>
          <w:rFonts w:ascii="Cambria" w:hAnsi="Cambria"/>
          <w:sz w:val="18"/>
        </w:rPr>
        <w:t xml:space="preserve">various territorial </w:t>
      </w:r>
      <w:r w:rsidR="009A1B69">
        <w:rPr>
          <w:rFonts w:ascii="Cambria" w:hAnsi="Cambria"/>
          <w:sz w:val="18"/>
        </w:rPr>
        <w:t xml:space="preserve">operators of the </w:t>
      </w:r>
      <w:r w:rsidR="00674DB5">
        <w:rPr>
          <w:rFonts w:ascii="Cambria" w:hAnsi="Cambria"/>
          <w:sz w:val="18"/>
        </w:rPr>
        <w:t>PAPSIVI, victims’ organizations (</w:t>
      </w:r>
      <w:proofErr w:type="spellStart"/>
      <w:r w:rsidR="00674DB5">
        <w:rPr>
          <w:rFonts w:ascii="Cambria" w:hAnsi="Cambria"/>
          <w:i/>
          <w:iCs/>
          <w:sz w:val="18"/>
        </w:rPr>
        <w:t>referentes</w:t>
      </w:r>
      <w:proofErr w:type="spellEnd"/>
      <w:r w:rsidR="00674DB5">
        <w:rPr>
          <w:rFonts w:ascii="Cambria" w:hAnsi="Cambria"/>
          <w:sz w:val="18"/>
        </w:rPr>
        <w:t>) in the territorial entities, and the Entities Administrating Benefit Plans and Ministry of Health and Social Protection plans.</w:t>
      </w:r>
    </w:p>
    <w:p w14:paraId="1649F87B" w14:textId="77777777" w:rsidR="00674DB5" w:rsidRPr="007F1EB5" w:rsidRDefault="00674DB5" w:rsidP="00674DB5">
      <w:pPr>
        <w:pStyle w:val="BodyText"/>
        <w:spacing w:after="0"/>
        <w:ind w:right="720"/>
        <w:jc w:val="both"/>
        <w:rPr>
          <w:rFonts w:ascii="Cambria" w:hAnsi="Cambria"/>
          <w:w w:val="105"/>
          <w:sz w:val="18"/>
          <w:szCs w:val="18"/>
        </w:rPr>
      </w:pPr>
    </w:p>
    <w:p w14:paraId="2ECE3571" w14:textId="0BE0159F" w:rsidR="00674DB5" w:rsidRPr="00206DB4" w:rsidRDefault="00674DB5" w:rsidP="00674DB5">
      <w:pPr>
        <w:pStyle w:val="BodyText"/>
        <w:spacing w:after="0"/>
        <w:ind w:left="709" w:right="720"/>
        <w:jc w:val="both"/>
        <w:rPr>
          <w:rFonts w:ascii="Cambria" w:hAnsi="Cambria" w:cstheme="minorHAnsi"/>
          <w:w w:val="105"/>
          <w:sz w:val="18"/>
          <w:szCs w:val="18"/>
        </w:rPr>
      </w:pPr>
      <w:r>
        <w:rPr>
          <w:rFonts w:ascii="Cambria" w:hAnsi="Cambria"/>
          <w:sz w:val="18"/>
        </w:rPr>
        <w:t>This reparation measure shall be implemented</w:t>
      </w:r>
      <w:r w:rsidR="00BB589C">
        <w:rPr>
          <w:rFonts w:ascii="Cambria" w:hAnsi="Cambria"/>
          <w:sz w:val="18"/>
        </w:rPr>
        <w:t xml:space="preserve"> under the terms </w:t>
      </w:r>
      <w:r>
        <w:rPr>
          <w:rFonts w:ascii="Cambria" w:hAnsi="Cambria"/>
          <w:sz w:val="18"/>
        </w:rPr>
        <w:t xml:space="preserve">indicated for </w:t>
      </w:r>
      <w:proofErr w:type="gramStart"/>
      <w:r>
        <w:rPr>
          <w:rFonts w:ascii="Cambria" w:hAnsi="Cambria"/>
          <w:sz w:val="18"/>
        </w:rPr>
        <w:t>persons</w:t>
      </w:r>
      <w:proofErr w:type="gramEnd"/>
      <w:r>
        <w:rPr>
          <w:rFonts w:ascii="Cambria" w:hAnsi="Cambria"/>
          <w:sz w:val="18"/>
        </w:rPr>
        <w:t xml:space="preserve"> residing </w:t>
      </w:r>
      <w:r w:rsidR="00BB589C">
        <w:rPr>
          <w:rFonts w:ascii="Cambria" w:hAnsi="Cambria"/>
          <w:sz w:val="18"/>
        </w:rPr>
        <w:t>within the national territory</w:t>
      </w:r>
      <w:r>
        <w:rPr>
          <w:rFonts w:ascii="Cambria" w:hAnsi="Cambria"/>
          <w:sz w:val="18"/>
        </w:rPr>
        <w:t xml:space="preserve">. </w:t>
      </w:r>
      <w:r w:rsidRPr="00206DB4">
        <w:rPr>
          <w:rStyle w:val="FootnoteReference"/>
          <w:rFonts w:ascii="Cambria" w:hAnsi="Cambria" w:cstheme="minorHAnsi"/>
          <w:w w:val="105"/>
          <w:sz w:val="18"/>
          <w:szCs w:val="18"/>
        </w:rPr>
        <w:footnoteReference w:id="24"/>
      </w:r>
      <w:r>
        <w:rPr>
          <w:rFonts w:ascii="Cambria" w:hAnsi="Cambria"/>
          <w:sz w:val="18"/>
        </w:rPr>
        <w:t xml:space="preserve"> </w:t>
      </w:r>
    </w:p>
    <w:p w14:paraId="37E4F0B7" w14:textId="77777777" w:rsidR="00674DB5" w:rsidRPr="007F1EB5" w:rsidRDefault="00674DB5" w:rsidP="00674DB5">
      <w:pPr>
        <w:pStyle w:val="BodyText"/>
        <w:spacing w:after="0"/>
        <w:ind w:right="720"/>
        <w:jc w:val="both"/>
        <w:rPr>
          <w:rFonts w:ascii="Cambria" w:hAnsi="Cambria"/>
          <w:w w:val="105"/>
          <w:sz w:val="18"/>
          <w:szCs w:val="18"/>
        </w:rPr>
      </w:pPr>
    </w:p>
    <w:p w14:paraId="64F36CF4" w14:textId="77777777" w:rsidR="00674DB5" w:rsidRPr="004C602A" w:rsidRDefault="00674DB5" w:rsidP="00674DB5">
      <w:pPr>
        <w:pStyle w:val="Heading4"/>
        <w:spacing w:before="0"/>
        <w:ind w:left="810" w:right="720" w:hanging="90"/>
        <w:rPr>
          <w:rFonts w:ascii="Cambria" w:hAnsi="Cambria"/>
          <w:b/>
          <w:bCs/>
          <w:i w:val="0"/>
          <w:iCs w:val="0"/>
          <w:color w:val="auto"/>
          <w:spacing w:val="-2"/>
          <w:w w:val="105"/>
          <w:sz w:val="18"/>
          <w:szCs w:val="18"/>
        </w:rPr>
      </w:pPr>
      <w:r>
        <w:rPr>
          <w:rFonts w:ascii="Cambria" w:hAnsi="Cambria"/>
          <w:b/>
          <w:i w:val="0"/>
          <w:color w:val="auto"/>
          <w:sz w:val="18"/>
        </w:rPr>
        <w:t xml:space="preserve">PART NINE: GUARANTEES OF </w:t>
      </w:r>
      <w:proofErr w:type="gramStart"/>
      <w:r>
        <w:rPr>
          <w:rFonts w:ascii="Cambria" w:hAnsi="Cambria"/>
          <w:b/>
          <w:i w:val="0"/>
          <w:color w:val="auto"/>
          <w:sz w:val="18"/>
        </w:rPr>
        <w:t>NON REPETITION</w:t>
      </w:r>
      <w:proofErr w:type="gramEnd"/>
    </w:p>
    <w:p w14:paraId="69A7A9A0" w14:textId="77777777" w:rsidR="00674DB5" w:rsidRPr="007F1EB5" w:rsidRDefault="00674DB5" w:rsidP="00674DB5">
      <w:pPr>
        <w:rPr>
          <w:rFonts w:ascii="Cambria" w:hAnsi="Cambria"/>
          <w:sz w:val="18"/>
          <w:szCs w:val="18"/>
        </w:rPr>
      </w:pPr>
    </w:p>
    <w:p w14:paraId="602348EC" w14:textId="794AE172" w:rsidR="00674DB5" w:rsidRPr="00206DB4" w:rsidRDefault="00674DB5" w:rsidP="00674DB5">
      <w:pPr>
        <w:pStyle w:val="BodyText"/>
        <w:spacing w:after="0"/>
        <w:ind w:left="709" w:right="720"/>
        <w:jc w:val="both"/>
        <w:rPr>
          <w:rFonts w:ascii="Cambria" w:hAnsi="Cambria"/>
          <w:sz w:val="18"/>
          <w:szCs w:val="18"/>
        </w:rPr>
      </w:pPr>
      <w:r>
        <w:rPr>
          <w:rFonts w:ascii="Cambria" w:hAnsi="Cambria"/>
          <w:sz w:val="18"/>
        </w:rPr>
        <w:t xml:space="preserve">The Presidential </w:t>
      </w:r>
      <w:r w:rsidR="00B416CB">
        <w:rPr>
          <w:rFonts w:ascii="Cambria" w:hAnsi="Cambria"/>
          <w:sz w:val="18"/>
        </w:rPr>
        <w:t xml:space="preserve">Council </w:t>
      </w:r>
      <w:r>
        <w:rPr>
          <w:rFonts w:ascii="Cambria" w:hAnsi="Cambria"/>
          <w:sz w:val="18"/>
        </w:rPr>
        <w:t xml:space="preserve">for Human Rights, through the Technical Secretariat of the Intersectoral Commission for the Prevention of Recruitment, Use and Sexual Violence against Children and Adolescents (CIPRUNNA), shall supervise implementation of the protection and prevention </w:t>
      </w:r>
      <w:r w:rsidR="00796B97">
        <w:rPr>
          <w:rFonts w:ascii="Cambria" w:hAnsi="Cambria"/>
          <w:sz w:val="18"/>
        </w:rPr>
        <w:t xml:space="preserve">roadmap </w:t>
      </w:r>
      <w:r>
        <w:rPr>
          <w:rFonts w:ascii="Cambria" w:hAnsi="Cambria"/>
          <w:sz w:val="18"/>
        </w:rPr>
        <w:t xml:space="preserve">in the department of Arauca and the municipality of </w:t>
      </w:r>
      <w:proofErr w:type="spellStart"/>
      <w:r>
        <w:rPr>
          <w:rFonts w:ascii="Cambria" w:hAnsi="Cambria"/>
          <w:sz w:val="18"/>
        </w:rPr>
        <w:t>Saravena</w:t>
      </w:r>
      <w:proofErr w:type="spellEnd"/>
      <w:r w:rsidR="00336C47">
        <w:rPr>
          <w:rFonts w:ascii="Cambria" w:hAnsi="Cambria"/>
          <w:sz w:val="18"/>
        </w:rPr>
        <w:t xml:space="preserve">. </w:t>
      </w:r>
      <w:r w:rsidR="00117ED2">
        <w:rPr>
          <w:rFonts w:ascii="Cambria" w:hAnsi="Cambria"/>
          <w:sz w:val="18"/>
        </w:rPr>
        <w:t>The above</w:t>
      </w:r>
      <w:r>
        <w:rPr>
          <w:rFonts w:ascii="Cambria" w:hAnsi="Cambria"/>
          <w:sz w:val="18"/>
        </w:rPr>
        <w:t xml:space="preserve"> </w:t>
      </w:r>
      <w:r w:rsidR="00796B97">
        <w:rPr>
          <w:rFonts w:ascii="Cambria" w:hAnsi="Cambria"/>
          <w:sz w:val="18"/>
        </w:rPr>
        <w:t>w</w:t>
      </w:r>
      <w:r w:rsidR="00173672">
        <w:rPr>
          <w:rFonts w:ascii="Cambria" w:hAnsi="Cambria"/>
          <w:sz w:val="18"/>
        </w:rPr>
        <w:t>i</w:t>
      </w:r>
      <w:r w:rsidR="00796B97">
        <w:rPr>
          <w:rFonts w:ascii="Cambria" w:hAnsi="Cambria"/>
          <w:sz w:val="18"/>
        </w:rPr>
        <w:t xml:space="preserve">th the </w:t>
      </w:r>
      <w:r w:rsidR="00117ED2">
        <w:rPr>
          <w:rFonts w:ascii="Cambria" w:hAnsi="Cambria"/>
          <w:sz w:val="18"/>
        </w:rPr>
        <w:t xml:space="preserve">purpose </w:t>
      </w:r>
      <w:r w:rsidR="00796B97">
        <w:rPr>
          <w:rFonts w:ascii="Cambria" w:hAnsi="Cambria"/>
          <w:sz w:val="18"/>
        </w:rPr>
        <w:t xml:space="preserve">of adopting it </w:t>
      </w:r>
      <w:r>
        <w:rPr>
          <w:rFonts w:ascii="Cambria" w:hAnsi="Cambria"/>
          <w:sz w:val="18"/>
        </w:rPr>
        <w:t xml:space="preserve">as municipal and departmental public policy, to increase the ability of territorial authorities and national level entities to respond to imminent and individualized threats to the rights of children and adolescents, </w:t>
      </w:r>
      <w:proofErr w:type="gramStart"/>
      <w:r>
        <w:rPr>
          <w:rFonts w:ascii="Cambria" w:hAnsi="Cambria"/>
          <w:sz w:val="18"/>
        </w:rPr>
        <w:t>so as to</w:t>
      </w:r>
      <w:proofErr w:type="gramEnd"/>
      <w:r>
        <w:rPr>
          <w:rFonts w:ascii="Cambria" w:hAnsi="Cambria"/>
          <w:sz w:val="18"/>
        </w:rPr>
        <w:t xml:space="preserve"> be protect them against any form of recruitment, use, sexual violence, and stigmatization. This prevention and protection </w:t>
      </w:r>
      <w:r w:rsidR="0065036F">
        <w:rPr>
          <w:rFonts w:ascii="Cambria" w:hAnsi="Cambria"/>
          <w:sz w:val="18"/>
        </w:rPr>
        <w:t xml:space="preserve">roadmap </w:t>
      </w:r>
      <w:r>
        <w:rPr>
          <w:rFonts w:ascii="Cambria" w:hAnsi="Cambria"/>
          <w:sz w:val="18"/>
        </w:rPr>
        <w:t xml:space="preserve">should be adopted as municipal and departmental public policy and as a guideline for action by local authorities, national level entities, society, the community, and the family, in addition to being applied in a variety of inter-agency coordination scenarios. </w:t>
      </w:r>
    </w:p>
    <w:p w14:paraId="44B171DB" w14:textId="77777777" w:rsidR="00674DB5" w:rsidRPr="007F1EB5" w:rsidRDefault="00674DB5" w:rsidP="00674DB5">
      <w:pPr>
        <w:pStyle w:val="BodyText"/>
        <w:spacing w:after="0"/>
        <w:ind w:left="709" w:right="720"/>
        <w:jc w:val="both"/>
        <w:rPr>
          <w:rFonts w:ascii="Cambria" w:hAnsi="Cambria"/>
          <w:sz w:val="18"/>
          <w:szCs w:val="18"/>
        </w:rPr>
      </w:pPr>
    </w:p>
    <w:p w14:paraId="6669BC84" w14:textId="77777777" w:rsidR="00674DB5" w:rsidRPr="00206DB4" w:rsidRDefault="00674DB5" w:rsidP="00674DB5">
      <w:pPr>
        <w:pStyle w:val="BodyText"/>
        <w:spacing w:after="0"/>
        <w:ind w:left="709" w:right="720"/>
        <w:jc w:val="both"/>
        <w:rPr>
          <w:rFonts w:ascii="Cambria" w:hAnsi="Cambria"/>
          <w:sz w:val="18"/>
          <w:szCs w:val="18"/>
        </w:rPr>
      </w:pPr>
      <w:r>
        <w:rPr>
          <w:rFonts w:ascii="Cambria" w:hAnsi="Cambria"/>
          <w:sz w:val="18"/>
        </w:rPr>
        <w:t xml:space="preserve">Likewise, the Technical Secretariat of the Intersectoral Commission, in agreement with the territorial entities, may define focus groups of this population as part of a rights mapping effort that will serve as input to the municipality and the department for the formulation of public policies that guarantee their rights, taking into account their opinion and active participation, thus emphasizing their condition as subjects of rights. In performing these tasks, the authorities will be able to count on the participation of the representatives of the victims - </w:t>
      </w:r>
      <w:proofErr w:type="spellStart"/>
      <w:r>
        <w:rPr>
          <w:rFonts w:ascii="Cambria" w:hAnsi="Cambria"/>
          <w:sz w:val="18"/>
        </w:rPr>
        <w:t>Humanidad</w:t>
      </w:r>
      <w:proofErr w:type="spellEnd"/>
      <w:r>
        <w:rPr>
          <w:rFonts w:ascii="Cambria" w:hAnsi="Cambria"/>
          <w:sz w:val="18"/>
        </w:rPr>
        <w:t xml:space="preserve"> </w:t>
      </w:r>
      <w:proofErr w:type="spellStart"/>
      <w:r>
        <w:rPr>
          <w:rFonts w:ascii="Cambria" w:hAnsi="Cambria"/>
          <w:sz w:val="18"/>
        </w:rPr>
        <w:t>Vigente</w:t>
      </w:r>
      <w:proofErr w:type="spellEnd"/>
      <w:r>
        <w:rPr>
          <w:rFonts w:ascii="Cambria" w:hAnsi="Cambria"/>
          <w:sz w:val="18"/>
        </w:rPr>
        <w:t xml:space="preserve"> - thanks to the work they do in the area to benefit children and young people and on the participation of the territorial organizations Fundación de Derechos Humanos Joel Sierra and Asociación Juvenil y </w:t>
      </w:r>
      <w:proofErr w:type="spellStart"/>
      <w:r>
        <w:rPr>
          <w:rFonts w:ascii="Cambria" w:hAnsi="Cambria"/>
          <w:sz w:val="18"/>
        </w:rPr>
        <w:t>Estudiantil</w:t>
      </w:r>
      <w:proofErr w:type="spellEnd"/>
      <w:r>
        <w:rPr>
          <w:rFonts w:ascii="Cambria" w:hAnsi="Cambria"/>
          <w:sz w:val="18"/>
        </w:rPr>
        <w:t xml:space="preserve"> Regional -ASOJER-.</w:t>
      </w:r>
    </w:p>
    <w:p w14:paraId="01720B9E" w14:textId="77777777" w:rsidR="00674DB5" w:rsidRPr="007F1EB5" w:rsidRDefault="00674DB5" w:rsidP="00674DB5">
      <w:pPr>
        <w:pStyle w:val="BodyText"/>
        <w:spacing w:after="0"/>
        <w:ind w:left="709" w:right="720"/>
        <w:jc w:val="both"/>
        <w:rPr>
          <w:rFonts w:ascii="Cambria" w:hAnsi="Cambria"/>
          <w:sz w:val="18"/>
          <w:szCs w:val="18"/>
        </w:rPr>
      </w:pPr>
    </w:p>
    <w:p w14:paraId="0F3462F3" w14:textId="48B7C7E7" w:rsidR="00674DB5" w:rsidRPr="00206DB4" w:rsidRDefault="00674DB5" w:rsidP="00674DB5">
      <w:pPr>
        <w:pStyle w:val="BodyText"/>
        <w:spacing w:after="0"/>
        <w:ind w:left="709" w:right="720"/>
        <w:jc w:val="both"/>
        <w:rPr>
          <w:rFonts w:ascii="Cambria" w:hAnsi="Cambria"/>
          <w:sz w:val="18"/>
          <w:szCs w:val="18"/>
        </w:rPr>
      </w:pPr>
      <w:r>
        <w:rPr>
          <w:rFonts w:ascii="Cambria" w:hAnsi="Cambria"/>
          <w:sz w:val="18"/>
        </w:rPr>
        <w:t>To implement this guarantee of non-repetition established in the Friendly Settlement Agreement and in order to achieve the formulation and adoption of the</w:t>
      </w:r>
      <w:r w:rsidR="00E523DD">
        <w:rPr>
          <w:rFonts w:ascii="Cambria" w:hAnsi="Cambria"/>
          <w:sz w:val="18"/>
        </w:rPr>
        <w:t xml:space="preserve"> roadmaps</w:t>
      </w:r>
      <w:r>
        <w:rPr>
          <w:rFonts w:ascii="Cambria" w:hAnsi="Cambria"/>
          <w:sz w:val="18"/>
        </w:rPr>
        <w:t xml:space="preserve"> for the prevention of recruitment, use, sexual violence and stigmatization affecting children and young people in the municipality of </w:t>
      </w:r>
      <w:proofErr w:type="spellStart"/>
      <w:r>
        <w:rPr>
          <w:rFonts w:ascii="Cambria" w:hAnsi="Cambria"/>
          <w:sz w:val="18"/>
        </w:rPr>
        <w:t>Saravena</w:t>
      </w:r>
      <w:proofErr w:type="spellEnd"/>
      <w:r>
        <w:rPr>
          <w:rFonts w:ascii="Cambria" w:hAnsi="Cambria"/>
          <w:sz w:val="18"/>
        </w:rPr>
        <w:t>, the Presidential Council for Human Rights, through the Technical Secretariat of the Intersectoral Commission for the Prevention of Recruitment, Use, and Sexual Violence against Children and Adolescents will carry out the following activities:</w:t>
      </w:r>
    </w:p>
    <w:p w14:paraId="67C4C0BE" w14:textId="77777777" w:rsidR="00674DB5" w:rsidRPr="007F1EB5" w:rsidRDefault="00674DB5" w:rsidP="00674DB5">
      <w:pPr>
        <w:ind w:left="1418" w:right="720" w:hanging="142"/>
        <w:jc w:val="both"/>
        <w:rPr>
          <w:rFonts w:ascii="Cambria" w:hAnsi="Cambria"/>
          <w:sz w:val="18"/>
          <w:szCs w:val="18"/>
        </w:rPr>
      </w:pPr>
    </w:p>
    <w:p w14:paraId="022334C6" w14:textId="4D7CBB90" w:rsidR="00674DB5" w:rsidRPr="00206DB4" w:rsidRDefault="00674DB5" w:rsidP="00F32864">
      <w:pPr>
        <w:pStyle w:val="ListParagraph"/>
        <w:widowControl w:val="0"/>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sz w:val="18"/>
          <w:szCs w:val="18"/>
        </w:rPr>
      </w:pPr>
      <w:r>
        <w:rPr>
          <w:sz w:val="18"/>
        </w:rPr>
        <w:t>Mapping of rights with children and adolescents, through the realization of 4 workshops, each lasting 4 to 5 hours, with 4 different groups of 25 children, adolescents, and young people of the municipality to ga</w:t>
      </w:r>
      <w:r w:rsidR="00D77A1F">
        <w:rPr>
          <w:sz w:val="18"/>
        </w:rPr>
        <w:t>th</w:t>
      </w:r>
      <w:r>
        <w:rPr>
          <w:sz w:val="18"/>
        </w:rPr>
        <w:t>er their perceptions about the realization and exercise of rights.</w:t>
      </w:r>
    </w:p>
    <w:p w14:paraId="1BAC2F67" w14:textId="06E8FBB2" w:rsidR="00674DB5" w:rsidRPr="00206DB4" w:rsidRDefault="00674DB5" w:rsidP="00F32864">
      <w:pPr>
        <w:pStyle w:val="ListParagraph"/>
        <w:widowControl w:val="0"/>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sz w:val="18"/>
          <w:szCs w:val="18"/>
        </w:rPr>
      </w:pPr>
      <w:r>
        <w:rPr>
          <w:sz w:val="18"/>
        </w:rPr>
        <w:t xml:space="preserve">A workshop to </w:t>
      </w:r>
      <w:r w:rsidR="00D77A1F">
        <w:rPr>
          <w:sz w:val="18"/>
        </w:rPr>
        <w:t xml:space="preserve">share </w:t>
      </w:r>
      <w:r>
        <w:rPr>
          <w:sz w:val="18"/>
        </w:rPr>
        <w:t xml:space="preserve">the results of the mapping activities among </w:t>
      </w:r>
      <w:proofErr w:type="spellStart"/>
      <w:proofErr w:type="gramStart"/>
      <w:r>
        <w:rPr>
          <w:sz w:val="18"/>
        </w:rPr>
        <w:t>children</w:t>
      </w:r>
      <w:r w:rsidR="0040496D">
        <w:rPr>
          <w:sz w:val="18"/>
        </w:rPr>
        <w:t>,</w:t>
      </w:r>
      <w:r>
        <w:rPr>
          <w:sz w:val="18"/>
        </w:rPr>
        <w:t>young</w:t>
      </w:r>
      <w:proofErr w:type="spellEnd"/>
      <w:proofErr w:type="gramEnd"/>
      <w:r>
        <w:rPr>
          <w:sz w:val="18"/>
        </w:rPr>
        <w:t xml:space="preserve"> people and institutions.</w:t>
      </w:r>
    </w:p>
    <w:p w14:paraId="37A340FC" w14:textId="77777777" w:rsidR="00674DB5" w:rsidRPr="00206DB4" w:rsidRDefault="00674DB5" w:rsidP="00F32864">
      <w:pPr>
        <w:pStyle w:val="ListParagraph"/>
        <w:widowControl w:val="0"/>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sz w:val="18"/>
          <w:szCs w:val="18"/>
        </w:rPr>
      </w:pPr>
      <w:r>
        <w:rPr>
          <w:sz w:val="18"/>
        </w:rPr>
        <w:t>A workshop with local institutions and authorities to build a roadmap for the prevention of recruitment, use, sexual violence, and stigmatization in its three stages.</w:t>
      </w:r>
    </w:p>
    <w:p w14:paraId="0D00E7BB" w14:textId="77777777" w:rsidR="00674DB5" w:rsidRPr="00206DB4" w:rsidRDefault="00674DB5" w:rsidP="00F32864">
      <w:pPr>
        <w:pStyle w:val="ListParagraph"/>
        <w:widowControl w:val="0"/>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sz w:val="18"/>
          <w:szCs w:val="18"/>
        </w:rPr>
      </w:pPr>
      <w:r>
        <w:rPr>
          <w:sz w:val="18"/>
        </w:rPr>
        <w:t>A participatory workshop with children and adolescents to identify inputs and elements to be integrated into the new public policy instrument.</w:t>
      </w:r>
    </w:p>
    <w:p w14:paraId="76C69EC9" w14:textId="77777777" w:rsidR="00674DB5" w:rsidRPr="00206DB4" w:rsidRDefault="00674DB5" w:rsidP="00F32864">
      <w:pPr>
        <w:pStyle w:val="ListParagraph"/>
        <w:widowControl w:val="0"/>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sz w:val="18"/>
          <w:szCs w:val="18"/>
        </w:rPr>
      </w:pPr>
      <w:r>
        <w:rPr>
          <w:sz w:val="18"/>
        </w:rPr>
        <w:t>Training of the security forces in a differential approach to children.</w:t>
      </w:r>
    </w:p>
    <w:p w14:paraId="3CC68B84"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rPr>
          <w:rFonts w:ascii="Cambria" w:hAnsi="Cambria"/>
          <w:sz w:val="18"/>
          <w:szCs w:val="18"/>
        </w:rPr>
      </w:pPr>
    </w:p>
    <w:p w14:paraId="27E32298" w14:textId="027A99A9" w:rsidR="00674DB5" w:rsidRPr="00206DB4" w:rsidRDefault="00674DB5" w:rsidP="00674DB5">
      <w:pPr>
        <w:pStyle w:val="BodyText"/>
        <w:spacing w:after="0"/>
        <w:ind w:right="720" w:firstLine="709"/>
        <w:jc w:val="both"/>
        <w:rPr>
          <w:rFonts w:ascii="Cambria" w:hAnsi="Cambria"/>
          <w:sz w:val="18"/>
          <w:szCs w:val="18"/>
        </w:rPr>
      </w:pPr>
      <w:proofErr w:type="gramStart"/>
      <w:r>
        <w:rPr>
          <w:rFonts w:ascii="Cambria" w:hAnsi="Cambria"/>
          <w:sz w:val="18"/>
        </w:rPr>
        <w:t>With regard to</w:t>
      </w:r>
      <w:proofErr w:type="gramEnd"/>
      <w:r>
        <w:rPr>
          <w:rFonts w:ascii="Cambria" w:hAnsi="Cambria"/>
          <w:sz w:val="18"/>
        </w:rPr>
        <w:t xml:space="preserve"> </w:t>
      </w:r>
      <w:r w:rsidR="0040496D">
        <w:rPr>
          <w:rFonts w:ascii="Cambria" w:hAnsi="Cambria"/>
          <w:sz w:val="18"/>
        </w:rPr>
        <w:t xml:space="preserve">development </w:t>
      </w:r>
      <w:r>
        <w:rPr>
          <w:rFonts w:ascii="Cambria" w:hAnsi="Cambria"/>
          <w:sz w:val="18"/>
        </w:rPr>
        <w:t xml:space="preserve">of the </w:t>
      </w:r>
      <w:proofErr w:type="gramStart"/>
      <w:r>
        <w:rPr>
          <w:rFonts w:ascii="Cambria" w:hAnsi="Cambria"/>
          <w:sz w:val="18"/>
        </w:rPr>
        <w:t>aforementioned actions</w:t>
      </w:r>
      <w:proofErr w:type="gramEnd"/>
      <w:r>
        <w:rPr>
          <w:rFonts w:ascii="Cambria" w:hAnsi="Cambria"/>
          <w:sz w:val="18"/>
        </w:rPr>
        <w:t xml:space="preserve">, it is important to </w:t>
      </w:r>
      <w:proofErr w:type="gramStart"/>
      <w:r w:rsidR="0040496D">
        <w:rPr>
          <w:rFonts w:ascii="Cambria" w:hAnsi="Cambria"/>
          <w:sz w:val="18"/>
        </w:rPr>
        <w:t xml:space="preserve">note </w:t>
      </w:r>
      <w:r>
        <w:rPr>
          <w:rFonts w:ascii="Cambria" w:hAnsi="Cambria"/>
          <w:sz w:val="18"/>
        </w:rPr>
        <w:t xml:space="preserve"> that</w:t>
      </w:r>
      <w:proofErr w:type="gramEnd"/>
      <w:r>
        <w:rPr>
          <w:rFonts w:ascii="Cambria" w:hAnsi="Cambria"/>
          <w:sz w:val="18"/>
        </w:rPr>
        <w:t>:</w:t>
      </w:r>
    </w:p>
    <w:p w14:paraId="4FB2DA50"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ind w:right="713"/>
        <w:jc w:val="both"/>
        <w:rPr>
          <w:rFonts w:ascii="Cambria" w:hAnsi="Cambria"/>
          <w:sz w:val="18"/>
          <w:szCs w:val="18"/>
        </w:rPr>
      </w:pPr>
    </w:p>
    <w:p w14:paraId="1B6E18A4" w14:textId="026543B6" w:rsidR="00674DB5" w:rsidRPr="00206DB4" w:rsidRDefault="00674DB5" w:rsidP="00674DB5">
      <w:pPr>
        <w:ind w:left="1418" w:right="713" w:hanging="425"/>
        <w:jc w:val="both"/>
        <w:rPr>
          <w:rFonts w:ascii="Cambria" w:hAnsi="Cambria"/>
          <w:sz w:val="18"/>
          <w:szCs w:val="18"/>
        </w:rPr>
      </w:pPr>
      <w:r>
        <w:rPr>
          <w:rFonts w:ascii="Cambria" w:hAnsi="Cambria"/>
          <w:sz w:val="18"/>
        </w:rPr>
        <w:t xml:space="preserve">a) Prior to the rights mapping activity with children and adolescents, a meeting or workshop will be held with the representatives of the victims and/or young people in the area to prepare for the </w:t>
      </w:r>
      <w:r>
        <w:rPr>
          <w:rFonts w:ascii="Cambria" w:hAnsi="Cambria"/>
          <w:sz w:val="18"/>
        </w:rPr>
        <w:lastRenderedPageBreak/>
        <w:t xml:space="preserve">activity. </w:t>
      </w:r>
      <w:r w:rsidR="00DB0E6E">
        <w:rPr>
          <w:rFonts w:ascii="Cambria" w:hAnsi="Cambria"/>
          <w:sz w:val="18"/>
        </w:rPr>
        <w:t xml:space="preserve">The activity will be </w:t>
      </w:r>
      <w:proofErr w:type="gramStart"/>
      <w:r w:rsidR="00DB0E6E">
        <w:rPr>
          <w:rFonts w:ascii="Cambria" w:hAnsi="Cambria"/>
          <w:sz w:val="18"/>
        </w:rPr>
        <w:t>systematized</w:t>
      </w:r>
      <w:proofErr w:type="gramEnd"/>
      <w:r w:rsidR="00DB0E6E">
        <w:rPr>
          <w:rFonts w:ascii="Cambria" w:hAnsi="Cambria"/>
          <w:sz w:val="18"/>
        </w:rPr>
        <w:t xml:space="preserve"> </w:t>
      </w:r>
      <w:r>
        <w:rPr>
          <w:rFonts w:ascii="Cambria" w:hAnsi="Cambria"/>
          <w:sz w:val="18"/>
        </w:rPr>
        <w:t>and an agreement will be reached regarding dissemination of the results.</w:t>
      </w:r>
    </w:p>
    <w:p w14:paraId="69B3FC6E" w14:textId="77777777" w:rsidR="00674DB5" w:rsidRPr="00206DB4" w:rsidRDefault="00674DB5" w:rsidP="00674DB5">
      <w:pPr>
        <w:ind w:left="1418" w:right="713" w:hanging="425"/>
        <w:jc w:val="both"/>
        <w:rPr>
          <w:rFonts w:ascii="Cambria" w:hAnsi="Cambria"/>
          <w:sz w:val="18"/>
          <w:szCs w:val="18"/>
        </w:rPr>
      </w:pPr>
      <w:r>
        <w:rPr>
          <w:rFonts w:ascii="Cambria" w:hAnsi="Cambria"/>
          <w:sz w:val="18"/>
        </w:rPr>
        <w:t>b) The outcomes of the mapping and other workshops will serve as input for the identification of risk dynamics and alternatives to address obstacles to the exercise of rights and may be included in the process of construction and formulation of ways to prevent recruitment, use, sexual violence, and stigmatization in the municipality.</w:t>
      </w:r>
    </w:p>
    <w:p w14:paraId="38E7F249" w14:textId="77777777" w:rsidR="00674DB5" w:rsidRPr="00206DB4" w:rsidRDefault="00674DB5" w:rsidP="00674DB5">
      <w:pPr>
        <w:ind w:left="1418" w:right="713" w:hanging="425"/>
        <w:jc w:val="both"/>
        <w:rPr>
          <w:rFonts w:ascii="Cambria" w:hAnsi="Cambria"/>
          <w:sz w:val="18"/>
          <w:szCs w:val="18"/>
        </w:rPr>
      </w:pPr>
      <w:r>
        <w:rPr>
          <w:rFonts w:ascii="Cambria" w:hAnsi="Cambria"/>
          <w:sz w:val="18"/>
        </w:rPr>
        <w:t>c) The exercise will be carried out in the context of the case and the friendly settlement agreed upon, from a rights-based approach, understood as a preventive action that is part of the measures or guarantees of non-repetition and with a view to providing meaningful reparation and reconstruction of the social fabric.</w:t>
      </w:r>
    </w:p>
    <w:p w14:paraId="3546AAB2" w14:textId="77777777" w:rsidR="00674DB5" w:rsidRPr="007F1EB5" w:rsidRDefault="00674DB5" w:rsidP="0067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0"/>
        <w:jc w:val="both"/>
        <w:rPr>
          <w:rFonts w:ascii="Cambria" w:hAnsi="Cambria"/>
          <w:sz w:val="18"/>
          <w:szCs w:val="18"/>
          <w:highlight w:val="yellow"/>
        </w:rPr>
      </w:pPr>
    </w:p>
    <w:p w14:paraId="730F2FC6" w14:textId="0586EC34" w:rsidR="00674DB5" w:rsidRPr="00206DB4" w:rsidRDefault="00674DB5" w:rsidP="00674DB5">
      <w:pPr>
        <w:pStyle w:val="Heading1"/>
        <w:numPr>
          <w:ilvl w:val="0"/>
          <w:numId w:val="0"/>
        </w:numPr>
        <w:spacing w:before="0"/>
        <w:ind w:left="709" w:right="720"/>
        <w:jc w:val="both"/>
        <w:rPr>
          <w:rFonts w:ascii="Cambria" w:hAnsi="Cambria" w:cs="Arial"/>
          <w:b w:val="0"/>
          <w:bCs w:val="0"/>
          <w:color w:val="auto"/>
          <w:sz w:val="18"/>
          <w:szCs w:val="18"/>
        </w:rPr>
      </w:pPr>
      <w:proofErr w:type="gramStart"/>
      <w:r>
        <w:rPr>
          <w:rFonts w:ascii="Cambria" w:hAnsi="Cambria"/>
          <w:b w:val="0"/>
          <w:color w:val="auto"/>
          <w:sz w:val="18"/>
        </w:rPr>
        <w:t>In order to</w:t>
      </w:r>
      <w:proofErr w:type="gramEnd"/>
      <w:r>
        <w:rPr>
          <w:rFonts w:ascii="Cambria" w:hAnsi="Cambria"/>
          <w:b w:val="0"/>
          <w:color w:val="auto"/>
          <w:sz w:val="18"/>
        </w:rPr>
        <w:t xml:space="preserve"> comply with this measure, the progress made in the Friendly Settlement Agreement in Case 11.990 - A, Oscar Orlando Bueno Bonnet</w:t>
      </w:r>
      <w:r w:rsidR="00BE447C">
        <w:rPr>
          <w:rFonts w:ascii="Cambria" w:hAnsi="Cambria"/>
          <w:b w:val="0"/>
          <w:color w:val="auto"/>
          <w:sz w:val="18"/>
        </w:rPr>
        <w:t xml:space="preserve"> et al.,</w:t>
      </w:r>
      <w:r w:rsidRPr="00206DB4">
        <w:rPr>
          <w:rStyle w:val="FootnoteReference"/>
          <w:rFonts w:ascii="Cambria" w:hAnsi="Cambria" w:cs="Arial"/>
          <w:b w:val="0"/>
          <w:bCs w:val="0"/>
          <w:color w:val="auto"/>
          <w:sz w:val="18"/>
          <w:szCs w:val="18"/>
        </w:rPr>
        <w:footnoteReference w:id="25"/>
      </w:r>
      <w:r>
        <w:rPr>
          <w:rFonts w:ascii="Cambria" w:hAnsi="Cambria"/>
          <w:b w:val="0"/>
          <w:color w:val="auto"/>
          <w:sz w:val="18"/>
        </w:rPr>
        <w:t xml:space="preserve">will be </w:t>
      </w:r>
      <w:proofErr w:type="gramStart"/>
      <w:r>
        <w:rPr>
          <w:rFonts w:ascii="Cambria" w:hAnsi="Cambria"/>
          <w:b w:val="0"/>
          <w:color w:val="auto"/>
          <w:sz w:val="18"/>
        </w:rPr>
        <w:t>taken into account</w:t>
      </w:r>
      <w:proofErr w:type="gramEnd"/>
      <w:r>
        <w:rPr>
          <w:rFonts w:ascii="Cambria" w:hAnsi="Cambria"/>
          <w:b w:val="0"/>
          <w:color w:val="auto"/>
          <w:sz w:val="18"/>
        </w:rPr>
        <w:t>.</w:t>
      </w:r>
    </w:p>
    <w:p w14:paraId="28A8B937" w14:textId="77777777" w:rsidR="00674DB5" w:rsidRPr="007F1EB5" w:rsidRDefault="00674DB5" w:rsidP="00674DB5">
      <w:pPr>
        <w:rPr>
          <w:rFonts w:ascii="Cambria" w:hAnsi="Cambria"/>
          <w:sz w:val="18"/>
          <w:szCs w:val="18"/>
        </w:rPr>
      </w:pPr>
    </w:p>
    <w:p w14:paraId="6BD6373D" w14:textId="24203711" w:rsidR="00674DB5" w:rsidRPr="00674DB5" w:rsidRDefault="00674DB5" w:rsidP="00674DB5">
      <w:pPr>
        <w:pStyle w:val="Heading3"/>
        <w:spacing w:before="0"/>
        <w:ind w:left="810" w:right="720" w:hanging="90"/>
        <w:rPr>
          <w:rFonts w:ascii="Cambria" w:hAnsi="Cambria"/>
          <w:b/>
          <w:bCs/>
          <w:color w:val="000000" w:themeColor="text1"/>
          <w:spacing w:val="-2"/>
          <w:sz w:val="18"/>
          <w:szCs w:val="18"/>
        </w:rPr>
      </w:pPr>
      <w:r>
        <w:rPr>
          <w:rFonts w:ascii="Cambria" w:hAnsi="Cambria"/>
          <w:b/>
          <w:color w:val="000000" w:themeColor="text1"/>
          <w:sz w:val="18"/>
        </w:rPr>
        <w:t xml:space="preserve">PART TEN: FINANCIAL </w:t>
      </w:r>
      <w:r w:rsidR="004F026C">
        <w:rPr>
          <w:rFonts w:ascii="Cambria" w:hAnsi="Cambria"/>
          <w:b/>
          <w:color w:val="000000" w:themeColor="text1"/>
          <w:sz w:val="18"/>
        </w:rPr>
        <w:t>COMPENSATION</w:t>
      </w:r>
    </w:p>
    <w:p w14:paraId="14120B36" w14:textId="77777777" w:rsidR="00674DB5" w:rsidRPr="007F1EB5" w:rsidRDefault="00674DB5" w:rsidP="00674DB5">
      <w:pPr>
        <w:rPr>
          <w:rFonts w:ascii="Cambria" w:hAnsi="Cambria"/>
          <w:sz w:val="18"/>
          <w:szCs w:val="18"/>
        </w:rPr>
      </w:pPr>
    </w:p>
    <w:p w14:paraId="1344C766" w14:textId="05B09D92" w:rsidR="00674DB5" w:rsidRDefault="00674DB5" w:rsidP="00674DB5">
      <w:pPr>
        <w:pStyle w:val="BodyText"/>
        <w:spacing w:after="0"/>
        <w:ind w:left="709" w:right="720"/>
        <w:jc w:val="both"/>
        <w:rPr>
          <w:rFonts w:ascii="Cambria" w:hAnsi="Cambria"/>
          <w:sz w:val="18"/>
          <w:szCs w:val="18"/>
        </w:rPr>
      </w:pPr>
      <w:r>
        <w:rPr>
          <w:rFonts w:ascii="Cambria" w:hAnsi="Cambria"/>
          <w:sz w:val="18"/>
        </w:rPr>
        <w:t>The State shall apply Law 288 of 1996,</w:t>
      </w:r>
      <w:r w:rsidR="004F026C">
        <w:rPr>
          <w:rFonts w:ascii="Cambria" w:hAnsi="Cambria"/>
          <w:sz w:val="18"/>
        </w:rPr>
        <w:t xml:space="preserve"> for the purpose of compensating for the </w:t>
      </w:r>
      <w:r>
        <w:rPr>
          <w:rFonts w:ascii="Cambria" w:hAnsi="Cambria"/>
          <w:sz w:val="18"/>
        </w:rPr>
        <w:t xml:space="preserve">immaterial and material </w:t>
      </w:r>
      <w:proofErr w:type="gramStart"/>
      <w:r>
        <w:rPr>
          <w:rFonts w:ascii="Cambria" w:hAnsi="Cambria"/>
          <w:sz w:val="18"/>
        </w:rPr>
        <w:t>damages</w:t>
      </w:r>
      <w:proofErr w:type="gramEnd"/>
      <w:r>
        <w:rPr>
          <w:rFonts w:ascii="Cambria" w:hAnsi="Cambria"/>
          <w:sz w:val="18"/>
        </w:rPr>
        <w:t xml:space="preserve"> that may be proven </w:t>
      </w:r>
      <w:r w:rsidR="004F026C">
        <w:rPr>
          <w:rFonts w:ascii="Cambria" w:hAnsi="Cambria"/>
          <w:sz w:val="18"/>
        </w:rPr>
        <w:t xml:space="preserve">in favor of </w:t>
      </w:r>
      <w:r>
        <w:rPr>
          <w:rFonts w:ascii="Cambria" w:hAnsi="Cambria"/>
          <w:sz w:val="18"/>
        </w:rPr>
        <w:t xml:space="preserve">the victims recognized in </w:t>
      </w:r>
      <w:r w:rsidR="004F026C">
        <w:rPr>
          <w:rFonts w:ascii="Cambria" w:hAnsi="Cambria"/>
          <w:sz w:val="18"/>
        </w:rPr>
        <w:t xml:space="preserve">part </w:t>
      </w:r>
      <w:r>
        <w:rPr>
          <w:rFonts w:ascii="Cambria" w:hAnsi="Cambria"/>
          <w:sz w:val="18"/>
        </w:rPr>
        <w:t xml:space="preserve">four of this Friendly Settlement Agreement. For </w:t>
      </w:r>
      <w:r w:rsidR="004F026C">
        <w:rPr>
          <w:rFonts w:ascii="Cambria" w:hAnsi="Cambria"/>
          <w:sz w:val="18"/>
        </w:rPr>
        <w:t>these purposes</w:t>
      </w:r>
      <w:r>
        <w:rPr>
          <w:rFonts w:ascii="Cambria" w:hAnsi="Cambria"/>
          <w:sz w:val="18"/>
        </w:rPr>
        <w:t xml:space="preserve">, the criteria and amounts recognized by current national jurisprudence shall be </w:t>
      </w:r>
      <w:r w:rsidR="004F026C">
        <w:rPr>
          <w:rFonts w:ascii="Cambria" w:hAnsi="Cambria"/>
          <w:sz w:val="18"/>
        </w:rPr>
        <w:t>used</w:t>
      </w:r>
      <w:r>
        <w:rPr>
          <w:rFonts w:ascii="Cambria" w:hAnsi="Cambria"/>
          <w:sz w:val="18"/>
        </w:rPr>
        <w:t>.</w:t>
      </w:r>
    </w:p>
    <w:p w14:paraId="50A2510C" w14:textId="77777777" w:rsidR="00674DB5" w:rsidRPr="007F1EB5" w:rsidRDefault="00674DB5" w:rsidP="00674DB5">
      <w:pPr>
        <w:pStyle w:val="BodyText"/>
        <w:spacing w:after="0"/>
        <w:ind w:left="709" w:right="720"/>
        <w:jc w:val="both"/>
        <w:rPr>
          <w:rFonts w:ascii="Cambria" w:hAnsi="Cambria"/>
          <w:sz w:val="18"/>
          <w:szCs w:val="18"/>
        </w:rPr>
      </w:pPr>
    </w:p>
    <w:p w14:paraId="7E0C0DA6" w14:textId="1A02A2AF" w:rsidR="00674DB5" w:rsidRDefault="00674DB5" w:rsidP="00674DB5">
      <w:pPr>
        <w:pStyle w:val="BodyText"/>
        <w:spacing w:after="0"/>
        <w:ind w:left="709" w:right="720"/>
        <w:jc w:val="both"/>
        <w:rPr>
          <w:rFonts w:ascii="Cambria" w:hAnsi="Cambria"/>
          <w:sz w:val="18"/>
          <w:szCs w:val="18"/>
        </w:rPr>
      </w:pPr>
      <w:proofErr w:type="gramStart"/>
      <w:r>
        <w:rPr>
          <w:rFonts w:ascii="Cambria" w:hAnsi="Cambria"/>
          <w:sz w:val="18"/>
        </w:rPr>
        <w:t>In the event that</w:t>
      </w:r>
      <w:proofErr w:type="gramEnd"/>
      <w:r>
        <w:rPr>
          <w:rFonts w:ascii="Cambria" w:hAnsi="Cambria"/>
          <w:sz w:val="18"/>
        </w:rPr>
        <w:t xml:space="preserve"> any victim has been compensated through the </w:t>
      </w:r>
      <w:r w:rsidR="004F026C">
        <w:rPr>
          <w:rFonts w:ascii="Cambria" w:hAnsi="Cambria"/>
          <w:sz w:val="18"/>
        </w:rPr>
        <w:t>contentious-</w:t>
      </w:r>
      <w:r>
        <w:rPr>
          <w:rFonts w:ascii="Cambria" w:hAnsi="Cambria"/>
          <w:sz w:val="18"/>
        </w:rPr>
        <w:t>administrative litigation jurisdiction system and/or has benefited from administrative reparation measures, the amounts</w:t>
      </w:r>
      <w:r w:rsidR="004F026C">
        <w:rPr>
          <w:rFonts w:ascii="Cambria" w:hAnsi="Cambria"/>
          <w:sz w:val="18"/>
        </w:rPr>
        <w:t xml:space="preserve"> that have </w:t>
      </w:r>
      <w:r>
        <w:rPr>
          <w:rFonts w:ascii="Cambria" w:hAnsi="Cambria"/>
          <w:sz w:val="18"/>
        </w:rPr>
        <w:t xml:space="preserve">been awarded shall be </w:t>
      </w:r>
      <w:r w:rsidR="009B43D8">
        <w:rPr>
          <w:rFonts w:ascii="Cambria" w:hAnsi="Cambria"/>
          <w:sz w:val="18"/>
        </w:rPr>
        <w:t xml:space="preserve">deducted </w:t>
      </w:r>
      <w:r>
        <w:rPr>
          <w:rFonts w:ascii="Cambria" w:hAnsi="Cambria"/>
          <w:sz w:val="18"/>
        </w:rPr>
        <w:t xml:space="preserve">from the monetary compensation granted in accordance with the procedure provided herein </w:t>
      </w:r>
      <w:proofErr w:type="gramStart"/>
      <w:r>
        <w:rPr>
          <w:rFonts w:ascii="Cambria" w:hAnsi="Cambria"/>
          <w:sz w:val="18"/>
        </w:rPr>
        <w:t>in order to</w:t>
      </w:r>
      <w:proofErr w:type="gramEnd"/>
      <w:r>
        <w:rPr>
          <w:rFonts w:ascii="Cambria" w:hAnsi="Cambria"/>
          <w:sz w:val="18"/>
        </w:rPr>
        <w:t xml:space="preserve"> avoid double or excessive compensation.</w:t>
      </w:r>
    </w:p>
    <w:p w14:paraId="2F74A6C5" w14:textId="77777777" w:rsidR="00674DB5" w:rsidRPr="007F1EB5" w:rsidRDefault="00674DB5" w:rsidP="00674DB5">
      <w:pPr>
        <w:pStyle w:val="BodyText"/>
        <w:spacing w:after="0"/>
        <w:ind w:left="709" w:right="720"/>
        <w:jc w:val="both"/>
        <w:rPr>
          <w:rFonts w:ascii="Cambria" w:hAnsi="Cambria"/>
          <w:sz w:val="18"/>
          <w:szCs w:val="18"/>
        </w:rPr>
      </w:pPr>
    </w:p>
    <w:p w14:paraId="292EAB02" w14:textId="7DA9D142" w:rsidR="00674DB5" w:rsidRPr="00206DB4" w:rsidRDefault="00674DB5" w:rsidP="00674DB5">
      <w:pPr>
        <w:pStyle w:val="BodyText"/>
        <w:spacing w:after="0"/>
        <w:ind w:left="709" w:right="720"/>
        <w:jc w:val="both"/>
        <w:rPr>
          <w:rFonts w:ascii="Cambria" w:hAnsi="Cambria"/>
          <w:sz w:val="18"/>
          <w:szCs w:val="18"/>
        </w:rPr>
      </w:pPr>
      <w:r>
        <w:rPr>
          <w:rFonts w:ascii="Cambria" w:hAnsi="Cambria"/>
          <w:sz w:val="18"/>
        </w:rPr>
        <w:t>Likewise,</w:t>
      </w:r>
      <w:r w:rsidR="006545F6">
        <w:rPr>
          <w:rFonts w:ascii="Cambria" w:hAnsi="Cambria"/>
          <w:sz w:val="18"/>
        </w:rPr>
        <w:t xml:space="preserve"> </w:t>
      </w:r>
      <w:r w:rsidR="009B43D8">
        <w:rPr>
          <w:rFonts w:ascii="Cambria" w:hAnsi="Cambria"/>
          <w:sz w:val="18"/>
        </w:rPr>
        <w:t xml:space="preserve">for the purposes of compensation for damages, evidence that is subject to </w:t>
      </w:r>
      <w:r w:rsidR="006545F6">
        <w:rPr>
          <w:rFonts w:ascii="Cambria" w:hAnsi="Cambria"/>
          <w:sz w:val="18"/>
        </w:rPr>
        <w:t xml:space="preserve">assessment in accordance with </w:t>
      </w:r>
      <w:r>
        <w:rPr>
          <w:rFonts w:ascii="Cambria" w:hAnsi="Cambria"/>
          <w:sz w:val="18"/>
        </w:rPr>
        <w:t xml:space="preserve">Colombian procedural </w:t>
      </w:r>
      <w:r w:rsidR="006545F6">
        <w:rPr>
          <w:rFonts w:ascii="Cambria" w:hAnsi="Cambria"/>
          <w:sz w:val="18"/>
        </w:rPr>
        <w:t>rules shall be considered</w:t>
      </w:r>
      <w:r>
        <w:rPr>
          <w:rFonts w:ascii="Cambria" w:hAnsi="Cambria"/>
          <w:sz w:val="18"/>
        </w:rPr>
        <w:t>.</w:t>
      </w:r>
    </w:p>
    <w:p w14:paraId="7E634497" w14:textId="77777777" w:rsidR="00674DB5" w:rsidRPr="007F1EB5" w:rsidRDefault="00674DB5" w:rsidP="00674DB5">
      <w:pPr>
        <w:ind w:left="810" w:right="720" w:hanging="90"/>
        <w:jc w:val="both"/>
        <w:rPr>
          <w:rFonts w:ascii="Cambria" w:hAnsi="Cambria"/>
          <w:sz w:val="18"/>
          <w:szCs w:val="18"/>
        </w:rPr>
      </w:pPr>
    </w:p>
    <w:p w14:paraId="414B3F07" w14:textId="77777777" w:rsidR="00674DB5" w:rsidRPr="00206DB4" w:rsidRDefault="00674DB5" w:rsidP="00674DB5">
      <w:pPr>
        <w:pStyle w:val="BodyText"/>
        <w:spacing w:after="0"/>
        <w:ind w:left="810" w:right="720" w:hanging="90"/>
        <w:rPr>
          <w:rFonts w:ascii="Cambria" w:hAnsi="Cambria"/>
          <w:b/>
          <w:bCs/>
          <w:spacing w:val="-5"/>
          <w:w w:val="105"/>
          <w:sz w:val="18"/>
          <w:szCs w:val="18"/>
        </w:rPr>
      </w:pPr>
      <w:r>
        <w:rPr>
          <w:rFonts w:ascii="Cambria" w:hAnsi="Cambria"/>
          <w:b/>
          <w:sz w:val="18"/>
        </w:rPr>
        <w:t>PART ELEVEN: PUBLICATION OF THE ARTICLE 49 REPORT</w:t>
      </w:r>
    </w:p>
    <w:p w14:paraId="7EBDD837" w14:textId="77777777" w:rsidR="00674DB5" w:rsidRPr="007F1EB5" w:rsidRDefault="00674DB5" w:rsidP="00674DB5">
      <w:pPr>
        <w:pStyle w:val="BodyText"/>
        <w:spacing w:after="0"/>
        <w:ind w:left="810" w:right="720" w:hanging="90"/>
        <w:jc w:val="center"/>
        <w:rPr>
          <w:rFonts w:ascii="Cambria" w:hAnsi="Cambria"/>
          <w:b/>
          <w:bCs/>
          <w:sz w:val="18"/>
          <w:szCs w:val="18"/>
        </w:rPr>
      </w:pPr>
    </w:p>
    <w:p w14:paraId="541CACAA" w14:textId="50A5260B" w:rsidR="00674DB5" w:rsidRPr="00206DB4" w:rsidRDefault="00674DB5" w:rsidP="00674DB5">
      <w:pPr>
        <w:pStyle w:val="BodyText"/>
        <w:spacing w:after="0"/>
        <w:ind w:left="709" w:right="713" w:firstLine="11"/>
        <w:jc w:val="both"/>
        <w:rPr>
          <w:rFonts w:ascii="Cambria" w:hAnsi="Cambria"/>
          <w:sz w:val="18"/>
          <w:szCs w:val="18"/>
        </w:rPr>
      </w:pPr>
      <w:r>
        <w:rPr>
          <w:rFonts w:ascii="Cambria" w:hAnsi="Cambria"/>
          <w:sz w:val="18"/>
        </w:rPr>
        <w:t xml:space="preserve">The Colombian State shall publish the </w:t>
      </w:r>
      <w:r w:rsidR="00EE206E">
        <w:rPr>
          <w:rFonts w:ascii="Cambria" w:hAnsi="Cambria"/>
          <w:sz w:val="18"/>
        </w:rPr>
        <w:t>relevant</w:t>
      </w:r>
      <w:r>
        <w:rPr>
          <w:rFonts w:ascii="Cambria" w:hAnsi="Cambria"/>
          <w:sz w:val="18"/>
        </w:rPr>
        <w:t xml:space="preserve"> sections of the friendly settlement report, once it has been approved by the Inter-American Commission, on the </w:t>
      </w:r>
      <w:r w:rsidR="00EE206E">
        <w:rPr>
          <w:rFonts w:ascii="Cambria" w:hAnsi="Cambria"/>
          <w:sz w:val="18"/>
        </w:rPr>
        <w:t xml:space="preserve">website </w:t>
      </w:r>
      <w:r>
        <w:rPr>
          <w:rFonts w:ascii="Cambria" w:hAnsi="Cambria"/>
          <w:sz w:val="18"/>
        </w:rPr>
        <w:t>of the National Agency for the Legal Defense of the State, for a period of six (6) months.</w:t>
      </w:r>
    </w:p>
    <w:p w14:paraId="6B18EB2B" w14:textId="77777777" w:rsidR="00674DB5" w:rsidRPr="007F1EB5" w:rsidRDefault="00674DB5" w:rsidP="00674DB5">
      <w:pPr>
        <w:pStyle w:val="BodyText"/>
        <w:spacing w:after="0"/>
        <w:ind w:left="810" w:right="720" w:hanging="90"/>
        <w:jc w:val="both"/>
        <w:rPr>
          <w:rFonts w:ascii="Cambria" w:hAnsi="Cambria"/>
          <w:sz w:val="18"/>
          <w:szCs w:val="18"/>
        </w:rPr>
      </w:pPr>
    </w:p>
    <w:p w14:paraId="3602C2AA" w14:textId="77777777" w:rsidR="00674DB5" w:rsidRPr="00206DB4" w:rsidRDefault="00674DB5" w:rsidP="00674DB5">
      <w:pPr>
        <w:ind w:left="810" w:right="720" w:hanging="90"/>
        <w:rPr>
          <w:rFonts w:ascii="Cambria" w:hAnsi="Cambria"/>
          <w:b/>
          <w:bCs/>
          <w:spacing w:val="-2"/>
          <w:w w:val="105"/>
          <w:sz w:val="18"/>
          <w:szCs w:val="18"/>
        </w:rPr>
      </w:pPr>
      <w:r>
        <w:rPr>
          <w:rFonts w:ascii="Cambria" w:hAnsi="Cambria"/>
          <w:b/>
          <w:sz w:val="18"/>
        </w:rPr>
        <w:t>PART TWELVE: CONFIDENTIALITY</w:t>
      </w:r>
    </w:p>
    <w:p w14:paraId="22F2B8EB" w14:textId="77777777" w:rsidR="00674DB5" w:rsidRPr="007F1EB5" w:rsidRDefault="00674DB5" w:rsidP="00674DB5">
      <w:pPr>
        <w:ind w:left="810" w:right="720" w:hanging="90"/>
        <w:jc w:val="center"/>
        <w:rPr>
          <w:rFonts w:ascii="Cambria" w:hAnsi="Cambria"/>
          <w:b/>
          <w:bCs/>
          <w:sz w:val="18"/>
          <w:szCs w:val="18"/>
        </w:rPr>
      </w:pPr>
    </w:p>
    <w:p w14:paraId="54ACDBF2" w14:textId="30DB4735" w:rsidR="00674DB5" w:rsidRPr="00206DB4" w:rsidRDefault="00674DB5" w:rsidP="00674DB5">
      <w:pPr>
        <w:ind w:left="709" w:right="720" w:firstLine="11"/>
        <w:jc w:val="both"/>
        <w:rPr>
          <w:rFonts w:ascii="Cambria" w:hAnsi="Cambria"/>
          <w:sz w:val="18"/>
          <w:szCs w:val="18"/>
        </w:rPr>
      </w:pPr>
      <w:r>
        <w:rPr>
          <w:rFonts w:ascii="Cambria" w:hAnsi="Cambria"/>
          <w:sz w:val="18"/>
        </w:rPr>
        <w:t>The content of this Friendly Settlement Agreement is confidential and may not be published or disseminated</w:t>
      </w:r>
      <w:r w:rsidR="002D483C">
        <w:rPr>
          <w:rFonts w:ascii="Cambria" w:hAnsi="Cambria"/>
          <w:sz w:val="18"/>
        </w:rPr>
        <w:t xml:space="preserve"> for any reason or</w:t>
      </w:r>
      <w:r>
        <w:rPr>
          <w:rFonts w:ascii="Cambria" w:hAnsi="Cambria"/>
          <w:sz w:val="18"/>
        </w:rPr>
        <w:t xml:space="preserve"> by any means of communication until it </w:t>
      </w:r>
      <w:r w:rsidR="002D483C">
        <w:rPr>
          <w:rFonts w:ascii="Cambria" w:hAnsi="Cambria"/>
          <w:sz w:val="18"/>
        </w:rPr>
        <w:t xml:space="preserve">has been </w:t>
      </w:r>
      <w:r>
        <w:rPr>
          <w:rFonts w:ascii="Cambria" w:hAnsi="Cambria"/>
          <w:sz w:val="18"/>
        </w:rPr>
        <w:t>approved by the Inter-American Commission on Human Rights through the issuance of the Report referred to in Article 49 of the American Convention on Human Rights.</w:t>
      </w:r>
    </w:p>
    <w:p w14:paraId="067EC52F" w14:textId="77777777" w:rsidR="00674DB5" w:rsidRPr="007F1EB5" w:rsidRDefault="00674DB5" w:rsidP="00674DB5">
      <w:pPr>
        <w:ind w:left="810" w:right="720" w:hanging="90"/>
        <w:jc w:val="both"/>
        <w:rPr>
          <w:rFonts w:ascii="Cambria" w:hAnsi="Cambria"/>
          <w:sz w:val="18"/>
          <w:szCs w:val="18"/>
        </w:rPr>
      </w:pPr>
    </w:p>
    <w:p w14:paraId="485F4FA0" w14:textId="77777777" w:rsidR="00674DB5" w:rsidRPr="00674DB5" w:rsidRDefault="00674DB5" w:rsidP="00674DB5">
      <w:pPr>
        <w:pStyle w:val="Heading2"/>
        <w:spacing w:before="0"/>
        <w:ind w:left="810" w:right="720" w:hanging="90"/>
        <w:rPr>
          <w:rFonts w:ascii="Cambria" w:hAnsi="Cambria"/>
          <w:b/>
          <w:bCs/>
          <w:i/>
          <w:iCs/>
          <w:color w:val="000000" w:themeColor="text1"/>
          <w:spacing w:val="-2"/>
          <w:sz w:val="18"/>
          <w:szCs w:val="18"/>
        </w:rPr>
      </w:pPr>
      <w:r>
        <w:rPr>
          <w:rFonts w:ascii="Cambria" w:hAnsi="Cambria"/>
          <w:b/>
          <w:color w:val="000000" w:themeColor="text1"/>
          <w:sz w:val="18"/>
        </w:rPr>
        <w:t>PART THIRTEEN: APPROVAL AND FOLLOW-UP</w:t>
      </w:r>
    </w:p>
    <w:p w14:paraId="0B7E85C5" w14:textId="77777777" w:rsidR="00674DB5" w:rsidRPr="007F1EB5" w:rsidRDefault="00674DB5" w:rsidP="00674DB5">
      <w:pPr>
        <w:ind w:left="709" w:right="720" w:firstLine="11"/>
        <w:jc w:val="both"/>
        <w:rPr>
          <w:rFonts w:ascii="Cambria" w:hAnsi="Cambria"/>
          <w:sz w:val="18"/>
          <w:szCs w:val="18"/>
        </w:rPr>
      </w:pPr>
    </w:p>
    <w:p w14:paraId="0FDE857A" w14:textId="67477DF7" w:rsidR="00674DB5" w:rsidRPr="00206DB4" w:rsidRDefault="00674DB5" w:rsidP="00674DB5">
      <w:pPr>
        <w:ind w:left="709" w:right="720" w:firstLine="11"/>
        <w:jc w:val="both"/>
        <w:rPr>
          <w:rFonts w:ascii="Cambria" w:hAnsi="Cambria"/>
          <w:sz w:val="18"/>
          <w:szCs w:val="18"/>
        </w:rPr>
      </w:pPr>
      <w:r>
        <w:rPr>
          <w:rFonts w:ascii="Cambria" w:hAnsi="Cambria"/>
          <w:sz w:val="18"/>
        </w:rPr>
        <w:t>The parties request the Inter-American Commission to approve</w:t>
      </w:r>
      <w:r w:rsidR="00951859">
        <w:rPr>
          <w:rFonts w:ascii="Cambria" w:hAnsi="Cambria"/>
          <w:sz w:val="18"/>
        </w:rPr>
        <w:t xml:space="preserve"> this Agreement</w:t>
      </w:r>
      <w:r>
        <w:rPr>
          <w:rFonts w:ascii="Cambria" w:hAnsi="Cambria"/>
          <w:sz w:val="18"/>
        </w:rPr>
        <w:t xml:space="preserve"> and follow up on </w:t>
      </w:r>
      <w:r w:rsidR="00951859">
        <w:rPr>
          <w:rFonts w:ascii="Cambria" w:hAnsi="Cambria"/>
          <w:sz w:val="18"/>
        </w:rPr>
        <w:t>its implementation</w:t>
      </w:r>
      <w:r>
        <w:rPr>
          <w:rFonts w:ascii="Cambria" w:hAnsi="Cambria"/>
          <w:sz w:val="18"/>
        </w:rPr>
        <w:t xml:space="preserve">.  </w:t>
      </w:r>
    </w:p>
    <w:p w14:paraId="66B3418E" w14:textId="77777777" w:rsidR="00674DB5" w:rsidRPr="007F1EB5" w:rsidRDefault="00674DB5" w:rsidP="00674DB5">
      <w:pPr>
        <w:ind w:left="709" w:right="720" w:firstLine="11"/>
        <w:jc w:val="both"/>
        <w:rPr>
          <w:rFonts w:ascii="Cambria" w:hAnsi="Cambria"/>
          <w:sz w:val="18"/>
          <w:szCs w:val="18"/>
        </w:rPr>
      </w:pPr>
    </w:p>
    <w:p w14:paraId="05E6D32F" w14:textId="77777777" w:rsidR="00674DB5" w:rsidRPr="00206DB4" w:rsidRDefault="00674DB5" w:rsidP="00674DB5">
      <w:pPr>
        <w:ind w:left="709" w:right="720" w:firstLine="11"/>
        <w:jc w:val="both"/>
        <w:rPr>
          <w:rFonts w:ascii="Cambria" w:hAnsi="Cambria"/>
          <w:sz w:val="18"/>
          <w:szCs w:val="18"/>
        </w:rPr>
      </w:pPr>
      <w:r>
        <w:rPr>
          <w:rFonts w:ascii="Cambria" w:hAnsi="Cambria"/>
          <w:sz w:val="18"/>
        </w:rPr>
        <w:t>Having been read, and the parties being aware of its scope and legal content, this Agreement is signed on May 23, 2024.</w:t>
      </w:r>
    </w:p>
    <w:p w14:paraId="581DE1E3" w14:textId="7DA38423" w:rsidR="00DA37B6" w:rsidRPr="007F1EB5"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0D6FB8C1" w14:textId="77777777" w:rsidR="00DA37B6" w:rsidRPr="007F1EB5"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rPr>
      </w:pPr>
    </w:p>
    <w:p w14:paraId="120F7E30" w14:textId="77777777" w:rsidR="002A65AC" w:rsidRPr="00E75013" w:rsidRDefault="00FA675D" w:rsidP="00F3286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rPr>
      </w:pPr>
      <w:r w:rsidRPr="00E75013">
        <w:rPr>
          <w:b/>
          <w:color w:val="000000" w:themeColor="text1"/>
          <w:sz w:val="20"/>
        </w:rPr>
        <w:t xml:space="preserve">DETERMINATION OF COMPATIBILITY AND COMPLIANCE </w:t>
      </w:r>
    </w:p>
    <w:p w14:paraId="7768A225" w14:textId="77777777" w:rsidR="002A65AC" w:rsidRPr="00A36015" w:rsidRDefault="002A65AC" w:rsidP="002A65AC">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MS Mincho" w:cstheme="minorHAnsi"/>
          <w:b/>
          <w:color w:val="000000" w:themeColor="text1"/>
          <w:sz w:val="20"/>
          <w:szCs w:val="20"/>
        </w:rPr>
      </w:pPr>
    </w:p>
    <w:p w14:paraId="020FF4EC" w14:textId="046EF6C6" w:rsidR="00805112" w:rsidRPr="00E75013" w:rsidRDefault="00805112" w:rsidP="00F3286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MS Mincho" w:hAnsiTheme="majorHAnsi"/>
          <w:sz w:val="20"/>
          <w:szCs w:val="20"/>
        </w:rPr>
      </w:pPr>
      <w:r w:rsidRPr="00E75013">
        <w:rPr>
          <w:rFonts w:asciiTheme="majorHAnsi" w:hAnsiTheme="majorHAnsi"/>
          <w:sz w:val="20"/>
          <w:bdr w:val="none" w:sz="0" w:space="0" w:color="auto" w:frame="1"/>
        </w:rPr>
        <w:t xml:space="preserve">The IACHR reiterates that in accordance with Articles 48(1)(f) and 49 of the American Convention, the purpose of this procedure is to “reach a friendly settlement of the matter based on respect for the human rights recognized in the Convention.” The acceptance to pursue this process expresses the good faith of the State to comply with the purposes and objectives of the Convention pursuant to the principle of </w:t>
      </w:r>
      <w:r w:rsidRPr="00E75013">
        <w:rPr>
          <w:rFonts w:asciiTheme="majorHAnsi" w:hAnsiTheme="majorHAnsi"/>
          <w:i/>
          <w:sz w:val="20"/>
          <w:bdr w:val="none" w:sz="0" w:space="0" w:color="auto" w:frame="1"/>
        </w:rPr>
        <w:t xml:space="preserve">pacta </w:t>
      </w:r>
      <w:r w:rsidRPr="00E75013">
        <w:rPr>
          <w:rFonts w:asciiTheme="majorHAnsi" w:hAnsiTheme="majorHAnsi"/>
          <w:i/>
          <w:sz w:val="20"/>
          <w:bdr w:val="none" w:sz="0" w:space="0" w:color="auto" w:frame="1"/>
        </w:rPr>
        <w:lastRenderedPageBreak/>
        <w:t xml:space="preserve">sunt </w:t>
      </w:r>
      <w:proofErr w:type="spellStart"/>
      <w:r w:rsidRPr="00E75013">
        <w:rPr>
          <w:rFonts w:asciiTheme="majorHAnsi" w:hAnsiTheme="majorHAnsi"/>
          <w:i/>
          <w:sz w:val="20"/>
          <w:bdr w:val="none" w:sz="0" w:space="0" w:color="auto" w:frame="1"/>
        </w:rPr>
        <w:t>servanda</w:t>
      </w:r>
      <w:proofErr w:type="spellEnd"/>
      <w:r w:rsidRPr="00E75013">
        <w:rPr>
          <w:rFonts w:asciiTheme="majorHAnsi" w:hAnsiTheme="majorHAnsi"/>
          <w:sz w:val="20"/>
          <w:bdr w:val="none" w:sz="0" w:space="0" w:color="auto" w:frame="1"/>
        </w:rPr>
        <w:t>, by which States must comply with the obligations assumed in the treaties in good faith.</w:t>
      </w:r>
      <w:r w:rsidRPr="00E75013">
        <w:rPr>
          <w:bdr w:val="none" w:sz="0" w:space="0" w:color="auto" w:frame="1"/>
          <w:vertAlign w:val="superscript"/>
          <w:lang w:val="en"/>
        </w:rPr>
        <w:footnoteReference w:id="26"/>
      </w:r>
      <w:r w:rsidRPr="00E75013">
        <w:rPr>
          <w:rFonts w:asciiTheme="majorHAnsi" w:hAnsiTheme="majorHAnsi"/>
          <w:sz w:val="20"/>
          <w:bdr w:val="none" w:sz="0" w:space="0" w:color="auto" w:frame="1"/>
        </w:rPr>
        <w:t xml:space="preserve"> It also wishes to highlight that the friendly settlement procedure set forth in the Convention allows for conclusion of individual cases in a non-contentious manner, and has proven, in cases involving a variety of countries, to provide an important vehicle for resolution that can be used by both parties.</w:t>
      </w:r>
    </w:p>
    <w:p w14:paraId="422489EE" w14:textId="77777777" w:rsidR="00AD6F1F" w:rsidRPr="00D30FBC" w:rsidRDefault="00AD6F1F" w:rsidP="00AD6F1F">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MS Mincho" w:hAnsiTheme="majorHAnsi"/>
          <w:sz w:val="20"/>
          <w:szCs w:val="20"/>
        </w:rPr>
      </w:pPr>
    </w:p>
    <w:p w14:paraId="6E637B38" w14:textId="77777777" w:rsidR="00D30FBC" w:rsidRPr="00B401AC" w:rsidRDefault="00D30FBC" w:rsidP="00F328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hAnsi="Cambria"/>
          <w:sz w:val="20"/>
        </w:rPr>
        <w:t xml:space="preserve">The Inter-American Commission has closely monitored the progress of the friendly settlement reached in the instant case and appreciates the efforts made by both parties during negotiations to reach this friendly settlement, which is compatible with the object and purpose of the Convention. </w:t>
      </w:r>
    </w:p>
    <w:p w14:paraId="797AFE0A" w14:textId="77777777" w:rsidR="00D30FBC" w:rsidRPr="007F1EB5" w:rsidRDefault="00D30FBC" w:rsidP="00D30FB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firstLine="720"/>
        <w:jc w:val="both"/>
        <w:rPr>
          <w:rFonts w:ascii="Cambria" w:eastAsia="MS Mincho" w:hAnsi="Cambria" w:cstheme="minorBidi"/>
          <w:color w:val="000000" w:themeColor="text1"/>
          <w:sz w:val="20"/>
          <w:szCs w:val="20"/>
        </w:rPr>
      </w:pPr>
    </w:p>
    <w:p w14:paraId="7E70B8A5" w14:textId="36255ECD" w:rsidR="00D30FBC" w:rsidRDefault="00D30FBC" w:rsidP="00F328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hAnsi="Cambria"/>
          <w:color w:val="000000" w:themeColor="text1"/>
          <w:sz w:val="20"/>
        </w:rPr>
        <w:t xml:space="preserve"> In accordance with </w:t>
      </w:r>
      <w:r w:rsidR="00615529">
        <w:rPr>
          <w:rFonts w:ascii="Cambria" w:hAnsi="Cambria"/>
          <w:color w:val="000000" w:themeColor="text1"/>
          <w:sz w:val="20"/>
        </w:rPr>
        <w:t xml:space="preserve">clause </w:t>
      </w:r>
      <w:r w:rsidR="00C74FDD">
        <w:rPr>
          <w:rFonts w:ascii="Cambria" w:hAnsi="Cambria"/>
          <w:color w:val="000000" w:themeColor="text1"/>
          <w:sz w:val="20"/>
        </w:rPr>
        <w:t xml:space="preserve">thirteen </w:t>
      </w:r>
      <w:r>
        <w:rPr>
          <w:rFonts w:ascii="Cambria" w:hAnsi="Cambria"/>
          <w:color w:val="000000" w:themeColor="text1"/>
          <w:sz w:val="20"/>
        </w:rPr>
        <w:t>of the agreement signed between the parties</w:t>
      </w:r>
      <w:r w:rsidR="00C71758">
        <w:rPr>
          <w:rFonts w:ascii="Cambria" w:hAnsi="Cambria"/>
          <w:color w:val="000000" w:themeColor="text1"/>
          <w:sz w:val="20"/>
        </w:rPr>
        <w:t xml:space="preserve">, whereby </w:t>
      </w:r>
      <w:r>
        <w:rPr>
          <w:rFonts w:ascii="Cambria" w:hAnsi="Cambria"/>
          <w:color w:val="000000" w:themeColor="text1"/>
          <w:sz w:val="20"/>
        </w:rPr>
        <w:t xml:space="preserve">they requested the Commission to approve the friendly settlement agreement as contemplated in Article 49 of the American Convention, and </w:t>
      </w:r>
      <w:r w:rsidR="00571839">
        <w:rPr>
          <w:rFonts w:ascii="Cambria" w:hAnsi="Cambria"/>
          <w:color w:val="000000" w:themeColor="text1"/>
          <w:sz w:val="20"/>
        </w:rPr>
        <w:t xml:space="preserve">by virtue of </w:t>
      </w:r>
      <w:r>
        <w:rPr>
          <w:rFonts w:ascii="Cambria" w:hAnsi="Cambria"/>
          <w:color w:val="000000" w:themeColor="text1"/>
          <w:sz w:val="20"/>
        </w:rPr>
        <w:t xml:space="preserve">the </w:t>
      </w:r>
      <w:r w:rsidR="00571839">
        <w:rPr>
          <w:rFonts w:ascii="Cambria" w:hAnsi="Cambria"/>
          <w:color w:val="000000" w:themeColor="text1"/>
          <w:sz w:val="20"/>
        </w:rPr>
        <w:t xml:space="preserve">joint </w:t>
      </w:r>
      <w:r>
        <w:rPr>
          <w:rFonts w:ascii="Cambria" w:hAnsi="Cambria"/>
          <w:color w:val="000000" w:themeColor="text1"/>
          <w:sz w:val="20"/>
        </w:rPr>
        <w:t xml:space="preserve">request by the parties on February 13, 2025 to move </w:t>
      </w:r>
      <w:r w:rsidR="00571839">
        <w:rPr>
          <w:rFonts w:ascii="Cambria" w:hAnsi="Cambria"/>
          <w:color w:val="000000" w:themeColor="text1"/>
          <w:sz w:val="20"/>
        </w:rPr>
        <w:t>forward in this manner</w:t>
      </w:r>
      <w:r>
        <w:rPr>
          <w:rFonts w:ascii="Cambria" w:hAnsi="Cambria"/>
          <w:color w:val="000000" w:themeColor="text1"/>
          <w:sz w:val="20"/>
        </w:rPr>
        <w:t xml:space="preserve"> it, </w:t>
      </w:r>
      <w:r w:rsidR="00571839">
        <w:rPr>
          <w:rFonts w:ascii="Cambria" w:hAnsi="Cambria"/>
          <w:color w:val="000000" w:themeColor="text1"/>
          <w:sz w:val="20"/>
        </w:rPr>
        <w:t xml:space="preserve">it is </w:t>
      </w:r>
      <w:r>
        <w:rPr>
          <w:rFonts w:ascii="Cambria" w:hAnsi="Cambria"/>
          <w:color w:val="000000" w:themeColor="text1"/>
          <w:sz w:val="20"/>
        </w:rPr>
        <w:t xml:space="preserve">now </w:t>
      </w:r>
      <w:r w:rsidR="00571839">
        <w:rPr>
          <w:rFonts w:ascii="Cambria" w:hAnsi="Cambria"/>
          <w:color w:val="000000" w:themeColor="text1"/>
          <w:sz w:val="20"/>
        </w:rPr>
        <w:t xml:space="preserve">appropriate </w:t>
      </w:r>
      <w:r>
        <w:rPr>
          <w:rFonts w:ascii="Cambria" w:hAnsi="Cambria"/>
          <w:color w:val="000000" w:themeColor="text1"/>
          <w:sz w:val="20"/>
        </w:rPr>
        <w:t xml:space="preserve">to assess compliance with the commitments established in this </w:t>
      </w:r>
      <w:r w:rsidR="000D0919">
        <w:rPr>
          <w:rFonts w:ascii="Cambria" w:hAnsi="Cambria"/>
          <w:color w:val="000000" w:themeColor="text1"/>
          <w:sz w:val="20"/>
        </w:rPr>
        <w:t>document</w:t>
      </w:r>
      <w:r>
        <w:rPr>
          <w:rFonts w:ascii="Cambria" w:hAnsi="Cambria"/>
          <w:color w:val="000000" w:themeColor="text1"/>
          <w:sz w:val="20"/>
        </w:rPr>
        <w:t>.</w:t>
      </w:r>
    </w:p>
    <w:p w14:paraId="45688B40" w14:textId="77777777" w:rsidR="00D30FBC" w:rsidRPr="007F1EB5" w:rsidRDefault="00D30FBC" w:rsidP="00D30FBC">
      <w:pPr>
        <w:pStyle w:val="ListParagraph"/>
        <w:ind w:left="0" w:firstLine="720"/>
        <w:rPr>
          <w:rFonts w:eastAsia="MS Mincho" w:cstheme="minorBidi"/>
          <w:color w:val="000000" w:themeColor="text1"/>
          <w:sz w:val="20"/>
          <w:szCs w:val="20"/>
        </w:rPr>
      </w:pPr>
    </w:p>
    <w:p w14:paraId="56B2F316" w14:textId="2BC618B6" w:rsidR="00D30FBC" w:rsidRDefault="00D30FBC" w:rsidP="00F328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hAnsi="Cambria"/>
          <w:color w:val="000000" w:themeColor="text1"/>
          <w:sz w:val="20"/>
        </w:rPr>
        <w:t>The Inter-American Commission considers that clauses one (Definitions), two (Background</w:t>
      </w:r>
      <w:r w:rsidR="000C68EC">
        <w:rPr>
          <w:rFonts w:ascii="Cambria" w:hAnsi="Cambria"/>
          <w:color w:val="000000" w:themeColor="text1"/>
          <w:sz w:val="20"/>
        </w:rPr>
        <w:t xml:space="preserve"> in the Inter-American Human Rights System</w:t>
      </w:r>
      <w:r>
        <w:rPr>
          <w:rFonts w:ascii="Cambria" w:hAnsi="Cambria"/>
          <w:color w:val="000000" w:themeColor="text1"/>
          <w:sz w:val="20"/>
        </w:rPr>
        <w:t xml:space="preserve">), three (Progress </w:t>
      </w:r>
      <w:r w:rsidR="000C68EC">
        <w:rPr>
          <w:rFonts w:ascii="Cambria" w:hAnsi="Cambria"/>
          <w:color w:val="000000" w:themeColor="text1"/>
          <w:sz w:val="20"/>
        </w:rPr>
        <w:t>on matter of justice</w:t>
      </w:r>
      <w:r>
        <w:rPr>
          <w:rFonts w:ascii="Cambria" w:hAnsi="Cambria"/>
          <w:color w:val="000000" w:themeColor="text1"/>
          <w:sz w:val="20"/>
        </w:rPr>
        <w:t xml:space="preserve">), four (Beneficiaries), five (Acknowledgment of Responsibility), and </w:t>
      </w:r>
      <w:r w:rsidR="00A45464">
        <w:rPr>
          <w:rFonts w:ascii="Cambria" w:hAnsi="Cambria"/>
          <w:color w:val="000000" w:themeColor="text1"/>
          <w:sz w:val="20"/>
        </w:rPr>
        <w:t>t</w:t>
      </w:r>
      <w:r>
        <w:rPr>
          <w:rFonts w:ascii="Cambria" w:hAnsi="Cambria"/>
          <w:color w:val="000000" w:themeColor="text1"/>
          <w:sz w:val="20"/>
        </w:rPr>
        <w:t>welve (Confidentiality) of the Agreement are of a declarative nature, rendering supervision of their compliance unnecessary.</w:t>
      </w:r>
    </w:p>
    <w:p w14:paraId="2A246EDB" w14:textId="77777777" w:rsidR="00D30FBC" w:rsidRPr="007F1EB5" w:rsidRDefault="00D30FBC" w:rsidP="00D30FBC">
      <w:pPr>
        <w:pStyle w:val="ListParagraph"/>
        <w:ind w:left="0" w:firstLine="720"/>
        <w:rPr>
          <w:rFonts w:eastAsia="MS Mincho" w:cstheme="minorBidi"/>
          <w:color w:val="000000" w:themeColor="text1"/>
          <w:sz w:val="20"/>
          <w:szCs w:val="20"/>
        </w:rPr>
      </w:pPr>
    </w:p>
    <w:p w14:paraId="52BD958F" w14:textId="2253B297" w:rsidR="00D30FBC" w:rsidRPr="008D43A0" w:rsidRDefault="00D30FBC" w:rsidP="00F328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hAnsi="Cambria"/>
          <w:color w:val="000000" w:themeColor="text1"/>
          <w:sz w:val="20"/>
        </w:rPr>
        <w:t xml:space="preserve">The Inter-American Commission appreciates the </w:t>
      </w:r>
      <w:r w:rsidR="009520D8">
        <w:rPr>
          <w:rFonts w:ascii="Cambria" w:hAnsi="Cambria"/>
          <w:color w:val="000000" w:themeColor="text1"/>
          <w:sz w:val="20"/>
        </w:rPr>
        <w:t xml:space="preserve">declaratory </w:t>
      </w:r>
      <w:r w:rsidR="00A45464">
        <w:rPr>
          <w:rFonts w:ascii="Cambria" w:hAnsi="Cambria"/>
          <w:color w:val="000000" w:themeColor="text1"/>
          <w:sz w:val="20"/>
        </w:rPr>
        <w:t>clause five</w:t>
      </w:r>
      <w:r>
        <w:rPr>
          <w:rFonts w:ascii="Cambria" w:hAnsi="Cambria"/>
          <w:color w:val="000000" w:themeColor="text1"/>
          <w:sz w:val="20"/>
        </w:rPr>
        <w:t xml:space="preserve">, in which the Colombian State acknowledges its international responsibility </w:t>
      </w:r>
      <w:r>
        <w:rPr>
          <w:rFonts w:asciiTheme="majorHAnsi" w:hAnsiTheme="majorHAnsi"/>
          <w:sz w:val="20"/>
        </w:rPr>
        <w:t xml:space="preserve">for the violation of the right to life (Article 4) as well as the right to </w:t>
      </w:r>
      <w:r w:rsidR="009520D8">
        <w:rPr>
          <w:rFonts w:asciiTheme="majorHAnsi" w:hAnsiTheme="majorHAnsi"/>
          <w:sz w:val="20"/>
        </w:rPr>
        <w:t>humane treatment</w:t>
      </w:r>
      <w:r>
        <w:rPr>
          <w:rFonts w:asciiTheme="majorHAnsi" w:hAnsiTheme="majorHAnsi"/>
          <w:sz w:val="20"/>
        </w:rPr>
        <w:t xml:space="preserve"> (Article 5), to judicial guarantees (Article 8) and to the right to judicial protection (Article 25) </w:t>
      </w:r>
      <w:r>
        <w:rPr>
          <w:rFonts w:ascii="Cambria" w:hAnsi="Cambria"/>
          <w:color w:val="000000" w:themeColor="text1"/>
          <w:sz w:val="20"/>
        </w:rPr>
        <w:t>established in the American Convention on Human Rights, to the detriment of the victim and his</w:t>
      </w:r>
      <w:r>
        <w:rPr>
          <w:rFonts w:asciiTheme="majorHAnsi" w:hAnsiTheme="majorHAnsi"/>
          <w:sz w:val="20"/>
        </w:rPr>
        <w:t xml:space="preserve"> </w:t>
      </w:r>
      <w:r w:rsidR="009520D8">
        <w:rPr>
          <w:rFonts w:asciiTheme="majorHAnsi" w:hAnsiTheme="majorHAnsi"/>
          <w:sz w:val="20"/>
        </w:rPr>
        <w:t xml:space="preserve">family </w:t>
      </w:r>
      <w:r>
        <w:rPr>
          <w:rFonts w:ascii="Cambria" w:hAnsi="Cambria"/>
          <w:color w:val="000000" w:themeColor="text1"/>
          <w:sz w:val="20"/>
        </w:rPr>
        <w:t xml:space="preserve">for </w:t>
      </w:r>
      <w:r w:rsidR="005A780F">
        <w:rPr>
          <w:rFonts w:ascii="Cambria" w:hAnsi="Cambria"/>
          <w:color w:val="000000" w:themeColor="text1"/>
          <w:sz w:val="20"/>
        </w:rPr>
        <w:t xml:space="preserve">the events that took place </w:t>
      </w:r>
      <w:r>
        <w:rPr>
          <w:rFonts w:ascii="Cambria" w:hAnsi="Cambria"/>
          <w:color w:val="000000" w:themeColor="text1"/>
          <w:sz w:val="20"/>
        </w:rPr>
        <w:t>in this case.</w:t>
      </w:r>
    </w:p>
    <w:p w14:paraId="4E1F6C29" w14:textId="77777777" w:rsidR="00D30FBC" w:rsidRPr="007F1EB5" w:rsidRDefault="00D30FBC" w:rsidP="00D30FBC">
      <w:pPr>
        <w:pStyle w:val="ListParagraph"/>
        <w:ind w:left="0" w:firstLine="720"/>
        <w:rPr>
          <w:rFonts w:eastAsia="MS Mincho" w:cstheme="minorBidi"/>
          <w:color w:val="000000" w:themeColor="text1"/>
          <w:sz w:val="20"/>
          <w:szCs w:val="20"/>
        </w:rPr>
      </w:pPr>
    </w:p>
    <w:p w14:paraId="2685393D" w14:textId="1ACD750D" w:rsidR="00D30FBC" w:rsidRPr="008D43A0" w:rsidRDefault="00780F13" w:rsidP="00F328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20"/>
        <w:jc w:val="both"/>
        <w:rPr>
          <w:rFonts w:ascii="Cambria" w:eastAsia="MS Mincho" w:hAnsi="Cambria" w:cstheme="minorBidi"/>
          <w:color w:val="000000" w:themeColor="text1"/>
          <w:sz w:val="20"/>
          <w:szCs w:val="20"/>
        </w:rPr>
      </w:pPr>
      <w:r>
        <w:rPr>
          <w:rFonts w:ascii="Cambria" w:hAnsi="Cambria"/>
          <w:color w:val="000000" w:themeColor="text1"/>
          <w:sz w:val="20"/>
        </w:rPr>
        <w:t xml:space="preserve">With regard to paragraph </w:t>
      </w:r>
      <w:r w:rsidR="00D30FBC">
        <w:rPr>
          <w:rFonts w:ascii="Cambria" w:hAnsi="Cambria"/>
          <w:color w:val="000000" w:themeColor="text1"/>
          <w:sz w:val="20"/>
        </w:rPr>
        <w:t xml:space="preserve">I (acknowledgement of responsibility and request for forgiveness) and II (commemorative plaque) of clause </w:t>
      </w:r>
      <w:r w:rsidR="00D603B0">
        <w:rPr>
          <w:rFonts w:ascii="Cambria" w:hAnsi="Cambria"/>
          <w:color w:val="000000" w:themeColor="text1"/>
          <w:sz w:val="20"/>
        </w:rPr>
        <w:t xml:space="preserve">six </w:t>
      </w:r>
      <w:r w:rsidR="00D30FBC">
        <w:rPr>
          <w:rFonts w:ascii="Cambria" w:hAnsi="Cambria"/>
          <w:color w:val="000000" w:themeColor="text1"/>
          <w:sz w:val="20"/>
        </w:rPr>
        <w:t xml:space="preserve">(measures of satisfaction), on January 16, 2023, the State indicated that on November 10, 2022 the representatives of the victims, delegates of the Ministry of National Defense, the National Army, and the National Agency for Legal Defense of the State met to agree on the final text of the commemorative plaque. It also mentioned that after this meeting, the Ministry of National Defense stated, by means of official letter No. RS20221209129842 of December 9, 2022, that the text agreed upon had been approved by the Vice Minister of National Defense, and that a work session would soon be held with the </w:t>
      </w:r>
      <w:r w:rsidR="007A03E0">
        <w:rPr>
          <w:rFonts w:ascii="Cambria" w:hAnsi="Cambria"/>
          <w:color w:val="000000" w:themeColor="text1"/>
          <w:sz w:val="20"/>
        </w:rPr>
        <w:t xml:space="preserve">Office of </w:t>
      </w:r>
      <w:r w:rsidR="00D30FBC">
        <w:rPr>
          <w:rFonts w:ascii="Cambria" w:hAnsi="Cambria"/>
          <w:color w:val="000000" w:themeColor="text1"/>
          <w:sz w:val="20"/>
        </w:rPr>
        <w:t xml:space="preserve">Mayor of </w:t>
      </w:r>
      <w:proofErr w:type="spellStart"/>
      <w:r w:rsidR="00D30FBC">
        <w:rPr>
          <w:rFonts w:ascii="Cambria" w:hAnsi="Cambria"/>
          <w:color w:val="000000" w:themeColor="text1"/>
          <w:sz w:val="20"/>
        </w:rPr>
        <w:t>Saravena</w:t>
      </w:r>
      <w:proofErr w:type="spellEnd"/>
      <w:r w:rsidR="00D30FBC">
        <w:rPr>
          <w:rFonts w:ascii="Cambria" w:hAnsi="Cambria"/>
          <w:color w:val="000000" w:themeColor="text1"/>
          <w:sz w:val="20"/>
        </w:rPr>
        <w:t xml:space="preserve"> - Arauca to define the material and dimensions of the plaque to be installed on the mobile mural. </w:t>
      </w:r>
      <w:proofErr w:type="gramStart"/>
      <w:r w:rsidR="00D30FBC">
        <w:rPr>
          <w:rFonts w:ascii="Cambria" w:hAnsi="Cambria"/>
          <w:color w:val="000000" w:themeColor="text1"/>
          <w:sz w:val="20"/>
        </w:rPr>
        <w:t>In light of</w:t>
      </w:r>
      <w:proofErr w:type="gramEnd"/>
      <w:r w:rsidR="00D30FBC">
        <w:rPr>
          <w:rFonts w:ascii="Cambria" w:hAnsi="Cambria"/>
          <w:color w:val="000000" w:themeColor="text1"/>
          <w:sz w:val="20"/>
        </w:rPr>
        <w:t xml:space="preserve"> the above, the Commission </w:t>
      </w:r>
      <w:r w:rsidR="007631F2">
        <w:rPr>
          <w:rFonts w:ascii="Cambria" w:hAnsi="Cambria"/>
          <w:color w:val="000000" w:themeColor="text1"/>
          <w:sz w:val="20"/>
        </w:rPr>
        <w:t>notes</w:t>
      </w:r>
      <w:r w:rsidR="00D30FBC">
        <w:rPr>
          <w:rFonts w:ascii="Cambria" w:hAnsi="Cambria"/>
          <w:color w:val="000000" w:themeColor="text1"/>
          <w:sz w:val="20"/>
        </w:rPr>
        <w:t>, and hereby declares, that compliance with paragraphs I (acknowledgment of responsibility</w:t>
      </w:r>
      <w:r w:rsidR="007631F2">
        <w:rPr>
          <w:rFonts w:ascii="Cambria" w:hAnsi="Cambria"/>
          <w:color w:val="000000" w:themeColor="text1"/>
          <w:sz w:val="20"/>
        </w:rPr>
        <w:t xml:space="preserve"> and request for forgiveness</w:t>
      </w:r>
      <w:r w:rsidR="00D30FBC">
        <w:rPr>
          <w:rFonts w:ascii="Cambria" w:hAnsi="Cambria"/>
          <w:color w:val="000000" w:themeColor="text1"/>
          <w:sz w:val="20"/>
        </w:rPr>
        <w:t xml:space="preserve">), and II (commemorative plaque) of clause six of the friendly settlement agreement is still pending. </w:t>
      </w:r>
    </w:p>
    <w:p w14:paraId="5FF1928E" w14:textId="77777777" w:rsidR="00D30FBC" w:rsidRPr="007F1EB5" w:rsidRDefault="00D30FBC" w:rsidP="00D30FBC">
      <w:pPr>
        <w:pStyle w:val="ListParagraph"/>
        <w:ind w:left="0" w:firstLine="720"/>
        <w:rPr>
          <w:rFonts w:eastAsia="MS Mincho" w:cstheme="minorBidi"/>
          <w:color w:val="000000" w:themeColor="text1"/>
          <w:sz w:val="20"/>
          <w:szCs w:val="20"/>
        </w:rPr>
      </w:pPr>
    </w:p>
    <w:p w14:paraId="519030AB" w14:textId="212CE7AB" w:rsidR="00D30FBC" w:rsidRDefault="00D30FBC" w:rsidP="00F328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20"/>
        <w:jc w:val="both"/>
        <w:rPr>
          <w:rFonts w:ascii="Cambria" w:eastAsia="MS Mincho" w:hAnsi="Cambria" w:cstheme="minorBidi"/>
          <w:color w:val="000000" w:themeColor="text1"/>
          <w:sz w:val="20"/>
          <w:szCs w:val="20"/>
        </w:rPr>
      </w:pPr>
      <w:r>
        <w:rPr>
          <w:rFonts w:ascii="Cambria" w:hAnsi="Cambria"/>
          <w:color w:val="000000" w:themeColor="text1"/>
          <w:sz w:val="20"/>
        </w:rPr>
        <w:t xml:space="preserve">Regarding the </w:t>
      </w:r>
      <w:r w:rsidR="00A67A91">
        <w:rPr>
          <w:rFonts w:ascii="Cambria" w:hAnsi="Cambria"/>
          <w:color w:val="000000" w:themeColor="text1"/>
          <w:sz w:val="20"/>
        </w:rPr>
        <w:t xml:space="preserve">clause nine </w:t>
      </w:r>
      <w:r>
        <w:rPr>
          <w:rFonts w:ascii="Cambria" w:hAnsi="Cambria"/>
          <w:color w:val="000000" w:themeColor="text1"/>
          <w:sz w:val="20"/>
        </w:rPr>
        <w:t>(</w:t>
      </w:r>
      <w:r w:rsidR="007F4D08">
        <w:rPr>
          <w:rFonts w:ascii="Cambria" w:hAnsi="Cambria"/>
          <w:color w:val="000000" w:themeColor="text1"/>
          <w:sz w:val="20"/>
        </w:rPr>
        <w:t xml:space="preserve">guarantees of </w:t>
      </w:r>
      <w:r>
        <w:rPr>
          <w:rFonts w:ascii="Cambria" w:hAnsi="Cambria"/>
          <w:color w:val="000000" w:themeColor="text1"/>
          <w:sz w:val="20"/>
        </w:rPr>
        <w:t xml:space="preserve">non-repetition), on February 13, 2025 in their joint report, the parties mentioned that on June 12, 2024, a meeting was held in the municipality of </w:t>
      </w:r>
      <w:proofErr w:type="spellStart"/>
      <w:r>
        <w:rPr>
          <w:rFonts w:ascii="Cambria" w:hAnsi="Cambria"/>
          <w:color w:val="000000" w:themeColor="text1"/>
          <w:sz w:val="20"/>
        </w:rPr>
        <w:t>Saravena</w:t>
      </w:r>
      <w:proofErr w:type="spellEnd"/>
      <w:r>
        <w:rPr>
          <w:rFonts w:ascii="Cambria" w:hAnsi="Cambria"/>
          <w:color w:val="000000" w:themeColor="text1"/>
          <w:sz w:val="20"/>
        </w:rPr>
        <w:t xml:space="preserve">- Arauca with the participation of representatives of the </w:t>
      </w:r>
      <w:proofErr w:type="spellStart"/>
      <w:r>
        <w:rPr>
          <w:rFonts w:ascii="Cambria" w:hAnsi="Cambria"/>
          <w:color w:val="000000" w:themeColor="text1"/>
          <w:sz w:val="20"/>
        </w:rPr>
        <w:t>Humanidad</w:t>
      </w:r>
      <w:proofErr w:type="spellEnd"/>
      <w:r>
        <w:rPr>
          <w:rFonts w:ascii="Cambria" w:hAnsi="Cambria"/>
          <w:color w:val="000000" w:themeColor="text1"/>
          <w:sz w:val="20"/>
        </w:rPr>
        <w:t xml:space="preserve"> </w:t>
      </w:r>
      <w:proofErr w:type="spellStart"/>
      <w:r>
        <w:rPr>
          <w:rFonts w:ascii="Cambria" w:hAnsi="Cambria"/>
          <w:color w:val="000000" w:themeColor="text1"/>
          <w:sz w:val="20"/>
        </w:rPr>
        <w:t>Vigente</w:t>
      </w:r>
      <w:proofErr w:type="spellEnd"/>
      <w:r>
        <w:rPr>
          <w:rFonts w:ascii="Cambria" w:hAnsi="Cambria"/>
          <w:color w:val="000000" w:themeColor="text1"/>
          <w:sz w:val="20"/>
        </w:rPr>
        <w:t xml:space="preserve"> Organization, Regional Youth and Student Association (ASOJER), Joel Sierra Human Rights Foundation, the Intersectoral Commission for the Prevention of Recruitment, Use and Sexual Violence against Children and Adolescents (CIPRUNNA) of the Presidential Council for Human Rights and International Humanitarian Law, and the National Agency for the Legal Defense of the State. During the meeting, an assessment was made of the activities carried out to date, as well as those that are still pending.</w:t>
      </w:r>
    </w:p>
    <w:p w14:paraId="23A7FD38" w14:textId="77777777" w:rsidR="00D30FBC" w:rsidRPr="007F1EB5" w:rsidRDefault="00D30FBC" w:rsidP="00D30FBC">
      <w:pPr>
        <w:pStyle w:val="ListParagraph"/>
        <w:ind w:left="0" w:firstLine="720"/>
        <w:rPr>
          <w:rFonts w:eastAsia="MS Mincho" w:cstheme="minorBidi"/>
          <w:color w:val="000000" w:themeColor="text1"/>
          <w:sz w:val="20"/>
          <w:szCs w:val="20"/>
        </w:rPr>
      </w:pPr>
    </w:p>
    <w:p w14:paraId="7EAA12CC" w14:textId="52C04C62" w:rsidR="00D30FBC" w:rsidRDefault="00D30FBC" w:rsidP="00F328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20"/>
        <w:jc w:val="both"/>
        <w:rPr>
          <w:rFonts w:ascii="Cambria" w:eastAsia="MS Mincho" w:hAnsi="Cambria" w:cstheme="minorBidi"/>
          <w:color w:val="000000" w:themeColor="text1"/>
          <w:sz w:val="20"/>
          <w:szCs w:val="20"/>
        </w:rPr>
      </w:pPr>
      <w:r>
        <w:rPr>
          <w:rFonts w:ascii="Cambria" w:hAnsi="Cambria"/>
          <w:color w:val="000000" w:themeColor="text1"/>
          <w:sz w:val="20"/>
        </w:rPr>
        <w:t xml:space="preserve">Likewise, the parties stated that the document </w:t>
      </w:r>
      <w:r>
        <w:rPr>
          <w:rFonts w:ascii="Cambria" w:hAnsi="Cambria"/>
          <w:i/>
          <w:color w:val="000000" w:themeColor="text1"/>
          <w:sz w:val="20"/>
        </w:rPr>
        <w:t xml:space="preserve">"proposal for inclusion in the comprehensive prevention plan of the Municipality of </w:t>
      </w:r>
      <w:proofErr w:type="spellStart"/>
      <w:r>
        <w:rPr>
          <w:rFonts w:ascii="Cambria" w:hAnsi="Cambria"/>
          <w:i/>
          <w:color w:val="000000" w:themeColor="text1"/>
          <w:sz w:val="20"/>
        </w:rPr>
        <w:t>Saravena</w:t>
      </w:r>
      <w:proofErr w:type="spellEnd"/>
      <w:r>
        <w:rPr>
          <w:rFonts w:ascii="Cambria" w:hAnsi="Cambria"/>
          <w:i/>
          <w:color w:val="000000" w:themeColor="text1"/>
          <w:sz w:val="20"/>
        </w:rPr>
        <w:t xml:space="preserve"> and the Department of Arauca of routes or protocols against stigmatization and discrimination of adolescents and young people and against the recruitment, use, utilization and sexual violence of children and adolescents" </w:t>
      </w:r>
      <w:r>
        <w:rPr>
          <w:rFonts w:ascii="Cambria" w:hAnsi="Cambria"/>
          <w:color w:val="000000" w:themeColor="text1"/>
          <w:sz w:val="20"/>
        </w:rPr>
        <w:t>was examined and</w:t>
      </w:r>
      <w:r>
        <w:rPr>
          <w:rFonts w:ascii="Cambria" w:hAnsi="Cambria"/>
          <w:i/>
          <w:color w:val="000000" w:themeColor="text1"/>
          <w:sz w:val="20"/>
        </w:rPr>
        <w:t xml:space="preserve"> </w:t>
      </w:r>
      <w:r>
        <w:rPr>
          <w:rFonts w:ascii="Cambria" w:hAnsi="Cambria"/>
          <w:color w:val="000000" w:themeColor="text1"/>
          <w:sz w:val="20"/>
        </w:rPr>
        <w:t xml:space="preserve">agreed that it would be worked on as an initial version of the diagnosis based on the previously agreed mapping. They also indicated that the input </w:t>
      </w:r>
      <w:r>
        <w:rPr>
          <w:rFonts w:ascii="Cambria" w:hAnsi="Cambria"/>
          <w:color w:val="000000" w:themeColor="text1"/>
          <w:sz w:val="20"/>
        </w:rPr>
        <w:lastRenderedPageBreak/>
        <w:t xml:space="preserve">would be adapted with the background and context for the inclusion of the friendly settlement agreement signed in case No. 11.990 B, Jhon Jairo Cabarique. In addition, the parties indicated that an initial work methodology proposal was put forward, which was subsequently reviewed at an inter-agency meeting held on July 29, 2024. Consequently, they specified that after the meeting, two inputs were generated, one comprising the methodological proposal for the workshop on mapping the rights of children and adolescents and the other including the implementation schedule, which were sent to the representatives of the victims on July 19, </w:t>
      </w:r>
      <w:r w:rsidR="00C34365">
        <w:rPr>
          <w:rFonts w:ascii="Cambria" w:hAnsi="Cambria"/>
          <w:color w:val="000000" w:themeColor="text1"/>
          <w:sz w:val="20"/>
        </w:rPr>
        <w:t>2024,</w:t>
      </w:r>
      <w:r>
        <w:rPr>
          <w:rFonts w:ascii="Cambria" w:hAnsi="Cambria"/>
          <w:color w:val="000000" w:themeColor="text1"/>
          <w:sz w:val="20"/>
        </w:rPr>
        <w:t xml:space="preserve"> for their review. </w:t>
      </w:r>
    </w:p>
    <w:p w14:paraId="5DA02AEC" w14:textId="77777777" w:rsidR="00D30FBC" w:rsidRPr="007F1EB5" w:rsidRDefault="00D30FBC" w:rsidP="00D30FB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720"/>
        <w:jc w:val="both"/>
        <w:rPr>
          <w:rFonts w:ascii="Cambria" w:eastAsia="MS Mincho" w:hAnsi="Cambria" w:cstheme="minorBidi"/>
          <w:color w:val="000000" w:themeColor="text1"/>
          <w:sz w:val="20"/>
          <w:szCs w:val="20"/>
        </w:rPr>
      </w:pPr>
    </w:p>
    <w:p w14:paraId="649B81AA" w14:textId="4FC62090" w:rsidR="00D30FBC" w:rsidRDefault="00D30FBC" w:rsidP="00F328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20"/>
        <w:jc w:val="both"/>
        <w:rPr>
          <w:rFonts w:ascii="Cambria" w:eastAsia="MS Mincho" w:hAnsi="Cambria" w:cstheme="minorBidi"/>
          <w:color w:val="000000" w:themeColor="text1"/>
          <w:sz w:val="20"/>
          <w:szCs w:val="20"/>
        </w:rPr>
      </w:pPr>
      <w:r>
        <w:rPr>
          <w:rFonts w:ascii="Cambria" w:hAnsi="Cambria"/>
          <w:color w:val="000000" w:themeColor="text1"/>
          <w:sz w:val="20"/>
        </w:rPr>
        <w:t xml:space="preserve">Additionally, the parties </w:t>
      </w:r>
      <w:r w:rsidR="009E344B">
        <w:rPr>
          <w:rFonts w:ascii="Cambria" w:hAnsi="Cambria"/>
          <w:color w:val="000000" w:themeColor="text1"/>
          <w:sz w:val="20"/>
        </w:rPr>
        <w:t>noted</w:t>
      </w:r>
      <w:r>
        <w:rPr>
          <w:rFonts w:ascii="Cambria" w:hAnsi="Cambria"/>
          <w:color w:val="000000" w:themeColor="text1"/>
          <w:sz w:val="20"/>
        </w:rPr>
        <w:t xml:space="preserve"> that on September 2, 2024, a</w:t>
      </w:r>
      <w:r w:rsidR="009E344B">
        <w:rPr>
          <w:rFonts w:ascii="Cambria" w:hAnsi="Cambria"/>
          <w:color w:val="000000" w:themeColor="text1"/>
          <w:sz w:val="20"/>
        </w:rPr>
        <w:t xml:space="preserve"> new </w:t>
      </w:r>
      <w:r>
        <w:rPr>
          <w:rFonts w:ascii="Cambria" w:hAnsi="Cambria"/>
          <w:color w:val="000000" w:themeColor="text1"/>
          <w:sz w:val="20"/>
        </w:rPr>
        <w:t xml:space="preserve">virtual meeting was held with the participation of representatives of the </w:t>
      </w:r>
      <w:proofErr w:type="spellStart"/>
      <w:r>
        <w:rPr>
          <w:rFonts w:ascii="Cambria" w:hAnsi="Cambria"/>
          <w:color w:val="000000" w:themeColor="text1"/>
          <w:sz w:val="20"/>
        </w:rPr>
        <w:t>Humanidad</w:t>
      </w:r>
      <w:proofErr w:type="spellEnd"/>
      <w:r>
        <w:rPr>
          <w:rFonts w:ascii="Cambria" w:hAnsi="Cambria"/>
          <w:color w:val="000000" w:themeColor="text1"/>
          <w:sz w:val="20"/>
        </w:rPr>
        <w:t xml:space="preserve"> </w:t>
      </w:r>
      <w:proofErr w:type="spellStart"/>
      <w:r>
        <w:rPr>
          <w:rFonts w:ascii="Cambria" w:hAnsi="Cambria"/>
          <w:color w:val="000000" w:themeColor="text1"/>
          <w:sz w:val="20"/>
        </w:rPr>
        <w:t>Vigente</w:t>
      </w:r>
      <w:proofErr w:type="spellEnd"/>
      <w:r>
        <w:rPr>
          <w:rFonts w:ascii="Cambria" w:hAnsi="Cambria"/>
          <w:color w:val="000000" w:themeColor="text1"/>
          <w:sz w:val="20"/>
        </w:rPr>
        <w:t xml:space="preserve"> Organization, the Regional Youth and Student Association (ASOJER), the Joel Sierra Human Rights Foundation, the Intersectoral Commission for the Prevention of Recruitment, Use and Sexual Violence against Children and Adolescents (CIPRUNNA) of the Presidential Council for Human Rights and International Humanitarian Law, and the National Agency for the Legal Defense of the State</w:t>
      </w:r>
      <w:r w:rsidR="00BE5D99">
        <w:rPr>
          <w:rFonts w:ascii="Cambria" w:hAnsi="Cambria"/>
          <w:color w:val="000000" w:themeColor="text1"/>
          <w:sz w:val="20"/>
        </w:rPr>
        <w:t>. The purpose of the meeting was</w:t>
      </w:r>
      <w:r>
        <w:rPr>
          <w:rFonts w:ascii="Cambria" w:hAnsi="Cambria"/>
          <w:color w:val="000000" w:themeColor="text1"/>
          <w:sz w:val="20"/>
        </w:rPr>
        <w:t xml:space="preserve"> to review the schedule with the organizations in the territory to identify deadlines and consider possible modifications. Likewise, </w:t>
      </w:r>
      <w:r w:rsidR="00A64EE2">
        <w:rPr>
          <w:rFonts w:ascii="Cambria" w:hAnsi="Cambria"/>
          <w:color w:val="000000" w:themeColor="text1"/>
          <w:sz w:val="20"/>
        </w:rPr>
        <w:t xml:space="preserve">the revision of the </w:t>
      </w:r>
      <w:r>
        <w:rPr>
          <w:rFonts w:ascii="Cambria" w:hAnsi="Cambria"/>
          <w:color w:val="000000" w:themeColor="text1"/>
          <w:sz w:val="20"/>
        </w:rPr>
        <w:t xml:space="preserve">methodological proposal and the </w:t>
      </w:r>
      <w:r w:rsidR="00A44673">
        <w:rPr>
          <w:rFonts w:ascii="Cambria" w:hAnsi="Cambria"/>
          <w:color w:val="000000" w:themeColor="text1"/>
          <w:sz w:val="20"/>
        </w:rPr>
        <w:t xml:space="preserve">modification of the </w:t>
      </w:r>
      <w:r>
        <w:rPr>
          <w:rFonts w:ascii="Cambria" w:hAnsi="Cambria"/>
          <w:color w:val="000000" w:themeColor="text1"/>
          <w:sz w:val="20"/>
        </w:rPr>
        <w:t xml:space="preserve">schedule </w:t>
      </w:r>
      <w:r w:rsidR="00A44673">
        <w:rPr>
          <w:rFonts w:ascii="Cambria" w:hAnsi="Cambria"/>
          <w:color w:val="000000" w:themeColor="text1"/>
          <w:sz w:val="20"/>
        </w:rPr>
        <w:t xml:space="preserve">were verified </w:t>
      </w:r>
      <w:r>
        <w:rPr>
          <w:rFonts w:ascii="Cambria" w:hAnsi="Cambria"/>
          <w:color w:val="000000" w:themeColor="text1"/>
          <w:sz w:val="20"/>
        </w:rPr>
        <w:t xml:space="preserve">in accordance with the </w:t>
      </w:r>
      <w:r w:rsidR="003F1685">
        <w:rPr>
          <w:rFonts w:ascii="Cambria" w:hAnsi="Cambria"/>
          <w:color w:val="000000" w:themeColor="text1"/>
          <w:sz w:val="20"/>
        </w:rPr>
        <w:t xml:space="preserve">timelines </w:t>
      </w:r>
      <w:r>
        <w:rPr>
          <w:rFonts w:ascii="Cambria" w:hAnsi="Cambria"/>
          <w:color w:val="000000" w:themeColor="text1"/>
          <w:sz w:val="20"/>
        </w:rPr>
        <w:t xml:space="preserve">of the organizations in the territory. To that end, on the same date, the Presidential Council for Human Rights sent the documents discussed at the meeting to be studied in their final version by the representatives of the victims and participating organizations </w:t>
      </w:r>
      <w:proofErr w:type="gramStart"/>
      <w:r>
        <w:rPr>
          <w:rFonts w:ascii="Cambria" w:hAnsi="Cambria"/>
          <w:color w:val="000000" w:themeColor="text1"/>
          <w:sz w:val="20"/>
        </w:rPr>
        <w:t>in order to</w:t>
      </w:r>
      <w:proofErr w:type="gramEnd"/>
      <w:r>
        <w:rPr>
          <w:rFonts w:ascii="Cambria" w:hAnsi="Cambria"/>
          <w:color w:val="000000" w:themeColor="text1"/>
          <w:sz w:val="20"/>
        </w:rPr>
        <w:t xml:space="preserve"> </w:t>
      </w:r>
      <w:r w:rsidR="006533F6">
        <w:rPr>
          <w:rFonts w:ascii="Cambria" w:hAnsi="Cambria"/>
          <w:color w:val="000000" w:themeColor="text1"/>
          <w:sz w:val="20"/>
        </w:rPr>
        <w:t xml:space="preserve">obtain </w:t>
      </w:r>
      <w:r>
        <w:rPr>
          <w:rFonts w:ascii="Cambria" w:hAnsi="Cambria"/>
          <w:color w:val="000000" w:themeColor="text1"/>
          <w:sz w:val="20"/>
        </w:rPr>
        <w:t xml:space="preserve">their approval, including the proposed </w:t>
      </w:r>
      <w:r w:rsidR="006533F6">
        <w:rPr>
          <w:rFonts w:ascii="Cambria" w:hAnsi="Cambria"/>
          <w:color w:val="000000" w:themeColor="text1"/>
          <w:sz w:val="20"/>
        </w:rPr>
        <w:t xml:space="preserve">dates of the </w:t>
      </w:r>
      <w:r>
        <w:rPr>
          <w:rFonts w:ascii="Cambria" w:hAnsi="Cambria"/>
          <w:color w:val="000000" w:themeColor="text1"/>
          <w:sz w:val="20"/>
        </w:rPr>
        <w:t>agenda.</w:t>
      </w:r>
    </w:p>
    <w:p w14:paraId="3CCA401C" w14:textId="77777777" w:rsidR="00D30FBC" w:rsidRPr="007F1EB5" w:rsidRDefault="00D30FBC" w:rsidP="00D30FB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720"/>
        <w:jc w:val="both"/>
        <w:rPr>
          <w:rFonts w:ascii="Cambria" w:eastAsia="MS Mincho" w:hAnsi="Cambria" w:cstheme="minorBidi"/>
          <w:color w:val="000000" w:themeColor="text1"/>
          <w:sz w:val="20"/>
          <w:szCs w:val="20"/>
        </w:rPr>
      </w:pPr>
    </w:p>
    <w:p w14:paraId="360A347C" w14:textId="17B8CA85" w:rsidR="00D30FBC" w:rsidRPr="00EB22C5" w:rsidRDefault="00D30FBC" w:rsidP="00F328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20"/>
        <w:jc w:val="both"/>
        <w:rPr>
          <w:rFonts w:ascii="Cambria" w:eastAsia="MS Mincho" w:hAnsi="Cambria" w:cstheme="minorBidi"/>
          <w:color w:val="000000" w:themeColor="text1"/>
          <w:sz w:val="20"/>
          <w:szCs w:val="20"/>
        </w:rPr>
      </w:pPr>
      <w:r>
        <w:rPr>
          <w:rFonts w:ascii="Cambria" w:hAnsi="Cambria"/>
          <w:color w:val="000000"/>
          <w:sz w:val="20"/>
        </w:rPr>
        <w:t xml:space="preserve">Finally, the schedule of activities planned to achieve total compliance with the measure was presented. In this framework, the parties specified that the mapping of rights with children and adolescents was prepared in 2018, so this point of the clause has already been complied with. Regarding the workshop for the socialization of the results of the mapping, in charge of the </w:t>
      </w:r>
      <w:r w:rsidR="00C91692">
        <w:rPr>
          <w:rFonts w:ascii="Cambria" w:hAnsi="Cambria"/>
          <w:color w:val="000000"/>
          <w:sz w:val="20"/>
        </w:rPr>
        <w:t xml:space="preserve">Office of the </w:t>
      </w:r>
      <w:r>
        <w:rPr>
          <w:rFonts w:ascii="Cambria" w:hAnsi="Cambria"/>
          <w:color w:val="000000"/>
          <w:sz w:val="20"/>
        </w:rPr>
        <w:t xml:space="preserve">Presidential </w:t>
      </w:r>
      <w:r w:rsidR="00C91692">
        <w:rPr>
          <w:rFonts w:ascii="Cambria" w:hAnsi="Cambria"/>
          <w:color w:val="000000"/>
          <w:sz w:val="20"/>
        </w:rPr>
        <w:t xml:space="preserve">Council </w:t>
      </w:r>
      <w:r>
        <w:rPr>
          <w:rFonts w:ascii="Cambria" w:hAnsi="Cambria"/>
          <w:color w:val="000000"/>
          <w:sz w:val="20"/>
        </w:rPr>
        <w:t xml:space="preserve">for Human Rights and International Humanitarian Law, it was reported that it was scheduled to take place between April 28 and May 2, 2025. As for the workshop on the construction of prevention </w:t>
      </w:r>
      <w:r w:rsidR="008343D3">
        <w:rPr>
          <w:rFonts w:ascii="Cambria" w:hAnsi="Cambria"/>
          <w:color w:val="000000"/>
          <w:sz w:val="20"/>
        </w:rPr>
        <w:t>roadmaps</w:t>
      </w:r>
      <w:r>
        <w:rPr>
          <w:rFonts w:ascii="Cambria" w:hAnsi="Cambria"/>
          <w:color w:val="000000"/>
          <w:sz w:val="20"/>
        </w:rPr>
        <w:t xml:space="preserve">, organized by the same </w:t>
      </w:r>
      <w:r w:rsidR="008343D3">
        <w:rPr>
          <w:rFonts w:ascii="Cambria" w:hAnsi="Cambria"/>
          <w:color w:val="000000"/>
          <w:sz w:val="20"/>
        </w:rPr>
        <w:t xml:space="preserve">office </w:t>
      </w:r>
      <w:r>
        <w:rPr>
          <w:rFonts w:ascii="Cambria" w:hAnsi="Cambria"/>
          <w:color w:val="000000"/>
          <w:sz w:val="20"/>
        </w:rPr>
        <w:t xml:space="preserve">with the support of ANDJE, the </w:t>
      </w:r>
      <w:proofErr w:type="spellStart"/>
      <w:r>
        <w:rPr>
          <w:rFonts w:ascii="Cambria" w:hAnsi="Cambria"/>
          <w:color w:val="000000"/>
          <w:sz w:val="20"/>
        </w:rPr>
        <w:t>Humanidad</w:t>
      </w:r>
      <w:proofErr w:type="spellEnd"/>
      <w:r>
        <w:rPr>
          <w:rFonts w:ascii="Cambria" w:hAnsi="Cambria"/>
          <w:color w:val="000000"/>
          <w:sz w:val="20"/>
        </w:rPr>
        <w:t xml:space="preserve"> </w:t>
      </w:r>
      <w:proofErr w:type="spellStart"/>
      <w:r>
        <w:rPr>
          <w:rFonts w:ascii="Cambria" w:hAnsi="Cambria"/>
          <w:color w:val="000000"/>
          <w:sz w:val="20"/>
        </w:rPr>
        <w:t>Vigente</w:t>
      </w:r>
      <w:proofErr w:type="spellEnd"/>
      <w:r>
        <w:rPr>
          <w:rFonts w:ascii="Cambria" w:hAnsi="Cambria"/>
          <w:color w:val="000000"/>
          <w:sz w:val="20"/>
        </w:rPr>
        <w:t xml:space="preserve"> Corporation, the Joel Sierra Human Rights Foundation and ASOJER, it was indicated that it would be held between May 19 and 23, 2025.</w:t>
      </w:r>
    </w:p>
    <w:p w14:paraId="408C495F" w14:textId="77777777" w:rsidR="00D30FBC" w:rsidRPr="007F1EB5" w:rsidRDefault="00D30FBC" w:rsidP="00D30FB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720"/>
        <w:jc w:val="both"/>
        <w:rPr>
          <w:rFonts w:ascii="Cambria" w:eastAsia="MS Mincho" w:hAnsi="Cambria" w:cstheme="minorBidi"/>
          <w:color w:val="000000" w:themeColor="text1"/>
          <w:sz w:val="20"/>
          <w:szCs w:val="20"/>
        </w:rPr>
      </w:pPr>
    </w:p>
    <w:p w14:paraId="60E7908F" w14:textId="7300F2B6" w:rsidR="00D30FBC" w:rsidRPr="00586EB5" w:rsidRDefault="00D30FBC" w:rsidP="00F328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20"/>
        <w:jc w:val="both"/>
        <w:rPr>
          <w:rFonts w:ascii="Cambria" w:eastAsia="MS Mincho" w:hAnsi="Cambria" w:cstheme="minorBidi"/>
          <w:color w:val="000000" w:themeColor="text1"/>
          <w:sz w:val="20"/>
          <w:szCs w:val="20"/>
        </w:rPr>
      </w:pPr>
      <w:r>
        <w:rPr>
          <w:rFonts w:ascii="Cambria" w:hAnsi="Cambria"/>
          <w:sz w:val="20"/>
        </w:rPr>
        <w:t xml:space="preserve">On the implementation of a participatory workshop with </w:t>
      </w:r>
      <w:r>
        <w:rPr>
          <w:rFonts w:asciiTheme="majorHAnsi" w:hAnsiTheme="majorHAnsi"/>
          <w:sz w:val="20"/>
        </w:rPr>
        <w:t xml:space="preserve">children and young people </w:t>
      </w:r>
      <w:r w:rsidR="005D412E">
        <w:rPr>
          <w:rFonts w:asciiTheme="majorHAnsi" w:hAnsiTheme="majorHAnsi"/>
          <w:sz w:val="20"/>
        </w:rPr>
        <w:t xml:space="preserve">to identify </w:t>
      </w:r>
      <w:r w:rsidRPr="00E75013">
        <w:rPr>
          <w:rStyle w:val="Strong"/>
          <w:rFonts w:ascii="Cambria" w:hAnsi="Cambria"/>
          <w:b w:val="0"/>
          <w:bCs w:val="0"/>
          <w:color w:val="000000"/>
          <w:sz w:val="20"/>
        </w:rPr>
        <w:t>inputs and elements to be included in the new public policy instrument</w:t>
      </w:r>
      <w:r w:rsidRPr="00ED4552">
        <w:rPr>
          <w:rFonts w:ascii="Cambria" w:hAnsi="Cambria"/>
          <w:b/>
          <w:sz w:val="20"/>
        </w:rPr>
        <w:t>,</w:t>
      </w:r>
      <w:r>
        <w:rPr>
          <w:rFonts w:ascii="Cambria" w:hAnsi="Cambria"/>
          <w:sz w:val="20"/>
        </w:rPr>
        <w:t xml:space="preserve"> five meetings were scheduled for different population groups: four in educational institutions (two rural and two urban) and one with young people involved in organizational procedures, in order to gather perceptions and proposals to strengthen policies for the protection of rights. Regarding those meetings, the parties had agreed to hold them between the fourth week of February 2025 and the first week of March 2025.</w:t>
      </w:r>
      <w:r>
        <w:rPr>
          <w:rFonts w:ascii="Cambria" w:hAnsi="Cambria"/>
          <w:color w:val="000000" w:themeColor="text1"/>
          <w:sz w:val="20"/>
        </w:rPr>
        <w:t xml:space="preserve"> In this regard, </w:t>
      </w:r>
      <w:r>
        <w:rPr>
          <w:rFonts w:ascii="Cambria" w:hAnsi="Cambria"/>
          <w:sz w:val="20"/>
        </w:rPr>
        <w:t xml:space="preserve">the Commission notes that the parties had proposed dissemination activities with authorities in February 2025 and a technical roundtable with the </w:t>
      </w:r>
      <w:r>
        <w:rPr>
          <w:rFonts w:ascii="Cambria" w:hAnsi="Cambria"/>
          <w:sz w:val="20"/>
          <w:bdr w:val="none" w:sz="0" w:space="0" w:color="auto"/>
        </w:rPr>
        <w:t>UARIV and the</w:t>
      </w:r>
      <w:r>
        <w:rPr>
          <w:rFonts w:ascii="Cambria" w:hAnsi="Cambria"/>
          <w:sz w:val="20"/>
        </w:rPr>
        <w:t xml:space="preserve"> </w:t>
      </w:r>
      <w:r w:rsidR="00151A63">
        <w:rPr>
          <w:rFonts w:ascii="Cambria" w:hAnsi="Cambria"/>
          <w:sz w:val="20"/>
        </w:rPr>
        <w:t xml:space="preserve">Center for </w:t>
      </w:r>
      <w:r>
        <w:rPr>
          <w:rFonts w:ascii="Cambria" w:hAnsi="Cambria"/>
          <w:sz w:val="20"/>
          <w:bdr w:val="none" w:sz="0" w:space="0" w:color="auto"/>
        </w:rPr>
        <w:t>Memory</w:t>
      </w:r>
      <w:r w:rsidR="00151A63">
        <w:rPr>
          <w:rFonts w:ascii="Cambria" w:hAnsi="Cambria"/>
          <w:sz w:val="20"/>
        </w:rPr>
        <w:t xml:space="preserve"> </w:t>
      </w:r>
      <w:r>
        <w:rPr>
          <w:rFonts w:ascii="Cambria" w:hAnsi="Cambria"/>
          <w:sz w:val="20"/>
          <w:bdr w:val="none" w:sz="0" w:space="0" w:color="auto"/>
        </w:rPr>
        <w:t>for the</w:t>
      </w:r>
      <w:r>
        <w:rPr>
          <w:rFonts w:ascii="Cambria" w:hAnsi="Cambria"/>
          <w:sz w:val="20"/>
        </w:rPr>
        <w:t xml:space="preserve"> </w:t>
      </w:r>
      <w:r>
        <w:rPr>
          <w:rFonts w:ascii="Cambria" w:hAnsi="Cambria"/>
          <w:sz w:val="20"/>
          <w:bdr w:val="none" w:sz="0" w:space="0" w:color="auto"/>
        </w:rPr>
        <w:t>definition of</w:t>
      </w:r>
      <w:r>
        <w:rPr>
          <w:rFonts w:ascii="Cambria" w:hAnsi="Cambria"/>
          <w:sz w:val="20"/>
        </w:rPr>
        <w:t xml:space="preserve"> </w:t>
      </w:r>
      <w:r>
        <w:rPr>
          <w:rFonts w:ascii="Cambria" w:hAnsi="Cambria"/>
          <w:sz w:val="20"/>
          <w:bdr w:val="none" w:sz="0" w:space="0" w:color="auto"/>
        </w:rPr>
        <w:t>risk dynamics,</w:t>
      </w:r>
      <w:r>
        <w:rPr>
          <w:rFonts w:ascii="Cambria" w:hAnsi="Cambria"/>
          <w:sz w:val="20"/>
        </w:rPr>
        <w:t xml:space="preserve"> focusing on </w:t>
      </w:r>
      <w:r>
        <w:rPr>
          <w:rFonts w:ascii="Cambria" w:hAnsi="Cambria"/>
          <w:sz w:val="20"/>
          <w:bdr w:val="none" w:sz="0" w:space="0" w:color="auto"/>
        </w:rPr>
        <w:t>the stigmatization</w:t>
      </w:r>
      <w:r>
        <w:rPr>
          <w:rFonts w:ascii="Cambria" w:hAnsi="Cambria"/>
          <w:sz w:val="20"/>
        </w:rPr>
        <w:t xml:space="preserve"> </w:t>
      </w:r>
      <w:r>
        <w:rPr>
          <w:rFonts w:ascii="Cambria" w:hAnsi="Cambria"/>
          <w:sz w:val="20"/>
          <w:bdr w:val="none" w:sz="0" w:space="0" w:color="auto"/>
        </w:rPr>
        <w:t xml:space="preserve">of </w:t>
      </w:r>
      <w:r>
        <w:rPr>
          <w:rFonts w:asciiTheme="majorHAnsi" w:hAnsiTheme="majorHAnsi"/>
          <w:sz w:val="20"/>
        </w:rPr>
        <w:t>children and young people</w:t>
      </w:r>
      <w:r>
        <w:rPr>
          <w:rFonts w:ascii="Cambria" w:hAnsi="Cambria"/>
          <w:sz w:val="20"/>
          <w:bdr w:val="none" w:sz="0" w:space="0" w:color="auto"/>
        </w:rPr>
        <w:t xml:space="preserve"> </w:t>
      </w:r>
      <w:r>
        <w:rPr>
          <w:rFonts w:ascii="Cambria" w:hAnsi="Cambria"/>
          <w:color w:val="000000"/>
          <w:sz w:val="20"/>
        </w:rPr>
        <w:t>between March and April 2025.</w:t>
      </w:r>
      <w:r>
        <w:rPr>
          <w:rFonts w:ascii="Cambria" w:hAnsi="Cambria"/>
          <w:sz w:val="20"/>
        </w:rPr>
        <w:t xml:space="preserve"> Internal dissemination </w:t>
      </w:r>
      <w:r>
        <w:rPr>
          <w:rFonts w:ascii="Cambria" w:hAnsi="Cambria"/>
          <w:color w:val="000000"/>
          <w:sz w:val="20"/>
          <w:bdr w:val="none" w:sz="0" w:space="0" w:color="auto"/>
        </w:rPr>
        <w:t>of the</w:t>
      </w:r>
      <w:r>
        <w:rPr>
          <w:rFonts w:ascii="Cambria" w:hAnsi="Cambria"/>
          <w:sz w:val="20"/>
        </w:rPr>
        <w:t xml:space="preserve"> arrangements for holding </w:t>
      </w:r>
      <w:r>
        <w:rPr>
          <w:rFonts w:ascii="Cambria" w:hAnsi="Cambria"/>
          <w:color w:val="000000"/>
          <w:sz w:val="20"/>
          <w:bdr w:val="none" w:sz="0" w:space="0" w:color="auto"/>
        </w:rPr>
        <w:t>comparative</w:t>
      </w:r>
      <w:r>
        <w:rPr>
          <w:rFonts w:ascii="Cambria" w:hAnsi="Cambria"/>
          <w:sz w:val="20"/>
        </w:rPr>
        <w:t xml:space="preserve"> </w:t>
      </w:r>
      <w:r>
        <w:rPr>
          <w:rFonts w:ascii="Cambria" w:hAnsi="Cambria"/>
          <w:color w:val="000000"/>
          <w:sz w:val="20"/>
          <w:bdr w:val="none" w:sz="0" w:space="0" w:color="auto"/>
        </w:rPr>
        <w:t>workshops</w:t>
      </w:r>
      <w:r>
        <w:rPr>
          <w:rFonts w:ascii="Cambria" w:hAnsi="Cambria"/>
          <w:sz w:val="20"/>
        </w:rPr>
        <w:t xml:space="preserve"> </w:t>
      </w:r>
      <w:r>
        <w:rPr>
          <w:rFonts w:ascii="Cambria" w:hAnsi="Cambria"/>
          <w:color w:val="000000"/>
          <w:sz w:val="20"/>
        </w:rPr>
        <w:t xml:space="preserve">was also proposed </w:t>
      </w:r>
      <w:r>
        <w:rPr>
          <w:rFonts w:ascii="Cambria" w:hAnsi="Cambria"/>
          <w:sz w:val="20"/>
        </w:rPr>
        <w:t>for the last week of March 2025.</w:t>
      </w:r>
    </w:p>
    <w:p w14:paraId="2EA1AFFE" w14:textId="77777777" w:rsidR="00D30FBC" w:rsidRPr="007F1EB5" w:rsidRDefault="00D30FBC" w:rsidP="00D30FBC">
      <w:pPr>
        <w:pStyle w:val="ListParagraph"/>
        <w:ind w:left="0" w:firstLine="720"/>
        <w:rPr>
          <w:rFonts w:eastAsia="MS Mincho" w:cstheme="minorBidi"/>
          <w:color w:val="000000" w:themeColor="text1"/>
          <w:sz w:val="20"/>
          <w:szCs w:val="20"/>
        </w:rPr>
      </w:pPr>
    </w:p>
    <w:p w14:paraId="0BE96849" w14:textId="2F996706" w:rsidR="00D30FBC" w:rsidRPr="00FC6514" w:rsidRDefault="00D30FBC" w:rsidP="00F328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20"/>
        <w:jc w:val="both"/>
        <w:rPr>
          <w:rFonts w:asciiTheme="majorHAnsi" w:eastAsia="MS Mincho" w:hAnsiTheme="majorHAnsi" w:cstheme="minorBidi"/>
          <w:color w:val="000000" w:themeColor="text1"/>
          <w:sz w:val="20"/>
          <w:szCs w:val="20"/>
        </w:rPr>
      </w:pPr>
      <w:r>
        <w:rPr>
          <w:rFonts w:asciiTheme="majorHAnsi" w:hAnsiTheme="majorHAnsi"/>
          <w:sz w:val="20"/>
        </w:rPr>
        <w:t xml:space="preserve">In addition, it was reported that the training </w:t>
      </w:r>
      <w:r w:rsidR="00C74797">
        <w:rPr>
          <w:rFonts w:asciiTheme="majorHAnsi" w:hAnsiTheme="majorHAnsi"/>
          <w:sz w:val="20"/>
        </w:rPr>
        <w:t xml:space="preserve">for </w:t>
      </w:r>
      <w:r>
        <w:rPr>
          <w:rFonts w:asciiTheme="majorHAnsi" w:hAnsiTheme="majorHAnsi"/>
          <w:sz w:val="20"/>
        </w:rPr>
        <w:t xml:space="preserve">law enforcement </w:t>
      </w:r>
      <w:r w:rsidR="00C74797">
        <w:rPr>
          <w:rFonts w:asciiTheme="majorHAnsi" w:hAnsiTheme="majorHAnsi"/>
          <w:sz w:val="20"/>
        </w:rPr>
        <w:t>agencies o</w:t>
      </w:r>
      <w:r>
        <w:rPr>
          <w:rFonts w:asciiTheme="majorHAnsi" w:hAnsiTheme="majorHAnsi"/>
          <w:sz w:val="20"/>
        </w:rPr>
        <w:t xml:space="preserve">n </w:t>
      </w:r>
      <w:r w:rsidR="00C74797">
        <w:rPr>
          <w:rFonts w:asciiTheme="majorHAnsi" w:hAnsiTheme="majorHAnsi"/>
          <w:sz w:val="20"/>
        </w:rPr>
        <w:t xml:space="preserve">a </w:t>
      </w:r>
      <w:r>
        <w:rPr>
          <w:rFonts w:asciiTheme="majorHAnsi" w:hAnsiTheme="majorHAnsi"/>
          <w:sz w:val="20"/>
        </w:rPr>
        <w:t>differential approach to</w:t>
      </w:r>
      <w:r>
        <w:rPr>
          <w:rFonts w:asciiTheme="majorHAnsi" w:hAnsiTheme="majorHAnsi"/>
          <w:color w:val="000000"/>
          <w:sz w:val="20"/>
          <w:bdr w:val="none" w:sz="0" w:space="0" w:color="auto"/>
        </w:rPr>
        <w:t xml:space="preserve"> children and</w:t>
      </w:r>
      <w:r>
        <w:rPr>
          <w:rFonts w:asciiTheme="majorHAnsi" w:hAnsiTheme="majorHAnsi"/>
          <w:color w:val="000000" w:themeColor="text1"/>
          <w:sz w:val="20"/>
        </w:rPr>
        <w:t xml:space="preserve"> </w:t>
      </w:r>
      <w:r>
        <w:rPr>
          <w:rFonts w:asciiTheme="majorHAnsi" w:hAnsiTheme="majorHAnsi"/>
          <w:color w:val="000000"/>
          <w:sz w:val="20"/>
          <w:bdr w:val="none" w:sz="0" w:space="0" w:color="auto"/>
        </w:rPr>
        <w:t>stigmatization of children, adolescents, and</w:t>
      </w:r>
      <w:r>
        <w:rPr>
          <w:rFonts w:asciiTheme="majorHAnsi" w:hAnsiTheme="majorHAnsi"/>
          <w:color w:val="000000" w:themeColor="text1"/>
          <w:sz w:val="20"/>
        </w:rPr>
        <w:t xml:space="preserve"> </w:t>
      </w:r>
      <w:r>
        <w:rPr>
          <w:rFonts w:asciiTheme="majorHAnsi" w:hAnsiTheme="majorHAnsi"/>
          <w:color w:val="000000"/>
          <w:sz w:val="20"/>
          <w:bdr w:val="none" w:sz="0" w:space="0" w:color="auto"/>
        </w:rPr>
        <w:t>youths,</w:t>
      </w:r>
      <w:r w:rsidR="00C74797">
        <w:rPr>
          <w:rFonts w:asciiTheme="majorHAnsi" w:hAnsiTheme="majorHAnsi"/>
          <w:color w:val="000000"/>
          <w:sz w:val="20"/>
          <w:bdr w:val="none" w:sz="0" w:space="0" w:color="auto"/>
        </w:rPr>
        <w:t xml:space="preserve"> led by the</w:t>
      </w:r>
      <w:r>
        <w:rPr>
          <w:rFonts w:asciiTheme="majorHAnsi" w:hAnsiTheme="majorHAnsi"/>
          <w:color w:val="000000"/>
          <w:sz w:val="20"/>
          <w:bdr w:val="none" w:sz="0" w:space="0" w:color="auto"/>
        </w:rPr>
        <w:t xml:space="preserve"> </w:t>
      </w:r>
      <w:r w:rsidR="00EF693F">
        <w:rPr>
          <w:rFonts w:asciiTheme="majorHAnsi" w:hAnsiTheme="majorHAnsi"/>
          <w:color w:val="000000"/>
          <w:sz w:val="20"/>
          <w:bdr w:val="none" w:sz="0" w:space="0" w:color="auto"/>
        </w:rPr>
        <w:t>Council</w:t>
      </w:r>
      <w:r w:rsidR="003105C7">
        <w:rPr>
          <w:rFonts w:asciiTheme="majorHAnsi" w:hAnsiTheme="majorHAnsi"/>
          <w:color w:val="000000"/>
          <w:sz w:val="20"/>
          <w:bdr w:val="none" w:sz="0" w:space="0" w:color="auto"/>
        </w:rPr>
        <w:t xml:space="preserve"> in coordination with </w:t>
      </w:r>
      <w:r>
        <w:rPr>
          <w:rFonts w:asciiTheme="majorHAnsi" w:hAnsiTheme="majorHAnsi"/>
          <w:color w:val="000000"/>
          <w:sz w:val="20"/>
          <w:bdr w:val="none" w:sz="0" w:space="0" w:color="auto"/>
        </w:rPr>
        <w:t>Ministry of</w:t>
      </w:r>
      <w:r>
        <w:rPr>
          <w:rFonts w:asciiTheme="majorHAnsi" w:hAnsiTheme="majorHAnsi"/>
          <w:sz w:val="20"/>
        </w:rPr>
        <w:t xml:space="preserve"> </w:t>
      </w:r>
      <w:r>
        <w:rPr>
          <w:rFonts w:asciiTheme="majorHAnsi" w:hAnsiTheme="majorHAnsi"/>
          <w:color w:val="000000"/>
          <w:sz w:val="20"/>
          <w:bdr w:val="none" w:sz="0" w:space="0" w:color="auto"/>
        </w:rPr>
        <w:t>Defense</w:t>
      </w:r>
      <w:r>
        <w:rPr>
          <w:rFonts w:asciiTheme="majorHAnsi" w:hAnsiTheme="majorHAnsi"/>
          <w:sz w:val="20"/>
        </w:rPr>
        <w:t xml:space="preserve"> </w:t>
      </w:r>
      <w:r w:rsidR="003105C7">
        <w:rPr>
          <w:rFonts w:asciiTheme="majorHAnsi" w:hAnsiTheme="majorHAnsi"/>
          <w:sz w:val="20"/>
        </w:rPr>
        <w:t xml:space="preserve">and </w:t>
      </w:r>
      <w:r>
        <w:rPr>
          <w:rFonts w:asciiTheme="majorHAnsi" w:hAnsiTheme="majorHAnsi"/>
          <w:color w:val="000000"/>
          <w:sz w:val="20"/>
          <w:bdr w:val="none" w:sz="0" w:space="0" w:color="auto"/>
        </w:rPr>
        <w:t>with the</w:t>
      </w:r>
      <w:r>
        <w:rPr>
          <w:rFonts w:asciiTheme="majorHAnsi" w:hAnsiTheme="majorHAnsi"/>
          <w:sz w:val="20"/>
        </w:rPr>
        <w:t xml:space="preserve"> </w:t>
      </w:r>
      <w:r>
        <w:rPr>
          <w:rFonts w:asciiTheme="majorHAnsi" w:hAnsiTheme="majorHAnsi"/>
          <w:color w:val="000000"/>
          <w:sz w:val="20"/>
          <w:bdr w:val="none" w:sz="0" w:space="0" w:color="auto"/>
        </w:rPr>
        <w:t>support</w:t>
      </w:r>
      <w:r>
        <w:rPr>
          <w:rFonts w:asciiTheme="majorHAnsi" w:hAnsiTheme="majorHAnsi"/>
          <w:sz w:val="20"/>
        </w:rPr>
        <w:t xml:space="preserve"> </w:t>
      </w:r>
      <w:r>
        <w:rPr>
          <w:rFonts w:asciiTheme="majorHAnsi" w:hAnsiTheme="majorHAnsi"/>
          <w:color w:val="000000"/>
          <w:sz w:val="20"/>
          <w:bdr w:val="none" w:sz="0" w:space="0" w:color="auto"/>
        </w:rPr>
        <w:t>of</w:t>
      </w:r>
      <w:r>
        <w:rPr>
          <w:rFonts w:asciiTheme="majorHAnsi" w:hAnsiTheme="majorHAnsi"/>
          <w:sz w:val="20"/>
        </w:rPr>
        <w:t xml:space="preserve"> </w:t>
      </w:r>
      <w:r>
        <w:rPr>
          <w:rFonts w:asciiTheme="majorHAnsi" w:hAnsiTheme="majorHAnsi"/>
          <w:color w:val="000000"/>
          <w:sz w:val="20"/>
          <w:bdr w:val="none" w:sz="0" w:space="0" w:color="auto"/>
        </w:rPr>
        <w:t>the ANDJE</w:t>
      </w:r>
      <w:r>
        <w:rPr>
          <w:rFonts w:asciiTheme="majorHAnsi" w:hAnsiTheme="majorHAnsi"/>
          <w:sz w:val="20"/>
        </w:rPr>
        <w:t>, is scheduled for December 4, 2025.</w:t>
      </w:r>
      <w:r>
        <w:rPr>
          <w:rFonts w:asciiTheme="majorHAnsi" w:hAnsiTheme="majorHAnsi"/>
          <w:color w:val="000000" w:themeColor="text1"/>
          <w:sz w:val="20"/>
        </w:rPr>
        <w:t xml:space="preserve"> </w:t>
      </w:r>
      <w:proofErr w:type="gramStart"/>
      <w:r>
        <w:rPr>
          <w:rFonts w:ascii="Cambria" w:hAnsi="Cambria"/>
          <w:color w:val="000000" w:themeColor="text1"/>
          <w:sz w:val="20"/>
        </w:rPr>
        <w:t>In light of</w:t>
      </w:r>
      <w:proofErr w:type="gramEnd"/>
      <w:r>
        <w:rPr>
          <w:rFonts w:ascii="Cambria" w:hAnsi="Cambria"/>
          <w:color w:val="000000" w:themeColor="text1"/>
          <w:sz w:val="20"/>
        </w:rPr>
        <w:t xml:space="preserve"> the above, the Commission considers</w:t>
      </w:r>
      <w:r w:rsidR="0020656D">
        <w:rPr>
          <w:rFonts w:ascii="Cambria" w:hAnsi="Cambria"/>
          <w:color w:val="000000" w:themeColor="text1"/>
          <w:sz w:val="20"/>
        </w:rPr>
        <w:t>, and hereby declares,</w:t>
      </w:r>
      <w:r>
        <w:rPr>
          <w:rFonts w:ascii="Cambria" w:hAnsi="Cambria"/>
          <w:color w:val="000000" w:themeColor="text1"/>
          <w:sz w:val="20"/>
        </w:rPr>
        <w:t xml:space="preserve"> that subparagraph a) of the third paragraph of clause </w:t>
      </w:r>
      <w:r w:rsidR="009B2F68">
        <w:rPr>
          <w:rFonts w:ascii="Cambria" w:hAnsi="Cambria"/>
          <w:color w:val="000000" w:themeColor="text1"/>
          <w:sz w:val="20"/>
        </w:rPr>
        <w:t xml:space="preserve">nine </w:t>
      </w:r>
      <w:r>
        <w:rPr>
          <w:rFonts w:ascii="Cambria" w:hAnsi="Cambria"/>
          <w:color w:val="000000" w:themeColor="text1"/>
          <w:sz w:val="20"/>
        </w:rPr>
        <w:t xml:space="preserve">has been </w:t>
      </w:r>
      <w:r w:rsidR="0020656D">
        <w:rPr>
          <w:rFonts w:ascii="Cambria" w:hAnsi="Cambria"/>
          <w:color w:val="000000" w:themeColor="text1"/>
          <w:sz w:val="20"/>
        </w:rPr>
        <w:t xml:space="preserve">met with total compliance </w:t>
      </w:r>
      <w:r>
        <w:rPr>
          <w:rFonts w:ascii="Cambria" w:hAnsi="Cambria"/>
          <w:color w:val="000000" w:themeColor="text1"/>
          <w:sz w:val="20"/>
        </w:rPr>
        <w:t xml:space="preserve">and, accordingly, declares that </w:t>
      </w:r>
      <w:r w:rsidR="00AF250A">
        <w:rPr>
          <w:rFonts w:ascii="Cambria" w:hAnsi="Cambria"/>
          <w:color w:val="000000" w:themeColor="text1"/>
          <w:sz w:val="20"/>
        </w:rPr>
        <w:t xml:space="preserve">clause nine has been met with </w:t>
      </w:r>
      <w:r>
        <w:rPr>
          <w:rFonts w:ascii="Cambria" w:hAnsi="Cambria"/>
          <w:color w:val="000000" w:themeColor="text1"/>
          <w:sz w:val="20"/>
        </w:rPr>
        <w:t>partial compliance. In this regard, the Commission urges the parties to continue working together in the design and</w:t>
      </w:r>
      <w:r w:rsidR="00116F97">
        <w:rPr>
          <w:rFonts w:ascii="Cambria" w:hAnsi="Cambria"/>
          <w:color w:val="000000" w:themeColor="text1"/>
          <w:sz w:val="20"/>
        </w:rPr>
        <w:t xml:space="preserve"> implementation</w:t>
      </w:r>
      <w:r>
        <w:rPr>
          <w:rFonts w:ascii="Cambria" w:hAnsi="Cambria"/>
          <w:color w:val="000000" w:themeColor="text1"/>
          <w:sz w:val="20"/>
        </w:rPr>
        <w:t xml:space="preserve"> of ways to achieve </w:t>
      </w:r>
      <w:r w:rsidR="00116F97">
        <w:rPr>
          <w:rFonts w:ascii="Cambria" w:hAnsi="Cambria"/>
          <w:color w:val="000000" w:themeColor="text1"/>
          <w:sz w:val="20"/>
        </w:rPr>
        <w:t xml:space="preserve">total </w:t>
      </w:r>
      <w:r>
        <w:rPr>
          <w:rFonts w:ascii="Cambria" w:hAnsi="Cambria"/>
          <w:color w:val="000000" w:themeColor="text1"/>
          <w:sz w:val="20"/>
        </w:rPr>
        <w:t>compliance with the measure.</w:t>
      </w:r>
    </w:p>
    <w:p w14:paraId="1452772A" w14:textId="77777777" w:rsidR="00D30FBC" w:rsidRPr="007F1EB5" w:rsidRDefault="00D30FBC" w:rsidP="00D30FBC">
      <w:pPr>
        <w:pStyle w:val="ListParagraph"/>
        <w:ind w:left="0" w:firstLine="720"/>
        <w:rPr>
          <w:rFonts w:eastAsia="MS Mincho" w:cstheme="minorBidi"/>
          <w:color w:val="000000" w:themeColor="text1"/>
          <w:sz w:val="20"/>
          <w:szCs w:val="20"/>
        </w:rPr>
      </w:pPr>
    </w:p>
    <w:p w14:paraId="3AB2340A" w14:textId="71B8DF9E" w:rsidR="00D30FBC" w:rsidRPr="00D30FBC" w:rsidRDefault="00D30FBC" w:rsidP="00F32864">
      <w:pPr>
        <w:pStyle w:val="ListParagraph"/>
        <w:numPr>
          <w:ilvl w:val="0"/>
          <w:numId w:val="56"/>
        </w:numPr>
        <w:ind w:left="0" w:firstLine="720"/>
        <w:jc w:val="both"/>
        <w:rPr>
          <w:color w:val="000000" w:themeColor="text1"/>
          <w:sz w:val="20"/>
          <w:szCs w:val="20"/>
        </w:rPr>
      </w:pPr>
      <w:proofErr w:type="gramStart"/>
      <w:r>
        <w:rPr>
          <w:color w:val="000000" w:themeColor="text1"/>
          <w:sz w:val="20"/>
        </w:rPr>
        <w:t>With regard to</w:t>
      </w:r>
      <w:proofErr w:type="gramEnd"/>
      <w:r>
        <w:rPr>
          <w:color w:val="000000" w:themeColor="text1"/>
          <w:sz w:val="20"/>
        </w:rPr>
        <w:t xml:space="preserve"> </w:t>
      </w:r>
      <w:r w:rsidR="0025770E">
        <w:rPr>
          <w:color w:val="000000" w:themeColor="text1"/>
          <w:sz w:val="20"/>
        </w:rPr>
        <w:t xml:space="preserve">clause seven </w:t>
      </w:r>
      <w:r>
        <w:rPr>
          <w:color w:val="000000" w:themeColor="text1"/>
          <w:sz w:val="20"/>
        </w:rPr>
        <w:t xml:space="preserve">related to the measure of justice, the Commission takes note of the agreement between the parties and takes this opportunity to recall the State's duty to investigate the facts ex officio and diligently in the ordinary jurisdiction and, where applicable, to determine the corresponding criminal responsibilities within a reasonable time, in accordance with international standards. Furthermore, the Commission recalls that this obligation must be assumed by the State as its own legal duty, not as a mere formality preordained to be ineffective, or simply as a step taken by private interests based on the procedural initiative of the victim or his family or on their private offer of </w:t>
      </w:r>
      <w:r w:rsidR="004409BE">
        <w:rPr>
          <w:color w:val="000000" w:themeColor="text1"/>
          <w:sz w:val="20"/>
        </w:rPr>
        <w:t>evidence</w:t>
      </w:r>
      <w:r>
        <w:rPr>
          <w:color w:val="000000" w:themeColor="text1"/>
          <w:sz w:val="20"/>
        </w:rPr>
        <w:t>.</w:t>
      </w:r>
    </w:p>
    <w:p w14:paraId="61833CCC" w14:textId="77777777" w:rsidR="00D30FBC" w:rsidRPr="007F1EB5" w:rsidRDefault="00D30FBC" w:rsidP="00D30FBC">
      <w:pPr>
        <w:pStyle w:val="ListParagraph"/>
        <w:ind w:left="0" w:firstLine="720"/>
        <w:rPr>
          <w:sz w:val="20"/>
          <w:szCs w:val="20"/>
          <w:bdr w:val="none" w:sz="0" w:space="0" w:color="auto"/>
        </w:rPr>
      </w:pPr>
    </w:p>
    <w:p w14:paraId="02C03DCC" w14:textId="0E6252FA" w:rsidR="00D30FBC" w:rsidRPr="00BC5D1B" w:rsidRDefault="00D30FBC" w:rsidP="00F3286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20"/>
        <w:jc w:val="both"/>
        <w:rPr>
          <w:rFonts w:ascii="Cambria" w:eastAsia="MS Mincho" w:hAnsi="Cambria" w:cstheme="minorBidi"/>
          <w:color w:val="000000" w:themeColor="text1"/>
          <w:sz w:val="20"/>
          <w:szCs w:val="20"/>
        </w:rPr>
      </w:pPr>
      <w:r>
        <w:rPr>
          <w:rFonts w:ascii="Cambria" w:hAnsi="Cambria"/>
          <w:sz w:val="20"/>
        </w:rPr>
        <w:t xml:space="preserve">Finally, in relation to clause seven (measures of justice) and clauses eight (health measure), ten (financial compensation) and eleven (publication of the Article 29 </w:t>
      </w:r>
      <w:r w:rsidR="00987DAE">
        <w:rPr>
          <w:rFonts w:ascii="Cambria" w:hAnsi="Cambria"/>
          <w:sz w:val="20"/>
        </w:rPr>
        <w:t>R</w:t>
      </w:r>
      <w:r>
        <w:rPr>
          <w:rFonts w:ascii="Cambria" w:hAnsi="Cambria"/>
          <w:sz w:val="20"/>
        </w:rPr>
        <w:t xml:space="preserve">eport) of the friendly settlement agreement, and bearing in mind the joint request of the parties to proceed with the approval of the agreement prior to its implementation, the Commission observes that those measures must be complied with after the publication of this report. Therefore, it considers, and hereby declares, that compliance with them is still pending. Therefore, the Commission will await </w:t>
      </w:r>
      <w:r>
        <w:rPr>
          <w:rFonts w:ascii="Cambria" w:hAnsi="Cambria"/>
          <w:color w:val="000000"/>
          <w:sz w:val="20"/>
          <w:bdr w:val="none" w:sz="0" w:space="0" w:color="auto"/>
        </w:rPr>
        <w:t xml:space="preserve">updated information from the parties with respect to their execution </w:t>
      </w:r>
      <w:proofErr w:type="gramStart"/>
      <w:r>
        <w:rPr>
          <w:rFonts w:ascii="Cambria" w:hAnsi="Cambria"/>
          <w:color w:val="000000"/>
          <w:sz w:val="20"/>
          <w:bdr w:val="none" w:sz="0" w:space="0" w:color="auto"/>
        </w:rPr>
        <w:t>subsequent to</w:t>
      </w:r>
      <w:proofErr w:type="gramEnd"/>
      <w:r>
        <w:rPr>
          <w:rFonts w:ascii="Cambria" w:hAnsi="Cambria"/>
          <w:color w:val="000000"/>
          <w:sz w:val="20"/>
          <w:bdr w:val="none" w:sz="0" w:space="0" w:color="auto"/>
        </w:rPr>
        <w:t xml:space="preserve"> the approval of this report.</w:t>
      </w:r>
    </w:p>
    <w:p w14:paraId="240F6CDD" w14:textId="77777777" w:rsidR="00D30FBC" w:rsidRPr="007F1EB5" w:rsidRDefault="00D30FBC" w:rsidP="00D30FBC">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0"/>
          <w:szCs w:val="20"/>
          <w:highlight w:val="yellow"/>
          <w:bdr w:val="none" w:sz="0" w:space="0" w:color="auto"/>
          <w:lang w:eastAsia="es-MX"/>
        </w:rPr>
      </w:pPr>
    </w:p>
    <w:p w14:paraId="7ED02523" w14:textId="49FD24B5" w:rsidR="00D30FBC" w:rsidRPr="00E75013" w:rsidRDefault="00D30FBC" w:rsidP="00F3286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sz w:val="20"/>
          <w:szCs w:val="20"/>
          <w:bdr w:val="none" w:sz="0" w:space="0" w:color="auto"/>
        </w:rPr>
      </w:pPr>
      <w:proofErr w:type="gramStart"/>
      <w:r>
        <w:rPr>
          <w:sz w:val="20"/>
          <w:bdr w:val="none" w:sz="0" w:space="0" w:color="auto"/>
        </w:rPr>
        <w:t>In light of</w:t>
      </w:r>
      <w:proofErr w:type="gramEnd"/>
      <w:r>
        <w:rPr>
          <w:sz w:val="20"/>
          <w:bdr w:val="none" w:sz="0" w:space="0" w:color="auto"/>
        </w:rPr>
        <w:t xml:space="preserve"> the above, the Commission notes, and hereby declares, that </w:t>
      </w:r>
      <w:r w:rsidR="00797619">
        <w:rPr>
          <w:sz w:val="20"/>
          <w:bdr w:val="none" w:sz="0" w:space="0" w:color="auto"/>
        </w:rPr>
        <w:t xml:space="preserve">total </w:t>
      </w:r>
      <w:r>
        <w:rPr>
          <w:sz w:val="20"/>
          <w:bdr w:val="none" w:sz="0" w:space="0" w:color="auto"/>
        </w:rPr>
        <w:t xml:space="preserve">compliance has been achieved with respect to subparagraph a) of the third paragraph of clause </w:t>
      </w:r>
      <w:r w:rsidR="00797619">
        <w:rPr>
          <w:sz w:val="20"/>
          <w:bdr w:val="none" w:sz="0" w:space="0" w:color="auto"/>
        </w:rPr>
        <w:t xml:space="preserve">nine </w:t>
      </w:r>
      <w:r>
        <w:rPr>
          <w:sz w:val="20"/>
          <w:bdr w:val="none" w:sz="0" w:space="0" w:color="auto"/>
        </w:rPr>
        <w:t xml:space="preserve">(mapping) and that partial compliance has been achieved regarding </w:t>
      </w:r>
      <w:r w:rsidR="00DF6955">
        <w:rPr>
          <w:sz w:val="20"/>
          <w:bdr w:val="none" w:sz="0" w:space="0" w:color="auto"/>
        </w:rPr>
        <w:t xml:space="preserve">clause nine </w:t>
      </w:r>
      <w:r>
        <w:rPr>
          <w:sz w:val="20"/>
          <w:bdr w:val="none" w:sz="0" w:space="0" w:color="auto"/>
        </w:rPr>
        <w:t>(</w:t>
      </w:r>
      <w:r w:rsidR="00DF6955">
        <w:rPr>
          <w:sz w:val="20"/>
          <w:bdr w:val="none" w:sz="0" w:space="0" w:color="auto"/>
        </w:rPr>
        <w:t xml:space="preserve">guarantees of </w:t>
      </w:r>
      <w:r>
        <w:rPr>
          <w:sz w:val="20"/>
          <w:bdr w:val="none" w:sz="0" w:space="0" w:color="auto"/>
        </w:rPr>
        <w:t xml:space="preserve">non-repetition). At the same time, the Commission considers, and hereby declares, that </w:t>
      </w:r>
      <w:r>
        <w:rPr>
          <w:sz w:val="20"/>
        </w:rPr>
        <w:t xml:space="preserve">compliance is still pending with respect to </w:t>
      </w:r>
      <w:r>
        <w:rPr>
          <w:color w:val="000000" w:themeColor="text1"/>
          <w:sz w:val="20"/>
        </w:rPr>
        <w:t xml:space="preserve">paragraphs I (act of acknowledgment of responsibility and request for forgiveness) and II (commemorative plaque) of </w:t>
      </w:r>
      <w:r w:rsidR="00C64A12">
        <w:rPr>
          <w:color w:val="000000" w:themeColor="text1"/>
          <w:sz w:val="20"/>
        </w:rPr>
        <w:t xml:space="preserve">clause </w:t>
      </w:r>
      <w:r>
        <w:rPr>
          <w:color w:val="000000" w:themeColor="text1"/>
          <w:sz w:val="20"/>
        </w:rPr>
        <w:t xml:space="preserve">six(measures of satisfaction), as well as </w:t>
      </w:r>
      <w:r w:rsidR="00C64A12">
        <w:rPr>
          <w:color w:val="000000" w:themeColor="text1"/>
          <w:sz w:val="20"/>
        </w:rPr>
        <w:t xml:space="preserve">clause seven </w:t>
      </w:r>
      <w:r>
        <w:rPr>
          <w:color w:val="000000" w:themeColor="text1"/>
          <w:sz w:val="20"/>
        </w:rPr>
        <w:t>(measures of justice), eight (health measures), ten (</w:t>
      </w:r>
      <w:r w:rsidR="00C64A12">
        <w:rPr>
          <w:color w:val="000000" w:themeColor="text1"/>
          <w:sz w:val="20"/>
        </w:rPr>
        <w:t xml:space="preserve">financial </w:t>
      </w:r>
      <w:r>
        <w:rPr>
          <w:color w:val="000000" w:themeColor="text1"/>
          <w:sz w:val="20"/>
        </w:rPr>
        <w:t>compensation) and eleven</w:t>
      </w:r>
      <w:r w:rsidR="00C64A12">
        <w:rPr>
          <w:color w:val="000000" w:themeColor="text1"/>
          <w:sz w:val="20"/>
        </w:rPr>
        <w:t xml:space="preserve"> </w:t>
      </w:r>
      <w:r>
        <w:rPr>
          <w:color w:val="000000" w:themeColor="text1"/>
          <w:sz w:val="20"/>
        </w:rPr>
        <w:t xml:space="preserve">(publication of the Article 49 Report) </w:t>
      </w:r>
      <w:r>
        <w:rPr>
          <w:sz w:val="20"/>
          <w:bdr w:val="none" w:sz="0" w:space="0" w:color="auto"/>
        </w:rPr>
        <w:t xml:space="preserve">of the friendly settlement </w:t>
      </w:r>
      <w:r w:rsidRPr="00E75013">
        <w:rPr>
          <w:sz w:val="20"/>
          <w:bdr w:val="none" w:sz="0" w:space="0" w:color="auto"/>
        </w:rPr>
        <w:t xml:space="preserve">agreement. </w:t>
      </w:r>
    </w:p>
    <w:p w14:paraId="122DB22B" w14:textId="77777777" w:rsidR="00D30FBC" w:rsidRPr="00E75013" w:rsidRDefault="00D30FBC" w:rsidP="00D30FBC">
      <w:pPr>
        <w:ind w:firstLine="720"/>
        <w:rPr>
          <w:rFonts w:eastAsia="Times New Roman"/>
          <w:sz w:val="20"/>
          <w:szCs w:val="20"/>
          <w:bdr w:val="none" w:sz="0" w:space="0" w:color="auto"/>
          <w:lang w:eastAsia="es-MX"/>
        </w:rPr>
      </w:pPr>
    </w:p>
    <w:p w14:paraId="7E18D83C" w14:textId="3DB26060" w:rsidR="00D30FBC" w:rsidRPr="00E75013" w:rsidRDefault="003C5070" w:rsidP="00F3286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Times New Roman" w:hAnsiTheme="majorHAnsi"/>
          <w:sz w:val="20"/>
          <w:szCs w:val="20"/>
          <w:bdr w:val="none" w:sz="0" w:space="0" w:color="auto"/>
        </w:rPr>
      </w:pPr>
      <w:r w:rsidRPr="00E75013">
        <w:rPr>
          <w:rFonts w:asciiTheme="majorHAnsi" w:hAnsiTheme="majorHAnsi"/>
          <w:sz w:val="20"/>
          <w:bdr w:val="none" w:sz="0" w:space="0" w:color="auto"/>
        </w:rPr>
        <w:t>Finally,</w:t>
      </w:r>
      <w:r w:rsidR="00D30FBC" w:rsidRPr="00E75013">
        <w:rPr>
          <w:rFonts w:asciiTheme="majorHAnsi" w:hAnsiTheme="majorHAnsi"/>
          <w:sz w:val="20"/>
          <w:bdr w:val="none" w:sz="0" w:space="0" w:color="auto"/>
        </w:rPr>
        <w:t xml:space="preserve"> the Commission reiterates that the rest of the content of the agreement is declarative and therefore not subject to its supervision. Consequently, the Commission considers that compliance with the agreement has been </w:t>
      </w:r>
      <w:r w:rsidR="00C64A12" w:rsidRPr="00E75013">
        <w:rPr>
          <w:rFonts w:asciiTheme="majorHAnsi" w:hAnsiTheme="majorHAnsi"/>
          <w:sz w:val="20"/>
          <w:bdr w:val="none" w:sz="0" w:space="0" w:color="auto"/>
        </w:rPr>
        <w:t>partial,</w:t>
      </w:r>
      <w:r w:rsidR="00D30FBC" w:rsidRPr="00E75013">
        <w:rPr>
          <w:rFonts w:asciiTheme="majorHAnsi" w:hAnsiTheme="majorHAnsi"/>
          <w:sz w:val="20"/>
          <w:bdr w:val="none" w:sz="0" w:space="0" w:color="auto"/>
        </w:rPr>
        <w:t xml:space="preserve"> and it will continue to monitor implementation of the </w:t>
      </w:r>
      <w:proofErr w:type="gramStart"/>
      <w:r w:rsidR="00D30FBC" w:rsidRPr="00E75013">
        <w:rPr>
          <w:rFonts w:asciiTheme="majorHAnsi" w:hAnsiTheme="majorHAnsi"/>
          <w:sz w:val="20"/>
          <w:bdr w:val="none" w:sz="0" w:space="0" w:color="auto"/>
        </w:rPr>
        <w:t>aforementioned clauses</w:t>
      </w:r>
      <w:proofErr w:type="gramEnd"/>
      <w:r w:rsidR="00D30FBC" w:rsidRPr="00E75013">
        <w:rPr>
          <w:rFonts w:asciiTheme="majorHAnsi" w:hAnsiTheme="majorHAnsi"/>
          <w:sz w:val="20"/>
          <w:bdr w:val="none" w:sz="0" w:space="0" w:color="auto"/>
        </w:rPr>
        <w:t xml:space="preserve"> until </w:t>
      </w:r>
      <w:r w:rsidR="00C64A12" w:rsidRPr="00E75013">
        <w:rPr>
          <w:rFonts w:asciiTheme="majorHAnsi" w:hAnsiTheme="majorHAnsi"/>
          <w:sz w:val="20"/>
          <w:bdr w:val="none" w:sz="0" w:space="0" w:color="auto"/>
        </w:rPr>
        <w:t xml:space="preserve">total </w:t>
      </w:r>
      <w:r w:rsidR="00D30FBC" w:rsidRPr="00E75013">
        <w:rPr>
          <w:rFonts w:asciiTheme="majorHAnsi" w:hAnsiTheme="majorHAnsi"/>
          <w:sz w:val="20"/>
          <w:bdr w:val="none" w:sz="0" w:space="0" w:color="auto"/>
        </w:rPr>
        <w:t>compliance has been achieved.</w:t>
      </w:r>
    </w:p>
    <w:p w14:paraId="0D991B79" w14:textId="77777777" w:rsidR="002A65AC" w:rsidRPr="00E75013" w:rsidRDefault="002A65AC" w:rsidP="00D30FBC">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MS Mincho" w:hAnsiTheme="majorHAnsi"/>
          <w:sz w:val="20"/>
          <w:szCs w:val="20"/>
        </w:rPr>
      </w:pPr>
    </w:p>
    <w:p w14:paraId="45BF9A51" w14:textId="77777777" w:rsidR="00FA675D" w:rsidRPr="00E75013" w:rsidRDefault="00FA675D" w:rsidP="00F3286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rPr>
      </w:pPr>
      <w:r w:rsidRPr="00E75013">
        <w:rPr>
          <w:b/>
          <w:color w:val="000000" w:themeColor="text1"/>
          <w:sz w:val="20"/>
        </w:rPr>
        <w:t>CONCLUSIONS</w:t>
      </w:r>
    </w:p>
    <w:p w14:paraId="628FF974" w14:textId="77777777" w:rsidR="00DA37B6" w:rsidRPr="00E75013" w:rsidRDefault="00DA37B6" w:rsidP="00DA37B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MS Mincho" w:cstheme="minorHAnsi"/>
          <w:b/>
          <w:color w:val="000000" w:themeColor="text1"/>
          <w:sz w:val="20"/>
          <w:szCs w:val="20"/>
        </w:rPr>
      </w:pPr>
    </w:p>
    <w:p w14:paraId="60DBEB39" w14:textId="77777777" w:rsidR="00D30FBC" w:rsidRPr="00E75013" w:rsidRDefault="00805112" w:rsidP="00F32864">
      <w:pPr>
        <w:pStyle w:val="ListParagraph"/>
        <w:numPr>
          <w:ilvl w:val="0"/>
          <w:numId w:val="56"/>
        </w:numPr>
        <w:tabs>
          <w:tab w:val="left" w:pos="810"/>
        </w:tabs>
        <w:ind w:left="0" w:firstLine="720"/>
        <w:jc w:val="both"/>
        <w:rPr>
          <w:rFonts w:eastAsia="MS Mincho"/>
          <w:sz w:val="20"/>
          <w:szCs w:val="20"/>
        </w:rPr>
      </w:pPr>
      <w:r w:rsidRPr="00E75013">
        <w:rPr>
          <w:sz w:val="20"/>
        </w:rPr>
        <w:t xml:space="preserve">Based on the foregoing and in keeping with the procedure provided for in Articles 48(1)(f) and 49 of the American Convention, the Commission would like to reiterate its profound appreciation of the efforts made by the parties and its satisfaction that a friendly settlement has been arrived at in the present case on the basis of respect for human rights and consistent with the object and purpose of the American Convention.  </w:t>
      </w:r>
    </w:p>
    <w:p w14:paraId="5D28E0AF" w14:textId="77777777" w:rsidR="00D30FBC" w:rsidRPr="00E75013" w:rsidRDefault="00D30FBC" w:rsidP="00D30FBC">
      <w:pPr>
        <w:pStyle w:val="ListParagraph"/>
        <w:tabs>
          <w:tab w:val="left" w:pos="810"/>
        </w:tabs>
        <w:ind w:left="0" w:firstLine="720"/>
        <w:jc w:val="both"/>
        <w:rPr>
          <w:rFonts w:eastAsia="MS Mincho"/>
          <w:sz w:val="20"/>
          <w:szCs w:val="20"/>
        </w:rPr>
      </w:pPr>
    </w:p>
    <w:p w14:paraId="79692657" w14:textId="1CC58715" w:rsidR="00805112" w:rsidRPr="00E75013" w:rsidRDefault="00805112" w:rsidP="00F32864">
      <w:pPr>
        <w:pStyle w:val="ListParagraph"/>
        <w:numPr>
          <w:ilvl w:val="0"/>
          <w:numId w:val="56"/>
        </w:numPr>
        <w:tabs>
          <w:tab w:val="left" w:pos="810"/>
        </w:tabs>
        <w:ind w:left="0" w:firstLine="720"/>
        <w:jc w:val="both"/>
        <w:rPr>
          <w:rFonts w:eastAsia="MS Mincho"/>
          <w:sz w:val="20"/>
          <w:szCs w:val="20"/>
        </w:rPr>
      </w:pPr>
      <w:r w:rsidRPr="00E75013">
        <w:rPr>
          <w:sz w:val="20"/>
        </w:rPr>
        <w:t xml:space="preserve">Based on the reasons and conclusions contained in this report, </w:t>
      </w:r>
    </w:p>
    <w:p w14:paraId="69A0DE64" w14:textId="77777777" w:rsidR="00FA675D" w:rsidRPr="00E75013" w:rsidRDefault="00FA675D" w:rsidP="00FA675D">
      <w:pPr>
        <w:jc w:val="both"/>
        <w:rPr>
          <w:rFonts w:ascii="Cambria" w:eastAsia="Times New Roman" w:hAnsi="Cambria" w:cstheme="minorHAnsi"/>
          <w:b/>
          <w:bCs/>
          <w:color w:val="000000" w:themeColor="text1"/>
          <w:sz w:val="20"/>
          <w:szCs w:val="20"/>
          <w:lang w:eastAsia="es-ES_tradnl"/>
        </w:rPr>
      </w:pPr>
    </w:p>
    <w:p w14:paraId="5B80A381" w14:textId="77777777" w:rsidR="00FA675D" w:rsidRPr="00E75013" w:rsidRDefault="00FA675D" w:rsidP="00FA675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rPr>
      </w:pPr>
      <w:r w:rsidRPr="00E75013">
        <w:rPr>
          <w:rFonts w:ascii="Cambria" w:hAnsi="Cambria"/>
          <w:b/>
          <w:color w:val="000000" w:themeColor="text1"/>
          <w:sz w:val="20"/>
        </w:rPr>
        <w:t>THE INTER-AMERICAN COMMISSION ON HUMAN RIGHTS</w:t>
      </w:r>
    </w:p>
    <w:p w14:paraId="710D6B65" w14:textId="77777777" w:rsidR="00FA675D" w:rsidRPr="00E75013" w:rsidRDefault="00FA675D" w:rsidP="00FA675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eastAsia="es-ES_tradnl"/>
        </w:rPr>
      </w:pPr>
    </w:p>
    <w:p w14:paraId="2ADDF23C" w14:textId="77777777" w:rsidR="00FA675D" w:rsidRPr="00E75013" w:rsidRDefault="00FA675D" w:rsidP="00FA675D">
      <w:pPr>
        <w:ind w:firstLine="720"/>
        <w:jc w:val="both"/>
        <w:rPr>
          <w:rFonts w:ascii="Cambria" w:eastAsia="Times New Roman" w:hAnsi="Cambria" w:cstheme="minorHAnsi"/>
          <w:b/>
          <w:bCs/>
          <w:color w:val="000000" w:themeColor="text1"/>
          <w:sz w:val="20"/>
          <w:szCs w:val="20"/>
        </w:rPr>
      </w:pPr>
      <w:r w:rsidRPr="00E75013">
        <w:rPr>
          <w:rFonts w:ascii="Cambria" w:hAnsi="Cambria"/>
          <w:b/>
          <w:color w:val="000000" w:themeColor="text1"/>
          <w:sz w:val="20"/>
        </w:rPr>
        <w:t>DECIDES:</w:t>
      </w:r>
      <w:r w:rsidRPr="00E75013">
        <w:rPr>
          <w:rFonts w:ascii="Cambria" w:hAnsi="Cambria"/>
          <w:b/>
          <w:color w:val="000000" w:themeColor="text1"/>
          <w:sz w:val="20"/>
          <w:bdr w:val="none" w:sz="0" w:space="0" w:color="auto"/>
        </w:rPr>
        <w:t xml:space="preserve"> </w:t>
      </w:r>
    </w:p>
    <w:p w14:paraId="1FA2BB0B" w14:textId="77777777" w:rsidR="00FA675D" w:rsidRPr="00E75013" w:rsidRDefault="00FA675D" w:rsidP="00145EDC">
      <w:pPr>
        <w:tabs>
          <w:tab w:val="center" w:pos="5400"/>
        </w:tabs>
        <w:suppressAutoHyphens/>
        <w:spacing w:line="276" w:lineRule="auto"/>
        <w:rPr>
          <w:rFonts w:asciiTheme="majorHAnsi" w:hAnsiTheme="majorHAnsi"/>
          <w:sz w:val="20"/>
          <w:szCs w:val="20"/>
        </w:rPr>
      </w:pPr>
    </w:p>
    <w:p w14:paraId="3839C254" w14:textId="77777777" w:rsidR="00F32864" w:rsidRPr="00E75013" w:rsidRDefault="00F32864" w:rsidP="0021045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90" w:firstLine="810"/>
        <w:jc w:val="both"/>
        <w:rPr>
          <w:rFonts w:eastAsia="Times New Roman" w:cstheme="minorHAnsi"/>
          <w:color w:val="000000" w:themeColor="text1"/>
          <w:sz w:val="20"/>
          <w:szCs w:val="20"/>
          <w:bdr w:val="none" w:sz="0" w:space="0" w:color="auto"/>
        </w:rPr>
      </w:pPr>
      <w:r w:rsidRPr="00E75013">
        <w:rPr>
          <w:color w:val="000000" w:themeColor="text1"/>
          <w:sz w:val="20"/>
          <w:bdr w:val="none" w:sz="0" w:space="0" w:color="auto"/>
        </w:rPr>
        <w:t>To approve the terms of the friendly settlement agreement that the parties signed on May 23, 2024.</w:t>
      </w:r>
      <w:r w:rsidRPr="00E75013">
        <w:rPr>
          <w:rFonts w:ascii="Times New Roman" w:hAnsi="Times New Roman"/>
          <w:color w:val="auto"/>
        </w:rPr>
        <w:t xml:space="preserve"> </w:t>
      </w:r>
    </w:p>
    <w:p w14:paraId="1AE0D8F9" w14:textId="77777777" w:rsidR="00F32864" w:rsidRPr="007F1EB5" w:rsidRDefault="00F32864" w:rsidP="00210453">
      <w:pPr>
        <w:pBdr>
          <w:top w:val="none" w:sz="0" w:space="0" w:color="auto"/>
          <w:left w:val="none" w:sz="0" w:space="0" w:color="auto"/>
          <w:bottom w:val="none" w:sz="0" w:space="0" w:color="auto"/>
          <w:right w:val="none" w:sz="0" w:space="0" w:color="auto"/>
          <w:between w:val="none" w:sz="0" w:space="0" w:color="auto"/>
          <w:bar w:val="none" w:sz="0" w:color="auto"/>
        </w:pBdr>
        <w:ind w:left="-90" w:firstLine="810"/>
        <w:jc w:val="both"/>
        <w:rPr>
          <w:rFonts w:eastAsia="Times New Roman" w:cstheme="minorHAnsi"/>
          <w:color w:val="000000" w:themeColor="text1"/>
          <w:sz w:val="20"/>
          <w:szCs w:val="20"/>
          <w:bdr w:val="none" w:sz="0" w:space="0" w:color="auto"/>
          <w:lang w:eastAsia="es-ES_tradnl"/>
        </w:rPr>
      </w:pPr>
    </w:p>
    <w:p w14:paraId="3EF094BC" w14:textId="40FF28DC" w:rsidR="00F32864" w:rsidRPr="00FC6514" w:rsidRDefault="00F32864" w:rsidP="0021045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90" w:firstLine="810"/>
        <w:jc w:val="both"/>
        <w:rPr>
          <w:rFonts w:eastAsia="Times New Roman" w:cstheme="minorHAnsi"/>
          <w:color w:val="000000" w:themeColor="text1"/>
          <w:sz w:val="20"/>
          <w:szCs w:val="20"/>
          <w:bdr w:val="none" w:sz="0" w:space="0" w:color="auto"/>
        </w:rPr>
      </w:pPr>
      <w:r>
        <w:rPr>
          <w:color w:val="000000" w:themeColor="text1"/>
          <w:sz w:val="20"/>
        </w:rPr>
        <w:t xml:space="preserve">To </w:t>
      </w:r>
      <w:r>
        <w:rPr>
          <w:color w:val="000000" w:themeColor="text1"/>
          <w:sz w:val="20"/>
          <w:bdr w:val="none" w:sz="0" w:space="0" w:color="auto"/>
        </w:rPr>
        <w:t xml:space="preserve">declare that </w:t>
      </w:r>
      <w:r w:rsidR="00C64A12">
        <w:rPr>
          <w:color w:val="000000" w:themeColor="text1"/>
          <w:sz w:val="20"/>
          <w:bdr w:val="none" w:sz="0" w:space="0" w:color="auto"/>
        </w:rPr>
        <w:t>tota</w:t>
      </w:r>
      <w:r>
        <w:rPr>
          <w:color w:val="000000" w:themeColor="text1"/>
          <w:sz w:val="20"/>
          <w:bdr w:val="none" w:sz="0" w:space="0" w:color="auto"/>
        </w:rPr>
        <w:t xml:space="preserve">l compliance has been achieved with respect to subparagraph a) of the third paragraph of </w:t>
      </w:r>
      <w:r w:rsidR="00C64A12">
        <w:rPr>
          <w:color w:val="000000" w:themeColor="text1"/>
          <w:sz w:val="20"/>
          <w:bdr w:val="none" w:sz="0" w:space="0" w:color="auto"/>
        </w:rPr>
        <w:t>clause nine</w:t>
      </w:r>
      <w:r>
        <w:rPr>
          <w:color w:val="000000" w:themeColor="text1"/>
          <w:sz w:val="20"/>
          <w:bdr w:val="none" w:sz="0" w:space="0" w:color="auto"/>
        </w:rPr>
        <w:t xml:space="preserve"> (mapping) of the</w:t>
      </w:r>
      <w:r>
        <w:rPr>
          <w:color w:val="000000" w:themeColor="text1"/>
          <w:sz w:val="20"/>
        </w:rPr>
        <w:t xml:space="preserve"> friendly settlement agreement, based on the analysis contained in this report. </w:t>
      </w:r>
    </w:p>
    <w:p w14:paraId="2E86C6B1" w14:textId="77777777" w:rsidR="00F32864" w:rsidRPr="007F1EB5" w:rsidRDefault="00F32864" w:rsidP="00210453">
      <w:pPr>
        <w:pStyle w:val="ListParagraph"/>
        <w:ind w:left="-90" w:firstLine="810"/>
        <w:rPr>
          <w:rFonts w:eastAsia="Times New Roman" w:cstheme="minorHAnsi"/>
          <w:color w:val="000000" w:themeColor="text1"/>
          <w:sz w:val="20"/>
          <w:szCs w:val="20"/>
          <w:bdr w:val="none" w:sz="0" w:space="0" w:color="auto"/>
          <w:lang w:eastAsia="es-ES_tradnl"/>
        </w:rPr>
      </w:pPr>
    </w:p>
    <w:p w14:paraId="03813857" w14:textId="7049CACA" w:rsidR="00F32864" w:rsidRPr="00FC6514" w:rsidRDefault="00F32864" w:rsidP="0021045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90" w:firstLine="810"/>
        <w:jc w:val="both"/>
        <w:rPr>
          <w:rFonts w:eastAsia="Times New Roman" w:cstheme="minorHAnsi"/>
          <w:color w:val="000000" w:themeColor="text1"/>
          <w:sz w:val="20"/>
          <w:szCs w:val="20"/>
          <w:bdr w:val="none" w:sz="0" w:space="0" w:color="auto"/>
        </w:rPr>
      </w:pPr>
      <w:r>
        <w:rPr>
          <w:color w:val="000000" w:themeColor="text1"/>
          <w:sz w:val="20"/>
          <w:bdr w:val="none" w:sz="0" w:space="0" w:color="auto"/>
        </w:rPr>
        <w:t xml:space="preserve">To declare partial compliance </w:t>
      </w:r>
      <w:r w:rsidR="00C64A12">
        <w:rPr>
          <w:color w:val="000000" w:themeColor="text1"/>
          <w:sz w:val="20"/>
          <w:bdr w:val="none" w:sz="0" w:space="0" w:color="auto"/>
        </w:rPr>
        <w:t xml:space="preserve">has been met with respect to </w:t>
      </w:r>
      <w:r>
        <w:rPr>
          <w:color w:val="000000" w:themeColor="text1"/>
          <w:sz w:val="20"/>
        </w:rPr>
        <w:t xml:space="preserve">clause </w:t>
      </w:r>
      <w:r w:rsidR="00C64A12">
        <w:rPr>
          <w:color w:val="000000" w:themeColor="text1"/>
          <w:sz w:val="20"/>
        </w:rPr>
        <w:t xml:space="preserve">nine </w:t>
      </w:r>
      <w:r>
        <w:rPr>
          <w:color w:val="000000" w:themeColor="text1"/>
          <w:sz w:val="20"/>
        </w:rPr>
        <w:t>(</w:t>
      </w:r>
      <w:r w:rsidR="00C64A12">
        <w:rPr>
          <w:color w:val="000000" w:themeColor="text1"/>
          <w:sz w:val="20"/>
        </w:rPr>
        <w:t>gu</w:t>
      </w:r>
      <w:r w:rsidR="009E4CE6">
        <w:rPr>
          <w:color w:val="000000" w:themeColor="text1"/>
          <w:sz w:val="20"/>
        </w:rPr>
        <w:t xml:space="preserve">arantees of </w:t>
      </w:r>
      <w:r>
        <w:rPr>
          <w:color w:val="000000" w:themeColor="text1"/>
          <w:sz w:val="20"/>
        </w:rPr>
        <w:t xml:space="preserve">non-repetition) of the friendly settlement agreement, based on the analysis contained in this report. </w:t>
      </w:r>
    </w:p>
    <w:p w14:paraId="0F5B1263" w14:textId="77777777" w:rsidR="00F32864" w:rsidRPr="007F1EB5" w:rsidRDefault="00F32864" w:rsidP="00210453">
      <w:pPr>
        <w:pStyle w:val="ListParagraph"/>
        <w:ind w:left="-90" w:firstLine="810"/>
        <w:rPr>
          <w:color w:val="000000" w:themeColor="text1"/>
          <w:sz w:val="20"/>
          <w:highlight w:val="cyan"/>
          <w:bdr w:val="none" w:sz="0" w:space="0" w:color="auto"/>
        </w:rPr>
      </w:pPr>
    </w:p>
    <w:p w14:paraId="33DD1CF5" w14:textId="0073FECA" w:rsidR="00F32864" w:rsidRPr="003C4FB7" w:rsidRDefault="00F32864" w:rsidP="0021045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90" w:firstLine="810"/>
        <w:jc w:val="both"/>
        <w:rPr>
          <w:rFonts w:eastAsia="Times New Roman" w:cstheme="minorHAnsi"/>
          <w:color w:val="000000" w:themeColor="text1"/>
          <w:sz w:val="20"/>
          <w:szCs w:val="20"/>
          <w:bdr w:val="none" w:sz="0" w:space="0" w:color="auto"/>
        </w:rPr>
      </w:pPr>
      <w:r>
        <w:rPr>
          <w:sz w:val="20"/>
        </w:rPr>
        <w:t xml:space="preserve">To </w:t>
      </w:r>
      <w:r>
        <w:rPr>
          <w:color w:val="000000" w:themeColor="text1"/>
          <w:sz w:val="20"/>
          <w:bdr w:val="none" w:sz="0" w:space="0" w:color="auto"/>
        </w:rPr>
        <w:t xml:space="preserve">declare that compliance is still pending with respect to paragraphs </w:t>
      </w:r>
      <w:r>
        <w:rPr>
          <w:color w:val="000000" w:themeColor="text1"/>
          <w:sz w:val="20"/>
        </w:rPr>
        <w:t xml:space="preserve">I (act of acknowledgment of responsibility and request for forgiveness) and II (commemorative plaque) of clause </w:t>
      </w:r>
      <w:r w:rsidR="009E4CE6">
        <w:rPr>
          <w:color w:val="000000" w:themeColor="text1"/>
          <w:sz w:val="20"/>
        </w:rPr>
        <w:t xml:space="preserve">six </w:t>
      </w:r>
      <w:r>
        <w:rPr>
          <w:color w:val="000000" w:themeColor="text1"/>
          <w:sz w:val="20"/>
        </w:rPr>
        <w:t xml:space="preserve">(measures of satisfaction), as well as </w:t>
      </w:r>
      <w:r>
        <w:rPr>
          <w:color w:val="000000" w:themeColor="text1"/>
          <w:sz w:val="20"/>
          <w:bdr w:val="none" w:sz="0" w:space="0" w:color="auto"/>
        </w:rPr>
        <w:t xml:space="preserve">clauses seven </w:t>
      </w:r>
      <w:r>
        <w:rPr>
          <w:color w:val="000000" w:themeColor="text1"/>
          <w:sz w:val="20"/>
        </w:rPr>
        <w:t>(justice</w:t>
      </w:r>
      <w:r w:rsidR="009E4CE6">
        <w:rPr>
          <w:color w:val="000000" w:themeColor="text1"/>
          <w:sz w:val="20"/>
        </w:rPr>
        <w:t xml:space="preserve"> measure</w:t>
      </w:r>
      <w:r>
        <w:rPr>
          <w:color w:val="000000" w:themeColor="text1"/>
          <w:sz w:val="20"/>
        </w:rPr>
        <w:t xml:space="preserve">), </w:t>
      </w:r>
      <w:r>
        <w:rPr>
          <w:color w:val="000000" w:themeColor="text1"/>
          <w:sz w:val="20"/>
          <w:bdr w:val="none" w:sz="0" w:space="0" w:color="auto"/>
        </w:rPr>
        <w:t xml:space="preserve">eight </w:t>
      </w:r>
      <w:r>
        <w:rPr>
          <w:color w:val="000000" w:themeColor="text1"/>
          <w:sz w:val="20"/>
        </w:rPr>
        <w:t xml:space="preserve">(health measures), </w:t>
      </w:r>
      <w:r>
        <w:rPr>
          <w:color w:val="000000" w:themeColor="text1"/>
          <w:sz w:val="20"/>
          <w:bdr w:val="none" w:sz="0" w:space="0" w:color="auto"/>
        </w:rPr>
        <w:t xml:space="preserve">ten </w:t>
      </w:r>
      <w:r>
        <w:rPr>
          <w:color w:val="000000" w:themeColor="text1"/>
          <w:sz w:val="20"/>
        </w:rPr>
        <w:t>(</w:t>
      </w:r>
      <w:r w:rsidR="002E0BD8">
        <w:rPr>
          <w:color w:val="000000" w:themeColor="text1"/>
          <w:sz w:val="20"/>
        </w:rPr>
        <w:t xml:space="preserve">financial </w:t>
      </w:r>
      <w:r>
        <w:rPr>
          <w:color w:val="000000" w:themeColor="text1"/>
          <w:sz w:val="20"/>
        </w:rPr>
        <w:t xml:space="preserve">compensation) and </w:t>
      </w:r>
      <w:r>
        <w:rPr>
          <w:color w:val="000000" w:themeColor="text1"/>
          <w:sz w:val="20"/>
          <w:bdr w:val="none" w:sz="0" w:space="0" w:color="auto"/>
        </w:rPr>
        <w:t xml:space="preserve">eleven </w:t>
      </w:r>
      <w:r>
        <w:rPr>
          <w:color w:val="000000" w:themeColor="text1"/>
          <w:sz w:val="20"/>
        </w:rPr>
        <w:t>(publication of the Report of Article 49) of the friendly settlement agreement,</w:t>
      </w:r>
      <w:r>
        <w:rPr>
          <w:color w:val="000000" w:themeColor="text1"/>
          <w:sz w:val="20"/>
          <w:bdr w:val="none" w:sz="0" w:space="0" w:color="auto"/>
        </w:rPr>
        <w:t xml:space="preserve"> according to the analysis contained in this report. </w:t>
      </w:r>
    </w:p>
    <w:p w14:paraId="44ACB74C" w14:textId="77777777" w:rsidR="00F32864" w:rsidRDefault="00F32864" w:rsidP="00210453">
      <w:pPr>
        <w:ind w:left="-90" w:firstLine="810"/>
        <w:rPr>
          <w:color w:val="000000" w:themeColor="text1"/>
          <w:sz w:val="20"/>
          <w:bdr w:val="none" w:sz="0" w:space="0" w:color="auto"/>
        </w:rPr>
      </w:pPr>
    </w:p>
    <w:p w14:paraId="35080347" w14:textId="77777777" w:rsidR="004F2736" w:rsidRPr="007F1EB5" w:rsidRDefault="004F2736" w:rsidP="00210453">
      <w:pPr>
        <w:ind w:left="-90" w:firstLine="810"/>
        <w:rPr>
          <w:color w:val="000000" w:themeColor="text1"/>
          <w:sz w:val="20"/>
          <w:bdr w:val="none" w:sz="0" w:space="0" w:color="auto"/>
        </w:rPr>
      </w:pPr>
    </w:p>
    <w:p w14:paraId="3100C5B6" w14:textId="63AA0FC3" w:rsidR="00F32864" w:rsidRPr="00A72E26" w:rsidRDefault="00F32864" w:rsidP="0021045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90" w:firstLine="810"/>
        <w:jc w:val="both"/>
        <w:rPr>
          <w:rFonts w:eastAsia="Times New Roman" w:cstheme="minorHAnsi"/>
          <w:color w:val="000000" w:themeColor="text1"/>
          <w:sz w:val="20"/>
          <w:szCs w:val="20"/>
          <w:bdr w:val="none" w:sz="0" w:space="0" w:color="auto"/>
        </w:rPr>
      </w:pPr>
      <w:r>
        <w:rPr>
          <w:sz w:val="20"/>
        </w:rPr>
        <w:lastRenderedPageBreak/>
        <w:t xml:space="preserve">To </w:t>
      </w:r>
      <w:r>
        <w:rPr>
          <w:color w:val="000000" w:themeColor="text1"/>
          <w:sz w:val="20"/>
          <w:bdr w:val="none" w:sz="0" w:space="0" w:color="auto"/>
        </w:rPr>
        <w:t>continue with the supervision of the commitments undertaken in paragraphs</w:t>
      </w:r>
      <w:r>
        <w:rPr>
          <w:color w:val="000000" w:themeColor="text1"/>
          <w:sz w:val="20"/>
        </w:rPr>
        <w:t xml:space="preserve"> I (act of acknowledgement of responsibility and request for forgiveness) and II (commemorative plaque) of clause</w:t>
      </w:r>
      <w:r w:rsidR="00A54E6B">
        <w:rPr>
          <w:color w:val="000000" w:themeColor="text1"/>
          <w:sz w:val="20"/>
        </w:rPr>
        <w:t xml:space="preserve"> six</w:t>
      </w:r>
      <w:r>
        <w:rPr>
          <w:color w:val="000000" w:themeColor="text1"/>
          <w:sz w:val="20"/>
        </w:rPr>
        <w:t xml:space="preserve">, and </w:t>
      </w:r>
      <w:r w:rsidR="00A54E6B">
        <w:rPr>
          <w:color w:val="000000" w:themeColor="text1"/>
          <w:sz w:val="20"/>
        </w:rPr>
        <w:t xml:space="preserve">clauses </w:t>
      </w:r>
      <w:r>
        <w:rPr>
          <w:color w:val="000000" w:themeColor="text1"/>
          <w:sz w:val="20"/>
        </w:rPr>
        <w:t>seven (justice measures), eigh</w:t>
      </w:r>
      <w:r w:rsidR="00A54E6B">
        <w:rPr>
          <w:color w:val="000000" w:themeColor="text1"/>
          <w:sz w:val="20"/>
        </w:rPr>
        <w:t xml:space="preserve">t </w:t>
      </w:r>
      <w:r>
        <w:rPr>
          <w:color w:val="000000" w:themeColor="text1"/>
          <w:sz w:val="20"/>
        </w:rPr>
        <w:t>(health measures),</w:t>
      </w:r>
      <w:r>
        <w:rPr>
          <w:sz w:val="20"/>
          <w:bdr w:val="none" w:sz="0" w:space="0" w:color="auto"/>
        </w:rPr>
        <w:t xml:space="preserve"> nin</w:t>
      </w:r>
      <w:r w:rsidR="00A54E6B">
        <w:rPr>
          <w:sz w:val="20"/>
          <w:bdr w:val="none" w:sz="0" w:space="0" w:color="auto"/>
        </w:rPr>
        <w:t>e</w:t>
      </w:r>
      <w:r>
        <w:rPr>
          <w:sz w:val="20"/>
          <w:bdr w:val="none" w:sz="0" w:space="0" w:color="auto"/>
        </w:rPr>
        <w:t xml:space="preserve"> (</w:t>
      </w:r>
      <w:r w:rsidR="00A54E6B">
        <w:rPr>
          <w:sz w:val="20"/>
          <w:bdr w:val="none" w:sz="0" w:space="0" w:color="auto"/>
        </w:rPr>
        <w:t xml:space="preserve">guarantees </w:t>
      </w:r>
      <w:r>
        <w:rPr>
          <w:sz w:val="20"/>
          <w:bdr w:val="none" w:sz="0" w:space="0" w:color="auto"/>
        </w:rPr>
        <w:t>of non-repetition), ten (</w:t>
      </w:r>
      <w:r w:rsidR="00A54E6B">
        <w:rPr>
          <w:sz w:val="20"/>
          <w:bdr w:val="none" w:sz="0" w:space="0" w:color="auto"/>
        </w:rPr>
        <w:t>financial compensation</w:t>
      </w:r>
      <w:r>
        <w:rPr>
          <w:sz w:val="20"/>
          <w:bdr w:val="none" w:sz="0" w:space="0" w:color="auto"/>
        </w:rPr>
        <w:t>), and eleven</w:t>
      </w:r>
      <w:r w:rsidR="00A54E6B">
        <w:rPr>
          <w:sz w:val="20"/>
          <w:bdr w:val="none" w:sz="0" w:space="0" w:color="auto"/>
        </w:rPr>
        <w:t xml:space="preserve"> </w:t>
      </w:r>
      <w:r>
        <w:rPr>
          <w:sz w:val="20"/>
          <w:bdr w:val="none" w:sz="0" w:space="0" w:color="auto"/>
        </w:rPr>
        <w:t xml:space="preserve">(publication of the Article 49 Report) </w:t>
      </w:r>
      <w:r>
        <w:rPr>
          <w:color w:val="000000" w:themeColor="text1"/>
          <w:sz w:val="20"/>
          <w:bdr w:val="none" w:sz="0" w:space="0" w:color="auto"/>
        </w:rPr>
        <w:t xml:space="preserve">of the friendly settlement agreement, until </w:t>
      </w:r>
      <w:r w:rsidR="006D3F48">
        <w:rPr>
          <w:color w:val="000000" w:themeColor="text1"/>
          <w:sz w:val="20"/>
          <w:bdr w:val="none" w:sz="0" w:space="0" w:color="auto"/>
        </w:rPr>
        <w:t xml:space="preserve">total </w:t>
      </w:r>
      <w:r>
        <w:rPr>
          <w:color w:val="000000" w:themeColor="text1"/>
          <w:sz w:val="20"/>
          <w:bdr w:val="none" w:sz="0" w:space="0" w:color="auto"/>
        </w:rPr>
        <w:t>compliance is reached, based on the analysis contained in this report. To that end, to remind the parties of their commitment to keep the IACHR regularly informed regarding compliance.</w:t>
      </w:r>
    </w:p>
    <w:p w14:paraId="05ADAE90" w14:textId="77777777" w:rsidR="00F32864" w:rsidRPr="007F1EB5" w:rsidRDefault="00F32864" w:rsidP="00210453">
      <w:pPr>
        <w:pStyle w:val="ListParagraph"/>
        <w:ind w:left="-90" w:firstLine="810"/>
        <w:rPr>
          <w:rFonts w:eastAsia="Times New Roman" w:cstheme="minorHAnsi"/>
          <w:color w:val="000000" w:themeColor="text1"/>
          <w:sz w:val="20"/>
          <w:szCs w:val="20"/>
          <w:highlight w:val="yellow"/>
          <w:bdr w:val="none" w:sz="0" w:space="0" w:color="auto"/>
          <w:lang w:eastAsia="es-ES_tradnl"/>
        </w:rPr>
      </w:pPr>
    </w:p>
    <w:p w14:paraId="730E7CD0" w14:textId="77777777" w:rsidR="00F32864" w:rsidRPr="0098761F" w:rsidRDefault="00F32864" w:rsidP="00210453">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90" w:firstLine="810"/>
        <w:jc w:val="both"/>
        <w:rPr>
          <w:rFonts w:eastAsia="Times New Roman" w:cstheme="minorHAnsi"/>
          <w:color w:val="000000" w:themeColor="text1"/>
          <w:sz w:val="20"/>
          <w:szCs w:val="20"/>
          <w:bdr w:val="none" w:sz="0" w:space="0" w:color="auto"/>
        </w:rPr>
      </w:pPr>
      <w:r>
        <w:rPr>
          <w:color w:val="000000" w:themeColor="text1"/>
          <w:sz w:val="20"/>
          <w:bdr w:val="none" w:sz="0" w:space="0" w:color="auto"/>
        </w:rPr>
        <w:t xml:space="preserve">To publish the present report and include it in its Annual Report to the General Assembly of the OAS. </w:t>
      </w:r>
    </w:p>
    <w:p w14:paraId="5A999A84" w14:textId="77777777" w:rsidR="00D30FBC" w:rsidRDefault="00D30FBC" w:rsidP="00145EDC">
      <w:pPr>
        <w:tabs>
          <w:tab w:val="center" w:pos="5400"/>
        </w:tabs>
        <w:suppressAutoHyphens/>
        <w:spacing w:line="276" w:lineRule="auto"/>
        <w:rPr>
          <w:rFonts w:asciiTheme="majorHAnsi" w:hAnsiTheme="majorHAnsi"/>
          <w:sz w:val="20"/>
          <w:szCs w:val="20"/>
        </w:rPr>
      </w:pPr>
    </w:p>
    <w:p w14:paraId="71A78E9C" w14:textId="1A5B3706" w:rsidR="00F271A7" w:rsidRPr="00174A8F" w:rsidRDefault="00F271A7" w:rsidP="00F271A7">
      <w:pPr>
        <w:ind w:firstLine="709"/>
        <w:jc w:val="both"/>
        <w:rPr>
          <w:rFonts w:ascii="Cambria" w:hAnsi="Cambria" w:cs="Calibri"/>
          <w:sz w:val="20"/>
          <w:szCs w:val="20"/>
        </w:rPr>
      </w:pPr>
      <w:r w:rsidRPr="00174A8F">
        <w:rPr>
          <w:rFonts w:ascii="Cambria" w:hAnsi="Cambria" w:cs="Calibri"/>
          <w:sz w:val="20"/>
          <w:szCs w:val="20"/>
        </w:rPr>
        <w:t xml:space="preserve">Approved by the Inter-American Commission on Human Rights on the 10th day of the month of </w:t>
      </w:r>
      <w:proofErr w:type="gramStart"/>
      <w:r w:rsidRPr="00174A8F">
        <w:rPr>
          <w:rFonts w:ascii="Cambria" w:hAnsi="Cambria" w:cs="Calibri"/>
          <w:sz w:val="20"/>
          <w:szCs w:val="20"/>
        </w:rPr>
        <w:t>December,</w:t>
      </w:r>
      <w:proofErr w:type="gramEnd"/>
      <w:r w:rsidRPr="00174A8F">
        <w:rPr>
          <w:rFonts w:ascii="Cambria" w:hAnsi="Cambria" w:cs="Calibri"/>
          <w:sz w:val="20"/>
          <w:szCs w:val="20"/>
        </w:rPr>
        <w:t xml:space="preserve"> 2025. (Signed): José Luis Caballero Ochoa, President; Andrea Pochak, First Vice President; Edgar </w:t>
      </w:r>
      <w:proofErr w:type="spellStart"/>
      <w:r w:rsidRPr="00174A8F">
        <w:rPr>
          <w:rFonts w:ascii="Cambria" w:hAnsi="Cambria" w:cs="Calibri"/>
          <w:sz w:val="20"/>
          <w:szCs w:val="20"/>
        </w:rPr>
        <w:t>Stuardo</w:t>
      </w:r>
      <w:proofErr w:type="spellEnd"/>
      <w:r w:rsidRPr="00174A8F">
        <w:rPr>
          <w:rFonts w:ascii="Cambria" w:hAnsi="Cambria" w:cs="Calibri"/>
          <w:sz w:val="20"/>
          <w:szCs w:val="20"/>
        </w:rPr>
        <w:t xml:space="preserve"> </w:t>
      </w:r>
      <w:proofErr w:type="spellStart"/>
      <w:r w:rsidRPr="00174A8F">
        <w:rPr>
          <w:rFonts w:ascii="Cambria" w:hAnsi="Cambria" w:cs="Calibri"/>
          <w:sz w:val="20"/>
          <w:szCs w:val="20"/>
        </w:rPr>
        <w:t>Ralón</w:t>
      </w:r>
      <w:proofErr w:type="spellEnd"/>
      <w:r w:rsidRPr="00174A8F">
        <w:rPr>
          <w:rFonts w:ascii="Cambria" w:hAnsi="Cambria" w:cs="Calibri"/>
          <w:sz w:val="20"/>
          <w:szCs w:val="20"/>
        </w:rPr>
        <w:t xml:space="preserve"> Orellana, Second Vice President; Gloria Monique de Mees, </w:t>
      </w:r>
      <w:r>
        <w:rPr>
          <w:rFonts w:ascii="Cambria" w:hAnsi="Cambria" w:cs="Calibri"/>
          <w:sz w:val="20"/>
          <w:szCs w:val="20"/>
        </w:rPr>
        <w:t xml:space="preserve">and </w:t>
      </w:r>
      <w:r w:rsidRPr="00174A8F">
        <w:rPr>
          <w:rFonts w:ascii="Cambria" w:hAnsi="Cambria" w:cs="Calibri"/>
          <w:sz w:val="20"/>
          <w:szCs w:val="20"/>
        </w:rPr>
        <w:t>Roberta Clarke</w:t>
      </w:r>
      <w:r>
        <w:rPr>
          <w:rFonts w:ascii="Cambria" w:hAnsi="Cambria" w:cs="Calibri"/>
          <w:sz w:val="20"/>
          <w:szCs w:val="20"/>
        </w:rPr>
        <w:t>,</w:t>
      </w:r>
      <w:r w:rsidRPr="00174A8F">
        <w:rPr>
          <w:rFonts w:ascii="Cambria" w:hAnsi="Cambria" w:cs="Calibri"/>
          <w:sz w:val="20"/>
          <w:szCs w:val="20"/>
        </w:rPr>
        <w:t xml:space="preserve"> Commissioners.</w:t>
      </w:r>
    </w:p>
    <w:p w14:paraId="77A61FAC" w14:textId="77777777" w:rsidR="00F271A7" w:rsidRPr="007F1EB5" w:rsidRDefault="00F271A7" w:rsidP="00145EDC">
      <w:pPr>
        <w:tabs>
          <w:tab w:val="center" w:pos="5400"/>
        </w:tabs>
        <w:suppressAutoHyphens/>
        <w:spacing w:line="276" w:lineRule="auto"/>
        <w:rPr>
          <w:rFonts w:asciiTheme="majorHAnsi" w:hAnsiTheme="majorHAnsi"/>
          <w:sz w:val="20"/>
          <w:szCs w:val="20"/>
        </w:rPr>
      </w:pPr>
    </w:p>
    <w:sectPr w:rsidR="00F271A7" w:rsidRPr="007F1EB5" w:rsidSect="006311DA">
      <w:footerReference w:type="first" r:id="rId1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78E2" w14:textId="77777777" w:rsidR="009156B0" w:rsidRDefault="009156B0" w:rsidP="00036A8A">
      <w:r>
        <w:separator/>
      </w:r>
    </w:p>
  </w:endnote>
  <w:endnote w:type="continuationSeparator" w:id="0">
    <w:p w14:paraId="5D062F27" w14:textId="77777777" w:rsidR="009156B0" w:rsidRDefault="009156B0" w:rsidP="0003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3477"/>
      <w:docPartObj>
        <w:docPartGallery w:val="Page Numbers (Bottom of Page)"/>
        <w:docPartUnique/>
      </w:docPartObj>
    </w:sdtPr>
    <w:sdtEndPr>
      <w:rPr>
        <w:noProof/>
        <w:sz w:val="16"/>
        <w:szCs w:val="16"/>
      </w:rPr>
    </w:sdtEndPr>
    <w:sdtContent>
      <w:p w14:paraId="0F3FE9B7" w14:textId="77777777" w:rsidR="00F1380F" w:rsidRPr="006311DA" w:rsidRDefault="00F1380F">
        <w:pPr>
          <w:pStyle w:val="Footer"/>
          <w:jc w:val="center"/>
          <w:rPr>
            <w:sz w:val="16"/>
          </w:rPr>
        </w:pPr>
        <w:r w:rsidRPr="006311DA">
          <w:rPr>
            <w:sz w:val="16"/>
          </w:rPr>
          <w:fldChar w:fldCharType="begin"/>
        </w:r>
        <w:r w:rsidRPr="006311DA">
          <w:rPr>
            <w:sz w:val="16"/>
          </w:rPr>
          <w:instrText xml:space="preserve"> PAGE   \* MERGEFORMAT </w:instrText>
        </w:r>
        <w:r w:rsidRPr="006311DA">
          <w:rPr>
            <w:sz w:val="16"/>
          </w:rPr>
          <w:fldChar w:fldCharType="separate"/>
        </w:r>
        <w:r w:rsidR="002A65AC">
          <w:rPr>
            <w:sz w:val="16"/>
          </w:rPr>
          <w:t>2</w:t>
        </w:r>
        <w:r w:rsidRPr="006311DA">
          <w:rPr>
            <w:sz w:val="16"/>
          </w:rPr>
          <w:fldChar w:fldCharType="end"/>
        </w:r>
      </w:p>
    </w:sdtContent>
  </w:sdt>
  <w:p w14:paraId="21F5D78A" w14:textId="77777777" w:rsidR="00F1380F" w:rsidRDefault="00F13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A720" w14:textId="77777777" w:rsidR="007607C4" w:rsidRDefault="007607C4">
    <w:pPr>
      <w:pStyle w:val="Footer"/>
      <w:jc w:val="center"/>
    </w:pPr>
  </w:p>
  <w:p w14:paraId="05B62EC0" w14:textId="77777777" w:rsidR="007607C4" w:rsidRDefault="00760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189080"/>
      <w:docPartObj>
        <w:docPartGallery w:val="Page Numbers (Bottom of Page)"/>
        <w:docPartUnique/>
      </w:docPartObj>
    </w:sdtPr>
    <w:sdtEndPr>
      <w:rPr>
        <w:noProof/>
      </w:rPr>
    </w:sdtEndPr>
    <w:sdtContent>
      <w:p w14:paraId="6F648980" w14:textId="77777777" w:rsidR="007607C4" w:rsidRDefault="007607C4">
        <w:pPr>
          <w:pStyle w:val="Footer"/>
          <w:jc w:val="center"/>
        </w:pPr>
        <w:r>
          <w:fldChar w:fldCharType="begin"/>
        </w:r>
        <w:r>
          <w:instrText xml:space="preserve"> PAGE   \* MERGEFORMAT </w:instrText>
        </w:r>
        <w:r>
          <w:fldChar w:fldCharType="separate"/>
        </w:r>
        <w:r w:rsidR="006311DA">
          <w:t>1</w:t>
        </w:r>
        <w:r>
          <w:fldChar w:fldCharType="end"/>
        </w:r>
      </w:p>
    </w:sdtContent>
  </w:sdt>
  <w:p w14:paraId="7EFBE6F6" w14:textId="77777777" w:rsidR="007607C4" w:rsidRDefault="0076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145C" w14:textId="77777777" w:rsidR="009156B0" w:rsidRPr="00036A8A" w:rsidRDefault="009156B0" w:rsidP="00036A8A">
      <w:pPr>
        <w:rPr>
          <w:rFonts w:asciiTheme="majorHAnsi" w:hAnsiTheme="majorHAnsi"/>
          <w:sz w:val="16"/>
          <w:szCs w:val="16"/>
        </w:rPr>
      </w:pPr>
      <w:r w:rsidRPr="00036A8A">
        <w:rPr>
          <w:rFonts w:asciiTheme="majorHAnsi" w:hAnsiTheme="majorHAnsi"/>
          <w:sz w:val="16"/>
          <w:szCs w:val="16"/>
        </w:rPr>
        <w:separator/>
      </w:r>
    </w:p>
  </w:footnote>
  <w:footnote w:type="continuationSeparator" w:id="0">
    <w:p w14:paraId="2096C2EF" w14:textId="77777777" w:rsidR="009156B0" w:rsidRPr="00036A8A" w:rsidRDefault="009156B0" w:rsidP="00036A8A">
      <w:pPr>
        <w:rPr>
          <w:rFonts w:asciiTheme="majorHAnsi" w:hAnsiTheme="majorHAnsi"/>
          <w:sz w:val="16"/>
          <w:szCs w:val="16"/>
        </w:rPr>
      </w:pPr>
      <w:r w:rsidRPr="00036A8A">
        <w:rPr>
          <w:rFonts w:asciiTheme="majorHAnsi" w:hAnsiTheme="majorHAnsi"/>
          <w:sz w:val="16"/>
          <w:szCs w:val="16"/>
        </w:rPr>
        <w:separator/>
      </w:r>
    </w:p>
    <w:p w14:paraId="52C0FEF9" w14:textId="77777777" w:rsidR="009156B0" w:rsidRPr="00036A8A" w:rsidRDefault="009156B0" w:rsidP="00036A8A">
      <w:pPr>
        <w:pStyle w:val="Footer"/>
        <w:rPr>
          <w:rFonts w:asciiTheme="majorHAnsi" w:hAnsiTheme="majorHAnsi"/>
          <w:sz w:val="16"/>
          <w:szCs w:val="16"/>
        </w:rPr>
      </w:pPr>
      <w:r>
        <w:rPr>
          <w:rFonts w:asciiTheme="majorHAnsi" w:hAnsiTheme="majorHAnsi"/>
          <w:sz w:val="16"/>
          <w:szCs w:val="16"/>
        </w:rPr>
        <w:t>[</w:t>
      </w:r>
      <w:r w:rsidRPr="00036A8A">
        <w:rPr>
          <w:rFonts w:asciiTheme="majorHAnsi" w:hAnsiTheme="majorHAnsi"/>
          <w:sz w:val="16"/>
          <w:szCs w:val="16"/>
        </w:rPr>
        <w:t xml:space="preserve">… </w:t>
      </w:r>
      <w:r>
        <w:rPr>
          <w:rFonts w:asciiTheme="majorHAnsi" w:hAnsiTheme="majorHAnsi"/>
          <w:sz w:val="16"/>
          <w:szCs w:val="16"/>
        </w:rPr>
        <w:t>c</w:t>
      </w:r>
      <w:r w:rsidRPr="00036A8A">
        <w:rPr>
          <w:rFonts w:asciiTheme="majorHAnsi" w:hAnsiTheme="majorHAnsi"/>
          <w:sz w:val="16"/>
          <w:szCs w:val="16"/>
        </w:rPr>
        <w:t>ontinuation</w:t>
      </w:r>
      <w:r>
        <w:rPr>
          <w:rFonts w:asciiTheme="majorHAnsi" w:hAnsiTheme="majorHAnsi"/>
          <w:sz w:val="16"/>
          <w:szCs w:val="16"/>
        </w:rPr>
        <w:t>]</w:t>
      </w:r>
    </w:p>
  </w:footnote>
  <w:footnote w:type="continuationNotice" w:id="1">
    <w:p w14:paraId="6807C958" w14:textId="77777777" w:rsidR="009156B0" w:rsidRPr="0093441A" w:rsidRDefault="009156B0" w:rsidP="005B222D">
      <w:pPr>
        <w:jc w:val="right"/>
        <w:rPr>
          <w:rFonts w:asciiTheme="majorHAnsi" w:hAnsiTheme="majorHAnsi"/>
          <w:sz w:val="16"/>
          <w:szCs w:val="16"/>
          <w:lang w:val="es-ES_tradnl"/>
        </w:rPr>
      </w:pPr>
      <w:r>
        <w:rPr>
          <w:rFonts w:asciiTheme="majorHAnsi" w:hAnsiTheme="majorHAnsi"/>
          <w:sz w:val="16"/>
          <w:szCs w:val="16"/>
        </w:rPr>
        <w:t>[</w:t>
      </w:r>
      <w:r w:rsidRPr="0093441A">
        <w:rPr>
          <w:rFonts w:asciiTheme="majorHAnsi" w:hAnsiTheme="majorHAnsi"/>
          <w:sz w:val="16"/>
          <w:szCs w:val="16"/>
        </w:rPr>
        <w:t>contin</w:t>
      </w:r>
      <w:r>
        <w:rPr>
          <w:rFonts w:asciiTheme="majorHAnsi" w:hAnsiTheme="majorHAnsi"/>
          <w:sz w:val="16"/>
          <w:szCs w:val="16"/>
        </w:rPr>
        <w:t xml:space="preserve">ues </w:t>
      </w:r>
      <w:r w:rsidRPr="0093441A">
        <w:rPr>
          <w:rFonts w:asciiTheme="majorHAnsi" w:hAnsiTheme="majorHAnsi"/>
          <w:sz w:val="16"/>
          <w:szCs w:val="16"/>
        </w:rPr>
        <w:t>…</w:t>
      </w:r>
      <w:r>
        <w:rPr>
          <w:rFonts w:asciiTheme="majorHAnsi" w:hAnsiTheme="majorHAnsi"/>
          <w:sz w:val="16"/>
          <w:szCs w:val="16"/>
        </w:rPr>
        <w:t>]</w:t>
      </w:r>
    </w:p>
  </w:footnote>
  <w:footnote w:id="2">
    <w:p w14:paraId="26BB483F" w14:textId="77777777" w:rsidR="00300FCA" w:rsidRPr="00837954" w:rsidRDefault="00300FCA" w:rsidP="00300FCA">
      <w:pPr>
        <w:pStyle w:val="p1"/>
        <w:ind w:right="4" w:firstLine="709"/>
        <w:jc w:val="both"/>
        <w:rPr>
          <w:rFonts w:asciiTheme="majorHAnsi" w:hAnsiTheme="majorHAnsi"/>
          <w:sz w:val="16"/>
          <w:szCs w:val="16"/>
        </w:rPr>
      </w:pPr>
      <w:r>
        <w:rPr>
          <w:rStyle w:val="FootnoteReference"/>
          <w:rFonts w:ascii="Cambria" w:hAnsi="Cambria"/>
          <w:sz w:val="16"/>
          <w:szCs w:val="16"/>
        </w:rPr>
        <w:footnoteRef/>
      </w:r>
      <w:r>
        <w:rPr>
          <w:rFonts w:ascii="Cambria" w:hAnsi="Cambria"/>
          <w:sz w:val="16"/>
        </w:rPr>
        <w:t>Pursuant to Article 17(2)(a) of the Rules of Procedure of the IACHR, Commissioner Carlos Bernal Pulido, a Colombian national, did not participate in the discussion or decision on this case</w:t>
      </w:r>
      <w:r>
        <w:rPr>
          <w:sz w:val="16"/>
        </w:rPr>
        <w:t>.</w:t>
      </w:r>
    </w:p>
  </w:footnote>
  <w:footnote w:id="3">
    <w:p w14:paraId="28329ED2" w14:textId="4E9F745C" w:rsidR="00560AC9" w:rsidRPr="00AD3925" w:rsidRDefault="00560AC9" w:rsidP="00560AC9">
      <w:pPr>
        <w:pStyle w:val="p1"/>
        <w:ind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The FSA was jointly amended by the parties on March 3 and December 11, 2017</w:t>
      </w:r>
      <w:r w:rsidR="00F23C1C">
        <w:rPr>
          <w:rFonts w:asciiTheme="majorHAnsi" w:hAnsiTheme="majorHAnsi"/>
          <w:sz w:val="16"/>
        </w:rPr>
        <w:t>,</w:t>
      </w:r>
      <w:r>
        <w:rPr>
          <w:rFonts w:asciiTheme="majorHAnsi" w:hAnsiTheme="majorHAnsi"/>
          <w:sz w:val="16"/>
        </w:rPr>
        <w:t xml:space="preserve"> and on February 12, 2019. This original FSA included all the alleged victims mentioned in the original petition.</w:t>
      </w:r>
    </w:p>
  </w:footnote>
  <w:footnote w:id="4">
    <w:p w14:paraId="3903AA58" w14:textId="67CC88C6" w:rsidR="00560AC9" w:rsidRPr="002D3B35" w:rsidRDefault="00560AC9" w:rsidP="00560AC9">
      <w:pPr>
        <w:pStyle w:val="FootnoteText"/>
        <w:ind w:firstLine="709"/>
        <w:jc w:val="both"/>
        <w:rPr>
          <w:rFonts w:asciiTheme="majorHAnsi" w:hAnsiTheme="majorHAnsi"/>
          <w:sz w:val="16"/>
          <w:szCs w:val="16"/>
        </w:rPr>
      </w:pPr>
      <w:r>
        <w:rPr>
          <w:rStyle w:val="FootnoteReference"/>
          <w:rFonts w:asciiTheme="majorHAnsi" w:hAnsiTheme="majorHAnsi"/>
          <w:sz w:val="16"/>
          <w:szCs w:val="16"/>
        </w:rPr>
        <w:footnoteRef/>
      </w:r>
      <w:r w:rsidR="00F366CF">
        <w:rPr>
          <w:rFonts w:asciiTheme="majorHAnsi" w:hAnsiTheme="majorHAnsi"/>
          <w:sz w:val="16"/>
        </w:rPr>
        <w:t xml:space="preserve"> </w:t>
      </w:r>
      <w:r>
        <w:rPr>
          <w:rFonts w:asciiTheme="majorHAnsi" w:hAnsiTheme="majorHAnsi"/>
          <w:sz w:val="16"/>
        </w:rPr>
        <w:t xml:space="preserve">On this, see </w:t>
      </w:r>
      <w:hyperlink r:id="rId1" w:history="1">
        <w:r>
          <w:rPr>
            <w:rStyle w:val="Hyperlink"/>
            <w:rFonts w:asciiTheme="majorHAnsi" w:hAnsiTheme="majorHAnsi"/>
            <w:sz w:val="16"/>
          </w:rPr>
          <w:t>IACHR, Report No. 34/19. Case 11,990 A, Friendly Settlement, Oscar Orlando Bueno Bonnet and Others, Colombia. March 29, 2019</w:t>
        </w:r>
        <w:r w:rsidR="00682FED">
          <w:rPr>
            <w:rStyle w:val="Hyperlink"/>
            <w:rFonts w:asciiTheme="majorHAnsi" w:hAnsiTheme="majorHAnsi"/>
            <w:sz w:val="16"/>
          </w:rPr>
          <w:t>.</w:t>
        </w:r>
        <w:r>
          <w:rPr>
            <w:rStyle w:val="Hyperlink"/>
            <w:rFonts w:asciiTheme="majorHAnsi" w:hAnsiTheme="majorHAnsi"/>
            <w:sz w:val="16"/>
          </w:rPr>
          <w:t xml:space="preserve"> </w:t>
        </w:r>
      </w:hyperlink>
    </w:p>
  </w:footnote>
  <w:footnote w:id="5">
    <w:p w14:paraId="03406973" w14:textId="77777777" w:rsidR="00674DB5" w:rsidRPr="00A40061" w:rsidRDefault="00674DB5" w:rsidP="00674DB5">
      <w:pPr>
        <w:pStyle w:val="FootnoteText"/>
        <w:ind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Friendly Settlement Agreement of May 6, 2015; Addendum dated March 3, 2017; Addendum dated December 1, 2017; Final Friendly Settlement Agreement.</w:t>
      </w:r>
    </w:p>
  </w:footnote>
  <w:footnote w:id="6">
    <w:p w14:paraId="0A1C7330" w14:textId="77777777" w:rsidR="009D579D" w:rsidRPr="00A40061" w:rsidRDefault="009D579D" w:rsidP="009D579D">
      <w:pPr>
        <w:pStyle w:val="FootnoteText"/>
        <w:ind w:right="4"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Special Jurisdiction for Peace, Chamber for the Definition of Legal Situations, Resolution SDSJ No. 531 of February 14, 2023.</w:t>
      </w:r>
    </w:p>
  </w:footnote>
  <w:footnote w:id="7">
    <w:p w14:paraId="2C2E34E2" w14:textId="77777777" w:rsidR="009D579D" w:rsidRPr="00A40061" w:rsidRDefault="009D579D" w:rsidP="009D579D">
      <w:pPr>
        <w:pStyle w:val="FootnoteText"/>
        <w:ind w:right="4"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Colectivo de Abogados y </w:t>
      </w:r>
      <w:proofErr w:type="spellStart"/>
      <w:r>
        <w:rPr>
          <w:rFonts w:asciiTheme="majorHAnsi" w:hAnsiTheme="majorHAnsi"/>
          <w:sz w:val="16"/>
        </w:rPr>
        <w:t>Abogadas</w:t>
      </w:r>
      <w:proofErr w:type="spellEnd"/>
      <w:r>
        <w:rPr>
          <w:rFonts w:asciiTheme="majorHAnsi" w:hAnsiTheme="majorHAnsi"/>
          <w:sz w:val="16"/>
        </w:rPr>
        <w:t xml:space="preserve"> José Alvear Restrepo, </w:t>
      </w:r>
      <w:proofErr w:type="spellStart"/>
      <w:r>
        <w:rPr>
          <w:rFonts w:asciiTheme="majorHAnsi" w:hAnsiTheme="majorHAnsi"/>
          <w:sz w:val="16"/>
        </w:rPr>
        <w:t>Humanidad</w:t>
      </w:r>
      <w:proofErr w:type="spellEnd"/>
      <w:r>
        <w:rPr>
          <w:rFonts w:asciiTheme="majorHAnsi" w:hAnsiTheme="majorHAnsi"/>
          <w:sz w:val="16"/>
        </w:rPr>
        <w:t xml:space="preserve"> </w:t>
      </w:r>
      <w:proofErr w:type="spellStart"/>
      <w:r>
        <w:rPr>
          <w:rFonts w:asciiTheme="majorHAnsi" w:hAnsiTheme="majorHAnsi"/>
          <w:sz w:val="16"/>
        </w:rPr>
        <w:t>Vigente</w:t>
      </w:r>
      <w:proofErr w:type="spellEnd"/>
      <w:r>
        <w:rPr>
          <w:rFonts w:asciiTheme="majorHAnsi" w:hAnsiTheme="majorHAnsi"/>
          <w:sz w:val="16"/>
        </w:rPr>
        <w:t xml:space="preserve"> Corporación Jurídica, e-mail dated July 25, 2023.</w:t>
      </w:r>
    </w:p>
  </w:footnote>
  <w:footnote w:id="8">
    <w:p w14:paraId="307CC0E7" w14:textId="77777777" w:rsidR="00674DB5" w:rsidRPr="00A40061" w:rsidRDefault="00674DB5" w:rsidP="00674DB5">
      <w:pPr>
        <w:pStyle w:val="FootnoteText"/>
        <w:ind w:right="4"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Ibid.</w:t>
      </w:r>
    </w:p>
  </w:footnote>
  <w:footnote w:id="9">
    <w:p w14:paraId="3D01294C" w14:textId="77777777" w:rsidR="00674DB5" w:rsidRPr="00A40061" w:rsidRDefault="00674DB5" w:rsidP="00674DB5">
      <w:pPr>
        <w:pStyle w:val="FootnoteText"/>
        <w:ind w:right="4"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Ibid.</w:t>
      </w:r>
    </w:p>
  </w:footnote>
  <w:footnote w:id="10">
    <w:p w14:paraId="709A181B" w14:textId="77777777" w:rsidR="00674DB5" w:rsidRPr="00A40061" w:rsidRDefault="00674DB5" w:rsidP="00674DB5">
      <w:pPr>
        <w:pStyle w:val="FootnoteText"/>
        <w:ind w:right="4"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Ibid.</w:t>
      </w:r>
    </w:p>
  </w:footnote>
  <w:footnote w:id="11">
    <w:p w14:paraId="629BB94B" w14:textId="77777777" w:rsidR="00674DB5" w:rsidRPr="00A40061" w:rsidRDefault="00674DB5" w:rsidP="00674DB5">
      <w:pPr>
        <w:pStyle w:val="FootnoteText"/>
        <w:ind w:right="4"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Ibid.</w:t>
      </w:r>
    </w:p>
  </w:footnote>
  <w:footnote w:id="12">
    <w:p w14:paraId="0B206B42" w14:textId="77777777" w:rsidR="00674DB5" w:rsidRPr="00A40061" w:rsidRDefault="00674DB5" w:rsidP="00674DB5">
      <w:pPr>
        <w:pStyle w:val="FootnoteText"/>
        <w:ind w:right="4"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w:t>
      </w:r>
      <w:proofErr w:type="gramStart"/>
      <w:r>
        <w:rPr>
          <w:rFonts w:asciiTheme="majorHAnsi" w:hAnsiTheme="majorHAnsi"/>
          <w:sz w:val="16"/>
        </w:rPr>
        <w:t>Ibid;</w:t>
      </w:r>
      <w:proofErr w:type="gramEnd"/>
      <w:r>
        <w:rPr>
          <w:rFonts w:asciiTheme="majorHAnsi" w:hAnsiTheme="majorHAnsi"/>
          <w:sz w:val="16"/>
        </w:rPr>
        <w:t xml:space="preserve"> Special Jurisdiction for Peace, Chamber for the Definition of Legal Situations, official letter of February 14, 2023.</w:t>
      </w:r>
    </w:p>
  </w:footnote>
  <w:footnote w:id="13">
    <w:p w14:paraId="75BF83DD" w14:textId="77777777" w:rsidR="00674DB5" w:rsidRPr="00A40061" w:rsidRDefault="00674DB5" w:rsidP="00674DB5">
      <w:pPr>
        <w:pStyle w:val="FootnoteText"/>
        <w:ind w:right="4"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Special Jurisdiction for Peace, Chamber for the Definition of Legal Situations, official letter of February 14, 2023.</w:t>
      </w:r>
    </w:p>
  </w:footnote>
  <w:footnote w:id="14">
    <w:p w14:paraId="4F329AAA" w14:textId="77777777" w:rsidR="00674DB5" w:rsidRPr="00A40061" w:rsidRDefault="00674DB5" w:rsidP="00674DB5">
      <w:pPr>
        <w:pStyle w:val="FootnoteText"/>
        <w:ind w:right="4"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Special Jurisdiction for Peace, Chamber for the Definition of Legal Situations, Resolution SDSJ No. 531 of February 14, 2023.</w:t>
      </w:r>
    </w:p>
  </w:footnote>
  <w:footnote w:id="15">
    <w:p w14:paraId="63643C74" w14:textId="77777777" w:rsidR="00674DB5" w:rsidRPr="003542B4" w:rsidRDefault="00674DB5" w:rsidP="00674DB5">
      <w:pPr>
        <w:pStyle w:val="FootnoteText"/>
        <w:ind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Special Jurisdiction for Peace, Chamber for the Definition of Legal Situations, official letter of February 14, 2023.</w:t>
      </w:r>
    </w:p>
  </w:footnote>
  <w:footnote w:id="16">
    <w:p w14:paraId="17702009" w14:textId="77777777" w:rsidR="00674DB5" w:rsidRPr="00FB4F03" w:rsidRDefault="00674DB5" w:rsidP="00674DB5">
      <w:pPr>
        <w:pStyle w:val="FootnoteText"/>
        <w:ind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Special Jurisdiction for Peace, Chamber for the Definition of Legal Situations, Resolution SDSJ No. 531 of February 14, 2023.</w:t>
      </w:r>
    </w:p>
  </w:footnote>
  <w:footnote w:id="17">
    <w:p w14:paraId="4389B058" w14:textId="77777777" w:rsidR="00674DB5" w:rsidRPr="00FB4F03" w:rsidRDefault="00674DB5" w:rsidP="00674DB5">
      <w:pPr>
        <w:pStyle w:val="FootnoteText"/>
        <w:ind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Special Jurisdiction for Peace, Chamber for the Definition of Legal Situations, Resolution SDS] No. 531 of February 14, 2023.</w:t>
      </w:r>
    </w:p>
  </w:footnote>
  <w:footnote w:id="18">
    <w:p w14:paraId="143EE6DB" w14:textId="77777777" w:rsidR="00674DB5" w:rsidRPr="00FB4F03" w:rsidRDefault="00674DB5" w:rsidP="00674DB5">
      <w:pPr>
        <w:pStyle w:val="FootnoteText"/>
        <w:ind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Special Jurisdiction for Peace, Chamber for the Definition of Legal Situations, official letter of February 14, 2023.</w:t>
      </w:r>
    </w:p>
  </w:footnote>
  <w:footnote w:id="19">
    <w:p w14:paraId="4C2B0C97" w14:textId="77777777" w:rsidR="00674DB5" w:rsidRPr="00FB4F03" w:rsidRDefault="00674DB5" w:rsidP="00674DB5">
      <w:pPr>
        <w:pStyle w:val="FootnoteText"/>
        <w:ind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Court file: 817363104001201400003 Summary No.: 3964.</w:t>
      </w:r>
    </w:p>
  </w:footnote>
  <w:footnote w:id="20">
    <w:p w14:paraId="45C39158" w14:textId="05E6F2A0" w:rsidR="00674DB5" w:rsidRPr="00FB4F03" w:rsidRDefault="00674DB5" w:rsidP="00E75013">
      <w:pPr>
        <w:pStyle w:val="FootnoteText"/>
        <w:ind w:firstLine="709"/>
        <w:jc w:val="both"/>
      </w:pPr>
      <w:r>
        <w:rPr>
          <w:rStyle w:val="FootnoteReference"/>
          <w:rFonts w:asciiTheme="majorHAnsi" w:hAnsiTheme="majorHAnsi"/>
          <w:sz w:val="16"/>
          <w:szCs w:val="16"/>
        </w:rPr>
        <w:footnoteRef/>
      </w:r>
      <w:r>
        <w:rPr>
          <w:rFonts w:asciiTheme="majorHAnsi" w:hAnsiTheme="majorHAnsi"/>
          <w:sz w:val="16"/>
        </w:rPr>
        <w:t xml:space="preserve">This is in accordance with the jurisprudence of the Inter-American Court of Human Rights. See, I/A Court H.R. Case of the Afro-descendant communities displaced from the </w:t>
      </w:r>
      <w:proofErr w:type="spellStart"/>
      <w:r>
        <w:rPr>
          <w:rFonts w:asciiTheme="majorHAnsi" w:hAnsiTheme="majorHAnsi"/>
          <w:sz w:val="16"/>
        </w:rPr>
        <w:t>Cacarica</w:t>
      </w:r>
      <w:proofErr w:type="spellEnd"/>
      <w:r>
        <w:rPr>
          <w:rFonts w:asciiTheme="majorHAnsi" w:hAnsiTheme="majorHAnsi"/>
          <w:sz w:val="16"/>
        </w:rPr>
        <w:t xml:space="preserve"> River Basin (Operation Genesis) v. Colombia. (Preliminary Objections, Merits, Reparations, and Costs)</w:t>
      </w:r>
      <w:r w:rsidR="00FF6983">
        <w:rPr>
          <w:rFonts w:asciiTheme="majorHAnsi" w:hAnsiTheme="majorHAnsi"/>
          <w:sz w:val="16"/>
        </w:rPr>
        <w:t xml:space="preserve">. </w:t>
      </w:r>
      <w:r>
        <w:rPr>
          <w:rFonts w:asciiTheme="majorHAnsi" w:hAnsiTheme="majorHAnsi"/>
          <w:sz w:val="16"/>
        </w:rPr>
        <w:t>Judgment of November 20, 2013. Series C No. 270, par. 425.</w:t>
      </w:r>
    </w:p>
  </w:footnote>
  <w:footnote w:id="21">
    <w:p w14:paraId="7AABB156" w14:textId="77777777" w:rsidR="00674DB5" w:rsidRPr="00715C2E" w:rsidRDefault="00674DB5" w:rsidP="00674DB5">
      <w:pPr>
        <w:pStyle w:val="FootnoteText"/>
        <w:ind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Text agreed to by the parties at the meeting of November 10, 2022; Ministry of National Defense, Official Letter No. RS20221209129842 of December 9, 2022. Meeting on October 5, 2023 </w:t>
      </w:r>
    </w:p>
  </w:footnote>
  <w:footnote w:id="22">
    <w:p w14:paraId="27BF1E50" w14:textId="6C2F3C25" w:rsidR="00674DB5" w:rsidRPr="00EE7558" w:rsidRDefault="00674DB5" w:rsidP="00674DB5">
      <w:pPr>
        <w:pStyle w:val="FootnoteText"/>
        <w:ind w:firstLine="709"/>
        <w:jc w:val="both"/>
        <w:rPr>
          <w:rFonts w:asciiTheme="majorHAnsi" w:hAnsiTheme="majorHAnsi"/>
          <w:sz w:val="16"/>
          <w:szCs w:val="16"/>
        </w:rPr>
      </w:pPr>
      <w:r>
        <w:rPr>
          <w:rStyle w:val="FootnoteReference"/>
          <w:rFonts w:asciiTheme="majorHAnsi" w:hAnsiTheme="majorHAnsi"/>
          <w:sz w:val="16"/>
          <w:szCs w:val="16"/>
        </w:rPr>
        <w:footnoteRef/>
      </w:r>
      <w:r>
        <w:t xml:space="preserve"> </w:t>
      </w:r>
      <w:r>
        <w:rPr>
          <w:rFonts w:asciiTheme="majorHAnsi" w:hAnsiTheme="majorHAnsi"/>
          <w:sz w:val="16"/>
        </w:rPr>
        <w:t>Office of the Office of the Attorney General, e-mail November 9, 2023.</w:t>
      </w:r>
    </w:p>
  </w:footnote>
  <w:footnote w:id="23">
    <w:p w14:paraId="69FAB675" w14:textId="77777777" w:rsidR="00674DB5" w:rsidRPr="00A35962" w:rsidRDefault="00674DB5" w:rsidP="00674DB5">
      <w:pPr>
        <w:pStyle w:val="FootnoteText"/>
        <w:ind w:firstLine="709"/>
        <w:jc w:val="both"/>
      </w:pPr>
      <w:r>
        <w:rPr>
          <w:rStyle w:val="FootnoteReference"/>
          <w:rFonts w:asciiTheme="majorHAnsi" w:hAnsiTheme="majorHAnsi"/>
          <w:sz w:val="16"/>
          <w:szCs w:val="16"/>
        </w:rPr>
        <w:footnoteRef/>
      </w:r>
      <w:r>
        <w:t xml:space="preserve"> </w:t>
      </w:r>
      <w:r>
        <w:rPr>
          <w:rFonts w:asciiTheme="majorHAnsi" w:hAnsiTheme="majorHAnsi"/>
          <w:sz w:val="16"/>
        </w:rPr>
        <w:t>Office of the Office of the Attorney General of the Nation, e-mail dated November 9, 2023.</w:t>
      </w:r>
    </w:p>
  </w:footnote>
  <w:footnote w:id="24">
    <w:p w14:paraId="523686B6" w14:textId="77777777" w:rsidR="00674DB5" w:rsidRPr="00051AF7" w:rsidRDefault="00674DB5" w:rsidP="00674DB5">
      <w:pPr>
        <w:pStyle w:val="FootnoteText"/>
        <w:ind w:firstLine="709"/>
        <w:jc w:val="both"/>
        <w:rPr>
          <w:rFonts w:asciiTheme="majorHAnsi" w:hAnsiTheme="majorHAnsi"/>
          <w:sz w:val="16"/>
          <w:szCs w:val="16"/>
        </w:rPr>
      </w:pPr>
      <w:r>
        <w:rPr>
          <w:rStyle w:val="FootnoteReference"/>
          <w:rFonts w:asciiTheme="majorHAnsi" w:hAnsiTheme="majorHAnsi"/>
          <w:sz w:val="16"/>
          <w:szCs w:val="16"/>
        </w:rPr>
        <w:footnoteRef/>
      </w:r>
      <w:r>
        <w:rPr>
          <w:rFonts w:asciiTheme="majorHAnsi" w:hAnsiTheme="majorHAnsi"/>
          <w:sz w:val="16"/>
        </w:rPr>
        <w:t xml:space="preserve"> Ministry of Health and Social Protection, Official Letter No. 202316100036551 of January 10, 2023.</w:t>
      </w:r>
    </w:p>
  </w:footnote>
  <w:footnote w:id="25">
    <w:p w14:paraId="10DAD6A7" w14:textId="77777777" w:rsidR="00674DB5" w:rsidRPr="003A5ED7" w:rsidRDefault="00674DB5" w:rsidP="00674DB5">
      <w:pPr>
        <w:pStyle w:val="FootnoteText"/>
        <w:ind w:firstLine="709"/>
        <w:jc w:val="both"/>
        <w:rPr>
          <w:rFonts w:ascii="Cambria" w:hAnsi="Cambria"/>
          <w:sz w:val="16"/>
          <w:szCs w:val="16"/>
        </w:rPr>
      </w:pPr>
      <w:r>
        <w:rPr>
          <w:rStyle w:val="FootnoteReference"/>
          <w:rFonts w:ascii="Cambria" w:hAnsi="Cambria"/>
          <w:sz w:val="16"/>
          <w:szCs w:val="16"/>
        </w:rPr>
        <w:footnoteRef/>
      </w:r>
      <w:r>
        <w:t xml:space="preserve"> </w:t>
      </w:r>
      <w:r>
        <w:rPr>
          <w:rFonts w:ascii="Cambria" w:hAnsi="Cambria"/>
          <w:sz w:val="16"/>
        </w:rPr>
        <w:t>Presidential Advisory Office for Human Rights and International Humanitarian Law, e-mail dated October 4, 2023.</w:t>
      </w:r>
    </w:p>
  </w:footnote>
  <w:footnote w:id="26">
    <w:p w14:paraId="249DD393" w14:textId="77777777" w:rsidR="00805112" w:rsidRDefault="00805112" w:rsidP="00805112">
      <w:pPr>
        <w:pStyle w:val="FootnoteText"/>
        <w:ind w:firstLine="720"/>
        <w:jc w:val="both"/>
        <w:rPr>
          <w:rFonts w:asciiTheme="majorHAnsi" w:hAnsiTheme="majorHAnsi"/>
          <w:sz w:val="16"/>
          <w:szCs w:val="16"/>
          <w:bdr w:val="none" w:sz="0" w:space="0" w:color="auto" w:frame="1"/>
        </w:rPr>
      </w:pPr>
      <w:r w:rsidRPr="00E75013">
        <w:rPr>
          <w:rStyle w:val="FootnoteReference"/>
          <w:rFonts w:asciiTheme="majorHAnsi" w:hAnsiTheme="majorHAnsi"/>
          <w:sz w:val="16"/>
          <w:szCs w:val="16"/>
          <w:lang w:val="en"/>
        </w:rPr>
        <w:footnoteRef/>
      </w:r>
      <w:r w:rsidRPr="00E75013">
        <w:rPr>
          <w:rFonts w:asciiTheme="majorHAnsi" w:hAnsiTheme="majorHAnsi"/>
          <w:sz w:val="16"/>
        </w:rPr>
        <w:t xml:space="preserve"> Vienna Convention on the Law of Treaties, U.N. Doc A/CONF.39/27 (1969), Article 26: </w:t>
      </w:r>
      <w:r w:rsidRPr="00E75013">
        <w:rPr>
          <w:rFonts w:asciiTheme="majorHAnsi" w:hAnsiTheme="majorHAnsi"/>
          <w:b/>
          <w:sz w:val="16"/>
        </w:rPr>
        <w:t xml:space="preserve">"Pacta sunt </w:t>
      </w:r>
      <w:proofErr w:type="spellStart"/>
      <w:r w:rsidRPr="00E75013">
        <w:rPr>
          <w:rFonts w:asciiTheme="majorHAnsi" w:hAnsiTheme="majorHAnsi"/>
          <w:b/>
          <w:sz w:val="16"/>
        </w:rPr>
        <w:t>servanda</w:t>
      </w:r>
      <w:proofErr w:type="spellEnd"/>
      <w:r w:rsidRPr="00E75013">
        <w:rPr>
          <w:rFonts w:asciiTheme="majorHAnsi" w:hAnsiTheme="majorHAnsi"/>
          <w:b/>
          <w:sz w:val="16"/>
        </w:rPr>
        <w:t>"</w:t>
      </w:r>
      <w:r w:rsidRPr="00E75013">
        <w:rPr>
          <w:rFonts w:asciiTheme="majorHAnsi" w:hAnsiTheme="majorHAnsi"/>
          <w:sz w:val="16"/>
        </w:rPr>
        <w:t xml:space="preserve"> </w:t>
      </w:r>
      <w:r w:rsidRPr="00E75013">
        <w:rPr>
          <w:rFonts w:asciiTheme="majorHAnsi" w:hAnsiTheme="majorHAnsi"/>
          <w:i/>
          <w:sz w:val="16"/>
        </w:rPr>
        <w:t>Every treaty in force is binding upon the parties to it and must be performed by them in good faith.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4E1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695495C"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A234" w14:textId="77777777" w:rsidR="002C1641" w:rsidRDefault="002C1641" w:rsidP="002C1641">
    <w:pPr>
      <w:pStyle w:val="Header"/>
      <w:tabs>
        <w:tab w:val="clear" w:pos="4320"/>
        <w:tab w:val="clear" w:pos="8640"/>
      </w:tabs>
      <w:jc w:val="center"/>
      <w:rPr>
        <w:sz w:val="22"/>
        <w:szCs w:val="22"/>
      </w:rPr>
    </w:pPr>
    <w:r>
      <w:rPr>
        <w:noProof/>
        <w:sz w:val="22"/>
      </w:rPr>
      <w:drawing>
        <wp:inline distT="0" distB="0" distL="0" distR="0" wp14:anchorId="3275A568" wp14:editId="66576603">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6B106AF2" w14:textId="77777777" w:rsidR="00040C3A" w:rsidRPr="00EC7D62" w:rsidRDefault="00000000" w:rsidP="002C1641">
    <w:pPr>
      <w:pStyle w:val="Header"/>
      <w:tabs>
        <w:tab w:val="clear" w:pos="4320"/>
        <w:tab w:val="clear" w:pos="8640"/>
      </w:tabs>
      <w:jc w:val="center"/>
      <w:rPr>
        <w:sz w:val="22"/>
        <w:szCs w:val="22"/>
      </w:rPr>
    </w:pPr>
    <w:r>
      <w:rPr>
        <w:sz w:val="22"/>
      </w:rPr>
      <w:pict w14:anchorId="41F17C1F">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32A695D"/>
    <w:multiLevelType w:val="hybridMultilevel"/>
    <w:tmpl w:val="FD16F9BE"/>
    <w:lvl w:ilvl="0" w:tplc="4D66A434">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03B7A6E"/>
    <w:multiLevelType w:val="hybridMultilevel"/>
    <w:tmpl w:val="5C4C413E"/>
    <w:lvl w:ilvl="0" w:tplc="4828BE86">
      <w:start w:val="16"/>
      <w:numFmt w:val="decimal"/>
      <w:lvlText w:val="%1."/>
      <w:lvlJc w:val="left"/>
      <w:pPr>
        <w:ind w:left="1530" w:hanging="360"/>
      </w:pPr>
      <w:rPr>
        <w:rFonts w:hint="default"/>
        <w:b w:val="0"/>
        <w:i w:val="0"/>
        <w:iCs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7C4A48"/>
    <w:multiLevelType w:val="hybridMultilevel"/>
    <w:tmpl w:val="93C44532"/>
    <w:lvl w:ilvl="0" w:tplc="EE745CE0">
      <w:start w:val="1"/>
      <w:numFmt w:val="decimal"/>
      <w:lvlText w:val="%1."/>
      <w:lvlJc w:val="left"/>
      <w:pPr>
        <w:ind w:left="1069" w:hanging="360"/>
      </w:pPr>
      <w:rPr>
        <w:rFonts w:hint="default"/>
        <w:b w:val="0"/>
        <w:bCs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E57966"/>
    <w:multiLevelType w:val="hybridMultilevel"/>
    <w:tmpl w:val="8ED88606"/>
    <w:lvl w:ilvl="0" w:tplc="98E639E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3D2D1519"/>
    <w:multiLevelType w:val="multilevel"/>
    <w:tmpl w:val="19E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5300302"/>
    <w:multiLevelType w:val="hybridMultilevel"/>
    <w:tmpl w:val="A6882412"/>
    <w:lvl w:ilvl="0" w:tplc="46F80B34">
      <w:start w:val="1"/>
      <w:numFmt w:val="decimal"/>
      <w:lvlText w:val="%1."/>
      <w:lvlJc w:val="left"/>
      <w:pPr>
        <w:ind w:left="1530" w:hanging="360"/>
      </w:pPr>
      <w:rPr>
        <w:b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7504DFC"/>
    <w:multiLevelType w:val="hybridMultilevel"/>
    <w:tmpl w:val="FA80B6DE"/>
    <w:lvl w:ilvl="0" w:tplc="F3C21A76">
      <w:start w:val="8"/>
      <w:numFmt w:val="decimal"/>
      <w:lvlText w:val="%1."/>
      <w:lvlJc w:val="left"/>
      <w:pPr>
        <w:tabs>
          <w:tab w:val="num" w:pos="720"/>
        </w:tabs>
        <w:ind w:left="720" w:hanging="360"/>
      </w:pPr>
      <w:rPr>
        <w:rFonts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7"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5FB1601C"/>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8D6347"/>
    <w:multiLevelType w:val="hybridMultilevel"/>
    <w:tmpl w:val="941EC41C"/>
    <w:lvl w:ilvl="0" w:tplc="1BDACFBC">
      <w:start w:val="1"/>
      <w:numFmt w:val="decimal"/>
      <w:lvlText w:val="%1."/>
      <w:lvlJc w:val="left"/>
      <w:pPr>
        <w:ind w:left="357" w:hanging="434"/>
        <w:jc w:val="right"/>
      </w:pPr>
      <w:rPr>
        <w:rFonts w:hint="default"/>
        <w:spacing w:val="-1"/>
        <w:w w:val="118"/>
        <w:lang w:val="es-ES" w:eastAsia="en-US" w:bidi="ar-SA"/>
      </w:rPr>
    </w:lvl>
    <w:lvl w:ilvl="1" w:tplc="85966C82">
      <w:start w:val="1"/>
      <w:numFmt w:val="upperRoman"/>
      <w:lvlText w:val="%2."/>
      <w:lvlJc w:val="left"/>
      <w:pPr>
        <w:ind w:left="1416" w:hanging="724"/>
      </w:pPr>
      <w:rPr>
        <w:rFonts w:hint="default"/>
        <w:b/>
        <w:bCs/>
        <w:spacing w:val="-1"/>
        <w:w w:val="104"/>
        <w:lang w:val="es-ES" w:eastAsia="en-US" w:bidi="ar-SA"/>
      </w:rPr>
    </w:lvl>
    <w:lvl w:ilvl="2" w:tplc="0B5666A0">
      <w:start w:val="1"/>
      <w:numFmt w:val="lowerLetter"/>
      <w:lvlText w:val="%3)"/>
      <w:lvlJc w:val="left"/>
      <w:pPr>
        <w:ind w:left="1018" w:hanging="360"/>
      </w:pPr>
      <w:rPr>
        <w:rFonts w:asciiTheme="majorHAnsi" w:eastAsia="Arial" w:hAnsiTheme="majorHAnsi" w:cs="Arial" w:hint="default"/>
        <w:b w:val="0"/>
        <w:bCs w:val="0"/>
        <w:i w:val="0"/>
        <w:iCs w:val="0"/>
        <w:spacing w:val="-1"/>
        <w:w w:val="98"/>
        <w:sz w:val="18"/>
        <w:szCs w:val="18"/>
        <w:lang w:val="es-ES" w:eastAsia="en-US" w:bidi="ar-SA"/>
      </w:rPr>
    </w:lvl>
    <w:lvl w:ilvl="3" w:tplc="F9283038">
      <w:numFmt w:val="bullet"/>
      <w:lvlText w:val="•"/>
      <w:lvlJc w:val="left"/>
      <w:pPr>
        <w:ind w:left="2412" w:hanging="357"/>
      </w:pPr>
      <w:rPr>
        <w:rFonts w:hint="default"/>
        <w:lang w:val="es-ES" w:eastAsia="en-US" w:bidi="ar-SA"/>
      </w:rPr>
    </w:lvl>
    <w:lvl w:ilvl="4" w:tplc="40764F44">
      <w:numFmt w:val="bullet"/>
      <w:lvlText w:val="•"/>
      <w:lvlJc w:val="left"/>
      <w:pPr>
        <w:ind w:left="3405" w:hanging="357"/>
      </w:pPr>
      <w:rPr>
        <w:rFonts w:hint="default"/>
        <w:lang w:val="es-ES" w:eastAsia="en-US" w:bidi="ar-SA"/>
      </w:rPr>
    </w:lvl>
    <w:lvl w:ilvl="5" w:tplc="70781B34">
      <w:numFmt w:val="bullet"/>
      <w:lvlText w:val="•"/>
      <w:lvlJc w:val="left"/>
      <w:pPr>
        <w:ind w:left="4397" w:hanging="357"/>
      </w:pPr>
      <w:rPr>
        <w:rFonts w:hint="default"/>
        <w:lang w:val="es-ES" w:eastAsia="en-US" w:bidi="ar-SA"/>
      </w:rPr>
    </w:lvl>
    <w:lvl w:ilvl="6" w:tplc="FE40A4C6">
      <w:numFmt w:val="bullet"/>
      <w:lvlText w:val="•"/>
      <w:lvlJc w:val="left"/>
      <w:pPr>
        <w:ind w:left="5390" w:hanging="357"/>
      </w:pPr>
      <w:rPr>
        <w:rFonts w:hint="default"/>
        <w:lang w:val="es-ES" w:eastAsia="en-US" w:bidi="ar-SA"/>
      </w:rPr>
    </w:lvl>
    <w:lvl w:ilvl="7" w:tplc="D3DE6AAE">
      <w:numFmt w:val="bullet"/>
      <w:lvlText w:val="•"/>
      <w:lvlJc w:val="left"/>
      <w:pPr>
        <w:ind w:left="6382" w:hanging="357"/>
      </w:pPr>
      <w:rPr>
        <w:rFonts w:hint="default"/>
        <w:lang w:val="es-ES" w:eastAsia="en-US" w:bidi="ar-SA"/>
      </w:rPr>
    </w:lvl>
    <w:lvl w:ilvl="8" w:tplc="1B4A30E2">
      <w:numFmt w:val="bullet"/>
      <w:lvlText w:val="•"/>
      <w:lvlJc w:val="left"/>
      <w:pPr>
        <w:ind w:left="7375" w:hanging="357"/>
      </w:pPr>
      <w:rPr>
        <w:rFonts w:hint="default"/>
        <w:lang w:val="es-ES" w:eastAsia="en-US" w:bidi="ar-SA"/>
      </w:r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6BA1741"/>
    <w:multiLevelType w:val="hybridMultilevel"/>
    <w:tmpl w:val="96F833EA"/>
    <w:lvl w:ilvl="0" w:tplc="E5C2FCC4">
      <w:start w:val="1"/>
      <w:numFmt w:val="decimal"/>
      <w:lvlText w:val="%1."/>
      <w:lvlJc w:val="left"/>
      <w:pPr>
        <w:ind w:left="1429" w:hanging="720"/>
      </w:pPr>
      <w:rPr>
        <w:rFonts w:hint="default"/>
        <w:b w:val="0"/>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89630474">
    <w:abstractNumId w:val="3"/>
  </w:num>
  <w:num w:numId="2" w16cid:durableId="1434669327">
    <w:abstractNumId w:val="4"/>
  </w:num>
  <w:num w:numId="3" w16cid:durableId="644090258">
    <w:abstractNumId w:val="58"/>
  </w:num>
  <w:num w:numId="4" w16cid:durableId="979070274">
    <w:abstractNumId w:val="21"/>
  </w:num>
  <w:num w:numId="5" w16cid:durableId="744229055">
    <w:abstractNumId w:val="50"/>
  </w:num>
  <w:num w:numId="6" w16cid:durableId="656034568">
    <w:abstractNumId w:val="28"/>
  </w:num>
  <w:num w:numId="7" w16cid:durableId="727655662">
    <w:abstractNumId w:val="6"/>
  </w:num>
  <w:num w:numId="8" w16cid:durableId="1350257806">
    <w:abstractNumId w:val="16"/>
  </w:num>
  <w:num w:numId="9" w16cid:durableId="130488493">
    <w:abstractNumId w:val="40"/>
  </w:num>
  <w:num w:numId="10" w16cid:durableId="1791899799">
    <w:abstractNumId w:val="44"/>
  </w:num>
  <w:num w:numId="11" w16cid:durableId="1674256508">
    <w:abstractNumId w:val="0"/>
  </w:num>
  <w:num w:numId="12" w16cid:durableId="328289490">
    <w:abstractNumId w:val="39"/>
  </w:num>
  <w:num w:numId="13" w16cid:durableId="2031712440">
    <w:abstractNumId w:val="46"/>
  </w:num>
  <w:num w:numId="14" w16cid:durableId="988286315">
    <w:abstractNumId w:val="1"/>
  </w:num>
  <w:num w:numId="15" w16cid:durableId="660932786">
    <w:abstractNumId w:val="2"/>
  </w:num>
  <w:num w:numId="16" w16cid:durableId="1295603021">
    <w:abstractNumId w:val="7"/>
  </w:num>
  <w:num w:numId="17" w16cid:durableId="1635525239">
    <w:abstractNumId w:val="8"/>
  </w:num>
  <w:num w:numId="18" w16cid:durableId="1376467736">
    <w:abstractNumId w:val="9"/>
  </w:num>
  <w:num w:numId="19" w16cid:durableId="2051685552">
    <w:abstractNumId w:val="10"/>
  </w:num>
  <w:num w:numId="20" w16cid:durableId="1954092195">
    <w:abstractNumId w:val="11"/>
  </w:num>
  <w:num w:numId="21" w16cid:durableId="946888988">
    <w:abstractNumId w:val="12"/>
  </w:num>
  <w:num w:numId="22" w16cid:durableId="1964074556">
    <w:abstractNumId w:val="13"/>
  </w:num>
  <w:num w:numId="23" w16cid:durableId="1814832409">
    <w:abstractNumId w:val="14"/>
  </w:num>
  <w:num w:numId="24" w16cid:durableId="948394290">
    <w:abstractNumId w:val="15"/>
  </w:num>
  <w:num w:numId="25" w16cid:durableId="1638756803">
    <w:abstractNumId w:val="17"/>
  </w:num>
  <w:num w:numId="26" w16cid:durableId="1624967865">
    <w:abstractNumId w:val="18"/>
  </w:num>
  <w:num w:numId="27" w16cid:durableId="2043244992">
    <w:abstractNumId w:val="23"/>
  </w:num>
  <w:num w:numId="28" w16cid:durableId="2132673565">
    <w:abstractNumId w:val="24"/>
  </w:num>
  <w:num w:numId="29" w16cid:durableId="441926786">
    <w:abstractNumId w:val="25"/>
  </w:num>
  <w:num w:numId="30" w16cid:durableId="843399322">
    <w:abstractNumId w:val="27"/>
  </w:num>
  <w:num w:numId="31" w16cid:durableId="336033175">
    <w:abstractNumId w:val="29"/>
  </w:num>
  <w:num w:numId="32" w16cid:durableId="1564364854">
    <w:abstractNumId w:val="31"/>
  </w:num>
  <w:num w:numId="33" w16cid:durableId="1366178073">
    <w:abstractNumId w:val="32"/>
  </w:num>
  <w:num w:numId="34" w16cid:durableId="720907309">
    <w:abstractNumId w:val="33"/>
  </w:num>
  <w:num w:numId="35" w16cid:durableId="1926572843">
    <w:abstractNumId w:val="34"/>
  </w:num>
  <w:num w:numId="36" w16cid:durableId="1538931130">
    <w:abstractNumId w:val="36"/>
  </w:num>
  <w:num w:numId="37" w16cid:durableId="1879511819">
    <w:abstractNumId w:val="37"/>
  </w:num>
  <w:num w:numId="38" w16cid:durableId="1428386966">
    <w:abstractNumId w:val="38"/>
  </w:num>
  <w:num w:numId="39" w16cid:durableId="142551894">
    <w:abstractNumId w:val="41"/>
  </w:num>
  <w:num w:numId="40" w16cid:durableId="824711039">
    <w:abstractNumId w:val="42"/>
  </w:num>
  <w:num w:numId="41" w16cid:durableId="1108282090">
    <w:abstractNumId w:val="49"/>
  </w:num>
  <w:num w:numId="42" w16cid:durableId="1611428575">
    <w:abstractNumId w:val="51"/>
  </w:num>
  <w:num w:numId="43" w16cid:durableId="1270040612">
    <w:abstractNumId w:val="52"/>
  </w:num>
  <w:num w:numId="44" w16cid:durableId="1808666855">
    <w:abstractNumId w:val="55"/>
  </w:num>
  <w:num w:numId="45" w16cid:durableId="751901012">
    <w:abstractNumId w:val="57"/>
  </w:num>
  <w:num w:numId="46" w16cid:durableId="64649807">
    <w:abstractNumId w:val="59"/>
  </w:num>
  <w:num w:numId="47" w16cid:durableId="119230681">
    <w:abstractNumId w:val="60"/>
  </w:num>
  <w:num w:numId="48" w16cid:durableId="803155736">
    <w:abstractNumId w:val="61"/>
  </w:num>
  <w:num w:numId="49" w16cid:durableId="1357391496">
    <w:abstractNumId w:val="62"/>
  </w:num>
  <w:num w:numId="50" w16cid:durableId="343672891">
    <w:abstractNumId w:val="63"/>
  </w:num>
  <w:num w:numId="51" w16cid:durableId="592787785">
    <w:abstractNumId w:val="20"/>
  </w:num>
  <w:num w:numId="52" w16cid:durableId="1631744929">
    <w:abstractNumId w:val="43"/>
  </w:num>
  <w:num w:numId="53" w16cid:durableId="1848640289">
    <w:abstractNumId w:val="53"/>
  </w:num>
  <w:num w:numId="54" w16cid:durableId="1577782847">
    <w:abstractNumId w:val="47"/>
  </w:num>
  <w:num w:numId="55" w16cid:durableId="656763769">
    <w:abstractNumId w:val="48"/>
  </w:num>
  <w:num w:numId="56" w16cid:durableId="414670836">
    <w:abstractNumId w:val="26"/>
  </w:num>
  <w:num w:numId="57" w16cid:durableId="529951473">
    <w:abstractNumId w:val="35"/>
  </w:num>
  <w:num w:numId="58" w16cid:durableId="1140804074">
    <w:abstractNumId w:val="45"/>
  </w:num>
  <w:num w:numId="59" w16cid:durableId="958878403">
    <w:abstractNumId w:val="54"/>
  </w:num>
  <w:num w:numId="60" w16cid:durableId="1346319690">
    <w:abstractNumId w:val="5"/>
  </w:num>
  <w:num w:numId="61" w16cid:durableId="309673352">
    <w:abstractNumId w:val="22"/>
  </w:num>
  <w:num w:numId="62" w16cid:durableId="584071945">
    <w:abstractNumId w:val="56"/>
  </w:num>
  <w:num w:numId="63" w16cid:durableId="315568127">
    <w:abstractNumId w:val="30"/>
  </w:num>
  <w:num w:numId="64" w16cid:durableId="1397245440">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70D7"/>
    <w:rsid w:val="00010004"/>
    <w:rsid w:val="000111A8"/>
    <w:rsid w:val="00016D24"/>
    <w:rsid w:val="0001788C"/>
    <w:rsid w:val="00036A8A"/>
    <w:rsid w:val="00040C3A"/>
    <w:rsid w:val="00053204"/>
    <w:rsid w:val="0005731A"/>
    <w:rsid w:val="000639C0"/>
    <w:rsid w:val="00070F3A"/>
    <w:rsid w:val="000716C5"/>
    <w:rsid w:val="00075E23"/>
    <w:rsid w:val="0008303A"/>
    <w:rsid w:val="00092F32"/>
    <w:rsid w:val="0009344A"/>
    <w:rsid w:val="000A575F"/>
    <w:rsid w:val="000A7F41"/>
    <w:rsid w:val="000B2A74"/>
    <w:rsid w:val="000B4E1F"/>
    <w:rsid w:val="000C68EC"/>
    <w:rsid w:val="000D0919"/>
    <w:rsid w:val="000D10DB"/>
    <w:rsid w:val="000D4DCA"/>
    <w:rsid w:val="00116F97"/>
    <w:rsid w:val="00117781"/>
    <w:rsid w:val="00117ED2"/>
    <w:rsid w:val="00121F47"/>
    <w:rsid w:val="00125698"/>
    <w:rsid w:val="0013104F"/>
    <w:rsid w:val="00134491"/>
    <w:rsid w:val="00137EBA"/>
    <w:rsid w:val="00145EDC"/>
    <w:rsid w:val="0014682A"/>
    <w:rsid w:val="00146DD5"/>
    <w:rsid w:val="00151A63"/>
    <w:rsid w:val="00155783"/>
    <w:rsid w:val="00167A34"/>
    <w:rsid w:val="00173672"/>
    <w:rsid w:val="00174298"/>
    <w:rsid w:val="0018037F"/>
    <w:rsid w:val="00185AB8"/>
    <w:rsid w:val="0019594F"/>
    <w:rsid w:val="001A5F27"/>
    <w:rsid w:val="001A7870"/>
    <w:rsid w:val="001A7C05"/>
    <w:rsid w:val="001B48B0"/>
    <w:rsid w:val="001B7095"/>
    <w:rsid w:val="001C1B41"/>
    <w:rsid w:val="001E072C"/>
    <w:rsid w:val="001E6C64"/>
    <w:rsid w:val="001F6FF9"/>
    <w:rsid w:val="00202D41"/>
    <w:rsid w:val="002041D6"/>
    <w:rsid w:val="0020656D"/>
    <w:rsid w:val="00210453"/>
    <w:rsid w:val="00210E0E"/>
    <w:rsid w:val="00210F4F"/>
    <w:rsid w:val="00243EC6"/>
    <w:rsid w:val="00247403"/>
    <w:rsid w:val="00247542"/>
    <w:rsid w:val="0025770E"/>
    <w:rsid w:val="00257893"/>
    <w:rsid w:val="002629F2"/>
    <w:rsid w:val="00264F18"/>
    <w:rsid w:val="00266092"/>
    <w:rsid w:val="00266B61"/>
    <w:rsid w:val="0026712A"/>
    <w:rsid w:val="002704DB"/>
    <w:rsid w:val="00273F7D"/>
    <w:rsid w:val="00275C2B"/>
    <w:rsid w:val="00277A72"/>
    <w:rsid w:val="0029529D"/>
    <w:rsid w:val="002A65AC"/>
    <w:rsid w:val="002B06C1"/>
    <w:rsid w:val="002B7B0F"/>
    <w:rsid w:val="002C1641"/>
    <w:rsid w:val="002D483C"/>
    <w:rsid w:val="002D7EA2"/>
    <w:rsid w:val="002E0BD8"/>
    <w:rsid w:val="002E15DF"/>
    <w:rsid w:val="002E187C"/>
    <w:rsid w:val="002E6E57"/>
    <w:rsid w:val="002F536B"/>
    <w:rsid w:val="00300A71"/>
    <w:rsid w:val="00300FCA"/>
    <w:rsid w:val="00301075"/>
    <w:rsid w:val="00302733"/>
    <w:rsid w:val="00305645"/>
    <w:rsid w:val="003105C7"/>
    <w:rsid w:val="00310BCB"/>
    <w:rsid w:val="003110B7"/>
    <w:rsid w:val="00311A4F"/>
    <w:rsid w:val="00314078"/>
    <w:rsid w:val="00322450"/>
    <w:rsid w:val="003246B5"/>
    <w:rsid w:val="00325191"/>
    <w:rsid w:val="0033169F"/>
    <w:rsid w:val="00335D7F"/>
    <w:rsid w:val="00336C47"/>
    <w:rsid w:val="003414AC"/>
    <w:rsid w:val="003427FE"/>
    <w:rsid w:val="00356185"/>
    <w:rsid w:val="00360380"/>
    <w:rsid w:val="0037168F"/>
    <w:rsid w:val="003756E8"/>
    <w:rsid w:val="003815A8"/>
    <w:rsid w:val="00385027"/>
    <w:rsid w:val="00386CF0"/>
    <w:rsid w:val="003A0485"/>
    <w:rsid w:val="003A65EB"/>
    <w:rsid w:val="003B45CE"/>
    <w:rsid w:val="003C116A"/>
    <w:rsid w:val="003C32BC"/>
    <w:rsid w:val="003C4FFA"/>
    <w:rsid w:val="003C5070"/>
    <w:rsid w:val="003D6E8F"/>
    <w:rsid w:val="003F1685"/>
    <w:rsid w:val="003F1BBF"/>
    <w:rsid w:val="0040496D"/>
    <w:rsid w:val="004163A9"/>
    <w:rsid w:val="004165C2"/>
    <w:rsid w:val="00427D81"/>
    <w:rsid w:val="00440483"/>
    <w:rsid w:val="004409BE"/>
    <w:rsid w:val="00447CBB"/>
    <w:rsid w:val="00450A4A"/>
    <w:rsid w:val="004666FB"/>
    <w:rsid w:val="00467B7E"/>
    <w:rsid w:val="00471A65"/>
    <w:rsid w:val="0047314F"/>
    <w:rsid w:val="004850AB"/>
    <w:rsid w:val="00490CDB"/>
    <w:rsid w:val="0049165C"/>
    <w:rsid w:val="0049419D"/>
    <w:rsid w:val="004B073F"/>
    <w:rsid w:val="004B2762"/>
    <w:rsid w:val="004B6D26"/>
    <w:rsid w:val="004B7EB6"/>
    <w:rsid w:val="004C4B62"/>
    <w:rsid w:val="004D0956"/>
    <w:rsid w:val="004D6025"/>
    <w:rsid w:val="004D66D2"/>
    <w:rsid w:val="004D72BC"/>
    <w:rsid w:val="004F026C"/>
    <w:rsid w:val="004F2736"/>
    <w:rsid w:val="004F5068"/>
    <w:rsid w:val="004F68D4"/>
    <w:rsid w:val="00501399"/>
    <w:rsid w:val="00507BC4"/>
    <w:rsid w:val="005128E4"/>
    <w:rsid w:val="00525560"/>
    <w:rsid w:val="00527975"/>
    <w:rsid w:val="00533F20"/>
    <w:rsid w:val="005357A6"/>
    <w:rsid w:val="00544372"/>
    <w:rsid w:val="00544C49"/>
    <w:rsid w:val="00546918"/>
    <w:rsid w:val="00550563"/>
    <w:rsid w:val="005509F0"/>
    <w:rsid w:val="0055310A"/>
    <w:rsid w:val="00555F5E"/>
    <w:rsid w:val="00560AC9"/>
    <w:rsid w:val="00561E26"/>
    <w:rsid w:val="00571839"/>
    <w:rsid w:val="00573CA8"/>
    <w:rsid w:val="0057402A"/>
    <w:rsid w:val="005771D0"/>
    <w:rsid w:val="00577434"/>
    <w:rsid w:val="005828E8"/>
    <w:rsid w:val="00586B89"/>
    <w:rsid w:val="005906FC"/>
    <w:rsid w:val="0059191A"/>
    <w:rsid w:val="005921FF"/>
    <w:rsid w:val="005A1A26"/>
    <w:rsid w:val="005A6D0E"/>
    <w:rsid w:val="005A780F"/>
    <w:rsid w:val="005B222D"/>
    <w:rsid w:val="005B2E49"/>
    <w:rsid w:val="005B52B0"/>
    <w:rsid w:val="005B6806"/>
    <w:rsid w:val="005C00F9"/>
    <w:rsid w:val="005C4225"/>
    <w:rsid w:val="005D19A1"/>
    <w:rsid w:val="005D412E"/>
    <w:rsid w:val="005F0F33"/>
    <w:rsid w:val="00600DEB"/>
    <w:rsid w:val="006069C0"/>
    <w:rsid w:val="00613027"/>
    <w:rsid w:val="00615529"/>
    <w:rsid w:val="00627C9F"/>
    <w:rsid w:val="006311DA"/>
    <w:rsid w:val="006311E9"/>
    <w:rsid w:val="006316A7"/>
    <w:rsid w:val="00632354"/>
    <w:rsid w:val="00632F15"/>
    <w:rsid w:val="00642810"/>
    <w:rsid w:val="0065036F"/>
    <w:rsid w:val="00652333"/>
    <w:rsid w:val="006533F6"/>
    <w:rsid w:val="006545F6"/>
    <w:rsid w:val="00674DB5"/>
    <w:rsid w:val="0068009E"/>
    <w:rsid w:val="00682FED"/>
    <w:rsid w:val="00696CFB"/>
    <w:rsid w:val="006A17D2"/>
    <w:rsid w:val="006A73E6"/>
    <w:rsid w:val="006A7E76"/>
    <w:rsid w:val="006A7EC4"/>
    <w:rsid w:val="006B044D"/>
    <w:rsid w:val="006B2D5C"/>
    <w:rsid w:val="006C4EB1"/>
    <w:rsid w:val="006C6A05"/>
    <w:rsid w:val="006D3F48"/>
    <w:rsid w:val="006D4BE6"/>
    <w:rsid w:val="006E0166"/>
    <w:rsid w:val="006E12EE"/>
    <w:rsid w:val="006E6748"/>
    <w:rsid w:val="006E7B34"/>
    <w:rsid w:val="006F1494"/>
    <w:rsid w:val="006F4FB6"/>
    <w:rsid w:val="00701377"/>
    <w:rsid w:val="00701B24"/>
    <w:rsid w:val="007031B6"/>
    <w:rsid w:val="0070440B"/>
    <w:rsid w:val="00727178"/>
    <w:rsid w:val="00730181"/>
    <w:rsid w:val="00736409"/>
    <w:rsid w:val="00744BAF"/>
    <w:rsid w:val="00745899"/>
    <w:rsid w:val="007474DF"/>
    <w:rsid w:val="007607C4"/>
    <w:rsid w:val="007631F2"/>
    <w:rsid w:val="0076643F"/>
    <w:rsid w:val="00770028"/>
    <w:rsid w:val="00770517"/>
    <w:rsid w:val="00772D6A"/>
    <w:rsid w:val="00777D07"/>
    <w:rsid w:val="00780390"/>
    <w:rsid w:val="00780F13"/>
    <w:rsid w:val="00796B97"/>
    <w:rsid w:val="00797619"/>
    <w:rsid w:val="007A03E0"/>
    <w:rsid w:val="007A2F70"/>
    <w:rsid w:val="007B3A14"/>
    <w:rsid w:val="007C3334"/>
    <w:rsid w:val="007C52BB"/>
    <w:rsid w:val="007D2B98"/>
    <w:rsid w:val="007D6652"/>
    <w:rsid w:val="007E03D0"/>
    <w:rsid w:val="007F1EB5"/>
    <w:rsid w:val="007F4D08"/>
    <w:rsid w:val="008016D1"/>
    <w:rsid w:val="00803F1C"/>
    <w:rsid w:val="00805112"/>
    <w:rsid w:val="0080600E"/>
    <w:rsid w:val="008128B1"/>
    <w:rsid w:val="00814424"/>
    <w:rsid w:val="00817612"/>
    <w:rsid w:val="008343D3"/>
    <w:rsid w:val="00837C45"/>
    <w:rsid w:val="00841B5D"/>
    <w:rsid w:val="00842668"/>
    <w:rsid w:val="00853419"/>
    <w:rsid w:val="008550A6"/>
    <w:rsid w:val="00856BE2"/>
    <w:rsid w:val="0085786E"/>
    <w:rsid w:val="008702EA"/>
    <w:rsid w:val="00875FE4"/>
    <w:rsid w:val="00876DEC"/>
    <w:rsid w:val="00897E12"/>
    <w:rsid w:val="008A6787"/>
    <w:rsid w:val="008C03E5"/>
    <w:rsid w:val="008C22C7"/>
    <w:rsid w:val="008C5622"/>
    <w:rsid w:val="008D1913"/>
    <w:rsid w:val="008D43BA"/>
    <w:rsid w:val="008D613D"/>
    <w:rsid w:val="008E3759"/>
    <w:rsid w:val="008F11FB"/>
    <w:rsid w:val="00903C12"/>
    <w:rsid w:val="009041DC"/>
    <w:rsid w:val="009104B4"/>
    <w:rsid w:val="00910616"/>
    <w:rsid w:val="00911B0E"/>
    <w:rsid w:val="00912851"/>
    <w:rsid w:val="009156B0"/>
    <w:rsid w:val="00925FCD"/>
    <w:rsid w:val="0093441A"/>
    <w:rsid w:val="00951859"/>
    <w:rsid w:val="009520D8"/>
    <w:rsid w:val="00954BF7"/>
    <w:rsid w:val="0096706E"/>
    <w:rsid w:val="00981FBA"/>
    <w:rsid w:val="00983FC0"/>
    <w:rsid w:val="00987DAE"/>
    <w:rsid w:val="009A1B69"/>
    <w:rsid w:val="009B2F68"/>
    <w:rsid w:val="009B381B"/>
    <w:rsid w:val="009B43D8"/>
    <w:rsid w:val="009D579D"/>
    <w:rsid w:val="009D7611"/>
    <w:rsid w:val="009D770B"/>
    <w:rsid w:val="009E344B"/>
    <w:rsid w:val="009E4CE6"/>
    <w:rsid w:val="009E53DE"/>
    <w:rsid w:val="009F1D65"/>
    <w:rsid w:val="00A1402A"/>
    <w:rsid w:val="00A17D30"/>
    <w:rsid w:val="00A36015"/>
    <w:rsid w:val="00A43458"/>
    <w:rsid w:val="00A44673"/>
    <w:rsid w:val="00A45464"/>
    <w:rsid w:val="00A46786"/>
    <w:rsid w:val="00A528D1"/>
    <w:rsid w:val="00A54E6B"/>
    <w:rsid w:val="00A64AE0"/>
    <w:rsid w:val="00A64DDE"/>
    <w:rsid w:val="00A64EE2"/>
    <w:rsid w:val="00A66BE5"/>
    <w:rsid w:val="00A67A91"/>
    <w:rsid w:val="00A70BE2"/>
    <w:rsid w:val="00A801CC"/>
    <w:rsid w:val="00A97E10"/>
    <w:rsid w:val="00AD37C1"/>
    <w:rsid w:val="00AD55B2"/>
    <w:rsid w:val="00AD6F1F"/>
    <w:rsid w:val="00AE66EC"/>
    <w:rsid w:val="00AE6F91"/>
    <w:rsid w:val="00AF250A"/>
    <w:rsid w:val="00AF5571"/>
    <w:rsid w:val="00AF62AA"/>
    <w:rsid w:val="00B071F5"/>
    <w:rsid w:val="00B113FF"/>
    <w:rsid w:val="00B159BB"/>
    <w:rsid w:val="00B167E9"/>
    <w:rsid w:val="00B314DB"/>
    <w:rsid w:val="00B31EBE"/>
    <w:rsid w:val="00B3718B"/>
    <w:rsid w:val="00B416CB"/>
    <w:rsid w:val="00B4632A"/>
    <w:rsid w:val="00B53196"/>
    <w:rsid w:val="00B93B8F"/>
    <w:rsid w:val="00BA276C"/>
    <w:rsid w:val="00BB306F"/>
    <w:rsid w:val="00BB589C"/>
    <w:rsid w:val="00BD232B"/>
    <w:rsid w:val="00BD4B89"/>
    <w:rsid w:val="00BD78BA"/>
    <w:rsid w:val="00BE0E79"/>
    <w:rsid w:val="00BE447C"/>
    <w:rsid w:val="00BE5D99"/>
    <w:rsid w:val="00C00BD3"/>
    <w:rsid w:val="00C21762"/>
    <w:rsid w:val="00C24543"/>
    <w:rsid w:val="00C256A2"/>
    <w:rsid w:val="00C301D0"/>
    <w:rsid w:val="00C34365"/>
    <w:rsid w:val="00C347A6"/>
    <w:rsid w:val="00C3492D"/>
    <w:rsid w:val="00C34C9B"/>
    <w:rsid w:val="00C55560"/>
    <w:rsid w:val="00C64A12"/>
    <w:rsid w:val="00C66B72"/>
    <w:rsid w:val="00C71758"/>
    <w:rsid w:val="00C7211F"/>
    <w:rsid w:val="00C73030"/>
    <w:rsid w:val="00C74797"/>
    <w:rsid w:val="00C74FDD"/>
    <w:rsid w:val="00C90595"/>
    <w:rsid w:val="00C91692"/>
    <w:rsid w:val="00C94743"/>
    <w:rsid w:val="00C9567A"/>
    <w:rsid w:val="00CA0AE0"/>
    <w:rsid w:val="00CB2660"/>
    <w:rsid w:val="00CB43DF"/>
    <w:rsid w:val="00CB57DA"/>
    <w:rsid w:val="00CC1A99"/>
    <w:rsid w:val="00CC5E90"/>
    <w:rsid w:val="00CD046C"/>
    <w:rsid w:val="00CE0AE6"/>
    <w:rsid w:val="00CE2E33"/>
    <w:rsid w:val="00CE5199"/>
    <w:rsid w:val="00CE66D5"/>
    <w:rsid w:val="00D13554"/>
    <w:rsid w:val="00D15A30"/>
    <w:rsid w:val="00D270D8"/>
    <w:rsid w:val="00D30FBC"/>
    <w:rsid w:val="00D34786"/>
    <w:rsid w:val="00D40A1E"/>
    <w:rsid w:val="00D50253"/>
    <w:rsid w:val="00D50712"/>
    <w:rsid w:val="00D56134"/>
    <w:rsid w:val="00D603B0"/>
    <w:rsid w:val="00D660C2"/>
    <w:rsid w:val="00D665E1"/>
    <w:rsid w:val="00D712D3"/>
    <w:rsid w:val="00D71422"/>
    <w:rsid w:val="00D7145E"/>
    <w:rsid w:val="00D718FF"/>
    <w:rsid w:val="00D7558D"/>
    <w:rsid w:val="00D77A1F"/>
    <w:rsid w:val="00D81D92"/>
    <w:rsid w:val="00D85DB0"/>
    <w:rsid w:val="00D93446"/>
    <w:rsid w:val="00DA37B6"/>
    <w:rsid w:val="00DA384A"/>
    <w:rsid w:val="00DA7B5F"/>
    <w:rsid w:val="00DB0E6E"/>
    <w:rsid w:val="00DB281F"/>
    <w:rsid w:val="00DF2E57"/>
    <w:rsid w:val="00DF5BBB"/>
    <w:rsid w:val="00DF5FE9"/>
    <w:rsid w:val="00DF6955"/>
    <w:rsid w:val="00DF6E6A"/>
    <w:rsid w:val="00E2410E"/>
    <w:rsid w:val="00E32B0E"/>
    <w:rsid w:val="00E41E07"/>
    <w:rsid w:val="00E43157"/>
    <w:rsid w:val="00E472F0"/>
    <w:rsid w:val="00E523DD"/>
    <w:rsid w:val="00E533FF"/>
    <w:rsid w:val="00E65DD5"/>
    <w:rsid w:val="00E67251"/>
    <w:rsid w:val="00E709B3"/>
    <w:rsid w:val="00E75013"/>
    <w:rsid w:val="00E8789F"/>
    <w:rsid w:val="00E96851"/>
    <w:rsid w:val="00E96E84"/>
    <w:rsid w:val="00E97B71"/>
    <w:rsid w:val="00EA14D1"/>
    <w:rsid w:val="00EA51AD"/>
    <w:rsid w:val="00EB454D"/>
    <w:rsid w:val="00ED1D94"/>
    <w:rsid w:val="00ED4552"/>
    <w:rsid w:val="00EE206E"/>
    <w:rsid w:val="00EE3522"/>
    <w:rsid w:val="00EF619B"/>
    <w:rsid w:val="00EF693F"/>
    <w:rsid w:val="00F00B55"/>
    <w:rsid w:val="00F021D5"/>
    <w:rsid w:val="00F079A7"/>
    <w:rsid w:val="00F1380F"/>
    <w:rsid w:val="00F14F0E"/>
    <w:rsid w:val="00F158E7"/>
    <w:rsid w:val="00F23C1C"/>
    <w:rsid w:val="00F24C29"/>
    <w:rsid w:val="00F253CC"/>
    <w:rsid w:val="00F271A7"/>
    <w:rsid w:val="00F31CAA"/>
    <w:rsid w:val="00F32864"/>
    <w:rsid w:val="00F366CF"/>
    <w:rsid w:val="00F53BA5"/>
    <w:rsid w:val="00F56245"/>
    <w:rsid w:val="00F56BA5"/>
    <w:rsid w:val="00F644E6"/>
    <w:rsid w:val="00F70A68"/>
    <w:rsid w:val="00F75887"/>
    <w:rsid w:val="00F91356"/>
    <w:rsid w:val="00F9653B"/>
    <w:rsid w:val="00F976C0"/>
    <w:rsid w:val="00FA675D"/>
    <w:rsid w:val="00FA79DB"/>
    <w:rsid w:val="00FB62CF"/>
    <w:rsid w:val="00FC0664"/>
    <w:rsid w:val="00FC3EB4"/>
    <w:rsid w:val="00FC6C58"/>
    <w:rsid w:val="00FD1833"/>
    <w:rsid w:val="00FD2461"/>
    <w:rsid w:val="00FE2E17"/>
    <w:rsid w:val="00FE6B45"/>
    <w:rsid w:val="00FF43AE"/>
    <w:rsid w:val="00FF452E"/>
    <w:rsid w:val="00FF4B71"/>
    <w:rsid w:val="00FF5851"/>
    <w:rsid w:val="00FF6983"/>
    <w:rsid w:val="00FF7B79"/>
    <w:rsid w:val="2E042E7C"/>
    <w:rsid w:val="3172AE4A"/>
    <w:rsid w:val="41DD27F5"/>
    <w:rsid w:val="5374CB84"/>
    <w:rsid w:val="5EE8CB78"/>
    <w:rsid w:val="5FC83D24"/>
    <w:rsid w:val="77F06E3D"/>
    <w:rsid w:val="7A4D8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74D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74DB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674D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rPr>
  </w:style>
  <w:style w:type="paragraph" w:styleId="ListParagraph">
    <w:name w:val="List Paragraph"/>
    <w:aliases w:val="List,Párrafo de lista1,List Paragraph1,Colorful List - Accent 11,List Paragraph11,Parragrap,Superíndice,Dot pt,No Spacing1,List Paragraph Char Char Char,Indicator Text,Numbered Para 1,4 Párrafo de lista,Figuras,DH1,4 Párrafo de l,Bullet 1"/>
    <w:link w:val="ListParagraphChar"/>
    <w:uiPriority w:val="1"/>
    <w:qFormat/>
    <w:pPr>
      <w:ind w:left="720"/>
    </w:pPr>
    <w:rPr>
      <w:rFonts w:ascii="Cambria" w:eastAsia="Cambria" w:hAnsi="Cambria" w:cs="Cambria"/>
      <w:color w:val="000000"/>
      <w:sz w:val="24"/>
      <w:szCs w:val="24"/>
      <w:u w:color="000000"/>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F1380F"/>
    <w:rPr>
      <w:rFonts w:ascii="Cambria" w:eastAsia="Cambria" w:hAnsi="Cambria" w:cs="Cambria"/>
      <w:color w:val="000000"/>
      <w:sz w:val="24"/>
      <w:szCs w:val="24"/>
      <w:u w:color="000000"/>
      <w:lang w:val="en-US"/>
    </w:rPr>
  </w:style>
  <w:style w:type="paragraph" w:styleId="BodyText">
    <w:name w:val="Body Text"/>
    <w:basedOn w:val="Normal"/>
    <w:link w:val="BodyTextChar"/>
    <w:uiPriority w:val="1"/>
    <w:unhideWhenUsed/>
    <w:qFormat/>
    <w:rsid w:val="00036A8A"/>
    <w:pPr>
      <w:spacing w:after="120"/>
    </w:pPr>
  </w:style>
  <w:style w:type="character" w:customStyle="1" w:styleId="BodyTextChar">
    <w:name w:val="Body Text Char"/>
    <w:basedOn w:val="DefaultParagraphFont"/>
    <w:link w:val="BodyText"/>
    <w:uiPriority w:val="1"/>
    <w:rsid w:val="00036A8A"/>
    <w:rPr>
      <w:sz w:val="24"/>
      <w:szCs w:val="24"/>
      <w:lang w:val="en-US" w:eastAsia="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link w:val="4GChar"/>
    <w:uiPriority w:val="99"/>
    <w:qFormat/>
    <w:rsid w:val="00036A8A"/>
    <w:rPr>
      <w:rFonts w:cs="Times New Roman"/>
      <w:vertAlign w:val="superscript"/>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locked/>
    <w:rsid w:val="00036A8A"/>
    <w:rPr>
      <w:rFonts w:ascii="Calibri" w:eastAsia="Calibri" w:hAnsi="Calibri" w:cs="Calibri"/>
      <w:color w:val="000000"/>
      <w:u w:color="000000"/>
      <w:lang w:val="en-US"/>
    </w:rPr>
  </w:style>
  <w:style w:type="character" w:customStyle="1" w:styleId="ListParagraphChar">
    <w:name w:val="List Paragraph Char"/>
    <w:aliases w:val="List Char,Párrafo de lista1 Char,List Paragraph1 Char,Colorful List - Accent 11 Char,List Paragraph11 Char,Parragrap Char,Superíndice Char,Dot pt Char,No Spacing1 Char,List Paragraph Char Char Char Char,Indicator Text Char,DH1 Char"/>
    <w:basedOn w:val="DefaultParagraphFont"/>
    <w:link w:val="ListParagraph"/>
    <w:uiPriority w:val="34"/>
    <w:locked/>
    <w:rsid w:val="00FA675D"/>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325191"/>
    <w:rPr>
      <w:sz w:val="16"/>
      <w:szCs w:val="16"/>
    </w:rPr>
  </w:style>
  <w:style w:type="paragraph" w:styleId="CommentText">
    <w:name w:val="annotation text"/>
    <w:basedOn w:val="Normal"/>
    <w:link w:val="CommentTextChar"/>
    <w:uiPriority w:val="99"/>
    <w:unhideWhenUsed/>
    <w:rsid w:val="00325191"/>
    <w:rPr>
      <w:sz w:val="20"/>
      <w:szCs w:val="20"/>
    </w:rPr>
  </w:style>
  <w:style w:type="character" w:customStyle="1" w:styleId="CommentTextChar">
    <w:name w:val="Comment Text Char"/>
    <w:basedOn w:val="DefaultParagraphFont"/>
    <w:link w:val="CommentText"/>
    <w:uiPriority w:val="99"/>
    <w:rsid w:val="00325191"/>
    <w:rPr>
      <w:lang w:val="en-US" w:eastAsia="en-US"/>
    </w:rPr>
  </w:style>
  <w:style w:type="paragraph" w:styleId="CommentSubject">
    <w:name w:val="annotation subject"/>
    <w:basedOn w:val="CommentText"/>
    <w:next w:val="CommentText"/>
    <w:link w:val="CommentSubjectChar"/>
    <w:uiPriority w:val="99"/>
    <w:semiHidden/>
    <w:unhideWhenUsed/>
    <w:rsid w:val="00325191"/>
    <w:rPr>
      <w:b/>
      <w:bCs/>
    </w:rPr>
  </w:style>
  <w:style w:type="character" w:customStyle="1" w:styleId="CommentSubjectChar">
    <w:name w:val="Comment Subject Char"/>
    <w:basedOn w:val="CommentTextChar"/>
    <w:link w:val="CommentSubject"/>
    <w:uiPriority w:val="99"/>
    <w:semiHidden/>
    <w:rsid w:val="00325191"/>
    <w:rPr>
      <w:b/>
      <w:bCs/>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560AC9"/>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eastAsia="es-ES"/>
    </w:rPr>
  </w:style>
  <w:style w:type="character" w:customStyle="1" w:styleId="normaltextrun">
    <w:name w:val="normaltextrun"/>
    <w:basedOn w:val="DefaultParagraphFont"/>
    <w:rsid w:val="00560AC9"/>
  </w:style>
  <w:style w:type="paragraph" w:customStyle="1" w:styleId="p1">
    <w:name w:val="p1"/>
    <w:basedOn w:val="Normal"/>
    <w:rsid w:val="00560AC9"/>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2"/>
      <w:szCs w:val="12"/>
      <w:bdr w:val="none" w:sz="0" w:space="0" w:color="auto"/>
      <w:lang w:eastAsia="es-MX"/>
    </w:rPr>
  </w:style>
  <w:style w:type="character" w:customStyle="1" w:styleId="eop">
    <w:name w:val="eop"/>
    <w:basedOn w:val="DefaultParagraphFont"/>
    <w:rsid w:val="00560AC9"/>
  </w:style>
  <w:style w:type="paragraph" w:customStyle="1" w:styleId="paragraph">
    <w:name w:val="paragraph"/>
    <w:basedOn w:val="Normal"/>
    <w:rsid w:val="00560A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AR"/>
    </w:rPr>
  </w:style>
  <w:style w:type="character" w:customStyle="1" w:styleId="Heading2Char">
    <w:name w:val="Heading 2 Char"/>
    <w:basedOn w:val="DefaultParagraphFont"/>
    <w:link w:val="Heading2"/>
    <w:uiPriority w:val="9"/>
    <w:semiHidden/>
    <w:rsid w:val="00674DB5"/>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674DB5"/>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rsid w:val="00674DB5"/>
    <w:rPr>
      <w:rFonts w:asciiTheme="majorHAnsi" w:eastAsiaTheme="majorEastAsia" w:hAnsiTheme="majorHAnsi" w:cstheme="majorBidi"/>
      <w:i/>
      <w:iCs/>
      <w:color w:val="365F91" w:themeColor="accent1" w:themeShade="BF"/>
      <w:sz w:val="24"/>
      <w:szCs w:val="24"/>
      <w:lang w:val="en-US" w:eastAsia="en-US"/>
    </w:rPr>
  </w:style>
  <w:style w:type="paragraph" w:styleId="NormalWeb">
    <w:name w:val="Normal (Web)"/>
    <w:basedOn w:val="Normal"/>
    <w:uiPriority w:val="99"/>
    <w:unhideWhenUsed/>
    <w:rsid w:val="00674D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character" w:styleId="Strong">
    <w:name w:val="Strong"/>
    <w:basedOn w:val="DefaultParagraphFont"/>
    <w:uiPriority w:val="22"/>
    <w:qFormat/>
    <w:rsid w:val="00D30FBC"/>
    <w:rPr>
      <w:b/>
      <w:bCs/>
    </w:rPr>
  </w:style>
  <w:style w:type="paragraph" w:styleId="Revision">
    <w:name w:val="Revision"/>
    <w:hidden/>
    <w:uiPriority w:val="99"/>
    <w:semiHidden/>
    <w:rsid w:val="007F1EB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gif"/><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as.org/en/iachr/decisions/2019/COSA11990A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D23B04E6-51EA-4793-AEEB-F35E97C2C7D1}">
  <ds:schemaRefs>
    <ds:schemaRef ds:uri="http://schemas.openxmlformats.org/officeDocument/2006/bibliography"/>
  </ds:schemaRefs>
</ds:datastoreItem>
</file>

<file path=customXml/itemProps2.xml><?xml version="1.0" encoding="utf-8"?>
<ds:datastoreItem xmlns:ds="http://schemas.openxmlformats.org/officeDocument/2006/customXml" ds:itemID="{8E1F23A2-2520-480F-89A7-89B964262FC0}"/>
</file>

<file path=customXml/itemProps3.xml><?xml version="1.0" encoding="utf-8"?>
<ds:datastoreItem xmlns:ds="http://schemas.openxmlformats.org/officeDocument/2006/customXml" ds:itemID="{BD2C3EA5-209E-4A9E-9DED-0D5DB4FA0557}"/>
</file>

<file path=customXml/itemProps4.xml><?xml version="1.0" encoding="utf-8"?>
<ds:datastoreItem xmlns:ds="http://schemas.openxmlformats.org/officeDocument/2006/customXml" ds:itemID="{5D27E4D0-8790-4F7A-ACF3-585646BE4B98}"/>
</file>

<file path=docProps/app.xml><?xml version="1.0" encoding="utf-8"?>
<Properties xmlns="http://schemas.openxmlformats.org/officeDocument/2006/extended-properties" xmlns:vt="http://schemas.openxmlformats.org/officeDocument/2006/docPropsVTypes">
  <Template>Normal.dotm</Template>
  <TotalTime>0</TotalTime>
  <Pages>14</Pages>
  <Words>7246</Words>
  <Characters>39641</Characters>
  <Application>Microsoft Office Word</Application>
  <DocSecurity>0</DocSecurity>
  <Lines>734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 271/25</dc:title>
  <dc:creator/>
  <cp:lastModifiedBy/>
  <cp:revision>1</cp:revision>
  <dcterms:created xsi:type="dcterms:W3CDTF">2025-12-16T22:28:00Z</dcterms:created>
  <dcterms:modified xsi:type="dcterms:W3CDTF">2025-12-16T22:29:00Z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1033200</vt:r8>
  </property>
  <property fmtid="{D5CDD505-2E9C-101B-9397-08002B2CF9AE}" pid="3" name="MediaServiceImageTags">
    <vt:lpwstr/>
  </property>
  <property fmtid="{D5CDD505-2E9C-101B-9397-08002B2CF9AE}" pid="4" name="ContentTypeId">
    <vt:lpwstr>0x010100D589DCDDB8A16B44BDC2A7128ECAC845</vt:lpwstr>
  </property>
</Properties>
</file>