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58CBB" w14:textId="2B1D7DC5" w:rsidR="00040C3A" w:rsidRPr="00E9543F" w:rsidRDefault="00D306D1" w:rsidP="00627C9F">
      <w:pPr>
        <w:jc w:val="both"/>
        <w:rPr>
          <w:rFonts w:asciiTheme="majorHAnsi" w:hAnsiTheme="majorHAnsi" w:cs="Univers"/>
          <w:b/>
          <w:bCs/>
          <w:sz w:val="22"/>
          <w:szCs w:val="22"/>
          <w:lang w:val="es-ES"/>
        </w:rPr>
      </w:pPr>
      <w:r w:rsidRPr="00E9543F">
        <w:rPr>
          <w:rFonts w:asciiTheme="majorHAnsi" w:hAnsiTheme="majorHAnsi"/>
          <w:noProof/>
          <w:sz w:val="22"/>
          <w:szCs w:val="22"/>
        </w:rPr>
        <mc:AlternateContent>
          <mc:Choice Requires="wps">
            <w:drawing>
              <wp:anchor distT="0" distB="0" distL="114300" distR="114300" simplePos="0" relativeHeight="251658240" behindDoc="0" locked="0" layoutInCell="1" allowOverlap="1" wp14:anchorId="13EB9AD5" wp14:editId="53AE04B6">
                <wp:simplePos x="0" y="0"/>
                <wp:positionH relativeFrom="column">
                  <wp:posOffset>-416115</wp:posOffset>
                </wp:positionH>
                <wp:positionV relativeFrom="paragraph">
                  <wp:posOffset>-439420</wp:posOffset>
                </wp:positionV>
                <wp:extent cx="1543050" cy="9096375"/>
                <wp:effectExtent l="0" t="0" r="6350" b="0"/>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855B9" id="Rectangle 1" o:spid="_x0000_s1026" style="position:absolute;margin-left:-32.75pt;margin-top:-34.6pt;width:121.5pt;height:7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" fillcolor="#92d050" stroked="f" strokeweight="2pt"/>
            </w:pict>
          </mc:Fallback>
        </mc:AlternateContent>
      </w:r>
      <w:r w:rsidR="003E6CA1" w:rsidRPr="00E9543F">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18AC8362" wp14:editId="2D39035F">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65D62F" w14:textId="77777777" w:rsidR="00CB2660" w:rsidRDefault="00AE5488" w:rsidP="00AE5488">
                            <w:r>
                              <w:rPr>
                                <w:noProof/>
                              </w:rPr>
                              <w:drawing>
                                <wp:inline distT="0" distB="0" distL="0" distR="0" wp14:anchorId="3999A2AA" wp14:editId="5602244E">
                                  <wp:extent cx="2647666" cy="509676"/>
                                  <wp:effectExtent l="0" t="0" r="635" b="5080"/>
                                  <wp:docPr id="12" name="Picture 12" descr="C:\Users\mfontana\Documents\Eva Fontana\GRAFICA IACHR\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8362"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1C65D62F" w14:textId="77777777" w:rsidR="00CB2660" w:rsidRDefault="00AE5488" w:rsidP="00AE5488">
                      <w:r>
                        <w:rPr>
                          <w:noProof/>
                        </w:rPr>
                        <w:drawing>
                          <wp:inline distT="0" distB="0" distL="0" distR="0" wp14:anchorId="3999A2AA" wp14:editId="5602244E">
                            <wp:extent cx="2647666" cy="509676"/>
                            <wp:effectExtent l="0" t="0" r="635" b="5080"/>
                            <wp:docPr id="12" name="Picture 12" descr="C:\Users\mfontana\Documents\Eva Fontana\GRAFICA IACHR\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p>
    <w:p w14:paraId="78C4CD27" w14:textId="77777777" w:rsidR="00040C3A" w:rsidRPr="00E9543F" w:rsidRDefault="00040C3A" w:rsidP="00040C3A">
      <w:pPr>
        <w:tabs>
          <w:tab w:val="center" w:pos="5400"/>
        </w:tabs>
        <w:suppressAutoHyphens/>
        <w:jc w:val="both"/>
        <w:rPr>
          <w:rFonts w:asciiTheme="majorHAnsi" w:hAnsiTheme="majorHAnsi"/>
          <w:sz w:val="22"/>
          <w:szCs w:val="22"/>
          <w:lang w:val="es-ES"/>
        </w:rPr>
      </w:pPr>
    </w:p>
    <w:p w14:paraId="30FF4EAD" w14:textId="77777777" w:rsidR="00040C3A" w:rsidRPr="00E9543F" w:rsidRDefault="00040C3A" w:rsidP="00040C3A">
      <w:pPr>
        <w:tabs>
          <w:tab w:val="center" w:pos="5400"/>
        </w:tabs>
        <w:suppressAutoHyphens/>
        <w:jc w:val="both"/>
        <w:rPr>
          <w:rFonts w:asciiTheme="majorHAnsi" w:hAnsiTheme="majorHAnsi"/>
          <w:sz w:val="22"/>
          <w:szCs w:val="22"/>
          <w:lang w:val="es-ES"/>
        </w:rPr>
      </w:pPr>
    </w:p>
    <w:p w14:paraId="4D79FFEA" w14:textId="77777777" w:rsidR="005128E4" w:rsidRPr="00E9543F" w:rsidRDefault="005128E4" w:rsidP="00040C3A">
      <w:pPr>
        <w:tabs>
          <w:tab w:val="center" w:pos="5400"/>
        </w:tabs>
        <w:suppressAutoHyphens/>
        <w:rPr>
          <w:rFonts w:asciiTheme="majorHAnsi" w:hAnsiTheme="majorHAnsi"/>
          <w:sz w:val="22"/>
          <w:szCs w:val="22"/>
          <w:lang w:val="es-ES"/>
        </w:rPr>
      </w:pPr>
    </w:p>
    <w:p w14:paraId="5C5B8F45" w14:textId="77777777" w:rsidR="005128E4" w:rsidRPr="00E9543F" w:rsidRDefault="005128E4" w:rsidP="00040C3A">
      <w:pPr>
        <w:tabs>
          <w:tab w:val="center" w:pos="5400"/>
        </w:tabs>
        <w:suppressAutoHyphens/>
        <w:rPr>
          <w:rFonts w:asciiTheme="majorHAnsi" w:hAnsiTheme="majorHAnsi"/>
          <w:sz w:val="22"/>
          <w:szCs w:val="22"/>
          <w:lang w:val="es-ES"/>
        </w:rPr>
      </w:pPr>
    </w:p>
    <w:p w14:paraId="3F942D0C" w14:textId="77777777" w:rsidR="005128E4" w:rsidRPr="00E9543F" w:rsidRDefault="005128E4" w:rsidP="00040C3A">
      <w:pPr>
        <w:tabs>
          <w:tab w:val="center" w:pos="5400"/>
        </w:tabs>
        <w:suppressAutoHyphens/>
        <w:rPr>
          <w:rFonts w:asciiTheme="majorHAnsi" w:hAnsiTheme="majorHAnsi"/>
          <w:sz w:val="22"/>
          <w:szCs w:val="22"/>
          <w:lang w:val="es-ES"/>
        </w:rPr>
      </w:pPr>
    </w:p>
    <w:p w14:paraId="3290FD2D" w14:textId="77777777" w:rsidR="00040C3A" w:rsidRPr="00E9543F" w:rsidRDefault="00040C3A" w:rsidP="005128E4">
      <w:pPr>
        <w:tabs>
          <w:tab w:val="center" w:pos="5400"/>
        </w:tabs>
        <w:suppressAutoHyphens/>
        <w:jc w:val="center"/>
        <w:rPr>
          <w:rFonts w:asciiTheme="majorHAnsi" w:hAnsiTheme="majorHAnsi"/>
          <w:sz w:val="22"/>
          <w:szCs w:val="22"/>
          <w:lang w:val="es-ES"/>
        </w:rPr>
      </w:pPr>
    </w:p>
    <w:p w14:paraId="7F4D7CB0" w14:textId="77777777" w:rsidR="00040C3A" w:rsidRPr="00E9543F" w:rsidRDefault="00040C3A" w:rsidP="005128E4">
      <w:pPr>
        <w:tabs>
          <w:tab w:val="center" w:pos="5400"/>
        </w:tabs>
        <w:suppressAutoHyphens/>
        <w:jc w:val="center"/>
        <w:rPr>
          <w:rFonts w:asciiTheme="majorHAnsi" w:hAnsiTheme="majorHAnsi"/>
          <w:sz w:val="22"/>
          <w:szCs w:val="22"/>
          <w:lang w:val="es-ES"/>
        </w:rPr>
      </w:pPr>
    </w:p>
    <w:p w14:paraId="5AB567DE" w14:textId="77777777" w:rsidR="005B52B0" w:rsidRPr="00E9543F" w:rsidRDefault="005B52B0" w:rsidP="005128E4">
      <w:pPr>
        <w:tabs>
          <w:tab w:val="center" w:pos="5400"/>
        </w:tabs>
        <w:suppressAutoHyphens/>
        <w:jc w:val="center"/>
        <w:rPr>
          <w:rFonts w:asciiTheme="majorHAnsi" w:hAnsiTheme="majorHAnsi"/>
          <w:sz w:val="22"/>
          <w:szCs w:val="22"/>
          <w:lang w:val="es-ES"/>
        </w:rPr>
      </w:pPr>
    </w:p>
    <w:p w14:paraId="7C5E9A45" w14:textId="77777777" w:rsidR="005B52B0" w:rsidRPr="00E9543F" w:rsidRDefault="005B52B0" w:rsidP="005128E4">
      <w:pPr>
        <w:tabs>
          <w:tab w:val="center" w:pos="5400"/>
        </w:tabs>
        <w:suppressAutoHyphens/>
        <w:jc w:val="center"/>
        <w:rPr>
          <w:rFonts w:asciiTheme="majorHAnsi" w:hAnsiTheme="majorHAnsi"/>
          <w:sz w:val="22"/>
          <w:szCs w:val="22"/>
          <w:lang w:val="es-ES"/>
        </w:rPr>
      </w:pPr>
    </w:p>
    <w:p w14:paraId="5451351D" w14:textId="77777777" w:rsidR="005B52B0" w:rsidRPr="00E9543F" w:rsidRDefault="005B52B0" w:rsidP="005128E4">
      <w:pPr>
        <w:tabs>
          <w:tab w:val="center" w:pos="5400"/>
        </w:tabs>
        <w:suppressAutoHyphens/>
        <w:jc w:val="center"/>
        <w:rPr>
          <w:rFonts w:asciiTheme="majorHAnsi" w:hAnsiTheme="majorHAnsi"/>
          <w:sz w:val="22"/>
          <w:szCs w:val="22"/>
          <w:lang w:val="es-ES"/>
        </w:rPr>
      </w:pPr>
    </w:p>
    <w:p w14:paraId="4A6F70AD" w14:textId="77777777" w:rsidR="00040C3A" w:rsidRPr="00E9543F" w:rsidRDefault="00040C3A" w:rsidP="00040C3A">
      <w:pPr>
        <w:tabs>
          <w:tab w:val="center" w:pos="5400"/>
        </w:tabs>
        <w:suppressAutoHyphens/>
        <w:jc w:val="center"/>
        <w:rPr>
          <w:rFonts w:asciiTheme="majorHAnsi" w:hAnsiTheme="majorHAnsi"/>
          <w:sz w:val="22"/>
          <w:szCs w:val="22"/>
          <w:lang w:val="es-ES"/>
        </w:rPr>
      </w:pPr>
    </w:p>
    <w:p w14:paraId="30428034" w14:textId="77777777" w:rsidR="00040C3A" w:rsidRPr="00E9543F" w:rsidRDefault="00040C3A" w:rsidP="00040C3A">
      <w:pPr>
        <w:tabs>
          <w:tab w:val="center" w:pos="5400"/>
        </w:tabs>
        <w:suppressAutoHyphens/>
        <w:jc w:val="center"/>
        <w:rPr>
          <w:rFonts w:asciiTheme="majorHAnsi" w:hAnsiTheme="majorHAnsi"/>
          <w:sz w:val="22"/>
          <w:szCs w:val="22"/>
          <w:lang w:val="es-ES"/>
        </w:rPr>
      </w:pPr>
    </w:p>
    <w:p w14:paraId="023D1F30" w14:textId="77777777" w:rsidR="00040C3A" w:rsidRPr="00E9543F" w:rsidRDefault="003D3BC2" w:rsidP="00040C3A">
      <w:pPr>
        <w:tabs>
          <w:tab w:val="center" w:pos="5400"/>
        </w:tabs>
        <w:suppressAutoHyphens/>
        <w:jc w:val="center"/>
        <w:rPr>
          <w:rFonts w:asciiTheme="majorHAnsi" w:hAnsiTheme="majorHAnsi"/>
          <w:sz w:val="22"/>
          <w:szCs w:val="22"/>
          <w:lang w:val="es-ES"/>
        </w:rPr>
      </w:pPr>
      <w:r w:rsidRPr="00E9543F">
        <w:rPr>
          <w:rFonts w:asciiTheme="majorHAnsi" w:hAnsiTheme="majorHAnsi"/>
          <w:noProof/>
          <w:sz w:val="22"/>
          <w:szCs w:val="22"/>
        </w:rPr>
        <mc:AlternateContent>
          <mc:Choice Requires="wps">
            <w:drawing>
              <wp:anchor distT="0" distB="0" distL="114300" distR="114300" simplePos="0" relativeHeight="251658241" behindDoc="0" locked="0" layoutInCell="1" allowOverlap="1" wp14:anchorId="7F4312E6" wp14:editId="4B38F505">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D3DAA1" w14:textId="185B6ABC" w:rsidR="005B52B0" w:rsidRPr="00F66E08" w:rsidRDefault="005B52B0" w:rsidP="00997BC5">
                            <w:pPr>
                              <w:spacing w:line="276" w:lineRule="auto"/>
                              <w:rPr>
                                <w:rFonts w:asciiTheme="majorHAnsi" w:hAnsiTheme="majorHAnsi" w:cs="Arial"/>
                                <w:b/>
                                <w:bCs/>
                                <w:color w:val="0D0D0D" w:themeColor="text1" w:themeTint="F2"/>
                                <w:sz w:val="36"/>
                                <w:szCs w:val="22"/>
                              </w:rPr>
                            </w:pPr>
                            <w:r w:rsidRPr="00A4057E">
                              <w:rPr>
                                <w:rFonts w:asciiTheme="majorHAnsi" w:hAnsiTheme="majorHAnsi" w:cs="Arial"/>
                                <w:b/>
                                <w:bCs/>
                                <w:color w:val="0D0D0D" w:themeColor="text1" w:themeTint="F2"/>
                                <w:sz w:val="36"/>
                                <w:szCs w:val="22"/>
                              </w:rPr>
                              <w:t xml:space="preserve">REPORT </w:t>
                            </w:r>
                            <w:r w:rsidR="00477592" w:rsidRPr="00A4057E">
                              <w:rPr>
                                <w:rFonts w:asciiTheme="majorHAnsi" w:hAnsiTheme="majorHAnsi" w:cs="Arial"/>
                                <w:b/>
                                <w:bCs/>
                                <w:color w:val="0D0D0D" w:themeColor="text1" w:themeTint="F2"/>
                                <w:sz w:val="36"/>
                                <w:szCs w:val="40"/>
                              </w:rPr>
                              <w:t>No.</w:t>
                            </w:r>
                            <w:r w:rsidR="007C756A" w:rsidRPr="00A4057E">
                              <w:rPr>
                                <w:rFonts w:asciiTheme="majorHAnsi" w:hAnsiTheme="majorHAnsi" w:cs="Arial"/>
                                <w:b/>
                                <w:bCs/>
                                <w:color w:val="0D0D0D" w:themeColor="text1" w:themeTint="F2"/>
                                <w:sz w:val="36"/>
                                <w:szCs w:val="22"/>
                              </w:rPr>
                              <w:t xml:space="preserve"> </w:t>
                            </w:r>
                            <w:r w:rsidR="00E61344">
                              <w:rPr>
                                <w:rFonts w:asciiTheme="majorHAnsi" w:hAnsiTheme="majorHAnsi" w:cs="Arial"/>
                                <w:b/>
                                <w:bCs/>
                                <w:color w:val="0D0D0D" w:themeColor="text1" w:themeTint="F2"/>
                                <w:sz w:val="36"/>
                                <w:szCs w:val="22"/>
                              </w:rPr>
                              <w:t>251</w:t>
                            </w:r>
                            <w:r w:rsidR="007C756A" w:rsidRPr="00A4057E">
                              <w:rPr>
                                <w:rFonts w:asciiTheme="majorHAnsi" w:hAnsiTheme="majorHAnsi" w:cs="Arial"/>
                                <w:b/>
                                <w:bCs/>
                                <w:color w:val="0D0D0D" w:themeColor="text1" w:themeTint="F2"/>
                                <w:sz w:val="36"/>
                                <w:szCs w:val="22"/>
                              </w:rPr>
                              <w:t>/</w:t>
                            </w:r>
                            <w:r w:rsidR="003C3940">
                              <w:rPr>
                                <w:rFonts w:asciiTheme="majorHAnsi" w:hAnsiTheme="majorHAnsi" w:cs="Arial"/>
                                <w:b/>
                                <w:bCs/>
                                <w:color w:val="0D0D0D" w:themeColor="text1" w:themeTint="F2"/>
                                <w:sz w:val="36"/>
                                <w:szCs w:val="22"/>
                              </w:rPr>
                              <w:t>25</w:t>
                            </w:r>
                          </w:p>
                          <w:p w14:paraId="4E7716F9" w14:textId="797941AB" w:rsidR="005B52B0" w:rsidRPr="00F66E08" w:rsidRDefault="005B52B0" w:rsidP="00997BC5">
                            <w:pPr>
                              <w:spacing w:line="276" w:lineRule="auto"/>
                              <w:rPr>
                                <w:rFonts w:asciiTheme="majorHAnsi" w:hAnsiTheme="majorHAnsi" w:cs="Arial"/>
                                <w:b/>
                                <w:color w:val="0D0D0D" w:themeColor="text1" w:themeTint="F2"/>
                                <w:sz w:val="36"/>
                                <w:szCs w:val="22"/>
                              </w:rPr>
                            </w:pPr>
                            <w:r w:rsidRPr="00A4057E">
                              <w:rPr>
                                <w:rFonts w:asciiTheme="majorHAnsi" w:hAnsiTheme="majorHAnsi" w:cs="Arial"/>
                                <w:b/>
                                <w:color w:val="0D0D0D" w:themeColor="text1" w:themeTint="F2"/>
                                <w:sz w:val="36"/>
                                <w:szCs w:val="22"/>
                              </w:rPr>
                              <w:t>CASE 14.264</w:t>
                            </w:r>
                          </w:p>
                          <w:p w14:paraId="49B9290C" w14:textId="6B0746B2" w:rsidR="005B52B0" w:rsidRPr="00F66E08" w:rsidRDefault="00BB5D01" w:rsidP="000158FD">
                            <w:pPr>
                              <w:spacing w:line="276" w:lineRule="auto"/>
                              <w:rPr>
                                <w:rFonts w:asciiTheme="majorHAnsi" w:hAnsiTheme="majorHAnsi" w:cs="Arial"/>
                                <w:szCs w:val="22"/>
                              </w:rPr>
                            </w:pPr>
                            <w:r w:rsidRPr="00DF6D64">
                              <w:rPr>
                                <w:rFonts w:asciiTheme="majorHAnsi" w:hAnsiTheme="majorHAnsi" w:cs="Arial"/>
                                <w:szCs w:val="22"/>
                              </w:rPr>
                              <w:t xml:space="preserve">REPORT ON ADMISSIBILITY AND MERITS </w:t>
                            </w:r>
                            <w:r w:rsidR="003C3940" w:rsidRPr="00E61344">
                              <w:rPr>
                                <w:rFonts w:asciiTheme="majorHAnsi" w:hAnsiTheme="majorHAnsi" w:cs="Arial"/>
                                <w:szCs w:val="22"/>
                              </w:rPr>
                              <w:t>(</w:t>
                            </w:r>
                            <w:r w:rsidR="00A33774" w:rsidRPr="00E61344">
                              <w:rPr>
                                <w:rFonts w:asciiTheme="majorHAnsi" w:hAnsiTheme="majorHAnsi" w:cs="Arial"/>
                                <w:szCs w:val="22"/>
                              </w:rPr>
                              <w:t>PUBLICATION</w:t>
                            </w:r>
                            <w:r w:rsidR="003C3940" w:rsidRPr="00E61344">
                              <w:rPr>
                                <w:rFonts w:asciiTheme="majorHAnsi" w:hAnsiTheme="majorHAnsi" w:cs="Arial"/>
                                <w:szCs w:val="22"/>
                              </w:rPr>
                              <w:t>)</w:t>
                            </w:r>
                          </w:p>
                          <w:p w14:paraId="5F687BFD" w14:textId="77777777" w:rsidR="008F1912" w:rsidRPr="00F66E08" w:rsidRDefault="008F1912" w:rsidP="00997BC5">
                            <w:pPr>
                              <w:spacing w:line="276" w:lineRule="auto"/>
                              <w:rPr>
                                <w:rFonts w:asciiTheme="majorHAnsi" w:hAnsiTheme="majorHAnsi" w:cs="Arial"/>
                                <w:color w:val="0D0D0D" w:themeColor="text1" w:themeTint="F2"/>
                                <w:szCs w:val="22"/>
                              </w:rPr>
                            </w:pPr>
                            <w:bookmarkStart w:id="0" w:name="_ftnref1"/>
                          </w:p>
                          <w:p w14:paraId="6C8D7A64" w14:textId="77777777" w:rsidR="00941189" w:rsidRPr="00F66E08" w:rsidRDefault="00941189" w:rsidP="00941189">
                            <w:pPr>
                              <w:spacing w:line="276" w:lineRule="auto"/>
                              <w:rPr>
                                <w:rFonts w:asciiTheme="majorHAnsi" w:hAnsiTheme="majorHAnsi" w:cs="Arial"/>
                                <w:color w:val="0D0D0D" w:themeColor="text1" w:themeTint="F2"/>
                                <w:szCs w:val="22"/>
                              </w:rPr>
                            </w:pPr>
                            <w:r>
                              <w:rPr>
                                <w:rFonts w:asciiTheme="majorHAnsi" w:hAnsiTheme="majorHAnsi" w:cs="Arial"/>
                                <w:color w:val="0D0D0D" w:themeColor="text1" w:themeTint="F2"/>
                                <w:szCs w:val="22"/>
                              </w:rPr>
                              <w:t>MAYKEL CASTILLO PÉREZ</w:t>
                            </w:r>
                            <w:bookmarkEnd w:id="0"/>
                          </w:p>
                          <w:p w14:paraId="617D326F" w14:textId="374BA88A" w:rsidR="005B52B0" w:rsidRPr="00AE5488" w:rsidRDefault="00ED6D2F" w:rsidP="00941189">
                            <w:pPr>
                              <w:spacing w:line="276" w:lineRule="auto"/>
                              <w:rPr>
                                <w:color w:val="0D0D0D" w:themeColor="text1" w:themeTint="F2"/>
                                <w:lang w:val="es-ES_tradnl"/>
                              </w:rPr>
                            </w:pPr>
                            <w:r>
                              <w:rPr>
                                <w:rFonts w:asciiTheme="majorHAnsi" w:hAnsiTheme="majorHAnsi" w:cs="Arial"/>
                                <w:color w:val="0D0D0D" w:themeColor="text1" w:themeTint="F2"/>
                                <w:szCs w:val="22"/>
                              </w:rPr>
                              <w:t>CUBA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312E6"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04D3DAA1" w14:textId="185B6ABC" w:rsidR="005B52B0" w:rsidRPr="00F66E08" w:rsidRDefault="005B52B0" w:rsidP="00997BC5">
                      <w:pPr>
                        <w:spacing w:line="276" w:lineRule="auto"/>
                        <w:rPr>
                          <w:rFonts w:asciiTheme="majorHAnsi" w:hAnsiTheme="majorHAnsi" w:cs="Arial"/>
                          <w:b/>
                          <w:bCs/>
                          <w:color w:val="0D0D0D" w:themeColor="text1" w:themeTint="F2"/>
                          <w:sz w:val="36"/>
                          <w:szCs w:val="22"/>
                        </w:rPr>
                      </w:pPr>
                      <w:r w:rsidRPr="00A4057E">
                        <w:rPr>
                          <w:rFonts w:asciiTheme="majorHAnsi" w:hAnsiTheme="majorHAnsi" w:cs="Arial"/>
                          <w:b/>
                          <w:bCs/>
                          <w:color w:val="0D0D0D" w:themeColor="text1" w:themeTint="F2"/>
                          <w:sz w:val="36"/>
                          <w:szCs w:val="22"/>
                        </w:rPr>
                        <w:t xml:space="preserve">REPORT </w:t>
                      </w:r>
                      <w:r w:rsidR="00477592" w:rsidRPr="00A4057E">
                        <w:rPr>
                          <w:rFonts w:asciiTheme="majorHAnsi" w:hAnsiTheme="majorHAnsi" w:cs="Arial"/>
                          <w:b/>
                          <w:bCs/>
                          <w:color w:val="0D0D0D" w:themeColor="text1" w:themeTint="F2"/>
                          <w:sz w:val="36"/>
                          <w:szCs w:val="40"/>
                        </w:rPr>
                        <w:t>No.</w:t>
                      </w:r>
                      <w:r w:rsidR="007C756A" w:rsidRPr="00A4057E">
                        <w:rPr>
                          <w:rFonts w:asciiTheme="majorHAnsi" w:hAnsiTheme="majorHAnsi" w:cs="Arial"/>
                          <w:b/>
                          <w:bCs/>
                          <w:color w:val="0D0D0D" w:themeColor="text1" w:themeTint="F2"/>
                          <w:sz w:val="36"/>
                          <w:szCs w:val="22"/>
                        </w:rPr>
                        <w:t xml:space="preserve"> </w:t>
                      </w:r>
                      <w:r w:rsidR="00E61344">
                        <w:rPr>
                          <w:rFonts w:asciiTheme="majorHAnsi" w:hAnsiTheme="majorHAnsi" w:cs="Arial"/>
                          <w:b/>
                          <w:bCs/>
                          <w:color w:val="0D0D0D" w:themeColor="text1" w:themeTint="F2"/>
                          <w:sz w:val="36"/>
                          <w:szCs w:val="22"/>
                        </w:rPr>
                        <w:t>251</w:t>
                      </w:r>
                      <w:r w:rsidR="007C756A" w:rsidRPr="00A4057E">
                        <w:rPr>
                          <w:rFonts w:asciiTheme="majorHAnsi" w:hAnsiTheme="majorHAnsi" w:cs="Arial"/>
                          <w:b/>
                          <w:bCs/>
                          <w:color w:val="0D0D0D" w:themeColor="text1" w:themeTint="F2"/>
                          <w:sz w:val="36"/>
                          <w:szCs w:val="22"/>
                        </w:rPr>
                        <w:t>/</w:t>
                      </w:r>
                      <w:r w:rsidR="003C3940">
                        <w:rPr>
                          <w:rFonts w:asciiTheme="majorHAnsi" w:hAnsiTheme="majorHAnsi" w:cs="Arial"/>
                          <w:b/>
                          <w:bCs/>
                          <w:color w:val="0D0D0D" w:themeColor="text1" w:themeTint="F2"/>
                          <w:sz w:val="36"/>
                          <w:szCs w:val="22"/>
                        </w:rPr>
                        <w:t>25</w:t>
                      </w:r>
                    </w:p>
                    <w:p w14:paraId="4E7716F9" w14:textId="797941AB" w:rsidR="005B52B0" w:rsidRPr="00F66E08" w:rsidRDefault="005B52B0" w:rsidP="00997BC5">
                      <w:pPr>
                        <w:spacing w:line="276" w:lineRule="auto"/>
                        <w:rPr>
                          <w:rFonts w:asciiTheme="majorHAnsi" w:hAnsiTheme="majorHAnsi" w:cs="Arial"/>
                          <w:b/>
                          <w:color w:val="0D0D0D" w:themeColor="text1" w:themeTint="F2"/>
                          <w:sz w:val="36"/>
                          <w:szCs w:val="22"/>
                        </w:rPr>
                      </w:pPr>
                      <w:r w:rsidRPr="00A4057E">
                        <w:rPr>
                          <w:rFonts w:asciiTheme="majorHAnsi" w:hAnsiTheme="majorHAnsi" w:cs="Arial"/>
                          <w:b/>
                          <w:color w:val="0D0D0D" w:themeColor="text1" w:themeTint="F2"/>
                          <w:sz w:val="36"/>
                          <w:szCs w:val="22"/>
                        </w:rPr>
                        <w:t>CASE 14.264</w:t>
                      </w:r>
                    </w:p>
                    <w:p w14:paraId="49B9290C" w14:textId="6B0746B2" w:rsidR="005B52B0" w:rsidRPr="00F66E08" w:rsidRDefault="00BB5D01" w:rsidP="000158FD">
                      <w:pPr>
                        <w:spacing w:line="276" w:lineRule="auto"/>
                        <w:rPr>
                          <w:rFonts w:asciiTheme="majorHAnsi" w:hAnsiTheme="majorHAnsi" w:cs="Arial"/>
                          <w:szCs w:val="22"/>
                        </w:rPr>
                      </w:pPr>
                      <w:r w:rsidRPr="00DF6D64">
                        <w:rPr>
                          <w:rFonts w:asciiTheme="majorHAnsi" w:hAnsiTheme="majorHAnsi" w:cs="Arial"/>
                          <w:szCs w:val="22"/>
                        </w:rPr>
                        <w:t xml:space="preserve">REPORT ON ADMISSIBILITY AND MERITS </w:t>
                      </w:r>
                      <w:r w:rsidR="003C3940" w:rsidRPr="00E61344">
                        <w:rPr>
                          <w:rFonts w:asciiTheme="majorHAnsi" w:hAnsiTheme="majorHAnsi" w:cs="Arial"/>
                          <w:szCs w:val="22"/>
                        </w:rPr>
                        <w:t>(</w:t>
                      </w:r>
                      <w:r w:rsidR="00A33774" w:rsidRPr="00E61344">
                        <w:rPr>
                          <w:rFonts w:asciiTheme="majorHAnsi" w:hAnsiTheme="majorHAnsi" w:cs="Arial"/>
                          <w:szCs w:val="22"/>
                        </w:rPr>
                        <w:t>PUBLICATION</w:t>
                      </w:r>
                      <w:r w:rsidR="003C3940" w:rsidRPr="00E61344">
                        <w:rPr>
                          <w:rFonts w:asciiTheme="majorHAnsi" w:hAnsiTheme="majorHAnsi" w:cs="Arial"/>
                          <w:szCs w:val="22"/>
                        </w:rPr>
                        <w:t>)</w:t>
                      </w:r>
                    </w:p>
                    <w:p w14:paraId="5F687BFD" w14:textId="77777777" w:rsidR="008F1912" w:rsidRPr="00F66E08" w:rsidRDefault="008F1912" w:rsidP="00997BC5">
                      <w:pPr>
                        <w:spacing w:line="276" w:lineRule="auto"/>
                        <w:rPr>
                          <w:rFonts w:asciiTheme="majorHAnsi" w:hAnsiTheme="majorHAnsi" w:cs="Arial"/>
                          <w:color w:val="0D0D0D" w:themeColor="text1" w:themeTint="F2"/>
                          <w:szCs w:val="22"/>
                        </w:rPr>
                      </w:pPr>
                      <w:bookmarkStart w:id="1" w:name="_ftnref1"/>
                    </w:p>
                    <w:p w14:paraId="6C8D7A64" w14:textId="77777777" w:rsidR="00941189" w:rsidRPr="00F66E08" w:rsidRDefault="00941189" w:rsidP="00941189">
                      <w:pPr>
                        <w:spacing w:line="276" w:lineRule="auto"/>
                        <w:rPr>
                          <w:rFonts w:asciiTheme="majorHAnsi" w:hAnsiTheme="majorHAnsi" w:cs="Arial"/>
                          <w:color w:val="0D0D0D" w:themeColor="text1" w:themeTint="F2"/>
                          <w:szCs w:val="22"/>
                        </w:rPr>
                      </w:pPr>
                      <w:r>
                        <w:rPr>
                          <w:rFonts w:asciiTheme="majorHAnsi" w:hAnsiTheme="majorHAnsi" w:cs="Arial"/>
                          <w:color w:val="0D0D0D" w:themeColor="text1" w:themeTint="F2"/>
                          <w:szCs w:val="22"/>
                        </w:rPr>
                        <w:t>MAYKEL CASTILLO PÉREZ</w:t>
                      </w:r>
                      <w:bookmarkEnd w:id="1"/>
                    </w:p>
                    <w:p w14:paraId="617D326F" w14:textId="374BA88A" w:rsidR="005B52B0" w:rsidRPr="00AE5488" w:rsidRDefault="00ED6D2F" w:rsidP="00941189">
                      <w:pPr>
                        <w:spacing w:line="276" w:lineRule="auto"/>
                        <w:rPr>
                          <w:color w:val="0D0D0D" w:themeColor="text1" w:themeTint="F2"/>
                          <w:lang w:val="es-ES_tradnl"/>
                        </w:rPr>
                      </w:pPr>
                      <w:r>
                        <w:rPr>
                          <w:rFonts w:asciiTheme="majorHAnsi" w:hAnsiTheme="majorHAnsi" w:cs="Arial"/>
                          <w:color w:val="0D0D0D" w:themeColor="text1" w:themeTint="F2"/>
                          <w:szCs w:val="22"/>
                        </w:rPr>
                        <w:t>CUBA</w:t>
                      </w:r>
                    </w:p>
                  </w:txbxContent>
                </v:textbox>
              </v:shape>
            </w:pict>
          </mc:Fallback>
        </mc:AlternateContent>
      </w:r>
      <w:r w:rsidR="004E2649" w:rsidRPr="00E9543F">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631C9735" wp14:editId="5AE1B6A7">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F13937" w14:textId="0497199F" w:rsidR="00627C9F" w:rsidRPr="004E2649" w:rsidRDefault="007C756A" w:rsidP="007A5817">
                            <w:pPr>
                              <w:spacing w:line="276" w:lineRule="auto"/>
                              <w:jc w:val="right"/>
                              <w:rPr>
                                <w:rFonts w:asciiTheme="minorHAnsi" w:hAnsiTheme="minorHAnsi"/>
                                <w:color w:val="FFFFFF" w:themeColor="background1"/>
                                <w:sz w:val="22"/>
                                <w:lang w:val="pt-BR"/>
                              </w:rPr>
                            </w:pPr>
                            <w:r w:rsidRPr="00F66E08">
                              <w:rPr>
                                <w:rFonts w:asciiTheme="minorHAnsi" w:hAnsiTheme="minorHAnsi"/>
                                <w:color w:val="FFFFFF" w:themeColor="background1"/>
                                <w:sz w:val="22"/>
                                <w:lang w:val="es-ES"/>
                              </w:rPr>
                              <w:t>OEA/Ser.L/V/II.XXX</w:t>
                            </w:r>
                          </w:p>
                          <w:p w14:paraId="4A2CB0DF" w14:textId="695FB820"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rPr>
                              <w:t xml:space="preserve">Doc. </w:t>
                            </w:r>
                            <w:r w:rsidR="00E61344">
                              <w:rPr>
                                <w:rFonts w:asciiTheme="minorHAnsi" w:hAnsiTheme="minorHAnsi"/>
                                <w:color w:val="FFFFFF" w:themeColor="background1"/>
                                <w:sz w:val="22"/>
                              </w:rPr>
                              <w:t>266</w:t>
                            </w:r>
                          </w:p>
                          <w:p w14:paraId="2F8A3633" w14:textId="730C91C5" w:rsidR="00627C9F" w:rsidRPr="00F66E08" w:rsidRDefault="00A65328" w:rsidP="007A5817">
                            <w:pPr>
                              <w:spacing w:line="276" w:lineRule="auto"/>
                              <w:jc w:val="right"/>
                              <w:rPr>
                                <w:rFonts w:asciiTheme="minorHAnsi" w:hAnsiTheme="minorHAnsi"/>
                                <w:color w:val="FFFFFF" w:themeColor="background1"/>
                                <w:sz w:val="22"/>
                              </w:rPr>
                            </w:pPr>
                            <w:r>
                              <w:rPr>
                                <w:rFonts w:asciiTheme="minorHAnsi" w:hAnsiTheme="minorHAnsi"/>
                                <w:color w:val="FFFFFF" w:themeColor="background1"/>
                                <w:sz w:val="22"/>
                              </w:rPr>
                              <w:t>December 3</w:t>
                            </w:r>
                            <w:r w:rsidR="00847104">
                              <w:rPr>
                                <w:rFonts w:asciiTheme="minorHAnsi" w:hAnsiTheme="minorHAnsi"/>
                                <w:color w:val="FFFFFF" w:themeColor="background1"/>
                                <w:sz w:val="22"/>
                              </w:rPr>
                              <w:t>,</w:t>
                            </w:r>
                            <w:r w:rsidR="00032214">
                              <w:rPr>
                                <w:rFonts w:asciiTheme="minorHAnsi" w:hAnsiTheme="minorHAnsi"/>
                                <w:color w:val="FFFFFF" w:themeColor="background1"/>
                                <w:sz w:val="22"/>
                              </w:rPr>
                              <w:t xml:space="preserve"> 20</w:t>
                            </w:r>
                            <w:r w:rsidR="003C3940">
                              <w:rPr>
                                <w:rFonts w:asciiTheme="minorHAnsi" w:hAnsiTheme="minorHAnsi"/>
                                <w:color w:val="FFFFFF" w:themeColor="background1"/>
                                <w:sz w:val="22"/>
                              </w:rPr>
                              <w:t>25</w:t>
                            </w:r>
                          </w:p>
                          <w:p w14:paraId="644E1E8A" w14:textId="77777777" w:rsidR="00627C9F" w:rsidRPr="00F66E08" w:rsidRDefault="00E0340B" w:rsidP="007A5817">
                            <w:pPr>
                              <w:spacing w:line="276" w:lineRule="auto"/>
                              <w:jc w:val="right"/>
                              <w:rPr>
                                <w:rFonts w:asciiTheme="minorHAnsi" w:hAnsiTheme="minorHAnsi"/>
                                <w:color w:val="FFFFFF" w:themeColor="background1"/>
                                <w:sz w:val="22"/>
                              </w:rPr>
                            </w:pPr>
                            <w:r w:rsidRPr="007C756A">
                              <w:rPr>
                                <w:rFonts w:asciiTheme="minorHAnsi" w:hAnsiTheme="minorHAnsi"/>
                                <w:color w:val="FFFFFF" w:themeColor="background1"/>
                                <w:sz w:val="22"/>
                              </w:rPr>
                              <w:t>Original: 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C9735"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1DF13937" w14:textId="0497199F" w:rsidR="00627C9F" w:rsidRPr="004E2649" w:rsidRDefault="007C756A" w:rsidP="007A5817">
                      <w:pPr>
                        <w:spacing w:line="276" w:lineRule="auto"/>
                        <w:jc w:val="right"/>
                        <w:rPr>
                          <w:rFonts w:asciiTheme="minorHAnsi" w:hAnsiTheme="minorHAnsi"/>
                          <w:color w:val="FFFFFF" w:themeColor="background1"/>
                          <w:sz w:val="22"/>
                          <w:lang w:val="pt-BR"/>
                        </w:rPr>
                      </w:pPr>
                      <w:r w:rsidRPr="00F66E08">
                        <w:rPr>
                          <w:rFonts w:asciiTheme="minorHAnsi" w:hAnsiTheme="minorHAnsi"/>
                          <w:color w:val="FFFFFF" w:themeColor="background1"/>
                          <w:sz w:val="22"/>
                          <w:lang w:val="es-ES"/>
                        </w:rPr>
                        <w:t>OEA/Ser.L/V/II.XXX</w:t>
                      </w:r>
                    </w:p>
                    <w:p w14:paraId="4A2CB0DF" w14:textId="695FB820"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rPr>
                        <w:t xml:space="preserve">Doc. </w:t>
                      </w:r>
                      <w:r w:rsidR="00E61344">
                        <w:rPr>
                          <w:rFonts w:asciiTheme="minorHAnsi" w:hAnsiTheme="minorHAnsi"/>
                          <w:color w:val="FFFFFF" w:themeColor="background1"/>
                          <w:sz w:val="22"/>
                        </w:rPr>
                        <w:t>266</w:t>
                      </w:r>
                    </w:p>
                    <w:p w14:paraId="2F8A3633" w14:textId="730C91C5" w:rsidR="00627C9F" w:rsidRPr="00F66E08" w:rsidRDefault="00A65328" w:rsidP="007A5817">
                      <w:pPr>
                        <w:spacing w:line="276" w:lineRule="auto"/>
                        <w:jc w:val="right"/>
                        <w:rPr>
                          <w:rFonts w:asciiTheme="minorHAnsi" w:hAnsiTheme="minorHAnsi"/>
                          <w:color w:val="FFFFFF" w:themeColor="background1"/>
                          <w:sz w:val="22"/>
                        </w:rPr>
                      </w:pPr>
                      <w:r>
                        <w:rPr>
                          <w:rFonts w:asciiTheme="minorHAnsi" w:hAnsiTheme="minorHAnsi"/>
                          <w:color w:val="FFFFFF" w:themeColor="background1"/>
                          <w:sz w:val="22"/>
                        </w:rPr>
                        <w:t>December 3</w:t>
                      </w:r>
                      <w:r w:rsidR="00847104">
                        <w:rPr>
                          <w:rFonts w:asciiTheme="minorHAnsi" w:hAnsiTheme="minorHAnsi"/>
                          <w:color w:val="FFFFFF" w:themeColor="background1"/>
                          <w:sz w:val="22"/>
                        </w:rPr>
                        <w:t>,</w:t>
                      </w:r>
                      <w:r w:rsidR="00032214">
                        <w:rPr>
                          <w:rFonts w:asciiTheme="minorHAnsi" w:hAnsiTheme="minorHAnsi"/>
                          <w:color w:val="FFFFFF" w:themeColor="background1"/>
                          <w:sz w:val="22"/>
                        </w:rPr>
                        <w:t xml:space="preserve"> 20</w:t>
                      </w:r>
                      <w:r w:rsidR="003C3940">
                        <w:rPr>
                          <w:rFonts w:asciiTheme="minorHAnsi" w:hAnsiTheme="minorHAnsi"/>
                          <w:color w:val="FFFFFF" w:themeColor="background1"/>
                          <w:sz w:val="22"/>
                        </w:rPr>
                        <w:t>25</w:t>
                      </w:r>
                    </w:p>
                    <w:p w14:paraId="644E1E8A" w14:textId="77777777" w:rsidR="00627C9F" w:rsidRPr="00F66E08" w:rsidRDefault="00E0340B" w:rsidP="007A5817">
                      <w:pPr>
                        <w:spacing w:line="276" w:lineRule="auto"/>
                        <w:jc w:val="right"/>
                        <w:rPr>
                          <w:rFonts w:asciiTheme="minorHAnsi" w:hAnsiTheme="minorHAnsi"/>
                          <w:color w:val="FFFFFF" w:themeColor="background1"/>
                          <w:sz w:val="22"/>
                        </w:rPr>
                      </w:pPr>
                      <w:r w:rsidRPr="007C756A">
                        <w:rPr>
                          <w:rFonts w:asciiTheme="minorHAnsi" w:hAnsiTheme="minorHAnsi"/>
                          <w:color w:val="FFFFFF" w:themeColor="background1"/>
                          <w:sz w:val="22"/>
                        </w:rPr>
                        <w:t>Original: Spanish</w:t>
                      </w:r>
                    </w:p>
                  </w:txbxContent>
                </v:textbox>
              </v:shape>
            </w:pict>
          </mc:Fallback>
        </mc:AlternateContent>
      </w:r>
    </w:p>
    <w:p w14:paraId="7DE2352C" w14:textId="77777777" w:rsidR="00040C3A" w:rsidRPr="00E9543F" w:rsidRDefault="00040C3A" w:rsidP="00040C3A">
      <w:pPr>
        <w:tabs>
          <w:tab w:val="center" w:pos="5400"/>
        </w:tabs>
        <w:suppressAutoHyphens/>
        <w:jc w:val="center"/>
        <w:rPr>
          <w:rFonts w:asciiTheme="majorHAnsi" w:hAnsiTheme="majorHAnsi"/>
          <w:sz w:val="22"/>
          <w:szCs w:val="22"/>
          <w:lang w:val="es-ES"/>
        </w:rPr>
      </w:pPr>
    </w:p>
    <w:p w14:paraId="6A1ED6CA" w14:textId="77777777" w:rsidR="00040C3A" w:rsidRPr="00E9543F" w:rsidRDefault="00040C3A" w:rsidP="00040C3A">
      <w:pPr>
        <w:tabs>
          <w:tab w:val="center" w:pos="5400"/>
        </w:tabs>
        <w:suppressAutoHyphens/>
        <w:jc w:val="center"/>
        <w:rPr>
          <w:rFonts w:asciiTheme="majorHAnsi" w:hAnsiTheme="majorHAnsi"/>
          <w:sz w:val="22"/>
          <w:szCs w:val="22"/>
          <w:lang w:val="es-ES"/>
        </w:rPr>
      </w:pPr>
    </w:p>
    <w:p w14:paraId="3C22F340" w14:textId="77777777" w:rsidR="00040C3A" w:rsidRPr="00E9543F" w:rsidRDefault="00040C3A" w:rsidP="00040C3A">
      <w:pPr>
        <w:tabs>
          <w:tab w:val="center" w:pos="5400"/>
        </w:tabs>
        <w:suppressAutoHyphens/>
        <w:jc w:val="center"/>
        <w:rPr>
          <w:rFonts w:asciiTheme="majorHAnsi" w:hAnsiTheme="majorHAnsi" w:cs="Arial"/>
          <w:sz w:val="22"/>
          <w:szCs w:val="22"/>
          <w:lang w:val="es-ES"/>
        </w:rPr>
      </w:pPr>
    </w:p>
    <w:p w14:paraId="23DABF5C" w14:textId="77777777" w:rsidR="00040C3A" w:rsidRPr="00E9543F" w:rsidRDefault="00040C3A" w:rsidP="00040C3A">
      <w:pPr>
        <w:tabs>
          <w:tab w:val="center" w:pos="5400"/>
        </w:tabs>
        <w:suppressAutoHyphens/>
        <w:jc w:val="center"/>
        <w:rPr>
          <w:rFonts w:asciiTheme="majorHAnsi" w:hAnsiTheme="majorHAnsi"/>
          <w:sz w:val="22"/>
          <w:szCs w:val="22"/>
          <w:lang w:val="es-ES"/>
        </w:rPr>
      </w:pPr>
    </w:p>
    <w:p w14:paraId="19EBEF7C" w14:textId="77777777" w:rsidR="00040C3A" w:rsidRPr="00E9543F" w:rsidRDefault="00040C3A" w:rsidP="00040C3A">
      <w:pPr>
        <w:tabs>
          <w:tab w:val="center" w:pos="5400"/>
        </w:tabs>
        <w:suppressAutoHyphens/>
        <w:jc w:val="center"/>
        <w:rPr>
          <w:rFonts w:asciiTheme="majorHAnsi" w:hAnsiTheme="majorHAnsi"/>
          <w:sz w:val="22"/>
          <w:szCs w:val="22"/>
          <w:lang w:val="es-ES"/>
        </w:rPr>
      </w:pPr>
    </w:p>
    <w:p w14:paraId="0B4F3155" w14:textId="77777777" w:rsidR="00040C3A" w:rsidRPr="00E9543F" w:rsidRDefault="00040C3A" w:rsidP="00040C3A">
      <w:pPr>
        <w:tabs>
          <w:tab w:val="center" w:pos="5400"/>
        </w:tabs>
        <w:suppressAutoHyphens/>
        <w:jc w:val="center"/>
        <w:rPr>
          <w:rFonts w:asciiTheme="majorHAnsi" w:hAnsiTheme="majorHAnsi"/>
          <w:sz w:val="22"/>
          <w:szCs w:val="22"/>
          <w:lang w:val="es-ES"/>
        </w:rPr>
      </w:pPr>
    </w:p>
    <w:p w14:paraId="78242FB7" w14:textId="77777777" w:rsidR="00040C3A" w:rsidRPr="00E9543F" w:rsidRDefault="00040C3A" w:rsidP="00040C3A">
      <w:pPr>
        <w:tabs>
          <w:tab w:val="center" w:pos="5400"/>
        </w:tabs>
        <w:suppressAutoHyphens/>
        <w:jc w:val="center"/>
        <w:rPr>
          <w:rFonts w:asciiTheme="majorHAnsi" w:hAnsiTheme="majorHAnsi"/>
          <w:sz w:val="22"/>
          <w:szCs w:val="22"/>
          <w:lang w:val="es-ES"/>
        </w:rPr>
      </w:pPr>
    </w:p>
    <w:p w14:paraId="1F477545" w14:textId="77777777" w:rsidR="005128E4" w:rsidRPr="00E9543F" w:rsidRDefault="005128E4" w:rsidP="00040C3A">
      <w:pPr>
        <w:tabs>
          <w:tab w:val="center" w:pos="5400"/>
        </w:tabs>
        <w:suppressAutoHyphens/>
        <w:jc w:val="center"/>
        <w:rPr>
          <w:rFonts w:asciiTheme="majorHAnsi" w:hAnsiTheme="majorHAnsi"/>
          <w:sz w:val="22"/>
          <w:szCs w:val="22"/>
          <w:lang w:val="es-ES"/>
        </w:rPr>
      </w:pPr>
    </w:p>
    <w:p w14:paraId="136AA03A" w14:textId="77777777" w:rsidR="00040C3A" w:rsidRPr="00E9543F" w:rsidRDefault="00040C3A" w:rsidP="00040C3A">
      <w:pPr>
        <w:tabs>
          <w:tab w:val="center" w:pos="5400"/>
        </w:tabs>
        <w:suppressAutoHyphens/>
        <w:jc w:val="center"/>
        <w:rPr>
          <w:rFonts w:asciiTheme="majorHAnsi" w:hAnsiTheme="majorHAnsi"/>
          <w:sz w:val="22"/>
          <w:szCs w:val="22"/>
          <w:lang w:val="es-ES"/>
        </w:rPr>
      </w:pPr>
    </w:p>
    <w:p w14:paraId="7C918178" w14:textId="77777777" w:rsidR="005128E4" w:rsidRPr="00E9543F" w:rsidRDefault="005128E4" w:rsidP="00040C3A">
      <w:pPr>
        <w:tabs>
          <w:tab w:val="center" w:pos="5400"/>
        </w:tabs>
        <w:suppressAutoHyphens/>
        <w:jc w:val="center"/>
        <w:rPr>
          <w:rFonts w:asciiTheme="majorHAnsi" w:hAnsiTheme="majorHAnsi"/>
          <w:sz w:val="22"/>
          <w:szCs w:val="22"/>
          <w:lang w:val="es-ES"/>
        </w:rPr>
      </w:pPr>
    </w:p>
    <w:p w14:paraId="7520E5D5" w14:textId="77777777" w:rsidR="005128E4" w:rsidRPr="00E9543F" w:rsidRDefault="005128E4" w:rsidP="00040C3A">
      <w:pPr>
        <w:tabs>
          <w:tab w:val="center" w:pos="5400"/>
        </w:tabs>
        <w:suppressAutoHyphens/>
        <w:jc w:val="center"/>
        <w:rPr>
          <w:rFonts w:asciiTheme="majorHAnsi" w:hAnsiTheme="majorHAnsi"/>
          <w:sz w:val="22"/>
          <w:szCs w:val="22"/>
          <w:lang w:val="es-ES"/>
        </w:rPr>
      </w:pPr>
    </w:p>
    <w:p w14:paraId="0A1E055B" w14:textId="77777777" w:rsidR="005128E4" w:rsidRPr="00E9543F" w:rsidRDefault="005128E4" w:rsidP="00040C3A">
      <w:pPr>
        <w:tabs>
          <w:tab w:val="center" w:pos="5400"/>
        </w:tabs>
        <w:suppressAutoHyphens/>
        <w:jc w:val="center"/>
        <w:rPr>
          <w:rFonts w:asciiTheme="majorHAnsi" w:hAnsiTheme="majorHAnsi"/>
          <w:sz w:val="22"/>
          <w:szCs w:val="22"/>
          <w:lang w:val="es-ES"/>
        </w:rPr>
      </w:pPr>
    </w:p>
    <w:p w14:paraId="3CC039F8" w14:textId="77777777" w:rsidR="00040C3A" w:rsidRPr="00E9543F" w:rsidRDefault="00040C3A" w:rsidP="00040C3A">
      <w:pPr>
        <w:tabs>
          <w:tab w:val="center" w:pos="5400"/>
        </w:tabs>
        <w:suppressAutoHyphens/>
        <w:jc w:val="center"/>
        <w:rPr>
          <w:rFonts w:asciiTheme="majorHAnsi" w:hAnsiTheme="majorHAnsi"/>
          <w:sz w:val="22"/>
          <w:szCs w:val="22"/>
          <w:lang w:val="es-ES"/>
        </w:rPr>
      </w:pPr>
    </w:p>
    <w:p w14:paraId="357CA4A1" w14:textId="77777777" w:rsidR="00040C3A" w:rsidRPr="00E9543F" w:rsidRDefault="00040C3A" w:rsidP="00040C3A">
      <w:pPr>
        <w:tabs>
          <w:tab w:val="center" w:pos="5400"/>
        </w:tabs>
        <w:suppressAutoHyphens/>
        <w:jc w:val="center"/>
        <w:rPr>
          <w:rFonts w:asciiTheme="majorHAnsi" w:hAnsiTheme="majorHAnsi"/>
          <w:sz w:val="22"/>
          <w:szCs w:val="22"/>
          <w:lang w:val="es-ES"/>
        </w:rPr>
      </w:pPr>
    </w:p>
    <w:p w14:paraId="09C47D8C"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52111B28"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754BA951"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72AB75D1"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36D3DA9F"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7876DDCD"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0327EBBA"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2D8AE190"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43FC247C"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3B108B5A"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04BEE187"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29DEA5C0"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5D8988F2"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00578FB9"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3A315D96" w14:textId="77777777" w:rsidR="00A50FCF" w:rsidRPr="00E9543F" w:rsidRDefault="0090270B" w:rsidP="00040C3A">
      <w:pPr>
        <w:tabs>
          <w:tab w:val="center" w:pos="5400"/>
        </w:tabs>
        <w:suppressAutoHyphens/>
        <w:jc w:val="center"/>
        <w:rPr>
          <w:rFonts w:asciiTheme="majorHAnsi" w:hAnsiTheme="majorHAnsi"/>
          <w:sz w:val="18"/>
          <w:szCs w:val="22"/>
          <w:lang w:val="es-ES"/>
        </w:rPr>
      </w:pPr>
      <w:r w:rsidRPr="00E9543F">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2028FBD0" wp14:editId="5F51178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363782" w14:textId="590EF553" w:rsidR="00032214" w:rsidRPr="00F66E08" w:rsidRDefault="005B52B0" w:rsidP="0059191A">
                            <w:pPr>
                              <w:tabs>
                                <w:tab w:val="center" w:pos="5400"/>
                              </w:tabs>
                              <w:suppressAutoHyphens/>
                              <w:spacing w:before="60"/>
                              <w:rPr>
                                <w:rFonts w:asciiTheme="majorHAnsi" w:hAnsiTheme="majorHAnsi"/>
                                <w:color w:val="0D0D0D" w:themeColor="text1" w:themeTint="F2"/>
                                <w:sz w:val="18"/>
                                <w:szCs w:val="20"/>
                              </w:rPr>
                            </w:pPr>
                            <w:r w:rsidRPr="00890650">
                              <w:rPr>
                                <w:rFonts w:asciiTheme="majorHAnsi" w:hAnsiTheme="majorHAnsi"/>
                                <w:color w:val="0D0D0D" w:themeColor="text1" w:themeTint="F2"/>
                                <w:sz w:val="18"/>
                                <w:szCs w:val="20"/>
                              </w:rPr>
                              <w:t xml:space="preserve">Approved electronically by the Commission on </w:t>
                            </w:r>
                            <w:r w:rsidR="00E61344">
                              <w:rPr>
                                <w:rFonts w:asciiTheme="majorHAnsi" w:hAnsiTheme="majorHAnsi"/>
                                <w:color w:val="0D0D0D" w:themeColor="text1" w:themeTint="F2"/>
                                <w:sz w:val="18"/>
                                <w:szCs w:val="20"/>
                              </w:rPr>
                              <w:t>December</w:t>
                            </w:r>
                            <w:r w:rsidRPr="00890650">
                              <w:rPr>
                                <w:rFonts w:asciiTheme="majorHAnsi" w:hAnsiTheme="majorHAnsi"/>
                                <w:color w:val="0D0D0D" w:themeColor="text1" w:themeTint="F2"/>
                                <w:sz w:val="18"/>
                                <w:szCs w:val="20"/>
                              </w:rPr>
                              <w:t xml:space="preserve"> </w:t>
                            </w:r>
                            <w:r w:rsidR="00E61344">
                              <w:rPr>
                                <w:rFonts w:asciiTheme="majorHAnsi" w:hAnsiTheme="majorHAnsi"/>
                                <w:color w:val="0D0D0D" w:themeColor="text1" w:themeTint="F2"/>
                                <w:sz w:val="18"/>
                                <w:szCs w:val="20"/>
                              </w:rPr>
                              <w:t>3</w:t>
                            </w:r>
                            <w:r w:rsidR="001B7FBB">
                              <w:rPr>
                                <w:rFonts w:asciiTheme="majorHAnsi" w:hAnsiTheme="majorHAnsi"/>
                                <w:color w:val="0D0D0D" w:themeColor="text1" w:themeTint="F2"/>
                                <w:sz w:val="18"/>
                                <w:szCs w:val="20"/>
                              </w:rPr>
                              <w:t>,</w:t>
                            </w:r>
                            <w:r w:rsidRPr="00890650">
                              <w:rPr>
                                <w:rFonts w:asciiTheme="majorHAnsi" w:hAnsiTheme="majorHAnsi"/>
                                <w:color w:val="0D0D0D" w:themeColor="text1" w:themeTint="F2"/>
                                <w:sz w:val="18"/>
                                <w:szCs w:val="20"/>
                              </w:rPr>
                              <w:t xml:space="preserve"> 20</w:t>
                            </w:r>
                            <w:r w:rsidR="003C3940">
                              <w:rPr>
                                <w:rFonts w:asciiTheme="majorHAnsi" w:hAnsiTheme="majorHAnsi"/>
                                <w:color w:val="0D0D0D" w:themeColor="text1" w:themeTint="F2"/>
                                <w:sz w:val="18"/>
                                <w:szCs w:val="20"/>
                              </w:rPr>
                              <w:t>25</w:t>
                            </w:r>
                          </w:p>
                          <w:p w14:paraId="3C7BAF24" w14:textId="77777777" w:rsidR="00044112" w:rsidRPr="00F66E08" w:rsidRDefault="00044112" w:rsidP="0059191A">
                            <w:pPr>
                              <w:tabs>
                                <w:tab w:val="center" w:pos="5400"/>
                              </w:tabs>
                              <w:suppressAutoHyphens/>
                              <w:spacing w:before="60"/>
                              <w:rPr>
                                <w:rFonts w:asciiTheme="majorHAnsi" w:hAnsiTheme="majorHAnsi" w:cs="Univers"/>
                                <w:color w:val="0D0D0D" w:themeColor="text1" w:themeTint="F2"/>
                                <w:sz w:val="18"/>
                                <w:szCs w:val="20"/>
                              </w:rPr>
                            </w:pPr>
                          </w:p>
                          <w:p w14:paraId="6FFAD450" w14:textId="77777777" w:rsidR="00044112" w:rsidRPr="00F66E08" w:rsidRDefault="00044112" w:rsidP="0059191A">
                            <w:pPr>
                              <w:tabs>
                                <w:tab w:val="center" w:pos="5400"/>
                              </w:tabs>
                              <w:suppressAutoHyphens/>
                              <w:spacing w:before="60"/>
                              <w:rPr>
                                <w:rFonts w:asciiTheme="majorHAnsi" w:hAnsiTheme="majorHAnsi" w:cs="Univers"/>
                                <w:color w:val="0D0D0D" w:themeColor="text1" w:themeTint="F2"/>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8FBD0"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0363782" w14:textId="590EF553" w:rsidR="00032214" w:rsidRPr="00F66E08" w:rsidRDefault="005B52B0" w:rsidP="0059191A">
                      <w:pPr>
                        <w:tabs>
                          <w:tab w:val="center" w:pos="5400"/>
                        </w:tabs>
                        <w:suppressAutoHyphens/>
                        <w:spacing w:before="60"/>
                        <w:rPr>
                          <w:rFonts w:asciiTheme="majorHAnsi" w:hAnsiTheme="majorHAnsi"/>
                          <w:color w:val="0D0D0D" w:themeColor="text1" w:themeTint="F2"/>
                          <w:sz w:val="18"/>
                          <w:szCs w:val="20"/>
                        </w:rPr>
                      </w:pPr>
                      <w:r w:rsidRPr="00890650">
                        <w:rPr>
                          <w:rFonts w:asciiTheme="majorHAnsi" w:hAnsiTheme="majorHAnsi"/>
                          <w:color w:val="0D0D0D" w:themeColor="text1" w:themeTint="F2"/>
                          <w:sz w:val="18"/>
                          <w:szCs w:val="20"/>
                        </w:rPr>
                        <w:t xml:space="preserve">Approved electronically by the Commission on </w:t>
                      </w:r>
                      <w:r w:rsidR="00E61344">
                        <w:rPr>
                          <w:rFonts w:asciiTheme="majorHAnsi" w:hAnsiTheme="majorHAnsi"/>
                          <w:color w:val="0D0D0D" w:themeColor="text1" w:themeTint="F2"/>
                          <w:sz w:val="18"/>
                          <w:szCs w:val="20"/>
                        </w:rPr>
                        <w:t>December</w:t>
                      </w:r>
                      <w:r w:rsidRPr="00890650">
                        <w:rPr>
                          <w:rFonts w:asciiTheme="majorHAnsi" w:hAnsiTheme="majorHAnsi"/>
                          <w:color w:val="0D0D0D" w:themeColor="text1" w:themeTint="F2"/>
                          <w:sz w:val="18"/>
                          <w:szCs w:val="20"/>
                        </w:rPr>
                        <w:t xml:space="preserve"> </w:t>
                      </w:r>
                      <w:r w:rsidR="00E61344">
                        <w:rPr>
                          <w:rFonts w:asciiTheme="majorHAnsi" w:hAnsiTheme="majorHAnsi"/>
                          <w:color w:val="0D0D0D" w:themeColor="text1" w:themeTint="F2"/>
                          <w:sz w:val="18"/>
                          <w:szCs w:val="20"/>
                        </w:rPr>
                        <w:t>3</w:t>
                      </w:r>
                      <w:r w:rsidR="001B7FBB">
                        <w:rPr>
                          <w:rFonts w:asciiTheme="majorHAnsi" w:hAnsiTheme="majorHAnsi"/>
                          <w:color w:val="0D0D0D" w:themeColor="text1" w:themeTint="F2"/>
                          <w:sz w:val="18"/>
                          <w:szCs w:val="20"/>
                        </w:rPr>
                        <w:t>,</w:t>
                      </w:r>
                      <w:r w:rsidRPr="00890650">
                        <w:rPr>
                          <w:rFonts w:asciiTheme="majorHAnsi" w:hAnsiTheme="majorHAnsi"/>
                          <w:color w:val="0D0D0D" w:themeColor="text1" w:themeTint="F2"/>
                          <w:sz w:val="18"/>
                          <w:szCs w:val="20"/>
                        </w:rPr>
                        <w:t xml:space="preserve"> 20</w:t>
                      </w:r>
                      <w:r w:rsidR="003C3940">
                        <w:rPr>
                          <w:rFonts w:asciiTheme="majorHAnsi" w:hAnsiTheme="majorHAnsi"/>
                          <w:color w:val="0D0D0D" w:themeColor="text1" w:themeTint="F2"/>
                          <w:sz w:val="18"/>
                          <w:szCs w:val="20"/>
                        </w:rPr>
                        <w:t>25</w:t>
                      </w:r>
                    </w:p>
                    <w:p w14:paraId="3C7BAF24" w14:textId="77777777" w:rsidR="00044112" w:rsidRPr="00F66E08" w:rsidRDefault="00044112" w:rsidP="0059191A">
                      <w:pPr>
                        <w:tabs>
                          <w:tab w:val="center" w:pos="5400"/>
                        </w:tabs>
                        <w:suppressAutoHyphens/>
                        <w:spacing w:before="60"/>
                        <w:rPr>
                          <w:rFonts w:asciiTheme="majorHAnsi" w:hAnsiTheme="majorHAnsi" w:cs="Univers"/>
                          <w:color w:val="0D0D0D" w:themeColor="text1" w:themeTint="F2"/>
                          <w:sz w:val="18"/>
                          <w:szCs w:val="20"/>
                        </w:rPr>
                      </w:pPr>
                    </w:p>
                    <w:p w14:paraId="6FFAD450" w14:textId="77777777" w:rsidR="00044112" w:rsidRPr="00F66E08" w:rsidRDefault="00044112" w:rsidP="0059191A">
                      <w:pPr>
                        <w:tabs>
                          <w:tab w:val="center" w:pos="5400"/>
                        </w:tabs>
                        <w:suppressAutoHyphens/>
                        <w:spacing w:before="60"/>
                        <w:rPr>
                          <w:rFonts w:asciiTheme="majorHAnsi" w:hAnsiTheme="majorHAnsi" w:cs="Univers"/>
                          <w:color w:val="0D0D0D" w:themeColor="text1" w:themeTint="F2"/>
                          <w:sz w:val="18"/>
                          <w:szCs w:val="20"/>
                        </w:rPr>
                      </w:pPr>
                    </w:p>
                  </w:txbxContent>
                </v:textbox>
              </v:shape>
            </w:pict>
          </mc:Fallback>
        </mc:AlternateContent>
      </w:r>
    </w:p>
    <w:p w14:paraId="12E011DF"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391A59B9"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42F0F383"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30BAB23F"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0554E392" w14:textId="77777777" w:rsidR="00A50FCF" w:rsidRPr="00E9543F" w:rsidRDefault="0090270B" w:rsidP="00040C3A">
      <w:pPr>
        <w:tabs>
          <w:tab w:val="center" w:pos="5400"/>
        </w:tabs>
        <w:suppressAutoHyphens/>
        <w:jc w:val="center"/>
        <w:rPr>
          <w:rFonts w:asciiTheme="majorHAnsi" w:hAnsiTheme="majorHAnsi"/>
          <w:sz w:val="18"/>
          <w:szCs w:val="22"/>
          <w:lang w:val="es-ES"/>
        </w:rPr>
      </w:pPr>
      <w:r w:rsidRPr="00E9543F">
        <w:rPr>
          <w:rFonts w:asciiTheme="majorHAnsi" w:hAnsiTheme="majorHAnsi"/>
          <w:noProof/>
          <w:sz w:val="18"/>
          <w:szCs w:val="22"/>
        </w:rPr>
        <mc:AlternateContent>
          <mc:Choice Requires="wps">
            <w:drawing>
              <wp:anchor distT="0" distB="0" distL="114300" distR="114300" simplePos="0" relativeHeight="251658245" behindDoc="0" locked="0" layoutInCell="1" allowOverlap="1" wp14:anchorId="450176E1" wp14:editId="643A7CD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E01A09" w14:textId="7DA54CB8" w:rsidR="00113F73" w:rsidRPr="007C756A" w:rsidRDefault="00113F73" w:rsidP="00113F73">
                            <w:pPr>
                              <w:spacing w:line="276" w:lineRule="auto"/>
                              <w:rPr>
                                <w:rFonts w:asciiTheme="majorHAnsi" w:hAnsiTheme="majorHAnsi"/>
                                <w:color w:val="595959" w:themeColor="text1" w:themeTint="A6"/>
                                <w:sz w:val="18"/>
                                <w:szCs w:val="18"/>
                                <w:lang w:val="es-US"/>
                              </w:rPr>
                            </w:pPr>
                            <w:r w:rsidRPr="00DF6D64">
                              <w:rPr>
                                <w:rFonts w:asciiTheme="majorHAnsi" w:hAnsiTheme="majorHAnsi"/>
                                <w:b/>
                                <w:color w:val="595959" w:themeColor="text1" w:themeTint="A6"/>
                                <w:sz w:val="18"/>
                                <w:szCs w:val="18"/>
                              </w:rPr>
                              <w:t>Cite as:</w:t>
                            </w:r>
                            <w:r w:rsidR="00C75282" w:rsidRPr="00DF6D64">
                              <w:rPr>
                                <w:rFonts w:asciiTheme="majorHAnsi" w:hAnsiTheme="majorHAnsi"/>
                                <w:color w:val="595959" w:themeColor="text1" w:themeTint="A6"/>
                                <w:sz w:val="18"/>
                                <w:szCs w:val="18"/>
                              </w:rPr>
                              <w:t xml:space="preserve"> IACHR. Report No. </w:t>
                            </w:r>
                            <w:r w:rsidR="001B7FBB">
                              <w:rPr>
                                <w:rFonts w:asciiTheme="majorHAnsi" w:hAnsiTheme="majorHAnsi"/>
                                <w:color w:val="595959" w:themeColor="text1" w:themeTint="A6"/>
                                <w:sz w:val="18"/>
                                <w:szCs w:val="18"/>
                              </w:rPr>
                              <w:t>251</w:t>
                            </w:r>
                            <w:r w:rsidR="00C75282" w:rsidRPr="00DF6D64">
                              <w:rPr>
                                <w:rFonts w:asciiTheme="majorHAnsi" w:hAnsiTheme="majorHAnsi"/>
                                <w:color w:val="595959" w:themeColor="text1" w:themeTint="A6"/>
                                <w:sz w:val="18"/>
                                <w:szCs w:val="18"/>
                              </w:rPr>
                              <w:t>/</w:t>
                            </w:r>
                            <w:r w:rsidR="003C3940">
                              <w:rPr>
                                <w:rFonts w:asciiTheme="majorHAnsi" w:hAnsiTheme="majorHAnsi"/>
                                <w:color w:val="595959" w:themeColor="text1" w:themeTint="A6"/>
                                <w:sz w:val="18"/>
                                <w:szCs w:val="18"/>
                              </w:rPr>
                              <w:t>25</w:t>
                            </w:r>
                            <w:r w:rsidR="00C75282" w:rsidRPr="00DF6D64">
                              <w:rPr>
                                <w:rFonts w:asciiTheme="majorHAnsi" w:hAnsiTheme="majorHAnsi"/>
                                <w:color w:val="595959" w:themeColor="text1" w:themeTint="A6"/>
                                <w:sz w:val="18"/>
                                <w:szCs w:val="18"/>
                              </w:rPr>
                              <w:t xml:space="preserve">. Case 14.264. Admissibility and </w:t>
                            </w:r>
                            <w:r w:rsidR="00C75282" w:rsidRPr="001B7FBB">
                              <w:rPr>
                                <w:rFonts w:asciiTheme="majorHAnsi" w:hAnsiTheme="majorHAnsi"/>
                                <w:color w:val="595959" w:themeColor="text1" w:themeTint="A6"/>
                                <w:sz w:val="18"/>
                                <w:szCs w:val="18"/>
                              </w:rPr>
                              <w:t>Merits</w:t>
                            </w:r>
                            <w:r w:rsidR="003C3940" w:rsidRPr="001B7FBB">
                              <w:rPr>
                                <w:rFonts w:asciiTheme="majorHAnsi" w:hAnsiTheme="majorHAnsi"/>
                                <w:color w:val="595959" w:themeColor="text1" w:themeTint="A6"/>
                                <w:sz w:val="18"/>
                                <w:szCs w:val="18"/>
                              </w:rPr>
                              <w:t xml:space="preserve"> (</w:t>
                            </w:r>
                            <w:r w:rsidR="00A33774" w:rsidRPr="001B7FBB">
                              <w:rPr>
                                <w:rFonts w:asciiTheme="majorHAnsi" w:hAnsiTheme="majorHAnsi"/>
                                <w:color w:val="595959" w:themeColor="text1" w:themeTint="A6"/>
                                <w:sz w:val="18"/>
                                <w:szCs w:val="18"/>
                              </w:rPr>
                              <w:t>Publication</w:t>
                            </w:r>
                            <w:r w:rsidR="003C3940" w:rsidRPr="001B7FBB">
                              <w:rPr>
                                <w:rFonts w:asciiTheme="majorHAnsi" w:hAnsiTheme="majorHAnsi"/>
                                <w:color w:val="595959" w:themeColor="text1" w:themeTint="A6"/>
                                <w:sz w:val="18"/>
                                <w:szCs w:val="18"/>
                              </w:rPr>
                              <w:t>)</w:t>
                            </w:r>
                            <w:r w:rsidR="00C75282" w:rsidRPr="001B7FBB">
                              <w:rPr>
                                <w:rFonts w:asciiTheme="majorHAnsi" w:hAnsiTheme="majorHAnsi"/>
                                <w:color w:val="595959" w:themeColor="text1" w:themeTint="A6"/>
                                <w:sz w:val="18"/>
                                <w:szCs w:val="18"/>
                              </w:rPr>
                              <w:t>.</w:t>
                            </w:r>
                            <w:r w:rsidR="00C75282" w:rsidRPr="00DF6D64">
                              <w:rPr>
                                <w:rFonts w:asciiTheme="majorHAnsi" w:hAnsiTheme="majorHAnsi"/>
                                <w:color w:val="595959" w:themeColor="text1" w:themeTint="A6"/>
                                <w:sz w:val="18"/>
                                <w:szCs w:val="18"/>
                              </w:rPr>
                              <w:t xml:space="preserve"> Maykel Castillo Pérez. Cuba. </w:t>
                            </w:r>
                            <w:r w:rsidR="001B7FBB">
                              <w:rPr>
                                <w:rFonts w:asciiTheme="majorHAnsi" w:hAnsiTheme="majorHAnsi"/>
                                <w:color w:val="595959" w:themeColor="text1" w:themeTint="A6"/>
                                <w:sz w:val="18"/>
                                <w:szCs w:val="18"/>
                              </w:rPr>
                              <w:t>December 3,</w:t>
                            </w:r>
                            <w:r w:rsidR="003C3940">
                              <w:rPr>
                                <w:rFonts w:asciiTheme="majorHAnsi" w:hAnsiTheme="majorHAnsi"/>
                                <w:color w:val="595959" w:themeColor="text1" w:themeTint="A6"/>
                                <w:sz w:val="18"/>
                                <w:szCs w:val="18"/>
                              </w:rPr>
                              <w:t>2025</w:t>
                            </w:r>
                            <w:r w:rsidR="00C75282" w:rsidRPr="00DF6D64">
                              <w:rPr>
                                <w:rFonts w:asciiTheme="majorHAnsi" w:hAnsiTheme="majorHAnsi"/>
                                <w:color w:val="595959" w:themeColor="text1" w:themeTint="A6"/>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176E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6CE01A09" w14:textId="7DA54CB8" w:rsidR="00113F73" w:rsidRPr="007C756A" w:rsidRDefault="00113F73" w:rsidP="00113F73">
                      <w:pPr>
                        <w:spacing w:line="276" w:lineRule="auto"/>
                        <w:rPr>
                          <w:rFonts w:asciiTheme="majorHAnsi" w:hAnsiTheme="majorHAnsi"/>
                          <w:color w:val="595959" w:themeColor="text1" w:themeTint="A6"/>
                          <w:sz w:val="18"/>
                          <w:szCs w:val="18"/>
                          <w:lang w:val="es-US"/>
                        </w:rPr>
                      </w:pPr>
                      <w:r w:rsidRPr="00DF6D64">
                        <w:rPr>
                          <w:rFonts w:asciiTheme="majorHAnsi" w:hAnsiTheme="majorHAnsi"/>
                          <w:b/>
                          <w:color w:val="595959" w:themeColor="text1" w:themeTint="A6"/>
                          <w:sz w:val="18"/>
                          <w:szCs w:val="18"/>
                        </w:rPr>
                        <w:t>Cite as:</w:t>
                      </w:r>
                      <w:r w:rsidR="00C75282" w:rsidRPr="00DF6D64">
                        <w:rPr>
                          <w:rFonts w:asciiTheme="majorHAnsi" w:hAnsiTheme="majorHAnsi"/>
                          <w:color w:val="595959" w:themeColor="text1" w:themeTint="A6"/>
                          <w:sz w:val="18"/>
                          <w:szCs w:val="18"/>
                        </w:rPr>
                        <w:t xml:space="preserve"> IACHR. Report No. </w:t>
                      </w:r>
                      <w:r w:rsidR="001B7FBB">
                        <w:rPr>
                          <w:rFonts w:asciiTheme="majorHAnsi" w:hAnsiTheme="majorHAnsi"/>
                          <w:color w:val="595959" w:themeColor="text1" w:themeTint="A6"/>
                          <w:sz w:val="18"/>
                          <w:szCs w:val="18"/>
                        </w:rPr>
                        <w:t>251</w:t>
                      </w:r>
                      <w:r w:rsidR="00C75282" w:rsidRPr="00DF6D64">
                        <w:rPr>
                          <w:rFonts w:asciiTheme="majorHAnsi" w:hAnsiTheme="majorHAnsi"/>
                          <w:color w:val="595959" w:themeColor="text1" w:themeTint="A6"/>
                          <w:sz w:val="18"/>
                          <w:szCs w:val="18"/>
                        </w:rPr>
                        <w:t>/</w:t>
                      </w:r>
                      <w:r w:rsidR="003C3940">
                        <w:rPr>
                          <w:rFonts w:asciiTheme="majorHAnsi" w:hAnsiTheme="majorHAnsi"/>
                          <w:color w:val="595959" w:themeColor="text1" w:themeTint="A6"/>
                          <w:sz w:val="18"/>
                          <w:szCs w:val="18"/>
                        </w:rPr>
                        <w:t>25</w:t>
                      </w:r>
                      <w:r w:rsidR="00C75282" w:rsidRPr="00DF6D64">
                        <w:rPr>
                          <w:rFonts w:asciiTheme="majorHAnsi" w:hAnsiTheme="majorHAnsi"/>
                          <w:color w:val="595959" w:themeColor="text1" w:themeTint="A6"/>
                          <w:sz w:val="18"/>
                          <w:szCs w:val="18"/>
                        </w:rPr>
                        <w:t xml:space="preserve">. Case 14.264. Admissibility and </w:t>
                      </w:r>
                      <w:r w:rsidR="00C75282" w:rsidRPr="001B7FBB">
                        <w:rPr>
                          <w:rFonts w:asciiTheme="majorHAnsi" w:hAnsiTheme="majorHAnsi"/>
                          <w:color w:val="595959" w:themeColor="text1" w:themeTint="A6"/>
                          <w:sz w:val="18"/>
                          <w:szCs w:val="18"/>
                        </w:rPr>
                        <w:t>Merits</w:t>
                      </w:r>
                      <w:r w:rsidR="003C3940" w:rsidRPr="001B7FBB">
                        <w:rPr>
                          <w:rFonts w:asciiTheme="majorHAnsi" w:hAnsiTheme="majorHAnsi"/>
                          <w:color w:val="595959" w:themeColor="text1" w:themeTint="A6"/>
                          <w:sz w:val="18"/>
                          <w:szCs w:val="18"/>
                        </w:rPr>
                        <w:t xml:space="preserve"> (</w:t>
                      </w:r>
                      <w:r w:rsidR="00A33774" w:rsidRPr="001B7FBB">
                        <w:rPr>
                          <w:rFonts w:asciiTheme="majorHAnsi" w:hAnsiTheme="majorHAnsi"/>
                          <w:color w:val="595959" w:themeColor="text1" w:themeTint="A6"/>
                          <w:sz w:val="18"/>
                          <w:szCs w:val="18"/>
                        </w:rPr>
                        <w:t>Publication</w:t>
                      </w:r>
                      <w:r w:rsidR="003C3940" w:rsidRPr="001B7FBB">
                        <w:rPr>
                          <w:rFonts w:asciiTheme="majorHAnsi" w:hAnsiTheme="majorHAnsi"/>
                          <w:color w:val="595959" w:themeColor="text1" w:themeTint="A6"/>
                          <w:sz w:val="18"/>
                          <w:szCs w:val="18"/>
                        </w:rPr>
                        <w:t>)</w:t>
                      </w:r>
                      <w:r w:rsidR="00C75282" w:rsidRPr="001B7FBB">
                        <w:rPr>
                          <w:rFonts w:asciiTheme="majorHAnsi" w:hAnsiTheme="majorHAnsi"/>
                          <w:color w:val="595959" w:themeColor="text1" w:themeTint="A6"/>
                          <w:sz w:val="18"/>
                          <w:szCs w:val="18"/>
                        </w:rPr>
                        <w:t>.</w:t>
                      </w:r>
                      <w:r w:rsidR="00C75282" w:rsidRPr="00DF6D64">
                        <w:rPr>
                          <w:rFonts w:asciiTheme="majorHAnsi" w:hAnsiTheme="majorHAnsi"/>
                          <w:color w:val="595959" w:themeColor="text1" w:themeTint="A6"/>
                          <w:sz w:val="18"/>
                          <w:szCs w:val="18"/>
                        </w:rPr>
                        <w:t xml:space="preserve"> Maykel Castillo Pérez. Cuba. </w:t>
                      </w:r>
                      <w:r w:rsidR="001B7FBB">
                        <w:rPr>
                          <w:rFonts w:asciiTheme="majorHAnsi" w:hAnsiTheme="majorHAnsi"/>
                          <w:color w:val="595959" w:themeColor="text1" w:themeTint="A6"/>
                          <w:sz w:val="18"/>
                          <w:szCs w:val="18"/>
                        </w:rPr>
                        <w:t>December 3,</w:t>
                      </w:r>
                      <w:r w:rsidR="003C3940">
                        <w:rPr>
                          <w:rFonts w:asciiTheme="majorHAnsi" w:hAnsiTheme="majorHAnsi"/>
                          <w:color w:val="595959" w:themeColor="text1" w:themeTint="A6"/>
                          <w:sz w:val="18"/>
                          <w:szCs w:val="18"/>
                        </w:rPr>
                        <w:t>2025</w:t>
                      </w:r>
                      <w:r w:rsidR="00C75282" w:rsidRPr="00DF6D64">
                        <w:rPr>
                          <w:rFonts w:asciiTheme="majorHAnsi" w:hAnsiTheme="majorHAnsi"/>
                          <w:color w:val="595959" w:themeColor="text1" w:themeTint="A6"/>
                          <w:sz w:val="18"/>
                          <w:szCs w:val="18"/>
                        </w:rPr>
                        <w:t xml:space="preserve">. </w:t>
                      </w:r>
                    </w:p>
                  </w:txbxContent>
                </v:textbox>
              </v:shape>
            </w:pict>
          </mc:Fallback>
        </mc:AlternateContent>
      </w:r>
    </w:p>
    <w:p w14:paraId="24AB12DC"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51FF4BF3" w14:textId="77777777" w:rsidR="0090270B" w:rsidRPr="00E9543F" w:rsidRDefault="00D306D1" w:rsidP="005516A1">
      <w:pPr>
        <w:tabs>
          <w:tab w:val="center" w:pos="5400"/>
        </w:tabs>
        <w:suppressAutoHyphens/>
        <w:jc w:val="center"/>
        <w:rPr>
          <w:rFonts w:asciiTheme="majorHAnsi" w:hAnsiTheme="majorHAnsi"/>
          <w:b/>
          <w:sz w:val="20"/>
          <w:lang w:val="es-ES"/>
        </w:rPr>
      </w:pPr>
      <w:r w:rsidRPr="00E9543F">
        <w:rPr>
          <w:rFonts w:asciiTheme="majorHAnsi" w:hAnsiTheme="majorHAnsi"/>
          <w:noProof/>
          <w:sz w:val="18"/>
          <w:szCs w:val="22"/>
        </w:rPr>
        <mc:AlternateContent>
          <mc:Choice Requires="wps">
            <w:drawing>
              <wp:anchor distT="0" distB="0" distL="114300" distR="114300" simplePos="0" relativeHeight="251658246" behindDoc="0" locked="0" layoutInCell="1" allowOverlap="1" wp14:anchorId="32D41B8C" wp14:editId="0E31A2BA">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16FC4A" w14:textId="77777777" w:rsidR="00D72DC6" w:rsidRPr="00D72DC6" w:rsidRDefault="00914740" w:rsidP="00F02AD1">
                            <w:pPr>
                              <w:rPr>
                                <w:color w:val="FFFFFF" w:themeColor="background1"/>
                                <w14:textFill>
                                  <w14:noFill/>
                                </w14:textFill>
                              </w:rPr>
                            </w:pPr>
                            <w:r>
                              <w:rPr>
                                <w:noProof/>
                                <w:color w:val="FFFFFF" w:themeColor="background1"/>
                              </w:rPr>
                              <w:drawing>
                                <wp:inline distT="0" distB="0" distL="0" distR="0" wp14:anchorId="2B37A84B" wp14:editId="11400490">
                                  <wp:extent cx="1658203" cy="4265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A-ESP-Main-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1725" cy="42743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41B8C" id="Text Box 9" o:spid="_x0000_s1031"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6216FC4A" w14:textId="77777777" w:rsidR="00D72DC6" w:rsidRPr="00D72DC6" w:rsidRDefault="00914740" w:rsidP="00F02AD1">
                      <w:pPr>
                        <w:rPr>
                          <w:color w:val="FFFFFF" w:themeColor="background1"/>
                          <w14:textFill>
                            <w14:noFill/>
                          </w14:textFill>
                        </w:rPr>
                      </w:pPr>
                      <w:r>
                        <w:rPr>
                          <w:noProof/>
                          <w:color w:val="FFFFFF" w:themeColor="background1"/>
                        </w:rPr>
                        <w:drawing>
                          <wp:inline distT="0" distB="0" distL="0" distR="0" wp14:anchorId="2B37A84B" wp14:editId="11400490">
                            <wp:extent cx="1658203" cy="4265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A-ESP-Main-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1725" cy="427433"/>
                                    </a:xfrm>
                                    <a:prstGeom prst="rect">
                                      <a:avLst/>
                                    </a:prstGeom>
                                  </pic:spPr>
                                </pic:pic>
                              </a:graphicData>
                            </a:graphic>
                          </wp:inline>
                        </w:drawing>
                      </w:r>
                    </w:p>
                  </w:txbxContent>
                </v:textbox>
              </v:shape>
            </w:pict>
          </mc:Fallback>
        </mc:AlternateContent>
      </w:r>
      <w:r w:rsidRPr="00E9543F">
        <w:rPr>
          <w:rFonts w:asciiTheme="majorHAnsi" w:hAnsiTheme="majorHAnsi"/>
          <w:noProof/>
          <w:sz w:val="22"/>
          <w:szCs w:val="22"/>
        </w:rPr>
        <mc:AlternateContent>
          <mc:Choice Requires="wps">
            <w:drawing>
              <wp:anchor distT="0" distB="0" distL="114300" distR="114300" simplePos="0" relativeHeight="251658247" behindDoc="0" locked="0" layoutInCell="1" allowOverlap="1" wp14:anchorId="213C7D62" wp14:editId="28A2DAD7">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60DF88"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C7D62" id="Text Box 4" o:spid="_x0000_s1032"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0560DF88"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rPr>
                        <w:t>www.cidh.org</w:t>
                      </w:r>
                    </w:p>
                  </w:txbxContent>
                </v:textbox>
              </v:shape>
            </w:pict>
          </mc:Fallback>
        </mc:AlternateContent>
      </w:r>
    </w:p>
    <w:p w14:paraId="4A1194CD" w14:textId="77777777" w:rsidR="0070697F" w:rsidRPr="00E9543F" w:rsidRDefault="0070697F" w:rsidP="00032214">
      <w:pPr>
        <w:tabs>
          <w:tab w:val="center" w:pos="5400"/>
        </w:tabs>
        <w:suppressAutoHyphens/>
        <w:rPr>
          <w:rFonts w:asciiTheme="majorHAnsi" w:hAnsiTheme="majorHAnsi"/>
          <w:b/>
          <w:sz w:val="20"/>
          <w:lang w:val="es-ES"/>
        </w:rPr>
        <w:sectPr w:rsidR="0070697F" w:rsidRPr="00E9543F" w:rsidSect="00C054DF">
          <w:headerReference w:type="even" r:id="rId13"/>
          <w:headerReference w:type="default" r:id="rId14"/>
          <w:footerReference w:type="default" r:id="rId15"/>
          <w:headerReference w:type="first" r:id="rId16"/>
          <w:footerReference w:type="first" r:id="rId17"/>
          <w:type w:val="oddPage"/>
          <w:pgSz w:w="12240" w:h="15840"/>
          <w:pgMar w:top="1440" w:right="1440" w:bottom="1440" w:left="1440" w:header="720" w:footer="720" w:gutter="0"/>
          <w:pgNumType w:start="0"/>
          <w:cols w:space="720"/>
          <w:titlePg/>
          <w:docGrid w:linePitch="326"/>
        </w:sectPr>
      </w:pPr>
    </w:p>
    <w:p w14:paraId="1F86490D" w14:textId="77777777" w:rsidR="00722C9F" w:rsidRPr="00E9543F" w:rsidRDefault="00722C9F" w:rsidP="00032214">
      <w:pPr>
        <w:tabs>
          <w:tab w:val="center" w:pos="5400"/>
        </w:tabs>
        <w:suppressAutoHyphens/>
        <w:spacing w:line="276" w:lineRule="auto"/>
        <w:rPr>
          <w:rFonts w:asciiTheme="majorHAnsi" w:hAnsiTheme="majorHAnsi"/>
          <w:sz w:val="18"/>
          <w:szCs w:val="20"/>
          <w:highlight w:val="yellow"/>
          <w:lang w:val="es-ES"/>
        </w:rPr>
      </w:pPr>
    </w:p>
    <w:p w14:paraId="7DAD439F" w14:textId="77777777" w:rsidR="00722C9F" w:rsidRPr="00A65328" w:rsidRDefault="00722C9F" w:rsidP="00722C9F">
      <w:pPr>
        <w:tabs>
          <w:tab w:val="center" w:pos="5400"/>
        </w:tabs>
        <w:suppressAutoHyphens/>
        <w:spacing w:line="276" w:lineRule="auto"/>
        <w:jc w:val="center"/>
        <w:rPr>
          <w:rFonts w:ascii="Cambria" w:hAnsi="Cambria"/>
          <w:b/>
          <w:lang w:val="es-ES"/>
        </w:rPr>
      </w:pPr>
      <w:r w:rsidRPr="00A65328">
        <w:rPr>
          <w:rFonts w:ascii="Cambria" w:hAnsi="Cambria"/>
          <w:b/>
        </w:rPr>
        <w:t>INDEX</w:t>
      </w:r>
    </w:p>
    <w:p w14:paraId="7B082B09" w14:textId="77777777" w:rsidR="008D768D" w:rsidRPr="00A65328" w:rsidRDefault="008D768D" w:rsidP="006125C3">
      <w:pPr>
        <w:tabs>
          <w:tab w:val="center" w:pos="5400"/>
        </w:tabs>
        <w:suppressAutoHyphens/>
        <w:spacing w:line="276" w:lineRule="auto"/>
        <w:rPr>
          <w:rFonts w:ascii="Cambria" w:hAnsi="Cambria"/>
          <w:lang w:val="es-ES"/>
        </w:rPr>
      </w:pPr>
    </w:p>
    <w:p w14:paraId="30B2AAA0" w14:textId="03C810CF" w:rsidR="00A65328" w:rsidRPr="00A65328" w:rsidRDefault="0083046E">
      <w:pPr>
        <w:pStyle w:val="TOC1"/>
        <w:tabs>
          <w:tab w:val="left" w:pos="1440"/>
          <w:tab w:val="right" w:leader="dot" w:pos="9350"/>
        </w:tabs>
        <w:rPr>
          <w:rFonts w:ascii="Cambria" w:eastAsiaTheme="minorEastAsia" w:hAnsi="Cambria" w:cstheme="minorBidi"/>
          <w:noProof/>
          <w:kern w:val="2"/>
          <w:sz w:val="24"/>
          <w:bdr w:val="none" w:sz="0" w:space="0" w:color="auto"/>
          <w14:ligatures w14:val="standardContextual"/>
        </w:rPr>
      </w:pPr>
      <w:r w:rsidRPr="00A65328">
        <w:rPr>
          <w:rFonts w:ascii="Cambria" w:hAnsi="Cambria"/>
          <w:b/>
          <w:sz w:val="24"/>
        </w:rPr>
        <w:fldChar w:fldCharType="begin"/>
      </w:r>
      <w:r w:rsidRPr="00A65328">
        <w:rPr>
          <w:rFonts w:ascii="Cambria" w:hAnsi="Cambria"/>
          <w:b/>
          <w:sz w:val="24"/>
        </w:rPr>
        <w:instrText xml:space="preserve"> TOC \o "1-2" \h \z \u </w:instrText>
      </w:r>
      <w:r w:rsidRPr="00A65328">
        <w:rPr>
          <w:rFonts w:ascii="Cambria" w:hAnsi="Cambria"/>
          <w:b/>
          <w:sz w:val="24"/>
        </w:rPr>
        <w:fldChar w:fldCharType="separate"/>
      </w:r>
      <w:hyperlink w:anchor="_Toc216356756" w:history="1">
        <w:r w:rsidR="00A65328" w:rsidRPr="00A65328">
          <w:rPr>
            <w:rStyle w:val="Hyperlink"/>
            <w:rFonts w:ascii="Cambria" w:hAnsi="Cambria"/>
            <w:noProof/>
            <w:sz w:val="24"/>
            <w:lang w:val="es-ES"/>
          </w:rPr>
          <w:t>I.</w:t>
        </w:r>
        <w:r w:rsidR="00A65328" w:rsidRPr="00A65328">
          <w:rPr>
            <w:rFonts w:ascii="Cambria" w:eastAsiaTheme="minorEastAsia" w:hAnsi="Cambria" w:cstheme="minorBidi"/>
            <w:noProof/>
            <w:kern w:val="2"/>
            <w:sz w:val="24"/>
            <w:bdr w:val="none" w:sz="0" w:space="0" w:color="auto"/>
            <w14:ligatures w14:val="standardContextual"/>
          </w:rPr>
          <w:tab/>
        </w:r>
        <w:r w:rsidR="00A65328" w:rsidRPr="00A65328">
          <w:rPr>
            <w:rStyle w:val="Hyperlink"/>
            <w:rFonts w:ascii="Cambria" w:hAnsi="Cambria"/>
            <w:noProof/>
            <w:sz w:val="24"/>
          </w:rPr>
          <w:t>INTRODUCTION</w:t>
        </w:r>
        <w:r w:rsidR="00A65328" w:rsidRPr="00A65328">
          <w:rPr>
            <w:rFonts w:ascii="Cambria" w:hAnsi="Cambria"/>
            <w:noProof/>
            <w:webHidden/>
            <w:sz w:val="24"/>
          </w:rPr>
          <w:tab/>
        </w:r>
        <w:r w:rsidR="00A65328" w:rsidRPr="00A65328">
          <w:rPr>
            <w:rFonts w:ascii="Cambria" w:hAnsi="Cambria"/>
            <w:noProof/>
            <w:webHidden/>
            <w:sz w:val="24"/>
          </w:rPr>
          <w:fldChar w:fldCharType="begin"/>
        </w:r>
        <w:r w:rsidR="00A65328" w:rsidRPr="00A65328">
          <w:rPr>
            <w:rFonts w:ascii="Cambria" w:hAnsi="Cambria"/>
            <w:noProof/>
            <w:webHidden/>
            <w:sz w:val="24"/>
          </w:rPr>
          <w:instrText xml:space="preserve"> PAGEREF _Toc216356756 \h </w:instrText>
        </w:r>
        <w:r w:rsidR="00A65328" w:rsidRPr="00A65328">
          <w:rPr>
            <w:rFonts w:ascii="Cambria" w:hAnsi="Cambria"/>
            <w:noProof/>
            <w:webHidden/>
            <w:sz w:val="24"/>
          </w:rPr>
        </w:r>
        <w:r w:rsidR="00A65328" w:rsidRPr="00A65328">
          <w:rPr>
            <w:rFonts w:ascii="Cambria" w:hAnsi="Cambria"/>
            <w:noProof/>
            <w:webHidden/>
            <w:sz w:val="24"/>
          </w:rPr>
          <w:fldChar w:fldCharType="separate"/>
        </w:r>
        <w:r w:rsidR="000666B1">
          <w:rPr>
            <w:rFonts w:ascii="Cambria" w:hAnsi="Cambria"/>
            <w:noProof/>
            <w:webHidden/>
            <w:sz w:val="24"/>
          </w:rPr>
          <w:t>2</w:t>
        </w:r>
        <w:r w:rsidR="00A65328" w:rsidRPr="00A65328">
          <w:rPr>
            <w:rFonts w:ascii="Cambria" w:hAnsi="Cambria"/>
            <w:noProof/>
            <w:webHidden/>
            <w:sz w:val="24"/>
          </w:rPr>
          <w:fldChar w:fldCharType="end"/>
        </w:r>
      </w:hyperlink>
    </w:p>
    <w:p w14:paraId="51488E9F" w14:textId="14EAE330" w:rsidR="00A65328" w:rsidRPr="00A65328" w:rsidRDefault="00A65328">
      <w:pPr>
        <w:pStyle w:val="TOC1"/>
        <w:tabs>
          <w:tab w:val="left" w:pos="1440"/>
          <w:tab w:val="right" w:leader="dot" w:pos="9350"/>
        </w:tabs>
        <w:rPr>
          <w:rFonts w:ascii="Cambria" w:eastAsiaTheme="minorEastAsia" w:hAnsi="Cambria" w:cstheme="minorBidi"/>
          <w:noProof/>
          <w:kern w:val="2"/>
          <w:sz w:val="24"/>
          <w:bdr w:val="none" w:sz="0" w:space="0" w:color="auto"/>
          <w14:ligatures w14:val="standardContextual"/>
        </w:rPr>
      </w:pPr>
      <w:hyperlink w:anchor="_Toc216356757" w:history="1">
        <w:r w:rsidRPr="00A65328">
          <w:rPr>
            <w:rStyle w:val="Hyperlink"/>
            <w:rFonts w:ascii="Cambria" w:hAnsi="Cambria"/>
            <w:noProof/>
            <w:sz w:val="24"/>
            <w:lang w:val="es-ES"/>
          </w:rPr>
          <w:t>II.</w:t>
        </w:r>
        <w:r w:rsidRPr="00A65328">
          <w:rPr>
            <w:rFonts w:ascii="Cambria" w:eastAsiaTheme="minorEastAsia" w:hAnsi="Cambria" w:cstheme="minorBidi"/>
            <w:noProof/>
            <w:kern w:val="2"/>
            <w:sz w:val="24"/>
            <w:bdr w:val="none" w:sz="0" w:space="0" w:color="auto"/>
            <w14:ligatures w14:val="standardContextual"/>
          </w:rPr>
          <w:tab/>
        </w:r>
        <w:r w:rsidRPr="00A65328">
          <w:rPr>
            <w:rStyle w:val="Hyperlink"/>
            <w:rFonts w:ascii="Cambria" w:hAnsi="Cambria"/>
            <w:noProof/>
            <w:sz w:val="24"/>
          </w:rPr>
          <w:t>ARGUMENTS OF THE PARTIES</w:t>
        </w:r>
        <w:r w:rsidRPr="00A65328">
          <w:rPr>
            <w:rFonts w:ascii="Cambria" w:hAnsi="Cambria"/>
            <w:noProof/>
            <w:webHidden/>
            <w:sz w:val="24"/>
          </w:rPr>
          <w:tab/>
        </w:r>
        <w:r w:rsidRPr="00A65328">
          <w:rPr>
            <w:rFonts w:ascii="Cambria" w:hAnsi="Cambria"/>
            <w:noProof/>
            <w:webHidden/>
            <w:sz w:val="24"/>
          </w:rPr>
          <w:fldChar w:fldCharType="begin"/>
        </w:r>
        <w:r w:rsidRPr="00A65328">
          <w:rPr>
            <w:rFonts w:ascii="Cambria" w:hAnsi="Cambria"/>
            <w:noProof/>
            <w:webHidden/>
            <w:sz w:val="24"/>
          </w:rPr>
          <w:instrText xml:space="preserve"> PAGEREF _Toc216356757 \h </w:instrText>
        </w:r>
        <w:r w:rsidRPr="00A65328">
          <w:rPr>
            <w:rFonts w:ascii="Cambria" w:hAnsi="Cambria"/>
            <w:noProof/>
            <w:webHidden/>
            <w:sz w:val="24"/>
          </w:rPr>
        </w:r>
        <w:r w:rsidRPr="00A65328">
          <w:rPr>
            <w:rFonts w:ascii="Cambria" w:hAnsi="Cambria"/>
            <w:noProof/>
            <w:webHidden/>
            <w:sz w:val="24"/>
          </w:rPr>
          <w:fldChar w:fldCharType="separate"/>
        </w:r>
        <w:r w:rsidR="000666B1">
          <w:rPr>
            <w:rFonts w:ascii="Cambria" w:hAnsi="Cambria"/>
            <w:noProof/>
            <w:webHidden/>
            <w:sz w:val="24"/>
          </w:rPr>
          <w:t>2</w:t>
        </w:r>
        <w:r w:rsidRPr="00A65328">
          <w:rPr>
            <w:rFonts w:ascii="Cambria" w:hAnsi="Cambria"/>
            <w:noProof/>
            <w:webHidden/>
            <w:sz w:val="24"/>
          </w:rPr>
          <w:fldChar w:fldCharType="end"/>
        </w:r>
      </w:hyperlink>
    </w:p>
    <w:p w14:paraId="67944313" w14:textId="1ABBE54C" w:rsidR="00A65328" w:rsidRPr="00A65328" w:rsidRDefault="00A65328">
      <w:pPr>
        <w:pStyle w:val="TOC2"/>
        <w:rPr>
          <w:rFonts w:ascii="Cambria" w:eastAsiaTheme="minorEastAsia" w:hAnsi="Cambria" w:cstheme="minorBidi"/>
          <w:noProof/>
          <w:kern w:val="2"/>
          <w:bdr w:val="none" w:sz="0" w:space="0" w:color="auto"/>
          <w14:ligatures w14:val="standardContextual"/>
        </w:rPr>
      </w:pPr>
      <w:hyperlink w:anchor="_Toc216356758" w:history="1">
        <w:r w:rsidRPr="00A65328">
          <w:rPr>
            <w:rStyle w:val="Hyperlink"/>
            <w:rFonts w:ascii="Cambria" w:hAnsi="Cambria"/>
            <w:noProof/>
          </w:rPr>
          <w:t>A.</w:t>
        </w:r>
        <w:r w:rsidRPr="00A65328">
          <w:rPr>
            <w:rFonts w:ascii="Cambria" w:eastAsiaTheme="minorEastAsia" w:hAnsi="Cambria" w:cstheme="minorBidi"/>
            <w:noProof/>
            <w:kern w:val="2"/>
            <w:bdr w:val="none" w:sz="0" w:space="0" w:color="auto"/>
            <w14:ligatures w14:val="standardContextual"/>
          </w:rPr>
          <w:tab/>
        </w:r>
        <w:r w:rsidRPr="00A65328">
          <w:rPr>
            <w:rStyle w:val="Hyperlink"/>
            <w:rFonts w:ascii="Cambria" w:hAnsi="Cambria"/>
            <w:noProof/>
          </w:rPr>
          <w:t>Petitioner</w:t>
        </w:r>
        <w:r w:rsidRPr="00A65328">
          <w:rPr>
            <w:rFonts w:ascii="Cambria" w:hAnsi="Cambria"/>
            <w:noProof/>
            <w:webHidden/>
          </w:rPr>
          <w:tab/>
        </w:r>
        <w:r w:rsidRPr="00A65328">
          <w:rPr>
            <w:rFonts w:ascii="Cambria" w:hAnsi="Cambria"/>
            <w:noProof/>
            <w:webHidden/>
          </w:rPr>
          <w:fldChar w:fldCharType="begin"/>
        </w:r>
        <w:r w:rsidRPr="00A65328">
          <w:rPr>
            <w:rFonts w:ascii="Cambria" w:hAnsi="Cambria"/>
            <w:noProof/>
            <w:webHidden/>
          </w:rPr>
          <w:instrText xml:space="preserve"> PAGEREF _Toc216356758 \h </w:instrText>
        </w:r>
        <w:r w:rsidRPr="00A65328">
          <w:rPr>
            <w:rFonts w:ascii="Cambria" w:hAnsi="Cambria"/>
            <w:noProof/>
            <w:webHidden/>
          </w:rPr>
        </w:r>
        <w:r w:rsidRPr="00A65328">
          <w:rPr>
            <w:rFonts w:ascii="Cambria" w:hAnsi="Cambria"/>
            <w:noProof/>
            <w:webHidden/>
          </w:rPr>
          <w:fldChar w:fldCharType="separate"/>
        </w:r>
        <w:r w:rsidR="000666B1">
          <w:rPr>
            <w:rFonts w:ascii="Cambria" w:hAnsi="Cambria"/>
            <w:noProof/>
            <w:webHidden/>
          </w:rPr>
          <w:t>2</w:t>
        </w:r>
        <w:r w:rsidRPr="00A65328">
          <w:rPr>
            <w:rFonts w:ascii="Cambria" w:hAnsi="Cambria"/>
            <w:noProof/>
            <w:webHidden/>
          </w:rPr>
          <w:fldChar w:fldCharType="end"/>
        </w:r>
      </w:hyperlink>
    </w:p>
    <w:p w14:paraId="3DDE1D86" w14:textId="164C9BAE" w:rsidR="00A65328" w:rsidRPr="00A65328" w:rsidRDefault="00A65328">
      <w:pPr>
        <w:pStyle w:val="TOC2"/>
        <w:rPr>
          <w:rFonts w:ascii="Cambria" w:eastAsiaTheme="minorEastAsia" w:hAnsi="Cambria" w:cstheme="minorBidi"/>
          <w:noProof/>
          <w:kern w:val="2"/>
          <w:bdr w:val="none" w:sz="0" w:space="0" w:color="auto"/>
          <w14:ligatures w14:val="standardContextual"/>
        </w:rPr>
      </w:pPr>
      <w:hyperlink w:anchor="_Toc216356759" w:history="1">
        <w:r w:rsidRPr="00A65328">
          <w:rPr>
            <w:rStyle w:val="Hyperlink"/>
            <w:rFonts w:ascii="Cambria" w:hAnsi="Cambria"/>
            <w:noProof/>
          </w:rPr>
          <w:t>B.</w:t>
        </w:r>
        <w:r w:rsidRPr="00A65328">
          <w:rPr>
            <w:rFonts w:ascii="Cambria" w:eastAsiaTheme="minorEastAsia" w:hAnsi="Cambria" w:cstheme="minorBidi"/>
            <w:noProof/>
            <w:kern w:val="2"/>
            <w:bdr w:val="none" w:sz="0" w:space="0" w:color="auto"/>
            <w14:ligatures w14:val="standardContextual"/>
          </w:rPr>
          <w:tab/>
        </w:r>
        <w:r w:rsidRPr="00A65328">
          <w:rPr>
            <w:rStyle w:val="Hyperlink"/>
            <w:rFonts w:ascii="Cambria" w:hAnsi="Cambria"/>
            <w:noProof/>
          </w:rPr>
          <w:t>State</w:t>
        </w:r>
        <w:r w:rsidRPr="00A65328">
          <w:rPr>
            <w:rFonts w:ascii="Cambria" w:hAnsi="Cambria"/>
            <w:noProof/>
            <w:webHidden/>
          </w:rPr>
          <w:tab/>
        </w:r>
        <w:r w:rsidRPr="00A65328">
          <w:rPr>
            <w:rFonts w:ascii="Cambria" w:hAnsi="Cambria"/>
            <w:noProof/>
            <w:webHidden/>
          </w:rPr>
          <w:fldChar w:fldCharType="begin"/>
        </w:r>
        <w:r w:rsidRPr="00A65328">
          <w:rPr>
            <w:rFonts w:ascii="Cambria" w:hAnsi="Cambria"/>
            <w:noProof/>
            <w:webHidden/>
          </w:rPr>
          <w:instrText xml:space="preserve"> PAGEREF _Toc216356759 \h </w:instrText>
        </w:r>
        <w:r w:rsidRPr="00A65328">
          <w:rPr>
            <w:rFonts w:ascii="Cambria" w:hAnsi="Cambria"/>
            <w:noProof/>
            <w:webHidden/>
          </w:rPr>
        </w:r>
        <w:r w:rsidRPr="00A65328">
          <w:rPr>
            <w:rFonts w:ascii="Cambria" w:hAnsi="Cambria"/>
            <w:noProof/>
            <w:webHidden/>
          </w:rPr>
          <w:fldChar w:fldCharType="separate"/>
        </w:r>
        <w:r w:rsidR="000666B1">
          <w:rPr>
            <w:rFonts w:ascii="Cambria" w:hAnsi="Cambria"/>
            <w:noProof/>
            <w:webHidden/>
          </w:rPr>
          <w:t>2</w:t>
        </w:r>
        <w:r w:rsidRPr="00A65328">
          <w:rPr>
            <w:rFonts w:ascii="Cambria" w:hAnsi="Cambria"/>
            <w:noProof/>
            <w:webHidden/>
          </w:rPr>
          <w:fldChar w:fldCharType="end"/>
        </w:r>
      </w:hyperlink>
    </w:p>
    <w:p w14:paraId="0D1F6D8F" w14:textId="71FD4299" w:rsidR="00A65328" w:rsidRPr="00A65328" w:rsidRDefault="00A65328">
      <w:pPr>
        <w:pStyle w:val="TOC1"/>
        <w:tabs>
          <w:tab w:val="left" w:pos="1440"/>
          <w:tab w:val="right" w:leader="dot" w:pos="9350"/>
        </w:tabs>
        <w:rPr>
          <w:rFonts w:ascii="Cambria" w:eastAsiaTheme="minorEastAsia" w:hAnsi="Cambria" w:cstheme="minorBidi"/>
          <w:noProof/>
          <w:kern w:val="2"/>
          <w:sz w:val="24"/>
          <w:bdr w:val="none" w:sz="0" w:space="0" w:color="auto"/>
          <w14:ligatures w14:val="standardContextual"/>
        </w:rPr>
      </w:pPr>
      <w:hyperlink w:anchor="_Toc216356760" w:history="1">
        <w:r w:rsidRPr="00A65328">
          <w:rPr>
            <w:rStyle w:val="Hyperlink"/>
            <w:rFonts w:ascii="Cambria" w:hAnsi="Cambria"/>
            <w:noProof/>
            <w:sz w:val="24"/>
            <w:lang w:val="es-ES"/>
          </w:rPr>
          <w:t>III.</w:t>
        </w:r>
        <w:r w:rsidRPr="00A65328">
          <w:rPr>
            <w:rFonts w:ascii="Cambria" w:eastAsiaTheme="minorEastAsia" w:hAnsi="Cambria" w:cstheme="minorBidi"/>
            <w:noProof/>
            <w:kern w:val="2"/>
            <w:sz w:val="24"/>
            <w:bdr w:val="none" w:sz="0" w:space="0" w:color="auto"/>
            <w14:ligatures w14:val="standardContextual"/>
          </w:rPr>
          <w:tab/>
        </w:r>
        <w:r w:rsidRPr="00A65328">
          <w:rPr>
            <w:rStyle w:val="Hyperlink"/>
            <w:rFonts w:ascii="Cambria" w:hAnsi="Cambria"/>
            <w:noProof/>
            <w:sz w:val="24"/>
          </w:rPr>
          <w:t>ANALYSIS OF ADMISSIBILITY</w:t>
        </w:r>
        <w:r w:rsidRPr="00A65328">
          <w:rPr>
            <w:rFonts w:ascii="Cambria" w:hAnsi="Cambria"/>
            <w:noProof/>
            <w:webHidden/>
            <w:sz w:val="24"/>
          </w:rPr>
          <w:tab/>
        </w:r>
        <w:r w:rsidRPr="00A65328">
          <w:rPr>
            <w:rFonts w:ascii="Cambria" w:hAnsi="Cambria"/>
            <w:noProof/>
            <w:webHidden/>
            <w:sz w:val="24"/>
          </w:rPr>
          <w:fldChar w:fldCharType="begin"/>
        </w:r>
        <w:r w:rsidRPr="00A65328">
          <w:rPr>
            <w:rFonts w:ascii="Cambria" w:hAnsi="Cambria"/>
            <w:noProof/>
            <w:webHidden/>
            <w:sz w:val="24"/>
          </w:rPr>
          <w:instrText xml:space="preserve"> PAGEREF _Toc216356760 \h </w:instrText>
        </w:r>
        <w:r w:rsidRPr="00A65328">
          <w:rPr>
            <w:rFonts w:ascii="Cambria" w:hAnsi="Cambria"/>
            <w:noProof/>
            <w:webHidden/>
            <w:sz w:val="24"/>
          </w:rPr>
        </w:r>
        <w:r w:rsidRPr="00A65328">
          <w:rPr>
            <w:rFonts w:ascii="Cambria" w:hAnsi="Cambria"/>
            <w:noProof/>
            <w:webHidden/>
            <w:sz w:val="24"/>
          </w:rPr>
          <w:fldChar w:fldCharType="separate"/>
        </w:r>
        <w:r w:rsidR="000666B1">
          <w:rPr>
            <w:rFonts w:ascii="Cambria" w:hAnsi="Cambria"/>
            <w:noProof/>
            <w:webHidden/>
            <w:sz w:val="24"/>
          </w:rPr>
          <w:t>2</w:t>
        </w:r>
        <w:r w:rsidRPr="00A65328">
          <w:rPr>
            <w:rFonts w:ascii="Cambria" w:hAnsi="Cambria"/>
            <w:noProof/>
            <w:webHidden/>
            <w:sz w:val="24"/>
          </w:rPr>
          <w:fldChar w:fldCharType="end"/>
        </w:r>
      </w:hyperlink>
    </w:p>
    <w:p w14:paraId="09BAAC31" w14:textId="0367B257" w:rsidR="00A65328" w:rsidRPr="00A65328" w:rsidRDefault="00A65328">
      <w:pPr>
        <w:pStyle w:val="TOC2"/>
        <w:rPr>
          <w:rFonts w:ascii="Cambria" w:eastAsiaTheme="minorEastAsia" w:hAnsi="Cambria" w:cstheme="minorBidi"/>
          <w:noProof/>
          <w:kern w:val="2"/>
          <w:bdr w:val="none" w:sz="0" w:space="0" w:color="auto"/>
          <w14:ligatures w14:val="standardContextual"/>
        </w:rPr>
      </w:pPr>
      <w:hyperlink w:anchor="_Toc216356761" w:history="1">
        <w:r w:rsidRPr="00A65328">
          <w:rPr>
            <w:rStyle w:val="Hyperlink"/>
            <w:rFonts w:ascii="Cambria" w:hAnsi="Cambria"/>
            <w:noProof/>
          </w:rPr>
          <w:t xml:space="preserve">To. </w:t>
        </w:r>
        <w:r w:rsidRPr="00A65328">
          <w:rPr>
            <w:rFonts w:ascii="Cambria" w:eastAsiaTheme="minorEastAsia" w:hAnsi="Cambria" w:cstheme="minorBidi"/>
            <w:noProof/>
            <w:kern w:val="2"/>
            <w:bdr w:val="none" w:sz="0" w:space="0" w:color="auto"/>
            <w14:ligatures w14:val="standardContextual"/>
          </w:rPr>
          <w:tab/>
        </w:r>
        <w:r w:rsidRPr="00A65328">
          <w:rPr>
            <w:rStyle w:val="Hyperlink"/>
            <w:rFonts w:ascii="Cambria" w:hAnsi="Cambria"/>
            <w:noProof/>
          </w:rPr>
          <w:t>Jurisdiction, duplication of proceedings and international res judicata</w:t>
        </w:r>
        <w:r w:rsidRPr="00A65328">
          <w:rPr>
            <w:rFonts w:ascii="Cambria" w:hAnsi="Cambria"/>
            <w:noProof/>
            <w:webHidden/>
          </w:rPr>
          <w:tab/>
        </w:r>
        <w:r w:rsidRPr="00A65328">
          <w:rPr>
            <w:rFonts w:ascii="Cambria" w:hAnsi="Cambria"/>
            <w:noProof/>
            <w:webHidden/>
          </w:rPr>
          <w:fldChar w:fldCharType="begin"/>
        </w:r>
        <w:r w:rsidRPr="00A65328">
          <w:rPr>
            <w:rFonts w:ascii="Cambria" w:hAnsi="Cambria"/>
            <w:noProof/>
            <w:webHidden/>
          </w:rPr>
          <w:instrText xml:space="preserve"> PAGEREF _Toc216356761 \h </w:instrText>
        </w:r>
        <w:r w:rsidRPr="00A65328">
          <w:rPr>
            <w:rFonts w:ascii="Cambria" w:hAnsi="Cambria"/>
            <w:noProof/>
            <w:webHidden/>
          </w:rPr>
        </w:r>
        <w:r w:rsidRPr="00A65328">
          <w:rPr>
            <w:rFonts w:ascii="Cambria" w:hAnsi="Cambria"/>
            <w:noProof/>
            <w:webHidden/>
          </w:rPr>
          <w:fldChar w:fldCharType="separate"/>
        </w:r>
        <w:r w:rsidR="000666B1">
          <w:rPr>
            <w:rFonts w:ascii="Cambria" w:hAnsi="Cambria"/>
            <w:noProof/>
            <w:webHidden/>
          </w:rPr>
          <w:t>3</w:t>
        </w:r>
        <w:r w:rsidRPr="00A65328">
          <w:rPr>
            <w:rFonts w:ascii="Cambria" w:hAnsi="Cambria"/>
            <w:noProof/>
            <w:webHidden/>
          </w:rPr>
          <w:fldChar w:fldCharType="end"/>
        </w:r>
      </w:hyperlink>
    </w:p>
    <w:p w14:paraId="596C91D7" w14:textId="4C7D971F" w:rsidR="00A65328" w:rsidRPr="00A65328" w:rsidRDefault="00A65328">
      <w:pPr>
        <w:pStyle w:val="TOC2"/>
        <w:rPr>
          <w:rFonts w:ascii="Cambria" w:eastAsiaTheme="minorEastAsia" w:hAnsi="Cambria" w:cstheme="minorBidi"/>
          <w:noProof/>
          <w:kern w:val="2"/>
          <w:bdr w:val="none" w:sz="0" w:space="0" w:color="auto"/>
          <w14:ligatures w14:val="standardContextual"/>
        </w:rPr>
      </w:pPr>
      <w:hyperlink w:anchor="_Toc216356762" w:history="1">
        <w:r w:rsidRPr="00A65328">
          <w:rPr>
            <w:rStyle w:val="Hyperlink"/>
            <w:rFonts w:ascii="Cambria" w:hAnsi="Cambria"/>
            <w:noProof/>
          </w:rPr>
          <w:t xml:space="preserve">B. </w:t>
        </w:r>
        <w:r w:rsidRPr="00A65328">
          <w:rPr>
            <w:rFonts w:ascii="Cambria" w:eastAsiaTheme="minorEastAsia" w:hAnsi="Cambria" w:cstheme="minorBidi"/>
            <w:noProof/>
            <w:kern w:val="2"/>
            <w:bdr w:val="none" w:sz="0" w:space="0" w:color="auto"/>
            <w14:ligatures w14:val="standardContextual"/>
          </w:rPr>
          <w:tab/>
        </w:r>
        <w:r w:rsidRPr="00A65328">
          <w:rPr>
            <w:rStyle w:val="Hyperlink"/>
            <w:rFonts w:ascii="Cambria" w:hAnsi="Cambria"/>
            <w:noProof/>
          </w:rPr>
          <w:t>Exhaustion of domestic remedies and time limit for submission</w:t>
        </w:r>
        <w:r w:rsidRPr="00A65328">
          <w:rPr>
            <w:rFonts w:ascii="Cambria" w:hAnsi="Cambria"/>
            <w:noProof/>
            <w:webHidden/>
          </w:rPr>
          <w:tab/>
        </w:r>
        <w:r w:rsidRPr="00A65328">
          <w:rPr>
            <w:rFonts w:ascii="Cambria" w:hAnsi="Cambria"/>
            <w:noProof/>
            <w:webHidden/>
          </w:rPr>
          <w:fldChar w:fldCharType="begin"/>
        </w:r>
        <w:r w:rsidRPr="00A65328">
          <w:rPr>
            <w:rFonts w:ascii="Cambria" w:hAnsi="Cambria"/>
            <w:noProof/>
            <w:webHidden/>
          </w:rPr>
          <w:instrText xml:space="preserve"> PAGEREF _Toc216356762 \h </w:instrText>
        </w:r>
        <w:r w:rsidRPr="00A65328">
          <w:rPr>
            <w:rFonts w:ascii="Cambria" w:hAnsi="Cambria"/>
            <w:noProof/>
            <w:webHidden/>
          </w:rPr>
        </w:r>
        <w:r w:rsidRPr="00A65328">
          <w:rPr>
            <w:rFonts w:ascii="Cambria" w:hAnsi="Cambria"/>
            <w:noProof/>
            <w:webHidden/>
          </w:rPr>
          <w:fldChar w:fldCharType="separate"/>
        </w:r>
        <w:r w:rsidR="000666B1">
          <w:rPr>
            <w:rFonts w:ascii="Cambria" w:hAnsi="Cambria"/>
            <w:noProof/>
            <w:webHidden/>
          </w:rPr>
          <w:t>3</w:t>
        </w:r>
        <w:r w:rsidRPr="00A65328">
          <w:rPr>
            <w:rFonts w:ascii="Cambria" w:hAnsi="Cambria"/>
            <w:noProof/>
            <w:webHidden/>
          </w:rPr>
          <w:fldChar w:fldCharType="end"/>
        </w:r>
      </w:hyperlink>
    </w:p>
    <w:p w14:paraId="3523CE3B" w14:textId="7AFD365D" w:rsidR="00A65328" w:rsidRPr="00A65328" w:rsidRDefault="00A65328">
      <w:pPr>
        <w:pStyle w:val="TOC2"/>
        <w:rPr>
          <w:rFonts w:ascii="Cambria" w:eastAsiaTheme="minorEastAsia" w:hAnsi="Cambria" w:cstheme="minorBidi"/>
          <w:noProof/>
          <w:kern w:val="2"/>
          <w:bdr w:val="none" w:sz="0" w:space="0" w:color="auto"/>
          <w14:ligatures w14:val="standardContextual"/>
        </w:rPr>
      </w:pPr>
      <w:hyperlink w:anchor="_Toc216356763" w:history="1">
        <w:r w:rsidRPr="00A65328">
          <w:rPr>
            <w:rStyle w:val="Hyperlink"/>
            <w:rFonts w:ascii="Cambria" w:hAnsi="Cambria"/>
            <w:noProof/>
          </w:rPr>
          <w:t xml:space="preserve">C. </w:t>
        </w:r>
        <w:r w:rsidRPr="00A65328">
          <w:rPr>
            <w:rFonts w:ascii="Cambria" w:eastAsiaTheme="minorEastAsia" w:hAnsi="Cambria" w:cstheme="minorBidi"/>
            <w:noProof/>
            <w:kern w:val="2"/>
            <w:bdr w:val="none" w:sz="0" w:space="0" w:color="auto"/>
            <w14:ligatures w14:val="standardContextual"/>
          </w:rPr>
          <w:tab/>
        </w:r>
        <w:r w:rsidRPr="00A65328">
          <w:rPr>
            <w:rStyle w:val="Hyperlink"/>
            <w:rFonts w:ascii="Cambria" w:hAnsi="Cambria"/>
            <w:noProof/>
          </w:rPr>
          <w:t>Characterization of the alleged facts</w:t>
        </w:r>
        <w:r w:rsidRPr="00A65328">
          <w:rPr>
            <w:rFonts w:ascii="Cambria" w:hAnsi="Cambria"/>
            <w:noProof/>
            <w:webHidden/>
          </w:rPr>
          <w:tab/>
        </w:r>
        <w:r w:rsidRPr="00A65328">
          <w:rPr>
            <w:rFonts w:ascii="Cambria" w:hAnsi="Cambria"/>
            <w:noProof/>
            <w:webHidden/>
          </w:rPr>
          <w:fldChar w:fldCharType="begin"/>
        </w:r>
        <w:r w:rsidRPr="00A65328">
          <w:rPr>
            <w:rFonts w:ascii="Cambria" w:hAnsi="Cambria"/>
            <w:noProof/>
            <w:webHidden/>
          </w:rPr>
          <w:instrText xml:space="preserve"> PAGEREF _Toc216356763 \h </w:instrText>
        </w:r>
        <w:r w:rsidRPr="00A65328">
          <w:rPr>
            <w:rFonts w:ascii="Cambria" w:hAnsi="Cambria"/>
            <w:noProof/>
            <w:webHidden/>
          </w:rPr>
        </w:r>
        <w:r w:rsidRPr="00A65328">
          <w:rPr>
            <w:rFonts w:ascii="Cambria" w:hAnsi="Cambria"/>
            <w:noProof/>
            <w:webHidden/>
          </w:rPr>
          <w:fldChar w:fldCharType="separate"/>
        </w:r>
        <w:r w:rsidR="000666B1">
          <w:rPr>
            <w:rFonts w:ascii="Cambria" w:hAnsi="Cambria"/>
            <w:noProof/>
            <w:webHidden/>
          </w:rPr>
          <w:t>3</w:t>
        </w:r>
        <w:r w:rsidRPr="00A65328">
          <w:rPr>
            <w:rFonts w:ascii="Cambria" w:hAnsi="Cambria"/>
            <w:noProof/>
            <w:webHidden/>
          </w:rPr>
          <w:fldChar w:fldCharType="end"/>
        </w:r>
      </w:hyperlink>
    </w:p>
    <w:p w14:paraId="39AB8134" w14:textId="3BC1BBA9" w:rsidR="00A65328" w:rsidRPr="00A65328" w:rsidRDefault="00A65328">
      <w:pPr>
        <w:pStyle w:val="TOC1"/>
        <w:tabs>
          <w:tab w:val="left" w:pos="1440"/>
          <w:tab w:val="right" w:leader="dot" w:pos="9350"/>
        </w:tabs>
        <w:rPr>
          <w:rFonts w:ascii="Cambria" w:eastAsiaTheme="minorEastAsia" w:hAnsi="Cambria" w:cstheme="minorBidi"/>
          <w:noProof/>
          <w:kern w:val="2"/>
          <w:sz w:val="24"/>
          <w:bdr w:val="none" w:sz="0" w:space="0" w:color="auto"/>
          <w14:ligatures w14:val="standardContextual"/>
        </w:rPr>
      </w:pPr>
      <w:hyperlink w:anchor="_Toc216356764" w:history="1">
        <w:r w:rsidRPr="00A65328">
          <w:rPr>
            <w:rStyle w:val="Hyperlink"/>
            <w:rFonts w:ascii="Cambria" w:hAnsi="Cambria"/>
            <w:noProof/>
            <w:sz w:val="24"/>
            <w:lang w:val="es-ES"/>
          </w:rPr>
          <w:t>IV.</w:t>
        </w:r>
        <w:r w:rsidRPr="00A65328">
          <w:rPr>
            <w:rFonts w:ascii="Cambria" w:eastAsiaTheme="minorEastAsia" w:hAnsi="Cambria" w:cstheme="minorBidi"/>
            <w:noProof/>
            <w:kern w:val="2"/>
            <w:sz w:val="24"/>
            <w:bdr w:val="none" w:sz="0" w:space="0" w:color="auto"/>
            <w14:ligatures w14:val="standardContextual"/>
          </w:rPr>
          <w:tab/>
        </w:r>
        <w:r w:rsidRPr="00A65328">
          <w:rPr>
            <w:rStyle w:val="Hyperlink"/>
            <w:rFonts w:ascii="Cambria" w:hAnsi="Cambria"/>
            <w:noProof/>
            <w:sz w:val="24"/>
          </w:rPr>
          <w:t>DETERMINATIONS OF FACT</w:t>
        </w:r>
        <w:r w:rsidRPr="00A65328">
          <w:rPr>
            <w:rFonts w:ascii="Cambria" w:hAnsi="Cambria"/>
            <w:noProof/>
            <w:webHidden/>
            <w:sz w:val="24"/>
          </w:rPr>
          <w:tab/>
        </w:r>
        <w:r w:rsidRPr="00A65328">
          <w:rPr>
            <w:rFonts w:ascii="Cambria" w:hAnsi="Cambria"/>
            <w:noProof/>
            <w:webHidden/>
            <w:sz w:val="24"/>
          </w:rPr>
          <w:fldChar w:fldCharType="begin"/>
        </w:r>
        <w:r w:rsidRPr="00A65328">
          <w:rPr>
            <w:rFonts w:ascii="Cambria" w:hAnsi="Cambria"/>
            <w:noProof/>
            <w:webHidden/>
            <w:sz w:val="24"/>
          </w:rPr>
          <w:instrText xml:space="preserve"> PAGEREF _Toc216356764 \h </w:instrText>
        </w:r>
        <w:r w:rsidRPr="00A65328">
          <w:rPr>
            <w:rFonts w:ascii="Cambria" w:hAnsi="Cambria"/>
            <w:noProof/>
            <w:webHidden/>
            <w:sz w:val="24"/>
          </w:rPr>
        </w:r>
        <w:r w:rsidRPr="00A65328">
          <w:rPr>
            <w:rFonts w:ascii="Cambria" w:hAnsi="Cambria"/>
            <w:noProof/>
            <w:webHidden/>
            <w:sz w:val="24"/>
          </w:rPr>
          <w:fldChar w:fldCharType="separate"/>
        </w:r>
        <w:r w:rsidR="000666B1">
          <w:rPr>
            <w:rFonts w:ascii="Cambria" w:hAnsi="Cambria"/>
            <w:noProof/>
            <w:webHidden/>
            <w:sz w:val="24"/>
          </w:rPr>
          <w:t>4</w:t>
        </w:r>
        <w:r w:rsidRPr="00A65328">
          <w:rPr>
            <w:rFonts w:ascii="Cambria" w:hAnsi="Cambria"/>
            <w:noProof/>
            <w:webHidden/>
            <w:sz w:val="24"/>
          </w:rPr>
          <w:fldChar w:fldCharType="end"/>
        </w:r>
      </w:hyperlink>
    </w:p>
    <w:p w14:paraId="03888495" w14:textId="17FE304B" w:rsidR="00A65328" w:rsidRPr="00A65328" w:rsidRDefault="00A65328">
      <w:pPr>
        <w:pStyle w:val="TOC2"/>
        <w:rPr>
          <w:rFonts w:ascii="Cambria" w:eastAsiaTheme="minorEastAsia" w:hAnsi="Cambria" w:cstheme="minorBidi"/>
          <w:noProof/>
          <w:kern w:val="2"/>
          <w:bdr w:val="none" w:sz="0" w:space="0" w:color="auto"/>
          <w14:ligatures w14:val="standardContextual"/>
        </w:rPr>
      </w:pPr>
      <w:hyperlink w:anchor="_Toc216356765" w:history="1">
        <w:r w:rsidRPr="00A65328">
          <w:rPr>
            <w:rStyle w:val="Hyperlink"/>
            <w:rFonts w:ascii="Cambria" w:hAnsi="Cambria"/>
            <w:noProof/>
          </w:rPr>
          <w:t>A.</w:t>
        </w:r>
        <w:r w:rsidRPr="00A65328">
          <w:rPr>
            <w:rFonts w:ascii="Cambria" w:eastAsiaTheme="minorEastAsia" w:hAnsi="Cambria" w:cstheme="minorBidi"/>
            <w:noProof/>
            <w:kern w:val="2"/>
            <w:bdr w:val="none" w:sz="0" w:space="0" w:color="auto"/>
            <w14:ligatures w14:val="standardContextual"/>
          </w:rPr>
          <w:tab/>
        </w:r>
        <w:r w:rsidRPr="00A65328">
          <w:rPr>
            <w:rStyle w:val="Hyperlink"/>
            <w:rFonts w:ascii="Cambria" w:hAnsi="Cambria"/>
            <w:noProof/>
          </w:rPr>
          <w:t>Preliminary Question</w:t>
        </w:r>
        <w:r w:rsidRPr="00A65328">
          <w:rPr>
            <w:rFonts w:ascii="Cambria" w:hAnsi="Cambria"/>
            <w:noProof/>
            <w:webHidden/>
          </w:rPr>
          <w:tab/>
        </w:r>
        <w:r w:rsidRPr="00A65328">
          <w:rPr>
            <w:rFonts w:ascii="Cambria" w:hAnsi="Cambria"/>
            <w:noProof/>
            <w:webHidden/>
          </w:rPr>
          <w:fldChar w:fldCharType="begin"/>
        </w:r>
        <w:r w:rsidRPr="00A65328">
          <w:rPr>
            <w:rFonts w:ascii="Cambria" w:hAnsi="Cambria"/>
            <w:noProof/>
            <w:webHidden/>
          </w:rPr>
          <w:instrText xml:space="preserve"> PAGEREF _Toc216356765 \h </w:instrText>
        </w:r>
        <w:r w:rsidRPr="00A65328">
          <w:rPr>
            <w:rFonts w:ascii="Cambria" w:hAnsi="Cambria"/>
            <w:noProof/>
            <w:webHidden/>
          </w:rPr>
        </w:r>
        <w:r w:rsidRPr="00A65328">
          <w:rPr>
            <w:rFonts w:ascii="Cambria" w:hAnsi="Cambria"/>
            <w:noProof/>
            <w:webHidden/>
          </w:rPr>
          <w:fldChar w:fldCharType="separate"/>
        </w:r>
        <w:r w:rsidR="000666B1">
          <w:rPr>
            <w:rFonts w:ascii="Cambria" w:hAnsi="Cambria"/>
            <w:noProof/>
            <w:webHidden/>
          </w:rPr>
          <w:t>4</w:t>
        </w:r>
        <w:r w:rsidRPr="00A65328">
          <w:rPr>
            <w:rFonts w:ascii="Cambria" w:hAnsi="Cambria"/>
            <w:noProof/>
            <w:webHidden/>
          </w:rPr>
          <w:fldChar w:fldCharType="end"/>
        </w:r>
      </w:hyperlink>
    </w:p>
    <w:p w14:paraId="2752EFB1" w14:textId="521F3820" w:rsidR="00A65328" w:rsidRPr="00A65328" w:rsidRDefault="00A65328">
      <w:pPr>
        <w:pStyle w:val="TOC2"/>
        <w:rPr>
          <w:rFonts w:ascii="Cambria" w:eastAsiaTheme="minorEastAsia" w:hAnsi="Cambria" w:cstheme="minorBidi"/>
          <w:noProof/>
          <w:kern w:val="2"/>
          <w:bdr w:val="none" w:sz="0" w:space="0" w:color="auto"/>
          <w14:ligatures w14:val="standardContextual"/>
        </w:rPr>
      </w:pPr>
      <w:hyperlink w:anchor="_Toc216356766" w:history="1">
        <w:r w:rsidRPr="00A65328">
          <w:rPr>
            <w:rStyle w:val="Hyperlink"/>
            <w:rFonts w:ascii="Cambria" w:hAnsi="Cambria"/>
            <w:noProof/>
          </w:rPr>
          <w:t>B.</w:t>
        </w:r>
        <w:r w:rsidRPr="00A65328">
          <w:rPr>
            <w:rFonts w:ascii="Cambria" w:eastAsiaTheme="minorEastAsia" w:hAnsi="Cambria" w:cstheme="minorBidi"/>
            <w:noProof/>
            <w:kern w:val="2"/>
            <w:bdr w:val="none" w:sz="0" w:space="0" w:color="auto"/>
            <w14:ligatures w14:val="standardContextual"/>
          </w:rPr>
          <w:tab/>
        </w:r>
        <w:r w:rsidRPr="00A65328">
          <w:rPr>
            <w:rStyle w:val="Hyperlink"/>
            <w:rFonts w:ascii="Cambria" w:hAnsi="Cambria"/>
            <w:noProof/>
          </w:rPr>
          <w:t>Context</w:t>
        </w:r>
        <w:r w:rsidRPr="00A65328">
          <w:rPr>
            <w:rFonts w:ascii="Cambria" w:hAnsi="Cambria"/>
            <w:noProof/>
            <w:webHidden/>
          </w:rPr>
          <w:tab/>
        </w:r>
        <w:r w:rsidRPr="00A65328">
          <w:rPr>
            <w:rFonts w:ascii="Cambria" w:hAnsi="Cambria"/>
            <w:noProof/>
            <w:webHidden/>
          </w:rPr>
          <w:fldChar w:fldCharType="begin"/>
        </w:r>
        <w:r w:rsidRPr="00A65328">
          <w:rPr>
            <w:rFonts w:ascii="Cambria" w:hAnsi="Cambria"/>
            <w:noProof/>
            <w:webHidden/>
          </w:rPr>
          <w:instrText xml:space="preserve"> PAGEREF _Toc216356766 \h </w:instrText>
        </w:r>
        <w:r w:rsidRPr="00A65328">
          <w:rPr>
            <w:rFonts w:ascii="Cambria" w:hAnsi="Cambria"/>
            <w:noProof/>
            <w:webHidden/>
          </w:rPr>
        </w:r>
        <w:r w:rsidRPr="00A65328">
          <w:rPr>
            <w:rFonts w:ascii="Cambria" w:hAnsi="Cambria"/>
            <w:noProof/>
            <w:webHidden/>
          </w:rPr>
          <w:fldChar w:fldCharType="separate"/>
        </w:r>
        <w:r w:rsidR="000666B1">
          <w:rPr>
            <w:rFonts w:ascii="Cambria" w:hAnsi="Cambria"/>
            <w:noProof/>
            <w:webHidden/>
          </w:rPr>
          <w:t>4</w:t>
        </w:r>
        <w:r w:rsidRPr="00A65328">
          <w:rPr>
            <w:rFonts w:ascii="Cambria" w:hAnsi="Cambria"/>
            <w:noProof/>
            <w:webHidden/>
          </w:rPr>
          <w:fldChar w:fldCharType="end"/>
        </w:r>
      </w:hyperlink>
    </w:p>
    <w:p w14:paraId="33C22F8B" w14:textId="603F149D" w:rsidR="00A65328" w:rsidRPr="00A65328" w:rsidRDefault="00A65328">
      <w:pPr>
        <w:pStyle w:val="TOC2"/>
        <w:rPr>
          <w:rFonts w:ascii="Cambria" w:eastAsiaTheme="minorEastAsia" w:hAnsi="Cambria" w:cstheme="minorBidi"/>
          <w:noProof/>
          <w:kern w:val="2"/>
          <w:bdr w:val="none" w:sz="0" w:space="0" w:color="auto"/>
          <w14:ligatures w14:val="standardContextual"/>
        </w:rPr>
      </w:pPr>
      <w:hyperlink w:anchor="_Toc216356767" w:history="1">
        <w:r w:rsidRPr="00A65328">
          <w:rPr>
            <w:rStyle w:val="Hyperlink"/>
            <w:rFonts w:ascii="Cambria" w:hAnsi="Cambria"/>
            <w:noProof/>
          </w:rPr>
          <w:t>C.</w:t>
        </w:r>
        <w:r w:rsidRPr="00A65328">
          <w:rPr>
            <w:rFonts w:ascii="Cambria" w:eastAsiaTheme="minorEastAsia" w:hAnsi="Cambria" w:cstheme="minorBidi"/>
            <w:noProof/>
            <w:kern w:val="2"/>
            <w:bdr w:val="none" w:sz="0" w:space="0" w:color="auto"/>
            <w14:ligatures w14:val="standardContextual"/>
          </w:rPr>
          <w:tab/>
        </w:r>
        <w:r w:rsidRPr="00A65328">
          <w:rPr>
            <w:rStyle w:val="Hyperlink"/>
            <w:rFonts w:ascii="Cambria" w:hAnsi="Cambria"/>
            <w:noProof/>
          </w:rPr>
          <w:t>Information available about the alleged victim and family members</w:t>
        </w:r>
        <w:r w:rsidRPr="00A65328">
          <w:rPr>
            <w:rFonts w:ascii="Cambria" w:hAnsi="Cambria"/>
            <w:noProof/>
            <w:webHidden/>
          </w:rPr>
          <w:tab/>
        </w:r>
        <w:r w:rsidRPr="00A65328">
          <w:rPr>
            <w:rFonts w:ascii="Cambria" w:hAnsi="Cambria"/>
            <w:noProof/>
            <w:webHidden/>
          </w:rPr>
          <w:fldChar w:fldCharType="begin"/>
        </w:r>
        <w:r w:rsidRPr="00A65328">
          <w:rPr>
            <w:rFonts w:ascii="Cambria" w:hAnsi="Cambria"/>
            <w:noProof/>
            <w:webHidden/>
          </w:rPr>
          <w:instrText xml:space="preserve"> PAGEREF _Toc216356767 \h </w:instrText>
        </w:r>
        <w:r w:rsidRPr="00A65328">
          <w:rPr>
            <w:rFonts w:ascii="Cambria" w:hAnsi="Cambria"/>
            <w:noProof/>
            <w:webHidden/>
          </w:rPr>
        </w:r>
        <w:r w:rsidRPr="00A65328">
          <w:rPr>
            <w:rFonts w:ascii="Cambria" w:hAnsi="Cambria"/>
            <w:noProof/>
            <w:webHidden/>
          </w:rPr>
          <w:fldChar w:fldCharType="separate"/>
        </w:r>
        <w:r w:rsidR="000666B1">
          <w:rPr>
            <w:rFonts w:ascii="Cambria" w:hAnsi="Cambria"/>
            <w:noProof/>
            <w:webHidden/>
          </w:rPr>
          <w:t>5</w:t>
        </w:r>
        <w:r w:rsidRPr="00A65328">
          <w:rPr>
            <w:rFonts w:ascii="Cambria" w:hAnsi="Cambria"/>
            <w:noProof/>
            <w:webHidden/>
          </w:rPr>
          <w:fldChar w:fldCharType="end"/>
        </w:r>
      </w:hyperlink>
    </w:p>
    <w:p w14:paraId="3BA6C3F5" w14:textId="6ECA41B5" w:rsidR="00A65328" w:rsidRPr="00A65328" w:rsidRDefault="00A65328">
      <w:pPr>
        <w:pStyle w:val="TOC2"/>
        <w:rPr>
          <w:rFonts w:ascii="Cambria" w:eastAsiaTheme="minorEastAsia" w:hAnsi="Cambria" w:cstheme="minorBidi"/>
          <w:noProof/>
          <w:kern w:val="2"/>
          <w:bdr w:val="none" w:sz="0" w:space="0" w:color="auto"/>
          <w14:ligatures w14:val="standardContextual"/>
        </w:rPr>
      </w:pPr>
      <w:hyperlink w:anchor="_Toc216356768" w:history="1">
        <w:r w:rsidRPr="00A65328">
          <w:rPr>
            <w:rStyle w:val="Hyperlink"/>
            <w:rFonts w:ascii="Cambria" w:hAnsi="Cambria"/>
            <w:noProof/>
          </w:rPr>
          <w:t>D.</w:t>
        </w:r>
        <w:r w:rsidRPr="00A65328">
          <w:rPr>
            <w:rFonts w:ascii="Cambria" w:eastAsiaTheme="minorEastAsia" w:hAnsi="Cambria" w:cstheme="minorBidi"/>
            <w:noProof/>
            <w:kern w:val="2"/>
            <w:bdr w:val="none" w:sz="0" w:space="0" w:color="auto"/>
            <w14:ligatures w14:val="standardContextual"/>
          </w:rPr>
          <w:tab/>
        </w:r>
        <w:r w:rsidRPr="00A65328">
          <w:rPr>
            <w:rStyle w:val="Hyperlink"/>
            <w:rFonts w:ascii="Cambria" w:hAnsi="Cambria"/>
            <w:noProof/>
          </w:rPr>
          <w:t>On what happened on June 22, 2018 and the criminal process</w:t>
        </w:r>
        <w:r w:rsidRPr="00A65328">
          <w:rPr>
            <w:rFonts w:ascii="Cambria" w:hAnsi="Cambria"/>
            <w:noProof/>
            <w:webHidden/>
          </w:rPr>
          <w:tab/>
        </w:r>
        <w:r w:rsidRPr="00A65328">
          <w:rPr>
            <w:rFonts w:ascii="Cambria" w:hAnsi="Cambria"/>
            <w:noProof/>
            <w:webHidden/>
          </w:rPr>
          <w:fldChar w:fldCharType="begin"/>
        </w:r>
        <w:r w:rsidRPr="00A65328">
          <w:rPr>
            <w:rFonts w:ascii="Cambria" w:hAnsi="Cambria"/>
            <w:noProof/>
            <w:webHidden/>
          </w:rPr>
          <w:instrText xml:space="preserve"> PAGEREF _Toc216356768 \h </w:instrText>
        </w:r>
        <w:r w:rsidRPr="00A65328">
          <w:rPr>
            <w:rFonts w:ascii="Cambria" w:hAnsi="Cambria"/>
            <w:noProof/>
            <w:webHidden/>
          </w:rPr>
        </w:r>
        <w:r w:rsidRPr="00A65328">
          <w:rPr>
            <w:rFonts w:ascii="Cambria" w:hAnsi="Cambria"/>
            <w:noProof/>
            <w:webHidden/>
          </w:rPr>
          <w:fldChar w:fldCharType="separate"/>
        </w:r>
        <w:r w:rsidR="000666B1">
          <w:rPr>
            <w:rFonts w:ascii="Cambria" w:hAnsi="Cambria"/>
            <w:noProof/>
            <w:webHidden/>
          </w:rPr>
          <w:t>5</w:t>
        </w:r>
        <w:r w:rsidRPr="00A65328">
          <w:rPr>
            <w:rFonts w:ascii="Cambria" w:hAnsi="Cambria"/>
            <w:noProof/>
            <w:webHidden/>
          </w:rPr>
          <w:fldChar w:fldCharType="end"/>
        </w:r>
      </w:hyperlink>
    </w:p>
    <w:p w14:paraId="07B86D64" w14:textId="36F00561" w:rsidR="00A65328" w:rsidRPr="00A65328" w:rsidRDefault="00A65328">
      <w:pPr>
        <w:pStyle w:val="TOC2"/>
        <w:rPr>
          <w:rFonts w:ascii="Cambria" w:eastAsiaTheme="minorEastAsia" w:hAnsi="Cambria" w:cstheme="minorBidi"/>
          <w:noProof/>
          <w:kern w:val="2"/>
          <w:bdr w:val="none" w:sz="0" w:space="0" w:color="auto"/>
          <w14:ligatures w14:val="standardContextual"/>
        </w:rPr>
      </w:pPr>
      <w:hyperlink w:anchor="_Toc216356769" w:history="1">
        <w:r w:rsidRPr="00A65328">
          <w:rPr>
            <w:rStyle w:val="Hyperlink"/>
            <w:rFonts w:ascii="Cambria" w:hAnsi="Cambria"/>
            <w:noProof/>
          </w:rPr>
          <w:t>E.</w:t>
        </w:r>
        <w:r w:rsidRPr="00A65328">
          <w:rPr>
            <w:rFonts w:ascii="Cambria" w:eastAsiaTheme="minorEastAsia" w:hAnsi="Cambria" w:cstheme="minorBidi"/>
            <w:noProof/>
            <w:kern w:val="2"/>
            <w:bdr w:val="none" w:sz="0" w:space="0" w:color="auto"/>
            <w14:ligatures w14:val="standardContextual"/>
          </w:rPr>
          <w:tab/>
        </w:r>
        <w:r w:rsidRPr="00A65328">
          <w:rPr>
            <w:rStyle w:val="Hyperlink"/>
            <w:rFonts w:ascii="Cambria" w:hAnsi="Cambria"/>
            <w:noProof/>
          </w:rPr>
          <w:t>On the subsequent situation of harassment and detentions of Mr. Castillo Pérez</w:t>
        </w:r>
        <w:r w:rsidRPr="00A65328">
          <w:rPr>
            <w:rFonts w:ascii="Cambria" w:hAnsi="Cambria"/>
            <w:noProof/>
            <w:webHidden/>
          </w:rPr>
          <w:tab/>
        </w:r>
        <w:r w:rsidRPr="00A65328">
          <w:rPr>
            <w:rFonts w:ascii="Cambria" w:hAnsi="Cambria"/>
            <w:noProof/>
            <w:webHidden/>
          </w:rPr>
          <w:fldChar w:fldCharType="begin"/>
        </w:r>
        <w:r w:rsidRPr="00A65328">
          <w:rPr>
            <w:rFonts w:ascii="Cambria" w:hAnsi="Cambria"/>
            <w:noProof/>
            <w:webHidden/>
          </w:rPr>
          <w:instrText xml:space="preserve"> PAGEREF _Toc216356769 \h </w:instrText>
        </w:r>
        <w:r w:rsidRPr="00A65328">
          <w:rPr>
            <w:rFonts w:ascii="Cambria" w:hAnsi="Cambria"/>
            <w:noProof/>
            <w:webHidden/>
          </w:rPr>
        </w:r>
        <w:r w:rsidRPr="00A65328">
          <w:rPr>
            <w:rFonts w:ascii="Cambria" w:hAnsi="Cambria"/>
            <w:noProof/>
            <w:webHidden/>
          </w:rPr>
          <w:fldChar w:fldCharType="separate"/>
        </w:r>
        <w:r w:rsidR="000666B1">
          <w:rPr>
            <w:rFonts w:ascii="Cambria" w:hAnsi="Cambria"/>
            <w:noProof/>
            <w:webHidden/>
          </w:rPr>
          <w:t>8</w:t>
        </w:r>
        <w:r w:rsidRPr="00A65328">
          <w:rPr>
            <w:rFonts w:ascii="Cambria" w:hAnsi="Cambria"/>
            <w:noProof/>
            <w:webHidden/>
          </w:rPr>
          <w:fldChar w:fldCharType="end"/>
        </w:r>
      </w:hyperlink>
    </w:p>
    <w:p w14:paraId="49495192" w14:textId="1352F20A" w:rsidR="00A65328" w:rsidRPr="00A65328" w:rsidRDefault="00A65328">
      <w:pPr>
        <w:pStyle w:val="TOC1"/>
        <w:tabs>
          <w:tab w:val="left" w:pos="1440"/>
          <w:tab w:val="right" w:leader="dot" w:pos="9350"/>
        </w:tabs>
        <w:rPr>
          <w:rFonts w:ascii="Cambria" w:eastAsiaTheme="minorEastAsia" w:hAnsi="Cambria" w:cstheme="minorBidi"/>
          <w:noProof/>
          <w:kern w:val="2"/>
          <w:sz w:val="24"/>
          <w:bdr w:val="none" w:sz="0" w:space="0" w:color="auto"/>
          <w14:ligatures w14:val="standardContextual"/>
        </w:rPr>
      </w:pPr>
      <w:hyperlink w:anchor="_Toc216356770" w:history="1">
        <w:r w:rsidRPr="00A65328">
          <w:rPr>
            <w:rStyle w:val="Hyperlink"/>
            <w:rFonts w:ascii="Cambria" w:hAnsi="Cambria"/>
            <w:noProof/>
            <w:sz w:val="24"/>
            <w:lang w:val="es-ES"/>
          </w:rPr>
          <w:t>V.</w:t>
        </w:r>
        <w:r w:rsidRPr="00A65328">
          <w:rPr>
            <w:rFonts w:ascii="Cambria" w:eastAsiaTheme="minorEastAsia" w:hAnsi="Cambria" w:cstheme="minorBidi"/>
            <w:noProof/>
            <w:kern w:val="2"/>
            <w:sz w:val="24"/>
            <w:bdr w:val="none" w:sz="0" w:space="0" w:color="auto"/>
            <w14:ligatures w14:val="standardContextual"/>
          </w:rPr>
          <w:tab/>
        </w:r>
        <w:r w:rsidRPr="00A65328">
          <w:rPr>
            <w:rStyle w:val="Hyperlink"/>
            <w:rFonts w:ascii="Cambria" w:hAnsi="Cambria"/>
            <w:noProof/>
            <w:sz w:val="24"/>
          </w:rPr>
          <w:t>LEGAL ANALYSIS</w:t>
        </w:r>
        <w:r w:rsidRPr="00A65328">
          <w:rPr>
            <w:rFonts w:ascii="Cambria" w:hAnsi="Cambria"/>
            <w:noProof/>
            <w:webHidden/>
            <w:sz w:val="24"/>
          </w:rPr>
          <w:tab/>
        </w:r>
        <w:r w:rsidRPr="00A65328">
          <w:rPr>
            <w:rFonts w:ascii="Cambria" w:hAnsi="Cambria"/>
            <w:noProof/>
            <w:webHidden/>
            <w:sz w:val="24"/>
          </w:rPr>
          <w:fldChar w:fldCharType="begin"/>
        </w:r>
        <w:r w:rsidRPr="00A65328">
          <w:rPr>
            <w:rFonts w:ascii="Cambria" w:hAnsi="Cambria"/>
            <w:noProof/>
            <w:webHidden/>
            <w:sz w:val="24"/>
          </w:rPr>
          <w:instrText xml:space="preserve"> PAGEREF _Toc216356770 \h </w:instrText>
        </w:r>
        <w:r w:rsidRPr="00A65328">
          <w:rPr>
            <w:rFonts w:ascii="Cambria" w:hAnsi="Cambria"/>
            <w:noProof/>
            <w:webHidden/>
            <w:sz w:val="24"/>
          </w:rPr>
        </w:r>
        <w:r w:rsidRPr="00A65328">
          <w:rPr>
            <w:rFonts w:ascii="Cambria" w:hAnsi="Cambria"/>
            <w:noProof/>
            <w:webHidden/>
            <w:sz w:val="24"/>
          </w:rPr>
          <w:fldChar w:fldCharType="separate"/>
        </w:r>
        <w:r w:rsidR="000666B1">
          <w:rPr>
            <w:rFonts w:ascii="Cambria" w:hAnsi="Cambria"/>
            <w:noProof/>
            <w:webHidden/>
            <w:sz w:val="24"/>
          </w:rPr>
          <w:t>12</w:t>
        </w:r>
        <w:r w:rsidRPr="00A65328">
          <w:rPr>
            <w:rFonts w:ascii="Cambria" w:hAnsi="Cambria"/>
            <w:noProof/>
            <w:webHidden/>
            <w:sz w:val="24"/>
          </w:rPr>
          <w:fldChar w:fldCharType="end"/>
        </w:r>
      </w:hyperlink>
    </w:p>
    <w:p w14:paraId="1CCB2961" w14:textId="027E625F" w:rsidR="00A65328" w:rsidRPr="00A65328" w:rsidRDefault="00A65328">
      <w:pPr>
        <w:pStyle w:val="TOC2"/>
        <w:rPr>
          <w:rFonts w:ascii="Cambria" w:eastAsiaTheme="minorEastAsia" w:hAnsi="Cambria" w:cstheme="minorBidi"/>
          <w:noProof/>
          <w:kern w:val="2"/>
          <w:bdr w:val="none" w:sz="0" w:space="0" w:color="auto"/>
          <w14:ligatures w14:val="standardContextual"/>
        </w:rPr>
      </w:pPr>
      <w:hyperlink w:anchor="_Toc216356771" w:history="1">
        <w:r w:rsidRPr="00A65328">
          <w:rPr>
            <w:rStyle w:val="Hyperlink"/>
            <w:rFonts w:ascii="Cambria" w:hAnsi="Cambria"/>
            <w:noProof/>
          </w:rPr>
          <w:t>A.</w:t>
        </w:r>
        <w:r w:rsidRPr="00A65328">
          <w:rPr>
            <w:rFonts w:ascii="Cambria" w:eastAsiaTheme="minorEastAsia" w:hAnsi="Cambria" w:cstheme="minorBidi"/>
            <w:noProof/>
            <w:kern w:val="2"/>
            <w:bdr w:val="none" w:sz="0" w:space="0" w:color="auto"/>
            <w14:ligatures w14:val="standardContextual"/>
          </w:rPr>
          <w:tab/>
        </w:r>
        <w:r w:rsidRPr="00A65328">
          <w:rPr>
            <w:rStyle w:val="Hyperlink"/>
            <w:rFonts w:ascii="Cambria" w:hAnsi="Cambria"/>
            <w:noProof/>
          </w:rPr>
          <w:t>Preliminary question</w:t>
        </w:r>
        <w:r w:rsidRPr="00A65328">
          <w:rPr>
            <w:rFonts w:ascii="Cambria" w:hAnsi="Cambria"/>
            <w:noProof/>
            <w:webHidden/>
          </w:rPr>
          <w:tab/>
        </w:r>
        <w:r w:rsidRPr="00A65328">
          <w:rPr>
            <w:rFonts w:ascii="Cambria" w:hAnsi="Cambria"/>
            <w:noProof/>
            <w:webHidden/>
          </w:rPr>
          <w:fldChar w:fldCharType="begin"/>
        </w:r>
        <w:r w:rsidRPr="00A65328">
          <w:rPr>
            <w:rFonts w:ascii="Cambria" w:hAnsi="Cambria"/>
            <w:noProof/>
            <w:webHidden/>
          </w:rPr>
          <w:instrText xml:space="preserve"> PAGEREF _Toc216356771 \h </w:instrText>
        </w:r>
        <w:r w:rsidRPr="00A65328">
          <w:rPr>
            <w:rFonts w:ascii="Cambria" w:hAnsi="Cambria"/>
            <w:noProof/>
            <w:webHidden/>
          </w:rPr>
        </w:r>
        <w:r w:rsidRPr="00A65328">
          <w:rPr>
            <w:rFonts w:ascii="Cambria" w:hAnsi="Cambria"/>
            <w:noProof/>
            <w:webHidden/>
          </w:rPr>
          <w:fldChar w:fldCharType="separate"/>
        </w:r>
        <w:r w:rsidR="000666B1">
          <w:rPr>
            <w:rFonts w:ascii="Cambria" w:hAnsi="Cambria"/>
            <w:noProof/>
            <w:webHidden/>
          </w:rPr>
          <w:t>12</w:t>
        </w:r>
        <w:r w:rsidRPr="00A65328">
          <w:rPr>
            <w:rFonts w:ascii="Cambria" w:hAnsi="Cambria"/>
            <w:noProof/>
            <w:webHidden/>
          </w:rPr>
          <w:fldChar w:fldCharType="end"/>
        </w:r>
      </w:hyperlink>
    </w:p>
    <w:p w14:paraId="38FF31D3" w14:textId="56B3ED71" w:rsidR="00A65328" w:rsidRPr="00A65328" w:rsidRDefault="00A65328">
      <w:pPr>
        <w:pStyle w:val="TOC2"/>
        <w:rPr>
          <w:rFonts w:ascii="Cambria" w:eastAsiaTheme="minorEastAsia" w:hAnsi="Cambria" w:cstheme="minorBidi"/>
          <w:noProof/>
          <w:kern w:val="2"/>
          <w:bdr w:val="none" w:sz="0" w:space="0" w:color="auto"/>
          <w14:ligatures w14:val="standardContextual"/>
        </w:rPr>
      </w:pPr>
      <w:hyperlink w:anchor="_Toc216356772" w:history="1">
        <w:r w:rsidRPr="00A65328">
          <w:rPr>
            <w:rStyle w:val="Hyperlink"/>
            <w:rFonts w:ascii="Cambria" w:hAnsi="Cambria"/>
            <w:noProof/>
          </w:rPr>
          <w:t>B.</w:t>
        </w:r>
        <w:r w:rsidRPr="00A65328">
          <w:rPr>
            <w:rFonts w:ascii="Cambria" w:eastAsiaTheme="minorEastAsia" w:hAnsi="Cambria" w:cstheme="minorBidi"/>
            <w:noProof/>
            <w:kern w:val="2"/>
            <w:bdr w:val="none" w:sz="0" w:space="0" w:color="auto"/>
            <w14:ligatures w14:val="standardContextual"/>
          </w:rPr>
          <w:tab/>
        </w:r>
        <w:r w:rsidRPr="00A65328">
          <w:rPr>
            <w:rStyle w:val="Hyperlink"/>
            <w:rFonts w:ascii="Cambria" w:hAnsi="Cambria"/>
            <w:noProof/>
          </w:rPr>
          <w:t>Right to personal liberty (Article XXV of the American Declaration)</w:t>
        </w:r>
        <w:r w:rsidRPr="00A65328">
          <w:rPr>
            <w:rFonts w:ascii="Cambria" w:hAnsi="Cambria"/>
            <w:noProof/>
            <w:webHidden/>
          </w:rPr>
          <w:tab/>
        </w:r>
        <w:r w:rsidRPr="00A65328">
          <w:rPr>
            <w:rFonts w:ascii="Cambria" w:hAnsi="Cambria"/>
            <w:noProof/>
            <w:webHidden/>
          </w:rPr>
          <w:fldChar w:fldCharType="begin"/>
        </w:r>
        <w:r w:rsidRPr="00A65328">
          <w:rPr>
            <w:rFonts w:ascii="Cambria" w:hAnsi="Cambria"/>
            <w:noProof/>
            <w:webHidden/>
          </w:rPr>
          <w:instrText xml:space="preserve"> PAGEREF _Toc216356772 \h </w:instrText>
        </w:r>
        <w:r w:rsidRPr="00A65328">
          <w:rPr>
            <w:rFonts w:ascii="Cambria" w:hAnsi="Cambria"/>
            <w:noProof/>
            <w:webHidden/>
          </w:rPr>
        </w:r>
        <w:r w:rsidRPr="00A65328">
          <w:rPr>
            <w:rFonts w:ascii="Cambria" w:hAnsi="Cambria"/>
            <w:noProof/>
            <w:webHidden/>
          </w:rPr>
          <w:fldChar w:fldCharType="separate"/>
        </w:r>
        <w:r w:rsidR="000666B1">
          <w:rPr>
            <w:rFonts w:ascii="Cambria" w:hAnsi="Cambria"/>
            <w:noProof/>
            <w:webHidden/>
          </w:rPr>
          <w:t>13</w:t>
        </w:r>
        <w:r w:rsidRPr="00A65328">
          <w:rPr>
            <w:rFonts w:ascii="Cambria" w:hAnsi="Cambria"/>
            <w:noProof/>
            <w:webHidden/>
          </w:rPr>
          <w:fldChar w:fldCharType="end"/>
        </w:r>
      </w:hyperlink>
    </w:p>
    <w:p w14:paraId="31273F59" w14:textId="20E56BDA" w:rsidR="00A65328" w:rsidRPr="00A65328" w:rsidRDefault="00A65328">
      <w:pPr>
        <w:pStyle w:val="TOC2"/>
        <w:rPr>
          <w:rFonts w:ascii="Cambria" w:eastAsiaTheme="minorEastAsia" w:hAnsi="Cambria" w:cstheme="minorBidi"/>
          <w:noProof/>
          <w:kern w:val="2"/>
          <w:bdr w:val="none" w:sz="0" w:space="0" w:color="auto"/>
          <w14:ligatures w14:val="standardContextual"/>
        </w:rPr>
      </w:pPr>
      <w:hyperlink w:anchor="_Toc216356773" w:history="1">
        <w:r w:rsidRPr="00A65328">
          <w:rPr>
            <w:rStyle w:val="Hyperlink"/>
            <w:rFonts w:ascii="Cambria" w:hAnsi="Cambria"/>
            <w:noProof/>
          </w:rPr>
          <w:t>C.</w:t>
        </w:r>
        <w:r w:rsidRPr="00A65328">
          <w:rPr>
            <w:rFonts w:ascii="Cambria" w:eastAsiaTheme="minorEastAsia" w:hAnsi="Cambria" w:cstheme="minorBidi"/>
            <w:noProof/>
            <w:kern w:val="2"/>
            <w:bdr w:val="none" w:sz="0" w:space="0" w:color="auto"/>
            <w14:ligatures w14:val="standardContextual"/>
          </w:rPr>
          <w:tab/>
        </w:r>
        <w:r w:rsidRPr="00A65328">
          <w:rPr>
            <w:rStyle w:val="Hyperlink"/>
            <w:rFonts w:ascii="Cambria" w:hAnsi="Cambria"/>
            <w:noProof/>
          </w:rPr>
          <w:t xml:space="preserve">Right </w:t>
        </w:r>
        <w:r w:rsidRPr="00A65328">
          <w:rPr>
            <w:rStyle w:val="Hyperlink"/>
            <w:rFonts w:ascii="Cambria" w:eastAsia="SimSun" w:hAnsi="Cambria"/>
            <w:noProof/>
          </w:rPr>
          <w:t>to a fair trial and due process</w:t>
        </w:r>
        <w:r w:rsidRPr="00A65328">
          <w:rPr>
            <w:rStyle w:val="Hyperlink"/>
            <w:rFonts w:ascii="Cambria" w:hAnsi="Cambria"/>
            <w:noProof/>
          </w:rPr>
          <w:t xml:space="preserve"> (Articles XVIII and XXVI of the American Declaration)</w:t>
        </w:r>
        <w:r w:rsidRPr="00A65328">
          <w:rPr>
            <w:rFonts w:ascii="Cambria" w:hAnsi="Cambria"/>
            <w:noProof/>
            <w:webHidden/>
          </w:rPr>
          <w:tab/>
        </w:r>
        <w:r w:rsidRPr="00A65328">
          <w:rPr>
            <w:rFonts w:ascii="Cambria" w:hAnsi="Cambria"/>
            <w:noProof/>
            <w:webHidden/>
          </w:rPr>
          <w:fldChar w:fldCharType="begin"/>
        </w:r>
        <w:r w:rsidRPr="00A65328">
          <w:rPr>
            <w:rFonts w:ascii="Cambria" w:hAnsi="Cambria"/>
            <w:noProof/>
            <w:webHidden/>
          </w:rPr>
          <w:instrText xml:space="preserve"> PAGEREF _Toc216356773 \h </w:instrText>
        </w:r>
        <w:r w:rsidRPr="00A65328">
          <w:rPr>
            <w:rFonts w:ascii="Cambria" w:hAnsi="Cambria"/>
            <w:noProof/>
            <w:webHidden/>
          </w:rPr>
        </w:r>
        <w:r w:rsidRPr="00A65328">
          <w:rPr>
            <w:rFonts w:ascii="Cambria" w:hAnsi="Cambria"/>
            <w:noProof/>
            <w:webHidden/>
          </w:rPr>
          <w:fldChar w:fldCharType="separate"/>
        </w:r>
        <w:r w:rsidR="000666B1">
          <w:rPr>
            <w:rFonts w:ascii="Cambria" w:hAnsi="Cambria"/>
            <w:noProof/>
            <w:webHidden/>
          </w:rPr>
          <w:t>16</w:t>
        </w:r>
        <w:r w:rsidRPr="00A65328">
          <w:rPr>
            <w:rFonts w:ascii="Cambria" w:hAnsi="Cambria"/>
            <w:noProof/>
            <w:webHidden/>
          </w:rPr>
          <w:fldChar w:fldCharType="end"/>
        </w:r>
      </w:hyperlink>
    </w:p>
    <w:p w14:paraId="49B60F0D" w14:textId="401A5CA1" w:rsidR="00A65328" w:rsidRPr="00A65328" w:rsidRDefault="00A65328">
      <w:pPr>
        <w:pStyle w:val="TOC2"/>
        <w:rPr>
          <w:rFonts w:ascii="Cambria" w:eastAsiaTheme="minorEastAsia" w:hAnsi="Cambria" w:cstheme="minorBidi"/>
          <w:noProof/>
          <w:kern w:val="2"/>
          <w:bdr w:val="none" w:sz="0" w:space="0" w:color="auto"/>
          <w14:ligatures w14:val="standardContextual"/>
        </w:rPr>
      </w:pPr>
      <w:hyperlink w:anchor="_Toc216356774" w:history="1">
        <w:r w:rsidRPr="00A65328">
          <w:rPr>
            <w:rStyle w:val="Hyperlink"/>
            <w:rFonts w:ascii="Cambria" w:hAnsi="Cambria"/>
            <w:noProof/>
          </w:rPr>
          <w:t>D.</w:t>
        </w:r>
        <w:r w:rsidRPr="00A65328">
          <w:rPr>
            <w:rFonts w:ascii="Cambria" w:eastAsiaTheme="minorEastAsia" w:hAnsi="Cambria" w:cstheme="minorBidi"/>
            <w:noProof/>
            <w:kern w:val="2"/>
            <w:bdr w:val="none" w:sz="0" w:space="0" w:color="auto"/>
            <w14:ligatures w14:val="standardContextual"/>
          </w:rPr>
          <w:tab/>
        </w:r>
        <w:r w:rsidRPr="00A65328">
          <w:rPr>
            <w:rStyle w:val="Hyperlink"/>
            <w:rFonts w:ascii="Cambria" w:eastAsia="SimSun" w:hAnsi="Cambria"/>
            <w:noProof/>
          </w:rPr>
          <w:t xml:space="preserve">The right to freedom of </w:t>
        </w:r>
        <w:r w:rsidRPr="00A65328">
          <w:rPr>
            <w:rStyle w:val="Hyperlink"/>
            <w:rFonts w:ascii="Cambria" w:hAnsi="Cambria"/>
            <w:noProof/>
          </w:rPr>
          <w:t>research</w:t>
        </w:r>
        <w:r w:rsidRPr="00A65328">
          <w:rPr>
            <w:rStyle w:val="Hyperlink"/>
            <w:rFonts w:ascii="Cambria" w:eastAsia="SimSun" w:hAnsi="Cambria"/>
            <w:noProof/>
          </w:rPr>
          <w:t>, opinion, expression, and dissemination; the right to participate in the cultural life of the community; and the right of association (Articles IV, XIII, and XXII of the American Declaration)</w:t>
        </w:r>
        <w:r w:rsidRPr="00A65328">
          <w:rPr>
            <w:rFonts w:ascii="Cambria" w:hAnsi="Cambria"/>
            <w:noProof/>
            <w:webHidden/>
          </w:rPr>
          <w:tab/>
        </w:r>
        <w:r w:rsidRPr="00A65328">
          <w:rPr>
            <w:rFonts w:ascii="Cambria" w:hAnsi="Cambria"/>
            <w:noProof/>
            <w:webHidden/>
          </w:rPr>
          <w:fldChar w:fldCharType="begin"/>
        </w:r>
        <w:r w:rsidRPr="00A65328">
          <w:rPr>
            <w:rFonts w:ascii="Cambria" w:hAnsi="Cambria"/>
            <w:noProof/>
            <w:webHidden/>
          </w:rPr>
          <w:instrText xml:space="preserve"> PAGEREF _Toc216356774 \h </w:instrText>
        </w:r>
        <w:r w:rsidRPr="00A65328">
          <w:rPr>
            <w:rFonts w:ascii="Cambria" w:hAnsi="Cambria"/>
            <w:noProof/>
            <w:webHidden/>
          </w:rPr>
        </w:r>
        <w:r w:rsidRPr="00A65328">
          <w:rPr>
            <w:rFonts w:ascii="Cambria" w:hAnsi="Cambria"/>
            <w:noProof/>
            <w:webHidden/>
          </w:rPr>
          <w:fldChar w:fldCharType="separate"/>
        </w:r>
        <w:r w:rsidR="000666B1">
          <w:rPr>
            <w:rFonts w:ascii="Cambria" w:hAnsi="Cambria"/>
            <w:noProof/>
            <w:webHidden/>
          </w:rPr>
          <w:t>18</w:t>
        </w:r>
        <w:r w:rsidRPr="00A65328">
          <w:rPr>
            <w:rFonts w:ascii="Cambria" w:hAnsi="Cambria"/>
            <w:noProof/>
            <w:webHidden/>
          </w:rPr>
          <w:fldChar w:fldCharType="end"/>
        </w:r>
      </w:hyperlink>
    </w:p>
    <w:p w14:paraId="686C37C4" w14:textId="6492C70E" w:rsidR="00A65328" w:rsidRPr="00A65328" w:rsidRDefault="00A65328">
      <w:pPr>
        <w:pStyle w:val="TOC2"/>
        <w:rPr>
          <w:rFonts w:ascii="Cambria" w:eastAsiaTheme="minorEastAsia" w:hAnsi="Cambria" w:cstheme="minorBidi"/>
          <w:noProof/>
          <w:kern w:val="2"/>
          <w:bdr w:val="none" w:sz="0" w:space="0" w:color="auto"/>
          <w14:ligatures w14:val="standardContextual"/>
        </w:rPr>
      </w:pPr>
      <w:hyperlink w:anchor="_Toc216356775" w:history="1">
        <w:r w:rsidRPr="00A65328">
          <w:rPr>
            <w:rStyle w:val="Hyperlink"/>
            <w:rFonts w:ascii="Cambria" w:hAnsi="Cambria"/>
            <w:noProof/>
          </w:rPr>
          <w:t>E.</w:t>
        </w:r>
        <w:r w:rsidRPr="00A65328">
          <w:rPr>
            <w:rFonts w:ascii="Cambria" w:eastAsiaTheme="minorEastAsia" w:hAnsi="Cambria" w:cstheme="minorBidi"/>
            <w:noProof/>
            <w:kern w:val="2"/>
            <w:bdr w:val="none" w:sz="0" w:space="0" w:color="auto"/>
            <w14:ligatures w14:val="standardContextual"/>
          </w:rPr>
          <w:tab/>
        </w:r>
        <w:r w:rsidRPr="00A65328">
          <w:rPr>
            <w:rStyle w:val="Hyperlink"/>
            <w:rFonts w:ascii="Cambria" w:hAnsi="Cambria"/>
            <w:noProof/>
          </w:rPr>
          <w:t xml:space="preserve">Right </w:t>
        </w:r>
        <w:r w:rsidRPr="00A65328">
          <w:rPr>
            <w:rStyle w:val="Hyperlink"/>
            <w:rFonts w:ascii="Cambria" w:eastAsia="SimSun" w:hAnsi="Cambria"/>
            <w:noProof/>
          </w:rPr>
          <w:t xml:space="preserve">to life, liberty, security and humane treatment </w:t>
        </w:r>
        <w:r w:rsidRPr="00A65328">
          <w:rPr>
            <w:rStyle w:val="Hyperlink"/>
            <w:rFonts w:ascii="Cambria" w:hAnsi="Cambria"/>
            <w:noProof/>
          </w:rPr>
          <w:t>(Article I of the American Declaration)</w:t>
        </w:r>
        <w:r w:rsidRPr="00A65328">
          <w:rPr>
            <w:rFonts w:ascii="Cambria" w:hAnsi="Cambria"/>
            <w:noProof/>
            <w:webHidden/>
          </w:rPr>
          <w:tab/>
        </w:r>
        <w:r w:rsidRPr="00A65328">
          <w:rPr>
            <w:rFonts w:ascii="Cambria" w:hAnsi="Cambria"/>
            <w:noProof/>
            <w:webHidden/>
          </w:rPr>
          <w:fldChar w:fldCharType="begin"/>
        </w:r>
        <w:r w:rsidRPr="00A65328">
          <w:rPr>
            <w:rFonts w:ascii="Cambria" w:hAnsi="Cambria"/>
            <w:noProof/>
            <w:webHidden/>
          </w:rPr>
          <w:instrText xml:space="preserve"> PAGEREF _Toc216356775 \h </w:instrText>
        </w:r>
        <w:r w:rsidRPr="00A65328">
          <w:rPr>
            <w:rFonts w:ascii="Cambria" w:hAnsi="Cambria"/>
            <w:noProof/>
            <w:webHidden/>
          </w:rPr>
        </w:r>
        <w:r w:rsidRPr="00A65328">
          <w:rPr>
            <w:rFonts w:ascii="Cambria" w:hAnsi="Cambria"/>
            <w:noProof/>
            <w:webHidden/>
          </w:rPr>
          <w:fldChar w:fldCharType="separate"/>
        </w:r>
        <w:r w:rsidR="000666B1">
          <w:rPr>
            <w:rFonts w:ascii="Cambria" w:hAnsi="Cambria"/>
            <w:noProof/>
            <w:webHidden/>
          </w:rPr>
          <w:t>21</w:t>
        </w:r>
        <w:r w:rsidRPr="00A65328">
          <w:rPr>
            <w:rFonts w:ascii="Cambria" w:hAnsi="Cambria"/>
            <w:noProof/>
            <w:webHidden/>
          </w:rPr>
          <w:fldChar w:fldCharType="end"/>
        </w:r>
      </w:hyperlink>
    </w:p>
    <w:p w14:paraId="1AA45670" w14:textId="771D82F6" w:rsidR="00A65328" w:rsidRPr="00A65328" w:rsidRDefault="00A65328">
      <w:pPr>
        <w:pStyle w:val="TOC1"/>
        <w:tabs>
          <w:tab w:val="left" w:pos="1440"/>
          <w:tab w:val="right" w:leader="dot" w:pos="9350"/>
        </w:tabs>
        <w:rPr>
          <w:rFonts w:ascii="Cambria" w:eastAsiaTheme="minorEastAsia" w:hAnsi="Cambria" w:cstheme="minorBidi"/>
          <w:noProof/>
          <w:kern w:val="2"/>
          <w:sz w:val="24"/>
          <w:bdr w:val="none" w:sz="0" w:space="0" w:color="auto"/>
          <w14:ligatures w14:val="standardContextual"/>
        </w:rPr>
      </w:pPr>
      <w:hyperlink w:anchor="_Toc216356776" w:history="1">
        <w:r w:rsidRPr="00A65328">
          <w:rPr>
            <w:rStyle w:val="Hyperlink"/>
            <w:rFonts w:ascii="Cambria" w:hAnsi="Cambria"/>
            <w:noProof/>
            <w:sz w:val="24"/>
          </w:rPr>
          <w:t>VI.</w:t>
        </w:r>
        <w:r w:rsidRPr="00A65328">
          <w:rPr>
            <w:rFonts w:ascii="Cambria" w:eastAsiaTheme="minorEastAsia" w:hAnsi="Cambria" w:cstheme="minorBidi"/>
            <w:noProof/>
            <w:kern w:val="2"/>
            <w:sz w:val="24"/>
            <w:bdr w:val="none" w:sz="0" w:space="0" w:color="auto"/>
            <w14:ligatures w14:val="standardContextual"/>
          </w:rPr>
          <w:tab/>
        </w:r>
        <w:r w:rsidRPr="00A65328">
          <w:rPr>
            <w:rStyle w:val="Hyperlink"/>
            <w:rFonts w:ascii="Cambria" w:hAnsi="Cambria"/>
            <w:noProof/>
            <w:sz w:val="24"/>
          </w:rPr>
          <w:t>REPORT No. 199/24 AND INFORMATION ON COMPLIANCE</w:t>
        </w:r>
        <w:r w:rsidRPr="00A65328">
          <w:rPr>
            <w:rFonts w:ascii="Cambria" w:hAnsi="Cambria"/>
            <w:noProof/>
            <w:webHidden/>
            <w:sz w:val="24"/>
          </w:rPr>
          <w:tab/>
        </w:r>
        <w:r w:rsidRPr="00A65328">
          <w:rPr>
            <w:rFonts w:ascii="Cambria" w:hAnsi="Cambria"/>
            <w:noProof/>
            <w:webHidden/>
            <w:sz w:val="24"/>
          </w:rPr>
          <w:fldChar w:fldCharType="begin"/>
        </w:r>
        <w:r w:rsidRPr="00A65328">
          <w:rPr>
            <w:rFonts w:ascii="Cambria" w:hAnsi="Cambria"/>
            <w:noProof/>
            <w:webHidden/>
            <w:sz w:val="24"/>
          </w:rPr>
          <w:instrText xml:space="preserve"> PAGEREF _Toc216356776 \h </w:instrText>
        </w:r>
        <w:r w:rsidRPr="00A65328">
          <w:rPr>
            <w:rFonts w:ascii="Cambria" w:hAnsi="Cambria"/>
            <w:noProof/>
            <w:webHidden/>
            <w:sz w:val="24"/>
          </w:rPr>
        </w:r>
        <w:r w:rsidRPr="00A65328">
          <w:rPr>
            <w:rFonts w:ascii="Cambria" w:hAnsi="Cambria"/>
            <w:noProof/>
            <w:webHidden/>
            <w:sz w:val="24"/>
          </w:rPr>
          <w:fldChar w:fldCharType="separate"/>
        </w:r>
        <w:r w:rsidR="000666B1">
          <w:rPr>
            <w:rFonts w:ascii="Cambria" w:hAnsi="Cambria"/>
            <w:noProof/>
            <w:webHidden/>
            <w:sz w:val="24"/>
          </w:rPr>
          <w:t>23</w:t>
        </w:r>
        <w:r w:rsidRPr="00A65328">
          <w:rPr>
            <w:rFonts w:ascii="Cambria" w:hAnsi="Cambria"/>
            <w:noProof/>
            <w:webHidden/>
            <w:sz w:val="24"/>
          </w:rPr>
          <w:fldChar w:fldCharType="end"/>
        </w:r>
      </w:hyperlink>
    </w:p>
    <w:p w14:paraId="2D94C04F" w14:textId="2F97D4C5" w:rsidR="00A65328" w:rsidRPr="00A65328" w:rsidRDefault="00A65328">
      <w:pPr>
        <w:pStyle w:val="TOC1"/>
        <w:tabs>
          <w:tab w:val="left" w:pos="1440"/>
          <w:tab w:val="right" w:leader="dot" w:pos="9350"/>
        </w:tabs>
        <w:rPr>
          <w:rFonts w:ascii="Cambria" w:eastAsiaTheme="minorEastAsia" w:hAnsi="Cambria" w:cstheme="minorBidi"/>
          <w:noProof/>
          <w:kern w:val="2"/>
          <w:sz w:val="24"/>
          <w:bdr w:val="none" w:sz="0" w:space="0" w:color="auto"/>
          <w14:ligatures w14:val="standardContextual"/>
        </w:rPr>
      </w:pPr>
      <w:hyperlink w:anchor="_Toc216356777" w:history="1">
        <w:r w:rsidRPr="00A65328">
          <w:rPr>
            <w:rStyle w:val="Hyperlink"/>
            <w:rFonts w:ascii="Cambria" w:hAnsi="Cambria"/>
            <w:noProof/>
            <w:sz w:val="24"/>
          </w:rPr>
          <w:t>VII.</w:t>
        </w:r>
        <w:r w:rsidRPr="00A65328">
          <w:rPr>
            <w:rFonts w:ascii="Cambria" w:eastAsiaTheme="minorEastAsia" w:hAnsi="Cambria" w:cstheme="minorBidi"/>
            <w:noProof/>
            <w:kern w:val="2"/>
            <w:sz w:val="24"/>
            <w:bdr w:val="none" w:sz="0" w:space="0" w:color="auto"/>
            <w14:ligatures w14:val="standardContextual"/>
          </w:rPr>
          <w:tab/>
        </w:r>
        <w:r w:rsidRPr="00A65328">
          <w:rPr>
            <w:rStyle w:val="Hyperlink"/>
            <w:rFonts w:ascii="Cambria" w:hAnsi="Cambria"/>
            <w:noProof/>
            <w:sz w:val="24"/>
          </w:rPr>
          <w:t>ACTIONS FOLLOWING REPORT No. 201/25</w:t>
        </w:r>
        <w:r w:rsidRPr="00A65328">
          <w:rPr>
            <w:rFonts w:ascii="Cambria" w:hAnsi="Cambria"/>
            <w:noProof/>
            <w:webHidden/>
            <w:sz w:val="24"/>
          </w:rPr>
          <w:tab/>
        </w:r>
        <w:r w:rsidRPr="00A65328">
          <w:rPr>
            <w:rFonts w:ascii="Cambria" w:hAnsi="Cambria"/>
            <w:noProof/>
            <w:webHidden/>
            <w:sz w:val="24"/>
          </w:rPr>
          <w:fldChar w:fldCharType="begin"/>
        </w:r>
        <w:r w:rsidRPr="00A65328">
          <w:rPr>
            <w:rFonts w:ascii="Cambria" w:hAnsi="Cambria"/>
            <w:noProof/>
            <w:webHidden/>
            <w:sz w:val="24"/>
          </w:rPr>
          <w:instrText xml:space="preserve"> PAGEREF _Toc216356777 \h </w:instrText>
        </w:r>
        <w:r w:rsidRPr="00A65328">
          <w:rPr>
            <w:rFonts w:ascii="Cambria" w:hAnsi="Cambria"/>
            <w:noProof/>
            <w:webHidden/>
            <w:sz w:val="24"/>
          </w:rPr>
        </w:r>
        <w:r w:rsidRPr="00A65328">
          <w:rPr>
            <w:rFonts w:ascii="Cambria" w:hAnsi="Cambria"/>
            <w:noProof/>
            <w:webHidden/>
            <w:sz w:val="24"/>
          </w:rPr>
          <w:fldChar w:fldCharType="separate"/>
        </w:r>
        <w:r w:rsidR="000666B1">
          <w:rPr>
            <w:rFonts w:ascii="Cambria" w:hAnsi="Cambria"/>
            <w:noProof/>
            <w:webHidden/>
            <w:sz w:val="24"/>
          </w:rPr>
          <w:t>24</w:t>
        </w:r>
        <w:r w:rsidRPr="00A65328">
          <w:rPr>
            <w:rFonts w:ascii="Cambria" w:hAnsi="Cambria"/>
            <w:noProof/>
            <w:webHidden/>
            <w:sz w:val="24"/>
          </w:rPr>
          <w:fldChar w:fldCharType="end"/>
        </w:r>
      </w:hyperlink>
    </w:p>
    <w:p w14:paraId="3EA26453" w14:textId="65294064" w:rsidR="00A65328" w:rsidRPr="00A65328" w:rsidRDefault="00A65328">
      <w:pPr>
        <w:pStyle w:val="TOC1"/>
        <w:tabs>
          <w:tab w:val="left" w:pos="1440"/>
          <w:tab w:val="right" w:leader="dot" w:pos="9350"/>
        </w:tabs>
        <w:rPr>
          <w:rFonts w:ascii="Cambria" w:eastAsiaTheme="minorEastAsia" w:hAnsi="Cambria" w:cstheme="minorBidi"/>
          <w:noProof/>
          <w:kern w:val="2"/>
          <w:sz w:val="24"/>
          <w:bdr w:val="none" w:sz="0" w:space="0" w:color="auto"/>
          <w14:ligatures w14:val="standardContextual"/>
        </w:rPr>
      </w:pPr>
      <w:hyperlink w:anchor="_Toc216356778" w:history="1">
        <w:r w:rsidRPr="00A65328">
          <w:rPr>
            <w:rStyle w:val="Hyperlink"/>
            <w:rFonts w:ascii="Cambria" w:hAnsi="Cambria"/>
            <w:noProof/>
            <w:sz w:val="24"/>
            <w:lang w:val="es-ES"/>
          </w:rPr>
          <w:t>VIII.</w:t>
        </w:r>
        <w:r w:rsidRPr="00A65328">
          <w:rPr>
            <w:rFonts w:ascii="Cambria" w:eastAsiaTheme="minorEastAsia" w:hAnsi="Cambria" w:cstheme="minorBidi"/>
            <w:noProof/>
            <w:kern w:val="2"/>
            <w:sz w:val="24"/>
            <w:bdr w:val="none" w:sz="0" w:space="0" w:color="auto"/>
            <w14:ligatures w14:val="standardContextual"/>
          </w:rPr>
          <w:tab/>
        </w:r>
        <w:r w:rsidRPr="00A65328">
          <w:rPr>
            <w:rStyle w:val="Hyperlink"/>
            <w:rFonts w:ascii="Cambria" w:hAnsi="Cambria"/>
            <w:noProof/>
            <w:sz w:val="24"/>
          </w:rPr>
          <w:t>FINAL CONCLUSIONS AND RECOMMENDATIONS</w:t>
        </w:r>
        <w:r w:rsidRPr="00A65328">
          <w:rPr>
            <w:rFonts w:ascii="Cambria" w:hAnsi="Cambria"/>
            <w:noProof/>
            <w:webHidden/>
            <w:sz w:val="24"/>
          </w:rPr>
          <w:tab/>
        </w:r>
        <w:r w:rsidRPr="00A65328">
          <w:rPr>
            <w:rFonts w:ascii="Cambria" w:hAnsi="Cambria"/>
            <w:noProof/>
            <w:webHidden/>
            <w:sz w:val="24"/>
          </w:rPr>
          <w:fldChar w:fldCharType="begin"/>
        </w:r>
        <w:r w:rsidRPr="00A65328">
          <w:rPr>
            <w:rFonts w:ascii="Cambria" w:hAnsi="Cambria"/>
            <w:noProof/>
            <w:webHidden/>
            <w:sz w:val="24"/>
          </w:rPr>
          <w:instrText xml:space="preserve"> PAGEREF _Toc216356778 \h </w:instrText>
        </w:r>
        <w:r w:rsidRPr="00A65328">
          <w:rPr>
            <w:rFonts w:ascii="Cambria" w:hAnsi="Cambria"/>
            <w:noProof/>
            <w:webHidden/>
            <w:sz w:val="24"/>
          </w:rPr>
        </w:r>
        <w:r w:rsidRPr="00A65328">
          <w:rPr>
            <w:rFonts w:ascii="Cambria" w:hAnsi="Cambria"/>
            <w:noProof/>
            <w:webHidden/>
            <w:sz w:val="24"/>
          </w:rPr>
          <w:fldChar w:fldCharType="separate"/>
        </w:r>
        <w:r w:rsidR="000666B1">
          <w:rPr>
            <w:rFonts w:ascii="Cambria" w:hAnsi="Cambria"/>
            <w:noProof/>
            <w:webHidden/>
            <w:sz w:val="24"/>
          </w:rPr>
          <w:t>24</w:t>
        </w:r>
        <w:r w:rsidRPr="00A65328">
          <w:rPr>
            <w:rFonts w:ascii="Cambria" w:hAnsi="Cambria"/>
            <w:noProof/>
            <w:webHidden/>
            <w:sz w:val="24"/>
          </w:rPr>
          <w:fldChar w:fldCharType="end"/>
        </w:r>
      </w:hyperlink>
    </w:p>
    <w:p w14:paraId="76EFA4E2" w14:textId="3B0C9976" w:rsidR="00A65328" w:rsidRPr="00A65328" w:rsidRDefault="00A65328">
      <w:pPr>
        <w:pStyle w:val="TOC1"/>
        <w:tabs>
          <w:tab w:val="left" w:pos="1440"/>
          <w:tab w:val="right" w:leader="dot" w:pos="9350"/>
        </w:tabs>
        <w:rPr>
          <w:rFonts w:ascii="Cambria" w:eastAsiaTheme="minorEastAsia" w:hAnsi="Cambria" w:cstheme="minorBidi"/>
          <w:noProof/>
          <w:kern w:val="2"/>
          <w:sz w:val="24"/>
          <w:bdr w:val="none" w:sz="0" w:space="0" w:color="auto"/>
          <w14:ligatures w14:val="standardContextual"/>
        </w:rPr>
      </w:pPr>
      <w:hyperlink w:anchor="_Toc216356779" w:history="1">
        <w:r w:rsidRPr="00A65328">
          <w:rPr>
            <w:rStyle w:val="Hyperlink"/>
            <w:rFonts w:ascii="Cambria" w:hAnsi="Cambria"/>
            <w:noProof/>
            <w:sz w:val="24"/>
          </w:rPr>
          <w:t>IX.</w:t>
        </w:r>
        <w:r w:rsidRPr="00A65328">
          <w:rPr>
            <w:rFonts w:ascii="Cambria" w:eastAsiaTheme="minorEastAsia" w:hAnsi="Cambria" w:cstheme="minorBidi"/>
            <w:noProof/>
            <w:kern w:val="2"/>
            <w:sz w:val="24"/>
            <w:bdr w:val="none" w:sz="0" w:space="0" w:color="auto"/>
            <w14:ligatures w14:val="standardContextual"/>
          </w:rPr>
          <w:tab/>
        </w:r>
        <w:r w:rsidRPr="00A65328">
          <w:rPr>
            <w:rStyle w:val="Hyperlink"/>
            <w:rFonts w:ascii="Cambria" w:hAnsi="Cambria"/>
            <w:noProof/>
            <w:sz w:val="24"/>
          </w:rPr>
          <w:t>PUBLICATION</w:t>
        </w:r>
        <w:r w:rsidRPr="00A65328">
          <w:rPr>
            <w:rFonts w:ascii="Cambria" w:hAnsi="Cambria"/>
            <w:noProof/>
            <w:webHidden/>
            <w:sz w:val="24"/>
          </w:rPr>
          <w:tab/>
        </w:r>
        <w:r w:rsidRPr="00A65328">
          <w:rPr>
            <w:rFonts w:ascii="Cambria" w:hAnsi="Cambria"/>
            <w:noProof/>
            <w:webHidden/>
            <w:sz w:val="24"/>
          </w:rPr>
          <w:fldChar w:fldCharType="begin"/>
        </w:r>
        <w:r w:rsidRPr="00A65328">
          <w:rPr>
            <w:rFonts w:ascii="Cambria" w:hAnsi="Cambria"/>
            <w:noProof/>
            <w:webHidden/>
            <w:sz w:val="24"/>
          </w:rPr>
          <w:instrText xml:space="preserve"> PAGEREF _Toc216356779 \h </w:instrText>
        </w:r>
        <w:r w:rsidRPr="00A65328">
          <w:rPr>
            <w:rFonts w:ascii="Cambria" w:hAnsi="Cambria"/>
            <w:noProof/>
            <w:webHidden/>
            <w:sz w:val="24"/>
          </w:rPr>
        </w:r>
        <w:r w:rsidRPr="00A65328">
          <w:rPr>
            <w:rFonts w:ascii="Cambria" w:hAnsi="Cambria"/>
            <w:noProof/>
            <w:webHidden/>
            <w:sz w:val="24"/>
          </w:rPr>
          <w:fldChar w:fldCharType="separate"/>
        </w:r>
        <w:r w:rsidR="000666B1">
          <w:rPr>
            <w:rFonts w:ascii="Cambria" w:hAnsi="Cambria"/>
            <w:noProof/>
            <w:webHidden/>
            <w:sz w:val="24"/>
          </w:rPr>
          <w:t>25</w:t>
        </w:r>
        <w:r w:rsidRPr="00A65328">
          <w:rPr>
            <w:rFonts w:ascii="Cambria" w:hAnsi="Cambria"/>
            <w:noProof/>
            <w:webHidden/>
            <w:sz w:val="24"/>
          </w:rPr>
          <w:fldChar w:fldCharType="end"/>
        </w:r>
      </w:hyperlink>
    </w:p>
    <w:p w14:paraId="5290049C" w14:textId="62955F0C" w:rsidR="008D768D" w:rsidRPr="00E9543F" w:rsidRDefault="0083046E" w:rsidP="006125C3">
      <w:pPr>
        <w:tabs>
          <w:tab w:val="center" w:pos="5400"/>
        </w:tabs>
        <w:suppressAutoHyphens/>
        <w:spacing w:line="276" w:lineRule="auto"/>
        <w:rPr>
          <w:rFonts w:asciiTheme="majorHAnsi" w:hAnsiTheme="majorHAnsi"/>
          <w:sz w:val="20"/>
          <w:szCs w:val="20"/>
          <w:lang w:val="es-ES"/>
        </w:rPr>
      </w:pPr>
      <w:r w:rsidRPr="00A65328">
        <w:rPr>
          <w:rFonts w:ascii="Cambria" w:hAnsi="Cambria"/>
          <w:b/>
        </w:rPr>
        <w:fldChar w:fldCharType="end"/>
      </w:r>
    </w:p>
    <w:p w14:paraId="7A0DB2C7" w14:textId="77777777" w:rsidR="00722C9F" w:rsidRPr="00E9543F" w:rsidRDefault="00722C9F">
      <w:pPr>
        <w:rPr>
          <w:rFonts w:asciiTheme="majorHAnsi" w:hAnsiTheme="majorHAnsi" w:cs="Calibri"/>
          <w:sz w:val="20"/>
          <w:szCs w:val="20"/>
          <w:lang w:val="es-ES"/>
        </w:rPr>
      </w:pPr>
      <w:r w:rsidRPr="00E9543F">
        <w:rPr>
          <w:rFonts w:asciiTheme="majorHAnsi" w:hAnsiTheme="majorHAnsi" w:cs="Calibri"/>
          <w:sz w:val="20"/>
          <w:szCs w:val="20"/>
        </w:rPr>
        <w:br w:type="page"/>
      </w:r>
    </w:p>
    <w:p w14:paraId="7A9081E3" w14:textId="77777777" w:rsidR="00D12193" w:rsidRPr="00E9543F" w:rsidRDefault="00A03A30" w:rsidP="00D16E19">
      <w:pPr>
        <w:pStyle w:val="Heading1"/>
        <w:rPr>
          <w:lang w:val="es-ES"/>
        </w:rPr>
      </w:pPr>
      <w:bookmarkStart w:id="2" w:name="_Toc216356756"/>
      <w:r w:rsidRPr="00E9543F">
        <w:lastRenderedPageBreak/>
        <w:t>INTRODUCTION</w:t>
      </w:r>
      <w:bookmarkEnd w:id="2"/>
    </w:p>
    <w:p w14:paraId="5FB3D129" w14:textId="7048D053" w:rsidR="00CA33D3" w:rsidRPr="00E9543F" w:rsidRDefault="00CA33D3" w:rsidP="4AEC06F1">
      <w:pPr>
        <w:tabs>
          <w:tab w:val="left" w:pos="360"/>
        </w:tabs>
        <w:suppressAutoHyphens/>
        <w:rPr>
          <w:rFonts w:asciiTheme="majorHAnsi" w:hAnsiTheme="majorHAnsi"/>
          <w:b/>
          <w:bCs/>
          <w:sz w:val="20"/>
          <w:szCs w:val="20"/>
          <w:lang w:val="es-ES"/>
        </w:rPr>
      </w:pPr>
    </w:p>
    <w:p w14:paraId="19130C85" w14:textId="32F2FA24" w:rsidR="00CA33D3" w:rsidRPr="00F66E08" w:rsidRDefault="005C4CA5" w:rsidP="004B1C8A">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0" w:firstLine="0"/>
        <w:jc w:val="both"/>
        <w:rPr>
          <w:rFonts w:ascii="Cambria" w:hAnsi="Cambria"/>
          <w:sz w:val="20"/>
          <w:szCs w:val="20"/>
        </w:rPr>
      </w:pPr>
      <w:r w:rsidRPr="00E9543F">
        <w:rPr>
          <w:rFonts w:asciiTheme="majorHAnsi" w:hAnsiTheme="majorHAnsi" w:cstheme="minorBidi"/>
          <w:sz w:val="20"/>
          <w:szCs w:val="20"/>
        </w:rPr>
        <w:t xml:space="preserve">On October 4, 2018, the Inter-American Commission on Human Rights (hereinafter "the Inter-American Commission," "the Commission," or "the IACHR") received a petition filed by CUBALEX (hereinafter "the petitioner"). The petitioner alleged the international responsibility of the Republic of Cuba (hereinafter "the Cuban State," "the State," or "Cuba") for the </w:t>
      </w:r>
      <w:r w:rsidR="00F10ABA" w:rsidRPr="00E9543F">
        <w:rPr>
          <w:rFonts w:ascii="Cambria" w:hAnsi="Cambria"/>
          <w:sz w:val="20"/>
          <w:szCs w:val="20"/>
        </w:rPr>
        <w:t xml:space="preserve">arbitrary deprivation of liberty and subsequent shortcomings in the judicial process </w:t>
      </w:r>
      <w:r w:rsidR="00BB01FB" w:rsidRPr="00E9543F">
        <w:rPr>
          <w:rFonts w:asciiTheme="majorHAnsi" w:hAnsiTheme="majorHAnsi" w:cstheme="minorBidi"/>
          <w:sz w:val="20"/>
          <w:szCs w:val="20"/>
        </w:rPr>
        <w:t>to the detriment of Maykel Castillo Pérez, an artist and human rights defender.</w:t>
      </w:r>
    </w:p>
    <w:p w14:paraId="00DACEB3" w14:textId="74D8B5EE" w:rsidR="00CA33D3" w:rsidRPr="00F66E08" w:rsidRDefault="00CA33D3" w:rsidP="4AEC06F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jc w:val="both"/>
        <w:rPr>
          <w:rFonts w:ascii="Cambria" w:hAnsi="Cambria"/>
          <w:sz w:val="20"/>
          <w:szCs w:val="20"/>
        </w:rPr>
      </w:pPr>
    </w:p>
    <w:p w14:paraId="2D899F10" w14:textId="313C3406" w:rsidR="00CA33D3" w:rsidRPr="00F66E08" w:rsidRDefault="00CA33D3" w:rsidP="004B1C8A">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0" w:firstLine="0"/>
        <w:jc w:val="both"/>
        <w:rPr>
          <w:rFonts w:ascii="Cambria" w:hAnsi="Cambria"/>
          <w:sz w:val="20"/>
          <w:szCs w:val="20"/>
        </w:rPr>
      </w:pPr>
      <w:r w:rsidRPr="00BD6C53">
        <w:rPr>
          <w:rFonts w:ascii="Cambria" w:hAnsi="Cambria"/>
          <w:sz w:val="20"/>
          <w:szCs w:val="20"/>
        </w:rPr>
        <w:t xml:space="preserve">On November 16, 2020, the IACHR notified the parties of its decision to apply Article 36(3) of its Rules of Procedure, in accordance with its Resolution 1/16 on </w:t>
      </w:r>
      <w:r w:rsidRPr="00BD6C53">
        <w:rPr>
          <w:rFonts w:ascii="Cambria" w:hAnsi="Cambria"/>
          <w:i/>
          <w:iCs/>
          <w:sz w:val="20"/>
          <w:szCs w:val="20"/>
        </w:rPr>
        <w:t>Measures to Reduce the Procedural Backlog</w:t>
      </w:r>
      <w:r w:rsidR="008D4242" w:rsidRPr="00BD6C53">
        <w:rPr>
          <w:rStyle w:val="FootnoteReference"/>
          <w:rFonts w:ascii="Cambria" w:hAnsi="Cambria"/>
          <w:sz w:val="20"/>
          <w:szCs w:val="20"/>
        </w:rPr>
        <w:footnoteReference w:id="2"/>
      </w:r>
      <w:r w:rsidRPr="00BD6C53">
        <w:rPr>
          <w:rFonts w:ascii="Cambria" w:hAnsi="Cambria"/>
          <w:sz w:val="20"/>
          <w:szCs w:val="20"/>
        </w:rPr>
        <w:t>. Therefore, the IACHR decided to defer the treatment of admissibility to the merits of the case. The parties had the statutory deadlines to submit their observations on the case. All the information received was duly transferred between the parties. The State did not submit observations on admissibility or merits.</w:t>
      </w:r>
    </w:p>
    <w:p w14:paraId="46DEAE90" w14:textId="77777777" w:rsidR="00131431" w:rsidRPr="00F66E08" w:rsidRDefault="00131431" w:rsidP="0091474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jc w:val="both"/>
        <w:rPr>
          <w:rFonts w:ascii="Cambria" w:hAnsi="Cambria"/>
          <w:sz w:val="20"/>
          <w:szCs w:val="20"/>
        </w:rPr>
      </w:pPr>
    </w:p>
    <w:p w14:paraId="356046D1" w14:textId="77777777" w:rsidR="00D12193" w:rsidRPr="00E9543F" w:rsidRDefault="00D12193" w:rsidP="00D16E19">
      <w:pPr>
        <w:pStyle w:val="Heading1"/>
        <w:rPr>
          <w:lang w:val="es-ES"/>
        </w:rPr>
      </w:pPr>
      <w:bookmarkStart w:id="3" w:name="_Toc216356757"/>
      <w:r w:rsidRPr="00E9543F">
        <w:t>ARGUMENTS OF THE PARTIES</w:t>
      </w:r>
      <w:bookmarkEnd w:id="3"/>
    </w:p>
    <w:p w14:paraId="49899BB6" w14:textId="38DDE83A" w:rsidR="0008768F" w:rsidRPr="00E9543F" w:rsidRDefault="0008768F" w:rsidP="00914740">
      <w:pPr>
        <w:tabs>
          <w:tab w:val="left" w:pos="360"/>
        </w:tabs>
        <w:suppressAutoHyphens/>
        <w:rPr>
          <w:rFonts w:asciiTheme="majorHAnsi" w:hAnsiTheme="majorHAnsi"/>
          <w:sz w:val="20"/>
          <w:szCs w:val="20"/>
          <w:lang w:val="es-ES"/>
        </w:rPr>
      </w:pPr>
    </w:p>
    <w:p w14:paraId="00598DBE" w14:textId="77777777" w:rsidR="00D12193" w:rsidRPr="00E9543F" w:rsidRDefault="0022273F" w:rsidP="004B1C8A">
      <w:pPr>
        <w:pStyle w:val="Heading2"/>
      </w:pPr>
      <w:bookmarkStart w:id="4" w:name="_Toc216356758"/>
      <w:r w:rsidRPr="00E9543F">
        <w:t>Petitioner</w:t>
      </w:r>
      <w:bookmarkEnd w:id="4"/>
      <w:r w:rsidRPr="00E9543F">
        <w:t xml:space="preserve"> </w:t>
      </w:r>
    </w:p>
    <w:p w14:paraId="08B9F1F2" w14:textId="23513D3F" w:rsidR="00166189" w:rsidRPr="00E9543F" w:rsidRDefault="00166189" w:rsidP="00BB01F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color w:val="000000" w:themeColor="text1"/>
          <w:sz w:val="20"/>
          <w:szCs w:val="20"/>
          <w:lang w:val="es-ES"/>
        </w:rPr>
      </w:pPr>
    </w:p>
    <w:p w14:paraId="572C8F1D" w14:textId="58C50DAB" w:rsidR="003B0B55" w:rsidRPr="00F66E08" w:rsidRDefault="00BB01FB" w:rsidP="004B1C8A">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0" w:firstLine="0"/>
        <w:jc w:val="both"/>
        <w:rPr>
          <w:rFonts w:ascii="Cambria" w:hAnsi="Cambria"/>
          <w:sz w:val="20"/>
          <w:szCs w:val="20"/>
        </w:rPr>
      </w:pPr>
      <w:r w:rsidRPr="00BD6C53">
        <w:rPr>
          <w:rFonts w:ascii="Cambria" w:hAnsi="Cambria"/>
          <w:sz w:val="20"/>
          <w:szCs w:val="20"/>
        </w:rPr>
        <w:t xml:space="preserve">The petitioner alleges that the State is responsible for the arbitrary deprivation of liberty of Mr. Maykel Castillo Pérez, an artist and human rights defender, and the subsequent shortcomings in the criminal proceedings against him.  It points out that Mr. Castillo Pérez identifies himself as 'a rebellious rapper' and explains that the events take place in a context where independent artists are victims of repression by the Cuban State, an aspect that has intensified since 2017 with restrictions on the use of public spaces and regulations that restrict artistic creation. </w:t>
      </w:r>
    </w:p>
    <w:p w14:paraId="2B3F9BB0" w14:textId="60F55464" w:rsidR="003B0B55" w:rsidRPr="00F66E08" w:rsidRDefault="003B0B55" w:rsidP="004B1C8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jc w:val="both"/>
        <w:rPr>
          <w:rFonts w:ascii="Cambria" w:hAnsi="Cambria"/>
          <w:sz w:val="20"/>
          <w:szCs w:val="20"/>
        </w:rPr>
      </w:pPr>
    </w:p>
    <w:p w14:paraId="618F2EFE" w14:textId="7DDE42F1" w:rsidR="003B0B55" w:rsidRPr="00F66E08" w:rsidRDefault="003567E6" w:rsidP="004B1C8A">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0" w:firstLine="0"/>
        <w:jc w:val="both"/>
        <w:rPr>
          <w:rFonts w:ascii="Cambria" w:hAnsi="Cambria"/>
          <w:sz w:val="20"/>
          <w:szCs w:val="20"/>
        </w:rPr>
      </w:pPr>
      <w:r w:rsidRPr="00E9543F">
        <w:rPr>
          <w:rFonts w:ascii="Cambria" w:hAnsi="Cambria"/>
          <w:sz w:val="20"/>
          <w:szCs w:val="20"/>
        </w:rPr>
        <w:t xml:space="preserve">With regard to the admissibility of the present case, the petitioner alleges that </w:t>
      </w:r>
      <w:r w:rsidR="009A5E52" w:rsidRPr="00E9543F">
        <w:rPr>
          <w:rStyle w:val="normaltextrun"/>
          <w:rFonts w:ascii="Cambria" w:hAnsi="Cambria"/>
          <w:sz w:val="20"/>
          <w:szCs w:val="20"/>
        </w:rPr>
        <w:t xml:space="preserve">"the basic guarantees of justice do not exist." Therefore, it maintains that there was no due process of law at the domestic level that would allow the remedies to be exhausted correctly and to protect the violated rights of Mr. Castillo Pérez. </w:t>
      </w:r>
    </w:p>
    <w:p w14:paraId="20BEC7AB" w14:textId="327F0E10" w:rsidR="003B0B55" w:rsidRPr="00F66E08" w:rsidRDefault="003B0B55" w:rsidP="004B1C8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jc w:val="both"/>
        <w:rPr>
          <w:rFonts w:ascii="Cambria" w:hAnsi="Cambria"/>
          <w:sz w:val="20"/>
          <w:szCs w:val="20"/>
        </w:rPr>
      </w:pPr>
    </w:p>
    <w:p w14:paraId="1FCAD65B" w14:textId="7E84C0F5" w:rsidR="003B0B55" w:rsidRPr="00F66E08" w:rsidRDefault="003567E6" w:rsidP="004B1C8A">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0" w:firstLine="0"/>
        <w:jc w:val="both"/>
        <w:rPr>
          <w:rStyle w:val="normaltextrun"/>
          <w:rFonts w:ascii="Cambria" w:hAnsi="Cambria"/>
          <w:sz w:val="20"/>
          <w:szCs w:val="20"/>
        </w:rPr>
      </w:pPr>
      <w:r w:rsidRPr="00BD6C53">
        <w:rPr>
          <w:rFonts w:ascii="Cambria" w:hAnsi="Cambria"/>
          <w:sz w:val="20"/>
          <w:szCs w:val="20"/>
        </w:rPr>
        <w:t xml:space="preserve">On the merits of the case, the petitioner maintains that Maykel Castillo Pérez was detained on June 22, 2018, by police officers when he was filming a house search conducted by police authorities. He indicates that an administrative sanction was imposed on him, which he paid and was released. He points out that he was later accused of the crime of 'attack' for the same act and arrested again on September 25, 2018 at his home, arbitrarily and by state agents. </w:t>
      </w:r>
      <w:r w:rsidR="003B0B55" w:rsidRPr="00BD6C53">
        <w:rPr>
          <w:rStyle w:val="normaltextrun"/>
          <w:rFonts w:ascii="Cambria" w:hAnsi="Cambria"/>
          <w:sz w:val="20"/>
          <w:szCs w:val="20"/>
        </w:rPr>
        <w:t>The petitioner states that, as a result of the arrest, a habeas corpus petition was filed that was dismissed</w:t>
      </w:r>
      <w:r w:rsidR="00E85618" w:rsidRPr="00BD6C53">
        <w:rPr>
          <w:rFonts w:ascii="Cambria" w:hAnsi="Cambria"/>
          <w:sz w:val="20"/>
          <w:szCs w:val="20"/>
        </w:rPr>
        <w:t>.</w:t>
      </w:r>
    </w:p>
    <w:p w14:paraId="056FB943" w14:textId="1BBD2ACD" w:rsidR="003B0B55" w:rsidRPr="00F66E08" w:rsidRDefault="003B0B55" w:rsidP="004B1C8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jc w:val="both"/>
        <w:rPr>
          <w:rStyle w:val="normaltextrun"/>
          <w:rFonts w:ascii="Cambria" w:hAnsi="Cambria"/>
          <w:sz w:val="20"/>
          <w:szCs w:val="20"/>
        </w:rPr>
      </w:pPr>
    </w:p>
    <w:p w14:paraId="6BEEF5B3" w14:textId="7CB6132A" w:rsidR="003B0B55" w:rsidRPr="00F66E08" w:rsidRDefault="00E85618" w:rsidP="004B1C8A">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0" w:firstLine="0"/>
        <w:jc w:val="both"/>
        <w:rPr>
          <w:rFonts w:ascii="Cambria" w:hAnsi="Cambria"/>
          <w:sz w:val="20"/>
          <w:szCs w:val="20"/>
        </w:rPr>
      </w:pPr>
      <w:r w:rsidRPr="00E9543F">
        <w:rPr>
          <w:rFonts w:ascii="Cambria" w:hAnsi="Cambria"/>
          <w:sz w:val="20"/>
          <w:szCs w:val="20"/>
        </w:rPr>
        <w:t>He maintains that the criminal proceedings that followed affected</w:t>
      </w:r>
      <w:r w:rsidR="00A50F29" w:rsidRPr="00E9543F">
        <w:rPr>
          <w:rStyle w:val="normaltextrun"/>
          <w:rFonts w:ascii="Cambria" w:hAnsi="Cambria"/>
          <w:sz w:val="20"/>
          <w:szCs w:val="20"/>
        </w:rPr>
        <w:t xml:space="preserve"> the right to defense and the principle of innocence because there was no technical defense in the early stages of the trial and, once a lawyer was hired for the case, she was not diligent and was not present during the case. It adds that Cuba is responsible for the violation of the principle of legality since the Prosecutor's Office went against its own decisions and Cuban domestic regulations when it decided to revoke the administrative fine imposed and determine the configuration of the crime of "attack." Finally, the petitioner indicates that the acts of harassment and criminalization of Mr. Castillo Pérez continued after he was released. </w:t>
      </w:r>
    </w:p>
    <w:p w14:paraId="26B92074" w14:textId="55642DD6" w:rsidR="003B0B55" w:rsidRPr="00F66E08" w:rsidRDefault="003B0B55" w:rsidP="004B1C8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jc w:val="both"/>
        <w:rPr>
          <w:rFonts w:ascii="Cambria" w:hAnsi="Cambria"/>
          <w:sz w:val="20"/>
          <w:szCs w:val="20"/>
        </w:rPr>
      </w:pPr>
    </w:p>
    <w:p w14:paraId="7F3A7642" w14:textId="0220540A" w:rsidR="003B0B55" w:rsidRPr="00F66E08" w:rsidRDefault="003B0B55" w:rsidP="004B1C8A">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0" w:firstLine="0"/>
        <w:jc w:val="both"/>
        <w:rPr>
          <w:rFonts w:ascii="Cambria" w:hAnsi="Cambria"/>
          <w:sz w:val="20"/>
          <w:szCs w:val="20"/>
        </w:rPr>
      </w:pPr>
      <w:r w:rsidRPr="00E9543F">
        <w:rPr>
          <w:rStyle w:val="normaltextrun"/>
          <w:rFonts w:ascii="Cambria" w:hAnsi="Cambria"/>
          <w:sz w:val="20"/>
          <w:szCs w:val="20"/>
        </w:rPr>
        <w:t>It explains that by virtue of all the foregoing, the State of Cuba is responsible for the violation of Articles I, II, IV, XIII and XVIII of the American Declaration.</w:t>
      </w:r>
    </w:p>
    <w:p w14:paraId="0EEF1412" w14:textId="77777777" w:rsidR="009D41F5" w:rsidRPr="00F66E08" w:rsidRDefault="009D41F5" w:rsidP="004B1C8A"/>
    <w:p w14:paraId="68E551A6" w14:textId="77777777" w:rsidR="00D12193" w:rsidRPr="00E9543F" w:rsidRDefault="0022273F" w:rsidP="004B1C8A">
      <w:pPr>
        <w:pStyle w:val="Heading2"/>
      </w:pPr>
      <w:bookmarkStart w:id="5" w:name="_Toc216356759"/>
      <w:r w:rsidRPr="00E9543F">
        <w:t>State</w:t>
      </w:r>
      <w:bookmarkEnd w:id="5"/>
      <w:r w:rsidRPr="00E9543F">
        <w:t xml:space="preserve"> </w:t>
      </w:r>
    </w:p>
    <w:p w14:paraId="407A35D4" w14:textId="77777777" w:rsidR="007C756A" w:rsidRPr="00E9543F" w:rsidRDefault="007C756A" w:rsidP="00E67837">
      <w:pPr>
        <w:tabs>
          <w:tab w:val="left" w:pos="360"/>
        </w:tabs>
        <w:suppressAutoHyphens/>
        <w:rPr>
          <w:rFonts w:asciiTheme="majorHAnsi" w:hAnsiTheme="majorHAnsi"/>
          <w:sz w:val="20"/>
          <w:szCs w:val="20"/>
          <w:lang w:val="es-ES"/>
        </w:rPr>
      </w:pPr>
    </w:p>
    <w:p w14:paraId="37EB0B1B" w14:textId="06CBD036" w:rsidR="00ED6D2F" w:rsidRPr="00F66E08" w:rsidRDefault="00ED6D2F" w:rsidP="004B1C8A">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0" w:firstLine="0"/>
        <w:jc w:val="both"/>
        <w:rPr>
          <w:rFonts w:ascii="Cambria" w:hAnsi="Cambria"/>
          <w:color w:val="000000" w:themeColor="text1"/>
          <w:sz w:val="20"/>
          <w:szCs w:val="20"/>
        </w:rPr>
      </w:pPr>
      <w:bookmarkStart w:id="6" w:name="_Hlk172884893"/>
      <w:r w:rsidRPr="00E9543F">
        <w:rPr>
          <w:rFonts w:ascii="Cambria" w:hAnsi="Cambria"/>
          <w:sz w:val="20"/>
          <w:szCs w:val="20"/>
        </w:rPr>
        <w:t>The State has not provided its observations on the admissibility or merits of the case.</w:t>
      </w:r>
      <w:bookmarkEnd w:id="6"/>
    </w:p>
    <w:p w14:paraId="783D44EB" w14:textId="77777777" w:rsidR="00ED6D2F" w:rsidRPr="00F66E08" w:rsidRDefault="00ED6D2F" w:rsidP="00CE102D">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mbria" w:hAnsi="Cambria"/>
          <w:sz w:val="20"/>
          <w:szCs w:val="20"/>
        </w:rPr>
      </w:pPr>
    </w:p>
    <w:p w14:paraId="6189EC8C" w14:textId="77777777" w:rsidR="00ED6D2F" w:rsidRPr="00E9543F" w:rsidRDefault="00ED6D2F" w:rsidP="00D16E19">
      <w:pPr>
        <w:pStyle w:val="Heading1"/>
        <w:rPr>
          <w:lang w:val="es-ES"/>
        </w:rPr>
      </w:pPr>
      <w:bookmarkStart w:id="7" w:name="_Toc110398961"/>
      <w:bookmarkStart w:id="8" w:name="_Toc216356760"/>
      <w:r w:rsidRPr="00E9543F">
        <w:t>ANALYSIS OF ADMISSIBILITY</w:t>
      </w:r>
      <w:bookmarkEnd w:id="7"/>
      <w:bookmarkEnd w:id="8"/>
    </w:p>
    <w:p w14:paraId="03449666" w14:textId="77777777" w:rsidR="00ED6D2F" w:rsidRPr="00E9543F" w:rsidRDefault="00ED6D2F" w:rsidP="00ED6D2F">
      <w:pPr>
        <w:ind w:left="360" w:hanging="360"/>
        <w:rPr>
          <w:sz w:val="20"/>
          <w:szCs w:val="20"/>
          <w:lang w:val="es-ES"/>
        </w:rPr>
      </w:pPr>
    </w:p>
    <w:p w14:paraId="36F2C01C" w14:textId="37216BE0" w:rsidR="00ED6D2F" w:rsidRPr="00F66E08" w:rsidRDefault="00ED6D2F" w:rsidP="004B1C8A">
      <w:pPr>
        <w:pStyle w:val="Heading2"/>
        <w:numPr>
          <w:ilvl w:val="0"/>
          <w:numId w:val="0"/>
        </w:numPr>
        <w:rPr>
          <w:lang w:val="en-US"/>
        </w:rPr>
      </w:pPr>
      <w:bookmarkStart w:id="9" w:name="_Toc216356761"/>
      <w:bookmarkStart w:id="10" w:name="_Toc110398962"/>
      <w:r w:rsidRPr="00F66E08">
        <w:rPr>
          <w:lang w:val="en-US"/>
        </w:rPr>
        <w:t xml:space="preserve">To. </w:t>
      </w:r>
      <w:r w:rsidRPr="00F66E08">
        <w:rPr>
          <w:lang w:val="en-US"/>
        </w:rPr>
        <w:tab/>
        <w:t>Jurisdiction, duplication of proceedings and international res judicata</w:t>
      </w:r>
      <w:bookmarkEnd w:id="9"/>
      <w:r w:rsidRPr="00F66E08">
        <w:rPr>
          <w:lang w:val="en-US"/>
        </w:rPr>
        <w:t xml:space="preserve"> </w:t>
      </w:r>
      <w:bookmarkEnd w:id="10"/>
    </w:p>
    <w:p w14:paraId="2A2F64B9" w14:textId="77777777" w:rsidR="00ED6D2F" w:rsidRPr="00F66E08" w:rsidRDefault="00ED6D2F" w:rsidP="00ED6D2F"/>
    <w:tbl>
      <w:tblPr>
        <w:tblpPr w:leftFromText="180" w:rightFromText="180" w:vertAnchor="text" w:horzAnchor="margin" w:tblpX="108" w:tblpY="10"/>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492"/>
        <w:gridCol w:w="5575"/>
      </w:tblGrid>
      <w:tr w:rsidR="00ED6D2F" w:rsidRPr="00BD6C53" w14:paraId="4790380B" w14:textId="77777777" w:rsidTr="7EC42DB7">
        <w:trPr>
          <w:cantSplit/>
          <w:trHeight w:val="260"/>
        </w:trPr>
        <w:tc>
          <w:tcPr>
            <w:tcW w:w="3492" w:type="dxa"/>
            <w:tcBorders>
              <w:top w:val="single" w:sz="4" w:space="0" w:color="auto"/>
              <w:bottom w:val="single" w:sz="6" w:space="0" w:color="auto"/>
            </w:tcBorders>
            <w:shd w:val="clear" w:color="auto" w:fill="386294"/>
            <w:vAlign w:val="center"/>
          </w:tcPr>
          <w:p w14:paraId="19C0CD83" w14:textId="77777777" w:rsidR="00ED6D2F" w:rsidRPr="00BD6C53" w:rsidRDefault="00ED6D2F" w:rsidP="7EC42DB7">
            <w:pPr>
              <w:rPr>
                <w:rFonts w:ascii="Cambria" w:hAnsi="Cambria"/>
                <w:b/>
                <w:bCs/>
                <w:i/>
                <w:iCs/>
                <w:color w:val="FFFFFF"/>
                <w:sz w:val="20"/>
                <w:szCs w:val="20"/>
                <w:lang w:val="es-ES"/>
              </w:rPr>
            </w:pPr>
            <w:r w:rsidRPr="00BD6C53">
              <w:rPr>
                <w:rFonts w:ascii="Cambria" w:hAnsi="Cambria"/>
                <w:b/>
                <w:bCs/>
                <w:color w:val="FFFFFF" w:themeColor="background1"/>
                <w:sz w:val="20"/>
                <w:szCs w:val="20"/>
              </w:rPr>
              <w:t xml:space="preserve">Competence </w:t>
            </w:r>
            <w:r w:rsidRPr="00BD6C53">
              <w:rPr>
                <w:rFonts w:ascii="Cambria" w:hAnsi="Cambria"/>
                <w:b/>
                <w:bCs/>
                <w:i/>
                <w:iCs/>
                <w:color w:val="FFFFFF" w:themeColor="background1"/>
                <w:sz w:val="20"/>
                <w:szCs w:val="20"/>
              </w:rPr>
              <w:t>Ratione personae:</w:t>
            </w:r>
          </w:p>
        </w:tc>
        <w:tc>
          <w:tcPr>
            <w:tcW w:w="5575" w:type="dxa"/>
            <w:shd w:val="clear" w:color="auto" w:fill="auto"/>
            <w:vAlign w:val="center"/>
          </w:tcPr>
          <w:p w14:paraId="1498DE2E" w14:textId="77777777" w:rsidR="00ED6D2F" w:rsidRPr="00E9543F" w:rsidRDefault="00ED6D2F" w:rsidP="002129D5">
            <w:pPr>
              <w:rPr>
                <w:rFonts w:ascii="Cambria" w:hAnsi="Cambria"/>
                <w:bCs/>
                <w:sz w:val="20"/>
                <w:szCs w:val="20"/>
                <w:lang w:val="es-ES"/>
              </w:rPr>
            </w:pPr>
            <w:r w:rsidRPr="00E9543F">
              <w:rPr>
                <w:rFonts w:ascii="Cambria" w:hAnsi="Cambria" w:cs="Univers"/>
                <w:color w:val="0D0D0D"/>
                <w:sz w:val="20"/>
                <w:szCs w:val="20"/>
              </w:rPr>
              <w:t>Yes</w:t>
            </w:r>
          </w:p>
        </w:tc>
      </w:tr>
      <w:tr w:rsidR="00ED6D2F" w:rsidRPr="00BD6C53" w14:paraId="5FB241E9" w14:textId="77777777" w:rsidTr="7EC42DB7">
        <w:trPr>
          <w:cantSplit/>
          <w:trHeight w:val="300"/>
        </w:trPr>
        <w:tc>
          <w:tcPr>
            <w:tcW w:w="3492" w:type="dxa"/>
            <w:tcBorders>
              <w:top w:val="single" w:sz="6" w:space="0" w:color="auto"/>
              <w:bottom w:val="single" w:sz="6" w:space="0" w:color="auto"/>
            </w:tcBorders>
            <w:shd w:val="clear" w:color="auto" w:fill="386294"/>
            <w:vAlign w:val="center"/>
          </w:tcPr>
          <w:p w14:paraId="02C2D3B8" w14:textId="77777777" w:rsidR="00ED6D2F" w:rsidRPr="00BD6C53" w:rsidRDefault="00ED6D2F" w:rsidP="7EC42DB7">
            <w:pPr>
              <w:rPr>
                <w:rFonts w:ascii="Cambria" w:hAnsi="Cambria"/>
                <w:b/>
                <w:bCs/>
                <w:color w:val="FFFFFF"/>
                <w:sz w:val="20"/>
                <w:szCs w:val="20"/>
                <w:lang w:val="es-ES"/>
              </w:rPr>
            </w:pPr>
            <w:r w:rsidRPr="00BD6C53">
              <w:rPr>
                <w:rFonts w:ascii="Cambria" w:hAnsi="Cambria"/>
                <w:b/>
                <w:bCs/>
                <w:color w:val="FFFFFF" w:themeColor="background1"/>
                <w:sz w:val="20"/>
                <w:szCs w:val="20"/>
              </w:rPr>
              <w:t xml:space="preserve">Competence </w:t>
            </w:r>
            <w:r w:rsidRPr="00BD6C53">
              <w:rPr>
                <w:rFonts w:ascii="Cambria" w:hAnsi="Cambria"/>
                <w:b/>
                <w:bCs/>
                <w:i/>
                <w:iCs/>
                <w:color w:val="FFFFFF" w:themeColor="background1"/>
                <w:sz w:val="20"/>
                <w:szCs w:val="20"/>
              </w:rPr>
              <w:t>Ratione loci</w:t>
            </w:r>
            <w:r w:rsidRPr="00BD6C53">
              <w:rPr>
                <w:rFonts w:ascii="Cambria" w:hAnsi="Cambria"/>
                <w:b/>
                <w:bCs/>
                <w:color w:val="FFFFFF" w:themeColor="background1"/>
                <w:sz w:val="20"/>
                <w:szCs w:val="20"/>
              </w:rPr>
              <w:t>:</w:t>
            </w:r>
          </w:p>
        </w:tc>
        <w:tc>
          <w:tcPr>
            <w:tcW w:w="5575" w:type="dxa"/>
            <w:shd w:val="clear" w:color="auto" w:fill="auto"/>
            <w:vAlign w:val="center"/>
          </w:tcPr>
          <w:p w14:paraId="0740E588" w14:textId="77777777" w:rsidR="00ED6D2F" w:rsidRPr="00E9543F" w:rsidRDefault="00ED6D2F" w:rsidP="002129D5">
            <w:pPr>
              <w:rPr>
                <w:rFonts w:ascii="Cambria" w:hAnsi="Cambria"/>
                <w:bCs/>
                <w:sz w:val="20"/>
                <w:szCs w:val="20"/>
                <w:lang w:val="es-ES"/>
              </w:rPr>
            </w:pPr>
            <w:r w:rsidRPr="00E9543F">
              <w:rPr>
                <w:rFonts w:ascii="Cambria" w:hAnsi="Cambria" w:cs="Univers"/>
                <w:color w:val="0D0D0D"/>
                <w:sz w:val="20"/>
                <w:szCs w:val="20"/>
              </w:rPr>
              <w:t>Yes</w:t>
            </w:r>
          </w:p>
        </w:tc>
      </w:tr>
      <w:tr w:rsidR="00ED6D2F" w:rsidRPr="00BD6C53" w14:paraId="2E61A984" w14:textId="77777777" w:rsidTr="7EC42DB7">
        <w:trPr>
          <w:cantSplit/>
          <w:trHeight w:val="282"/>
        </w:trPr>
        <w:tc>
          <w:tcPr>
            <w:tcW w:w="3492" w:type="dxa"/>
            <w:tcBorders>
              <w:top w:val="single" w:sz="6" w:space="0" w:color="auto"/>
              <w:bottom w:val="single" w:sz="6" w:space="0" w:color="auto"/>
            </w:tcBorders>
            <w:shd w:val="clear" w:color="auto" w:fill="386294"/>
            <w:vAlign w:val="center"/>
          </w:tcPr>
          <w:p w14:paraId="54977E9F" w14:textId="77777777" w:rsidR="00ED6D2F" w:rsidRPr="00BD6C53" w:rsidRDefault="00ED6D2F" w:rsidP="7EC42DB7">
            <w:pPr>
              <w:rPr>
                <w:rFonts w:ascii="Cambria" w:hAnsi="Cambria"/>
                <w:b/>
                <w:bCs/>
                <w:color w:val="FFFFFF"/>
                <w:sz w:val="20"/>
                <w:szCs w:val="20"/>
                <w:lang w:val="es-ES"/>
              </w:rPr>
            </w:pPr>
            <w:r w:rsidRPr="00BD6C53">
              <w:rPr>
                <w:rFonts w:ascii="Cambria" w:hAnsi="Cambria"/>
                <w:b/>
                <w:bCs/>
                <w:color w:val="FFFFFF" w:themeColor="background1"/>
                <w:sz w:val="20"/>
                <w:szCs w:val="20"/>
              </w:rPr>
              <w:t>Ratione Temporis</w:t>
            </w:r>
            <w:r w:rsidRPr="00BD6C53">
              <w:rPr>
                <w:rFonts w:ascii="Cambria" w:hAnsi="Cambria"/>
                <w:b/>
                <w:bCs/>
                <w:i/>
                <w:iCs/>
                <w:color w:val="FFFFFF" w:themeColor="background1"/>
                <w:sz w:val="20"/>
                <w:szCs w:val="20"/>
              </w:rPr>
              <w:t xml:space="preserve"> Competition</w:t>
            </w:r>
            <w:r w:rsidRPr="00BD6C53">
              <w:rPr>
                <w:rFonts w:ascii="Cambria" w:hAnsi="Cambria"/>
                <w:b/>
                <w:bCs/>
                <w:color w:val="FFFFFF" w:themeColor="background1"/>
                <w:sz w:val="20"/>
                <w:szCs w:val="20"/>
              </w:rPr>
              <w:t>:</w:t>
            </w:r>
          </w:p>
        </w:tc>
        <w:tc>
          <w:tcPr>
            <w:tcW w:w="5575" w:type="dxa"/>
            <w:shd w:val="clear" w:color="auto" w:fill="auto"/>
            <w:vAlign w:val="center"/>
          </w:tcPr>
          <w:p w14:paraId="52E17566" w14:textId="77777777" w:rsidR="00ED6D2F" w:rsidRPr="00E9543F" w:rsidRDefault="00ED6D2F" w:rsidP="002129D5">
            <w:pPr>
              <w:rPr>
                <w:rFonts w:ascii="Cambria" w:hAnsi="Cambria"/>
                <w:bCs/>
                <w:sz w:val="20"/>
                <w:szCs w:val="20"/>
                <w:lang w:val="es-ES"/>
              </w:rPr>
            </w:pPr>
            <w:r w:rsidRPr="00E9543F">
              <w:rPr>
                <w:rFonts w:ascii="Cambria" w:hAnsi="Cambria" w:cs="Univers"/>
                <w:color w:val="0D0D0D"/>
                <w:sz w:val="20"/>
                <w:szCs w:val="20"/>
              </w:rPr>
              <w:t>Yes</w:t>
            </w:r>
          </w:p>
        </w:tc>
      </w:tr>
      <w:tr w:rsidR="00ED6D2F" w:rsidRPr="005138C7" w14:paraId="4F3AD648" w14:textId="77777777" w:rsidTr="7EC42DB7">
        <w:trPr>
          <w:cantSplit/>
          <w:trHeight w:val="516"/>
        </w:trPr>
        <w:tc>
          <w:tcPr>
            <w:tcW w:w="3492" w:type="dxa"/>
            <w:tcBorders>
              <w:top w:val="single" w:sz="6" w:space="0" w:color="auto"/>
              <w:bottom w:val="single" w:sz="6" w:space="0" w:color="auto"/>
            </w:tcBorders>
            <w:shd w:val="clear" w:color="auto" w:fill="386294"/>
            <w:vAlign w:val="center"/>
          </w:tcPr>
          <w:p w14:paraId="73B0F029" w14:textId="77777777" w:rsidR="00ED6D2F" w:rsidRPr="00BD6C53" w:rsidRDefault="00ED6D2F" w:rsidP="7EC42DB7">
            <w:pPr>
              <w:rPr>
                <w:rFonts w:ascii="Cambria" w:hAnsi="Cambria"/>
                <w:b/>
                <w:bCs/>
                <w:color w:val="FFFFFF"/>
                <w:sz w:val="20"/>
                <w:szCs w:val="20"/>
                <w:lang w:val="es-ES"/>
              </w:rPr>
            </w:pPr>
            <w:r w:rsidRPr="00BD6C53">
              <w:rPr>
                <w:rFonts w:ascii="Cambria" w:hAnsi="Cambria"/>
                <w:b/>
                <w:bCs/>
                <w:color w:val="FFFFFF" w:themeColor="background1"/>
                <w:sz w:val="20"/>
                <w:szCs w:val="20"/>
              </w:rPr>
              <w:t xml:space="preserve">Competence </w:t>
            </w:r>
            <w:r w:rsidRPr="00BD6C53">
              <w:rPr>
                <w:rFonts w:ascii="Cambria" w:hAnsi="Cambria"/>
                <w:b/>
                <w:bCs/>
                <w:i/>
                <w:iCs/>
                <w:color w:val="FFFFFF" w:themeColor="background1"/>
                <w:sz w:val="20"/>
                <w:szCs w:val="20"/>
              </w:rPr>
              <w:t>Ratione materiae</w:t>
            </w:r>
            <w:r w:rsidRPr="00BD6C53">
              <w:rPr>
                <w:rFonts w:ascii="Cambria" w:hAnsi="Cambria"/>
                <w:b/>
                <w:bCs/>
                <w:color w:val="FFFFFF" w:themeColor="background1"/>
                <w:sz w:val="20"/>
                <w:szCs w:val="20"/>
              </w:rPr>
              <w:t>:</w:t>
            </w:r>
          </w:p>
        </w:tc>
        <w:tc>
          <w:tcPr>
            <w:tcW w:w="5575" w:type="dxa"/>
            <w:shd w:val="clear" w:color="auto" w:fill="auto"/>
            <w:vAlign w:val="center"/>
          </w:tcPr>
          <w:p w14:paraId="65FA5279" w14:textId="77777777" w:rsidR="00ED6D2F" w:rsidRPr="00F66E08" w:rsidRDefault="00ED6D2F" w:rsidP="002129D5">
            <w:pPr>
              <w:jc w:val="both"/>
              <w:rPr>
                <w:rFonts w:ascii="Cambria" w:hAnsi="Cambria"/>
                <w:bCs/>
                <w:sz w:val="20"/>
                <w:szCs w:val="20"/>
              </w:rPr>
            </w:pPr>
            <w:r w:rsidRPr="00E9543F">
              <w:rPr>
                <w:rFonts w:ascii="Cambria" w:hAnsi="Cambria" w:cs="Univers"/>
                <w:color w:val="0D0D0D"/>
                <w:sz w:val="20"/>
                <w:szCs w:val="20"/>
              </w:rPr>
              <w:t xml:space="preserve">Yes, </w:t>
            </w:r>
            <w:r w:rsidRPr="00E9543F">
              <w:rPr>
                <w:rFonts w:ascii="Cambria" w:hAnsi="Cambria"/>
                <w:bCs/>
                <w:sz w:val="20"/>
                <w:szCs w:val="20"/>
              </w:rPr>
              <w:t>American Declaration (deposit of the instrument of ratification of the OAS Charter made on July 16, 1952)</w:t>
            </w:r>
          </w:p>
        </w:tc>
      </w:tr>
      <w:tr w:rsidR="00ED6D2F" w:rsidRPr="00BD6C53" w14:paraId="39936532" w14:textId="77777777" w:rsidTr="7EC42DB7">
        <w:trPr>
          <w:cantSplit/>
          <w:trHeight w:val="516"/>
        </w:trPr>
        <w:tc>
          <w:tcPr>
            <w:tcW w:w="3492" w:type="dxa"/>
            <w:tcBorders>
              <w:top w:val="single" w:sz="6" w:space="0" w:color="auto"/>
              <w:bottom w:val="single" w:sz="6" w:space="0" w:color="auto"/>
            </w:tcBorders>
            <w:shd w:val="clear" w:color="auto" w:fill="386294"/>
            <w:vAlign w:val="center"/>
          </w:tcPr>
          <w:p w14:paraId="1F3B5855" w14:textId="19CD85A2" w:rsidR="00ED6D2F" w:rsidRPr="00F66E08" w:rsidRDefault="00ED6D2F" w:rsidP="002129D5">
            <w:pPr>
              <w:rPr>
                <w:rFonts w:ascii="Cambria" w:hAnsi="Cambria"/>
                <w:b/>
                <w:bCs/>
                <w:color w:val="FFFFFF"/>
                <w:sz w:val="20"/>
                <w:szCs w:val="20"/>
              </w:rPr>
            </w:pPr>
            <w:r w:rsidRPr="00E9543F">
              <w:rPr>
                <w:rFonts w:ascii="Cambria" w:hAnsi="Cambria"/>
                <w:b/>
                <w:bCs/>
                <w:color w:val="FFFFFF"/>
                <w:sz w:val="20"/>
                <w:szCs w:val="20"/>
              </w:rPr>
              <w:t>Duplication of proceedings and international res judicata</w:t>
            </w:r>
          </w:p>
        </w:tc>
        <w:tc>
          <w:tcPr>
            <w:tcW w:w="5575" w:type="dxa"/>
            <w:shd w:val="clear" w:color="auto" w:fill="auto"/>
            <w:vAlign w:val="center"/>
          </w:tcPr>
          <w:p w14:paraId="42B875FE" w14:textId="77777777" w:rsidR="00ED6D2F" w:rsidRPr="00E9543F" w:rsidRDefault="00ED6D2F" w:rsidP="002129D5">
            <w:pPr>
              <w:rPr>
                <w:rFonts w:ascii="Cambria" w:hAnsi="Cambria" w:cs="Univers"/>
                <w:color w:val="0D0D0D"/>
                <w:sz w:val="20"/>
                <w:szCs w:val="20"/>
                <w:lang w:val="es-ES"/>
              </w:rPr>
            </w:pPr>
            <w:r w:rsidRPr="00E9543F">
              <w:rPr>
                <w:rFonts w:ascii="Cambria" w:hAnsi="Cambria" w:cs="Univers"/>
                <w:color w:val="0D0D0D"/>
                <w:sz w:val="20"/>
                <w:szCs w:val="20"/>
              </w:rPr>
              <w:t>No</w:t>
            </w:r>
          </w:p>
        </w:tc>
      </w:tr>
    </w:tbl>
    <w:p w14:paraId="669DF36C" w14:textId="77777777" w:rsidR="00ED6D2F" w:rsidRPr="00E9543F" w:rsidRDefault="00ED6D2F" w:rsidP="004B1C8A">
      <w:pPr>
        <w:pStyle w:val="Heading2"/>
        <w:numPr>
          <w:ilvl w:val="0"/>
          <w:numId w:val="0"/>
        </w:numPr>
      </w:pPr>
    </w:p>
    <w:p w14:paraId="54906248" w14:textId="77777777" w:rsidR="00ED6D2F" w:rsidRPr="00F66E08" w:rsidRDefault="00ED6D2F" w:rsidP="004B1C8A">
      <w:pPr>
        <w:pStyle w:val="Heading2"/>
        <w:numPr>
          <w:ilvl w:val="0"/>
          <w:numId w:val="0"/>
        </w:numPr>
        <w:rPr>
          <w:lang w:val="en-US"/>
        </w:rPr>
      </w:pPr>
      <w:bookmarkStart w:id="11" w:name="_Toc110398963"/>
      <w:bookmarkStart w:id="12" w:name="_Toc216356762"/>
      <w:r w:rsidRPr="00F66E08">
        <w:rPr>
          <w:lang w:val="en-US"/>
        </w:rPr>
        <w:t xml:space="preserve">B. </w:t>
      </w:r>
      <w:r w:rsidRPr="00F66E08">
        <w:rPr>
          <w:lang w:val="en-US"/>
        </w:rPr>
        <w:tab/>
      </w:r>
      <w:bookmarkStart w:id="13" w:name="_Toc110398964"/>
      <w:bookmarkEnd w:id="11"/>
      <w:r w:rsidRPr="00F66E08">
        <w:rPr>
          <w:lang w:val="en-US"/>
        </w:rPr>
        <w:t>Exhaustion of domestic remedies and time limit for submission</w:t>
      </w:r>
      <w:bookmarkEnd w:id="12"/>
      <w:r w:rsidRPr="00F66E08">
        <w:rPr>
          <w:lang w:val="en-US"/>
        </w:rPr>
        <w:t xml:space="preserve"> </w:t>
      </w:r>
      <w:bookmarkEnd w:id="13"/>
    </w:p>
    <w:p w14:paraId="42173B26" w14:textId="77777777" w:rsidR="00ED6D2F" w:rsidRPr="00F66E08" w:rsidRDefault="00ED6D2F" w:rsidP="00ED6D2F">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288"/>
        <w:jc w:val="both"/>
        <w:rPr>
          <w:rFonts w:ascii="Cambria" w:hAnsi="Cambria"/>
          <w:sz w:val="20"/>
          <w:szCs w:val="20"/>
        </w:rPr>
      </w:pPr>
    </w:p>
    <w:p w14:paraId="3695A2AD" w14:textId="06C798C4" w:rsidR="00ED6D2F" w:rsidRPr="00F66E08" w:rsidRDefault="00ED6D2F" w:rsidP="004B1C8A">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0" w:firstLine="0"/>
        <w:jc w:val="both"/>
        <w:rPr>
          <w:rFonts w:ascii="Cambria" w:hAnsi="Cambria"/>
          <w:sz w:val="20"/>
          <w:szCs w:val="20"/>
        </w:rPr>
      </w:pPr>
      <w:r w:rsidRPr="00BD6C53">
        <w:rPr>
          <w:rFonts w:ascii="Cambria" w:hAnsi="Cambria"/>
          <w:sz w:val="20"/>
          <w:szCs w:val="20"/>
        </w:rPr>
        <w:t>Article 31(1) of the IACHR's Rules of Procedure requires the prior exhaustion of the remedies available under domestic law in accordance with generally recognized principles of international law, as a requirement for the admission of the claims presented in the petition. This requirement is intended to enable national authorities to learn about the alleged violation of a protected right and, if appropriate, to resolve the situation before it is heard by an international body. For its part, Article 31.2 of the Rules of Procedure provides that the requirement of prior exhaustion of domestic remedies is not applicable when: (i) there is no due process of law in the domestic legislation of the State in question for the protection of the right or rights alleged to have been violated; (ii) the alleged violation of his or her rights has not been allowed access to domestic remedies, or has been prevented from exhausting them; or (iii) there has been an unwarranted delay in the decision on the aforementioned appeals</w:t>
      </w:r>
      <w:r w:rsidRPr="00BD6C53">
        <w:rPr>
          <w:rStyle w:val="FootnoteReference"/>
          <w:rFonts w:ascii="Cambria" w:hAnsi="Cambria"/>
          <w:sz w:val="20"/>
          <w:szCs w:val="20"/>
        </w:rPr>
        <w:footnoteReference w:id="3"/>
      </w:r>
      <w:r w:rsidRPr="00BD6C53">
        <w:rPr>
          <w:rFonts w:ascii="Cambria" w:hAnsi="Cambria"/>
          <w:sz w:val="20"/>
          <w:szCs w:val="20"/>
        </w:rPr>
        <w:t>.</w:t>
      </w:r>
    </w:p>
    <w:p w14:paraId="3A92B740" w14:textId="748ACE99" w:rsidR="00ED6D2F" w:rsidRPr="00F66E08" w:rsidRDefault="00ED6D2F" w:rsidP="004B1C8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jc w:val="both"/>
        <w:rPr>
          <w:rFonts w:ascii="Cambria" w:hAnsi="Cambria"/>
          <w:sz w:val="20"/>
          <w:szCs w:val="20"/>
        </w:rPr>
      </w:pPr>
    </w:p>
    <w:p w14:paraId="2277CCAC" w14:textId="5913A08B" w:rsidR="00ED6D2F" w:rsidRPr="00F66E08" w:rsidRDefault="003B0B55" w:rsidP="004B1C8A">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0" w:firstLine="0"/>
        <w:jc w:val="both"/>
        <w:rPr>
          <w:rStyle w:val="eop"/>
          <w:rFonts w:ascii="Cambria" w:hAnsi="Cambria"/>
          <w:sz w:val="20"/>
          <w:szCs w:val="20"/>
        </w:rPr>
      </w:pPr>
      <w:r w:rsidRPr="00E9543F">
        <w:rPr>
          <w:rStyle w:val="normaltextrun"/>
          <w:rFonts w:ascii="Cambria" w:hAnsi="Cambria"/>
          <w:sz w:val="20"/>
          <w:szCs w:val="20"/>
        </w:rPr>
        <w:t xml:space="preserve">The petitioner alleged that there was no due process of law at the domestic level to allow the remedies to be exhausted correctly and to protect the rights violated. It held that because of this, the exception to the exhaustion of domestic remedies should be applied in accordance with Article </w:t>
      </w:r>
      <w:r w:rsidR="00212978" w:rsidRPr="00E9543F">
        <w:rPr>
          <w:rFonts w:ascii="Cambria" w:hAnsi="Cambria"/>
          <w:sz w:val="20"/>
          <w:szCs w:val="20"/>
        </w:rPr>
        <w:t>31(2)(i) of the IACHR's Rules of Procedure. The State of Cuba did not submit observations on this allegation.  </w:t>
      </w:r>
    </w:p>
    <w:p w14:paraId="5C2757C7" w14:textId="3EE7C5C6" w:rsidR="00ED6D2F" w:rsidRPr="00F66E08" w:rsidRDefault="00ED6D2F" w:rsidP="004B1C8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jc w:val="both"/>
        <w:rPr>
          <w:rStyle w:val="eop"/>
          <w:rFonts w:ascii="Cambria" w:hAnsi="Cambria"/>
          <w:sz w:val="20"/>
          <w:szCs w:val="20"/>
        </w:rPr>
      </w:pPr>
    </w:p>
    <w:p w14:paraId="5163A02A" w14:textId="0F45F591" w:rsidR="00ED6D2F" w:rsidRPr="00F66E08" w:rsidRDefault="003B0B55" w:rsidP="004B1C8A">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0" w:firstLine="0"/>
        <w:jc w:val="both"/>
        <w:rPr>
          <w:rFonts w:ascii="Cambria" w:hAnsi="Cambria"/>
          <w:sz w:val="20"/>
          <w:szCs w:val="20"/>
        </w:rPr>
      </w:pPr>
      <w:r w:rsidRPr="00E9543F">
        <w:rPr>
          <w:rStyle w:val="normaltextrun"/>
          <w:rFonts w:ascii="Cambria" w:hAnsi="Cambria"/>
          <w:color w:val="000000" w:themeColor="text1"/>
          <w:sz w:val="20"/>
          <w:szCs w:val="20"/>
        </w:rPr>
        <w:t>In this regard, the IACHR notes that, in response to the arrest of Mr. Castillo Pérez, a writ of habeas corpus was filed on October 1, 2018, which was dismissed by the</w:t>
      </w:r>
      <w:r w:rsidR="00B706C4" w:rsidRPr="00E9543F">
        <w:rPr>
          <w:rFonts w:ascii="Cambria" w:hAnsi="Cambria"/>
          <w:sz w:val="20"/>
          <w:szCs w:val="20"/>
        </w:rPr>
        <w:t xml:space="preserve"> People's Provincial Court of Havana, Fourth Criminal Chamber</w:t>
      </w:r>
      <w:r w:rsidRPr="00E9543F">
        <w:rPr>
          <w:rStyle w:val="normaltextrun"/>
          <w:rFonts w:ascii="Cambria" w:hAnsi="Cambria"/>
          <w:color w:val="000000" w:themeColor="text1"/>
          <w:sz w:val="20"/>
          <w:szCs w:val="20"/>
        </w:rPr>
        <w:t xml:space="preserve">. Subsequently, this decision was appealed, and on January 1, </w:t>
      </w:r>
      <w:r w:rsidR="00850DB7" w:rsidRPr="00E9543F">
        <w:rPr>
          <w:rFonts w:ascii="Cambria" w:hAnsi="Cambria"/>
          <w:sz w:val="20"/>
          <w:szCs w:val="20"/>
        </w:rPr>
        <w:t>2019, the Supreme People's Court confirmed the rejection and ordered the opening of an oral trial for the crime of attack</w:t>
      </w:r>
      <w:r w:rsidRPr="00E9543F">
        <w:rPr>
          <w:rStyle w:val="normaltextrun"/>
          <w:rFonts w:ascii="Cambria" w:hAnsi="Cambria"/>
          <w:color w:val="000000" w:themeColor="text1"/>
          <w:sz w:val="20"/>
          <w:szCs w:val="20"/>
        </w:rPr>
        <w:t>. In addition, the Commission observes that the criminal proceedings against Mr. Castillo Pérez culminated in a conviction on April 22, 2019. </w:t>
      </w:r>
    </w:p>
    <w:p w14:paraId="2C1E80EC" w14:textId="0C76D3D7" w:rsidR="00ED6D2F" w:rsidRPr="00F66E08" w:rsidRDefault="00ED6D2F" w:rsidP="004B1C8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jc w:val="both"/>
        <w:rPr>
          <w:rFonts w:ascii="Cambria" w:hAnsi="Cambria"/>
          <w:sz w:val="20"/>
          <w:szCs w:val="20"/>
        </w:rPr>
      </w:pPr>
    </w:p>
    <w:p w14:paraId="1D5BC054" w14:textId="047665B4" w:rsidR="00ED6D2F" w:rsidRPr="00F66E08" w:rsidRDefault="00F65F7C" w:rsidP="004B1C8A">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0" w:firstLine="0"/>
        <w:jc w:val="both"/>
        <w:rPr>
          <w:rFonts w:ascii="Cambria" w:hAnsi="Cambria"/>
          <w:sz w:val="20"/>
          <w:szCs w:val="20"/>
        </w:rPr>
      </w:pPr>
      <w:r w:rsidRPr="00BD6C53">
        <w:rPr>
          <w:rFonts w:ascii="Cambria" w:hAnsi="Cambria"/>
          <w:color w:val="000000" w:themeColor="text1"/>
          <w:sz w:val="20"/>
          <w:szCs w:val="20"/>
        </w:rPr>
        <w:t xml:space="preserve">In view of the foregoing, and the fact that the State did not present any preliminary objection to challenge the admissibility of the case, the IACHR concludes that the conviction of April 22, 2019, met the requirement of exhaustion of domestic remedies in accordance with </w:t>
      </w:r>
      <w:r w:rsidRPr="00BD6C53">
        <w:rPr>
          <w:rStyle w:val="normaltextrun"/>
          <w:rFonts w:ascii="Cambria" w:hAnsi="Cambria"/>
          <w:color w:val="000000" w:themeColor="text1"/>
          <w:sz w:val="20"/>
          <w:szCs w:val="20"/>
        </w:rPr>
        <w:t>Article 31(1) of the IACHR's Rules of Procedure</w:t>
      </w:r>
      <w:r w:rsidRPr="00BD6C53">
        <w:rPr>
          <w:rFonts w:ascii="Cambria" w:hAnsi="Cambria"/>
          <w:sz w:val="20"/>
          <w:szCs w:val="20"/>
        </w:rPr>
        <w:t>. In addition, taking into account that the petition was filed on October 4, 2018, and the last decision was issued on April 22, 2019, the petition was filed in a timely manner, thereby satisfying the requirement set forth in Article 32 of the Commission's Rules of Procedure.</w:t>
      </w:r>
    </w:p>
    <w:p w14:paraId="1ABF8CDD" w14:textId="77777777" w:rsidR="00ED6D2F" w:rsidRPr="00F66E08" w:rsidRDefault="00ED6D2F" w:rsidP="00ED6D2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jc w:val="both"/>
        <w:rPr>
          <w:rFonts w:ascii="Cambria" w:hAnsi="Cambria"/>
          <w:sz w:val="20"/>
          <w:szCs w:val="20"/>
        </w:rPr>
      </w:pPr>
    </w:p>
    <w:p w14:paraId="418BAFA2" w14:textId="43B07DE9" w:rsidR="00ED6D2F" w:rsidRPr="00F66E08" w:rsidRDefault="00ED6D2F" w:rsidP="004B1C8A">
      <w:pPr>
        <w:pStyle w:val="Heading2"/>
        <w:numPr>
          <w:ilvl w:val="0"/>
          <w:numId w:val="0"/>
        </w:numPr>
        <w:rPr>
          <w:lang w:val="en-US"/>
        </w:rPr>
      </w:pPr>
      <w:bookmarkStart w:id="14" w:name="_Toc110398966"/>
      <w:bookmarkStart w:id="15" w:name="_Toc216356763"/>
      <w:r w:rsidRPr="00F66E08">
        <w:rPr>
          <w:lang w:val="en-US"/>
        </w:rPr>
        <w:t xml:space="preserve">C. </w:t>
      </w:r>
      <w:r w:rsidR="003267B9" w:rsidRPr="00F66E08">
        <w:rPr>
          <w:lang w:val="en-US"/>
        </w:rPr>
        <w:tab/>
      </w:r>
      <w:r w:rsidRPr="00F66E08">
        <w:rPr>
          <w:lang w:val="en-US"/>
        </w:rPr>
        <w:t>Characterization of the alleged facts</w:t>
      </w:r>
      <w:bookmarkEnd w:id="14"/>
      <w:bookmarkEnd w:id="15"/>
    </w:p>
    <w:p w14:paraId="26DDC048" w14:textId="77777777" w:rsidR="00ED6D2F" w:rsidRPr="00F66E08" w:rsidRDefault="00ED6D2F" w:rsidP="4AEC06F1">
      <w:pPr>
        <w:rPr>
          <w:rFonts w:ascii="Cambria" w:eastAsia="SimSun" w:hAnsi="Cambria"/>
          <w:sz w:val="20"/>
          <w:szCs w:val="20"/>
        </w:rPr>
      </w:pPr>
    </w:p>
    <w:p w14:paraId="4002CD29" w14:textId="522057F3" w:rsidR="003B0B55" w:rsidRPr="00F66E08" w:rsidRDefault="00B706C4" w:rsidP="004B1C8A">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0" w:firstLine="0"/>
        <w:jc w:val="both"/>
        <w:rPr>
          <w:rFonts w:ascii="Cambria" w:hAnsi="Cambria"/>
          <w:sz w:val="20"/>
          <w:szCs w:val="20"/>
        </w:rPr>
      </w:pPr>
      <w:r w:rsidRPr="00E9543F">
        <w:rPr>
          <w:rFonts w:ascii="Cambria" w:hAnsi="Cambria"/>
          <w:sz w:val="20"/>
          <w:szCs w:val="20"/>
        </w:rPr>
        <w:t xml:space="preserve">For purposes of admissibility, the Commission must decide whether the facts alleged can be used to establish a violation of rights, as stipulated in Article 47(b) of the American Convention, or whether the petition is "manifestly groundless" or "manifestly out of order," pursuant to Article 47(c). The standard for assessing these requirements differs from that used to rule on the merits of a case. The Commission must conduct a </w:t>
      </w:r>
      <w:r w:rsidRPr="00E9543F">
        <w:rPr>
          <w:rFonts w:ascii="Cambria" w:hAnsi="Cambria"/>
          <w:i/>
          <w:iCs/>
          <w:sz w:val="20"/>
          <w:szCs w:val="20"/>
        </w:rPr>
        <w:t>prima facie</w:t>
      </w:r>
      <w:r w:rsidRPr="00E9543F">
        <w:rPr>
          <w:rFonts w:ascii="Cambria" w:hAnsi="Cambria"/>
          <w:sz w:val="20"/>
          <w:szCs w:val="20"/>
        </w:rPr>
        <w:t xml:space="preserve"> assessment  to determine whether the petition establishes the basis for a possible or potential violation </w:t>
      </w:r>
      <w:r w:rsidRPr="00E9543F">
        <w:rPr>
          <w:rFonts w:ascii="Cambria" w:hAnsi="Cambria"/>
          <w:sz w:val="20"/>
          <w:szCs w:val="20"/>
        </w:rPr>
        <w:lastRenderedPageBreak/>
        <w:t xml:space="preserve">of a right guaranteed by the Convention, but not to establish the existence of a violation of rights. This determination constitutes a primary analysis, which does not imply prejudging the merits of the </w:t>
      </w:r>
      <w:r w:rsidRPr="00E9543F">
        <w:rPr>
          <w:rStyle w:val="normaltextrun"/>
          <w:rFonts w:ascii="Cambria" w:hAnsi="Cambria"/>
          <w:color w:val="000000" w:themeColor="text1"/>
          <w:sz w:val="20"/>
          <w:szCs w:val="20"/>
        </w:rPr>
        <w:t>case.</w:t>
      </w:r>
    </w:p>
    <w:p w14:paraId="2F4F984D" w14:textId="47276C02" w:rsidR="003B0B55" w:rsidRPr="00F66E08" w:rsidRDefault="003B0B55" w:rsidP="4AEC06F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jc w:val="both"/>
        <w:rPr>
          <w:rFonts w:ascii="Cambria" w:hAnsi="Cambria"/>
          <w:sz w:val="20"/>
          <w:szCs w:val="20"/>
        </w:rPr>
      </w:pPr>
    </w:p>
    <w:p w14:paraId="380A3AE6" w14:textId="36A91956" w:rsidR="003B0B55" w:rsidRPr="00F66E08" w:rsidRDefault="003B0B55" w:rsidP="004B1C8A">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0" w:firstLine="0"/>
        <w:jc w:val="both"/>
        <w:rPr>
          <w:rStyle w:val="eop"/>
          <w:rFonts w:ascii="Cambria" w:hAnsi="Cambria"/>
          <w:sz w:val="20"/>
          <w:szCs w:val="20"/>
        </w:rPr>
      </w:pPr>
      <w:r w:rsidRPr="00E9543F">
        <w:rPr>
          <w:rStyle w:val="normaltextrun"/>
          <w:rFonts w:ascii="Cambria" w:hAnsi="Cambria"/>
          <w:color w:val="000000" w:themeColor="text1"/>
          <w:sz w:val="20"/>
          <w:szCs w:val="20"/>
        </w:rPr>
        <w:t>In view of the allegations presented by</w:t>
      </w:r>
      <w:r w:rsidRPr="00E9543F">
        <w:rPr>
          <w:rStyle w:val="normaltextrun"/>
          <w:rFonts w:ascii="Cambria" w:hAnsi="Cambria"/>
          <w:sz w:val="20"/>
          <w:szCs w:val="20"/>
        </w:rPr>
        <w:t xml:space="preserve"> the petitioner, the IACHR considers that violations of the </w:t>
      </w:r>
      <w:r w:rsidRPr="00E9543F">
        <w:rPr>
          <w:rFonts w:ascii="Cambria" w:eastAsia="SimSun" w:hAnsi="Cambria"/>
          <w:sz w:val="20"/>
          <w:szCs w:val="20"/>
        </w:rPr>
        <w:t>rights</w:t>
      </w:r>
      <w:r w:rsidRPr="00E9543F">
        <w:rPr>
          <w:rStyle w:val="normaltextrun"/>
          <w:rFonts w:ascii="Cambria" w:hAnsi="Cambria"/>
          <w:sz w:val="20"/>
          <w:szCs w:val="20"/>
        </w:rPr>
        <w:t xml:space="preserve"> protected in Articles I (</w:t>
      </w:r>
      <w:r w:rsidR="00165CF6" w:rsidRPr="00E9543F">
        <w:rPr>
          <w:rFonts w:ascii="Cambria" w:hAnsi="Cambria"/>
          <w:sz w:val="20"/>
          <w:szCs w:val="20"/>
        </w:rPr>
        <w:t>right to life, liberty, security, and integrity of the person</w:t>
      </w:r>
      <w:r w:rsidR="00165CF6" w:rsidRPr="00E9543F">
        <w:rPr>
          <w:rStyle w:val="normaltextrun"/>
          <w:rFonts w:ascii="Cambria" w:hAnsi="Cambria"/>
          <w:sz w:val="20"/>
          <w:szCs w:val="20"/>
        </w:rPr>
        <w:t>), II (</w:t>
      </w:r>
      <w:r w:rsidR="00165CF6" w:rsidRPr="00E9543F">
        <w:rPr>
          <w:rFonts w:ascii="Cambria" w:hAnsi="Cambria"/>
          <w:sz w:val="20"/>
          <w:szCs w:val="20"/>
        </w:rPr>
        <w:t>principle of equality before the law),</w:t>
      </w:r>
      <w:r w:rsidRPr="00E9543F">
        <w:rPr>
          <w:rStyle w:val="normaltextrun"/>
          <w:rFonts w:ascii="Cambria" w:hAnsi="Cambria"/>
          <w:sz w:val="20"/>
          <w:szCs w:val="20"/>
        </w:rPr>
        <w:t xml:space="preserve"> </w:t>
      </w:r>
      <w:r w:rsidRPr="00E9543F">
        <w:rPr>
          <w:rStyle w:val="normaltextrun"/>
          <w:rFonts w:ascii="Cambria" w:hAnsi="Cambria"/>
          <w:color w:val="000000" w:themeColor="text1"/>
          <w:sz w:val="20"/>
          <w:szCs w:val="20"/>
        </w:rPr>
        <w:t xml:space="preserve">IV (right </w:t>
      </w:r>
      <w:r w:rsidR="00165CF6" w:rsidRPr="00E9543F">
        <w:rPr>
          <w:rFonts w:ascii="Cambria" w:hAnsi="Cambria"/>
          <w:sz w:val="20"/>
          <w:szCs w:val="20"/>
        </w:rPr>
        <w:t>to freedom of investigation, opinion, opinion,  expression and dissemination</w:t>
      </w:r>
      <w:r w:rsidR="00165CF6" w:rsidRPr="00E9543F">
        <w:rPr>
          <w:rStyle w:val="normaltextrun"/>
          <w:rFonts w:ascii="Cambria" w:hAnsi="Cambria"/>
          <w:color w:val="000000" w:themeColor="text1"/>
          <w:sz w:val="20"/>
          <w:szCs w:val="20"/>
        </w:rPr>
        <w:t>), XIII (</w:t>
      </w:r>
      <w:r w:rsidR="00165CF6" w:rsidRPr="00E9543F">
        <w:rPr>
          <w:rFonts w:ascii="Cambria" w:hAnsi="Cambria"/>
          <w:sz w:val="20"/>
          <w:szCs w:val="20"/>
        </w:rPr>
        <w:t>right to participate in the cultural life of the community),</w:t>
      </w:r>
      <w:r w:rsidRPr="00E9543F">
        <w:rPr>
          <w:rStyle w:val="normaltextrun"/>
          <w:rFonts w:ascii="Cambria" w:hAnsi="Cambria"/>
          <w:color w:val="000000" w:themeColor="text1"/>
          <w:sz w:val="20"/>
          <w:szCs w:val="20"/>
        </w:rPr>
        <w:t xml:space="preserve"> XVIII (right to justice), XXII, XXV (right to personal liberty) and XXVI (right to due process) of the American Declaration </w:t>
      </w:r>
      <w:r w:rsidRPr="00E9543F">
        <w:rPr>
          <w:rStyle w:val="normaltextrun"/>
          <w:rFonts w:ascii="Cambria" w:hAnsi="Cambria"/>
          <w:sz w:val="20"/>
          <w:szCs w:val="20"/>
        </w:rPr>
        <w:t xml:space="preserve">of the Rights and Duties of Man.   </w:t>
      </w:r>
    </w:p>
    <w:p w14:paraId="2A396DFD" w14:textId="77777777" w:rsidR="00ED6D2F" w:rsidRPr="00F66E08" w:rsidRDefault="00ED6D2F" w:rsidP="004B1C8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color w:val="000000" w:themeColor="text1"/>
          <w:sz w:val="20"/>
          <w:szCs w:val="20"/>
        </w:rPr>
      </w:pPr>
    </w:p>
    <w:p w14:paraId="58EE94B0" w14:textId="038326A7" w:rsidR="0026270A" w:rsidRPr="00E9543F" w:rsidRDefault="00D12193" w:rsidP="00D16E19">
      <w:pPr>
        <w:pStyle w:val="Heading1"/>
        <w:rPr>
          <w:lang w:val="es-ES"/>
        </w:rPr>
      </w:pPr>
      <w:bookmarkStart w:id="16" w:name="_Toc216356764"/>
      <w:r w:rsidRPr="00E9543F">
        <w:t>DETERMINATIONS OF FACT</w:t>
      </w:r>
      <w:bookmarkEnd w:id="16"/>
      <w:r w:rsidRPr="00E9543F">
        <w:t xml:space="preserve"> </w:t>
      </w:r>
    </w:p>
    <w:p w14:paraId="0092034F" w14:textId="77777777" w:rsidR="0026270A" w:rsidRPr="008634DF" w:rsidRDefault="0026270A" w:rsidP="004B1C8A">
      <w:pPr>
        <w:tabs>
          <w:tab w:val="left" w:pos="360"/>
        </w:tabs>
        <w:rPr>
          <w:rFonts w:asciiTheme="majorHAnsi" w:hAnsiTheme="majorHAnsi"/>
          <w:b/>
          <w:sz w:val="20"/>
          <w:szCs w:val="20"/>
          <w:lang w:val="es-ES"/>
        </w:rPr>
      </w:pPr>
    </w:p>
    <w:p w14:paraId="344204F0" w14:textId="0A5F9F8C" w:rsidR="009A33C5" w:rsidRPr="00E9543F" w:rsidRDefault="009A33C5" w:rsidP="004B1C8A">
      <w:pPr>
        <w:pStyle w:val="Heading2"/>
        <w:numPr>
          <w:ilvl w:val="0"/>
          <w:numId w:val="58"/>
        </w:numPr>
      </w:pPr>
      <w:bookmarkStart w:id="17" w:name="_Toc216356765"/>
      <w:r w:rsidRPr="00E9543F">
        <w:t>Preliminary Question</w:t>
      </w:r>
      <w:bookmarkEnd w:id="17"/>
    </w:p>
    <w:p w14:paraId="5769A1D7" w14:textId="77777777" w:rsidR="009A33C5" w:rsidRPr="00E9543F" w:rsidRDefault="009A33C5" w:rsidP="004B1C8A">
      <w:pPr>
        <w:rPr>
          <w:lang w:val="es-ES"/>
        </w:rPr>
      </w:pPr>
    </w:p>
    <w:p w14:paraId="69E25490" w14:textId="7D0BCA6E" w:rsidR="009A33C5" w:rsidRPr="00F66E08" w:rsidRDefault="00223BEB" w:rsidP="004B1C8A">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0" w:firstLine="0"/>
        <w:jc w:val="both"/>
        <w:rPr>
          <w:rFonts w:ascii="Cambria" w:hAnsi="Cambria"/>
          <w:sz w:val="20"/>
          <w:szCs w:val="20"/>
        </w:rPr>
      </w:pPr>
      <w:r w:rsidRPr="00BD6C53">
        <w:rPr>
          <w:rFonts w:ascii="Cambria" w:hAnsi="Cambria"/>
          <w:sz w:val="20"/>
          <w:szCs w:val="20"/>
        </w:rPr>
        <w:t> </w:t>
      </w:r>
      <w:r w:rsidRPr="00E9543F">
        <w:rPr>
          <w:rFonts w:ascii="Cambria" w:eastAsia="Times New Roman" w:hAnsi="Cambria"/>
          <w:bCs/>
          <w:color w:val="000000"/>
          <w:sz w:val="20"/>
          <w:szCs w:val="20"/>
          <w:bdr w:val="none" w:sz="0" w:space="0" w:color="auto"/>
        </w:rPr>
        <w:t xml:space="preserve">The Commission recalls that Article 38 of its Rules of Procedure provides that </w:t>
      </w:r>
      <w:r w:rsidRPr="00BD6C53">
        <w:rPr>
          <w:rFonts w:ascii="Cambria" w:hAnsi="Cambria"/>
          <w:sz w:val="20"/>
          <w:szCs w:val="20"/>
        </w:rPr>
        <w:t>the facts alleged in the petition, the pertinent parts of which have been transmitted to the State in question, shall be presumed to be true if the State in question does not provide relevant information to dispute them within the time limit set by the Commission in the merits proceedings, provided that other evidence does not lead to a contrary conclusion.</w:t>
      </w:r>
    </w:p>
    <w:p w14:paraId="00D6CE07" w14:textId="77777777" w:rsidR="00223BEB" w:rsidRPr="00F66E08" w:rsidRDefault="00223BEB" w:rsidP="004B1C8A"/>
    <w:p w14:paraId="3C064D08" w14:textId="3BD34D1C" w:rsidR="00E94F44" w:rsidRPr="00E9543F" w:rsidRDefault="0022273F" w:rsidP="004B1C8A">
      <w:pPr>
        <w:pStyle w:val="Heading2"/>
        <w:numPr>
          <w:ilvl w:val="0"/>
          <w:numId w:val="58"/>
        </w:numPr>
      </w:pPr>
      <w:bookmarkStart w:id="18" w:name="_Toc216356766"/>
      <w:r w:rsidRPr="00E9543F">
        <w:t>Context</w:t>
      </w:r>
      <w:bookmarkEnd w:id="18"/>
    </w:p>
    <w:p w14:paraId="7381A2DF" w14:textId="77777777" w:rsidR="00ED6D2F" w:rsidRPr="00E9543F" w:rsidRDefault="00ED6D2F" w:rsidP="004B1C8A">
      <w:pPr>
        <w:rPr>
          <w:lang w:val="es-ES"/>
        </w:rPr>
      </w:pPr>
    </w:p>
    <w:p w14:paraId="1C7F55F8" w14:textId="4F7BD146" w:rsidR="00ED6D2F" w:rsidRPr="00F66E08" w:rsidRDefault="00ED6D2F" w:rsidP="004B1C8A">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0" w:firstLine="0"/>
        <w:jc w:val="both"/>
        <w:rPr>
          <w:rFonts w:ascii="Cambria" w:hAnsi="Cambria"/>
          <w:sz w:val="20"/>
          <w:szCs w:val="20"/>
        </w:rPr>
      </w:pPr>
      <w:r w:rsidRPr="00BD6C53">
        <w:rPr>
          <w:rFonts w:ascii="Cambria" w:hAnsi="Cambria"/>
          <w:sz w:val="20"/>
          <w:szCs w:val="20"/>
        </w:rPr>
        <w:t xml:space="preserve">The Commission notes that, within the framework of its monitoring functions, as well as in the system of petitions and cases, it has pronounced itself on the situation in Cuba in relation to the persecution of political dissidents and human rights defenders. This is  how he has considered that in Cuba there is a legal framework and an exercise of </w:t>
      </w:r>
      <w:r w:rsidRPr="00BD6C53">
        <w:rPr>
          <w:rFonts w:ascii="Cambria" w:eastAsia="SimSun" w:hAnsi="Cambria"/>
          <w:sz w:val="20"/>
          <w:szCs w:val="20"/>
        </w:rPr>
        <w:t xml:space="preserve"> political power</w:t>
      </w:r>
      <w:r w:rsidRPr="00BD6C53">
        <w:rPr>
          <w:rFonts w:ascii="Cambria" w:hAnsi="Cambria"/>
          <w:sz w:val="20"/>
          <w:szCs w:val="20"/>
        </w:rPr>
        <w:t xml:space="preserve"> by state forces that limit political pluralism</w:t>
      </w:r>
      <w:r w:rsidRPr="00BD6C53">
        <w:rPr>
          <w:rStyle w:val="FootnoteReference"/>
          <w:rFonts w:ascii="Cambria" w:hAnsi="Cambria"/>
          <w:sz w:val="20"/>
          <w:szCs w:val="20"/>
        </w:rPr>
        <w:footnoteReference w:id="4"/>
      </w:r>
      <w:r w:rsidRPr="00BD6C53">
        <w:rPr>
          <w:rFonts w:ascii="Cambria" w:hAnsi="Cambria"/>
          <w:sz w:val="20"/>
          <w:szCs w:val="20"/>
        </w:rPr>
        <w:t xml:space="preserve">. This has generated </w:t>
      </w:r>
      <w:r w:rsidRPr="00BD6C53">
        <w:rPr>
          <w:rFonts w:ascii="Cambria" w:eastAsiaTheme="minorEastAsia" w:hAnsi="Cambria"/>
          <w:sz w:val="20"/>
          <w:szCs w:val="20"/>
          <w:bdr w:val="none" w:sz="0" w:space="0" w:color="auto"/>
        </w:rPr>
        <w:t>a lack of spaces that allow the participation of a plurality of lines of thought and expression</w:t>
      </w:r>
      <w:r w:rsidRPr="00BD6C53">
        <w:rPr>
          <w:rStyle w:val="FootnoteReference"/>
          <w:rFonts w:ascii="Cambria" w:eastAsiaTheme="minorEastAsia" w:hAnsi="Cambria"/>
          <w:sz w:val="20"/>
          <w:szCs w:val="20"/>
          <w:bdr w:val="none" w:sz="0" w:space="0" w:color="auto"/>
        </w:rPr>
        <w:footnoteReference w:id="5"/>
      </w:r>
      <w:r w:rsidRPr="00BD6C53">
        <w:rPr>
          <w:rFonts w:ascii="Cambria" w:eastAsiaTheme="minorEastAsia" w:hAnsi="Cambria"/>
          <w:sz w:val="20"/>
          <w:szCs w:val="20"/>
          <w:bdr w:val="none" w:sz="0" w:space="0" w:color="auto"/>
        </w:rPr>
        <w:t xml:space="preserve">. </w:t>
      </w:r>
      <w:r w:rsidRPr="00BD6C53">
        <w:rPr>
          <w:rFonts w:ascii="Cambria" w:hAnsi="Cambria"/>
          <w:spacing w:val="-1"/>
          <w:sz w:val="20"/>
          <w:szCs w:val="20"/>
        </w:rPr>
        <w:t>The Commission has maintained that in Cuba there is an absence of essential elements of representative democracy and its institutions that "allow for genuine political participation by sectors of diverse lines of thought; in particular, the holding of elections lacking plurality and independence, obstacles that prevent free access to various sources of information".</w:t>
      </w:r>
      <w:r w:rsidRPr="00BD6C53">
        <w:rPr>
          <w:rStyle w:val="FootnoteReference"/>
          <w:rFonts w:ascii="Cambria" w:hAnsi="Cambria"/>
          <w:sz w:val="20"/>
          <w:szCs w:val="20"/>
        </w:rPr>
        <w:footnoteReference w:id="6"/>
      </w:r>
      <w:r w:rsidRPr="00BD6C53">
        <w:rPr>
          <w:rFonts w:ascii="Cambria" w:hAnsi="Cambria"/>
          <w:sz w:val="20"/>
          <w:szCs w:val="20"/>
        </w:rPr>
        <w:t xml:space="preserve"> </w:t>
      </w:r>
    </w:p>
    <w:p w14:paraId="6059EBD0" w14:textId="21C84A2B" w:rsidR="00ED6D2F" w:rsidRPr="00F66E08" w:rsidRDefault="00ED6D2F" w:rsidP="004B1C8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jc w:val="both"/>
        <w:rPr>
          <w:rFonts w:ascii="Cambria" w:hAnsi="Cambria"/>
          <w:sz w:val="20"/>
          <w:szCs w:val="20"/>
        </w:rPr>
      </w:pPr>
    </w:p>
    <w:p w14:paraId="4FB204EF" w14:textId="6A2EB9A8" w:rsidR="00ED6D2F" w:rsidRPr="00F66E08" w:rsidRDefault="00ED6D2F" w:rsidP="004B1C8A">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0" w:firstLine="0"/>
        <w:jc w:val="both"/>
        <w:rPr>
          <w:rFonts w:ascii="Cambria" w:hAnsi="Cambria"/>
          <w:sz w:val="20"/>
          <w:szCs w:val="20"/>
        </w:rPr>
      </w:pPr>
      <w:r w:rsidRPr="00E9543F">
        <w:rPr>
          <w:rFonts w:ascii="Cambria" w:hAnsi="Cambria"/>
          <w:sz w:val="20"/>
          <w:szCs w:val="20"/>
        </w:rPr>
        <w:t xml:space="preserve">The Commission has also identified that violations of the rights to freedom of expression and association have been institutionalized "as a policy of the Cuban State to prevent any critical position contrary  to </w:t>
      </w:r>
      <w:r w:rsidRPr="00E9543F">
        <w:rPr>
          <w:rFonts w:ascii="Cambria" w:eastAsiaTheme="minorEastAsia" w:hAnsi="Cambria"/>
          <w:sz w:val="20"/>
          <w:szCs w:val="20"/>
          <w:bdr w:val="none" w:sz="0" w:space="0" w:color="auto"/>
        </w:rPr>
        <w:t xml:space="preserve">the </w:t>
      </w:r>
      <w:r w:rsidRPr="00E9543F">
        <w:rPr>
          <w:rFonts w:ascii="Cambria" w:hAnsi="Cambria"/>
          <w:sz w:val="20"/>
          <w:szCs w:val="20"/>
        </w:rPr>
        <w:t>regime or to the political, labor, educational, etc. situation."</w:t>
      </w:r>
      <w:r w:rsidRPr="00E9543F">
        <w:rPr>
          <w:rStyle w:val="FootnoteReference"/>
          <w:rFonts w:ascii="Cambria" w:hAnsi="Cambria"/>
          <w:sz w:val="20"/>
          <w:szCs w:val="20"/>
        </w:rPr>
        <w:footnoteReference w:id="7"/>
      </w:r>
      <w:r w:rsidRPr="00E9543F">
        <w:rPr>
          <w:rFonts w:ascii="Cambria" w:hAnsi="Cambria"/>
          <w:sz w:val="20"/>
          <w:szCs w:val="20"/>
        </w:rPr>
        <w:t>. Consequently, the Commission has determined that "intolerance continues to be the rule of the Cuban authorities towards all forms of criticism or opposition, and the main limitation on fundamental rights and freedoms."</w:t>
      </w:r>
      <w:r w:rsidRPr="00E9543F">
        <w:rPr>
          <w:rStyle w:val="FootnoteReference"/>
          <w:rFonts w:ascii="Cambria" w:hAnsi="Cambria"/>
          <w:sz w:val="20"/>
          <w:szCs w:val="20"/>
        </w:rPr>
        <w:footnoteReference w:id="8"/>
      </w:r>
    </w:p>
    <w:p w14:paraId="085EB73F" w14:textId="77777777" w:rsidR="00B54658" w:rsidRPr="00F66E08" w:rsidRDefault="00B54658" w:rsidP="004B1C8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eastAsiaTheme="minorHAnsi" w:hAnsi="Cambria"/>
          <w:sz w:val="20"/>
          <w:szCs w:val="20"/>
          <w:bdr w:val="none" w:sz="0" w:space="0" w:color="auto"/>
        </w:rPr>
      </w:pPr>
    </w:p>
    <w:p w14:paraId="7B741824" w14:textId="77777777" w:rsidR="00ED6D2F" w:rsidRPr="00F66E08" w:rsidRDefault="00ED6D2F" w:rsidP="004B1C8A">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rPr>
      </w:pPr>
      <w:r w:rsidRPr="00E9543F">
        <w:rPr>
          <w:rFonts w:ascii="Cambria" w:hAnsi="Cambria"/>
          <w:sz w:val="20"/>
          <w:szCs w:val="20"/>
        </w:rPr>
        <w:t>The Commission has also received information on the situation of political dissidents and human rights defenders, who face repressive tactics from the Cuban government for denouncing "the lack of political freedoms and rights or simply for pretending to have an opinion and participate in political affairs."</w:t>
      </w:r>
      <w:r w:rsidRPr="00E9543F">
        <w:rPr>
          <w:rStyle w:val="FootnoteReference"/>
          <w:rFonts w:ascii="Cambria" w:hAnsi="Cambria"/>
          <w:sz w:val="20"/>
          <w:szCs w:val="20"/>
        </w:rPr>
        <w:footnoteReference w:id="9"/>
      </w:r>
      <w:r w:rsidRPr="00E9543F">
        <w:rPr>
          <w:rFonts w:ascii="Cambria" w:hAnsi="Cambria"/>
          <w:sz w:val="20"/>
          <w:szCs w:val="20"/>
        </w:rPr>
        <w:t xml:space="preserve"> This is how for decades the Cuban government has maintained a strict policy of repression against individuals and groups that try to criticize the regime or seek a free exercise of human rights. This is how he has maintained that in Cuba "it can be affirmed [...] categorically that there is no right to freedom of expression."</w:t>
      </w:r>
      <w:r w:rsidRPr="00E9543F">
        <w:rPr>
          <w:rStyle w:val="FootnoteReference"/>
          <w:rFonts w:ascii="Cambria" w:hAnsi="Cambria"/>
          <w:sz w:val="20"/>
          <w:szCs w:val="20"/>
        </w:rPr>
        <w:footnoteReference w:id="10"/>
      </w:r>
      <w:r w:rsidRPr="00E9543F">
        <w:rPr>
          <w:rFonts w:ascii="Cambria" w:hAnsi="Cambria"/>
          <w:sz w:val="20"/>
          <w:szCs w:val="20"/>
        </w:rPr>
        <w:t xml:space="preserve"> The Commission has noted the lack of progress in the situation over a prolonged period of time</w:t>
      </w:r>
      <w:r w:rsidRPr="00E9543F">
        <w:rPr>
          <w:rStyle w:val="FootnoteReference"/>
          <w:rFonts w:ascii="Cambria" w:hAnsi="Cambria"/>
          <w:sz w:val="20"/>
          <w:szCs w:val="20"/>
        </w:rPr>
        <w:footnoteReference w:id="11"/>
      </w:r>
      <w:r w:rsidRPr="00E9543F">
        <w:rPr>
          <w:rFonts w:ascii="Cambria" w:hAnsi="Cambria"/>
          <w:sz w:val="20"/>
          <w:szCs w:val="20"/>
        </w:rPr>
        <w:t>.</w:t>
      </w:r>
    </w:p>
    <w:p w14:paraId="2FCF1CAF" w14:textId="77777777" w:rsidR="00ED6D2F" w:rsidRPr="00F66E08" w:rsidRDefault="00ED6D2F" w:rsidP="00B54658"/>
    <w:p w14:paraId="40BA57D8" w14:textId="53374695" w:rsidR="000A576A" w:rsidRPr="00F66E08" w:rsidRDefault="00ED6D2F" w:rsidP="004B1C8A">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rPr>
      </w:pPr>
      <w:r w:rsidRPr="00E9543F">
        <w:rPr>
          <w:rFonts w:ascii="Cambria" w:eastAsiaTheme="minorEastAsia" w:hAnsi="Cambria"/>
          <w:sz w:val="20"/>
          <w:szCs w:val="20"/>
        </w:rPr>
        <w:lastRenderedPageBreak/>
        <w:t xml:space="preserve">Among the practices documented, the Commission has indicated that "there have been reports of harassment, </w:t>
      </w:r>
      <w:r w:rsidRPr="00E9543F">
        <w:rPr>
          <w:rFonts w:ascii="Cambria" w:hAnsi="Cambria"/>
          <w:sz w:val="20"/>
          <w:szCs w:val="20"/>
        </w:rPr>
        <w:t>threats</w:t>
      </w:r>
      <w:r w:rsidRPr="00E9543F">
        <w:rPr>
          <w:rFonts w:ascii="Cambria" w:eastAsiaTheme="minorEastAsia" w:hAnsi="Cambria"/>
          <w:sz w:val="20"/>
          <w:szCs w:val="20"/>
        </w:rPr>
        <w:t>, and reprisals; arbitrary detentions; home invasions and confiscation of property, generally linked to "fabricated" criminal cases; obstacles to meeting for political purposes; undue restrictions on leaving the country and deportations from Havana to other provinces in the interior; as well as stigmatization and discredit</w:t>
      </w:r>
      <w:r w:rsidRPr="00E9543F">
        <w:rPr>
          <w:rStyle w:val="FootnoteReference"/>
          <w:rFonts w:ascii="Cambria" w:eastAsiaTheme="minorEastAsia" w:hAnsi="Cambria"/>
          <w:sz w:val="20"/>
          <w:szCs w:val="20"/>
        </w:rPr>
        <w:footnoteReference w:id="12"/>
      </w:r>
      <w:r w:rsidRPr="00E9543F">
        <w:rPr>
          <w:rFonts w:ascii="Cambria" w:eastAsiaTheme="minorEastAsia" w:hAnsi="Cambria"/>
          <w:sz w:val="20"/>
          <w:szCs w:val="20"/>
        </w:rPr>
        <w:t xml:space="preserve">. </w:t>
      </w:r>
      <w:r w:rsidRPr="00E9543F">
        <w:rPr>
          <w:rFonts w:ascii="Cambria" w:hAnsi="Cambria"/>
          <w:sz w:val="20"/>
          <w:szCs w:val="20"/>
        </w:rPr>
        <w:t>In particular, the Commission has identified two types of restriction and interference that are relevant to this case: a systematic pattern of arbitrary arrests and imprisonment</w:t>
      </w:r>
      <w:r w:rsidRPr="00E9543F">
        <w:rPr>
          <w:rStyle w:val="FootnoteReference"/>
          <w:rFonts w:ascii="Cambria" w:hAnsi="Cambria"/>
          <w:sz w:val="20"/>
          <w:szCs w:val="20"/>
        </w:rPr>
        <w:footnoteReference w:id="13"/>
      </w:r>
      <w:r w:rsidRPr="00E9543F">
        <w:rPr>
          <w:rFonts w:ascii="Cambria" w:hAnsi="Cambria"/>
          <w:sz w:val="20"/>
          <w:szCs w:val="20"/>
          <w:vertAlign w:val="superscript"/>
        </w:rPr>
        <w:t xml:space="preserve"> </w:t>
      </w:r>
      <w:r w:rsidRPr="00E9543F">
        <w:rPr>
          <w:rFonts w:ascii="Cambria" w:hAnsi="Cambria"/>
          <w:sz w:val="20"/>
          <w:szCs w:val="20"/>
        </w:rPr>
        <w:t>and the misuse of criminal law – criminalization – as a mechanism for further accountability to the detriment of dissidents and those who express criticism on issues of public or government interest</w:t>
      </w:r>
      <w:r w:rsidRPr="00E9543F">
        <w:rPr>
          <w:rStyle w:val="FootnoteReference"/>
          <w:rFonts w:ascii="Cambria" w:hAnsi="Cambria"/>
          <w:sz w:val="20"/>
          <w:szCs w:val="20"/>
        </w:rPr>
        <w:footnoteReference w:id="14"/>
      </w:r>
      <w:r w:rsidRPr="00E9543F">
        <w:rPr>
          <w:rFonts w:ascii="Cambria" w:hAnsi="Cambria"/>
          <w:sz w:val="20"/>
          <w:szCs w:val="20"/>
        </w:rPr>
        <w:t xml:space="preserve">. </w:t>
      </w:r>
    </w:p>
    <w:p w14:paraId="47C8C033" w14:textId="77777777" w:rsidR="00E94F44" w:rsidRPr="00F66E08" w:rsidRDefault="00E94F44" w:rsidP="00914740">
      <w:pPr>
        <w:tabs>
          <w:tab w:val="left" w:pos="360"/>
        </w:tabs>
      </w:pPr>
    </w:p>
    <w:p w14:paraId="7B825059" w14:textId="12DFA562" w:rsidR="00D83D73" w:rsidRPr="00F66E08" w:rsidRDefault="0022273F" w:rsidP="004B1C8A">
      <w:pPr>
        <w:pStyle w:val="Heading2"/>
        <w:rPr>
          <w:lang w:val="en-US"/>
        </w:rPr>
      </w:pPr>
      <w:bookmarkStart w:id="19" w:name="_Toc216356767"/>
      <w:r w:rsidRPr="00F66E08">
        <w:rPr>
          <w:lang w:val="en-US"/>
        </w:rPr>
        <w:t>Information available about the alleged victim and family members</w:t>
      </w:r>
      <w:bookmarkEnd w:id="19"/>
      <w:r w:rsidRPr="00F66E08">
        <w:rPr>
          <w:lang w:val="en-US"/>
        </w:rPr>
        <w:t xml:space="preserve"> </w:t>
      </w:r>
    </w:p>
    <w:p w14:paraId="51514EC8" w14:textId="77777777" w:rsidR="00E94F44" w:rsidRPr="00F66E08" w:rsidRDefault="00E94F44" w:rsidP="00914740">
      <w:pPr>
        <w:tabs>
          <w:tab w:val="left" w:pos="360"/>
        </w:tabs>
      </w:pPr>
    </w:p>
    <w:p w14:paraId="04D359A0" w14:textId="06127084" w:rsidR="00D4444A" w:rsidRPr="00F66E08" w:rsidRDefault="00644885" w:rsidP="004B1C8A">
      <w:pPr>
        <w:numPr>
          <w:ilvl w:val="0"/>
          <w:numId w:val="62"/>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rPr>
      </w:pPr>
      <w:r w:rsidRPr="00BD6C53">
        <w:rPr>
          <w:rFonts w:asciiTheme="majorHAnsi" w:hAnsiTheme="majorHAnsi"/>
          <w:sz w:val="20"/>
          <w:szCs w:val="20"/>
        </w:rPr>
        <w:t>The</w:t>
      </w:r>
      <w:r w:rsidRPr="00BD6C53">
        <w:rPr>
          <w:rFonts w:ascii="Cambria" w:hAnsi="Cambria"/>
          <w:sz w:val="20"/>
          <w:szCs w:val="20"/>
        </w:rPr>
        <w:t xml:space="preserve"> Commission notes that at the time of the events, Maykel Castillo Pérez, known as "Maykel El Osorbo," was 35 years old and worked as a hip-hop singer and independent artist. His family consisted of: (i) Rosmelys Hernández (wife). According to the petitioner, Mr. Castillo Pérez considers himself a "rebellious rapper" with songs dedicated to social and political criticism</w:t>
      </w:r>
      <w:r w:rsidR="00D4444A" w:rsidRPr="00BD6C53">
        <w:rPr>
          <w:rStyle w:val="FootnoteReference"/>
          <w:rFonts w:ascii="Cambria" w:hAnsi="Cambria"/>
          <w:sz w:val="20"/>
          <w:szCs w:val="20"/>
        </w:rPr>
        <w:footnoteReference w:id="15"/>
      </w:r>
      <w:r w:rsidR="00D4444A" w:rsidRPr="00BD6C53">
        <w:rPr>
          <w:rFonts w:ascii="Cambria" w:hAnsi="Cambria"/>
          <w:sz w:val="20"/>
          <w:szCs w:val="20"/>
        </w:rPr>
        <w:t xml:space="preserve">. </w:t>
      </w:r>
    </w:p>
    <w:p w14:paraId="132AE211" w14:textId="6B43DB60" w:rsidR="00D4444A" w:rsidRPr="00F66E08" w:rsidRDefault="00D4444A" w:rsidP="004B1C8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rPr>
      </w:pPr>
    </w:p>
    <w:p w14:paraId="14A2B609" w14:textId="435B0028" w:rsidR="00D4444A" w:rsidRPr="00F66E08" w:rsidRDefault="00E601D7" w:rsidP="004B1C8A">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rPr>
      </w:pPr>
      <w:r w:rsidRPr="00E9543F">
        <w:rPr>
          <w:rFonts w:ascii="Cambria" w:hAnsi="Cambria"/>
          <w:sz w:val="20"/>
          <w:szCs w:val="20"/>
        </w:rPr>
        <w:t xml:space="preserve">The Commission notes that Mr. Castillo Pérez belongs to the San Isidro Movement (MSI) in Cuba. The IACHR in its Resolution 14/2021 granted precautionary measures in favor of 20 identified MSI members, including Maykel Castillo Pérez, and described the movement as follows: </w:t>
      </w:r>
    </w:p>
    <w:p w14:paraId="115EAD26" w14:textId="77777777" w:rsidR="00E601D7" w:rsidRPr="00F66E08" w:rsidRDefault="00E601D7" w:rsidP="7EC42DB7">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18"/>
          <w:szCs w:val="18"/>
        </w:rPr>
      </w:pPr>
    </w:p>
    <w:p w14:paraId="00694843" w14:textId="0BAAC998" w:rsidR="0043663D" w:rsidRPr="00C8325C" w:rsidRDefault="008C4951" w:rsidP="00EF175E">
      <w:pPr>
        <w:pStyle w:val="ListParagraph"/>
        <w:numPr>
          <w:ilvl w:val="0"/>
          <w:numId w:val="0"/>
        </w:numPr>
        <w:ind w:left="720"/>
        <w:rPr>
          <w:lang w:val="en-US"/>
        </w:rPr>
      </w:pPr>
      <w:r w:rsidRPr="00C8325C">
        <w:rPr>
          <w:lang w:val="en-US"/>
        </w:rPr>
        <w:t>[</w:t>
      </w:r>
      <w:r w:rsidR="00E84755">
        <w:rPr>
          <w:lang w:val="en-US"/>
        </w:rPr>
        <w:t>S]aid</w:t>
      </w:r>
      <w:r w:rsidRPr="00C8325C">
        <w:rPr>
          <w:lang w:val="en-US"/>
        </w:rPr>
        <w:t xml:space="preserve"> Movement encompasses people from the arts and social sectors, such as advocates and journalists. As part of the activities of the Movement, its members would carry out various demonstrations as a sign of protest in the country or would seek to denounce events that occurred against its members. For example, its members recently participated in events denouncing the arrest and conviction of one of its members, Mr. Solís González</w:t>
      </w:r>
      <w:r w:rsidR="00E601D7" w:rsidRPr="00BD6C53">
        <w:rPr>
          <w:rStyle w:val="FootnoteReference"/>
          <w:sz w:val="18"/>
          <w:szCs w:val="18"/>
        </w:rPr>
        <w:footnoteReference w:id="16"/>
      </w:r>
      <w:r w:rsidR="0043663D" w:rsidRPr="00C8325C">
        <w:rPr>
          <w:lang w:val="en-US"/>
        </w:rPr>
        <w:t>.</w:t>
      </w:r>
    </w:p>
    <w:p w14:paraId="15DE6528" w14:textId="77777777" w:rsidR="0043663D" w:rsidRPr="00F66E08" w:rsidRDefault="0043663D" w:rsidP="00D4444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rPr>
      </w:pPr>
    </w:p>
    <w:p w14:paraId="0ED12F32" w14:textId="4DDF91A4" w:rsidR="00447FD3" w:rsidRPr="00F66E08" w:rsidRDefault="003B0B55"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rPr>
      </w:pPr>
      <w:r w:rsidRPr="00E9543F">
        <w:rPr>
          <w:rFonts w:ascii="Cambria" w:hAnsi="Cambria"/>
          <w:sz w:val="20"/>
          <w:szCs w:val="20"/>
        </w:rPr>
        <w:t>The petitioner reported that in 2014 Maykel Castillo Pérez composed and recorded the song "Por ti señor," in which he blames Fidel Castro for various ills in Cuba, for which he was sentenced to one year in prison on the charge of "contempt" in January 2015</w:t>
      </w:r>
      <w:r w:rsidR="00E90B8A" w:rsidRPr="00E9543F">
        <w:rPr>
          <w:rStyle w:val="FootnoteReference"/>
          <w:rFonts w:ascii="Cambria" w:hAnsi="Cambria"/>
          <w:sz w:val="20"/>
          <w:szCs w:val="20"/>
        </w:rPr>
        <w:footnoteReference w:id="17"/>
      </w:r>
      <w:r w:rsidR="00D4444A" w:rsidRPr="00E9543F">
        <w:rPr>
          <w:rFonts w:ascii="Cambria" w:hAnsi="Cambria"/>
          <w:sz w:val="20"/>
          <w:szCs w:val="20"/>
        </w:rPr>
        <w:t>. The IACHR takes note of publicly available information, such as Mr. Castillo Pérez's co-authorship of the song "Patria y Vida," an anthem protesting his critical view of the Cuban government that has twice won the Latin Grammy Award</w:t>
      </w:r>
      <w:r w:rsidR="00D4444A" w:rsidRPr="00E9543F">
        <w:rPr>
          <w:rStyle w:val="FootnoteReference"/>
          <w:rFonts w:ascii="Cambria" w:hAnsi="Cambria"/>
          <w:sz w:val="20"/>
          <w:szCs w:val="20"/>
        </w:rPr>
        <w:footnoteReference w:id="18"/>
      </w:r>
      <w:r w:rsidR="00D4444A" w:rsidRPr="00E9543F">
        <w:rPr>
          <w:rFonts w:ascii="Cambria" w:hAnsi="Cambria"/>
          <w:sz w:val="20"/>
          <w:szCs w:val="20"/>
        </w:rPr>
        <w:t>.</w:t>
      </w:r>
    </w:p>
    <w:p w14:paraId="5D3C99FC" w14:textId="77777777" w:rsidR="00644885" w:rsidRPr="00F66E08" w:rsidRDefault="00644885" w:rsidP="00914740">
      <w:pPr>
        <w:tabs>
          <w:tab w:val="left" w:pos="360"/>
        </w:tabs>
        <w:rPr>
          <w:rFonts w:ascii="Cambria" w:hAnsi="Cambria"/>
          <w:sz w:val="20"/>
          <w:szCs w:val="20"/>
        </w:rPr>
      </w:pPr>
    </w:p>
    <w:p w14:paraId="37483097" w14:textId="39F34C8F" w:rsidR="004D195F" w:rsidRPr="00F66E08" w:rsidRDefault="00A72532" w:rsidP="004B1C8A">
      <w:pPr>
        <w:pStyle w:val="Heading2"/>
        <w:rPr>
          <w:lang w:val="en-US"/>
        </w:rPr>
      </w:pPr>
      <w:bookmarkStart w:id="20" w:name="_Toc216356768"/>
      <w:r w:rsidRPr="00F66E08">
        <w:rPr>
          <w:lang w:val="en-US"/>
        </w:rPr>
        <w:t>On what happened on June 22, 2018 and the criminal process</w:t>
      </w:r>
      <w:bookmarkEnd w:id="20"/>
    </w:p>
    <w:p w14:paraId="677CD3D7" w14:textId="35FEDDD8" w:rsidR="00E94F44" w:rsidRPr="00F66E08" w:rsidRDefault="00E94F44" w:rsidP="00914740">
      <w:pPr>
        <w:tabs>
          <w:tab w:val="left" w:pos="360"/>
        </w:tabs>
      </w:pPr>
    </w:p>
    <w:p w14:paraId="7F6C58E8" w14:textId="622E0FCB" w:rsidR="003B0B55" w:rsidRPr="00F66E08" w:rsidRDefault="00D4444A"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rPr>
      </w:pPr>
      <w:r w:rsidRPr="00BD6C53">
        <w:rPr>
          <w:rFonts w:ascii="Cambria" w:hAnsi="Cambria"/>
          <w:sz w:val="20"/>
          <w:szCs w:val="20"/>
        </w:rPr>
        <w:t>The petitioner indicated that on June 22, 2018 at 02:00 p.m., Maykel Castillo Pérez was arrested in Cristo Park, in the city of Havana, by state agents. He maintained that Mr. Castillo Pérez was "violently" detained when he tried to film a house search carried out by public officials</w:t>
      </w:r>
      <w:r w:rsidR="00613E66" w:rsidRPr="00BD6C53">
        <w:rPr>
          <w:rStyle w:val="FootnoteReference"/>
          <w:rFonts w:ascii="Cambria" w:hAnsi="Cambria"/>
          <w:sz w:val="20"/>
          <w:szCs w:val="20"/>
        </w:rPr>
        <w:footnoteReference w:id="19"/>
      </w:r>
      <w:r w:rsidR="00773302" w:rsidRPr="00BD6C53">
        <w:rPr>
          <w:rFonts w:ascii="Cambria" w:hAnsi="Cambria"/>
          <w:sz w:val="20"/>
          <w:szCs w:val="20"/>
        </w:rPr>
        <w:t>. The IACHR does not have further information on the duration or circumstances of Mr. Pérez's detention.</w:t>
      </w:r>
    </w:p>
    <w:p w14:paraId="4452AA84" w14:textId="77777777" w:rsidR="003B0B55" w:rsidRPr="00F66E08" w:rsidRDefault="003B0B55" w:rsidP="00B54658">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bCs/>
          <w:sz w:val="20"/>
          <w:szCs w:val="20"/>
        </w:rPr>
      </w:pPr>
    </w:p>
    <w:p w14:paraId="0F39948C" w14:textId="27F2A7C2" w:rsidR="00613E66" w:rsidRPr="00F66E08" w:rsidRDefault="00997275"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bCs/>
          <w:sz w:val="20"/>
          <w:szCs w:val="20"/>
        </w:rPr>
      </w:pPr>
      <w:r w:rsidRPr="00E9543F">
        <w:rPr>
          <w:rFonts w:ascii="Cambria" w:hAnsi="Cambria"/>
          <w:bCs/>
          <w:sz w:val="20"/>
          <w:szCs w:val="20"/>
        </w:rPr>
        <w:t xml:space="preserve">In the case file before the IACHR there is an official letter from the Prosecutor's Office where the following was indicated: </w:t>
      </w:r>
    </w:p>
    <w:p w14:paraId="4A68BF3C" w14:textId="77777777" w:rsidR="00613E66" w:rsidRPr="00F66E08" w:rsidRDefault="00613E66" w:rsidP="00613E6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bCs/>
          <w:sz w:val="20"/>
          <w:szCs w:val="20"/>
        </w:rPr>
      </w:pPr>
    </w:p>
    <w:p w14:paraId="71A6F7BD" w14:textId="47ECD61B" w:rsidR="00613E66" w:rsidRPr="00C8325C" w:rsidRDefault="00613E66" w:rsidP="00EF175E">
      <w:pPr>
        <w:pStyle w:val="ListParagraph"/>
        <w:numPr>
          <w:ilvl w:val="0"/>
          <w:numId w:val="0"/>
        </w:numPr>
        <w:ind w:left="720"/>
        <w:rPr>
          <w:lang w:val="en-US"/>
        </w:rPr>
      </w:pPr>
      <w:r w:rsidRPr="00C8325C">
        <w:rPr>
          <w:lang w:val="en-US"/>
        </w:rPr>
        <w:t xml:space="preserve">(...) the accused MAYKEL CASTILLO PÉREZ was traveling in a bicycle taxi along Teniente Rey y Bernaza Street, Old Havana Municipality, where Major Juan José Rodríguez, Chief of the Anti-Drug Section of </w:t>
      </w:r>
      <w:r w:rsidRPr="00C8325C">
        <w:rPr>
          <w:lang w:val="en-US"/>
        </w:rPr>
        <w:lastRenderedPageBreak/>
        <w:t xml:space="preserve">Central Havana, and 1st Lieutenant Laider Moya, of the Anti-Drug Section of Central Havana, were dressed in civilian clothes who were carrying out an operation in the area,  At that time, the defendant Castillo Pérez filmed this action and when he was summoned by the officials, he uttered offensive words (that all the policemen were stingos and whores, that they knew who was selling drugs and that they did not catch anyone, that he was not going to erase a penny). </w:t>
      </w:r>
    </w:p>
    <w:p w14:paraId="712F8ACD" w14:textId="77777777" w:rsidR="001C05D3" w:rsidRPr="00C8325C" w:rsidRDefault="001C05D3" w:rsidP="00EF175E">
      <w:pPr>
        <w:pStyle w:val="ListParagraph"/>
        <w:numPr>
          <w:ilvl w:val="0"/>
          <w:numId w:val="0"/>
        </w:numPr>
        <w:ind w:left="720"/>
        <w:rPr>
          <w:lang w:val="en-US"/>
        </w:rPr>
      </w:pPr>
    </w:p>
    <w:p w14:paraId="0445D989" w14:textId="1C27FCC0" w:rsidR="00613E66" w:rsidRPr="00C8325C" w:rsidRDefault="00613E66" w:rsidP="00EF175E">
      <w:pPr>
        <w:pStyle w:val="ListParagraph"/>
        <w:numPr>
          <w:ilvl w:val="0"/>
          <w:numId w:val="0"/>
        </w:numPr>
        <w:ind w:left="720"/>
        <w:rPr>
          <w:lang w:val="en-US"/>
        </w:rPr>
      </w:pPr>
      <w:r w:rsidRPr="00C8325C">
        <w:rPr>
          <w:lang w:val="en-US"/>
        </w:rPr>
        <w:t>Immediately afterwards, Major Juan José Rodríguez told him that he should accompany him, the defendant reiterating offensively (that he was not going to accompany him at all), the defendant continued to offend José Rodríguez, who had to neutralize him and reduce him to obedience, the defendant projected himself against Major Juan José Rodríguez, at which time they both fell to the ground, causing injuries consisting of abrasions on his right wrist of about one centimeter,  a 2-centimeter scratch on the right cheekbone with an increase in volume of the face and elbow, which did not require medical assistance, for which the accused was arrested and taken to the National Revolutionary Police Unit, located in Cuba and Chacón, where the complaint was filed</w:t>
      </w:r>
      <w:r w:rsidR="001C05D3" w:rsidRPr="00BD6C53">
        <w:rPr>
          <w:rStyle w:val="FootnoteReference"/>
          <w:sz w:val="18"/>
          <w:szCs w:val="18"/>
        </w:rPr>
        <w:footnoteReference w:id="20"/>
      </w:r>
      <w:r w:rsidR="00E97FD1" w:rsidRPr="00C8325C">
        <w:rPr>
          <w:lang w:val="en-US"/>
        </w:rPr>
        <w:t xml:space="preserve">. </w:t>
      </w:r>
    </w:p>
    <w:p w14:paraId="266EC25B" w14:textId="77777777" w:rsidR="00613E66" w:rsidRPr="00F66E08" w:rsidRDefault="00613E66" w:rsidP="00613E6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bCs/>
          <w:sz w:val="20"/>
          <w:szCs w:val="20"/>
        </w:rPr>
      </w:pPr>
    </w:p>
    <w:p w14:paraId="1704AAAB" w14:textId="4D99F02D" w:rsidR="00773302" w:rsidRPr="00F66E08" w:rsidRDefault="5C71BE5B" w:rsidP="00B82A24">
      <w:pPr>
        <w:numPr>
          <w:ilvl w:val="0"/>
          <w:numId w:val="62"/>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rPr>
      </w:pPr>
      <w:r w:rsidRPr="00E9543F">
        <w:rPr>
          <w:rFonts w:ascii="Cambria" w:hAnsi="Cambria"/>
          <w:sz w:val="20"/>
          <w:szCs w:val="20"/>
        </w:rPr>
        <w:t>The IACHR notes that Mr. Castillo Pérez was released</w:t>
      </w:r>
      <w:r w:rsidR="004C6867" w:rsidRPr="00E9543F">
        <w:rPr>
          <w:rStyle w:val="FootnoteReference"/>
          <w:rFonts w:ascii="Cambria" w:hAnsi="Cambria"/>
          <w:sz w:val="20"/>
          <w:szCs w:val="20"/>
        </w:rPr>
        <w:footnoteReference w:id="21"/>
      </w:r>
      <w:r w:rsidR="363A3BB8" w:rsidRPr="00E9543F">
        <w:rPr>
          <w:rFonts w:ascii="Cambria" w:hAnsi="Cambria"/>
          <w:sz w:val="20"/>
          <w:szCs w:val="20"/>
        </w:rPr>
        <w:t>. The Commission notes that the date on which he was released does not appear in the file. Likewise, an administrative sanction of $1000.00 pesos CUP was imposed on him by virtue of the alleged commission of the crime of "Attack", regulated in article 8.3 of the Criminal Code</w:t>
      </w:r>
      <w:r w:rsidR="00773302" w:rsidRPr="00E9543F">
        <w:rPr>
          <w:rStyle w:val="FootnoteReference"/>
          <w:rFonts w:ascii="Cambria" w:hAnsi="Cambria"/>
          <w:sz w:val="20"/>
          <w:szCs w:val="20"/>
        </w:rPr>
        <w:footnoteReference w:id="22"/>
      </w:r>
      <w:r w:rsidR="542D36A3" w:rsidRPr="00E9543F">
        <w:rPr>
          <w:rFonts w:ascii="Cambria" w:hAnsi="Cambria"/>
          <w:sz w:val="20"/>
          <w:szCs w:val="20"/>
        </w:rPr>
        <w:t>. The fine was paid on June 27, 2018</w:t>
      </w:r>
      <w:r w:rsidR="00773302" w:rsidRPr="00E9543F">
        <w:rPr>
          <w:rStyle w:val="FootnoteReference"/>
          <w:rFonts w:ascii="Cambria" w:hAnsi="Cambria"/>
          <w:sz w:val="20"/>
          <w:szCs w:val="20"/>
        </w:rPr>
        <w:footnoteReference w:id="23"/>
      </w:r>
      <w:r w:rsidR="542D36A3" w:rsidRPr="00E9543F">
        <w:rPr>
          <w:rFonts w:ascii="Cambria" w:hAnsi="Cambria"/>
          <w:sz w:val="20"/>
          <w:szCs w:val="20"/>
        </w:rPr>
        <w:t xml:space="preserve">. With respect to the acceptance of payment of the fine, the petitioner stated the following: </w:t>
      </w:r>
    </w:p>
    <w:p w14:paraId="7687782B" w14:textId="77777777" w:rsidR="003B365A" w:rsidRPr="00F66E08" w:rsidRDefault="003B365A" w:rsidP="003B365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bCs/>
          <w:sz w:val="20"/>
          <w:szCs w:val="20"/>
        </w:rPr>
      </w:pPr>
    </w:p>
    <w:p w14:paraId="3AC66613" w14:textId="29D3CBD5" w:rsidR="00C473AC" w:rsidRPr="00C8325C" w:rsidRDefault="003B365A" w:rsidP="00EF175E">
      <w:pPr>
        <w:pStyle w:val="ListParagraph"/>
        <w:numPr>
          <w:ilvl w:val="0"/>
          <w:numId w:val="0"/>
        </w:numPr>
        <w:ind w:left="720"/>
        <w:rPr>
          <w:lang w:val="en-US"/>
        </w:rPr>
      </w:pPr>
      <w:r w:rsidRPr="00C8325C">
        <w:rPr>
          <w:lang w:val="en-US"/>
        </w:rPr>
        <w:t xml:space="preserve">In proceedings tried by the police authorities, the person called an offender under criminal law, who accepts the imposition of the fine, implicitly acknowledges his guilt (self-destruction of the presumption of innocence), without this being determined by a competent judge. During the processing of this process they do not have access to a lawyer to advise or advise them on the legal implications of self-incrimination (...). The </w:t>
      </w:r>
      <w:r w:rsidR="00D160FD" w:rsidRPr="00C8325C">
        <w:rPr>
          <w:rFonts w:cs="Times New Roman"/>
          <w:lang w:val="en-US"/>
        </w:rPr>
        <w:t xml:space="preserve">fifth </w:t>
      </w:r>
      <w:r w:rsidR="00D160FD" w:rsidRPr="00C8325C">
        <w:rPr>
          <w:lang w:val="en-US"/>
        </w:rPr>
        <w:t xml:space="preserve">paragraph </w:t>
      </w:r>
      <w:r w:rsidR="00D160FD" w:rsidRPr="00C8325C">
        <w:rPr>
          <w:rFonts w:cs="Times New Roman"/>
          <w:lang w:val="en-US"/>
        </w:rPr>
        <w:t xml:space="preserve">of the </w:t>
      </w:r>
      <w:r w:rsidR="00D160FD" w:rsidRPr="00C8325C">
        <w:rPr>
          <w:lang w:val="en-US"/>
        </w:rPr>
        <w:t xml:space="preserve">Unique </w:t>
      </w:r>
      <w:r w:rsidR="00D160FD" w:rsidRPr="00C8325C">
        <w:rPr>
          <w:rFonts w:cs="Times New Roman"/>
          <w:lang w:val="en-US"/>
        </w:rPr>
        <w:t xml:space="preserve">Special </w:t>
      </w:r>
      <w:r w:rsidR="00D160FD" w:rsidRPr="00C8325C">
        <w:rPr>
          <w:lang w:val="en-US"/>
        </w:rPr>
        <w:t xml:space="preserve">Provision  of the Criminal </w:t>
      </w:r>
      <w:r w:rsidR="00D160FD" w:rsidRPr="00C8325C">
        <w:rPr>
          <w:rFonts w:cs="Times New Roman"/>
          <w:lang w:val="en-US"/>
        </w:rPr>
        <w:t xml:space="preserve">Code </w:t>
      </w:r>
      <w:r w:rsidR="00D160FD" w:rsidRPr="00C8325C">
        <w:rPr>
          <w:lang w:val="en-US"/>
        </w:rPr>
        <w:t xml:space="preserve">establishes that </w:t>
      </w:r>
      <w:r w:rsidR="00D160FD" w:rsidRPr="00C8325C">
        <w:rPr>
          <w:rFonts w:cs="Times New Roman"/>
          <w:lang w:val="en-US"/>
        </w:rPr>
        <w:t>"if</w:t>
      </w:r>
      <w:r w:rsidR="00D160FD" w:rsidRPr="00C8325C">
        <w:rPr>
          <w:lang w:val="en-US"/>
        </w:rPr>
        <w:t xml:space="preserve"> the guilty party satisfies the payment of the fine </w:t>
      </w:r>
      <w:r w:rsidR="00D160FD" w:rsidRPr="00C8325C">
        <w:rPr>
          <w:rFonts w:cs="Times New Roman"/>
          <w:lang w:val="en-US"/>
        </w:rPr>
        <w:t xml:space="preserve">(...) </w:t>
      </w:r>
      <w:r w:rsidR="00D160FD" w:rsidRPr="00C8325C">
        <w:rPr>
          <w:lang w:val="en-US"/>
        </w:rPr>
        <w:t xml:space="preserve">within ten </w:t>
      </w:r>
      <w:r w:rsidR="00D160FD" w:rsidRPr="00C8325C">
        <w:rPr>
          <w:rFonts w:cs="Times New Roman"/>
          <w:lang w:val="en-US"/>
        </w:rPr>
        <w:t xml:space="preserve">working days </w:t>
      </w:r>
      <w:r w:rsidR="00D160FD" w:rsidRPr="00C8325C">
        <w:rPr>
          <w:lang w:val="en-US"/>
        </w:rPr>
        <w:t xml:space="preserve">following its </w:t>
      </w:r>
      <w:r w:rsidR="00D160FD" w:rsidRPr="00C8325C">
        <w:rPr>
          <w:rFonts w:cs="Times New Roman"/>
          <w:lang w:val="en-US"/>
        </w:rPr>
        <w:t xml:space="preserve">imposition,  the proceedings </w:t>
      </w:r>
      <w:r w:rsidR="00D160FD" w:rsidRPr="00C8325C">
        <w:rPr>
          <w:lang w:val="en-US"/>
        </w:rPr>
        <w:t xml:space="preserve">shall be </w:t>
      </w:r>
      <w:r w:rsidR="00D160FD" w:rsidRPr="00C8325C">
        <w:rPr>
          <w:rFonts w:cs="Times New Roman"/>
          <w:lang w:val="en-US"/>
        </w:rPr>
        <w:t xml:space="preserve"> </w:t>
      </w:r>
      <w:r w:rsidR="00D160FD" w:rsidRPr="00C8325C">
        <w:rPr>
          <w:lang w:val="en-US"/>
        </w:rPr>
        <w:t xml:space="preserve">considered concluded and the fact, for criminal purposes, shall not </w:t>
      </w:r>
      <w:r w:rsidR="00D160FD" w:rsidRPr="00C8325C">
        <w:rPr>
          <w:rFonts w:cs="TimesNewRomanPSMT"/>
          <w:lang w:val="en-US"/>
        </w:rPr>
        <w:t xml:space="preserve">be </w:t>
      </w:r>
      <w:r w:rsidR="00D160FD" w:rsidRPr="00C8325C">
        <w:rPr>
          <w:lang w:val="en-US"/>
        </w:rPr>
        <w:t xml:space="preserve">considered </w:t>
      </w:r>
      <w:r w:rsidR="00D160FD" w:rsidRPr="00C8325C">
        <w:rPr>
          <w:rFonts w:cs="TimesNewRomanPSMT"/>
          <w:lang w:val="en-US"/>
        </w:rPr>
        <w:t>a crime."</w:t>
      </w:r>
      <w:r w:rsidR="00C473AC" w:rsidRPr="00BD6C53">
        <w:rPr>
          <w:rStyle w:val="FootnoteReference"/>
          <w:sz w:val="18"/>
          <w:szCs w:val="18"/>
        </w:rPr>
        <w:footnoteReference w:id="24"/>
      </w:r>
    </w:p>
    <w:p w14:paraId="322758D1" w14:textId="1CCA6683" w:rsidR="00C473AC" w:rsidRPr="00F66E08" w:rsidRDefault="00C473AC" w:rsidP="00C473AC">
      <w:pPr>
        <w:ind w:left="720" w:hanging="360"/>
      </w:pPr>
    </w:p>
    <w:p w14:paraId="74457F9B" w14:textId="3B81A225" w:rsidR="00A26A03" w:rsidRPr="00BD6C53" w:rsidRDefault="00D97533"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00BD6C53">
        <w:rPr>
          <w:rFonts w:ascii="Cambria" w:hAnsi="Cambria"/>
          <w:sz w:val="20"/>
          <w:szCs w:val="20"/>
        </w:rPr>
        <w:t xml:space="preserve">The petitioner indicated that the Old Havana Prosecutor's Office subsequently revoked the decision on the administrative fine and ordered his arrest for the commission of the crime of "Attack." He added the following: </w:t>
      </w:r>
    </w:p>
    <w:p w14:paraId="66CCEA1E" w14:textId="77777777" w:rsidR="00A26A03" w:rsidRPr="00E9543F" w:rsidRDefault="00A26A03" w:rsidP="00A26A03">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bCs/>
          <w:sz w:val="20"/>
          <w:szCs w:val="20"/>
          <w:lang w:val="es-ES"/>
        </w:rPr>
      </w:pPr>
    </w:p>
    <w:p w14:paraId="64E0292A" w14:textId="740DBBB6" w:rsidR="00A26A03" w:rsidRPr="00BD6C53" w:rsidRDefault="00A26A03" w:rsidP="00EF175E">
      <w:pPr>
        <w:pStyle w:val="ListParagraph"/>
        <w:numPr>
          <w:ilvl w:val="0"/>
          <w:numId w:val="0"/>
        </w:numPr>
        <w:ind w:left="720"/>
        <w:rPr>
          <w:lang w:val="es-ES"/>
        </w:rPr>
      </w:pPr>
      <w:r w:rsidRPr="00C8325C">
        <w:rPr>
          <w:lang w:val="en-US"/>
        </w:rPr>
        <w:t xml:space="preserve">In this case, the police officers had to request the approval of the prosecutor as required by Section 3 of Article 8 of the Criminal Code. The prosecutor's office cannot go against its own decisions, and by revoking the decision of the police to sanction a crime with a fine, after it was satisfied in the terms established in the law, it affects the legal certainty and the necessary confidence that citizens should have, in which the authorities will carry out the legal procedures.  </w:t>
      </w:r>
      <w:r w:rsidRPr="00BD6C53">
        <w:t>as established in the national legal framework</w:t>
      </w:r>
      <w:r w:rsidRPr="00BD6C53">
        <w:rPr>
          <w:rStyle w:val="FootnoteReference"/>
          <w:sz w:val="18"/>
          <w:szCs w:val="18"/>
        </w:rPr>
        <w:footnoteReference w:id="25"/>
      </w:r>
      <w:r w:rsidRPr="00BD6C53">
        <w:t>.</w:t>
      </w:r>
    </w:p>
    <w:p w14:paraId="2F8A498F" w14:textId="77777777" w:rsidR="00A26A03" w:rsidRPr="00E9543F" w:rsidRDefault="00A26A03" w:rsidP="00A26A03">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bCs/>
          <w:sz w:val="20"/>
          <w:szCs w:val="20"/>
          <w:lang w:val="es-ES"/>
        </w:rPr>
      </w:pPr>
    </w:p>
    <w:p w14:paraId="62934A3E" w14:textId="69392763" w:rsidR="00E90B8A" w:rsidRPr="00F66E08" w:rsidRDefault="00090E1A"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rPr>
      </w:pPr>
      <w:r w:rsidRPr="00BD6C53">
        <w:rPr>
          <w:rFonts w:ascii="Cambria" w:hAnsi="Cambria"/>
          <w:sz w:val="20"/>
          <w:szCs w:val="20"/>
        </w:rPr>
        <w:t>On September 25, 2018 at 11:00 a.m., Maykel Castillo Pérez was arrested at his home and transferred to the "Punto 30" police station, located in Old Havana. He was then transferred to the "Vivac" detention center in the municipality of Boyeros. On October 1, 2018, Mr. Castillo was sent to the center of Valle Grande, in the municipality of La Lisa, Havana</w:t>
      </w:r>
      <w:r w:rsidR="00A26A03" w:rsidRPr="00BD6C53">
        <w:rPr>
          <w:rStyle w:val="FootnoteReference"/>
          <w:rFonts w:ascii="Cambria" w:hAnsi="Cambria"/>
          <w:sz w:val="20"/>
          <w:szCs w:val="20"/>
        </w:rPr>
        <w:footnoteReference w:id="26"/>
      </w:r>
      <w:r w:rsidR="00D97533" w:rsidRPr="00BD6C53">
        <w:rPr>
          <w:rFonts w:ascii="Cambria" w:hAnsi="Cambria"/>
          <w:sz w:val="20"/>
          <w:szCs w:val="20"/>
        </w:rPr>
        <w:t>. The IACHR does not have further information on the circumstances of Mr. Pérez's detention.</w:t>
      </w:r>
    </w:p>
    <w:p w14:paraId="340B8665" w14:textId="77777777" w:rsidR="00E14A08" w:rsidRPr="00F66E08" w:rsidRDefault="00E14A08" w:rsidP="00B54658">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bCs/>
          <w:sz w:val="20"/>
          <w:szCs w:val="20"/>
        </w:rPr>
      </w:pPr>
    </w:p>
    <w:p w14:paraId="3512B703" w14:textId="2A6E407F" w:rsidR="004B3EC7" w:rsidRPr="00BD6C53" w:rsidRDefault="00771AB8" w:rsidP="00425CDF">
      <w:pPr>
        <w:numPr>
          <w:ilvl w:val="0"/>
          <w:numId w:val="62"/>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firstLine="0"/>
        <w:jc w:val="both"/>
        <w:rPr>
          <w:rFonts w:ascii="Cambria" w:hAnsi="Cambria"/>
          <w:sz w:val="20"/>
          <w:szCs w:val="20"/>
          <w:lang w:val="es-ES"/>
        </w:rPr>
      </w:pPr>
      <w:r w:rsidRPr="00BD6C53">
        <w:rPr>
          <w:rFonts w:ascii="Cambria" w:hAnsi="Cambria"/>
          <w:sz w:val="20"/>
          <w:szCs w:val="20"/>
        </w:rPr>
        <w:lastRenderedPageBreak/>
        <w:t>On October 1, 2018, Rosmelys Hernández, wife of Maykel Castillo Pérez, filed a habeas corpus petitioning for the "immediate release" of Mr. Castillo Pérez</w:t>
      </w:r>
      <w:r w:rsidR="001C05D3" w:rsidRPr="00BD6C53">
        <w:rPr>
          <w:rStyle w:val="FootnoteReference"/>
          <w:rFonts w:ascii="Cambria" w:hAnsi="Cambria"/>
          <w:sz w:val="20"/>
          <w:szCs w:val="20"/>
        </w:rPr>
        <w:footnoteReference w:id="27"/>
      </w:r>
      <w:r w:rsidR="00540B3F" w:rsidRPr="00BD6C53">
        <w:rPr>
          <w:rFonts w:ascii="Cambria" w:hAnsi="Cambria"/>
          <w:sz w:val="20"/>
          <w:szCs w:val="20"/>
        </w:rPr>
        <w:t xml:space="preserve">. On October 9, 2018, the People's Provincial Court of Havana, Fourth Criminal Chamber, decided to reject the habeas corpus. The Court stated the following: </w:t>
      </w:r>
    </w:p>
    <w:p w14:paraId="4507E501" w14:textId="77777777" w:rsidR="004B3EC7" w:rsidRPr="00E9543F" w:rsidRDefault="004B3EC7" w:rsidP="004B3EC7">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bCs/>
          <w:sz w:val="20"/>
          <w:szCs w:val="20"/>
          <w:lang w:val="es-ES"/>
        </w:rPr>
      </w:pPr>
    </w:p>
    <w:p w14:paraId="13098C20" w14:textId="16AB712B" w:rsidR="00DC5D77" w:rsidRPr="00C8325C" w:rsidRDefault="6DFB8FD3" w:rsidP="00EF175E">
      <w:pPr>
        <w:pStyle w:val="ListParagraph"/>
        <w:numPr>
          <w:ilvl w:val="0"/>
          <w:numId w:val="0"/>
        </w:numPr>
        <w:ind w:left="720"/>
        <w:rPr>
          <w:lang w:val="en-US"/>
        </w:rPr>
      </w:pPr>
      <w:r w:rsidRPr="00C8325C">
        <w:rPr>
          <w:lang w:val="en-US"/>
        </w:rPr>
        <w:t xml:space="preserve">CONSIDERING: That from the analysis of the promotional brief, the one presented by the aforementioned authority and the proceedings in the file; it was found that the last arrest took place on September 25, 2018 after the prosecutor in progress had ordered the file annulling the application of Article 8.3 of the Criminal Code and the precautionary measure of provisional detention for those facts was ordered by the corresponding order of that authority and not for the reasons given by the applicant, whose resolution justifies the lack of legal basis for the application of </w:t>
      </w:r>
      <w:r w:rsidRPr="00C8325C">
        <w:rPr>
          <w:color w:val="auto"/>
          <w:lang w:val="en-US"/>
        </w:rPr>
        <w:t>said</w:t>
      </w:r>
      <w:r w:rsidRPr="00C8325C">
        <w:rPr>
          <w:lang w:val="en-US"/>
        </w:rPr>
        <w:t xml:space="preserve"> article 8.3 and thus the illegality that it was, on which it was found to be true that according to the facts and the crime to which they may give rise, such a decision to impose an administrative fine is not appropriate,  This, in addition to the fact that it was the prosecutor who determined the aforementioned precautionary measure and this is the authority empowered to do so and did so through the due resolution: habeas corpus is not applicable in the case; as established in articles 467 and 475 of the Criminal Procedure Law and by virtue of what will be said is provided.</w:t>
      </w:r>
    </w:p>
    <w:p w14:paraId="428379AA" w14:textId="77777777" w:rsidR="00DC5D77" w:rsidRPr="00C8325C" w:rsidRDefault="00DC5D77" w:rsidP="00EF175E">
      <w:pPr>
        <w:pStyle w:val="ListParagraph"/>
        <w:numPr>
          <w:ilvl w:val="0"/>
          <w:numId w:val="0"/>
        </w:numPr>
        <w:ind w:left="720"/>
        <w:rPr>
          <w:lang w:val="en-US"/>
        </w:rPr>
      </w:pPr>
    </w:p>
    <w:p w14:paraId="7C0D72C9" w14:textId="6DCEDF7F" w:rsidR="004B3EC7" w:rsidRPr="00C8325C" w:rsidRDefault="00DC5D77" w:rsidP="00EF175E">
      <w:pPr>
        <w:pStyle w:val="ListParagraph"/>
        <w:numPr>
          <w:ilvl w:val="0"/>
          <w:numId w:val="0"/>
        </w:numPr>
        <w:ind w:left="720"/>
        <w:rPr>
          <w:lang w:val="en-US"/>
        </w:rPr>
      </w:pPr>
      <w:r w:rsidRPr="00C8325C">
        <w:rPr>
          <w:lang w:val="en-US"/>
        </w:rPr>
        <w:t>THE CHAMBER AGREES: To declare WITHOUT MERIT the habeas corpus proceeding filed by Iris Ruiz Hernandez in favor of Maikel Castillo Perez and consequently the precautionary measure of pretrial detention imposed on him by order issued by the Public Prosecutor's Office in the aforementioned preparatory phase file is maintained for all legal purposes</w:t>
      </w:r>
      <w:r w:rsidR="00540B3F" w:rsidRPr="00BD6C53">
        <w:rPr>
          <w:rStyle w:val="FootnoteReference"/>
          <w:sz w:val="18"/>
          <w:szCs w:val="18"/>
        </w:rPr>
        <w:footnoteReference w:id="28"/>
      </w:r>
      <w:r w:rsidR="00540B3F" w:rsidRPr="00C8325C">
        <w:rPr>
          <w:lang w:val="en-US"/>
        </w:rPr>
        <w:t>.</w:t>
      </w:r>
    </w:p>
    <w:p w14:paraId="6E2DE63A" w14:textId="77777777" w:rsidR="004B3EC7" w:rsidRPr="00F66E08" w:rsidRDefault="004B3EC7" w:rsidP="004B3EC7">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bCs/>
          <w:sz w:val="20"/>
          <w:szCs w:val="20"/>
        </w:rPr>
      </w:pPr>
    </w:p>
    <w:p w14:paraId="540DF4D4" w14:textId="2A2EBABB" w:rsidR="009B54B5" w:rsidRPr="00F66E08" w:rsidRDefault="00771AB8"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rPr>
      </w:pPr>
      <w:r w:rsidRPr="00E9543F">
        <w:rPr>
          <w:rFonts w:ascii="Cambria" w:hAnsi="Cambria"/>
          <w:sz w:val="20"/>
          <w:szCs w:val="20"/>
        </w:rPr>
        <w:t>The resolution was appealed by the petitioner on October 12, 2018</w:t>
      </w:r>
      <w:r w:rsidR="00090E1A" w:rsidRPr="00E9543F">
        <w:rPr>
          <w:rStyle w:val="FootnoteReference"/>
          <w:rFonts w:ascii="Cambria" w:hAnsi="Cambria"/>
          <w:sz w:val="20"/>
          <w:szCs w:val="20"/>
        </w:rPr>
        <w:footnoteReference w:id="29"/>
      </w:r>
      <w:r w:rsidRPr="00E9543F">
        <w:rPr>
          <w:rFonts w:ascii="Cambria" w:hAnsi="Cambria"/>
          <w:sz w:val="20"/>
          <w:szCs w:val="20"/>
        </w:rPr>
        <w:t>. The Commission notes that the appeal was not submitted by the parties to the file. On the same date, the Court referred the matter to the Supreme People's Court</w:t>
      </w:r>
      <w:r w:rsidR="00540B3F" w:rsidRPr="00E9543F">
        <w:rPr>
          <w:rStyle w:val="FootnoteReference"/>
          <w:rFonts w:ascii="Cambria" w:hAnsi="Cambria"/>
          <w:sz w:val="20"/>
          <w:szCs w:val="20"/>
        </w:rPr>
        <w:footnoteReference w:id="30"/>
      </w:r>
      <w:r w:rsidR="004B3EC7" w:rsidRPr="00E9543F">
        <w:rPr>
          <w:rFonts w:ascii="Cambria" w:hAnsi="Cambria"/>
          <w:sz w:val="20"/>
          <w:szCs w:val="20"/>
        </w:rPr>
        <w:t>. On October 17, 2018, the parties were notified of the acceptance of the appeal</w:t>
      </w:r>
      <w:r w:rsidR="00540B3F" w:rsidRPr="00E9543F">
        <w:rPr>
          <w:rStyle w:val="FootnoteReference"/>
          <w:rFonts w:ascii="Cambria" w:hAnsi="Cambria"/>
          <w:sz w:val="20"/>
          <w:szCs w:val="20"/>
        </w:rPr>
        <w:footnoteReference w:id="31"/>
      </w:r>
      <w:r w:rsidR="004B3EC7" w:rsidRPr="00E9543F">
        <w:rPr>
          <w:rFonts w:ascii="Cambria" w:hAnsi="Cambria"/>
          <w:sz w:val="20"/>
          <w:szCs w:val="20"/>
        </w:rPr>
        <w:t xml:space="preserve">. </w:t>
      </w:r>
    </w:p>
    <w:p w14:paraId="72CA1366" w14:textId="77777777" w:rsidR="009B54B5" w:rsidRPr="00F66E08" w:rsidRDefault="009B54B5" w:rsidP="00B54658">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bCs/>
          <w:sz w:val="20"/>
          <w:szCs w:val="20"/>
        </w:rPr>
      </w:pPr>
    </w:p>
    <w:p w14:paraId="671500F8" w14:textId="211D20C6" w:rsidR="00540B3F" w:rsidRPr="00F66E08" w:rsidRDefault="23DE4284" w:rsidP="00B82A24">
      <w:pPr>
        <w:numPr>
          <w:ilvl w:val="0"/>
          <w:numId w:val="62"/>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rPr>
      </w:pPr>
      <w:r w:rsidRPr="00E9543F">
        <w:rPr>
          <w:rFonts w:ascii="Cambria" w:hAnsi="Cambria"/>
          <w:sz w:val="20"/>
          <w:szCs w:val="20"/>
        </w:rPr>
        <w:t>The petitioner reported that on October 25, the services of a lawyer from the National Organization of Collective Law Firms (ONBC) were hired to appear as an appellant in the appeal admitted before the Supreme Court. According to the petitioner, they were forced to hire lawyers from that organization because "national courts only accept contracts for legal services issued by the ONBC." In addition, according to the petitioner, the lawyer hired did not act diligently, since it was not possible to know the steps taken by her or the Court's response to the appeal. He pointed out that the conclusions of the Oral Trial were presented directly to Mr. Castillo Pérez since it was unknown who his legal representative was during the trial</w:t>
      </w:r>
      <w:r w:rsidR="009B54B5" w:rsidRPr="00E9543F">
        <w:rPr>
          <w:rStyle w:val="FootnoteReference"/>
          <w:rFonts w:ascii="Cambria" w:hAnsi="Cambria"/>
          <w:sz w:val="20"/>
          <w:szCs w:val="20"/>
        </w:rPr>
        <w:footnoteReference w:id="32"/>
      </w:r>
      <w:r w:rsidR="24C4FE43" w:rsidRPr="00E9543F">
        <w:rPr>
          <w:rFonts w:ascii="Cambria" w:hAnsi="Cambria"/>
          <w:sz w:val="20"/>
          <w:szCs w:val="20"/>
        </w:rPr>
        <w:t xml:space="preserve">. </w:t>
      </w:r>
    </w:p>
    <w:p w14:paraId="7C185628" w14:textId="0E7DE3F5" w:rsidR="4AEC06F1" w:rsidRPr="00F66E08" w:rsidRDefault="4AEC06F1" w:rsidP="4AEC06F1">
      <w:p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jc w:val="both"/>
        <w:rPr>
          <w:rFonts w:ascii="Cambria" w:hAnsi="Cambria"/>
          <w:sz w:val="20"/>
          <w:szCs w:val="20"/>
        </w:rPr>
      </w:pPr>
    </w:p>
    <w:p w14:paraId="53ADC92A" w14:textId="7A9EED51" w:rsidR="00F65B15" w:rsidRPr="00F66E08" w:rsidRDefault="00C00755"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rPr>
      </w:pPr>
      <w:r w:rsidRPr="00E9543F">
        <w:rPr>
          <w:rFonts w:ascii="Cambria" w:hAnsi="Cambria"/>
          <w:sz w:val="20"/>
          <w:szCs w:val="20"/>
        </w:rPr>
        <w:t>On December 14, 2018, the Prosecutor's Office presented its Preliminary Conclusions and determined that Mr. Castillo Pérez committed the crime of Attack, and should be sentenced to three years in prison. He also indicated a list of witnesses and offered documentary evidence</w:t>
      </w:r>
      <w:r w:rsidR="00540B3F" w:rsidRPr="00E9543F">
        <w:rPr>
          <w:rFonts w:ascii="Cambria" w:hAnsi="Cambria"/>
          <w:sz w:val="20"/>
          <w:szCs w:val="20"/>
          <w:vertAlign w:val="superscript"/>
        </w:rPr>
        <w:footnoteReference w:id="33"/>
      </w:r>
      <w:r w:rsidR="00540B3F" w:rsidRPr="00E9543F">
        <w:rPr>
          <w:rFonts w:ascii="Cambria" w:hAnsi="Cambria"/>
          <w:sz w:val="20"/>
          <w:szCs w:val="20"/>
        </w:rPr>
        <w:t>. The IACHR notes that it does not have a record of the aforementioned documentary evidence or the statements of the witnesses.</w:t>
      </w:r>
    </w:p>
    <w:p w14:paraId="66C5E1E1" w14:textId="31D5AE4E" w:rsidR="00771AB8" w:rsidRPr="00F66E08" w:rsidRDefault="00771AB8" w:rsidP="00B54658">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bCs/>
          <w:sz w:val="20"/>
          <w:szCs w:val="20"/>
        </w:rPr>
      </w:pPr>
    </w:p>
    <w:p w14:paraId="2B5EA154" w14:textId="4F6F40F6" w:rsidR="00E14A08" w:rsidRPr="00F66E08" w:rsidRDefault="00771AB8" w:rsidP="00B82A24">
      <w:pPr>
        <w:numPr>
          <w:ilvl w:val="0"/>
          <w:numId w:val="62"/>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rPr>
      </w:pPr>
      <w:r w:rsidRPr="00E9543F">
        <w:rPr>
          <w:rFonts w:ascii="Cambria" w:hAnsi="Cambria"/>
          <w:sz w:val="20"/>
          <w:szCs w:val="20"/>
        </w:rPr>
        <w:t>On January 18, 2019, the Supreme People's Court issued a resolution where it determined the opening of an oral trial for the crime of Attack and maintained the provisional detention of Mr. Castillo Pérez. The Court also asked Mr. Castillo Pérez to appoint a lawyer to defend him or one would be assigned to him ex officio</w:t>
      </w:r>
      <w:r w:rsidR="00540B3F" w:rsidRPr="00E9543F">
        <w:rPr>
          <w:rStyle w:val="FootnoteReference"/>
          <w:rFonts w:ascii="Cambria" w:hAnsi="Cambria"/>
          <w:sz w:val="20"/>
          <w:szCs w:val="20"/>
        </w:rPr>
        <w:footnoteReference w:id="34"/>
      </w:r>
      <w:r w:rsidR="007827C1" w:rsidRPr="00E9543F">
        <w:rPr>
          <w:rFonts w:ascii="Cambria" w:hAnsi="Cambria"/>
          <w:sz w:val="20"/>
          <w:szCs w:val="20"/>
        </w:rPr>
        <w:t xml:space="preserve">. </w:t>
      </w:r>
    </w:p>
    <w:p w14:paraId="4C79F7FE" w14:textId="77777777" w:rsidR="00CC3DB0" w:rsidRPr="00F66E08" w:rsidRDefault="00CC3DB0" w:rsidP="00B82A2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bCs/>
          <w:sz w:val="20"/>
          <w:szCs w:val="20"/>
        </w:rPr>
      </w:pPr>
    </w:p>
    <w:p w14:paraId="204EA241" w14:textId="7630A8EF" w:rsidR="00E14A08" w:rsidRPr="00F66E08" w:rsidRDefault="00E14A08"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bCs/>
          <w:sz w:val="20"/>
          <w:szCs w:val="20"/>
        </w:rPr>
      </w:pPr>
      <w:r w:rsidRPr="00E9543F">
        <w:rPr>
          <w:rFonts w:ascii="Cambria" w:hAnsi="Cambria"/>
          <w:bCs/>
          <w:sz w:val="20"/>
          <w:szCs w:val="20"/>
        </w:rPr>
        <w:lastRenderedPageBreak/>
        <w:t>The Commission notes that the petitioner referred to the following events that occurred while Mr. Castillo Pérez was in detention:</w:t>
      </w:r>
    </w:p>
    <w:p w14:paraId="4D5E041A" w14:textId="77777777" w:rsidR="005C0494" w:rsidRPr="00F66E08" w:rsidRDefault="005C0494" w:rsidP="005C049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rPr>
      </w:pPr>
    </w:p>
    <w:p w14:paraId="2E625D2B" w14:textId="36BADB9B" w:rsidR="00CC3DB0" w:rsidRPr="00C8325C" w:rsidRDefault="00807CAC" w:rsidP="00D16E19">
      <w:pPr>
        <w:pStyle w:val="ListParagraph"/>
        <w:numPr>
          <w:ilvl w:val="0"/>
          <w:numId w:val="1"/>
        </w:numPr>
        <w:rPr>
          <w:lang w:val="en-US"/>
        </w:rPr>
      </w:pPr>
      <w:r w:rsidRPr="00C8325C">
        <w:rPr>
          <w:lang w:val="en-US"/>
        </w:rPr>
        <w:t>On March 15, 2019, Mr. Castillo Pérez was beaten by the Chief of Interior Order, Yordani Cabrera Gómez, with shackles on his face, causing a wound to his cheekbone when he protested against having denied him medical attention and not taking him to the infirmary of the Valle Grande prison.</w:t>
      </w:r>
    </w:p>
    <w:p w14:paraId="190622F3" w14:textId="162E3FA4" w:rsidR="00410BAB" w:rsidRPr="00C8325C" w:rsidRDefault="00807CAC" w:rsidP="00D16E19">
      <w:pPr>
        <w:pStyle w:val="ListParagraph"/>
        <w:numPr>
          <w:ilvl w:val="0"/>
          <w:numId w:val="1"/>
        </w:numPr>
        <w:rPr>
          <w:lang w:val="en-US"/>
        </w:rPr>
      </w:pPr>
      <w:r w:rsidRPr="00C8325C">
        <w:rPr>
          <w:lang w:val="en-US"/>
        </w:rPr>
        <w:t>On March 18, 2019, prison authorities had to take him to the Calixto García hospital for a neurologist to examine him due to intense headaches. There he did not receive medical attention due to the absence of personnel</w:t>
      </w:r>
      <w:r w:rsidR="004C6867" w:rsidRPr="00BD6C53">
        <w:rPr>
          <w:rStyle w:val="FootnoteReference"/>
          <w:sz w:val="18"/>
          <w:szCs w:val="18"/>
        </w:rPr>
        <w:footnoteReference w:id="35"/>
      </w:r>
      <w:r w:rsidRPr="00C8325C">
        <w:rPr>
          <w:lang w:val="en-US"/>
        </w:rPr>
        <w:t xml:space="preserve">. </w:t>
      </w:r>
    </w:p>
    <w:p w14:paraId="2796638F" w14:textId="77777777" w:rsidR="004C6867" w:rsidRPr="00C8325C" w:rsidRDefault="004C6867" w:rsidP="00EF175E">
      <w:pPr>
        <w:pStyle w:val="ListParagraph"/>
        <w:numPr>
          <w:ilvl w:val="0"/>
          <w:numId w:val="0"/>
        </w:numPr>
        <w:ind w:left="720"/>
        <w:rPr>
          <w:lang w:val="en-US"/>
        </w:rPr>
      </w:pPr>
    </w:p>
    <w:p w14:paraId="61A58277" w14:textId="32645530" w:rsidR="001C7DE6" w:rsidRPr="00F66E08" w:rsidRDefault="00200A8F" w:rsidP="00B82A24">
      <w:pPr>
        <w:numPr>
          <w:ilvl w:val="0"/>
          <w:numId w:val="62"/>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rPr>
      </w:pPr>
      <w:r w:rsidRPr="00E9543F">
        <w:rPr>
          <w:rFonts w:ascii="Cambria" w:hAnsi="Cambria"/>
          <w:sz w:val="20"/>
          <w:szCs w:val="20"/>
        </w:rPr>
        <w:t>According to the petitioner, on April 12, 2019, the oral trial was held and, on April 22, 2019, the Supreme People's Court sentenced Maykel Castillo Pérez to 1 year and 6 months in prison, a term that ended up being reduced to six months. Likewise, the prohibition of the issuance of passports and departure from the national territory until the effective fulfillment of the sanction imposed was ordered</w:t>
      </w:r>
      <w:r w:rsidR="001C7DE6" w:rsidRPr="00E9543F">
        <w:rPr>
          <w:rStyle w:val="FootnoteReference"/>
          <w:rFonts w:ascii="Cambria" w:hAnsi="Cambria"/>
          <w:sz w:val="20"/>
          <w:szCs w:val="20"/>
        </w:rPr>
        <w:footnoteReference w:id="36"/>
      </w:r>
      <w:r w:rsidRPr="00E9543F">
        <w:rPr>
          <w:rFonts w:ascii="Cambria" w:hAnsi="Cambria"/>
          <w:sz w:val="20"/>
          <w:szCs w:val="20"/>
        </w:rPr>
        <w:t xml:space="preserve">. The IACHR notes that it does not have the conviction of April 22, 2019. </w:t>
      </w:r>
    </w:p>
    <w:p w14:paraId="57D526F3" w14:textId="77777777" w:rsidR="005B7820" w:rsidRPr="00F66E08" w:rsidRDefault="005B7820" w:rsidP="00B82A2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rPr>
      </w:pPr>
    </w:p>
    <w:p w14:paraId="4A39228F" w14:textId="361C6523" w:rsidR="001C7DE6" w:rsidRPr="00F66E08" w:rsidRDefault="001C7DE6" w:rsidP="00B82A24">
      <w:pPr>
        <w:numPr>
          <w:ilvl w:val="0"/>
          <w:numId w:val="62"/>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rPr>
      </w:pPr>
      <w:r w:rsidRPr="00BD6C53">
        <w:rPr>
          <w:rFonts w:ascii="Cambria" w:hAnsi="Cambria"/>
          <w:sz w:val="20"/>
          <w:szCs w:val="20"/>
        </w:rPr>
        <w:t>The petitioner indicated that between June 18 and October 23, 2019, Mr. Castillo Pérez was transferred at least four times between different prisons. He pointed out that in the "Kilo 5" prison in the province of Pinar del Río where "he was verbally and physically assaulted by 1st Lieutenant Lázaro in prison 5 and a half." On October 23, 2019, Maykel Castillo was released</w:t>
      </w:r>
      <w:r w:rsidRPr="00BD6C53">
        <w:rPr>
          <w:rStyle w:val="FootnoteReference"/>
          <w:rFonts w:ascii="Cambria" w:hAnsi="Cambria"/>
          <w:sz w:val="20"/>
          <w:szCs w:val="20"/>
        </w:rPr>
        <w:footnoteReference w:id="37"/>
      </w:r>
      <w:r w:rsidRPr="00BD6C53">
        <w:rPr>
          <w:rFonts w:ascii="Cambria" w:hAnsi="Cambria"/>
          <w:sz w:val="20"/>
          <w:szCs w:val="20"/>
        </w:rPr>
        <w:t xml:space="preserve">. The IACHR indicates that it does not have further information on the alleged attacks in the "Kilo 5" prison and on the internal process. </w:t>
      </w:r>
    </w:p>
    <w:p w14:paraId="58D28BDE" w14:textId="77777777" w:rsidR="00C03B38" w:rsidRPr="00F66E08" w:rsidRDefault="00C03B38" w:rsidP="00C03B38">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rPr>
      </w:pPr>
    </w:p>
    <w:p w14:paraId="39BDADFE" w14:textId="0D5576F2" w:rsidR="00C03B38" w:rsidRPr="00F66E08" w:rsidRDefault="00C03B38" w:rsidP="004B1C8A">
      <w:pPr>
        <w:pStyle w:val="Heading2"/>
        <w:rPr>
          <w:lang w:val="en-US"/>
        </w:rPr>
      </w:pPr>
      <w:bookmarkStart w:id="23" w:name="_Toc216356769"/>
      <w:r w:rsidRPr="00F66E08">
        <w:rPr>
          <w:lang w:val="en-US"/>
        </w:rPr>
        <w:t>On the subsequent situation of harassment and detentions of Mr. Castillo Pérez</w:t>
      </w:r>
      <w:bookmarkEnd w:id="23"/>
    </w:p>
    <w:p w14:paraId="2447F37B" w14:textId="77777777" w:rsidR="005C0494" w:rsidRPr="00F66E08" w:rsidRDefault="005C0494" w:rsidP="005C049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rPr>
      </w:pPr>
    </w:p>
    <w:p w14:paraId="3016707D" w14:textId="103F8889" w:rsidR="005C0494" w:rsidRPr="00F66E08" w:rsidRDefault="005C0494"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bCs/>
          <w:sz w:val="20"/>
          <w:szCs w:val="20"/>
        </w:rPr>
      </w:pPr>
      <w:r w:rsidRPr="00E9543F">
        <w:rPr>
          <w:rFonts w:ascii="Cambria" w:hAnsi="Cambria"/>
          <w:bCs/>
          <w:sz w:val="20"/>
          <w:szCs w:val="20"/>
        </w:rPr>
        <w:t>The Commission notes that there is information on various detentions, threats, harassment, and acts of violence that allegedly occurred against Mr. Castillo Pérez between</w:t>
      </w:r>
      <w:r w:rsidRPr="00E9543F">
        <w:rPr>
          <w:rFonts w:ascii="Cambria" w:hAnsi="Cambria"/>
          <w:sz w:val="20"/>
          <w:szCs w:val="20"/>
        </w:rPr>
        <w:t xml:space="preserve"> December 26, 2019 and August 3, 2021</w:t>
      </w:r>
      <w:r w:rsidR="00E30B3F" w:rsidRPr="00E9543F">
        <w:rPr>
          <w:rFonts w:ascii="Cambria" w:hAnsi="Cambria" w:cs="TimesNewRomanPSMT"/>
          <w:sz w:val="20"/>
          <w:szCs w:val="14"/>
        </w:rPr>
        <w:t>:</w:t>
      </w:r>
    </w:p>
    <w:p w14:paraId="32FC86C3" w14:textId="77777777" w:rsidR="005C0494" w:rsidRPr="00F66E08" w:rsidRDefault="005C0494" w:rsidP="0012213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rPr>
      </w:pPr>
    </w:p>
    <w:p w14:paraId="7555206F" w14:textId="5F5C33B2" w:rsidR="008E46C1" w:rsidRPr="00C8325C" w:rsidRDefault="005D2B31" w:rsidP="00D16E19">
      <w:pPr>
        <w:pStyle w:val="ListParagraph"/>
        <w:numPr>
          <w:ilvl w:val="0"/>
          <w:numId w:val="66"/>
        </w:numPr>
        <w:rPr>
          <w:lang w:val="en-US"/>
        </w:rPr>
      </w:pPr>
      <w:r w:rsidRPr="00C8325C">
        <w:rPr>
          <w:lang w:val="en-US"/>
        </w:rPr>
        <w:t>The petitioner indicated that on December 26, 2019, Maykel Castillo Pérez along with his girlfriend were taken to a police station in Zanja for stating at a police checkpoint that Miguel Diaz-Canel was not their president. He maintained that two uniformed officers beat the girlfriend of Maykel Castillo Pérez, who became upset, reacted and was in turn beaten</w:t>
      </w:r>
      <w:r w:rsidR="003F4419" w:rsidRPr="00E9543F">
        <w:rPr>
          <w:rStyle w:val="FootnoteReference"/>
          <w:rFonts w:cs="TimesNewRomanPSMT"/>
          <w:sz w:val="18"/>
          <w:szCs w:val="18"/>
        </w:rPr>
        <w:footnoteReference w:id="38"/>
      </w:r>
      <w:r w:rsidR="00066EA8" w:rsidRPr="00C8325C">
        <w:rPr>
          <w:lang w:val="en-US"/>
        </w:rPr>
        <w:t>.</w:t>
      </w:r>
    </w:p>
    <w:p w14:paraId="61479708" w14:textId="5E0986CD" w:rsidR="00066EA8" w:rsidRPr="00C8325C" w:rsidRDefault="008E46C1" w:rsidP="00D16E19">
      <w:pPr>
        <w:pStyle w:val="ListParagraph"/>
        <w:numPr>
          <w:ilvl w:val="0"/>
          <w:numId w:val="66"/>
        </w:numPr>
        <w:rPr>
          <w:lang w:val="en-US"/>
        </w:rPr>
      </w:pPr>
      <w:r w:rsidRPr="00C8325C">
        <w:rPr>
          <w:lang w:val="en-US"/>
        </w:rPr>
        <w:t>As of January 2, 2020, the petitioner indicated that they began to park patrol cars in front of the house for a couple of hours in order to keep him from leaving the house. Faced with the situation, Mr. Castillo Pérez decided to move to the Colón neighborhood, where the situation was repeated</w:t>
      </w:r>
      <w:r w:rsidR="003F4419" w:rsidRPr="00E9543F">
        <w:rPr>
          <w:rStyle w:val="FootnoteReference"/>
          <w:rFonts w:cs="TimesNewRomanPSMT"/>
          <w:sz w:val="18"/>
          <w:szCs w:val="18"/>
        </w:rPr>
        <w:footnoteReference w:id="39"/>
      </w:r>
      <w:r w:rsidR="0056538A" w:rsidRPr="00C8325C">
        <w:rPr>
          <w:lang w:val="en-US"/>
        </w:rPr>
        <w:t>.</w:t>
      </w:r>
    </w:p>
    <w:p w14:paraId="22156AE4" w14:textId="698198F9" w:rsidR="0078070F" w:rsidRPr="00C8325C" w:rsidRDefault="00066EA8" w:rsidP="00D16E19">
      <w:pPr>
        <w:pStyle w:val="ListParagraph"/>
        <w:numPr>
          <w:ilvl w:val="0"/>
          <w:numId w:val="66"/>
        </w:numPr>
        <w:rPr>
          <w:lang w:val="en-US"/>
        </w:rPr>
      </w:pPr>
      <w:r w:rsidRPr="00C8325C">
        <w:rPr>
          <w:lang w:val="en-US"/>
        </w:rPr>
        <w:t>On January 18, 2020, Catillo had a concert from 8 to 12 pm with several guest artists. When they approached the place as part of the San Isidro Movement, they met with State security who took him to a cell and the National Revolutionary Police of Zanja, where he was released at 12.30 pm</w:t>
      </w:r>
      <w:r w:rsidR="003F4419" w:rsidRPr="00E9543F">
        <w:rPr>
          <w:rStyle w:val="FootnoteReference"/>
          <w:rFonts w:cs="TimesNewRomanPSMT"/>
          <w:sz w:val="18"/>
          <w:szCs w:val="18"/>
        </w:rPr>
        <w:footnoteReference w:id="40"/>
      </w:r>
      <w:r w:rsidR="008E46C1" w:rsidRPr="00C8325C">
        <w:rPr>
          <w:lang w:val="en-US"/>
        </w:rPr>
        <w:t xml:space="preserve">. </w:t>
      </w:r>
    </w:p>
    <w:p w14:paraId="4AEFE768" w14:textId="4B1A968D" w:rsidR="00300A44" w:rsidRPr="00C8325C" w:rsidRDefault="00066EA8" w:rsidP="00D16E19">
      <w:pPr>
        <w:pStyle w:val="ListParagraph"/>
        <w:numPr>
          <w:ilvl w:val="0"/>
          <w:numId w:val="66"/>
        </w:numPr>
        <w:rPr>
          <w:lang w:val="en-US"/>
        </w:rPr>
      </w:pPr>
      <w:r w:rsidRPr="00C8325C">
        <w:rPr>
          <w:lang w:val="en-US"/>
        </w:rPr>
        <w:t>On the dates of March 16, April 17, and June 11, 2020, Mr. Castillo Pérez is subject to delays and arrests by the police force. On the last mentioned date he was beaten with the tonfa in the parking lot and taken to the police station</w:t>
      </w:r>
      <w:r w:rsidR="00300A44" w:rsidRPr="00E9543F">
        <w:rPr>
          <w:rStyle w:val="FootnoteReference"/>
          <w:rFonts w:cs="TimesNewRomanPSMT"/>
          <w:sz w:val="18"/>
          <w:szCs w:val="18"/>
        </w:rPr>
        <w:footnoteReference w:id="41"/>
      </w:r>
      <w:r w:rsidR="00300A44" w:rsidRPr="00C8325C">
        <w:rPr>
          <w:lang w:val="en-US"/>
        </w:rPr>
        <w:t>. With respect to these events, the Commission takes note of a press video in which Mr. Castillo Pérez appears to be detained in a patrol car and then bloodied inside the police station</w:t>
      </w:r>
      <w:r w:rsidR="00300A44" w:rsidRPr="00E9543F">
        <w:rPr>
          <w:rStyle w:val="FootnoteReference"/>
          <w:rFonts w:cs="TimesNewRomanPSMT"/>
          <w:sz w:val="18"/>
          <w:szCs w:val="18"/>
        </w:rPr>
        <w:footnoteReference w:id="42"/>
      </w:r>
      <w:r w:rsidR="00300A44" w:rsidRPr="00C8325C">
        <w:rPr>
          <w:lang w:val="en-US"/>
        </w:rPr>
        <w:t xml:space="preserve">. </w:t>
      </w:r>
    </w:p>
    <w:p w14:paraId="3C23DE51" w14:textId="192281D0" w:rsidR="0012213C" w:rsidRPr="00C8325C" w:rsidRDefault="0012213C" w:rsidP="00D16E19">
      <w:pPr>
        <w:pStyle w:val="ListParagraph"/>
        <w:numPr>
          <w:ilvl w:val="0"/>
          <w:numId w:val="66"/>
        </w:numPr>
        <w:rPr>
          <w:lang w:val="en-US"/>
        </w:rPr>
      </w:pPr>
      <w:r w:rsidRPr="00C8325C">
        <w:rPr>
          <w:lang w:val="en-US"/>
        </w:rPr>
        <w:t>On June 30, 2020, he was arrested to prevent him from participating in the peaceful demonstration for the death of Hansel Hernández, a young man murdered in Guanabacoa</w:t>
      </w:r>
      <w:r w:rsidR="00300A44" w:rsidRPr="00E9543F">
        <w:rPr>
          <w:rStyle w:val="FootnoteReference"/>
          <w:rFonts w:cs="TimesNewRomanPSMT"/>
          <w:sz w:val="18"/>
          <w:szCs w:val="18"/>
        </w:rPr>
        <w:footnoteReference w:id="43"/>
      </w:r>
      <w:r w:rsidRPr="00C8325C">
        <w:rPr>
          <w:lang w:val="en-US"/>
        </w:rPr>
        <w:t xml:space="preserve">. This information was </w:t>
      </w:r>
      <w:r w:rsidRPr="00C8325C">
        <w:rPr>
          <w:lang w:val="en-US"/>
        </w:rPr>
        <w:lastRenderedPageBreak/>
        <w:t xml:space="preserve">also collected by a press release where Mr. </w:t>
      </w:r>
      <w:r w:rsidR="008F6B18" w:rsidRPr="00C8325C">
        <w:rPr>
          <w:rFonts w:cs="TimesNewRomanPS-BoldMT"/>
          <w:lang w:val="en-US"/>
        </w:rPr>
        <w:t xml:space="preserve">Maykel Castillo Pérez indicated the presence of </w:t>
      </w:r>
      <w:r w:rsidR="008F6B18" w:rsidRPr="00C8325C">
        <w:rPr>
          <w:lang w:val="en-US"/>
        </w:rPr>
        <w:t>3 patrol cars, 8 motorcycles and a deployment of 20 officers outside his home</w:t>
      </w:r>
      <w:r w:rsidR="008F6B18" w:rsidRPr="00E9543F">
        <w:rPr>
          <w:rStyle w:val="FootnoteReference"/>
          <w:rFonts w:cs="TimesNewRomanPSMT"/>
          <w:sz w:val="18"/>
          <w:szCs w:val="18"/>
        </w:rPr>
        <w:footnoteReference w:id="44"/>
      </w:r>
      <w:r w:rsidR="008F6B18" w:rsidRPr="00C8325C">
        <w:rPr>
          <w:lang w:val="en-US"/>
        </w:rPr>
        <w:t>.</w:t>
      </w:r>
    </w:p>
    <w:p w14:paraId="08091BCB" w14:textId="7D48FA82" w:rsidR="00E56E67" w:rsidRPr="00C8325C" w:rsidRDefault="0012213C" w:rsidP="00D16E19">
      <w:pPr>
        <w:pStyle w:val="ListParagraph"/>
        <w:numPr>
          <w:ilvl w:val="0"/>
          <w:numId w:val="66"/>
        </w:numPr>
        <w:rPr>
          <w:lang w:val="en-US"/>
        </w:rPr>
      </w:pPr>
      <w:r w:rsidRPr="00C8325C">
        <w:rPr>
          <w:lang w:val="en-US"/>
        </w:rPr>
        <w:t>On July 20, 2020, he was arrested and told that he was going to be prosecuted for the crime of defamation of institutions after his criticism of medical negligence related to the death of the singer "El Dany". In addition, a fine was imposed on him under Decree Law 370</w:t>
      </w:r>
      <w:r w:rsidR="003F4419" w:rsidRPr="00E9543F">
        <w:rPr>
          <w:rStyle w:val="FootnoteReference"/>
          <w:rFonts w:cs="TimesNewRomanPSMT"/>
          <w:sz w:val="18"/>
          <w:szCs w:val="18"/>
        </w:rPr>
        <w:footnoteReference w:id="45"/>
      </w:r>
      <w:r w:rsidR="0078070F" w:rsidRPr="00C8325C">
        <w:rPr>
          <w:lang w:val="en-US"/>
        </w:rPr>
        <w:t>.</w:t>
      </w:r>
    </w:p>
    <w:p w14:paraId="7BAB7629" w14:textId="5E765A71" w:rsidR="00E56E67" w:rsidRPr="00C8325C" w:rsidRDefault="0012213C" w:rsidP="00D16E19">
      <w:pPr>
        <w:pStyle w:val="ListParagraph"/>
        <w:numPr>
          <w:ilvl w:val="0"/>
          <w:numId w:val="66"/>
        </w:numPr>
        <w:rPr>
          <w:lang w:val="en-US"/>
        </w:rPr>
      </w:pPr>
      <w:r w:rsidRPr="00C8325C">
        <w:rPr>
          <w:lang w:val="en-US"/>
        </w:rPr>
        <w:t>On July 23, 2020, Mr. Castillo Pérez denounced police monitoring and surveillance through a Facebook post</w:t>
      </w:r>
      <w:r w:rsidR="00A8681F" w:rsidRPr="00E9543F">
        <w:rPr>
          <w:rStyle w:val="FootnoteReference"/>
          <w:rFonts w:cs="TimesNewRomanPSMT"/>
          <w:sz w:val="18"/>
          <w:szCs w:val="18"/>
        </w:rPr>
        <w:footnoteReference w:id="46"/>
      </w:r>
      <w:r w:rsidR="00A8681F" w:rsidRPr="00C8325C">
        <w:rPr>
          <w:lang w:val="en-US"/>
        </w:rPr>
        <w:t>. His wife and mother-in-law were summoned and, two days later, they showed up at the summons where an officer threatened to strip them of custody of their 4-year-old daughter</w:t>
      </w:r>
      <w:r w:rsidR="006B7195" w:rsidRPr="00E9543F">
        <w:rPr>
          <w:rStyle w:val="FootnoteReference"/>
          <w:rFonts w:cs="TimesNewRomanPSMT"/>
          <w:sz w:val="18"/>
          <w:szCs w:val="18"/>
        </w:rPr>
        <w:footnoteReference w:id="47"/>
      </w:r>
      <w:r w:rsidR="006B7195" w:rsidRPr="00C8325C">
        <w:rPr>
          <w:lang w:val="en-US"/>
        </w:rPr>
        <w:t>. The IACHR notes that the summons was described by Mr. Castillo Pérez in a live broadcast on Facebook</w:t>
      </w:r>
      <w:r w:rsidR="00D77396" w:rsidRPr="00E9543F">
        <w:rPr>
          <w:rStyle w:val="FootnoteReference"/>
          <w:rFonts w:cs="TimesNewRomanPSMT"/>
          <w:sz w:val="18"/>
          <w:szCs w:val="18"/>
        </w:rPr>
        <w:footnoteReference w:id="48"/>
      </w:r>
      <w:r w:rsidR="00D77396" w:rsidRPr="00C8325C">
        <w:rPr>
          <w:lang w:val="en-US"/>
        </w:rPr>
        <w:t xml:space="preserve">. </w:t>
      </w:r>
    </w:p>
    <w:p w14:paraId="68D93016" w14:textId="7A6A07C1" w:rsidR="003F4419" w:rsidRPr="00C8325C" w:rsidRDefault="00D94655" w:rsidP="00D16E19">
      <w:pPr>
        <w:pStyle w:val="ListParagraph"/>
        <w:numPr>
          <w:ilvl w:val="0"/>
          <w:numId w:val="66"/>
        </w:numPr>
        <w:rPr>
          <w:lang w:val="en-US"/>
        </w:rPr>
      </w:pPr>
      <w:r w:rsidRPr="00C8325C">
        <w:rPr>
          <w:lang w:val="en-US"/>
        </w:rPr>
        <w:t>Between August 3 and November 14, 2020, the petitioner reported seven detentions for short periods of time. With respect to these facts, the Commission notes that various news items and videos have been published on YouTube and Facebook about the arrests</w:t>
      </w:r>
      <w:r w:rsidR="009B7CD6" w:rsidRPr="00BD6C53">
        <w:rPr>
          <w:rStyle w:val="FootnoteReference"/>
          <w:rFonts w:cs="TimesNewRomanPSMT"/>
          <w:sz w:val="18"/>
          <w:szCs w:val="18"/>
        </w:rPr>
        <w:footnoteReference w:id="49"/>
      </w:r>
      <w:r w:rsidR="009B7CD6" w:rsidRPr="00C8325C">
        <w:rPr>
          <w:lang w:val="en-US"/>
        </w:rPr>
        <w:t>. In particular, on November 13, 2020, according to IACHR Resolution 14/2021, members of the MSI again agreed to request information on the reasons for Mr. Solís González's detention. However, Maykel Castillo Pérez was detained by state agents before he could reach the police station itself, where he was transferred to two different police stations before being released</w:t>
      </w:r>
      <w:r w:rsidR="003F4419" w:rsidRPr="00BD6C53">
        <w:rPr>
          <w:rStyle w:val="FootnoteReference"/>
          <w:sz w:val="18"/>
          <w:szCs w:val="18"/>
        </w:rPr>
        <w:footnoteReference w:id="50"/>
      </w:r>
      <w:r w:rsidR="003F4419" w:rsidRPr="00C8325C">
        <w:rPr>
          <w:lang w:val="en-US"/>
        </w:rPr>
        <w:t>.</w:t>
      </w:r>
    </w:p>
    <w:p w14:paraId="406F83AB" w14:textId="0B2A17A1" w:rsidR="005F2A7B" w:rsidRPr="00C8325C" w:rsidRDefault="006F54E9" w:rsidP="00D16E19">
      <w:pPr>
        <w:pStyle w:val="ListParagraph"/>
        <w:numPr>
          <w:ilvl w:val="0"/>
          <w:numId w:val="66"/>
        </w:numPr>
        <w:rPr>
          <w:lang w:val="en-US"/>
        </w:rPr>
      </w:pPr>
      <w:r w:rsidRPr="00C8325C">
        <w:rPr>
          <w:lang w:val="en-US"/>
        </w:rPr>
        <w:t>On November 18, 2020, Mr. Castillo Pérez was one of the San Isidro barracks, a group of artists and activists who participated in a campaign for the release of fellow rapper Denis Solís. During the campaign, the petitioner observes that they were harassed by the police forces and several of the members of the barracks decided to go on hunger strike, including the alleged victim</w:t>
      </w:r>
      <w:r w:rsidR="003F4419" w:rsidRPr="00E9543F">
        <w:rPr>
          <w:rStyle w:val="FootnoteReference"/>
          <w:rFonts w:cs="TimesNewRomanPSMT"/>
          <w:sz w:val="18"/>
          <w:szCs w:val="18"/>
        </w:rPr>
        <w:footnoteReference w:id="51"/>
      </w:r>
      <w:r w:rsidR="00323E53" w:rsidRPr="00C8325C">
        <w:rPr>
          <w:lang w:val="en-US"/>
        </w:rPr>
        <w:t xml:space="preserve">. </w:t>
      </w:r>
    </w:p>
    <w:p w14:paraId="5F50144A" w14:textId="62F29C90" w:rsidR="00844082" w:rsidRPr="00C8325C" w:rsidRDefault="00844082" w:rsidP="00D16E19">
      <w:pPr>
        <w:pStyle w:val="ListParagraph"/>
        <w:numPr>
          <w:ilvl w:val="0"/>
          <w:numId w:val="66"/>
        </w:numPr>
        <w:rPr>
          <w:rFonts w:cs="TimesNewRomanPSMT"/>
          <w:lang w:val="en-US"/>
        </w:rPr>
      </w:pPr>
      <w:r w:rsidRPr="00C8325C">
        <w:rPr>
          <w:lang w:val="en-US"/>
        </w:rPr>
        <w:t xml:space="preserve">On November 21, 2020, according to </w:t>
      </w:r>
      <w:r w:rsidRPr="00C8325C">
        <w:rPr>
          <w:rFonts w:cs="TimesNewRomanPSMT"/>
          <w:lang w:val="en-US"/>
        </w:rPr>
        <w:t>IACHR Resolution 14/2021, the authorities mistreated the minor daughter</w:t>
      </w:r>
      <w:r w:rsidRPr="00C8325C">
        <w:rPr>
          <w:lang w:val="en-US"/>
        </w:rPr>
        <w:t xml:space="preserve"> of Maykel Castillo Pérez (5 years old) by preventing her from passing the police fence and bringing water and other basic necessities to her father. </w:t>
      </w:r>
      <w:r w:rsidRPr="00C8325C">
        <w:rPr>
          <w:rFonts w:cs="TimesNewRomanPSMT"/>
          <w:lang w:val="en-US"/>
        </w:rPr>
        <w:t xml:space="preserve">Rosmelys Hernández, </w:t>
      </w:r>
      <w:r w:rsidRPr="00C8325C">
        <w:rPr>
          <w:lang w:val="en-US"/>
        </w:rPr>
        <w:t>wife of Maykel Castillo Pérez, was also mistreated</w:t>
      </w:r>
      <w:r w:rsidRPr="00BD6C53">
        <w:rPr>
          <w:rStyle w:val="FootnoteReference"/>
          <w:sz w:val="18"/>
          <w:szCs w:val="18"/>
        </w:rPr>
        <w:footnoteReference w:id="52"/>
      </w:r>
      <w:r w:rsidRPr="00C8325C">
        <w:rPr>
          <w:lang w:val="en-US"/>
        </w:rPr>
        <w:t xml:space="preserve">. </w:t>
      </w:r>
    </w:p>
    <w:p w14:paraId="0B008185" w14:textId="50B86542" w:rsidR="00735CAE" w:rsidRPr="00C8325C" w:rsidRDefault="00735CAE" w:rsidP="00D16E19">
      <w:pPr>
        <w:pStyle w:val="ListParagraph"/>
        <w:numPr>
          <w:ilvl w:val="0"/>
          <w:numId w:val="66"/>
        </w:numPr>
        <w:rPr>
          <w:lang w:val="en-US"/>
        </w:rPr>
      </w:pPr>
      <w:r w:rsidRPr="00C8325C">
        <w:rPr>
          <w:lang w:val="en-US"/>
        </w:rPr>
        <w:t>On November 26, 2020, he was one of the 14 people who were quartered at the MSI headquarters, where he was arrested. The next day, several young people gathered outside the Ministry of Culture and staged a collective protest action there. After a promise of dialogue, repression intensified with involuntary home confinement and surveillance and arbitrary detentions of artists and activists, in addition to a campaign of criminalization where they were presented as mercenaries paid by the United States (Yankee imperialism) to destabilize the Cuban government</w:t>
      </w:r>
      <w:r w:rsidR="003F4419" w:rsidRPr="00E9543F">
        <w:rPr>
          <w:rStyle w:val="FootnoteReference"/>
          <w:rFonts w:cs="TimesNewRomanPSMT"/>
          <w:sz w:val="18"/>
          <w:szCs w:val="18"/>
        </w:rPr>
        <w:footnoteReference w:id="53"/>
      </w:r>
      <w:r w:rsidR="00BB68C2" w:rsidRPr="00C8325C">
        <w:rPr>
          <w:lang w:val="en-US"/>
        </w:rPr>
        <w:t>.</w:t>
      </w:r>
    </w:p>
    <w:p w14:paraId="568EF72C" w14:textId="69D46BE9" w:rsidR="00300A44" w:rsidRPr="00C8325C" w:rsidRDefault="00735CAE" w:rsidP="00D16E19">
      <w:pPr>
        <w:pStyle w:val="ListParagraph"/>
        <w:numPr>
          <w:ilvl w:val="0"/>
          <w:numId w:val="66"/>
        </w:numPr>
        <w:rPr>
          <w:lang w:val="en-US"/>
        </w:rPr>
      </w:pPr>
      <w:r w:rsidRPr="00C8325C">
        <w:rPr>
          <w:lang w:val="en-US"/>
        </w:rPr>
        <w:lastRenderedPageBreak/>
        <w:t>Between November 27 and December 1, 2020, he remained besieged at home, under police siege, without the possibility of going out or communicating with his friends, as home confinement</w:t>
      </w:r>
      <w:r w:rsidR="00AB0D73" w:rsidRPr="00BD6C53">
        <w:rPr>
          <w:rStyle w:val="FootnoteReference"/>
          <w:rFonts w:cs="TimesNewRomanPSMT"/>
          <w:sz w:val="18"/>
          <w:szCs w:val="18"/>
        </w:rPr>
        <w:footnoteReference w:id="54"/>
      </w:r>
      <w:r w:rsidR="00AB0D73" w:rsidRPr="00C8325C">
        <w:rPr>
          <w:lang w:val="en-US"/>
        </w:rPr>
        <w:t>. With respect to these facts, the Commission takes note of a press video in which Mrs. Anamely Ramos González (a member of the San Isidro Movement) comments on the situation of Mr. Castillo Pérez's home siege and states that he was "half incommunicado" and "without food."</w:t>
      </w:r>
      <w:r w:rsidR="00AB0D73" w:rsidRPr="00BD6C53">
        <w:rPr>
          <w:rStyle w:val="FootnoteReference"/>
          <w:rFonts w:cs="TimesNewRomanPSMT"/>
          <w:sz w:val="18"/>
          <w:szCs w:val="18"/>
        </w:rPr>
        <w:footnoteReference w:id="55"/>
      </w:r>
      <w:r w:rsidR="00AB0D73" w:rsidRPr="00C8325C">
        <w:rPr>
          <w:lang w:val="en-US"/>
        </w:rPr>
        <w:t xml:space="preserve">  </w:t>
      </w:r>
    </w:p>
    <w:p w14:paraId="6509316A" w14:textId="216DFBFA" w:rsidR="00E56E67" w:rsidRPr="00C8325C" w:rsidRDefault="00735CAE" w:rsidP="00D16E19">
      <w:pPr>
        <w:pStyle w:val="ListParagraph"/>
        <w:numPr>
          <w:ilvl w:val="0"/>
          <w:numId w:val="66"/>
        </w:numPr>
        <w:rPr>
          <w:lang w:val="en-US"/>
        </w:rPr>
      </w:pPr>
      <w:r w:rsidRPr="00C8325C">
        <w:rPr>
          <w:lang w:val="en-US"/>
        </w:rPr>
        <w:t>Between December 15, 2020 and January 23, 2021, he was arrested three times</w:t>
      </w:r>
      <w:r w:rsidR="00B00E22" w:rsidRPr="00E9543F">
        <w:rPr>
          <w:rStyle w:val="FootnoteReference"/>
          <w:rFonts w:cs="TimesNewRomanPSMT"/>
          <w:sz w:val="18"/>
          <w:szCs w:val="18"/>
        </w:rPr>
        <w:footnoteReference w:id="56"/>
      </w:r>
      <w:r w:rsidR="00E829B8" w:rsidRPr="00C8325C">
        <w:rPr>
          <w:lang w:val="en-US"/>
        </w:rPr>
        <w:t>. With respect to the arrest that occurred on December 15, 2020, the Commission notes a direct Facebook broadcast showing the arrest of Mr. Castillo Pérez as he left the home of an activist friend</w:t>
      </w:r>
      <w:r w:rsidR="00B00E22" w:rsidRPr="00E9543F">
        <w:rPr>
          <w:rStyle w:val="FootnoteReference"/>
          <w:rFonts w:cs="TimesNewRomanPSMT"/>
          <w:sz w:val="18"/>
          <w:szCs w:val="18"/>
        </w:rPr>
        <w:footnoteReference w:id="57"/>
      </w:r>
      <w:r w:rsidR="00B00E22" w:rsidRPr="00C8325C">
        <w:rPr>
          <w:lang w:val="en-US"/>
        </w:rPr>
        <w:t>. The IACHR also observes that one of the arrests occurred in the context of an artistic-religious pilgrimage to demand the release of a colleague</w:t>
      </w:r>
      <w:r w:rsidR="003F4419" w:rsidRPr="00E9543F">
        <w:rPr>
          <w:rStyle w:val="FootnoteReference"/>
          <w:rFonts w:cs="TimesNewRomanPSMT"/>
          <w:sz w:val="18"/>
          <w:szCs w:val="18"/>
        </w:rPr>
        <w:footnoteReference w:id="58"/>
      </w:r>
      <w:r w:rsidR="009D3279" w:rsidRPr="00C8325C">
        <w:rPr>
          <w:lang w:val="en-US"/>
        </w:rPr>
        <w:t xml:space="preserve">. </w:t>
      </w:r>
    </w:p>
    <w:p w14:paraId="2ED8A295" w14:textId="0E1ED710" w:rsidR="00E56E67" w:rsidRPr="00C8325C" w:rsidRDefault="00735CAE" w:rsidP="00D16E19">
      <w:pPr>
        <w:pStyle w:val="ListParagraph"/>
        <w:numPr>
          <w:ilvl w:val="0"/>
          <w:numId w:val="66"/>
        </w:numPr>
        <w:rPr>
          <w:lang w:val="en-US"/>
        </w:rPr>
      </w:pPr>
      <w:r w:rsidRPr="00C8325C">
        <w:rPr>
          <w:lang w:val="en-US"/>
        </w:rPr>
        <w:t>On January 27, 2021, a group of young people had gathered in front of the Ministry of Culture to demand a meeting with the deputy minister. The demonstration turned to the arrest of artists Katherine Bisquet, Tania Brugera and journalist Camila Acosta, so they gathered to demand their release. The situation escalated and concluded with a mass arrest of those present, including Mr. Castillo Pérez</w:t>
      </w:r>
      <w:r w:rsidR="00A8681F" w:rsidRPr="00BD6C53">
        <w:rPr>
          <w:rStyle w:val="FootnoteReference"/>
          <w:rFonts w:cs="TimesNewRomanPSMT"/>
          <w:sz w:val="18"/>
          <w:szCs w:val="18"/>
        </w:rPr>
        <w:footnoteReference w:id="59"/>
      </w:r>
      <w:r w:rsidR="00E829B8" w:rsidRPr="00C8325C">
        <w:rPr>
          <w:lang w:val="en-US"/>
        </w:rPr>
        <w:t>. The Commission notes that the facts reported were received by various press releases</w:t>
      </w:r>
      <w:r w:rsidR="00DC5CBF" w:rsidRPr="00BD6C53">
        <w:rPr>
          <w:rStyle w:val="FootnoteReference"/>
          <w:rFonts w:cs="TimesNewRomanPSMT"/>
          <w:sz w:val="18"/>
          <w:szCs w:val="18"/>
        </w:rPr>
        <w:footnoteReference w:id="60"/>
      </w:r>
      <w:r w:rsidR="00DC5CBF" w:rsidRPr="00C8325C">
        <w:rPr>
          <w:lang w:val="en-US"/>
        </w:rPr>
        <w:t>. In Maykel's case, according to a press release, he was taken away separately from the rest of the group where he was told: "You are a leader and leaders are separated and mistreated." He was released in the early hours of January 28</w:t>
      </w:r>
      <w:r w:rsidR="00DC5CBF" w:rsidRPr="00BD6C53">
        <w:rPr>
          <w:rStyle w:val="FootnoteReference"/>
          <w:rFonts w:cs="TimesNewRomanPSMT"/>
          <w:sz w:val="18"/>
          <w:szCs w:val="18"/>
        </w:rPr>
        <w:footnoteReference w:id="61"/>
      </w:r>
      <w:r w:rsidR="00E829B8" w:rsidRPr="00C8325C">
        <w:rPr>
          <w:lang w:val="en-US"/>
        </w:rPr>
        <w:t>. In the following days, he was arrested several times</w:t>
      </w:r>
      <w:r w:rsidR="00B00E22" w:rsidRPr="00BD6C53">
        <w:rPr>
          <w:rStyle w:val="FootnoteReference"/>
          <w:rFonts w:cs="TimesNewRomanPSMT"/>
          <w:sz w:val="18"/>
          <w:szCs w:val="18"/>
        </w:rPr>
        <w:footnoteReference w:id="62"/>
      </w:r>
      <w:r w:rsidR="00E829B8" w:rsidRPr="00C8325C">
        <w:rPr>
          <w:lang w:val="en-US"/>
        </w:rPr>
        <w:t xml:space="preserve">. </w:t>
      </w:r>
    </w:p>
    <w:p w14:paraId="7BA01820" w14:textId="5C7565F9" w:rsidR="00BB68C2" w:rsidRPr="00C8325C" w:rsidRDefault="00735CAE" w:rsidP="00D16E19">
      <w:pPr>
        <w:pStyle w:val="ListParagraph"/>
        <w:numPr>
          <w:ilvl w:val="0"/>
          <w:numId w:val="66"/>
        </w:numPr>
        <w:rPr>
          <w:lang w:val="en-US"/>
        </w:rPr>
      </w:pPr>
      <w:r w:rsidRPr="00C8325C">
        <w:rPr>
          <w:lang w:val="en-US"/>
        </w:rPr>
        <w:t>On February 1, he was arrested twice. On the one hand, while he was making a live broadcast in which he gave his opinion on the demand for the dismissal of the Minister of Culture and, on the other, while he was making a live broadcast for Facebook in relation to the arrest of the activist Hanoi Morán. He was arrested again on February 9</w:t>
      </w:r>
      <w:r w:rsidR="00BE35A4" w:rsidRPr="00BD6C53">
        <w:rPr>
          <w:rStyle w:val="FootnoteReference"/>
          <w:rFonts w:cs="TimesNewRomanPSMT"/>
          <w:sz w:val="18"/>
          <w:szCs w:val="18"/>
        </w:rPr>
        <w:footnoteReference w:id="63"/>
      </w:r>
      <w:r w:rsidR="000E2D77" w:rsidRPr="00C8325C">
        <w:rPr>
          <w:lang w:val="en-US"/>
        </w:rPr>
        <w:t>. With respect to these events, the IACHR indicates that the information was collected by press reports</w:t>
      </w:r>
      <w:r w:rsidR="000E2D77" w:rsidRPr="00BD6C53">
        <w:rPr>
          <w:rStyle w:val="FootnoteReference"/>
          <w:rFonts w:cs="TimesNewRomanPSMT"/>
          <w:sz w:val="18"/>
          <w:szCs w:val="18"/>
        </w:rPr>
        <w:footnoteReference w:id="64"/>
      </w:r>
      <w:r w:rsidR="000E2D77" w:rsidRPr="00C8325C">
        <w:rPr>
          <w:lang w:val="en-US"/>
        </w:rPr>
        <w:t>.</w:t>
      </w:r>
    </w:p>
    <w:p w14:paraId="36DF8AC1" w14:textId="0C0E6E25" w:rsidR="00BE35A4" w:rsidRPr="00C8325C" w:rsidRDefault="00BB68C2" w:rsidP="00D16E19">
      <w:pPr>
        <w:pStyle w:val="ListParagraph"/>
        <w:numPr>
          <w:ilvl w:val="0"/>
          <w:numId w:val="66"/>
        </w:numPr>
        <w:rPr>
          <w:lang w:val="en-US"/>
        </w:rPr>
      </w:pPr>
      <w:r w:rsidRPr="00C8325C">
        <w:rPr>
          <w:lang w:val="en-US"/>
        </w:rPr>
        <w:t>On February 6, 2021, a neighbor approached Mr. Castillo Pérez when he was on his way to the house of activist Luis Manuel Otero Alcántara and hit him with a machete. This left Maykel with an injury</w:t>
      </w:r>
      <w:r w:rsidR="00B00E22" w:rsidRPr="00E9543F">
        <w:rPr>
          <w:rStyle w:val="FootnoteReference"/>
          <w:rFonts w:cs="TimesNewRomanPSMT"/>
          <w:sz w:val="18"/>
          <w:szCs w:val="18"/>
        </w:rPr>
        <w:footnoteReference w:id="65"/>
      </w:r>
      <w:r w:rsidRPr="00C8325C">
        <w:rPr>
          <w:lang w:val="en-US"/>
        </w:rPr>
        <w:t>. The Commission notes two Facebook videos in which Mr. Maykel Castillo Pérez makes a statement describing the situation, shows the mark left on his back by the machete, and criticizes the situation of violence in Cuba</w:t>
      </w:r>
      <w:r w:rsidR="00BE35A4" w:rsidRPr="00E9543F">
        <w:rPr>
          <w:rStyle w:val="FootnoteReference"/>
          <w:rFonts w:cs="TimesNewRomanPSMT"/>
          <w:sz w:val="18"/>
          <w:szCs w:val="18"/>
        </w:rPr>
        <w:footnoteReference w:id="66"/>
      </w:r>
      <w:r w:rsidR="00BE35A4" w:rsidRPr="00C8325C">
        <w:rPr>
          <w:lang w:val="en-US"/>
        </w:rPr>
        <w:t>.</w:t>
      </w:r>
    </w:p>
    <w:p w14:paraId="41C3603C" w14:textId="62DFAA28" w:rsidR="0012213C" w:rsidRPr="00C8325C" w:rsidRDefault="000A34C9" w:rsidP="00D16E19">
      <w:pPr>
        <w:pStyle w:val="ListParagraph"/>
        <w:numPr>
          <w:ilvl w:val="0"/>
          <w:numId w:val="66"/>
        </w:numPr>
        <w:rPr>
          <w:lang w:val="en-US"/>
        </w:rPr>
      </w:pPr>
      <w:r w:rsidRPr="00C8325C">
        <w:rPr>
          <w:lang w:val="en-US"/>
        </w:rPr>
        <w:t>On March 6, 2021 and March 12, 2021, Maykel Castillo Pérez was arrested by police forces</w:t>
      </w:r>
      <w:r w:rsidR="003803D7" w:rsidRPr="00E9543F">
        <w:rPr>
          <w:rStyle w:val="FootnoteReference"/>
          <w:rFonts w:cs="TimesNewRomanPSMT"/>
          <w:sz w:val="18"/>
          <w:szCs w:val="18"/>
        </w:rPr>
        <w:footnoteReference w:id="67"/>
      </w:r>
      <w:r w:rsidR="00300A44" w:rsidRPr="00C8325C">
        <w:rPr>
          <w:lang w:val="en-US"/>
        </w:rPr>
        <w:t>.</w:t>
      </w:r>
    </w:p>
    <w:p w14:paraId="48109425" w14:textId="37F05D86" w:rsidR="009B7CD6" w:rsidRPr="00F66E08" w:rsidRDefault="009B7CD6" w:rsidP="009B7CD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rPr>
      </w:pPr>
    </w:p>
    <w:p w14:paraId="64C307C4" w14:textId="581B71FF" w:rsidR="00015735" w:rsidRPr="00F66E08" w:rsidRDefault="00015735" w:rsidP="002A019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rPr>
      </w:pPr>
      <w:r w:rsidRPr="00E9543F">
        <w:rPr>
          <w:rFonts w:asciiTheme="majorHAnsi" w:hAnsiTheme="majorHAnsi"/>
          <w:sz w:val="20"/>
          <w:szCs w:val="20"/>
        </w:rPr>
        <w:t xml:space="preserve">The Commission observes that there are subsequent events related to Mr. Castillo Pérez that have been identified in digital media, and communications from civil society organizations and international organizations, as detailed below.   </w:t>
      </w:r>
    </w:p>
    <w:p w14:paraId="40740740" w14:textId="77777777" w:rsidR="000C3CD9" w:rsidRPr="00F66E08" w:rsidRDefault="000C3CD9" w:rsidP="002A0199">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rPr>
      </w:pPr>
    </w:p>
    <w:p w14:paraId="154B40C6" w14:textId="74487859" w:rsidR="006212B3" w:rsidRPr="00BD6C53" w:rsidRDefault="00C03B38" w:rsidP="002A019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00BD6C53">
        <w:rPr>
          <w:rFonts w:ascii="Cambria" w:hAnsi="Cambria"/>
          <w:sz w:val="20"/>
          <w:szCs w:val="20"/>
        </w:rPr>
        <w:t xml:space="preserve">The Commission notes that on </w:t>
      </w:r>
      <w:r w:rsidR="006212B3" w:rsidRPr="00BD6C53">
        <w:rPr>
          <w:rFonts w:ascii="Cambria" w:hAnsi="Cambria"/>
          <w:sz w:val="20"/>
          <w:szCs w:val="20"/>
        </w:rPr>
        <w:t xml:space="preserve"> May 25, 2021, the organization Prisoners Defender filed an urgent request for action with the United Nations Committee on Enforced Disappearances for the alleged disappearance of Maykel Castillo Pérez a week earlier. The Committee held that: </w:t>
      </w:r>
    </w:p>
    <w:p w14:paraId="6ACD7E73" w14:textId="77777777" w:rsidR="000E02EC" w:rsidRPr="00E9543F" w:rsidRDefault="000E02EC" w:rsidP="000E02E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5D5C5141" w14:textId="24AC606A" w:rsidR="00C03B38" w:rsidRPr="00C8325C" w:rsidRDefault="00C03B38" w:rsidP="00EF175E">
      <w:pPr>
        <w:pStyle w:val="ListParagraph"/>
        <w:numPr>
          <w:ilvl w:val="0"/>
          <w:numId w:val="0"/>
        </w:numPr>
        <w:ind w:left="720"/>
        <w:rPr>
          <w:lang w:val="en-US"/>
        </w:rPr>
      </w:pPr>
      <w:r w:rsidRPr="00C8325C">
        <w:rPr>
          <w:lang w:val="en-US"/>
        </w:rPr>
        <w:t>According to the information received by the Committee, Mr. Maykel Castillo Pérez was having lunch at his residence (Lamparilla No. 408, Old Havana municipality), on May 18, 2021, when, at around 5 p.m., agents of the National Revolutionary Police (PNR) and State Security arrived. The officers arrested and handcuffed Mr. Maykel Castillo Pérez and took him from his home, not allowing him to wear shoes or a shirt. As of this day, the whereabouts of Mr. Maykel Castillo Pérez have been unknown.</w:t>
      </w:r>
    </w:p>
    <w:p w14:paraId="6067A1A9" w14:textId="77777777" w:rsidR="006212B3" w:rsidRPr="00C8325C" w:rsidRDefault="006212B3" w:rsidP="00EF175E">
      <w:pPr>
        <w:pStyle w:val="ListParagraph"/>
        <w:numPr>
          <w:ilvl w:val="0"/>
          <w:numId w:val="0"/>
        </w:numPr>
        <w:ind w:left="720"/>
        <w:rPr>
          <w:lang w:val="en-US"/>
        </w:rPr>
      </w:pPr>
      <w:r w:rsidRPr="00C8325C">
        <w:rPr>
          <w:lang w:val="en-US"/>
        </w:rPr>
        <w:t xml:space="preserve">According to the information received by the Committee, Mr. Maykel Castillo Pérez's relatives called information board 106, where they were told that Mr. Maykel Castillo Pérez was being held at the Fourth Station of the P.N.R., located on the Calzada de Infanta between Avenida Arroyo (Manglar) and Calle Amenidad.  in the Municipality of El Cerro. When his relatives called the P.N.R. station, they were told that Mr. Maykel Castillo Pérez was not being held there. </w:t>
      </w:r>
    </w:p>
    <w:p w14:paraId="5A4A0FA1" w14:textId="0EF7B3C5" w:rsidR="006212B3" w:rsidRPr="00C8325C" w:rsidRDefault="006212B3" w:rsidP="00EF175E">
      <w:pPr>
        <w:pStyle w:val="ListParagraph"/>
        <w:numPr>
          <w:ilvl w:val="0"/>
          <w:numId w:val="0"/>
        </w:numPr>
        <w:ind w:left="720"/>
        <w:rPr>
          <w:lang w:val="en-US"/>
        </w:rPr>
      </w:pPr>
      <w:r w:rsidRPr="00C8325C">
        <w:rPr>
          <w:lang w:val="en-US"/>
        </w:rPr>
        <w:t>According to the information received by the Committee, the next of kin of Mr. Maykel Castillo Pérez filed a habeas corpus on May 19, 2021. On May 24, 2021, the People's Provincial Court of Havana responded that Mr. Maykel Castillo Pérez is subject to the precautionary measure of pretrial detention. According to the information received by the Committee, the actual existence and reason for the precautionary measure is unknown and Mr. Maykel Castillo Pérez has not had the right to communicate with his family or his lawyer</w:t>
      </w:r>
      <w:r w:rsidR="009B2DFF" w:rsidRPr="00E9543F">
        <w:rPr>
          <w:rStyle w:val="FootnoteReference"/>
          <w:sz w:val="18"/>
          <w:szCs w:val="18"/>
        </w:rPr>
        <w:footnoteReference w:id="68"/>
      </w:r>
      <w:r w:rsidR="008C4951" w:rsidRPr="00C8325C">
        <w:rPr>
          <w:lang w:val="en-US"/>
        </w:rPr>
        <w:t>.</w:t>
      </w:r>
    </w:p>
    <w:p w14:paraId="24A46753" w14:textId="6DA0CBAB" w:rsidR="00807CAC" w:rsidRPr="00F66E08" w:rsidRDefault="00807CAC" w:rsidP="00807CA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rPr>
      </w:pPr>
    </w:p>
    <w:p w14:paraId="0A3B7705" w14:textId="15A8E6C2" w:rsidR="00E143F8" w:rsidRPr="00F66E08" w:rsidRDefault="00015735"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rPr>
      </w:pPr>
      <w:r w:rsidRPr="00BD6C53">
        <w:rPr>
          <w:rFonts w:ascii="Cambria" w:hAnsi="Cambria"/>
          <w:sz w:val="20"/>
          <w:szCs w:val="20"/>
        </w:rPr>
        <w:t xml:space="preserve">The Commission notes that it does not have further information on the proceedings before the Committee on Enforced Disappearances. </w:t>
      </w:r>
    </w:p>
    <w:p w14:paraId="24ACBB09" w14:textId="5DC7A864" w:rsidR="00E143F8" w:rsidRPr="00F66E08" w:rsidRDefault="00E143F8" w:rsidP="00B82A2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rPr>
      </w:pPr>
    </w:p>
    <w:p w14:paraId="687623EF" w14:textId="07EAD036" w:rsidR="00FD08BD" w:rsidRPr="00F66E08" w:rsidRDefault="00E101A0"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rPr>
      </w:pPr>
      <w:r w:rsidRPr="00BD6C53">
        <w:rPr>
          <w:rFonts w:ascii="Cambria" w:hAnsi="Cambria"/>
          <w:sz w:val="20"/>
          <w:szCs w:val="20"/>
        </w:rPr>
        <w:t>In response to the arrest of Mr. Castillo on May 18, 2021 (</w:t>
      </w:r>
      <w:r w:rsidRPr="00BD6C53">
        <w:rPr>
          <w:rFonts w:ascii="Cambria" w:hAnsi="Cambria"/>
          <w:i/>
          <w:iCs/>
          <w:sz w:val="20"/>
          <w:szCs w:val="20"/>
        </w:rPr>
        <w:t>supra</w:t>
      </w:r>
      <w:r w:rsidRPr="00BD6C53">
        <w:rPr>
          <w:rFonts w:ascii="Cambria" w:hAnsi="Cambria"/>
          <w:sz w:val="20"/>
          <w:szCs w:val="20"/>
        </w:rPr>
        <w:t xml:space="preserve"> para. 35), a joint statement was issued by the organizations CADAL, </w:t>
      </w:r>
      <w:r w:rsidR="000F30A5" w:rsidRPr="00BD6C53">
        <w:rPr>
          <w:rFonts w:ascii="Cambria" w:hAnsi="Cambria"/>
          <w:i/>
          <w:iCs/>
          <w:sz w:val="20"/>
          <w:szCs w:val="20"/>
        </w:rPr>
        <w:t>Freedom House</w:t>
      </w:r>
      <w:r w:rsidR="000F30A5" w:rsidRPr="00BD6C53">
        <w:rPr>
          <w:rFonts w:ascii="Cambria" w:hAnsi="Cambria"/>
          <w:sz w:val="20"/>
          <w:szCs w:val="20"/>
        </w:rPr>
        <w:t xml:space="preserve">, </w:t>
      </w:r>
      <w:r w:rsidR="000F30A5" w:rsidRPr="00BD6C53">
        <w:rPr>
          <w:rFonts w:ascii="Cambria" w:hAnsi="Cambria"/>
          <w:i/>
          <w:iCs/>
          <w:sz w:val="20"/>
          <w:szCs w:val="20"/>
        </w:rPr>
        <w:t>Freemuse</w:t>
      </w:r>
      <w:r w:rsidR="000F30A5" w:rsidRPr="00BD6C53">
        <w:rPr>
          <w:rFonts w:ascii="Cambria" w:hAnsi="Cambria"/>
          <w:sz w:val="20"/>
          <w:szCs w:val="20"/>
        </w:rPr>
        <w:t>, PEN America, and PEN International. They requested a report to the United Nations Working Group on Arbitrary Detention on the detention of Mr. Castillo Pérez</w:t>
      </w:r>
      <w:r w:rsidR="000F30A5" w:rsidRPr="00BD6C53">
        <w:rPr>
          <w:rStyle w:val="FootnoteReference"/>
          <w:rFonts w:ascii="Cambria" w:hAnsi="Cambria"/>
          <w:sz w:val="20"/>
          <w:szCs w:val="20"/>
        </w:rPr>
        <w:footnoteReference w:id="69"/>
      </w:r>
      <w:r w:rsidR="000F30A5" w:rsidRPr="00BD6C53">
        <w:rPr>
          <w:rFonts w:ascii="Cambria" w:hAnsi="Cambria"/>
          <w:sz w:val="20"/>
          <w:szCs w:val="20"/>
        </w:rPr>
        <w:t xml:space="preserve">. The Commission notes that, in response to the request made, the United Nations Working Group concluded as follows: </w:t>
      </w:r>
    </w:p>
    <w:p w14:paraId="25954AB2" w14:textId="77777777" w:rsidR="00FD08BD" w:rsidRPr="00F66E08" w:rsidRDefault="00FD08BD" w:rsidP="00FD08BD">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rPr>
      </w:pPr>
    </w:p>
    <w:p w14:paraId="3AC5B892" w14:textId="5C9F2783" w:rsidR="00FD08BD" w:rsidRPr="00C8325C" w:rsidRDefault="00FD08BD" w:rsidP="00EF175E">
      <w:pPr>
        <w:pStyle w:val="ListParagraph"/>
        <w:numPr>
          <w:ilvl w:val="0"/>
          <w:numId w:val="0"/>
        </w:numPr>
        <w:ind w:left="720"/>
        <w:rPr>
          <w:lang w:val="en-US"/>
        </w:rPr>
      </w:pPr>
      <w:r w:rsidRPr="00C8325C">
        <w:rPr>
          <w:lang w:val="en-US"/>
        </w:rPr>
        <w:t>The deprivation of liberty of Maykel Castillo Pérez is arbitrary, in that it contravenes articles 3, 5, 8, 9, 10, 11 and 12 of the Universal Declaration of Human Rights (...).</w:t>
      </w:r>
    </w:p>
    <w:p w14:paraId="5FCD3F6B" w14:textId="77777777" w:rsidR="00FD08BD" w:rsidRPr="00C8325C" w:rsidRDefault="00FD08BD" w:rsidP="00EF175E">
      <w:pPr>
        <w:pStyle w:val="ListParagraph"/>
        <w:numPr>
          <w:ilvl w:val="0"/>
          <w:numId w:val="0"/>
        </w:numPr>
        <w:ind w:left="720"/>
        <w:rPr>
          <w:lang w:val="en-US"/>
        </w:rPr>
      </w:pPr>
      <w:r w:rsidRPr="00C8325C">
        <w:rPr>
          <w:lang w:val="en-US"/>
        </w:rPr>
        <w:t xml:space="preserve">The Working Group is of the view that, taking into account all the circumstances of the case, the appropriate remedy would be to release Mr. Castillo immediately and to grant him the effective right to compensation and other reparations, in accordance with international law. </w:t>
      </w:r>
    </w:p>
    <w:p w14:paraId="44504485" w14:textId="6006E64D" w:rsidR="00FD08BD" w:rsidRPr="00C8325C" w:rsidRDefault="00FD08BD" w:rsidP="00EF175E">
      <w:pPr>
        <w:pStyle w:val="ListParagraph"/>
        <w:numPr>
          <w:ilvl w:val="0"/>
          <w:numId w:val="0"/>
        </w:numPr>
        <w:ind w:left="720"/>
        <w:rPr>
          <w:lang w:val="en-US"/>
        </w:rPr>
      </w:pPr>
      <w:r w:rsidRPr="00C8325C">
        <w:rPr>
          <w:lang w:val="en-US"/>
        </w:rPr>
        <w:t>The Working Group urges the Government to carry out a thorough and independent investigation into the circumstances surrounding Mr. Castillo's arbitrary deprivation of liberty and to take appropriate action against those responsible for the violation of his rights</w:t>
      </w:r>
      <w:r w:rsidRPr="00E9543F">
        <w:rPr>
          <w:rStyle w:val="FootnoteReference"/>
          <w:sz w:val="18"/>
          <w:szCs w:val="18"/>
        </w:rPr>
        <w:footnoteReference w:id="70"/>
      </w:r>
      <w:r w:rsidRPr="00C8325C">
        <w:rPr>
          <w:lang w:val="en-US"/>
        </w:rPr>
        <w:t>.</w:t>
      </w:r>
    </w:p>
    <w:p w14:paraId="14908468" w14:textId="77777777" w:rsidR="00FD08BD" w:rsidRPr="00F66E08" w:rsidRDefault="00FD08BD" w:rsidP="00FD08BD">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rPr>
      </w:pPr>
    </w:p>
    <w:p w14:paraId="65DC7270" w14:textId="1DE06E1D" w:rsidR="006212B3" w:rsidRPr="00BD6C53" w:rsidRDefault="001B3E44"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00BD6C53">
        <w:rPr>
          <w:rFonts w:ascii="Cambria" w:hAnsi="Cambria"/>
          <w:sz w:val="20"/>
          <w:szCs w:val="20"/>
        </w:rPr>
        <w:t xml:space="preserve">On August 1, 2023, Amnesty International issued a communication of urgent action on the situation of Maykel Castillo Pérez. Amnesty International said: </w:t>
      </w:r>
    </w:p>
    <w:p w14:paraId="26834270" w14:textId="77777777" w:rsidR="006212B3" w:rsidRPr="00E9543F" w:rsidRDefault="006212B3" w:rsidP="00807CA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sz w:val="20"/>
          <w:szCs w:val="20"/>
          <w:lang w:val="es-ES"/>
        </w:rPr>
      </w:pPr>
    </w:p>
    <w:p w14:paraId="0384602B" w14:textId="77777777" w:rsidR="009B2DFF" w:rsidRPr="00C8325C" w:rsidRDefault="006212B3" w:rsidP="00EF175E">
      <w:pPr>
        <w:pStyle w:val="ListParagraph"/>
        <w:numPr>
          <w:ilvl w:val="0"/>
          <w:numId w:val="0"/>
        </w:numPr>
        <w:ind w:left="720"/>
        <w:rPr>
          <w:lang w:val="en-US"/>
        </w:rPr>
      </w:pPr>
      <w:r w:rsidRPr="00C8325C">
        <w:rPr>
          <w:lang w:val="en-US"/>
        </w:rPr>
        <w:t xml:space="preserve">On 18 May 2021, State Security officers arrested him at his home and refused to provide his family and loved ones with information about his whereabouts for the next 10 days. In January 2022, the UN Working Group on Arbitrary Detention concluded that Maykel Castillo Pérez had been arbitrarily detained and stated that the Cuban government should release him immediately. </w:t>
      </w:r>
    </w:p>
    <w:p w14:paraId="4B36B79C" w14:textId="77777777" w:rsidR="009B2DFF" w:rsidRPr="00C8325C" w:rsidRDefault="006212B3" w:rsidP="00EF175E">
      <w:pPr>
        <w:pStyle w:val="ListParagraph"/>
        <w:numPr>
          <w:ilvl w:val="0"/>
          <w:numId w:val="0"/>
        </w:numPr>
        <w:ind w:left="720"/>
        <w:rPr>
          <w:lang w:val="en-US"/>
        </w:rPr>
      </w:pPr>
      <w:r w:rsidRPr="00C8325C">
        <w:rPr>
          <w:lang w:val="en-US"/>
        </w:rPr>
        <w:t xml:space="preserve">The group of UN experts concluded that Castillo Pérez had been detained for exercising his fundamental rights and that he had suffered violations of due process, including abusive limitations on </w:t>
      </w:r>
      <w:r w:rsidRPr="00C8325C">
        <w:rPr>
          <w:lang w:val="en-US"/>
        </w:rPr>
        <w:lastRenderedPageBreak/>
        <w:t xml:space="preserve">his right to defend himself. In June 2022, the People's Municipal Court of Centro Habana sentenced Maykel to nine years in prison. Castillo is currently still in the "Cinco y Medio" prison in Pinar del Río (Cuba), his health is precarious and he has limited access to quality medical care. </w:t>
      </w:r>
    </w:p>
    <w:p w14:paraId="79B8A940" w14:textId="3C420140" w:rsidR="009B2DFF" w:rsidRPr="00C8325C" w:rsidRDefault="006212B3" w:rsidP="00EF175E">
      <w:pPr>
        <w:pStyle w:val="ListParagraph"/>
        <w:numPr>
          <w:ilvl w:val="0"/>
          <w:numId w:val="0"/>
        </w:numPr>
        <w:ind w:left="720"/>
        <w:rPr>
          <w:lang w:val="en-US"/>
        </w:rPr>
      </w:pPr>
      <w:r w:rsidRPr="00C8325C">
        <w:rPr>
          <w:lang w:val="en-US"/>
        </w:rPr>
        <w:t xml:space="preserve">Cuban authorities have not responded to Castillo Pérez's request to leave the country with his family. Both Maykel and his family had been approved to travel to the United States in early 2023. </w:t>
      </w:r>
    </w:p>
    <w:p w14:paraId="66FED9FE" w14:textId="59FDD3F1" w:rsidR="009B2DFF" w:rsidRPr="00C8325C" w:rsidRDefault="006212B3" w:rsidP="00EF175E">
      <w:pPr>
        <w:pStyle w:val="ListParagraph"/>
        <w:numPr>
          <w:ilvl w:val="0"/>
          <w:numId w:val="0"/>
        </w:numPr>
        <w:ind w:left="720"/>
        <w:rPr>
          <w:lang w:val="en-US"/>
        </w:rPr>
      </w:pPr>
      <w:r w:rsidRPr="00C8325C">
        <w:rPr>
          <w:lang w:val="en-US"/>
        </w:rPr>
        <w:t xml:space="preserve">Since early April 2023, the organization began receiving reports that other inmates were harassing and threatening Maykel with harm after authorities installed a camera in the area where he is being held. Maykel filed a complaint with the Cuban authorities, who have not yet given him a response guaranteeing his safety. </w:t>
      </w:r>
    </w:p>
    <w:p w14:paraId="3913AE42" w14:textId="69941479" w:rsidR="006212B3" w:rsidRPr="00C8325C" w:rsidRDefault="006212B3" w:rsidP="00EF175E">
      <w:pPr>
        <w:pStyle w:val="ListParagraph"/>
        <w:numPr>
          <w:ilvl w:val="0"/>
          <w:numId w:val="0"/>
        </w:numPr>
        <w:ind w:left="720"/>
        <w:rPr>
          <w:lang w:val="en-US"/>
        </w:rPr>
      </w:pPr>
      <w:r w:rsidRPr="00C8325C">
        <w:rPr>
          <w:lang w:val="en-US"/>
        </w:rPr>
        <w:t>On July 12, Maykel sewed his mouth and tattooed "Homeland and Life" in protest against the threats to his life that he has received for months from other inmates and State Security agents. The next day, the authorities unstitched his mouth and informed him that, as punishment, they were going to deny him visits from his family</w:t>
      </w:r>
      <w:r w:rsidR="00015735" w:rsidRPr="00E9543F">
        <w:rPr>
          <w:rStyle w:val="FootnoteReference"/>
          <w:sz w:val="18"/>
          <w:szCs w:val="18"/>
        </w:rPr>
        <w:footnoteReference w:id="71"/>
      </w:r>
      <w:r w:rsidR="00FA6E2C" w:rsidRPr="00C8325C">
        <w:rPr>
          <w:lang w:val="en-US"/>
        </w:rPr>
        <w:t>.</w:t>
      </w:r>
    </w:p>
    <w:p w14:paraId="532C607A" w14:textId="77777777" w:rsidR="001A574E" w:rsidRPr="00F66E08" w:rsidRDefault="001A574E" w:rsidP="00F65F7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sz w:val="20"/>
          <w:szCs w:val="20"/>
        </w:rPr>
      </w:pPr>
    </w:p>
    <w:p w14:paraId="1EDF0327" w14:textId="2CACAD8D" w:rsidR="00FC1DAF" w:rsidRPr="00F66E08" w:rsidRDefault="001A574E" w:rsidP="002A019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Theme="majorHAnsi" w:hAnsiTheme="majorHAnsi"/>
          <w:sz w:val="20"/>
          <w:szCs w:val="20"/>
        </w:rPr>
      </w:pPr>
      <w:r w:rsidRPr="00BD6C53">
        <w:rPr>
          <w:rFonts w:asciiTheme="majorHAnsi" w:hAnsiTheme="majorHAnsi"/>
          <w:sz w:val="20"/>
          <w:szCs w:val="20"/>
        </w:rPr>
        <w:t xml:space="preserve">The Commission notes that it does not have further information on the current detention of Mr. Castillo Pérez and his procedural situation. </w:t>
      </w:r>
    </w:p>
    <w:p w14:paraId="510DE307" w14:textId="77777777" w:rsidR="00FC1DAF" w:rsidRPr="00F66E08" w:rsidRDefault="00FC1DAF" w:rsidP="00807CA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sz w:val="20"/>
          <w:szCs w:val="20"/>
        </w:rPr>
      </w:pPr>
    </w:p>
    <w:p w14:paraId="0F6052E6" w14:textId="77777777" w:rsidR="00D12193" w:rsidRPr="00E9543F" w:rsidRDefault="00D12193" w:rsidP="00D16E19">
      <w:pPr>
        <w:pStyle w:val="Heading1"/>
        <w:rPr>
          <w:lang w:val="es-ES"/>
        </w:rPr>
      </w:pPr>
      <w:bookmarkStart w:id="24" w:name="_Toc216356770"/>
      <w:r w:rsidRPr="00E9543F">
        <w:t>LEGAL ANALYSIS</w:t>
      </w:r>
      <w:bookmarkEnd w:id="24"/>
    </w:p>
    <w:p w14:paraId="4D10AB35" w14:textId="77777777" w:rsidR="005D0DB1" w:rsidRPr="00E9543F" w:rsidRDefault="005D0DB1" w:rsidP="00914740">
      <w:pPr>
        <w:tabs>
          <w:tab w:val="left" w:pos="360"/>
        </w:tabs>
        <w:suppressAutoHyphens/>
        <w:rPr>
          <w:rFonts w:asciiTheme="majorHAnsi" w:hAnsiTheme="majorHAnsi"/>
          <w:b/>
          <w:sz w:val="20"/>
          <w:szCs w:val="20"/>
          <w:lang w:val="es-ES"/>
        </w:rPr>
      </w:pPr>
    </w:p>
    <w:p w14:paraId="1384F64F" w14:textId="003B13C0" w:rsidR="000A39E4" w:rsidRPr="00E9543F" w:rsidRDefault="0022273F" w:rsidP="004B1C8A">
      <w:pPr>
        <w:pStyle w:val="Heading2"/>
        <w:numPr>
          <w:ilvl w:val="0"/>
          <w:numId w:val="59"/>
        </w:numPr>
      </w:pPr>
      <w:bookmarkStart w:id="25" w:name="_Toc216356771"/>
      <w:r w:rsidRPr="00E9543F">
        <w:t>Preliminary question</w:t>
      </w:r>
      <w:bookmarkEnd w:id="25"/>
    </w:p>
    <w:p w14:paraId="799183AA" w14:textId="77777777" w:rsidR="00A707DB" w:rsidRPr="00E9543F" w:rsidRDefault="00A707DB" w:rsidP="00A707DB">
      <w:pPr>
        <w:rPr>
          <w:lang w:val="es-ES"/>
        </w:rPr>
      </w:pPr>
    </w:p>
    <w:p w14:paraId="6B43D806" w14:textId="68059E5F" w:rsidR="00A707DB" w:rsidRPr="00F66E08" w:rsidRDefault="00A707DB"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color w:val="000000"/>
          <w:sz w:val="20"/>
          <w:szCs w:val="20"/>
        </w:rPr>
      </w:pPr>
      <w:r w:rsidRPr="00E9543F">
        <w:rPr>
          <w:rFonts w:ascii="Cambria" w:eastAsia="Times New Roman" w:hAnsi="Cambria"/>
          <w:bCs/>
          <w:color w:val="000000"/>
          <w:sz w:val="20"/>
          <w:szCs w:val="20"/>
          <w:bdr w:val="none" w:sz="0" w:space="0" w:color="auto"/>
        </w:rPr>
        <w:t xml:space="preserve">As a preliminary point, the Commission recalls that Article 20 of the Commission's Statute and Article 23 of its Rules of Procedure authorize it to examine alleged violations of the American Declaration by OAS </w:t>
      </w:r>
      <w:r w:rsidRPr="00E9543F">
        <w:rPr>
          <w:rFonts w:ascii="Cambria" w:hAnsi="Cambria"/>
          <w:sz w:val="20"/>
          <w:szCs w:val="20"/>
        </w:rPr>
        <w:t>member</w:t>
      </w:r>
      <w:r w:rsidRPr="00E9543F">
        <w:rPr>
          <w:rFonts w:ascii="Cambria" w:eastAsia="Times New Roman" w:hAnsi="Cambria"/>
          <w:bCs/>
          <w:color w:val="000000"/>
          <w:sz w:val="20"/>
          <w:szCs w:val="20"/>
          <w:bdr w:val="none" w:sz="0" w:space="0" w:color="auto"/>
        </w:rPr>
        <w:t xml:space="preserve"> states  . The IACHR emphasizes that the American Declaration is a source of legal obligations based on the commitment of States to promote the defense of human rights. This is in accordance with the provisions and definition of the OAS Charter</w:t>
      </w:r>
      <w:bookmarkStart w:id="26" w:name="_Ref526241249"/>
      <w:r w:rsidRPr="00E9543F">
        <w:rPr>
          <w:rStyle w:val="FootnoteReference"/>
          <w:rFonts w:ascii="Cambria" w:eastAsia="Times New Roman" w:hAnsi="Cambria"/>
          <w:bCs/>
          <w:sz w:val="20"/>
          <w:szCs w:val="20"/>
          <w:bdr w:val="none" w:sz="0" w:space="0" w:color="auto"/>
        </w:rPr>
        <w:footnoteReference w:id="72"/>
      </w:r>
      <w:bookmarkEnd w:id="26"/>
      <w:r w:rsidRPr="00E9543F">
        <w:rPr>
          <w:rFonts w:ascii="Cambria" w:eastAsia="Times New Roman" w:hAnsi="Cambria"/>
          <w:bCs/>
          <w:color w:val="000000"/>
          <w:sz w:val="20"/>
          <w:szCs w:val="20"/>
          <w:bdr w:val="none" w:sz="0" w:space="0" w:color="auto"/>
        </w:rPr>
        <w:t xml:space="preserve">. </w:t>
      </w:r>
    </w:p>
    <w:p w14:paraId="24C35159" w14:textId="77777777" w:rsidR="00A707DB" w:rsidRPr="00F66E08" w:rsidRDefault="00A707DB" w:rsidP="00B82A24">
      <w:pPr>
        <w:tabs>
          <w:tab w:val="left" w:pos="426"/>
        </w:tabs>
        <w:rPr>
          <w:rFonts w:ascii="Cambria" w:hAnsi="Cambria"/>
          <w:color w:val="000000"/>
          <w:sz w:val="20"/>
          <w:szCs w:val="20"/>
        </w:rPr>
      </w:pPr>
    </w:p>
    <w:p w14:paraId="26A70CFA" w14:textId="17C9903C" w:rsidR="009C7481" w:rsidRPr="00F66E08" w:rsidRDefault="00A707DB"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color w:val="000000"/>
          <w:sz w:val="20"/>
          <w:szCs w:val="20"/>
        </w:rPr>
      </w:pPr>
      <w:r w:rsidRPr="00BD6C53">
        <w:rPr>
          <w:rFonts w:ascii="Cambria" w:eastAsia="Times New Roman" w:hAnsi="Cambria"/>
          <w:color w:val="000000"/>
          <w:sz w:val="20"/>
          <w:szCs w:val="20"/>
          <w:bdr w:val="none" w:sz="0" w:space="0" w:color="auto"/>
        </w:rPr>
        <w:t>In addition, the</w:t>
      </w:r>
      <w:r w:rsidRPr="00BD6C53">
        <w:rPr>
          <w:rFonts w:ascii="Cambria" w:eastAsia="Calibri" w:hAnsi="Cambria"/>
          <w:color w:val="000000"/>
          <w:sz w:val="20"/>
          <w:szCs w:val="20"/>
          <w:bdr w:val="none" w:sz="0" w:space="0" w:color="auto"/>
        </w:rPr>
        <w:t xml:space="preserve"> Commission has long maintained that it is necessary to consider the provisions of the American Declaration in the broader context of the inter-American system and the international human rights system, in light of the advances that have taken place in the field of international human rights law since the adoption of the Declaration and in relation to other relevant norms of international law applicable to Member States against which complaints of violations of the Declaration are duly filed</w:t>
      </w:r>
      <w:r w:rsidRPr="00BD6C53">
        <w:rPr>
          <w:rFonts w:ascii="Cambria" w:hAnsi="Cambria"/>
          <w:color w:val="000000"/>
          <w:sz w:val="20"/>
          <w:szCs w:val="20"/>
          <w:bdr w:val="none" w:sz="0" w:space="0" w:color="auto"/>
          <w:vertAlign w:val="superscript"/>
        </w:rPr>
        <w:footnoteReference w:id="73"/>
      </w:r>
      <w:r w:rsidRPr="00BD6C53">
        <w:rPr>
          <w:rFonts w:ascii="Cambria" w:eastAsia="Calibri" w:hAnsi="Cambria"/>
          <w:color w:val="000000"/>
          <w:sz w:val="20"/>
          <w:szCs w:val="20"/>
          <w:bdr w:val="none" w:sz="0" w:space="0" w:color="auto"/>
        </w:rPr>
        <w:t>. Advances in the body of international human rights law relevant to the interpretation and application of the American Declaration are also reflected in provisions of other current international and regional human rights instruments, in particular the American Convention on Human Rights, which, in many cases, could be considered to represent a faithful expression of the fundamental principles embodied in the American Declaration</w:t>
      </w:r>
      <w:r w:rsidR="00BF1791" w:rsidRPr="00BD6C53">
        <w:rPr>
          <w:rFonts w:ascii="Cambria" w:eastAsia="Calibri" w:hAnsi="Cambria"/>
          <w:color w:val="000000"/>
          <w:sz w:val="20"/>
          <w:szCs w:val="20"/>
          <w:bdr w:val="none" w:sz="0" w:space="0" w:color="auto"/>
          <w:vertAlign w:val="superscript"/>
        </w:rPr>
        <w:footnoteReference w:id="74"/>
      </w:r>
      <w:r w:rsidR="00BF1791" w:rsidRPr="00BD6C53">
        <w:rPr>
          <w:rFonts w:ascii="Cambria" w:eastAsia="Calibri" w:hAnsi="Cambria"/>
          <w:color w:val="000000"/>
          <w:sz w:val="20"/>
          <w:szCs w:val="20"/>
          <w:bdr w:val="none" w:sz="0" w:space="0" w:color="auto"/>
        </w:rPr>
        <w:t>. Although the Commission clearly does not apply the American Convention to member states that are not parties to it, its consideration of the legal norms relating to the rights of defenders and persons deprived of their liberty in the application of the provisions of the Convention may well be relevant in interpreting the Declaration.</w:t>
      </w:r>
    </w:p>
    <w:p w14:paraId="20E6A322" w14:textId="77777777" w:rsidR="003E7383" w:rsidRPr="00F66E08" w:rsidRDefault="003E7383" w:rsidP="003E7383">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color w:val="000000"/>
          <w:sz w:val="20"/>
          <w:szCs w:val="20"/>
        </w:rPr>
      </w:pPr>
    </w:p>
    <w:p w14:paraId="4C8E49DB" w14:textId="3DBA7B24" w:rsidR="00F3004A" w:rsidRPr="00F66E08" w:rsidRDefault="003E7383"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rPr>
      </w:pPr>
      <w:r w:rsidRPr="00BD6C53">
        <w:rPr>
          <w:rFonts w:ascii="Cambria" w:hAnsi="Cambria"/>
          <w:sz w:val="20"/>
          <w:szCs w:val="20"/>
        </w:rPr>
        <w:t xml:space="preserve">The Commission proceeds to carry out its analysis of the law in the following order: i) the right to personal liberty; (ii) the right to justice and due process; iii) the right to freedom of research, opinion, expression and </w:t>
      </w:r>
      <w:r w:rsidRPr="00BD6C53">
        <w:rPr>
          <w:rFonts w:ascii="Cambria" w:hAnsi="Cambria"/>
          <w:sz w:val="20"/>
          <w:szCs w:val="20"/>
        </w:rPr>
        <w:lastRenderedPageBreak/>
        <w:t>dissemination; the right to participate in the cultural life of the community; and the right of association; and (iv) the right to life, liberty, security and integrity of the person</w:t>
      </w:r>
      <w:r w:rsidR="00F3004A" w:rsidRPr="00BD6C53">
        <w:rPr>
          <w:rFonts w:ascii="Cambria" w:hAnsi="Cambria"/>
          <w:color w:val="000000"/>
          <w:sz w:val="20"/>
          <w:szCs w:val="20"/>
        </w:rPr>
        <w:t>.</w:t>
      </w:r>
    </w:p>
    <w:p w14:paraId="4302E2D5" w14:textId="77777777" w:rsidR="00010F1C" w:rsidRPr="00F66E08" w:rsidRDefault="00010F1C" w:rsidP="009C748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eastAsia="Calibri" w:hAnsi="Cambria"/>
          <w:color w:val="000000"/>
          <w:sz w:val="20"/>
          <w:szCs w:val="20"/>
          <w:bdr w:val="none" w:sz="0" w:space="0" w:color="auto"/>
        </w:rPr>
      </w:pPr>
    </w:p>
    <w:p w14:paraId="25D46064" w14:textId="5629B27B" w:rsidR="00C11C64" w:rsidRPr="00F66E08" w:rsidRDefault="00C11C64" w:rsidP="004B1C8A">
      <w:pPr>
        <w:pStyle w:val="Heading2"/>
        <w:rPr>
          <w:lang w:val="en-US"/>
        </w:rPr>
      </w:pPr>
      <w:bookmarkStart w:id="27" w:name="_Toc216356772"/>
      <w:r w:rsidRPr="00F66E08">
        <w:rPr>
          <w:lang w:val="en-US"/>
        </w:rPr>
        <w:t>Right to personal liberty (Article XXV</w:t>
      </w:r>
      <w:r w:rsidR="00195604" w:rsidRPr="00E9543F">
        <w:rPr>
          <w:rStyle w:val="FootnoteReference"/>
          <w:szCs w:val="20"/>
        </w:rPr>
        <w:footnoteReference w:id="75"/>
      </w:r>
      <w:r w:rsidRPr="00F66E08">
        <w:rPr>
          <w:lang w:val="en-US"/>
        </w:rPr>
        <w:t xml:space="preserve"> of the American Declaration)</w:t>
      </w:r>
      <w:bookmarkEnd w:id="27"/>
      <w:r w:rsidRPr="00F66E08">
        <w:rPr>
          <w:lang w:val="en-US"/>
        </w:rPr>
        <w:t xml:space="preserve">  </w:t>
      </w:r>
    </w:p>
    <w:p w14:paraId="0DDA28CD" w14:textId="77777777" w:rsidR="00195604" w:rsidRPr="00F66E08" w:rsidRDefault="00195604" w:rsidP="0019560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Style w:val="normaltextrun"/>
        </w:rPr>
      </w:pPr>
    </w:p>
    <w:p w14:paraId="2F5ABD6E" w14:textId="3FD17136" w:rsidR="00C11C64" w:rsidRPr="00E9543F" w:rsidRDefault="00C11C64" w:rsidP="007F743F">
      <w:pPr>
        <w:pStyle w:val="Heading3"/>
        <w:tabs>
          <w:tab w:val="left" w:pos="360"/>
        </w:tabs>
        <w:ind w:left="360"/>
        <w:rPr>
          <w:lang w:val="es-ES"/>
        </w:rPr>
      </w:pPr>
      <w:r w:rsidRPr="00E9543F">
        <w:t>General considerations</w:t>
      </w:r>
    </w:p>
    <w:p w14:paraId="0D60D11D" w14:textId="77777777" w:rsidR="008805E1" w:rsidRPr="00E9543F" w:rsidRDefault="008805E1" w:rsidP="00C91638">
      <w:pPr>
        <w:rPr>
          <w:lang w:val="es-ES"/>
        </w:rPr>
      </w:pPr>
    </w:p>
    <w:p w14:paraId="17016E90" w14:textId="2628F43B" w:rsidR="00B930C1" w:rsidRPr="00F66E08" w:rsidRDefault="00B930C1" w:rsidP="002A019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eastAsia="Cambria" w:hAnsi="Cambria" w:cs="Cambria"/>
          <w:sz w:val="20"/>
          <w:szCs w:val="20"/>
        </w:rPr>
      </w:pPr>
      <w:r w:rsidRPr="00E9543F">
        <w:rPr>
          <w:rFonts w:ascii="Cambria" w:hAnsi="Cambria"/>
          <w:sz w:val="20"/>
          <w:szCs w:val="20"/>
        </w:rPr>
        <w:t xml:space="preserve">Article XXV of the American Declaration establishes guarantees that seek to protect individuals from unlawful or arbitrary interference with their liberty by the State. The IACHR has established that "among the protections guaranteed are the requirements that all deprivation of liberty be carried out in accordance with a pre-existing law, that the detainee be informed of the reasons for his detention and be promptly notified of the charges against him, that every person deprived of liberty has the right to a legal remedy,  to </w:t>
      </w:r>
      <w:r w:rsidRPr="00E9543F">
        <w:rPr>
          <w:rFonts w:ascii="Cambria" w:eastAsia="Cambria" w:hAnsi="Cambria" w:cs="Cambria"/>
          <w:sz w:val="20"/>
          <w:szCs w:val="20"/>
        </w:rPr>
        <w:t>obtain</w:t>
      </w:r>
      <w:r w:rsidRPr="00E9543F">
        <w:rPr>
          <w:rFonts w:ascii="Cambria" w:hAnsi="Cambria"/>
          <w:sz w:val="20"/>
          <w:szCs w:val="20"/>
        </w:rPr>
        <w:t xml:space="preserve"> without delay a determination of the lawfulness of his detention and that the person be tried within a reasonable time or released pending the proceedings."</w:t>
      </w:r>
      <w:r w:rsidRPr="00E9543F">
        <w:rPr>
          <w:rStyle w:val="FootnoteReference"/>
          <w:rFonts w:ascii="Cambria" w:hAnsi="Cambria"/>
          <w:sz w:val="20"/>
          <w:szCs w:val="20"/>
        </w:rPr>
        <w:footnoteReference w:id="76"/>
      </w:r>
    </w:p>
    <w:p w14:paraId="26F42882" w14:textId="5714CF4A" w:rsidR="00B930C1" w:rsidRPr="00F66E08" w:rsidRDefault="00B930C1" w:rsidP="002A0199">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eastAsia="Cambria" w:hAnsi="Cambria" w:cs="Cambria"/>
        </w:rPr>
      </w:pPr>
    </w:p>
    <w:p w14:paraId="048A5855" w14:textId="471BE210" w:rsidR="00B930C1" w:rsidRPr="00F66E08" w:rsidRDefault="00975797" w:rsidP="002A019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eastAsia="Cambria" w:hAnsi="Cambria" w:cs="Cambria"/>
          <w:sz w:val="20"/>
          <w:szCs w:val="20"/>
        </w:rPr>
      </w:pPr>
      <w:r w:rsidRPr="00E9543F">
        <w:rPr>
          <w:rFonts w:ascii="Cambria" w:eastAsia="Cambria" w:hAnsi="Cambria" w:cs="Cambria"/>
          <w:sz w:val="20"/>
          <w:szCs w:val="20"/>
        </w:rPr>
        <w:t>With regard to the legality of detention, the Inter-American Commission has indicated that it recognizes the principle of reservation of law as the primary guarantee of the right to physical liberty, where this right may only be limited by means of a law in the formal sense</w:t>
      </w:r>
      <w:r w:rsidR="0027590C" w:rsidRPr="00E9543F">
        <w:rPr>
          <w:rFonts w:ascii="Cambria" w:eastAsia="Cambria" w:hAnsi="Cambria" w:cs="Cambria"/>
          <w:sz w:val="20"/>
          <w:szCs w:val="20"/>
          <w:vertAlign w:val="superscript"/>
        </w:rPr>
        <w:footnoteReference w:id="77"/>
      </w:r>
      <w:r w:rsidR="0027590C" w:rsidRPr="00E9543F">
        <w:rPr>
          <w:rFonts w:ascii="Cambria" w:eastAsia="Cambria" w:hAnsi="Cambria" w:cs="Cambria"/>
          <w:sz w:val="20"/>
          <w:szCs w:val="20"/>
        </w:rPr>
        <w:t xml:space="preserve">. </w:t>
      </w:r>
      <w:r w:rsidR="008805E1" w:rsidRPr="00E9543F">
        <w:rPr>
          <w:rFonts w:ascii="Cambria" w:hAnsi="Cambria"/>
          <w:sz w:val="20"/>
          <w:szCs w:val="20"/>
        </w:rPr>
        <w:t>The IACHR has held that the reservation of law that is required to affect the right to personal liberty must necessarily be accompanied by the principle of criminality, which obliges States to establish, as specifically as possible and "in advance," the "causes" and "conditions" of the deprivation of physical liberty. Therefore, any requirement established in national law that is not met when depriving a person of his liberty will render such deprivation illegal and contrary to the American Convention</w:t>
      </w:r>
      <w:r w:rsidR="008805E1" w:rsidRPr="00E9543F">
        <w:rPr>
          <w:rStyle w:val="FootnoteReference"/>
          <w:rFonts w:ascii="Cambria" w:hAnsi="Cambria"/>
          <w:sz w:val="20"/>
          <w:szCs w:val="20"/>
        </w:rPr>
        <w:footnoteReference w:id="78"/>
      </w:r>
      <w:r w:rsidR="00CC2F4A" w:rsidRPr="00E9543F">
        <w:rPr>
          <w:rFonts w:ascii="Cambria" w:hAnsi="Cambria"/>
          <w:sz w:val="20"/>
          <w:szCs w:val="20"/>
        </w:rPr>
        <w:t>. The IACHR recalls that the improper conduct of the police forces constitutes one of the main threats to the exercise of individual liberty and security</w:t>
      </w:r>
      <w:r w:rsidR="00CC2F4A" w:rsidRPr="00E9543F">
        <w:rPr>
          <w:rStyle w:val="FootnoteReference"/>
          <w:rFonts w:ascii="Cambria" w:hAnsi="Cambria"/>
          <w:sz w:val="20"/>
          <w:szCs w:val="20"/>
        </w:rPr>
        <w:footnoteReference w:id="79"/>
      </w:r>
      <w:r w:rsidR="00CC2F4A" w:rsidRPr="00E9543F">
        <w:rPr>
          <w:rFonts w:ascii="Cambria" w:hAnsi="Cambria"/>
          <w:sz w:val="20"/>
          <w:szCs w:val="20"/>
        </w:rPr>
        <w:t>. On this basis, States must adopt measures to ensure that police officers carry out their duties in a manner that guarantees human rights and, in particular, that these are carried out in accordance with domestic legislation</w:t>
      </w:r>
      <w:r w:rsidR="00CC2F4A" w:rsidRPr="00E9543F">
        <w:rPr>
          <w:rStyle w:val="FootnoteReference"/>
          <w:rFonts w:ascii="Cambria" w:hAnsi="Cambria"/>
          <w:sz w:val="20"/>
          <w:szCs w:val="20"/>
        </w:rPr>
        <w:footnoteReference w:id="80"/>
      </w:r>
      <w:r w:rsidR="00CC2F4A" w:rsidRPr="00E9543F">
        <w:rPr>
          <w:rFonts w:ascii="Cambria" w:hAnsi="Cambria"/>
          <w:sz w:val="20"/>
          <w:szCs w:val="20"/>
        </w:rPr>
        <w:t>.</w:t>
      </w:r>
    </w:p>
    <w:p w14:paraId="27AA2680" w14:textId="77777777" w:rsidR="00CC2F4A" w:rsidRPr="00F66E08" w:rsidRDefault="00CC2F4A" w:rsidP="00C91638">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pPr>
    </w:p>
    <w:p w14:paraId="1A4F777E" w14:textId="0B8450B8" w:rsidR="00CC2F4A" w:rsidRPr="00F66E08" w:rsidRDefault="00824132"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rPr>
      </w:pPr>
      <w:r w:rsidRPr="00E9543F">
        <w:rPr>
          <w:rFonts w:ascii="Cambria" w:hAnsi="Cambria"/>
          <w:sz w:val="20"/>
          <w:szCs w:val="20"/>
        </w:rPr>
        <w:t>With respect to the non-arbitrariness of detention, the Commission has established that States must refrain from carrying out deprivation of liberty for reasons and methods that, even if lawful, may be considered incompatible because they are, among other things, unreasonable, unforeseeable, or disproportionate</w:t>
      </w:r>
      <w:r w:rsidR="00CC2F4A" w:rsidRPr="00E9543F">
        <w:rPr>
          <w:rStyle w:val="FootnoteReference"/>
          <w:rFonts w:ascii="Cambria" w:hAnsi="Cambria"/>
          <w:sz w:val="20"/>
          <w:szCs w:val="20"/>
        </w:rPr>
        <w:footnoteReference w:id="81"/>
      </w:r>
      <w:r w:rsidR="00CC2F4A" w:rsidRPr="00BD6C53">
        <w:rPr>
          <w:rFonts w:ascii="Cambria" w:hAnsi="Cambria"/>
          <w:sz w:val="20"/>
          <w:szCs w:val="20"/>
        </w:rPr>
        <w:t>." In ruling on the arbitrariness of detention, the IACHR has indicated that "arbitrariness" cannot be equated with the term "contrary to law" but must be interpreted more broadly in order to include elements of impropriety, injustice, and unpredictability, as well as the principle of procedural guarantees</w:t>
      </w:r>
      <w:r w:rsidR="00151F04" w:rsidRPr="00E9543F">
        <w:rPr>
          <w:rStyle w:val="FootnoteReference"/>
          <w:rFonts w:ascii="Cambria" w:hAnsi="Cambria"/>
          <w:sz w:val="20"/>
          <w:szCs w:val="20"/>
        </w:rPr>
        <w:footnoteReference w:id="82"/>
      </w:r>
      <w:r w:rsidR="00151F04" w:rsidRPr="00BD6C53">
        <w:rPr>
          <w:rFonts w:ascii="Cambria" w:hAnsi="Cambria"/>
          <w:sz w:val="20"/>
          <w:szCs w:val="20"/>
        </w:rPr>
        <w:t>. Therefore, the detention must not only be in accordance with domestic law, but that "the law, the applicable procedure and the corresponding express or implied general principles are, in themselves, compatible with the Convention</w:t>
      </w:r>
      <w:r w:rsidR="00151F04" w:rsidRPr="00E9543F">
        <w:rPr>
          <w:rStyle w:val="FootnoteReference"/>
          <w:rFonts w:ascii="Cambria" w:hAnsi="Cambria"/>
          <w:sz w:val="20"/>
          <w:szCs w:val="20"/>
        </w:rPr>
        <w:footnoteReference w:id="83"/>
      </w:r>
      <w:r w:rsidR="00151F04" w:rsidRPr="00BD6C53">
        <w:rPr>
          <w:rFonts w:ascii="Cambria" w:hAnsi="Cambria"/>
          <w:sz w:val="20"/>
          <w:szCs w:val="20"/>
        </w:rPr>
        <w:t xml:space="preserve">." </w:t>
      </w:r>
    </w:p>
    <w:p w14:paraId="25A882A8" w14:textId="77777777" w:rsidR="00151F04" w:rsidRPr="00EF175E" w:rsidRDefault="00151F04" w:rsidP="00B82A2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pPr>
    </w:p>
    <w:p w14:paraId="7F1FA600" w14:textId="6CDAC1FF" w:rsidR="00151F04" w:rsidRPr="00F66E08" w:rsidRDefault="00975797"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59" w:lineRule="auto"/>
        <w:ind w:left="0" w:firstLine="0"/>
        <w:jc w:val="both"/>
        <w:rPr>
          <w:rFonts w:ascii="Cambria" w:hAnsi="Cambria"/>
          <w:sz w:val="20"/>
          <w:szCs w:val="20"/>
        </w:rPr>
      </w:pPr>
      <w:r w:rsidRPr="00BD6C53">
        <w:rPr>
          <w:rFonts w:ascii="Cambria" w:hAnsi="Cambria"/>
          <w:sz w:val="20"/>
          <w:szCs w:val="20"/>
        </w:rPr>
        <w:t xml:space="preserve">The Court has also established that the right to be informed of the reasons for detention involves the following: (i) oral or written information on the reasons for detention, and (ii) notification, which must be in </w:t>
      </w:r>
      <w:r w:rsidRPr="00BD6C53">
        <w:rPr>
          <w:rFonts w:ascii="Cambria" w:hAnsi="Cambria"/>
          <w:sz w:val="20"/>
          <w:szCs w:val="20"/>
        </w:rPr>
        <w:lastRenderedPageBreak/>
        <w:t>writing, of the charges</w:t>
      </w:r>
      <w:r w:rsidR="00151F04" w:rsidRPr="00BD6C53">
        <w:rPr>
          <w:rStyle w:val="FootnoteReference"/>
          <w:rFonts w:ascii="Cambria" w:hAnsi="Cambria"/>
          <w:sz w:val="20"/>
          <w:szCs w:val="20"/>
        </w:rPr>
        <w:footnoteReference w:id="84"/>
      </w:r>
      <w:r w:rsidR="00151F04" w:rsidRPr="00BD6C53">
        <w:rPr>
          <w:rFonts w:ascii="Cambria" w:hAnsi="Cambria"/>
          <w:sz w:val="20"/>
          <w:szCs w:val="20"/>
        </w:rPr>
        <w:t>. The organs of the inter-American system have indicated that information on the "motives and reasons" for the arrest must be given "when it occurs." This constitutes a mechanism to prevent illegal or arbitrary detentions from the very movement of the deprivation of liberty and, in turn, guarantees the individual's right to defense</w:t>
      </w:r>
      <w:r w:rsidR="00151F04" w:rsidRPr="00BD6C53">
        <w:rPr>
          <w:rStyle w:val="FootnoteReference"/>
          <w:rFonts w:ascii="Cambria" w:hAnsi="Cambria"/>
          <w:sz w:val="20"/>
          <w:szCs w:val="20"/>
        </w:rPr>
        <w:footnoteReference w:id="85"/>
      </w:r>
      <w:r w:rsidR="00151F04" w:rsidRPr="00BD6C53">
        <w:rPr>
          <w:rFonts w:ascii="Cambria" w:hAnsi="Cambria"/>
          <w:sz w:val="20"/>
          <w:szCs w:val="20"/>
        </w:rPr>
        <w:t xml:space="preserve">. The Commission has also indicated that the officer who carries out the deprivation of liberty must inform in simple language, free of technicalities, the essential facts and legal bases on which the detention is based. </w:t>
      </w:r>
      <w:r w:rsidR="00F33DE3" w:rsidRPr="00E9543F">
        <w:rPr>
          <w:rFonts w:ascii="Cambria" w:eastAsia="Cambria" w:hAnsi="Cambria" w:cs="Cambria"/>
          <w:sz w:val="20"/>
          <w:szCs w:val="20"/>
        </w:rPr>
        <w:t>Any element that is omitted will imply a lack of knowledge of the law</w:t>
      </w:r>
      <w:r w:rsidR="00151F04" w:rsidRPr="00BD6C53">
        <w:rPr>
          <w:rStyle w:val="FootnoteReference"/>
          <w:rFonts w:ascii="Cambria" w:hAnsi="Cambria"/>
          <w:sz w:val="20"/>
          <w:szCs w:val="20"/>
        </w:rPr>
        <w:footnoteReference w:id="86"/>
      </w:r>
      <w:r w:rsidR="00151F04" w:rsidRPr="00BD6C53">
        <w:rPr>
          <w:rFonts w:ascii="Cambria" w:hAnsi="Cambria"/>
          <w:sz w:val="20"/>
          <w:szCs w:val="20"/>
        </w:rPr>
        <w:t>.</w:t>
      </w:r>
    </w:p>
    <w:p w14:paraId="36FE65FA" w14:textId="42D09225" w:rsidR="00B22D02" w:rsidRPr="00F66E08" w:rsidRDefault="00B22D02" w:rsidP="00B82A2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pPr>
    </w:p>
    <w:p w14:paraId="0A0F2239" w14:textId="10008FC8" w:rsidR="00B22D02" w:rsidRPr="00F66E08" w:rsidRDefault="70175B61"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59" w:lineRule="auto"/>
        <w:ind w:left="0" w:firstLine="0"/>
        <w:jc w:val="both"/>
        <w:rPr>
          <w:rFonts w:ascii="Cambria" w:hAnsi="Cambria"/>
          <w:sz w:val="20"/>
          <w:szCs w:val="20"/>
        </w:rPr>
      </w:pPr>
      <w:r w:rsidRPr="00BD6C53">
        <w:rPr>
          <w:rFonts w:ascii="Cambria" w:eastAsia="Cambria" w:hAnsi="Cambria" w:cs="Cambria"/>
          <w:sz w:val="20"/>
          <w:szCs w:val="20"/>
        </w:rPr>
        <w:t xml:space="preserve">In addition, another guarantee of the right to personal liberty is that every person subjected to </w:t>
      </w:r>
      <w:r w:rsidR="00B22D02" w:rsidRPr="00BD6C53">
        <w:rPr>
          <w:rFonts w:ascii="Cambria" w:hAnsi="Cambria"/>
          <w:sz w:val="20"/>
          <w:szCs w:val="20"/>
        </w:rPr>
        <w:t>detention</w:t>
      </w:r>
      <w:r w:rsidR="00B22D02" w:rsidRPr="00BD6C53">
        <w:rPr>
          <w:rFonts w:ascii="Cambria" w:eastAsia="Cambria" w:hAnsi="Cambria" w:cs="Cambria"/>
          <w:sz w:val="20"/>
          <w:szCs w:val="20"/>
        </w:rPr>
        <w:t xml:space="preserve"> has the right to have such detention reviewed by a judicial authority, without delay, as an appropriate means of control to prevent arbitrary and illegal arrests</w:t>
      </w:r>
      <w:r w:rsidR="00B22D02" w:rsidRPr="00E9543F">
        <w:rPr>
          <w:rStyle w:val="FootnoteReference"/>
          <w:rFonts w:ascii="Cambria" w:eastAsia="Cambria" w:hAnsi="Cambria" w:cs="Cambria"/>
          <w:sz w:val="20"/>
          <w:szCs w:val="20"/>
        </w:rPr>
        <w:footnoteReference w:id="87"/>
      </w:r>
      <w:r w:rsidR="00B22D02" w:rsidRPr="00BD6C53">
        <w:rPr>
          <w:rFonts w:ascii="Cambria" w:eastAsia="Cambria" w:hAnsi="Cambria" w:cs="Cambria"/>
          <w:sz w:val="20"/>
          <w:szCs w:val="20"/>
        </w:rPr>
        <w:t>. In addition, the guarantee of prompt and effective judicial supervision of detention instances aims to protect the well-being of detainees at times when they are fully under the control of the State and are particularly vulnerable to abuses of authority</w:t>
      </w:r>
      <w:r w:rsidR="00B22D02" w:rsidRPr="00E9543F">
        <w:rPr>
          <w:rStyle w:val="FootnoteReference"/>
          <w:rFonts w:ascii="Cambria" w:eastAsia="Cambria" w:hAnsi="Cambria" w:cs="Cambria"/>
          <w:sz w:val="20"/>
          <w:szCs w:val="20"/>
        </w:rPr>
        <w:footnoteReference w:id="88"/>
      </w:r>
      <w:r w:rsidR="00B22D02" w:rsidRPr="00BD6C53">
        <w:rPr>
          <w:rFonts w:ascii="Cambria" w:eastAsia="Cambria" w:hAnsi="Cambria" w:cs="Cambria"/>
          <w:sz w:val="20"/>
          <w:szCs w:val="20"/>
        </w:rPr>
        <w:t>. With respect to the personal liberty of human rights defenders, the Commission and the Court have maintained that arbitrary detentions place them in a situation of vulnerability, "from which there is a real and imminent risk that other rights will be violated to their detriment</w:t>
      </w:r>
      <w:r w:rsidR="00975797" w:rsidRPr="00E9543F">
        <w:rPr>
          <w:rStyle w:val="FootnoteReference"/>
          <w:rFonts w:ascii="Cambria" w:hAnsi="Cambria"/>
          <w:sz w:val="20"/>
          <w:szCs w:val="20"/>
        </w:rPr>
        <w:footnoteReference w:id="89"/>
      </w:r>
      <w:r w:rsidR="00B22D02" w:rsidRPr="00BD6C53">
        <w:rPr>
          <w:rFonts w:ascii="Cambria" w:hAnsi="Cambria"/>
          <w:sz w:val="20"/>
          <w:szCs w:val="20"/>
        </w:rPr>
        <w:t xml:space="preserve">." </w:t>
      </w:r>
    </w:p>
    <w:p w14:paraId="7C44D651" w14:textId="77777777" w:rsidR="00ED0E93" w:rsidRPr="00F66E08" w:rsidRDefault="00ED0E93" w:rsidP="00ED0E93">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pPr>
    </w:p>
    <w:p w14:paraId="61441F66" w14:textId="7D5F97DA" w:rsidR="007F743F" w:rsidRPr="00E9543F" w:rsidRDefault="00C11C64" w:rsidP="00233603">
      <w:pPr>
        <w:pStyle w:val="Heading3"/>
        <w:tabs>
          <w:tab w:val="left" w:pos="360"/>
        </w:tabs>
        <w:ind w:left="360"/>
        <w:rPr>
          <w:lang w:val="es-ES"/>
        </w:rPr>
      </w:pPr>
      <w:r w:rsidRPr="00E9543F">
        <w:t>Case analysis</w:t>
      </w:r>
    </w:p>
    <w:p w14:paraId="45E10BC1" w14:textId="77777777" w:rsidR="00233603" w:rsidRPr="00E9543F" w:rsidRDefault="00233603" w:rsidP="00233603">
      <w:pPr>
        <w:rPr>
          <w:lang w:val="es-ES"/>
        </w:rPr>
      </w:pPr>
    </w:p>
    <w:p w14:paraId="62336FEB" w14:textId="171222CA" w:rsidR="00233603" w:rsidRPr="00F66E08" w:rsidRDefault="00233603"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rPr>
      </w:pPr>
      <w:r w:rsidRPr="00BD6C53">
        <w:rPr>
          <w:rFonts w:ascii="Cambria" w:hAnsi="Cambria"/>
          <w:sz w:val="20"/>
          <w:szCs w:val="20"/>
        </w:rPr>
        <w:t xml:space="preserve">The Commission will now analyze the two arrests referred to by the petitioner: i) the arrest of June 22, 2018; and (ii) the arrest on 25 September 2018.  </w:t>
      </w:r>
    </w:p>
    <w:p w14:paraId="6DDA2602" w14:textId="77777777" w:rsidR="007F743F" w:rsidRPr="00F66E08" w:rsidRDefault="007F743F" w:rsidP="007F743F"/>
    <w:p w14:paraId="6D0C23FF" w14:textId="7BAAA584" w:rsidR="00C11C64" w:rsidRPr="00F66E08" w:rsidRDefault="007F743F" w:rsidP="00E45102">
      <w:pPr>
        <w:pStyle w:val="Heading3"/>
        <w:numPr>
          <w:ilvl w:val="0"/>
          <w:numId w:val="0"/>
        </w:numPr>
        <w:tabs>
          <w:tab w:val="left" w:pos="360"/>
        </w:tabs>
        <w:rPr>
          <w:i/>
          <w:iCs/>
        </w:rPr>
      </w:pPr>
      <w:r w:rsidRPr="00E9543F">
        <w:rPr>
          <w:i/>
          <w:iCs/>
        </w:rPr>
        <w:t xml:space="preserve">On the arrest of 22 June 2018 </w:t>
      </w:r>
    </w:p>
    <w:p w14:paraId="29797455" w14:textId="77777777" w:rsidR="007F743F" w:rsidRPr="00F66E08" w:rsidRDefault="007F743F" w:rsidP="007F743F"/>
    <w:p w14:paraId="45ABF5B7" w14:textId="2BA2FE29" w:rsidR="004621F6" w:rsidRPr="00F66E08" w:rsidRDefault="00233603" w:rsidP="00B82A24">
      <w:pPr>
        <w:numPr>
          <w:ilvl w:val="0"/>
          <w:numId w:val="62"/>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Style w:val="normaltextrun"/>
          <w:rFonts w:ascii="Cambria" w:hAnsi="Cambria"/>
          <w:color w:val="000000"/>
          <w:sz w:val="20"/>
          <w:szCs w:val="20"/>
          <w:shd w:val="clear" w:color="auto" w:fill="FFFFFF"/>
        </w:rPr>
      </w:pPr>
      <w:r w:rsidRPr="00BD6C53">
        <w:rPr>
          <w:rStyle w:val="eop"/>
          <w:rFonts w:ascii="Cambria" w:hAnsi="Cambria" w:cs="Segoe UI"/>
          <w:color w:val="000000"/>
          <w:sz w:val="18"/>
          <w:szCs w:val="18"/>
        </w:rPr>
        <w:t>In the instant case</w:t>
      </w:r>
      <w:r w:rsidR="00E45102" w:rsidRPr="00BD6C53">
        <w:rPr>
          <w:rStyle w:val="normaltextrun"/>
          <w:rFonts w:ascii="Cambria" w:hAnsi="Cambria"/>
          <w:color w:val="000000"/>
          <w:sz w:val="20"/>
          <w:szCs w:val="20"/>
          <w:shd w:val="clear" w:color="auto" w:fill="FFFFFF"/>
        </w:rPr>
        <w:t>,  the petitioner reported that Mr. Castillo Pérez was detained by state authorities on June 22, 2018. The petitioner alleged that the detention was "arbitrary" and occurred in a "violent" manner. The IACHR notes that, in describing the event, the Prosecutor's Office indicated that a State agent had told Mr. Castillo Pérez that he "should accompany him" as a result of opposing a request to stop filming an operation in the Parque Cristo area of Havana (</w:t>
      </w:r>
      <w:r w:rsidR="000C3CD9" w:rsidRPr="00BD6C53">
        <w:rPr>
          <w:rStyle w:val="normaltextrun"/>
          <w:rFonts w:ascii="Cambria" w:hAnsi="Cambria"/>
          <w:i/>
          <w:iCs/>
          <w:color w:val="000000"/>
          <w:sz w:val="20"/>
          <w:szCs w:val="20"/>
          <w:shd w:val="clear" w:color="auto" w:fill="FFFFFF"/>
        </w:rPr>
        <w:t>supra</w:t>
      </w:r>
      <w:r w:rsidR="000C3CD9" w:rsidRPr="00BD6C53">
        <w:rPr>
          <w:rStyle w:val="normaltextrun"/>
          <w:rFonts w:ascii="Cambria" w:hAnsi="Cambria"/>
          <w:color w:val="000000"/>
          <w:sz w:val="20"/>
          <w:szCs w:val="20"/>
          <w:shd w:val="clear" w:color="auto" w:fill="FFFFFF"/>
        </w:rPr>
        <w:t xml:space="preserve"> paras. 24-25). In this regard, the Commission notes that the State did not submit information on the manner in which the detention was in accordance with the domestic legal framework. It also notes that there is no information to prove that there was a court order or that a situation of flagrante delicto occurred when the arrest occurred. Therefore, the Commission considers that an illegal detention was constituted in the context of the detention of Mr. Castillo Pérez. Consequently, </w:t>
      </w:r>
      <w:r w:rsidR="00824132" w:rsidRPr="00BD6C53">
        <w:rPr>
          <w:rStyle w:val="normaltextrun"/>
          <w:rFonts w:ascii="Cambria" w:hAnsi="Cambria" w:cs="Segoe UI"/>
          <w:color w:val="000000"/>
          <w:sz w:val="20"/>
          <w:szCs w:val="20"/>
        </w:rPr>
        <w:t>the IACHR concludes that the State violated the right established in Article XXV of the American Declaration, to the detriment of Maykel Castillo Pérez.</w:t>
      </w:r>
    </w:p>
    <w:p w14:paraId="17FF91C3" w14:textId="77777777" w:rsidR="00233603" w:rsidRPr="00F66E08" w:rsidRDefault="00233603" w:rsidP="00B54658">
      <w:pPr>
        <w:pStyle w:val="paragraph"/>
        <w:spacing w:before="0" w:beforeAutospacing="0" w:after="0" w:afterAutospacing="0"/>
        <w:ind w:right="360"/>
        <w:jc w:val="both"/>
        <w:textAlignment w:val="baseline"/>
        <w:rPr>
          <w:rFonts w:ascii="Segoe UI" w:hAnsi="Segoe UI" w:cs="Segoe UI"/>
          <w:color w:val="000000"/>
          <w:sz w:val="18"/>
          <w:szCs w:val="18"/>
        </w:rPr>
      </w:pPr>
    </w:p>
    <w:p w14:paraId="70FE5A93" w14:textId="7866B627" w:rsidR="004621F6" w:rsidRPr="00F66E08" w:rsidRDefault="004621F6" w:rsidP="002A019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cs="Segoe UI"/>
          <w:color w:val="000000"/>
          <w:sz w:val="20"/>
          <w:szCs w:val="20"/>
        </w:rPr>
      </w:pPr>
      <w:r w:rsidRPr="00BD6C53">
        <w:rPr>
          <w:rStyle w:val="normaltextrun"/>
          <w:rFonts w:ascii="Cambria" w:hAnsi="Cambria" w:cs="Segoe UI"/>
          <w:color w:val="000000" w:themeColor="text1"/>
          <w:sz w:val="20"/>
          <w:szCs w:val="20"/>
        </w:rPr>
        <w:t xml:space="preserve">With </w:t>
      </w:r>
      <w:r w:rsidRPr="00BD6C53">
        <w:rPr>
          <w:rFonts w:ascii="Cambria" w:hAnsi="Cambria"/>
          <w:sz w:val="20"/>
          <w:szCs w:val="20"/>
        </w:rPr>
        <w:t>respect to the right to be informed of the reasons and reasons for the detention, the IACHR notes that in the instant case the State did not present information that could corroborate that the State agents informed Mr. Castillo Pérez of the reasons for his detention.  In this regard, the Commission notes that with regard to the burden of proof applicable</w:t>
      </w:r>
      <w:r w:rsidRPr="00BD6C53">
        <w:rPr>
          <w:rStyle w:val="normaltextrun"/>
          <w:rFonts w:ascii="Cambria" w:hAnsi="Cambria" w:cs="Segoe UI"/>
          <w:color w:val="000000" w:themeColor="text1"/>
          <w:sz w:val="20"/>
          <w:szCs w:val="20"/>
        </w:rPr>
        <w:t xml:space="preserve"> to this type of matter, in the </w:t>
      </w:r>
      <w:r w:rsidRPr="00BD6C53">
        <w:rPr>
          <w:rStyle w:val="normaltextrun"/>
          <w:rFonts w:ascii="Cambria" w:hAnsi="Cambria" w:cs="Segoe UI"/>
          <w:i/>
          <w:iCs/>
          <w:color w:val="000000" w:themeColor="text1"/>
          <w:sz w:val="20"/>
          <w:szCs w:val="20"/>
        </w:rPr>
        <w:t>Case of Chaparro Álvarez and Lapo Iñíguez v. Ecuador</w:t>
      </w:r>
      <w:r w:rsidRPr="00BD6C53">
        <w:rPr>
          <w:rStyle w:val="normaltextrun"/>
          <w:rFonts w:ascii="Cambria" w:hAnsi="Cambria" w:cs="Segoe UI"/>
          <w:color w:val="000000" w:themeColor="text1"/>
          <w:sz w:val="20"/>
          <w:szCs w:val="20"/>
        </w:rPr>
        <w:t xml:space="preserve">, heard and decided by the Inter-American Court, the Inter-American Court indicated the following: </w:t>
      </w:r>
    </w:p>
    <w:p w14:paraId="68E5A539" w14:textId="77777777" w:rsidR="004621F6" w:rsidRPr="00F66E08" w:rsidRDefault="004621F6" w:rsidP="004621F6">
      <w:pPr>
        <w:pStyle w:val="paragraph"/>
        <w:spacing w:before="0" w:beforeAutospacing="0" w:after="0" w:afterAutospacing="0"/>
        <w:ind w:left="1080" w:right="360"/>
        <w:jc w:val="both"/>
        <w:textAlignment w:val="baseline"/>
        <w:rPr>
          <w:rFonts w:ascii="Cambria" w:hAnsi="Cambria" w:cs="Segoe UI"/>
          <w:color w:val="000000"/>
          <w:sz w:val="20"/>
          <w:szCs w:val="20"/>
        </w:rPr>
      </w:pPr>
      <w:r w:rsidRPr="00E9543F">
        <w:rPr>
          <w:rStyle w:val="eop"/>
          <w:rFonts w:ascii="Cambria" w:hAnsi="Cambria" w:cs="Segoe UI"/>
          <w:color w:val="000000"/>
          <w:sz w:val="20"/>
          <w:szCs w:val="20"/>
        </w:rPr>
        <w:t> </w:t>
      </w:r>
    </w:p>
    <w:p w14:paraId="4D00643B" w14:textId="364A9FB2" w:rsidR="004621F6" w:rsidRPr="00F66E08" w:rsidRDefault="004621F6" w:rsidP="7EC42DB7">
      <w:pPr>
        <w:pStyle w:val="paragraph"/>
        <w:spacing w:before="0" w:beforeAutospacing="0" w:after="0" w:afterAutospacing="0"/>
        <w:ind w:left="360" w:right="720"/>
        <w:jc w:val="both"/>
        <w:textAlignment w:val="baseline"/>
        <w:rPr>
          <w:rFonts w:ascii="Cambria" w:hAnsi="Cambria" w:cs="Segoe UI"/>
          <w:sz w:val="18"/>
          <w:szCs w:val="18"/>
        </w:rPr>
      </w:pPr>
      <w:r w:rsidRPr="00BD6C53">
        <w:rPr>
          <w:rStyle w:val="normaltextrun"/>
          <w:rFonts w:ascii="Cambria" w:hAnsi="Cambria" w:cs="Segoe UI"/>
          <w:sz w:val="18"/>
          <w:szCs w:val="18"/>
        </w:rPr>
        <w:t xml:space="preserve">In the present case, the victim has no mechanism at his disposal that would enable him to prove this fact. His allegation is of a negative nature, it points out the non-existence of a fact. The State, for its part, maintains </w:t>
      </w:r>
      <w:r w:rsidRPr="00BD6C53">
        <w:rPr>
          <w:rStyle w:val="normaltextrun"/>
          <w:rFonts w:ascii="Cambria" w:hAnsi="Cambria" w:cs="Segoe UI"/>
          <w:sz w:val="18"/>
          <w:szCs w:val="18"/>
        </w:rPr>
        <w:lastRenderedPageBreak/>
        <w:t>that the information on the reasons for the detention did occur. This is an argument of a positive nature and, therefore, susceptible to proof. In addition, if one takes into account that the Court has established on other occasions that "in proceedings on human rights violations, the State's defense cannot rest on the impossibility of the plaintiff to provide evidence that, in many cases, cannot be obtained without the cooperation of the State," it is concluded that the burden of proof on this point rests with the State</w:t>
      </w:r>
      <w:r w:rsidR="000F4F72" w:rsidRPr="00BD6C53">
        <w:rPr>
          <w:rStyle w:val="FootnoteReference"/>
          <w:rFonts w:ascii="Cambria" w:hAnsi="Cambria" w:cs="Segoe UI"/>
          <w:sz w:val="18"/>
          <w:szCs w:val="18"/>
        </w:rPr>
        <w:footnoteReference w:id="90"/>
      </w:r>
      <w:r w:rsidR="000F4F72" w:rsidRPr="00BD6C53">
        <w:rPr>
          <w:rStyle w:val="eop"/>
          <w:rFonts w:ascii="Cambria" w:hAnsi="Cambria" w:cs="Segoe UI"/>
          <w:sz w:val="18"/>
          <w:szCs w:val="18"/>
        </w:rPr>
        <w:t>.</w:t>
      </w:r>
    </w:p>
    <w:p w14:paraId="2312142F" w14:textId="376E7D8E" w:rsidR="004621F6" w:rsidRPr="00F66E08" w:rsidRDefault="004621F6" w:rsidP="004621F6">
      <w:pPr>
        <w:pStyle w:val="paragraph"/>
        <w:spacing w:before="0" w:beforeAutospacing="0" w:after="0" w:afterAutospacing="0"/>
        <w:jc w:val="both"/>
        <w:textAlignment w:val="baseline"/>
        <w:rPr>
          <w:rFonts w:ascii="Cambria" w:hAnsi="Cambria" w:cs="Segoe UI"/>
          <w:color w:val="000000"/>
          <w:sz w:val="20"/>
          <w:szCs w:val="20"/>
        </w:rPr>
      </w:pPr>
    </w:p>
    <w:p w14:paraId="66F0A72C" w14:textId="6E5B0328" w:rsidR="004621F6" w:rsidRPr="00F66E08" w:rsidRDefault="00F3004A"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cs="Segoe UI"/>
          <w:color w:val="000000"/>
          <w:sz w:val="20"/>
          <w:szCs w:val="20"/>
        </w:rPr>
      </w:pPr>
      <w:bookmarkStart w:id="28" w:name="_Hlk172885306"/>
      <w:r w:rsidRPr="00E9543F">
        <w:rPr>
          <w:rStyle w:val="normaltextrun"/>
          <w:rFonts w:ascii="Cambria" w:hAnsi="Cambria" w:cs="Segoe UI"/>
          <w:color w:val="000000"/>
          <w:sz w:val="20"/>
          <w:szCs w:val="20"/>
        </w:rPr>
        <w:t>In this regard, the Commission has consistently considered that it is the State's duty to prove that the reasons for the detention were reported. In view of the foregoing, and taking into account the applicable burden of proof, the Commission considers that Mr. Castillo was not informed of the reasons for his detention in accordance with the required standards. Therefore, the IACHR concludes that the State violated the right established in Article XXV of the American Declaration, to the detriment of Maykel Castillo Pérez.</w:t>
      </w:r>
    </w:p>
    <w:bookmarkEnd w:id="28"/>
    <w:p w14:paraId="037C1BC4" w14:textId="77777777" w:rsidR="007F743F" w:rsidRPr="00F66E08" w:rsidRDefault="007F743F" w:rsidP="007F743F"/>
    <w:p w14:paraId="05CDDBDC" w14:textId="5C9CB961" w:rsidR="00C11C64" w:rsidRPr="00F66E08" w:rsidRDefault="007F743F" w:rsidP="00E45102">
      <w:pPr>
        <w:pStyle w:val="Heading3"/>
        <w:numPr>
          <w:ilvl w:val="0"/>
          <w:numId w:val="0"/>
        </w:numPr>
        <w:tabs>
          <w:tab w:val="left" w:pos="360"/>
        </w:tabs>
        <w:rPr>
          <w:i/>
          <w:iCs/>
        </w:rPr>
      </w:pPr>
      <w:r w:rsidRPr="00E9543F">
        <w:rPr>
          <w:i/>
          <w:iCs/>
        </w:rPr>
        <w:t xml:space="preserve">On the arrest of 25 September 2018 </w:t>
      </w:r>
    </w:p>
    <w:p w14:paraId="22B5719D" w14:textId="77777777" w:rsidR="00C11C64" w:rsidRPr="00F66E08" w:rsidRDefault="00C11C64" w:rsidP="009C748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eastAsia="Calibri" w:hAnsi="Cambria"/>
          <w:color w:val="000000"/>
          <w:sz w:val="20"/>
          <w:szCs w:val="20"/>
          <w:bdr w:val="none" w:sz="0" w:space="0" w:color="auto"/>
        </w:rPr>
      </w:pPr>
    </w:p>
    <w:p w14:paraId="6BB6930A" w14:textId="073E0898" w:rsidR="0047697B" w:rsidRPr="00BD6C53" w:rsidRDefault="00DE0DD3"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00BD6C53">
        <w:rPr>
          <w:rStyle w:val="normaltextrun"/>
          <w:rFonts w:ascii="Cambria" w:hAnsi="Cambria"/>
          <w:color w:val="000000"/>
          <w:sz w:val="20"/>
          <w:szCs w:val="20"/>
          <w:shd w:val="clear" w:color="auto" w:fill="FFFFFF"/>
        </w:rPr>
        <w:t>The petitioner alleged that Mr. Castillo Pérez was detained by state authorities on September 25, 2018</w:t>
      </w:r>
      <w:r w:rsidRPr="00BD6C53">
        <w:rPr>
          <w:rStyle w:val="normaltextrun"/>
          <w:rFonts w:ascii="Cambria" w:eastAsia="Calibri" w:hAnsi="Cambria"/>
          <w:b/>
          <w:bCs/>
          <w:color w:val="000000"/>
          <w:sz w:val="20"/>
          <w:szCs w:val="20"/>
          <w:bdr w:val="none" w:sz="0" w:space="0" w:color="auto"/>
        </w:rPr>
        <w:t xml:space="preserve">. </w:t>
      </w:r>
      <w:r w:rsidR="0047697B" w:rsidRPr="00BD6C53">
        <w:rPr>
          <w:rFonts w:ascii="Cambria" w:hAnsi="Cambria"/>
          <w:sz w:val="20"/>
          <w:szCs w:val="20"/>
        </w:rPr>
        <w:t xml:space="preserve">He pointed out that the Old Havana Prosecutor's Office revoked the decision of the administrative fine after its payment and ordered his arrest due to the commission of the crime of "Attack." According to the petitioner, the detention was "arbitrary at his home" and he was not provided with information at the time of the arrest. In turn, </w:t>
      </w:r>
      <w:r w:rsidR="006B5899" w:rsidRPr="00E9543F">
        <w:rPr>
          <w:rStyle w:val="normaltextrun"/>
          <w:rFonts w:ascii="Cambria" w:hAnsi="Cambria"/>
          <w:color w:val="000000"/>
          <w:sz w:val="20"/>
          <w:szCs w:val="20"/>
          <w:shd w:val="clear" w:color="auto" w:fill="FFFFFF"/>
        </w:rPr>
        <w:t xml:space="preserve">it stated that, having paid the administrative fine, the action had already been sanctioned in accordance with its domestic legal framework </w:t>
      </w:r>
      <w:r w:rsidR="78F46AC7" w:rsidRPr="00BD6C53">
        <w:rPr>
          <w:rStyle w:val="normaltextrun"/>
          <w:rFonts w:ascii="Cambria" w:hAnsi="Cambria"/>
          <w:color w:val="000000" w:themeColor="text1"/>
          <w:sz w:val="20"/>
          <w:szCs w:val="20"/>
        </w:rPr>
        <w:t>(</w:t>
      </w:r>
      <w:r w:rsidR="78F46AC7" w:rsidRPr="00BD6C53">
        <w:rPr>
          <w:rStyle w:val="normaltextrun"/>
          <w:rFonts w:ascii="Cambria" w:hAnsi="Cambria"/>
          <w:i/>
          <w:iCs/>
          <w:color w:val="000000" w:themeColor="text1"/>
          <w:sz w:val="20"/>
          <w:szCs w:val="20"/>
        </w:rPr>
        <w:t>supra</w:t>
      </w:r>
      <w:r w:rsidR="78F46AC7" w:rsidRPr="00BD6C53">
        <w:rPr>
          <w:rStyle w:val="normaltextrun"/>
          <w:rFonts w:ascii="Cambria" w:hAnsi="Cambria"/>
          <w:color w:val="000000" w:themeColor="text1"/>
          <w:sz w:val="20"/>
          <w:szCs w:val="20"/>
        </w:rPr>
        <w:t xml:space="preserve"> paras. 25-26).</w:t>
      </w:r>
      <w:r w:rsidR="00DC5D77" w:rsidRPr="00BD6C53">
        <w:rPr>
          <w:rFonts w:ascii="Cambria" w:hAnsi="Cambria"/>
          <w:sz w:val="20"/>
          <w:szCs w:val="20"/>
        </w:rPr>
        <w:t xml:space="preserve"> </w:t>
      </w:r>
    </w:p>
    <w:p w14:paraId="1B4BE99E" w14:textId="77777777" w:rsidR="0047697B" w:rsidRPr="00E9543F" w:rsidRDefault="0047697B" w:rsidP="00B82A2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bCs/>
          <w:sz w:val="20"/>
          <w:szCs w:val="20"/>
          <w:lang w:val="es-ES"/>
        </w:rPr>
      </w:pPr>
    </w:p>
    <w:p w14:paraId="24FF6160" w14:textId="1D2FD894" w:rsidR="00CB25C3" w:rsidRPr="00F66E08" w:rsidRDefault="0047697B" w:rsidP="00B82A24">
      <w:pPr>
        <w:numPr>
          <w:ilvl w:val="0"/>
          <w:numId w:val="62"/>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Style w:val="normaltextrun"/>
          <w:rFonts w:ascii="Cambria" w:hAnsi="Cambria"/>
          <w:sz w:val="20"/>
          <w:szCs w:val="20"/>
        </w:rPr>
      </w:pPr>
      <w:r w:rsidRPr="00E9543F">
        <w:rPr>
          <w:rStyle w:val="normaltextrun"/>
          <w:rFonts w:ascii="Cambria" w:hAnsi="Cambria"/>
          <w:color w:val="000000"/>
          <w:sz w:val="20"/>
          <w:szCs w:val="20"/>
          <w:shd w:val="clear" w:color="auto" w:fill="FFFFFF"/>
        </w:rPr>
        <w:t xml:space="preserve">The Commission observes that there is no documentation of any kind that proves a court order or a situation of flagrante delicto when the arrest occurred. In turn, it points out that the event that gave rise to the arrest had already been punished by means of an administrative fine </w:t>
      </w:r>
      <w:r w:rsidR="000A0055" w:rsidRPr="00E9543F">
        <w:rPr>
          <w:rStyle w:val="normaltextrun"/>
          <w:rFonts w:ascii="Cambria" w:hAnsi="Cambria"/>
          <w:color w:val="000000" w:themeColor="text1"/>
          <w:sz w:val="20"/>
          <w:szCs w:val="20"/>
        </w:rPr>
        <w:t>(</w:t>
      </w:r>
      <w:r w:rsidR="000A0055" w:rsidRPr="00E9543F">
        <w:rPr>
          <w:rStyle w:val="normaltextrun"/>
          <w:rFonts w:ascii="Cambria" w:hAnsi="Cambria"/>
          <w:i/>
          <w:iCs/>
          <w:color w:val="000000" w:themeColor="text1"/>
          <w:sz w:val="20"/>
          <w:szCs w:val="20"/>
        </w:rPr>
        <w:t>supra</w:t>
      </w:r>
      <w:r w:rsidR="000A0055" w:rsidRPr="00E9543F">
        <w:rPr>
          <w:rStyle w:val="normaltextrun"/>
          <w:rFonts w:ascii="Cambria" w:hAnsi="Cambria"/>
          <w:color w:val="000000" w:themeColor="text1"/>
          <w:sz w:val="20"/>
          <w:szCs w:val="20"/>
        </w:rPr>
        <w:t xml:space="preserve"> para. 22).</w:t>
      </w:r>
      <w:r w:rsidR="000A0055" w:rsidRPr="00E9543F">
        <w:rPr>
          <w:rStyle w:val="normaltextrun"/>
          <w:rFonts w:ascii="Cambria" w:hAnsi="Cambria"/>
          <w:color w:val="000000"/>
          <w:sz w:val="20"/>
          <w:szCs w:val="20"/>
          <w:shd w:val="clear" w:color="auto" w:fill="FFFFFF"/>
        </w:rPr>
        <w:t xml:space="preserve"> </w:t>
      </w:r>
      <w:r w:rsidRPr="00E9543F">
        <w:rPr>
          <w:rStyle w:val="normaltextrun"/>
          <w:rFonts w:ascii="Cambria" w:hAnsi="Cambria" w:cs="Segoe UI"/>
          <w:color w:val="000000"/>
          <w:sz w:val="20"/>
          <w:szCs w:val="20"/>
        </w:rPr>
        <w:t xml:space="preserve">The IACHR </w:t>
      </w:r>
      <w:r w:rsidR="00784999" w:rsidRPr="00E9543F">
        <w:rPr>
          <w:rStyle w:val="normaltextrun"/>
          <w:rFonts w:ascii="Cambria" w:hAnsi="Cambria"/>
          <w:color w:val="000000"/>
          <w:sz w:val="20"/>
          <w:szCs w:val="20"/>
          <w:shd w:val="clear" w:color="auto" w:fill="FFFFFF"/>
        </w:rPr>
        <w:t xml:space="preserve">notes that the precautionary measure of pretrial detention imposed on Mr. Castillo Pérez was issued by the Public Prosecutor's Office and not by a competent judicial authority </w:t>
      </w:r>
      <w:r w:rsidR="675A21E6" w:rsidRPr="00E9543F">
        <w:rPr>
          <w:rStyle w:val="normaltextrun"/>
          <w:rFonts w:ascii="Cambria" w:hAnsi="Cambria"/>
          <w:color w:val="000000" w:themeColor="text1"/>
          <w:sz w:val="20"/>
          <w:szCs w:val="20"/>
        </w:rPr>
        <w:t>(</w:t>
      </w:r>
      <w:r w:rsidR="675A21E6" w:rsidRPr="00E9543F">
        <w:rPr>
          <w:rStyle w:val="normaltextrun"/>
          <w:rFonts w:ascii="Cambria" w:hAnsi="Cambria"/>
          <w:i/>
          <w:iCs/>
          <w:color w:val="000000" w:themeColor="text1"/>
          <w:sz w:val="20"/>
          <w:szCs w:val="20"/>
        </w:rPr>
        <w:t>supra</w:t>
      </w:r>
      <w:r w:rsidR="675A21E6" w:rsidRPr="00E9543F">
        <w:rPr>
          <w:rStyle w:val="normaltextrun"/>
          <w:rFonts w:ascii="Cambria" w:hAnsi="Cambria"/>
          <w:color w:val="000000" w:themeColor="text1"/>
          <w:sz w:val="20"/>
          <w:szCs w:val="20"/>
        </w:rPr>
        <w:t xml:space="preserve"> para. 25).</w:t>
      </w:r>
      <w:r w:rsidRPr="00E9543F">
        <w:rPr>
          <w:rStyle w:val="normaltextrun"/>
          <w:rFonts w:ascii="Cambria" w:hAnsi="Cambria"/>
          <w:color w:val="000000"/>
          <w:sz w:val="20"/>
          <w:szCs w:val="20"/>
          <w:shd w:val="clear" w:color="auto" w:fill="FFFFFF"/>
        </w:rPr>
        <w:t xml:space="preserve"> There is also no information that Mr. Castillo has </w:t>
      </w:r>
      <w:r w:rsidRPr="00E9543F">
        <w:rPr>
          <w:rStyle w:val="normaltextrun"/>
          <w:rFonts w:ascii="Cambria" w:hAnsi="Cambria" w:cs="Segoe UI"/>
          <w:color w:val="000000"/>
          <w:sz w:val="20"/>
          <w:szCs w:val="20"/>
        </w:rPr>
        <w:t xml:space="preserve">been informed about the reasons for his detention. In view of all the above, the Commission concludes that the detention took place arbitrarily since the reason for the detention was an act that had already been punished in accordance with domestic law and did not have a judicial motivation to justify the new measure against Mr. Castillo Pérez.   </w:t>
      </w:r>
    </w:p>
    <w:p w14:paraId="29C8EE71" w14:textId="7CFD85B5" w:rsidR="00DC5D77" w:rsidRPr="00F66E08" w:rsidRDefault="00DC5D77" w:rsidP="00B82A2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bCs/>
          <w:sz w:val="20"/>
          <w:szCs w:val="20"/>
        </w:rPr>
      </w:pPr>
      <w:r w:rsidRPr="00E9543F">
        <w:rPr>
          <w:rFonts w:ascii="Cambria" w:hAnsi="Cambria"/>
          <w:bCs/>
          <w:sz w:val="20"/>
          <w:szCs w:val="20"/>
        </w:rPr>
        <w:t xml:space="preserve"> </w:t>
      </w:r>
    </w:p>
    <w:p w14:paraId="7719E3B6" w14:textId="3B00DEAA" w:rsidR="008B7F23" w:rsidRPr="00BD6C53" w:rsidRDefault="00B34C9C" w:rsidP="00B82A24">
      <w:pPr>
        <w:numPr>
          <w:ilvl w:val="0"/>
          <w:numId w:val="62"/>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Style w:val="normaltextrun"/>
          <w:rFonts w:ascii="Cambria" w:eastAsia="Calibri" w:hAnsi="Cambria"/>
          <w:b/>
          <w:bCs/>
          <w:color w:val="000000"/>
          <w:sz w:val="20"/>
          <w:szCs w:val="20"/>
          <w:bdr w:val="none" w:sz="0" w:space="0" w:color="auto"/>
          <w:lang w:val="es-ES"/>
        </w:rPr>
      </w:pPr>
      <w:r w:rsidRPr="00BD6C53">
        <w:rPr>
          <w:rStyle w:val="normaltextrun"/>
          <w:rFonts w:ascii="Cambria" w:hAnsi="Cambria"/>
          <w:color w:val="000000"/>
          <w:sz w:val="20"/>
          <w:szCs w:val="20"/>
          <w:shd w:val="clear" w:color="auto" w:fill="FFFFFF"/>
        </w:rPr>
        <w:t xml:space="preserve">Finally, the Commission notes that there is no documentation to prove that Mr. Castillo Pérez was brought before a judicial authority immediately after his arrest. The IACHR observes that the first action of the judicial authority in the case file was the rejection of the habeas corpus petition and the confirmation of the alleged victim's preventive detention on October 9, 2018, fourteen days after the arrest occurred </w:t>
      </w:r>
      <w:r w:rsidR="7682E274" w:rsidRPr="00BD6C53">
        <w:rPr>
          <w:rStyle w:val="normaltextrun"/>
          <w:rFonts w:ascii="Cambria" w:hAnsi="Cambria"/>
          <w:color w:val="000000" w:themeColor="text1"/>
          <w:sz w:val="20"/>
          <w:szCs w:val="20"/>
        </w:rPr>
        <w:t>(</w:t>
      </w:r>
      <w:r w:rsidR="7682E274" w:rsidRPr="00BD6C53">
        <w:rPr>
          <w:rStyle w:val="normaltextrun"/>
          <w:rFonts w:ascii="Cambria" w:hAnsi="Cambria"/>
          <w:i/>
          <w:iCs/>
          <w:color w:val="000000" w:themeColor="text1"/>
          <w:sz w:val="20"/>
          <w:szCs w:val="20"/>
        </w:rPr>
        <w:t>supra</w:t>
      </w:r>
      <w:r w:rsidR="7682E274" w:rsidRPr="00BD6C53">
        <w:rPr>
          <w:rStyle w:val="normaltextrun"/>
          <w:rFonts w:ascii="Cambria" w:hAnsi="Cambria"/>
          <w:color w:val="000000" w:themeColor="text1"/>
          <w:sz w:val="20"/>
          <w:szCs w:val="20"/>
        </w:rPr>
        <w:t xml:space="preserve"> para. 27).</w:t>
      </w:r>
      <w:r w:rsidR="00CB25C3" w:rsidRPr="00BD6C53">
        <w:rPr>
          <w:rStyle w:val="normaltextrun"/>
          <w:rFonts w:ascii="Cambria" w:hAnsi="Cambria"/>
          <w:color w:val="000000"/>
          <w:sz w:val="20"/>
          <w:szCs w:val="20"/>
          <w:shd w:val="clear" w:color="auto" w:fill="FFFFFF"/>
        </w:rPr>
        <w:t xml:space="preserve"> </w:t>
      </w:r>
    </w:p>
    <w:p w14:paraId="58457DEA" w14:textId="77777777" w:rsidR="008B7F23" w:rsidRPr="00E9543F" w:rsidRDefault="008B7F23" w:rsidP="00B82A2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Style w:val="normaltextrun"/>
          <w:rFonts w:ascii="Cambria" w:eastAsia="Calibri" w:hAnsi="Cambria"/>
          <w:b/>
          <w:bCs/>
          <w:color w:val="000000"/>
          <w:sz w:val="20"/>
          <w:szCs w:val="20"/>
          <w:bdr w:val="none" w:sz="0" w:space="0" w:color="auto"/>
          <w:lang w:val="es-ES"/>
        </w:rPr>
      </w:pPr>
    </w:p>
    <w:p w14:paraId="3AF3A09B" w14:textId="53D33117" w:rsidR="00CB25C3" w:rsidRPr="00F66E08" w:rsidRDefault="00824132" w:rsidP="00B82A24">
      <w:pPr>
        <w:numPr>
          <w:ilvl w:val="0"/>
          <w:numId w:val="62"/>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Style w:val="normaltextrun"/>
          <w:rFonts w:ascii="Cambria" w:eastAsia="Calibri" w:hAnsi="Cambria"/>
          <w:b/>
          <w:bCs/>
          <w:color w:val="000000"/>
          <w:sz w:val="20"/>
          <w:szCs w:val="20"/>
          <w:bdr w:val="none" w:sz="0" w:space="0" w:color="auto"/>
        </w:rPr>
      </w:pPr>
      <w:bookmarkStart w:id="29" w:name="_Hlk172885312"/>
      <w:r w:rsidRPr="00E9543F">
        <w:rPr>
          <w:rStyle w:val="normaltextrun"/>
          <w:rFonts w:ascii="Cambria" w:hAnsi="Cambria"/>
          <w:color w:val="000000"/>
          <w:sz w:val="20"/>
          <w:szCs w:val="20"/>
          <w:shd w:val="clear" w:color="auto" w:fill="FFFFFF"/>
        </w:rPr>
        <w:t xml:space="preserve">In view of the foregoing, the Commission points out that the deprivation of liberty of Mr. Castillo Pérez was illegal, he was not informed of the reasons for his detention, and he was not promptly brought before a judicial authority. Therefore, </w:t>
      </w:r>
      <w:r w:rsidR="008B7F23" w:rsidRPr="00E9543F">
        <w:rPr>
          <w:rStyle w:val="normaltextrun"/>
          <w:rFonts w:ascii="Cambria" w:hAnsi="Cambria" w:cs="Segoe UI"/>
          <w:color w:val="000000"/>
          <w:sz w:val="20"/>
          <w:szCs w:val="20"/>
        </w:rPr>
        <w:t>the IACHR concludes that the State violated the right established in Article XXV of the American Declaration, to the detriment of Maykel Castillo Pérez.</w:t>
      </w:r>
    </w:p>
    <w:p w14:paraId="79B9FB44" w14:textId="77777777" w:rsidR="00824132" w:rsidRPr="00F66E08" w:rsidRDefault="00824132" w:rsidP="00EF175E">
      <w:pPr>
        <w:pStyle w:val="ListParagraph"/>
        <w:numPr>
          <w:ilvl w:val="0"/>
          <w:numId w:val="0"/>
        </w:numPr>
        <w:ind w:left="720"/>
        <w:rPr>
          <w:rStyle w:val="normaltextrun"/>
          <w:rFonts w:eastAsia="Calibri"/>
          <w:b/>
          <w:bCs/>
          <w:bdr w:val="none" w:sz="0" w:space="0" w:color="auto"/>
          <w:lang w:val="en-US"/>
        </w:rPr>
      </w:pPr>
    </w:p>
    <w:p w14:paraId="7AC46585" w14:textId="78EB3560" w:rsidR="002F195C" w:rsidRPr="00F66E08" w:rsidRDefault="00824132" w:rsidP="00B82A24">
      <w:pPr>
        <w:numPr>
          <w:ilvl w:val="0"/>
          <w:numId w:val="62"/>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eastAsia="Calibri" w:hAnsi="Cambria"/>
          <w:color w:val="000000"/>
          <w:sz w:val="20"/>
          <w:szCs w:val="20"/>
          <w:bdr w:val="none" w:sz="0" w:space="0" w:color="auto"/>
        </w:rPr>
      </w:pPr>
      <w:r w:rsidRPr="00BD6C53">
        <w:rPr>
          <w:rStyle w:val="normaltextrun"/>
          <w:rFonts w:ascii="Cambria" w:eastAsia="Calibri" w:hAnsi="Cambria"/>
          <w:color w:val="000000"/>
          <w:sz w:val="20"/>
          <w:szCs w:val="20"/>
          <w:bdr w:val="none" w:sz="0" w:space="0" w:color="auto"/>
        </w:rPr>
        <w:t>Finally, the IACHR notes that, as noted in the 'Findings of Fact' section, there is publicly available information about a new arrest against Mr. Castillo by State agents in 2021 (</w:t>
      </w:r>
      <w:r w:rsidR="00D15077" w:rsidRPr="00BD6C53">
        <w:rPr>
          <w:rStyle w:val="normaltextrun"/>
          <w:rFonts w:ascii="Cambria" w:eastAsia="Calibri" w:hAnsi="Cambria"/>
          <w:i/>
          <w:iCs/>
          <w:color w:val="000000"/>
          <w:sz w:val="20"/>
          <w:szCs w:val="20"/>
          <w:bdr w:val="none" w:sz="0" w:space="0" w:color="auto"/>
        </w:rPr>
        <w:t>supra</w:t>
      </w:r>
      <w:r w:rsidR="00D15077" w:rsidRPr="00BD6C53">
        <w:rPr>
          <w:rStyle w:val="normaltextrun"/>
          <w:rFonts w:ascii="Cambria" w:eastAsia="Calibri" w:hAnsi="Cambria"/>
          <w:color w:val="000000"/>
          <w:sz w:val="20"/>
          <w:szCs w:val="20"/>
          <w:bdr w:val="none" w:sz="0" w:space="0" w:color="auto"/>
        </w:rPr>
        <w:t xml:space="preserve"> paras. 37-40). In this regard, the Commission does not have sufficient information to rule on this point. Notwithstanding the foregoing, the IACHR stresses that </w:t>
      </w:r>
      <w:bookmarkEnd w:id="29"/>
      <w:r w:rsidR="002F195C" w:rsidRPr="00BD6C53">
        <w:rPr>
          <w:rFonts w:ascii="Cambria" w:hAnsi="Cambria"/>
          <w:sz w:val="20"/>
          <w:szCs w:val="20"/>
        </w:rPr>
        <w:t>States must cease using arbitrary detentions as a mechanism of punishment or reprisals against human rights defenders</w:t>
      </w:r>
      <w:r w:rsidR="002F195C" w:rsidRPr="00BD6C53">
        <w:rPr>
          <w:rStyle w:val="FootnoteReference"/>
          <w:rFonts w:ascii="Cambria" w:hAnsi="Cambria"/>
          <w:sz w:val="20"/>
          <w:szCs w:val="20"/>
        </w:rPr>
        <w:footnoteReference w:id="91"/>
      </w:r>
      <w:r w:rsidR="002F195C" w:rsidRPr="00BD6C53">
        <w:rPr>
          <w:rFonts w:ascii="Cambria" w:hAnsi="Cambria"/>
          <w:sz w:val="20"/>
          <w:szCs w:val="20"/>
        </w:rPr>
        <w:t>.</w:t>
      </w:r>
    </w:p>
    <w:p w14:paraId="15CB1E7E" w14:textId="77777777" w:rsidR="002F195C" w:rsidRPr="00F66E08" w:rsidRDefault="002F195C" w:rsidP="002F195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eastAsia="Calibri" w:hAnsi="Cambria"/>
          <w:b/>
          <w:bCs/>
          <w:color w:val="000000"/>
          <w:sz w:val="20"/>
          <w:szCs w:val="20"/>
          <w:bdr w:val="none" w:sz="0" w:space="0" w:color="auto"/>
        </w:rPr>
      </w:pPr>
    </w:p>
    <w:p w14:paraId="6A6F02B0" w14:textId="09A314A0" w:rsidR="00195604" w:rsidRPr="00F66E08" w:rsidRDefault="00195604" w:rsidP="004B1C8A">
      <w:pPr>
        <w:pStyle w:val="Heading2"/>
        <w:rPr>
          <w:lang w:val="en-US"/>
        </w:rPr>
      </w:pPr>
      <w:bookmarkStart w:id="30" w:name="_Toc216356773"/>
      <w:r w:rsidRPr="00F66E08">
        <w:rPr>
          <w:lang w:val="en-US"/>
        </w:rPr>
        <w:lastRenderedPageBreak/>
        <w:t xml:space="preserve">Right </w:t>
      </w:r>
      <w:r w:rsidR="002703F8" w:rsidRPr="00F66E08">
        <w:rPr>
          <w:rFonts w:eastAsia="SimSun"/>
          <w:lang w:val="en-US"/>
        </w:rPr>
        <w:t>to a fair trial and due process</w:t>
      </w:r>
      <w:r w:rsidRPr="00F66E08">
        <w:rPr>
          <w:lang w:val="en-US"/>
        </w:rPr>
        <w:t xml:space="preserve"> (Articles XVIII</w:t>
      </w:r>
      <w:r w:rsidRPr="00E9543F">
        <w:rPr>
          <w:rStyle w:val="FootnoteReference"/>
          <w:szCs w:val="20"/>
        </w:rPr>
        <w:footnoteReference w:id="92"/>
      </w:r>
      <w:r w:rsidRPr="00F66E08">
        <w:rPr>
          <w:lang w:val="en-US"/>
        </w:rPr>
        <w:t xml:space="preserve"> and XXVI</w:t>
      </w:r>
      <w:r w:rsidRPr="00E9543F">
        <w:rPr>
          <w:rStyle w:val="FootnoteReference"/>
        </w:rPr>
        <w:footnoteReference w:id="93"/>
      </w:r>
      <w:r w:rsidRPr="00F66E08">
        <w:rPr>
          <w:lang w:val="en-US"/>
        </w:rPr>
        <w:t xml:space="preserve"> of the American Declaration)</w:t>
      </w:r>
      <w:bookmarkEnd w:id="30"/>
      <w:r w:rsidRPr="00F66E08">
        <w:rPr>
          <w:lang w:val="en-US"/>
        </w:rPr>
        <w:t xml:space="preserve">  </w:t>
      </w:r>
    </w:p>
    <w:p w14:paraId="3FC7187E" w14:textId="77777777" w:rsidR="00195604" w:rsidRPr="00F66E08" w:rsidRDefault="00195604" w:rsidP="002F195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Style w:val="normaltextrun"/>
        </w:rPr>
      </w:pPr>
    </w:p>
    <w:p w14:paraId="0AAA2D43" w14:textId="58DA977B" w:rsidR="00363049" w:rsidRPr="00E9543F" w:rsidRDefault="00195604" w:rsidP="00425CDF">
      <w:pPr>
        <w:pStyle w:val="Heading3"/>
        <w:numPr>
          <w:ilvl w:val="0"/>
          <w:numId w:val="63"/>
        </w:numPr>
        <w:tabs>
          <w:tab w:val="left" w:pos="360"/>
        </w:tabs>
        <w:ind w:left="360"/>
        <w:rPr>
          <w:lang w:val="es-ES"/>
        </w:rPr>
      </w:pPr>
      <w:r w:rsidRPr="00E9543F">
        <w:t>General considerations</w:t>
      </w:r>
    </w:p>
    <w:p w14:paraId="444A1B97" w14:textId="77777777" w:rsidR="00363049" w:rsidRPr="00E9543F" w:rsidRDefault="00363049" w:rsidP="00B82A2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4EDE157A" w14:textId="3365104B" w:rsidR="00937F4D" w:rsidRPr="00F66E08" w:rsidRDefault="000B2895" w:rsidP="00B82A24">
      <w:pPr>
        <w:numPr>
          <w:ilvl w:val="0"/>
          <w:numId w:val="62"/>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eastAsia="Cambria" w:hAnsi="Cambria" w:cs="Cambria"/>
          <w:sz w:val="20"/>
          <w:szCs w:val="20"/>
        </w:rPr>
      </w:pPr>
      <w:r w:rsidRPr="00E9543F">
        <w:rPr>
          <w:rFonts w:ascii="Cambria" w:hAnsi="Cambria"/>
          <w:sz w:val="20"/>
          <w:szCs w:val="20"/>
        </w:rPr>
        <w:t xml:space="preserve">The </w:t>
      </w:r>
      <w:r w:rsidRPr="00E9543F">
        <w:rPr>
          <w:rFonts w:ascii="Cambria" w:eastAsia="Cambria" w:hAnsi="Cambria" w:cs="Cambria"/>
          <w:sz w:val="20"/>
          <w:szCs w:val="20"/>
        </w:rPr>
        <w:t>Commission</w:t>
      </w:r>
      <w:r w:rsidRPr="00E9543F">
        <w:rPr>
          <w:rFonts w:ascii="Cambria" w:hAnsi="Cambria"/>
          <w:sz w:val="20"/>
          <w:szCs w:val="20"/>
        </w:rPr>
        <w:t xml:space="preserve"> recalls that the person subjected to criminal proceedings must be able to defend his or her interests or rights effectively and under conditions of procedural equality. This is so that the person subject to the punitive power of the State can formulate his defenses with all the necessary information. For its part, the Inter-American Court has held that from the beginning of the first steps in a criminal proceeding, the maximum procedural guarantees must be present to safeguard the right of the accused person to defense</w:t>
      </w:r>
      <w:r w:rsidRPr="00E9543F">
        <w:rPr>
          <w:rStyle w:val="FootnoteReference"/>
          <w:rFonts w:ascii="Cambria" w:hAnsi="Cambria"/>
          <w:sz w:val="20"/>
          <w:szCs w:val="20"/>
        </w:rPr>
        <w:footnoteReference w:id="94"/>
      </w:r>
      <w:r w:rsidRPr="00E9543F">
        <w:rPr>
          <w:rFonts w:ascii="Cambria" w:hAnsi="Cambria"/>
          <w:sz w:val="20"/>
          <w:szCs w:val="20"/>
        </w:rPr>
        <w:t xml:space="preserve">. They must also </w:t>
      </w:r>
      <w:r w:rsidR="00DE7322" w:rsidRPr="00E9543F">
        <w:rPr>
          <w:rFonts w:ascii="Cambria" w:eastAsia="Cambria" w:hAnsi="Cambria" w:cs="Cambria"/>
          <w:sz w:val="20"/>
          <w:szCs w:val="20"/>
        </w:rPr>
        <w:t>adopt the measures that are necessary to ensure the full implementation of the principles of procedural equality – promoting a balance between the parties – and adversarial equality – providing for the procedural power to confront or dispute the evidence submitted to the file.</w:t>
      </w:r>
      <w:r w:rsidRPr="00E9543F">
        <w:rPr>
          <w:rStyle w:val="FootnoteReference"/>
          <w:rFonts w:ascii="Cambria" w:hAnsi="Cambria"/>
          <w:sz w:val="20"/>
          <w:szCs w:val="20"/>
        </w:rPr>
        <w:footnoteReference w:id="95"/>
      </w:r>
    </w:p>
    <w:p w14:paraId="47B362C5" w14:textId="77777777" w:rsidR="006C4C94" w:rsidRPr="00F66E08" w:rsidRDefault="006C4C94" w:rsidP="00B82A2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rPr>
      </w:pPr>
    </w:p>
    <w:p w14:paraId="1A4BE56E" w14:textId="634352BD" w:rsidR="00355091" w:rsidRPr="00F66E08" w:rsidRDefault="000B2895" w:rsidP="00B82A24">
      <w:pPr>
        <w:numPr>
          <w:ilvl w:val="0"/>
          <w:numId w:val="62"/>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color w:val="FF0000"/>
          <w:sz w:val="20"/>
          <w:szCs w:val="20"/>
        </w:rPr>
      </w:pPr>
      <w:r w:rsidRPr="00E9543F">
        <w:rPr>
          <w:rFonts w:ascii="Cambria" w:eastAsia="Cambria" w:hAnsi="Cambria" w:cs="Cambria"/>
          <w:sz w:val="20"/>
          <w:szCs w:val="20"/>
        </w:rPr>
        <w:t>The Commission has been clear in establishing the right to the presumption of innocence requires that the State not informally convict a person or hold a trial before society, without having proven his criminal responsibility and a final conviction has been issued against him. Under this framework, it is incumbent upon judicial and public authorities to be discreet and prudent about the statements they issue about the presumed guilt of an individual</w:t>
      </w:r>
      <w:r w:rsidR="00B92BD3" w:rsidRPr="00E9543F">
        <w:rPr>
          <w:rFonts w:ascii="Cambria" w:eastAsia="Cambria" w:hAnsi="Cambria" w:cs="Cambria"/>
          <w:sz w:val="20"/>
          <w:szCs w:val="20"/>
          <w:vertAlign w:val="superscript"/>
        </w:rPr>
        <w:footnoteReference w:id="96"/>
      </w:r>
      <w:r w:rsidR="00B92BD3" w:rsidRPr="00E9543F">
        <w:rPr>
          <w:rFonts w:ascii="Cambria" w:eastAsia="Cambria" w:hAnsi="Cambria" w:cs="Cambria"/>
          <w:sz w:val="20"/>
          <w:szCs w:val="20"/>
        </w:rPr>
        <w:t xml:space="preserve">.  </w:t>
      </w:r>
    </w:p>
    <w:p w14:paraId="246729E0" w14:textId="77777777" w:rsidR="00937F4D" w:rsidRPr="00F66E08" w:rsidRDefault="00937F4D" w:rsidP="00B82A2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rPr>
      </w:pPr>
    </w:p>
    <w:p w14:paraId="07418BD2" w14:textId="10A14E8C" w:rsidR="00A611D1" w:rsidRPr="00F66E08" w:rsidRDefault="006C4C94" w:rsidP="00B82A24">
      <w:pPr>
        <w:numPr>
          <w:ilvl w:val="0"/>
          <w:numId w:val="62"/>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rPr>
      </w:pPr>
      <w:r w:rsidRPr="00E9543F">
        <w:rPr>
          <w:rFonts w:ascii="Cambria" w:hAnsi="Cambria"/>
          <w:sz w:val="20"/>
          <w:szCs w:val="20"/>
        </w:rPr>
        <w:t>With respect to public defense, both the IACHR and the Inter-American Court have indicated that once the State provides a public defense to the accused person, it must be effective. To this end, the State must take all appropriate measures</w:t>
      </w:r>
      <w:r w:rsidRPr="00E9543F">
        <w:rPr>
          <w:rStyle w:val="FootnoteReference"/>
          <w:rFonts w:ascii="Cambria" w:hAnsi="Cambria"/>
          <w:sz w:val="20"/>
          <w:szCs w:val="20"/>
        </w:rPr>
        <w:footnoteReference w:id="97"/>
      </w:r>
      <w:r w:rsidRPr="00E9543F">
        <w:rPr>
          <w:rFonts w:ascii="Cambria" w:hAnsi="Cambria"/>
          <w:sz w:val="20"/>
          <w:szCs w:val="20"/>
        </w:rPr>
        <w:t>. The Commission has held that</w:t>
      </w:r>
      <w:r w:rsidR="00B92BD3" w:rsidRPr="00E9543F">
        <w:rPr>
          <w:rFonts w:ascii="Cambria" w:eastAsia="Cambria" w:hAnsi="Cambria" w:cs="Cambria"/>
          <w:sz w:val="20"/>
          <w:szCs w:val="20"/>
        </w:rPr>
        <w:t xml:space="preserve"> States must ensure that the persons who carry out the technical defense act diligently, with the objective of protecting the procedural guarantees of the accused and thus preventing (i) their rights from being violated or (ii) the relationship of trust being broken</w:t>
      </w:r>
      <w:r w:rsidR="00B92BD3" w:rsidRPr="00E9543F">
        <w:rPr>
          <w:rFonts w:ascii="Cambria" w:eastAsia="Cambria" w:hAnsi="Cambria" w:cs="Cambria"/>
          <w:sz w:val="20"/>
          <w:szCs w:val="20"/>
          <w:vertAlign w:val="superscript"/>
        </w:rPr>
        <w:footnoteReference w:id="98"/>
      </w:r>
      <w:r w:rsidR="00B92BD3" w:rsidRPr="00E9543F">
        <w:rPr>
          <w:rFonts w:ascii="Cambria" w:eastAsia="Cambria" w:hAnsi="Cambria" w:cs="Cambria"/>
          <w:sz w:val="20"/>
          <w:szCs w:val="20"/>
        </w:rPr>
        <w:t xml:space="preserve">. </w:t>
      </w:r>
      <w:r w:rsidRPr="00E9543F">
        <w:rPr>
          <w:rFonts w:ascii="Cambria" w:hAnsi="Cambria"/>
          <w:sz w:val="20"/>
          <w:szCs w:val="20"/>
        </w:rPr>
        <w:t xml:space="preserve">In addition, it has considered that in order to analyze whether there has been a violation of the right to defense by the State, it is necessary to evaluate </w:t>
      </w:r>
      <w:r w:rsidR="002A4CCF" w:rsidRPr="00E9543F">
        <w:rPr>
          <w:rFonts w:ascii="Cambria" w:eastAsia="Cambria" w:hAnsi="Cambria" w:cs="Cambria"/>
          <w:sz w:val="20"/>
          <w:szCs w:val="20"/>
        </w:rPr>
        <w:t>the cases in which the inexcusable negligence or manifest failure of the defense should have been evident to the judicial authorities or were brought to their attention and the necessary and sufficient actions were not taken to prevent and/or remedy the violation of the right to defense</w:t>
      </w:r>
      <w:r w:rsidR="002A4CCF" w:rsidRPr="00E9543F">
        <w:rPr>
          <w:rFonts w:ascii="Cambria" w:eastAsia="Cambria" w:hAnsi="Cambria" w:cs="Cambria"/>
          <w:sz w:val="20"/>
          <w:szCs w:val="20"/>
          <w:vertAlign w:val="superscript"/>
        </w:rPr>
        <w:footnoteReference w:id="99"/>
      </w:r>
      <w:r w:rsidR="002A4CCF" w:rsidRPr="00E9543F">
        <w:rPr>
          <w:rFonts w:ascii="Cambria" w:eastAsia="Cambria" w:hAnsi="Cambria" w:cs="Cambria"/>
          <w:sz w:val="20"/>
          <w:szCs w:val="20"/>
        </w:rPr>
        <w:t>.</w:t>
      </w:r>
    </w:p>
    <w:p w14:paraId="3576E06D" w14:textId="77777777" w:rsidR="002A4CCF" w:rsidRPr="00F66E08" w:rsidRDefault="002A4CCF" w:rsidP="00B82A24">
      <w:p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jc w:val="both"/>
        <w:rPr>
          <w:rFonts w:ascii="Cambria" w:hAnsi="Cambria"/>
          <w:sz w:val="20"/>
          <w:szCs w:val="20"/>
        </w:rPr>
      </w:pPr>
    </w:p>
    <w:p w14:paraId="2A215BBE" w14:textId="77777777" w:rsidR="00A611D1" w:rsidRPr="00F66E08" w:rsidRDefault="00A611D1"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rPr>
      </w:pPr>
      <w:r w:rsidRPr="00BD6C53">
        <w:rPr>
          <w:rFonts w:ascii="Cambria" w:hAnsi="Cambria"/>
          <w:sz w:val="20"/>
          <w:szCs w:val="20"/>
        </w:rPr>
        <w:t xml:space="preserve">With respect to the misuse of criminal law against human rights defenders, the Commission has held the following: </w:t>
      </w:r>
    </w:p>
    <w:p w14:paraId="5CC94E4E" w14:textId="77777777" w:rsidR="00A611D1" w:rsidRPr="00F66E08" w:rsidRDefault="00A611D1" w:rsidP="00A611D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rPr>
      </w:pPr>
    </w:p>
    <w:p w14:paraId="31CDEEB6" w14:textId="77777777" w:rsidR="00A611D1" w:rsidRPr="00C8325C" w:rsidRDefault="00A611D1" w:rsidP="00EF175E">
      <w:pPr>
        <w:pStyle w:val="ListParagraph"/>
        <w:numPr>
          <w:ilvl w:val="0"/>
          <w:numId w:val="0"/>
        </w:numPr>
        <w:ind w:left="720"/>
        <w:rPr>
          <w:lang w:val="en-US"/>
        </w:rPr>
      </w:pPr>
      <w:r w:rsidRPr="00C8325C">
        <w:rPr>
          <w:lang w:val="en-US"/>
        </w:rPr>
        <w:t xml:space="preserve">The improper use of criminal law against human rights defenders generates a series of negative impacts on them at a personal and collective level, affecting their physical health and generating effects at the family and social level. In particular, it has a negative impact on the defence of human rights. The defender who is criminally prosecuted must invest his or her time and resources in his or her procedural defense and loses conditions to attend to his or her work or that of his or her organization. This set of factors in turn generates a chilling and paralyzing effect on the community of human rights </w:t>
      </w:r>
      <w:r w:rsidRPr="00C8325C">
        <w:rPr>
          <w:lang w:val="en-US"/>
        </w:rPr>
        <w:lastRenderedPageBreak/>
        <w:t>defenders, who, for fear of suffering reprisals, may refrain from carrying out their tasks of promoting and protecting human rights, which has repercussions on society in general</w:t>
      </w:r>
      <w:r w:rsidRPr="00BD6C53">
        <w:rPr>
          <w:rStyle w:val="FootnoteReference"/>
          <w:sz w:val="18"/>
          <w:szCs w:val="18"/>
        </w:rPr>
        <w:footnoteReference w:id="100"/>
      </w:r>
      <w:r w:rsidRPr="00C8325C">
        <w:rPr>
          <w:lang w:val="en-US"/>
        </w:rPr>
        <w:t>.</w:t>
      </w:r>
    </w:p>
    <w:p w14:paraId="77C65805" w14:textId="77777777" w:rsidR="00363049" w:rsidRPr="00F66E08" w:rsidRDefault="00363049" w:rsidP="00A611D1">
      <w:pPr>
        <w:rPr>
          <w:sz w:val="20"/>
          <w:szCs w:val="20"/>
        </w:rPr>
      </w:pPr>
    </w:p>
    <w:p w14:paraId="4742379B" w14:textId="77777777" w:rsidR="00681C00" w:rsidRPr="00F66E08" w:rsidRDefault="00681C00" w:rsidP="002A019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rPr>
      </w:pPr>
      <w:r w:rsidRPr="00BD6C53">
        <w:rPr>
          <w:rFonts w:ascii="Cambria" w:hAnsi="Cambria"/>
          <w:sz w:val="20"/>
          <w:szCs w:val="20"/>
        </w:rPr>
        <w:t xml:space="preserve">The IACHR highlights that in the framework of its monitoring functions it has collected information on the effects on </w:t>
      </w:r>
      <w:r w:rsidRPr="00BD6C53">
        <w:rPr>
          <w:rFonts w:ascii="Cambria" w:hAnsi="Cambria" w:cs="Cambria"/>
          <w:sz w:val="20"/>
          <w:szCs w:val="20"/>
          <w:lang w:eastAsia="es-ES"/>
        </w:rPr>
        <w:t>persons</w:t>
      </w:r>
      <w:r w:rsidRPr="00BD6C53">
        <w:rPr>
          <w:rFonts w:ascii="Cambria" w:hAnsi="Cambria"/>
          <w:sz w:val="20"/>
          <w:szCs w:val="20"/>
        </w:rPr>
        <w:t xml:space="preserve"> accused during trials in Cuba, in particular on political dissidents or human rights defenders. Among these effects are: i) lack of legal defense in the previous stages of investigation; (ii) allowing little time to prepare the defence before trial; iii) lack of impartiality and judicial decisions influenced by public authorities outside the Judiciary</w:t>
      </w:r>
      <w:r w:rsidRPr="00BD6C53">
        <w:rPr>
          <w:rStyle w:val="FootnoteReference"/>
          <w:rFonts w:ascii="Cambria" w:eastAsiaTheme="minorEastAsia" w:hAnsi="Cambria"/>
          <w:sz w:val="20"/>
          <w:szCs w:val="20"/>
        </w:rPr>
        <w:footnoteReference w:id="101"/>
      </w:r>
      <w:r w:rsidRPr="00BD6C53">
        <w:rPr>
          <w:rFonts w:ascii="Cambria" w:hAnsi="Cambria"/>
          <w:sz w:val="20"/>
          <w:szCs w:val="20"/>
        </w:rPr>
        <w:t>.</w:t>
      </w:r>
    </w:p>
    <w:p w14:paraId="171978F6" w14:textId="77777777" w:rsidR="00681C00" w:rsidRPr="00F66E08" w:rsidRDefault="00681C00" w:rsidP="00A611D1">
      <w:pPr>
        <w:rPr>
          <w:sz w:val="20"/>
          <w:szCs w:val="20"/>
        </w:rPr>
      </w:pPr>
    </w:p>
    <w:p w14:paraId="4F8FD864" w14:textId="77777777" w:rsidR="00195604" w:rsidRPr="00E9543F" w:rsidRDefault="00195604" w:rsidP="00363049">
      <w:pPr>
        <w:pStyle w:val="Heading3"/>
        <w:tabs>
          <w:tab w:val="left" w:pos="360"/>
        </w:tabs>
        <w:ind w:left="360"/>
        <w:rPr>
          <w:lang w:val="es-ES"/>
        </w:rPr>
      </w:pPr>
      <w:r w:rsidRPr="00E9543F">
        <w:t>Case analysis</w:t>
      </w:r>
    </w:p>
    <w:p w14:paraId="6C8E5255" w14:textId="77777777" w:rsidR="00A50F29" w:rsidRPr="00E9543F" w:rsidRDefault="00A50F29" w:rsidP="00B54658">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6839CDB8" w14:textId="77777777" w:rsidR="002176CA" w:rsidRPr="00F66E08" w:rsidRDefault="76D2C68A"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000000"/>
        </w:pBdr>
        <w:tabs>
          <w:tab w:val="left" w:pos="360"/>
        </w:tabs>
        <w:spacing w:line="259" w:lineRule="auto"/>
        <w:ind w:left="0" w:firstLine="0"/>
        <w:jc w:val="both"/>
        <w:rPr>
          <w:rFonts w:ascii="Cambria" w:hAnsi="Cambria"/>
          <w:sz w:val="20"/>
          <w:szCs w:val="20"/>
        </w:rPr>
      </w:pPr>
      <w:r w:rsidRPr="00BD6C53">
        <w:rPr>
          <w:rFonts w:ascii="Cambria" w:hAnsi="Cambria"/>
          <w:sz w:val="20"/>
          <w:szCs w:val="20"/>
        </w:rPr>
        <w:t xml:space="preserve">In the instant case, the IACHR takes note of the allegations presented by the petitioner regarding the multiple violations of due process against Maykel Castillo Pérez, which were not disputed by the State. The Commission then goes on to identify the following shortcomings, omissions, and irregularities in that process. </w:t>
      </w:r>
    </w:p>
    <w:p w14:paraId="76D34ED3" w14:textId="77777777" w:rsidR="002176CA" w:rsidRPr="00F66E08" w:rsidRDefault="002176CA" w:rsidP="00B82A24">
      <w:pPr>
        <w:pBdr>
          <w:top w:val="none" w:sz="0" w:space="0" w:color="auto"/>
          <w:left w:val="none" w:sz="0" w:space="0" w:color="auto"/>
          <w:bottom w:val="none" w:sz="0" w:space="0" w:color="auto"/>
          <w:right w:val="none" w:sz="0" w:space="0" w:color="auto"/>
          <w:between w:val="none" w:sz="0" w:space="0" w:color="auto"/>
          <w:bar w:val="none" w:sz="0" w:color="000000"/>
        </w:pBdr>
        <w:tabs>
          <w:tab w:val="left" w:pos="360"/>
        </w:tabs>
        <w:spacing w:line="259" w:lineRule="auto"/>
        <w:jc w:val="both"/>
        <w:rPr>
          <w:rFonts w:ascii="Cambria" w:hAnsi="Cambria"/>
          <w:sz w:val="20"/>
          <w:szCs w:val="20"/>
        </w:rPr>
      </w:pPr>
    </w:p>
    <w:p w14:paraId="49B486FD" w14:textId="4EE5773E" w:rsidR="00E97FD1" w:rsidRPr="00F66E08" w:rsidRDefault="00E97FD1"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000000"/>
        </w:pBdr>
        <w:tabs>
          <w:tab w:val="left" w:pos="360"/>
        </w:tabs>
        <w:spacing w:line="259" w:lineRule="auto"/>
        <w:ind w:left="0" w:firstLine="0"/>
        <w:jc w:val="both"/>
        <w:rPr>
          <w:rFonts w:ascii="Cambria" w:hAnsi="Cambria"/>
          <w:sz w:val="20"/>
          <w:szCs w:val="20"/>
        </w:rPr>
      </w:pPr>
      <w:r w:rsidRPr="00BD6C53">
        <w:rPr>
          <w:rFonts w:ascii="Cambria" w:hAnsi="Cambria"/>
          <w:sz w:val="20"/>
          <w:szCs w:val="20"/>
        </w:rPr>
        <w:t xml:space="preserve">First, the petitioner alleged that the payment of the fine following the arrest on June 22, 2018, was imposed by police authorities and was then reviewed by the Prosecutor's Office, which ordered the change of the administrative sanction to preventive detention and the opening of criminal proceedings </w:t>
      </w:r>
      <w:r w:rsidRPr="00BD6C53">
        <w:rPr>
          <w:rStyle w:val="normaltextrun"/>
          <w:rFonts w:ascii="Cambria" w:hAnsi="Cambria"/>
          <w:color w:val="000000" w:themeColor="text1"/>
          <w:sz w:val="20"/>
          <w:szCs w:val="20"/>
        </w:rPr>
        <w:t>(</w:t>
      </w:r>
      <w:r w:rsidRPr="00BD6C53">
        <w:rPr>
          <w:rStyle w:val="normaltextrun"/>
          <w:rFonts w:ascii="Cambria" w:hAnsi="Cambria"/>
          <w:i/>
          <w:iCs/>
          <w:color w:val="000000" w:themeColor="text1"/>
          <w:sz w:val="20"/>
          <w:szCs w:val="20"/>
        </w:rPr>
        <w:t>supra</w:t>
      </w:r>
      <w:r w:rsidRPr="00BD6C53">
        <w:rPr>
          <w:rStyle w:val="normaltextrun"/>
          <w:rFonts w:ascii="Cambria" w:hAnsi="Cambria"/>
          <w:color w:val="000000" w:themeColor="text1"/>
          <w:sz w:val="20"/>
          <w:szCs w:val="20"/>
        </w:rPr>
        <w:t xml:space="preserve"> paras. 24-25)</w:t>
      </w:r>
      <w:r w:rsidRPr="00BD6C53">
        <w:rPr>
          <w:rFonts w:ascii="Cambria" w:hAnsi="Cambria"/>
          <w:sz w:val="20"/>
          <w:szCs w:val="20"/>
        </w:rPr>
        <w:t xml:space="preserve">. The Commission observes that there is no evidence of the participation of a judicial authority that determined this change to pretrial detention and confirmed that situation. This is taking into account that the fine initially imposed was effectively paid, so there would have to be a judicial motivation for the decision to revoke said fine, impose preventive detention and initiate criminal proceedings against Mr. Castillo Pérez.  In turn, the petitioner indicated that he had already been sanctioned and served the sentence imposed </w:t>
      </w:r>
      <w:r w:rsidR="00FD0CED" w:rsidRPr="00BD6C53">
        <w:rPr>
          <w:rStyle w:val="normaltextrun"/>
          <w:rFonts w:ascii="Cambria" w:hAnsi="Cambria"/>
          <w:color w:val="000000" w:themeColor="text1"/>
          <w:sz w:val="20"/>
          <w:szCs w:val="20"/>
        </w:rPr>
        <w:t>(</w:t>
      </w:r>
      <w:r w:rsidR="00FD0CED" w:rsidRPr="00BD6C53">
        <w:rPr>
          <w:rStyle w:val="normaltextrun"/>
          <w:rFonts w:ascii="Cambria" w:hAnsi="Cambria"/>
          <w:i/>
          <w:iCs/>
          <w:color w:val="000000" w:themeColor="text1"/>
          <w:sz w:val="20"/>
          <w:szCs w:val="20"/>
        </w:rPr>
        <w:t>supra</w:t>
      </w:r>
      <w:r w:rsidR="00FD0CED" w:rsidRPr="00BD6C53">
        <w:rPr>
          <w:rStyle w:val="normaltextrun"/>
          <w:rFonts w:ascii="Cambria" w:hAnsi="Cambria"/>
          <w:color w:val="000000" w:themeColor="text1"/>
          <w:sz w:val="20"/>
          <w:szCs w:val="20"/>
        </w:rPr>
        <w:t xml:space="preserve"> paras. 24-25).</w:t>
      </w:r>
      <w:r w:rsidR="00FD0CED" w:rsidRPr="00E9543F">
        <w:rPr>
          <w:rFonts w:ascii="Cambria" w:hAnsi="Cambria"/>
          <w:sz w:val="20"/>
          <w:szCs w:val="20"/>
        </w:rPr>
        <w:t xml:space="preserve"> The IACHR notes that the State did not provide the regulatory framework that would allow the fine to be revoked. The Commission also notes that Mr. Castillo did not have the opportunity to learn about the possibility of revocation before it happened or to defend himself against its imposition. This, in addition to the lack of judicial control that the revocation had. </w:t>
      </w:r>
    </w:p>
    <w:p w14:paraId="2018E5B5" w14:textId="77777777" w:rsidR="00E97FD1" w:rsidRPr="00EF175E" w:rsidRDefault="00E97FD1" w:rsidP="00B82A24">
      <w:p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jc w:val="both"/>
      </w:pPr>
    </w:p>
    <w:p w14:paraId="590DB3B4" w14:textId="25B9FE79" w:rsidR="002F195C" w:rsidRPr="00F66E08" w:rsidRDefault="5C617D66"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000000"/>
        </w:pBdr>
        <w:tabs>
          <w:tab w:val="left" w:pos="360"/>
        </w:tabs>
        <w:spacing w:line="259" w:lineRule="auto"/>
        <w:ind w:left="0" w:firstLine="0"/>
        <w:jc w:val="both"/>
        <w:rPr>
          <w:rFonts w:ascii="Cambria" w:hAnsi="Cambria"/>
          <w:color w:val="000000" w:themeColor="text1"/>
          <w:sz w:val="20"/>
          <w:szCs w:val="20"/>
        </w:rPr>
      </w:pPr>
      <w:r w:rsidRPr="00E9543F">
        <w:rPr>
          <w:rFonts w:ascii="Cambria" w:hAnsi="Cambria"/>
          <w:sz w:val="20"/>
          <w:szCs w:val="20"/>
        </w:rPr>
        <w:t>Second, the petitioner alleged that Mr. Castillo did not have a legal defense at the beginning of the criminal proceedings against him (</w:t>
      </w:r>
      <w:r w:rsidR="004E51DE" w:rsidRPr="00E9543F">
        <w:rPr>
          <w:rFonts w:ascii="Cambria" w:hAnsi="Cambria"/>
          <w:i/>
          <w:iCs/>
          <w:sz w:val="20"/>
          <w:szCs w:val="20"/>
        </w:rPr>
        <w:t>supra</w:t>
      </w:r>
      <w:r w:rsidR="004E51DE" w:rsidRPr="00E9543F">
        <w:rPr>
          <w:rFonts w:ascii="Cambria" w:hAnsi="Cambria"/>
          <w:sz w:val="20"/>
          <w:szCs w:val="20"/>
        </w:rPr>
        <w:t xml:space="preserve"> para. 6). In this regard, the Commission notes that there is no documentation of any kind to prove that the State provided Mr. Castillo with legal defense from the beginning of the criminal proceeding, and during the subsequent proceedings until a month later. </w:t>
      </w:r>
    </w:p>
    <w:p w14:paraId="5A87E9DD" w14:textId="77777777" w:rsidR="009C43AB" w:rsidRPr="00F66E08" w:rsidRDefault="009C43AB" w:rsidP="00EF175E">
      <w:pPr>
        <w:pStyle w:val="ListParagraph"/>
        <w:numPr>
          <w:ilvl w:val="0"/>
          <w:numId w:val="0"/>
        </w:numPr>
        <w:ind w:left="720"/>
        <w:rPr>
          <w:rStyle w:val="normaltextrun"/>
          <w:color w:val="000000" w:themeColor="text1"/>
          <w:lang w:val="en-US"/>
        </w:rPr>
      </w:pPr>
    </w:p>
    <w:p w14:paraId="39B91B84" w14:textId="77777777" w:rsidR="002176CA" w:rsidRPr="00F66E08" w:rsidRDefault="002F195C"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000000"/>
        </w:pBdr>
        <w:tabs>
          <w:tab w:val="left" w:pos="360"/>
        </w:tabs>
        <w:spacing w:line="259" w:lineRule="auto"/>
        <w:ind w:left="0" w:firstLine="0"/>
        <w:jc w:val="both"/>
        <w:rPr>
          <w:rFonts w:ascii="Cambria" w:hAnsi="Cambria"/>
          <w:sz w:val="20"/>
          <w:szCs w:val="20"/>
        </w:rPr>
      </w:pPr>
      <w:r w:rsidRPr="00BD6C53">
        <w:rPr>
          <w:rStyle w:val="normaltextrun"/>
          <w:rFonts w:ascii="Cambria" w:hAnsi="Cambria"/>
          <w:sz w:val="20"/>
          <w:szCs w:val="20"/>
        </w:rPr>
        <w:t xml:space="preserve">Third, </w:t>
      </w:r>
      <w:r w:rsidR="00242EA8" w:rsidRPr="00BD6C53">
        <w:rPr>
          <w:rStyle w:val="normaltextrun"/>
          <w:rFonts w:ascii="Cambria" w:hAnsi="Cambria"/>
          <w:color w:val="000000" w:themeColor="text1"/>
          <w:sz w:val="20"/>
          <w:szCs w:val="20"/>
        </w:rPr>
        <w:t xml:space="preserve">the Commission observes that </w:t>
      </w:r>
      <w:r w:rsidR="00242EA8" w:rsidRPr="00BD6C53">
        <w:rPr>
          <w:rFonts w:ascii="Cambria" w:hAnsi="Cambria"/>
          <w:sz w:val="20"/>
          <w:szCs w:val="20"/>
        </w:rPr>
        <w:t>on October 25, 2018, the petitioner had to hire a lawyer from the National Organization of Collective Law Firms (</w:t>
      </w:r>
      <w:r w:rsidR="00242EA8" w:rsidRPr="00BD6C53">
        <w:rPr>
          <w:rFonts w:ascii="Cambria" w:hAnsi="Cambria"/>
          <w:i/>
          <w:iCs/>
          <w:sz w:val="20"/>
          <w:szCs w:val="20"/>
        </w:rPr>
        <w:t>supra</w:t>
      </w:r>
      <w:r w:rsidR="00242EA8" w:rsidRPr="00BD6C53">
        <w:rPr>
          <w:rFonts w:ascii="Cambria" w:hAnsi="Cambria"/>
          <w:sz w:val="20"/>
          <w:szCs w:val="20"/>
        </w:rPr>
        <w:t xml:space="preserve"> para. 29). In this regard, there is no documentation to prove that Mr. Castillo Pérez's legal defense was able to participate effectively in the process, both in the processing of the appeal before the Supreme People's Court, as well as in the oral trial. The Commission notes that according to the petitioner, the conclusions of the oral trial were presented directly to Mr. Castillo Pérez and not to his legal defense. Thus, the IACHR considers that it was not possible to carry out the corresponding exculpatory proceedings and the exercise of the right of defense. </w:t>
      </w:r>
    </w:p>
    <w:p w14:paraId="0D615C1E" w14:textId="77777777" w:rsidR="002176CA" w:rsidRPr="00C8325C" w:rsidRDefault="002176CA" w:rsidP="00EF175E">
      <w:pPr>
        <w:pStyle w:val="ListParagraph"/>
        <w:numPr>
          <w:ilvl w:val="0"/>
          <w:numId w:val="0"/>
        </w:numPr>
        <w:ind w:left="720"/>
        <w:rPr>
          <w:lang w:val="en-US"/>
        </w:rPr>
      </w:pPr>
    </w:p>
    <w:p w14:paraId="35A59D16" w14:textId="5DF74B77" w:rsidR="00D82171" w:rsidRPr="00F66E08" w:rsidRDefault="00E97FD1"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000000"/>
        </w:pBdr>
        <w:tabs>
          <w:tab w:val="left" w:pos="360"/>
        </w:tabs>
        <w:spacing w:line="259" w:lineRule="auto"/>
        <w:ind w:left="0" w:firstLine="0"/>
        <w:jc w:val="both"/>
        <w:rPr>
          <w:rFonts w:ascii="Cambria" w:hAnsi="Cambria"/>
          <w:sz w:val="20"/>
          <w:szCs w:val="20"/>
        </w:rPr>
      </w:pPr>
      <w:r w:rsidRPr="00BD6C53">
        <w:rPr>
          <w:rFonts w:ascii="Cambria" w:hAnsi="Cambria"/>
          <w:sz w:val="20"/>
          <w:szCs w:val="20"/>
        </w:rPr>
        <w:t>The Commission considers that the shortcomings, irregularities, and omissions mentioned above are part of the aforementioned context of criminalization of human rights defenders in Cuba (</w:t>
      </w:r>
      <w:r w:rsidR="6FCC116D" w:rsidRPr="00BD6C53">
        <w:rPr>
          <w:rStyle w:val="normaltextrun"/>
          <w:rFonts w:ascii="Cambria" w:hAnsi="Cambria"/>
          <w:i/>
          <w:iCs/>
          <w:color w:val="000000" w:themeColor="text1"/>
          <w:sz w:val="20"/>
          <w:szCs w:val="20"/>
        </w:rPr>
        <w:t>supra</w:t>
      </w:r>
      <w:r w:rsidR="6FCC116D" w:rsidRPr="00BD6C53">
        <w:rPr>
          <w:rStyle w:val="normaltextrun"/>
          <w:rFonts w:ascii="Cambria" w:hAnsi="Cambria"/>
          <w:color w:val="000000" w:themeColor="text1"/>
          <w:sz w:val="20"/>
          <w:szCs w:val="20"/>
        </w:rPr>
        <w:t xml:space="preserve"> paras. 15-18).</w:t>
      </w:r>
      <w:r w:rsidR="10918FD4" w:rsidRPr="00BD6C53">
        <w:rPr>
          <w:rFonts w:ascii="Cambria" w:hAnsi="Cambria"/>
          <w:sz w:val="20"/>
          <w:szCs w:val="20"/>
        </w:rPr>
        <w:t xml:space="preserve"> In particular, the IACHR notes that it has received multiple reports on processes of criminalization and improper use of criminal law against human rights defenders in Cuba, through accusations of crimes such as the criminal offense of attack</w:t>
      </w:r>
      <w:r w:rsidR="00D82171" w:rsidRPr="00BD6C53">
        <w:rPr>
          <w:rStyle w:val="FootnoteReference"/>
          <w:rFonts w:ascii="Cambria" w:hAnsi="Cambria"/>
          <w:sz w:val="20"/>
          <w:szCs w:val="20"/>
        </w:rPr>
        <w:footnoteReference w:id="102"/>
      </w:r>
      <w:r w:rsidR="000911CE" w:rsidRPr="00BD6C53">
        <w:rPr>
          <w:rFonts w:ascii="Cambria" w:hAnsi="Cambria"/>
          <w:sz w:val="20"/>
          <w:szCs w:val="20"/>
        </w:rPr>
        <w:t xml:space="preserve">. It is precisely this situation that occurred in the present case. This is because Mr. Castillo Pérez is a human rights defender with a lot of public visibility, who was subject to a fine and later revoked to initiate criminal proceedings for the crime of attack. </w:t>
      </w:r>
    </w:p>
    <w:p w14:paraId="2D881D13" w14:textId="77777777" w:rsidR="00D82171" w:rsidRPr="00C8325C" w:rsidRDefault="00D82171" w:rsidP="00EF175E">
      <w:pPr>
        <w:pStyle w:val="ListParagraph"/>
        <w:numPr>
          <w:ilvl w:val="0"/>
          <w:numId w:val="0"/>
        </w:numPr>
        <w:ind w:left="720"/>
        <w:rPr>
          <w:lang w:val="en-US"/>
        </w:rPr>
      </w:pPr>
    </w:p>
    <w:p w14:paraId="0B060432" w14:textId="77777777" w:rsidR="00010F1C" w:rsidRPr="00F66E08" w:rsidRDefault="13ECD5C3"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000000"/>
        </w:pBdr>
        <w:tabs>
          <w:tab w:val="left" w:pos="360"/>
        </w:tabs>
        <w:spacing w:line="259" w:lineRule="auto"/>
        <w:ind w:left="0" w:firstLine="0"/>
        <w:jc w:val="both"/>
        <w:rPr>
          <w:rFonts w:ascii="Cambria" w:hAnsi="Cambria"/>
          <w:sz w:val="20"/>
          <w:szCs w:val="20"/>
        </w:rPr>
      </w:pPr>
      <w:r w:rsidRPr="00E9543F">
        <w:rPr>
          <w:rFonts w:ascii="Cambria" w:hAnsi="Cambria"/>
          <w:sz w:val="20"/>
          <w:szCs w:val="20"/>
        </w:rPr>
        <w:lastRenderedPageBreak/>
        <w:t xml:space="preserve">In view of the foregoing, the Commission concludes that Maykel Castillo Pérez was violated in his rights to justice and to a fair trial in the context of the criminal proceedings that followed him. Consequently, the IACHR concludes that the State is responsible for the violation of the rights established in Articles XVIII and XXVI of the American Declaration. </w:t>
      </w:r>
    </w:p>
    <w:p w14:paraId="7FA51FFB" w14:textId="77777777" w:rsidR="00E13487" w:rsidRPr="00F66E08" w:rsidRDefault="00E13487" w:rsidP="4AEC06F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eastAsia="Calibri" w:hAnsi="Cambria"/>
          <w:color w:val="000000"/>
          <w:sz w:val="20"/>
          <w:szCs w:val="20"/>
          <w:bdr w:val="none" w:sz="0" w:space="0" w:color="auto"/>
        </w:rPr>
      </w:pPr>
    </w:p>
    <w:p w14:paraId="62A28889" w14:textId="27D7BCEB" w:rsidR="005B77ED" w:rsidRPr="00F66E08" w:rsidRDefault="005B77ED" w:rsidP="004B1C8A">
      <w:pPr>
        <w:pStyle w:val="Heading2"/>
        <w:numPr>
          <w:ilvl w:val="0"/>
          <w:numId w:val="59"/>
        </w:numPr>
        <w:rPr>
          <w:lang w:val="en-US"/>
        </w:rPr>
      </w:pPr>
      <w:bookmarkStart w:id="31" w:name="_Toc216356774"/>
      <w:r w:rsidRPr="00F66E08">
        <w:rPr>
          <w:rFonts w:eastAsia="SimSun"/>
          <w:lang w:val="en-US"/>
        </w:rPr>
        <w:t xml:space="preserve">The right to freedom of </w:t>
      </w:r>
      <w:r w:rsidRPr="00F66E08">
        <w:rPr>
          <w:lang w:val="en-US"/>
        </w:rPr>
        <w:t>research</w:t>
      </w:r>
      <w:r w:rsidRPr="00F66E08">
        <w:rPr>
          <w:rFonts w:eastAsia="SimSun"/>
          <w:lang w:val="en-US"/>
        </w:rPr>
        <w:t>, opinion, expression, and dissemination; the right to participate in the cultural life of the community; and the right of association (Articles IV,</w:t>
      </w:r>
      <w:r w:rsidR="00C10196" w:rsidRPr="00E9543F">
        <w:rPr>
          <w:rStyle w:val="FootnoteReference"/>
          <w:rFonts w:eastAsia="SimSun"/>
        </w:rPr>
        <w:footnoteReference w:id="103"/>
      </w:r>
      <w:r w:rsidRPr="00F66E08">
        <w:rPr>
          <w:rFonts w:eastAsia="SimSun"/>
          <w:lang w:val="en-US"/>
        </w:rPr>
        <w:t xml:space="preserve"> XIII,</w:t>
      </w:r>
      <w:r w:rsidR="00C10196" w:rsidRPr="00E9543F">
        <w:rPr>
          <w:rStyle w:val="FootnoteReference"/>
          <w:rFonts w:eastAsia="SimSun"/>
        </w:rPr>
        <w:footnoteReference w:id="104"/>
      </w:r>
      <w:r w:rsidRPr="00F66E08">
        <w:rPr>
          <w:rFonts w:eastAsia="SimSun"/>
          <w:lang w:val="en-US"/>
        </w:rPr>
        <w:t xml:space="preserve"> and XXII</w:t>
      </w:r>
      <w:r w:rsidR="00C10196" w:rsidRPr="00E9543F">
        <w:rPr>
          <w:rStyle w:val="FootnoteReference"/>
          <w:rFonts w:eastAsia="SimSun"/>
        </w:rPr>
        <w:footnoteReference w:id="105"/>
      </w:r>
      <w:r w:rsidRPr="00F66E08">
        <w:rPr>
          <w:rFonts w:eastAsia="SimSun"/>
          <w:lang w:val="en-US"/>
        </w:rPr>
        <w:t xml:space="preserve"> of the American Declaration)</w:t>
      </w:r>
      <w:bookmarkEnd w:id="31"/>
      <w:r w:rsidRPr="00F66E08">
        <w:rPr>
          <w:rFonts w:eastAsia="SimSun"/>
          <w:lang w:val="en-US"/>
        </w:rPr>
        <w:t xml:space="preserve"> </w:t>
      </w:r>
    </w:p>
    <w:p w14:paraId="23763B18" w14:textId="77777777" w:rsidR="00195604" w:rsidRPr="00F66E08" w:rsidRDefault="00195604" w:rsidP="009C7481">
      <w:pPr>
        <w:pStyle w:val="paragraph"/>
        <w:spacing w:before="0" w:beforeAutospacing="0" w:after="0" w:afterAutospacing="0"/>
        <w:textAlignment w:val="baseline"/>
        <w:rPr>
          <w:rStyle w:val="eop"/>
          <w:sz w:val="16"/>
          <w:szCs w:val="16"/>
        </w:rPr>
      </w:pPr>
    </w:p>
    <w:p w14:paraId="50E86524" w14:textId="75FC8495" w:rsidR="00C10196" w:rsidRPr="00E9543F" w:rsidRDefault="00C10196" w:rsidP="00425CDF">
      <w:pPr>
        <w:pStyle w:val="Heading3"/>
        <w:numPr>
          <w:ilvl w:val="0"/>
          <w:numId w:val="65"/>
        </w:numPr>
        <w:tabs>
          <w:tab w:val="left" w:pos="360"/>
        </w:tabs>
        <w:ind w:left="360"/>
        <w:rPr>
          <w:lang w:val="es-ES"/>
        </w:rPr>
      </w:pPr>
      <w:r w:rsidRPr="00E9543F">
        <w:t>General considerations</w:t>
      </w:r>
    </w:p>
    <w:p w14:paraId="59718CC7" w14:textId="77777777" w:rsidR="00E30625" w:rsidRPr="00E9543F" w:rsidRDefault="00E30625" w:rsidP="00B97006">
      <w:pPr>
        <w:pStyle w:val="parrafos"/>
        <w:numPr>
          <w:ilvl w:val="0"/>
          <w:numId w:val="0"/>
        </w:numPr>
        <w:tabs>
          <w:tab w:val="clear" w:pos="360"/>
        </w:tabs>
        <w:rPr>
          <w:rFonts w:ascii="Cambria" w:hAnsi="Cambria"/>
          <w:lang w:val="es-ES"/>
        </w:rPr>
      </w:pPr>
    </w:p>
    <w:p w14:paraId="74328D86" w14:textId="7309DC1B" w:rsidR="00E30625" w:rsidRPr="00F66E08" w:rsidRDefault="00E30625"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rPr>
      </w:pPr>
      <w:r w:rsidRPr="00BD6C53">
        <w:rPr>
          <w:rFonts w:ascii="Cambria" w:hAnsi="Cambria"/>
          <w:sz w:val="20"/>
          <w:szCs w:val="20"/>
        </w:rPr>
        <w:t xml:space="preserve">The Commission emphasizes that compliance with the duty to create the necessary conditions for the effective enjoyment of the rights established in the American Declaration is intrinsically linked to the protection and recognition of the importance of the role played by human rights defenders. This is because their work is essential for the strengthening of democracy and the rule of law. </w:t>
      </w:r>
    </w:p>
    <w:p w14:paraId="526C48B6" w14:textId="77777777" w:rsidR="00E30625" w:rsidRPr="00C8325C" w:rsidRDefault="00E30625" w:rsidP="00EF175E">
      <w:pPr>
        <w:pStyle w:val="ListParagraph"/>
        <w:numPr>
          <w:ilvl w:val="0"/>
          <w:numId w:val="0"/>
        </w:numPr>
        <w:ind w:left="720"/>
        <w:rPr>
          <w:lang w:val="en-US"/>
        </w:rPr>
      </w:pPr>
    </w:p>
    <w:p w14:paraId="1F2E51D9" w14:textId="0F2F300E" w:rsidR="00E30625" w:rsidRPr="00F66E08" w:rsidRDefault="585C17AA" w:rsidP="00B82A24">
      <w:pPr>
        <w:numPr>
          <w:ilvl w:val="0"/>
          <w:numId w:val="62"/>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rPr>
      </w:pPr>
      <w:r w:rsidRPr="00E9543F">
        <w:rPr>
          <w:rFonts w:ascii="Cambria" w:hAnsi="Cambria"/>
          <w:sz w:val="20"/>
          <w:szCs w:val="20"/>
        </w:rPr>
        <w:t>The monitoring, reporting and education activities carried out by human rights defenders make an essential contribution to the observance of human rights, as they act as guarantors against impunity</w:t>
      </w:r>
      <w:r w:rsidR="00E30625" w:rsidRPr="00E9543F">
        <w:rPr>
          <w:rStyle w:val="FootnoteReference"/>
          <w:rFonts w:ascii="Cambria" w:hAnsi="Cambria"/>
          <w:sz w:val="20"/>
          <w:szCs w:val="20"/>
        </w:rPr>
        <w:footnoteReference w:id="106"/>
      </w:r>
      <w:r w:rsidRPr="00E9543F">
        <w:rPr>
          <w:rFonts w:ascii="Cambria" w:hAnsi="Cambria"/>
          <w:sz w:val="20"/>
          <w:szCs w:val="20"/>
        </w:rPr>
        <w:t>. In view of the above, States have the duty to provide the necessary means for them to freely carry out their activities; to protect them when they are the object of threats to prevent attacks on their life and integrity; refrain from imposing obstacles that hinder the performance of their work, and seriously and effectively investigate violations committed against them, combating impunity</w:t>
      </w:r>
      <w:r w:rsidR="000911CE" w:rsidRPr="00E9543F">
        <w:rPr>
          <w:rStyle w:val="FootnoteReference"/>
          <w:rFonts w:ascii="Cambria" w:hAnsi="Cambria"/>
          <w:sz w:val="20"/>
          <w:szCs w:val="20"/>
        </w:rPr>
        <w:footnoteReference w:id="107"/>
      </w:r>
      <w:r w:rsidR="000911CE" w:rsidRPr="00E9543F">
        <w:rPr>
          <w:rFonts w:ascii="Cambria" w:hAnsi="Cambria"/>
          <w:sz w:val="20"/>
          <w:szCs w:val="20"/>
        </w:rPr>
        <w:t xml:space="preserve">. </w:t>
      </w:r>
    </w:p>
    <w:p w14:paraId="4F06C29B" w14:textId="77777777" w:rsidR="00E30625" w:rsidRPr="00EF175E" w:rsidRDefault="00E30625" w:rsidP="00B82A24">
      <w:pPr>
        <w:pStyle w:val="parrafos"/>
        <w:numPr>
          <w:ilvl w:val="0"/>
          <w:numId w:val="0"/>
        </w:numPr>
        <w:tabs>
          <w:tab w:val="clear" w:pos="360"/>
        </w:tabs>
        <w:rPr>
          <w:rFonts w:ascii="Cambria" w:hAnsi="Cambria"/>
          <w:color w:val="auto"/>
          <w:lang w:val="en-US"/>
        </w:rPr>
      </w:pPr>
    </w:p>
    <w:p w14:paraId="26CBE409" w14:textId="395CCA05" w:rsidR="00E30625" w:rsidRPr="00F66E08" w:rsidRDefault="585C17AA" w:rsidP="00B82A24">
      <w:pPr>
        <w:numPr>
          <w:ilvl w:val="0"/>
          <w:numId w:val="62"/>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rPr>
      </w:pPr>
      <w:r w:rsidRPr="00E9543F">
        <w:rPr>
          <w:rFonts w:ascii="Cambria" w:hAnsi="Cambria"/>
          <w:color w:val="000000" w:themeColor="text1"/>
          <w:sz w:val="20"/>
          <w:szCs w:val="20"/>
        </w:rPr>
        <w:t xml:space="preserve">The above duties of the State, in addition to ensuring that human rights defenders are able to </w:t>
      </w:r>
      <w:r w:rsidRPr="00E9543F">
        <w:rPr>
          <w:rFonts w:ascii="Cambria" w:hAnsi="Cambria"/>
          <w:sz w:val="20"/>
          <w:szCs w:val="20"/>
        </w:rPr>
        <w:t>carry out</w:t>
      </w:r>
      <w:r w:rsidRPr="00E9543F">
        <w:rPr>
          <w:rFonts w:ascii="Cambria" w:hAnsi="Cambria"/>
          <w:color w:val="000000" w:themeColor="text1"/>
          <w:sz w:val="20"/>
          <w:szCs w:val="20"/>
        </w:rPr>
        <w:t xml:space="preserve"> their fundamental work, are also related to the enjoyment of several rights contained in the American Declaration, such as the rights to life, freedom of expression, freedom of association, and protection of honor. These rights, taken together, allow for the free exercise of activities for the defence and promotion of human rights</w:t>
      </w:r>
      <w:r w:rsidR="00F121A6" w:rsidRPr="00501F60">
        <w:rPr>
          <w:rStyle w:val="FootnoteReference"/>
          <w:rFonts w:ascii="Cambria" w:hAnsi="Cambria"/>
          <w:color w:val="000000" w:themeColor="text1"/>
          <w:sz w:val="20"/>
          <w:szCs w:val="20"/>
        </w:rPr>
        <w:footnoteReference w:id="108"/>
      </w:r>
      <w:r w:rsidRPr="00501F60">
        <w:rPr>
          <w:rFonts w:ascii="Cambria" w:hAnsi="Cambria"/>
          <w:color w:val="000000" w:themeColor="text1"/>
          <w:sz w:val="20"/>
          <w:szCs w:val="20"/>
        </w:rPr>
        <w:t xml:space="preserve">. </w:t>
      </w:r>
    </w:p>
    <w:p w14:paraId="1FDA5807" w14:textId="77777777" w:rsidR="00E30625" w:rsidRPr="00F66E08" w:rsidRDefault="00E30625" w:rsidP="00B82A24"/>
    <w:p w14:paraId="57E44CFF" w14:textId="31C1A4D3" w:rsidR="00E30625" w:rsidRPr="00F66E08" w:rsidRDefault="585C17AA"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rPr>
      </w:pPr>
      <w:r w:rsidRPr="00BD6C53">
        <w:rPr>
          <w:rFonts w:ascii="Cambria" w:hAnsi="Cambria"/>
          <w:sz w:val="20"/>
          <w:szCs w:val="20"/>
        </w:rPr>
        <w:t>With regard to the right to freedom of thought and expression, the Commission has maintained that it allows human rights defenders to exercise their activities freely</w:t>
      </w:r>
      <w:r w:rsidR="00E30625" w:rsidRPr="00BD6C53">
        <w:rPr>
          <w:rStyle w:val="FootnoteReference"/>
          <w:rFonts w:ascii="Cambria" w:hAnsi="Cambria"/>
          <w:sz w:val="20"/>
          <w:szCs w:val="20"/>
        </w:rPr>
        <w:footnoteReference w:id="109"/>
      </w:r>
      <w:r w:rsidRPr="00BD6C53">
        <w:rPr>
          <w:rFonts w:ascii="Cambria" w:hAnsi="Cambria"/>
          <w:sz w:val="20"/>
          <w:szCs w:val="20"/>
        </w:rPr>
        <w:t>. Thus, this right cannot be exercised when people are victims of aggression or other acts of harassment</w:t>
      </w:r>
      <w:r w:rsidR="00E30625" w:rsidRPr="00BD6C53">
        <w:rPr>
          <w:rStyle w:val="FootnoteReference"/>
          <w:rFonts w:ascii="Cambria" w:hAnsi="Cambria"/>
          <w:sz w:val="20"/>
          <w:szCs w:val="20"/>
        </w:rPr>
        <w:footnoteReference w:id="110"/>
      </w:r>
      <w:r w:rsidRPr="00BD6C53">
        <w:rPr>
          <w:rFonts w:ascii="Cambria" w:hAnsi="Cambria"/>
          <w:sz w:val="20"/>
          <w:szCs w:val="20"/>
        </w:rPr>
        <w:t>. This is because such acts can silence or intimidate those who exercise their right to express themselves critically or to file complaints for alleged human rights violations</w:t>
      </w:r>
      <w:r w:rsidR="00E30625" w:rsidRPr="00BD6C53">
        <w:rPr>
          <w:rStyle w:val="FootnoteReference"/>
          <w:rFonts w:ascii="Cambria" w:hAnsi="Cambria"/>
          <w:sz w:val="20"/>
          <w:szCs w:val="20"/>
        </w:rPr>
        <w:footnoteReference w:id="111"/>
      </w:r>
      <w:r w:rsidRPr="00BD6C53">
        <w:rPr>
          <w:rFonts w:ascii="Cambria" w:hAnsi="Cambria"/>
          <w:sz w:val="20"/>
          <w:szCs w:val="20"/>
        </w:rPr>
        <w:t>. In addition, the importance of opposition voices in a democratic society has been highlighted</w:t>
      </w:r>
      <w:r w:rsidR="00E30625" w:rsidRPr="00BD6C53">
        <w:rPr>
          <w:rStyle w:val="FootnoteReference"/>
          <w:rFonts w:ascii="Cambria" w:hAnsi="Cambria"/>
          <w:sz w:val="20"/>
          <w:szCs w:val="20"/>
        </w:rPr>
        <w:footnoteReference w:id="112"/>
      </w:r>
      <w:r w:rsidRPr="00BD6C53">
        <w:rPr>
          <w:rFonts w:ascii="Cambria" w:hAnsi="Cambria"/>
          <w:sz w:val="20"/>
          <w:szCs w:val="20"/>
        </w:rPr>
        <w:t xml:space="preserve">. </w:t>
      </w:r>
    </w:p>
    <w:p w14:paraId="5D3D5ED3" w14:textId="77777777" w:rsidR="00BD6C53" w:rsidRPr="00C8325C" w:rsidRDefault="00BD6C53" w:rsidP="00EF175E">
      <w:pPr>
        <w:pStyle w:val="ListParagraph"/>
        <w:numPr>
          <w:ilvl w:val="0"/>
          <w:numId w:val="0"/>
        </w:numPr>
        <w:ind w:left="720"/>
        <w:rPr>
          <w:lang w:val="en-US"/>
        </w:rPr>
      </w:pPr>
    </w:p>
    <w:p w14:paraId="69CAC790" w14:textId="0E32021B" w:rsidR="00BD6C53" w:rsidRPr="00F66E08" w:rsidRDefault="00BD6C53"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rPr>
      </w:pPr>
      <w:r w:rsidRPr="0085049D">
        <w:rPr>
          <w:rFonts w:ascii="Cambria" w:hAnsi="Cambria"/>
          <w:sz w:val="20"/>
          <w:szCs w:val="20"/>
        </w:rPr>
        <w:t xml:space="preserve">The IACHR emphasizes that the right to freedom of expression has two dimensions: "the individual dimension, consisting of the right of each person to express his or her thoughts, ideas, and information; and a collective or social dimension, consisting of the right of society to seek and receive any information, to know </w:t>
      </w:r>
      <w:r w:rsidRPr="0085049D">
        <w:rPr>
          <w:rFonts w:ascii="Cambria" w:hAnsi="Cambria"/>
          <w:sz w:val="20"/>
          <w:szCs w:val="20"/>
        </w:rPr>
        <w:lastRenderedPageBreak/>
        <w:t>the thoughts, ideas and information of others and to be well informed". In this regard, the Commission has considered that the right of access to information, as freedom of investigation in the American Declaration, contemplates the right to record law enforcement operations by police officers, and the State must protect this right. For the IACHR, freedom of expression protects the right to record and disseminate any incident related to the actions of the security forces in public contexts, which is an important instrument for collecting and disseminating information and for accountability for the actions of the public authorities</w:t>
      </w:r>
      <w:r w:rsidRPr="00501F60">
        <w:rPr>
          <w:rStyle w:val="FootnoteReference"/>
          <w:rFonts w:ascii="Cambria" w:hAnsi="Cambria"/>
          <w:sz w:val="20"/>
          <w:szCs w:val="20"/>
        </w:rPr>
        <w:footnoteReference w:id="113"/>
      </w:r>
      <w:r w:rsidRPr="00501F60">
        <w:rPr>
          <w:rFonts w:ascii="Cambria" w:hAnsi="Cambria"/>
          <w:sz w:val="20"/>
          <w:szCs w:val="20"/>
        </w:rPr>
        <w:t xml:space="preserve">. </w:t>
      </w:r>
    </w:p>
    <w:p w14:paraId="143C509E" w14:textId="77777777" w:rsidR="00B97006" w:rsidRPr="00F66E08" w:rsidRDefault="00B97006" w:rsidP="00B82A2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rPr>
      </w:pPr>
    </w:p>
    <w:p w14:paraId="513125B8" w14:textId="60F528AA" w:rsidR="007E13F0" w:rsidRPr="00F66E08" w:rsidRDefault="5CD0B98D" w:rsidP="00B82A24">
      <w:pPr>
        <w:numPr>
          <w:ilvl w:val="0"/>
          <w:numId w:val="62"/>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rPr>
      </w:pPr>
      <w:r w:rsidRPr="00BD6C53">
        <w:rPr>
          <w:rFonts w:ascii="Cambria" w:hAnsi="Cambria"/>
          <w:sz w:val="20"/>
          <w:szCs w:val="20"/>
        </w:rPr>
        <w:t>With regard to the participation of community life, the Commission and the Office of the Special Rapporteur on Economic, Social, Cultural, and Environmental Rights point out that the protection of cultural diversity is an imperative inseparable from respect for human dignity. This requires guaranteeing participation in cultural life, which implies that the State must strengthen its protection actions with respect to groups in particular situations of vulnerability, in light of the delicate relationship and obstacles that may arise between access to participation in cultural life and social limits.  normative and institutional</w:t>
      </w:r>
      <w:r w:rsidR="00BC3D6D" w:rsidRPr="00BD6C53">
        <w:rPr>
          <w:rStyle w:val="FootnoteReference"/>
          <w:rFonts w:ascii="Cambria" w:hAnsi="Cambria"/>
          <w:sz w:val="20"/>
          <w:szCs w:val="20"/>
        </w:rPr>
        <w:footnoteReference w:id="114"/>
      </w:r>
      <w:r w:rsidR="0135F749" w:rsidRPr="00BD6C53">
        <w:rPr>
          <w:rFonts w:ascii="Cambria" w:hAnsi="Cambria"/>
          <w:sz w:val="20"/>
          <w:szCs w:val="20"/>
        </w:rPr>
        <w:t xml:space="preserve">. The Commission considers that this is applicable to the situation of human rights defenders such as artists and musicians. </w:t>
      </w:r>
    </w:p>
    <w:p w14:paraId="2BEB2140" w14:textId="77777777" w:rsidR="00BC3D6D" w:rsidRPr="00F66E08" w:rsidRDefault="00BC3D6D" w:rsidP="00B82A2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rPr>
      </w:pPr>
    </w:p>
    <w:p w14:paraId="7B9C234E" w14:textId="72A67B58" w:rsidR="00BC3D6D" w:rsidRPr="00F66E08" w:rsidRDefault="0135F749" w:rsidP="00B82A24">
      <w:pPr>
        <w:numPr>
          <w:ilvl w:val="0"/>
          <w:numId w:val="62"/>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rPr>
      </w:pPr>
      <w:r w:rsidRPr="00501F60">
        <w:rPr>
          <w:rFonts w:ascii="Cambria" w:hAnsi="Cambria"/>
          <w:sz w:val="20"/>
          <w:szCs w:val="20"/>
        </w:rPr>
        <w:t>The Commission indicates that among the immediate obligations of States on cultural rights is the elimination of obstacles that prevent or limit the access of the individual or community to their own culture</w:t>
      </w:r>
      <w:r w:rsidR="00BC3D6D" w:rsidRPr="00501F60">
        <w:rPr>
          <w:rStyle w:val="FootnoteReference"/>
          <w:rFonts w:ascii="Cambria" w:hAnsi="Cambria"/>
          <w:sz w:val="20"/>
          <w:szCs w:val="20"/>
        </w:rPr>
        <w:footnoteReference w:id="115"/>
      </w:r>
      <w:r w:rsidRPr="00501F60">
        <w:rPr>
          <w:rFonts w:ascii="Cambria" w:hAnsi="Cambria"/>
          <w:sz w:val="20"/>
          <w:szCs w:val="20"/>
        </w:rPr>
        <w:t xml:space="preserve">.  The IACHR also held that the right to participate in culture was recognized in other international forums, establishing the following: </w:t>
      </w:r>
    </w:p>
    <w:p w14:paraId="30036CA2" w14:textId="77777777" w:rsidR="00BC3D6D" w:rsidRPr="00F66E08" w:rsidRDefault="00BC3D6D" w:rsidP="00BC3D6D">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rPr>
      </w:pPr>
    </w:p>
    <w:p w14:paraId="0E6B6217" w14:textId="1FDC2FAA" w:rsidR="00BC3D6D" w:rsidRPr="00C8325C" w:rsidRDefault="0135F749" w:rsidP="00EF175E">
      <w:pPr>
        <w:pStyle w:val="ListParagraph"/>
        <w:numPr>
          <w:ilvl w:val="0"/>
          <w:numId w:val="0"/>
        </w:numPr>
        <w:ind w:left="720"/>
        <w:rPr>
          <w:lang w:val="en-US"/>
        </w:rPr>
      </w:pPr>
      <w:r w:rsidRPr="00C8325C">
        <w:rPr>
          <w:lang w:val="en-US"/>
        </w:rPr>
        <w:t>In turn, General Comment No. 21 on "the right of everyone to participate in cultural life" of the United Nations Committee on Economic, Social and Cultural Rights has established that "participating" or "taking part" in cultural life implies participation, access and contribution to cultural life.  either individually or as a community (...). Participation implies, among other things, (...) the right to seek, develop and share with others one's knowledge and cultural expressions. Access implies knowing and understanding one's own culture and that of others (...) as well as the right to know forms of expression and dissemination by any technological means of information and communication. Likewise, the contribution to cultural life refers to the right of every person to contribute to the creation of the spiritual, material, intellectual and emotional manifestations of the community. In addition, General Comment No. 21 establishes various elements of the right to participate in cultural life, among which the element of accessibility is recognized. Accessibility, in turn, highlights as an inherent component of the right to participate in cultural life the access of communities to the means of expression and dissemination</w:t>
      </w:r>
      <w:r w:rsidR="00BC3D6D" w:rsidRPr="00501F60">
        <w:rPr>
          <w:rStyle w:val="FootnoteReference"/>
          <w:sz w:val="18"/>
          <w:szCs w:val="18"/>
        </w:rPr>
        <w:footnoteReference w:id="116"/>
      </w:r>
      <w:r w:rsidRPr="00C8325C">
        <w:rPr>
          <w:lang w:val="en-US"/>
        </w:rPr>
        <w:t>.</w:t>
      </w:r>
    </w:p>
    <w:p w14:paraId="30B29F6D" w14:textId="77777777" w:rsidR="00BC3D6D" w:rsidRPr="00C8325C" w:rsidRDefault="00BC3D6D" w:rsidP="00EF175E">
      <w:pPr>
        <w:pStyle w:val="ListParagraph"/>
        <w:numPr>
          <w:ilvl w:val="0"/>
          <w:numId w:val="0"/>
        </w:numPr>
        <w:ind w:left="720"/>
        <w:rPr>
          <w:lang w:val="en-US"/>
        </w:rPr>
      </w:pPr>
    </w:p>
    <w:p w14:paraId="7DD56729" w14:textId="77777777" w:rsidR="005138C7" w:rsidRPr="00F66E08" w:rsidRDefault="3260B698" w:rsidP="00B82A24">
      <w:pPr>
        <w:numPr>
          <w:ilvl w:val="0"/>
          <w:numId w:val="62"/>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rPr>
      </w:pPr>
      <w:r w:rsidRPr="00BD6C53">
        <w:rPr>
          <w:rFonts w:ascii="Cambria" w:hAnsi="Cambria"/>
          <w:sz w:val="20"/>
          <w:szCs w:val="20"/>
        </w:rPr>
        <w:t>The United Nations Special Rapporteur on cultural rights has also noted that socially engaged cultural and arts-based initiatives have a transformative power of art and culture and can contribute to creating, developing and sustaining societies in which a wider range of human rights goals are increasingly met</w:t>
      </w:r>
      <w:r w:rsidR="001C7CC1" w:rsidRPr="00501F60">
        <w:rPr>
          <w:rStyle w:val="FootnoteReference"/>
          <w:rFonts w:ascii="Cambria" w:hAnsi="Cambria"/>
          <w:sz w:val="20"/>
          <w:szCs w:val="20"/>
        </w:rPr>
        <w:footnoteReference w:id="117"/>
      </w:r>
      <w:r w:rsidR="54649990" w:rsidRPr="00BD6C53">
        <w:rPr>
          <w:rFonts w:ascii="Cambria" w:hAnsi="Cambria"/>
          <w:sz w:val="20"/>
          <w:szCs w:val="20"/>
        </w:rPr>
        <w:t xml:space="preserve">.  </w:t>
      </w:r>
    </w:p>
    <w:p w14:paraId="796414B0" w14:textId="77777777" w:rsidR="005138C7" w:rsidRPr="00F66E08" w:rsidRDefault="005138C7" w:rsidP="00B82A24">
      <w:p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jc w:val="both"/>
        <w:rPr>
          <w:rFonts w:ascii="Cambria" w:hAnsi="Cambria"/>
          <w:sz w:val="20"/>
          <w:szCs w:val="20"/>
        </w:rPr>
      </w:pPr>
    </w:p>
    <w:p w14:paraId="2582D690" w14:textId="77777777" w:rsidR="001769FC" w:rsidRPr="00F66E08" w:rsidRDefault="001769FC" w:rsidP="00B82A24">
      <w:pPr>
        <w:numPr>
          <w:ilvl w:val="0"/>
          <w:numId w:val="62"/>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rPr>
      </w:pPr>
      <w:r>
        <w:rPr>
          <w:rFonts w:ascii="Cambria" w:hAnsi="Cambria"/>
          <w:sz w:val="20"/>
          <w:szCs w:val="20"/>
        </w:rPr>
        <w:t>The Commission recalls that the creative potential of art also depends on respect for freedom of expression</w:t>
      </w:r>
      <w:r w:rsidR="00BD6C53">
        <w:rPr>
          <w:rStyle w:val="FootnoteReference"/>
          <w:rFonts w:ascii="Cambria" w:hAnsi="Cambria"/>
          <w:sz w:val="20"/>
          <w:szCs w:val="20"/>
        </w:rPr>
        <w:footnoteReference w:id="118"/>
      </w:r>
      <w:r w:rsidR="00BD6C53" w:rsidRPr="005138C7">
        <w:rPr>
          <w:rFonts w:ascii="Cambria" w:hAnsi="Cambria"/>
          <w:sz w:val="20"/>
          <w:szCs w:val="20"/>
        </w:rPr>
        <w:t>. In this regard, it highlights the relationship established between the right to freedom of expression and participation in community life through free artistic expression. The right to artistic or symbolic expression, to the dissemination of artistic expression, and to access to art, in all its forms, is one of the forms of expression specifically protected by inter-American instruments</w:t>
      </w:r>
      <w:r w:rsidR="00BD6C53">
        <w:rPr>
          <w:rStyle w:val="FootnoteReference"/>
          <w:rFonts w:ascii="Cambria" w:hAnsi="Cambria"/>
          <w:sz w:val="20"/>
          <w:szCs w:val="20"/>
        </w:rPr>
        <w:footnoteReference w:id="119"/>
      </w:r>
      <w:r w:rsidR="00BD6C53" w:rsidRPr="005138C7">
        <w:rPr>
          <w:rFonts w:ascii="Cambria" w:hAnsi="Cambria"/>
          <w:sz w:val="20"/>
          <w:szCs w:val="20"/>
        </w:rPr>
        <w:t xml:space="preserve">. The United Nations Special Rapporteur on the Right to Freedom of Opinion and Expression has stated that "artistic creation can function as the "forum </w:t>
      </w:r>
      <w:r w:rsidR="00BD6C53" w:rsidRPr="005138C7">
        <w:rPr>
          <w:rFonts w:ascii="Cambria" w:hAnsi="Cambria"/>
          <w:sz w:val="20"/>
          <w:szCs w:val="20"/>
        </w:rPr>
        <w:lastRenderedPageBreak/>
        <w:t>internum, the internal sphere of thought and belief of a person" (...) and it can function as the forum externum, or expression."</w:t>
      </w:r>
      <w:r w:rsidR="00BD6C53" w:rsidRPr="002A0199">
        <w:rPr>
          <w:rStyle w:val="FootnoteReference"/>
          <w:rFonts w:ascii="Cambria" w:hAnsi="Cambria"/>
          <w:sz w:val="20"/>
          <w:szCs w:val="20"/>
        </w:rPr>
        <w:footnoteReference w:id="120"/>
      </w:r>
      <w:r w:rsidR="00BD6C53" w:rsidRPr="002A0199">
        <w:rPr>
          <w:rFonts w:ascii="Cambria" w:hAnsi="Cambria"/>
          <w:sz w:val="20"/>
          <w:szCs w:val="20"/>
        </w:rPr>
        <w:t xml:space="preserve"> </w:t>
      </w:r>
    </w:p>
    <w:p w14:paraId="46C37B4F" w14:textId="77777777" w:rsidR="001769FC" w:rsidRPr="00F66E08" w:rsidRDefault="001769FC" w:rsidP="00B82A24">
      <w:p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jc w:val="both"/>
        <w:rPr>
          <w:rFonts w:ascii="Cambria" w:hAnsi="Cambria"/>
          <w:sz w:val="20"/>
          <w:szCs w:val="20"/>
        </w:rPr>
      </w:pPr>
    </w:p>
    <w:p w14:paraId="622D02A2" w14:textId="78328575" w:rsidR="00454579" w:rsidRPr="00F66E08" w:rsidRDefault="00BD6C53" w:rsidP="00B82A24">
      <w:pPr>
        <w:numPr>
          <w:ilvl w:val="0"/>
          <w:numId w:val="62"/>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rPr>
      </w:pPr>
      <w:r w:rsidRPr="005138C7">
        <w:rPr>
          <w:rFonts w:ascii="Cambria" w:hAnsi="Cambria"/>
          <w:sz w:val="20"/>
          <w:szCs w:val="20"/>
        </w:rPr>
        <w:t>The IACHR maintains that art can be constituted as a form of protest</w:t>
      </w:r>
      <w:r w:rsidRPr="00DE3A31">
        <w:rPr>
          <w:rStyle w:val="FootnoteReference"/>
          <w:rFonts w:ascii="Cambria" w:hAnsi="Cambria"/>
          <w:sz w:val="20"/>
          <w:szCs w:val="20"/>
        </w:rPr>
        <w:footnoteReference w:id="121"/>
      </w:r>
      <w:r w:rsidRPr="00DE3A31">
        <w:rPr>
          <w:rFonts w:ascii="Cambria" w:hAnsi="Cambria"/>
          <w:sz w:val="20"/>
          <w:szCs w:val="20"/>
        </w:rPr>
        <w:t>. It explains that "the use of the imaginary and fiction must be understood and respected as an essential element of freedom indispensable for creative activity" and reaffirms that it should not be restricted with the aim of protecting particular institutions or abstract notions, concepts or beliefs such as patriotic symbols, unless the artistic work implies a discourse not protected by freedom of expression</w:t>
      </w:r>
      <w:r w:rsidRPr="00DE3A31">
        <w:rPr>
          <w:rStyle w:val="FootnoteReference"/>
          <w:rFonts w:ascii="Cambria" w:hAnsi="Cambria"/>
          <w:sz w:val="20"/>
          <w:szCs w:val="20"/>
        </w:rPr>
        <w:footnoteReference w:id="122"/>
      </w:r>
      <w:r w:rsidRPr="00DE3A31">
        <w:rPr>
          <w:rFonts w:ascii="Cambria" w:hAnsi="Cambria"/>
          <w:sz w:val="20"/>
          <w:szCs w:val="20"/>
        </w:rPr>
        <w:t>.</w:t>
      </w:r>
    </w:p>
    <w:p w14:paraId="2D7834D2" w14:textId="77777777" w:rsidR="005138C7" w:rsidRPr="00F66E08" w:rsidRDefault="005138C7" w:rsidP="00B82A24">
      <w:p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jc w:val="both"/>
        <w:rPr>
          <w:rFonts w:ascii="Cambria" w:hAnsi="Cambria"/>
          <w:sz w:val="20"/>
          <w:szCs w:val="20"/>
        </w:rPr>
      </w:pPr>
    </w:p>
    <w:p w14:paraId="4696E442" w14:textId="41729163" w:rsidR="00454579" w:rsidRPr="00BD6C53" w:rsidRDefault="3260B698" w:rsidP="00B82A24">
      <w:pPr>
        <w:numPr>
          <w:ilvl w:val="0"/>
          <w:numId w:val="62"/>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ES"/>
        </w:rPr>
      </w:pPr>
      <w:r w:rsidRPr="00BD6C53">
        <w:rPr>
          <w:rFonts w:ascii="Cambria" w:hAnsi="Cambria"/>
          <w:sz w:val="20"/>
          <w:szCs w:val="20"/>
        </w:rPr>
        <w:t>Finally, the IACHR has affirmed that, for more than three decades, in Cuba there has been a practice of close control by government authorities that shows "an accentuated intolerance in relation to artistic manifestations that could call into question either the goodness of the political system or the successes of the ruling group." In this regard, the IACHR has continued to receive information indicating that ideological dissent has been a reason to prevent artistic expression</w:t>
      </w:r>
      <w:r w:rsidR="00454579" w:rsidRPr="00BD6C53">
        <w:rPr>
          <w:rStyle w:val="FootnoteReference"/>
          <w:rFonts w:ascii="Cambria" w:hAnsi="Cambria"/>
          <w:sz w:val="20"/>
          <w:szCs w:val="20"/>
        </w:rPr>
        <w:footnoteReference w:id="123"/>
      </w:r>
      <w:r w:rsidR="0081205E" w:rsidRPr="00BD6C53">
        <w:rPr>
          <w:rFonts w:ascii="Cambria" w:hAnsi="Cambria"/>
          <w:sz w:val="20"/>
          <w:szCs w:val="20"/>
        </w:rPr>
        <w:t>. In addition, the Commission has identified Decree No. 349, approved on April 20, 2018, which establishes sanctions for non-compliance with cultural policy, as a regulation that maintains a limitation and restriction on the freedom of expression of artists by the State, by allowing the sanctioning of those artists who do not share the official ideological discourse or disagree with the ideology imposed by the Cuban government.  through an excessively broad wording</w:t>
      </w:r>
      <w:r w:rsidR="00454579" w:rsidRPr="00BD6C53">
        <w:rPr>
          <w:rStyle w:val="FootnoteReference"/>
          <w:rFonts w:ascii="Cambria" w:hAnsi="Cambria"/>
          <w:sz w:val="20"/>
          <w:szCs w:val="20"/>
        </w:rPr>
        <w:footnoteReference w:id="124"/>
      </w:r>
      <w:r w:rsidRPr="00BD6C53">
        <w:rPr>
          <w:rFonts w:ascii="Cambria" w:hAnsi="Cambria"/>
          <w:sz w:val="20"/>
          <w:szCs w:val="20"/>
        </w:rPr>
        <w:t xml:space="preserve">. </w:t>
      </w:r>
    </w:p>
    <w:p w14:paraId="0ADC301C" w14:textId="77777777" w:rsidR="007E13F0" w:rsidRPr="00501F60" w:rsidRDefault="007E13F0" w:rsidP="00B82A2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6B693647" w14:textId="324B77B6" w:rsidR="00E30625" w:rsidRPr="00F66E08" w:rsidRDefault="585C17AA"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color w:val="000000"/>
          <w:sz w:val="20"/>
          <w:szCs w:val="20"/>
        </w:rPr>
      </w:pPr>
      <w:r w:rsidRPr="00BD6C53">
        <w:rPr>
          <w:rFonts w:ascii="Cambria" w:hAnsi="Cambria"/>
          <w:sz w:val="20"/>
          <w:szCs w:val="20"/>
        </w:rPr>
        <w:t>With respect</w:t>
      </w:r>
      <w:r w:rsidRPr="00BD6C53">
        <w:rPr>
          <w:rFonts w:ascii="Cambria" w:hAnsi="Cambria"/>
          <w:color w:val="000000"/>
          <w:sz w:val="20"/>
          <w:szCs w:val="20"/>
        </w:rPr>
        <w:t xml:space="preserve"> to the right to freedom of association, the Commission recalls that it has two dimensions: an individual and a social one. On the one hand, this implies that "those who are under the protection of the Convention have (...) the right and freedom to associate freely with other persons, without intervention by public authorities that limit or hinder the exercise of the respective right."</w:t>
      </w:r>
      <w:r w:rsidR="00E30625" w:rsidRPr="00BD6C53">
        <w:rPr>
          <w:rStyle w:val="FootnoteReference"/>
          <w:rFonts w:ascii="Cambria" w:hAnsi="Cambria"/>
          <w:sz w:val="20"/>
          <w:szCs w:val="20"/>
        </w:rPr>
        <w:footnoteReference w:id="125"/>
      </w:r>
      <w:r w:rsidRPr="00BD6C53">
        <w:rPr>
          <w:rFonts w:ascii="Cambria" w:hAnsi="Cambria"/>
          <w:color w:val="000000"/>
          <w:sz w:val="20"/>
          <w:szCs w:val="20"/>
        </w:rPr>
        <w:t xml:space="preserve"> On the other hand, the IACHR has indicated that people "enjoy the right and freedom to seek the common realization of a lawful purpose, without pressure or </w:t>
      </w:r>
      <w:r w:rsidRPr="00BD6C53">
        <w:rPr>
          <w:rFonts w:ascii="Cambria" w:hAnsi="Cambria"/>
          <w:sz w:val="20"/>
          <w:szCs w:val="20"/>
        </w:rPr>
        <w:t>interference</w:t>
      </w:r>
      <w:r w:rsidRPr="00BD6C53">
        <w:rPr>
          <w:rFonts w:ascii="Cambria" w:hAnsi="Cambria"/>
          <w:color w:val="000000"/>
          <w:sz w:val="20"/>
          <w:szCs w:val="20"/>
        </w:rPr>
        <w:t xml:space="preserve"> that may alter or distort its purpose."</w:t>
      </w:r>
      <w:r w:rsidR="00E30625" w:rsidRPr="00BD6C53">
        <w:rPr>
          <w:rStyle w:val="FootnoteReference"/>
          <w:rFonts w:ascii="Cambria" w:hAnsi="Cambria"/>
          <w:sz w:val="20"/>
          <w:szCs w:val="20"/>
        </w:rPr>
        <w:footnoteReference w:id="126"/>
      </w:r>
      <w:r w:rsidRPr="00BD6C53">
        <w:rPr>
          <w:rFonts w:ascii="Cambria" w:hAnsi="Cambria"/>
          <w:color w:val="000000"/>
          <w:sz w:val="20"/>
          <w:szCs w:val="20"/>
        </w:rPr>
        <w:t xml:space="preserve"> </w:t>
      </w:r>
      <w:r w:rsidRPr="00BD6C53">
        <w:rPr>
          <w:rFonts w:ascii="Cambria" w:hAnsi="Cambria"/>
          <w:sz w:val="20"/>
          <w:szCs w:val="20"/>
        </w:rPr>
        <w:t>In</w:t>
      </w:r>
      <w:r w:rsidRPr="00BD6C53">
        <w:rPr>
          <w:rFonts w:ascii="Cambria" w:hAnsi="Cambria"/>
          <w:color w:val="000000"/>
          <w:sz w:val="20"/>
          <w:szCs w:val="20"/>
        </w:rPr>
        <w:t xml:space="preserve"> this regard, States must create legal and factual conditions for its exercise, which includes, if appropriate, the duties to prevent attacks on freedom of association, including human rights protection organizations</w:t>
      </w:r>
      <w:r w:rsidR="00E30625" w:rsidRPr="00BD6C53">
        <w:rPr>
          <w:rStyle w:val="FootnoteReference"/>
          <w:rFonts w:ascii="Cambria" w:hAnsi="Cambria"/>
          <w:sz w:val="20"/>
          <w:szCs w:val="20"/>
        </w:rPr>
        <w:footnoteReference w:id="127"/>
      </w:r>
      <w:r w:rsidRPr="00BD6C53">
        <w:rPr>
          <w:rFonts w:ascii="Cambria" w:hAnsi="Cambria"/>
          <w:color w:val="000000"/>
          <w:sz w:val="20"/>
          <w:szCs w:val="20"/>
        </w:rPr>
        <w:t>.</w:t>
      </w:r>
    </w:p>
    <w:p w14:paraId="7C0B153B" w14:textId="77777777" w:rsidR="00C10196" w:rsidRPr="00F66E08" w:rsidRDefault="00C10196" w:rsidP="00C10196">
      <w:pPr>
        <w:tabs>
          <w:tab w:val="left" w:pos="360"/>
        </w:tabs>
      </w:pPr>
    </w:p>
    <w:p w14:paraId="7FC906EF" w14:textId="76738B7D" w:rsidR="00225587" w:rsidRPr="00501F60" w:rsidRDefault="00C10196" w:rsidP="000A7F9F">
      <w:pPr>
        <w:pStyle w:val="Heading3"/>
        <w:tabs>
          <w:tab w:val="left" w:pos="360"/>
          <w:tab w:val="left" w:pos="810"/>
        </w:tabs>
        <w:ind w:left="360"/>
        <w:rPr>
          <w:lang w:val="es-ES"/>
        </w:rPr>
      </w:pPr>
      <w:r w:rsidRPr="00501F60">
        <w:t xml:space="preserve">Case analysis </w:t>
      </w:r>
    </w:p>
    <w:p w14:paraId="160C69D0" w14:textId="77777777" w:rsidR="00225587" w:rsidRPr="00501F60" w:rsidRDefault="00225587" w:rsidP="00BD6C53">
      <w:pPr>
        <w:rPr>
          <w:rFonts w:ascii="Cambria" w:hAnsi="Cambria"/>
          <w:sz w:val="20"/>
          <w:szCs w:val="20"/>
          <w:lang w:val="es-ES"/>
        </w:rPr>
      </w:pPr>
    </w:p>
    <w:p w14:paraId="08A13732" w14:textId="392307EE" w:rsidR="00242EA8" w:rsidRPr="00501F60" w:rsidRDefault="00B97006"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num" w:pos="450"/>
        </w:tabs>
        <w:ind w:left="0" w:firstLine="0"/>
        <w:jc w:val="both"/>
        <w:rPr>
          <w:rFonts w:ascii="Cambria" w:hAnsi="Cambria"/>
          <w:sz w:val="20"/>
          <w:szCs w:val="20"/>
          <w:lang w:val="es-ES"/>
        </w:rPr>
      </w:pPr>
      <w:r w:rsidRPr="00BD6C53">
        <w:rPr>
          <w:rFonts w:ascii="Cambria" w:hAnsi="Cambria"/>
          <w:sz w:val="20"/>
          <w:szCs w:val="20"/>
        </w:rPr>
        <w:t xml:space="preserve">The Commission observes that, as previously indicated, at the time of the facts of this case there was a context of reprisals against human rights defenders who expressed a position of dissent from the government's policies. The IACHR </w:t>
      </w:r>
      <w:r w:rsidR="00225587" w:rsidRPr="00BD6C53">
        <w:rPr>
          <w:rFonts w:ascii="Cambria" w:hAnsi="Cambria"/>
          <w:sz w:val="20"/>
          <w:szCs w:val="20"/>
        </w:rPr>
        <w:t xml:space="preserve"> notes that this case falls within that context. The Commission emphasizes that Mr. Castillo Pérez is an artist who through music manifests himself and shows his dissent towards the government in Cuba, where he participated in protests and artistic expressions of great visibility in public media. In turn, Mr. Castillo Pérez, both through art and public denunciation, carries out actions with a view to defending against the effects on democracy and arbitrary detentions by the State. According to the petitioner, Maykel Castillo Pérez was subjected to various detentions, acts of violence, harassment, and threats for carrying out his work </w:t>
      </w:r>
      <w:r w:rsidR="000C3CD9" w:rsidRPr="00BD6C53">
        <w:rPr>
          <w:rStyle w:val="normaltextrun"/>
          <w:rFonts w:ascii="Cambria" w:hAnsi="Cambria"/>
          <w:color w:val="000000"/>
          <w:sz w:val="20"/>
          <w:szCs w:val="20"/>
          <w:shd w:val="clear" w:color="auto" w:fill="FFFFFF"/>
        </w:rPr>
        <w:t>(</w:t>
      </w:r>
      <w:r w:rsidR="000C3CD9" w:rsidRPr="00BD6C53">
        <w:rPr>
          <w:rStyle w:val="normaltextrun"/>
          <w:rFonts w:ascii="Cambria" w:hAnsi="Cambria"/>
          <w:i/>
          <w:iCs/>
          <w:color w:val="000000"/>
          <w:sz w:val="20"/>
          <w:szCs w:val="20"/>
          <w:shd w:val="clear" w:color="auto" w:fill="FFFFFF"/>
        </w:rPr>
        <w:t>supra</w:t>
      </w:r>
      <w:r w:rsidR="000C3CD9" w:rsidRPr="00BD6C53">
        <w:rPr>
          <w:rStyle w:val="normaltextrun"/>
          <w:rFonts w:ascii="Cambria" w:hAnsi="Cambria"/>
          <w:color w:val="000000"/>
          <w:sz w:val="20"/>
          <w:szCs w:val="20"/>
          <w:shd w:val="clear" w:color="auto" w:fill="FFFFFF"/>
        </w:rPr>
        <w:t xml:space="preserve"> paras. 34-37).</w:t>
      </w:r>
      <w:r w:rsidR="00E13487" w:rsidRPr="00501F60">
        <w:rPr>
          <w:rFonts w:ascii="Cambria" w:hAnsi="Cambria"/>
          <w:sz w:val="20"/>
          <w:szCs w:val="20"/>
        </w:rPr>
        <w:t xml:space="preserve"> This information was not disputed by the State.</w:t>
      </w:r>
    </w:p>
    <w:p w14:paraId="43D119B1" w14:textId="77777777" w:rsidR="00242EA8" w:rsidRPr="00501F60" w:rsidRDefault="00242EA8" w:rsidP="00B82A2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60947B9A" w14:textId="12C3905A" w:rsidR="00E433FD" w:rsidRPr="00F66E08" w:rsidRDefault="000C3CD9"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num" w:pos="450"/>
        </w:tabs>
        <w:ind w:left="0" w:firstLine="0"/>
        <w:jc w:val="both"/>
        <w:rPr>
          <w:rFonts w:ascii="Cambria" w:hAnsi="Cambria"/>
          <w:sz w:val="20"/>
          <w:szCs w:val="20"/>
        </w:rPr>
      </w:pPr>
      <w:r w:rsidRPr="00BD6C53">
        <w:rPr>
          <w:rFonts w:asciiTheme="majorHAnsi" w:hAnsiTheme="majorHAnsi"/>
          <w:sz w:val="20"/>
          <w:szCs w:val="20"/>
        </w:rPr>
        <w:t xml:space="preserve">The IACHR notes that the imposition of the fine, the arrests of June 22 and September 25, 2018, and the criminal proceedings related to those arrests were not isolated, but that the effects against them continued thereafter. </w:t>
      </w:r>
      <w:r w:rsidRPr="00BD6C53">
        <w:rPr>
          <w:rFonts w:ascii="Cambria" w:hAnsi="Cambria"/>
          <w:sz w:val="20"/>
          <w:szCs w:val="20"/>
        </w:rPr>
        <w:t xml:space="preserve">In addition, there is publicly known information that had </w:t>
      </w:r>
      <w:r w:rsidRPr="00BD6C53">
        <w:rPr>
          <w:rFonts w:asciiTheme="majorHAnsi" w:hAnsiTheme="majorHAnsi"/>
          <w:sz w:val="20"/>
          <w:szCs w:val="20"/>
        </w:rPr>
        <w:t xml:space="preserve">repercussions in the digital media and communications from international organizations on the situation of harassment and criminalization of Maykel Castillo Pérez </w:t>
      </w:r>
      <w:r w:rsidRPr="00BD6C53">
        <w:rPr>
          <w:rStyle w:val="normaltextrun"/>
          <w:rFonts w:ascii="Cambria" w:hAnsi="Cambria"/>
          <w:color w:val="000000"/>
          <w:sz w:val="20"/>
          <w:szCs w:val="20"/>
          <w:shd w:val="clear" w:color="auto" w:fill="FFFFFF"/>
        </w:rPr>
        <w:t>(</w:t>
      </w:r>
      <w:r w:rsidRPr="00BD6C53">
        <w:rPr>
          <w:rStyle w:val="normaltextrun"/>
          <w:rFonts w:ascii="Cambria" w:hAnsi="Cambria"/>
          <w:i/>
          <w:iCs/>
          <w:color w:val="000000"/>
          <w:sz w:val="20"/>
          <w:szCs w:val="20"/>
          <w:shd w:val="clear" w:color="auto" w:fill="FFFFFF"/>
        </w:rPr>
        <w:t>supra</w:t>
      </w:r>
      <w:r w:rsidRPr="00BD6C53">
        <w:rPr>
          <w:rStyle w:val="normaltextrun"/>
          <w:rFonts w:ascii="Cambria" w:hAnsi="Cambria"/>
          <w:color w:val="000000"/>
          <w:sz w:val="20"/>
          <w:szCs w:val="20"/>
          <w:shd w:val="clear" w:color="auto" w:fill="FFFFFF"/>
        </w:rPr>
        <w:t xml:space="preserve"> paras. 37-43).</w:t>
      </w:r>
      <w:r w:rsidRPr="00BD6C53">
        <w:rPr>
          <w:rFonts w:ascii="Cambria" w:hAnsi="Cambria"/>
          <w:sz w:val="20"/>
          <w:szCs w:val="20"/>
        </w:rPr>
        <w:t xml:space="preserve"> The Commission has maintained in its Report on the Situation of Human </w:t>
      </w:r>
      <w:r w:rsidRPr="00BD6C53">
        <w:rPr>
          <w:rFonts w:ascii="Cambria" w:hAnsi="Cambria"/>
          <w:sz w:val="20"/>
          <w:szCs w:val="20"/>
        </w:rPr>
        <w:lastRenderedPageBreak/>
        <w:t>Rights in Cuba that "imposing fines (...) to the work of defenders and depriving them of their liberty has as its central objective to criminalize their activities of promotion and defense of human rights, as well as to dissuade them from continuing to promote their causes."</w:t>
      </w:r>
      <w:r w:rsidR="00E433FD" w:rsidRPr="00BD6C53">
        <w:rPr>
          <w:rStyle w:val="FootnoteReference"/>
          <w:rFonts w:ascii="Cambria" w:hAnsi="Cambria"/>
          <w:sz w:val="20"/>
          <w:szCs w:val="20"/>
        </w:rPr>
        <w:footnoteReference w:id="128"/>
      </w:r>
      <w:r w:rsidR="00E433FD" w:rsidRPr="00BD6C53">
        <w:rPr>
          <w:rFonts w:ascii="Cambria" w:hAnsi="Cambria"/>
          <w:sz w:val="20"/>
          <w:szCs w:val="20"/>
        </w:rPr>
        <w:t xml:space="preserve"> </w:t>
      </w:r>
    </w:p>
    <w:p w14:paraId="38551622" w14:textId="77777777" w:rsidR="00E433FD" w:rsidRPr="00F66E08" w:rsidRDefault="00E433FD" w:rsidP="00B82A2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rPr>
      </w:pPr>
    </w:p>
    <w:p w14:paraId="00564F73" w14:textId="3FA70F9D" w:rsidR="00DE3A31" w:rsidRPr="00F66E08" w:rsidRDefault="00DE3A31" w:rsidP="00DE3A31">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Style w:val="normaltextrun"/>
          <w:rFonts w:ascii="Cambria" w:hAnsi="Cambria"/>
          <w:sz w:val="20"/>
          <w:szCs w:val="20"/>
        </w:rPr>
      </w:pPr>
      <w:r>
        <w:rPr>
          <w:rFonts w:ascii="Cambria" w:hAnsi="Cambria"/>
          <w:sz w:val="20"/>
          <w:szCs w:val="20"/>
        </w:rPr>
        <w:t xml:space="preserve">In addition, the Commission notes that the arrest carried out in September 2018 and the criminal proceedings for "attack" that followed had its origin in an incident in </w:t>
      </w:r>
      <w:r w:rsidRPr="00BD6C53">
        <w:rPr>
          <w:rStyle w:val="normaltextrun"/>
          <w:rFonts w:ascii="Cambria" w:hAnsi="Cambria"/>
          <w:color w:val="000000"/>
          <w:sz w:val="20"/>
          <w:szCs w:val="20"/>
          <w:shd w:val="clear" w:color="auto" w:fill="FFFFFF"/>
        </w:rPr>
        <w:t>the Parque Cristo area of Havana, when police agents asked Mr. Castillo Pérez to stop filming a police operation that was taking place in public spaces (</w:t>
      </w:r>
      <w:r w:rsidRPr="00BD6C53">
        <w:rPr>
          <w:rStyle w:val="normaltextrun"/>
          <w:rFonts w:ascii="Cambria" w:hAnsi="Cambria"/>
          <w:i/>
          <w:iCs/>
          <w:color w:val="000000"/>
          <w:sz w:val="20"/>
          <w:szCs w:val="20"/>
          <w:shd w:val="clear" w:color="auto" w:fill="FFFFFF"/>
        </w:rPr>
        <w:t>supra</w:t>
      </w:r>
      <w:r w:rsidRPr="00BD6C53">
        <w:rPr>
          <w:rStyle w:val="normaltextrun"/>
          <w:rFonts w:ascii="Cambria" w:hAnsi="Cambria"/>
          <w:color w:val="000000"/>
          <w:sz w:val="20"/>
          <w:szCs w:val="20"/>
          <w:shd w:val="clear" w:color="auto" w:fill="FFFFFF"/>
        </w:rPr>
        <w:t xml:space="preserve"> Paras. 23-25). From the information provided in the case file, the IACHR finds no reason that could legitimately justify the restriction that those acts implied on the right to freedom of expression, in the form of freedom of investigation, in accordance with the American Declaration. The Commission recalls that the right to freedom of expression protects the right of the person to film these types of operations and the possibility of recording them has the potential to contribute to accountability for what happened</w:t>
      </w:r>
      <w:r w:rsidRPr="00501F60">
        <w:rPr>
          <w:rStyle w:val="FootnoteReference"/>
          <w:rFonts w:ascii="Cambria" w:hAnsi="Cambria"/>
          <w:sz w:val="20"/>
          <w:szCs w:val="20"/>
        </w:rPr>
        <w:footnoteReference w:id="129"/>
      </w:r>
      <w:r>
        <w:rPr>
          <w:rStyle w:val="normaltextrun"/>
          <w:rFonts w:ascii="Cambria" w:hAnsi="Cambria"/>
          <w:color w:val="000000"/>
          <w:sz w:val="20"/>
          <w:szCs w:val="20"/>
          <w:shd w:val="clear" w:color="auto" w:fill="FFFFFF"/>
        </w:rPr>
        <w:t>.</w:t>
      </w:r>
    </w:p>
    <w:p w14:paraId="645A8968" w14:textId="77777777" w:rsidR="00DE3A31" w:rsidRPr="00F66E08" w:rsidRDefault="00DE3A31" w:rsidP="00DE3A3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rPr>
      </w:pPr>
    </w:p>
    <w:p w14:paraId="3C50C177" w14:textId="2EDCB6B8" w:rsidR="000C3CD9" w:rsidRPr="00F66E08" w:rsidRDefault="00DE3A31"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rPr>
      </w:pPr>
      <w:r>
        <w:rPr>
          <w:rFonts w:ascii="Cambria" w:hAnsi="Cambria"/>
          <w:sz w:val="20"/>
          <w:szCs w:val="20"/>
        </w:rPr>
        <w:t>Finally, the Commission notes that Mr. Castillo Pérez was a member of the San Isidro Movement (MSI) and was limited to participating in the activities that that organization carried out as a result of the arrests to which he was subjected. The Commission also notes that through its Resolution No. 14/2021 on precautionary measures, it had already reported on the situation of risk in which the members of the MSI group, including Mr. Castillo Pérez, found themselves. The IACHR reiterates that the organs of the inter-American system have indicated that reprisals against human rights defenders have a multiplier effect that goes beyond the direct impact on the person of the human rights defender, since when the aggression is committed in retaliation for his or her activity, it produces a chilling effect that extends to those who defend similar</w:t>
      </w:r>
      <w:r w:rsidR="00E433FD" w:rsidRPr="00BD6C53">
        <w:rPr>
          <w:rStyle w:val="FootnoteReference"/>
          <w:rFonts w:ascii="Cambria" w:hAnsi="Cambria"/>
          <w:sz w:val="20"/>
          <w:szCs w:val="20"/>
        </w:rPr>
        <w:footnoteReference w:id="130"/>
      </w:r>
      <w:r w:rsidR="00E433FD" w:rsidRPr="00BD6C53">
        <w:rPr>
          <w:rFonts w:ascii="Cambria" w:hAnsi="Cambria"/>
          <w:sz w:val="20"/>
          <w:szCs w:val="20"/>
        </w:rPr>
        <w:t xml:space="preserve"> causes. Thus, the Commission identifies that this case was framed within the contextual elements of state repression of human rights defenders in Cuba. </w:t>
      </w:r>
    </w:p>
    <w:p w14:paraId="460E3998" w14:textId="77777777" w:rsidR="00501F60" w:rsidRPr="00F66E08" w:rsidRDefault="00501F60" w:rsidP="00B82A2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Style w:val="normaltextrun"/>
          <w:rFonts w:ascii="Cambria" w:hAnsi="Cambria"/>
          <w:sz w:val="20"/>
          <w:szCs w:val="20"/>
        </w:rPr>
      </w:pPr>
    </w:p>
    <w:p w14:paraId="4F10B1A6" w14:textId="1969BB18" w:rsidR="00225587" w:rsidRPr="00F66E08" w:rsidRDefault="00225587"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rPr>
      </w:pPr>
      <w:bookmarkStart w:id="32" w:name="_Hlk172885341"/>
      <w:r w:rsidRPr="00BD6C53">
        <w:rPr>
          <w:rFonts w:ascii="Cambria" w:hAnsi="Cambria"/>
          <w:sz w:val="20"/>
          <w:szCs w:val="20"/>
          <w:bdr w:val="none" w:sz="0" w:space="0" w:color="auto" w:frame="1"/>
        </w:rPr>
        <w:t xml:space="preserve">By virtue of </w:t>
      </w:r>
      <w:r w:rsidRPr="00BD6C53">
        <w:rPr>
          <w:rFonts w:ascii="Cambria" w:hAnsi="Cambria"/>
          <w:color w:val="000000"/>
          <w:sz w:val="20"/>
          <w:szCs w:val="20"/>
        </w:rPr>
        <w:t>the</w:t>
      </w:r>
      <w:r w:rsidRPr="00BD6C53">
        <w:rPr>
          <w:rFonts w:ascii="Cambria" w:hAnsi="Cambria"/>
          <w:sz w:val="20"/>
          <w:szCs w:val="20"/>
          <w:bdr w:val="none" w:sz="0" w:space="0" w:color="auto" w:frame="1"/>
        </w:rPr>
        <w:t xml:space="preserve"> foregoing, the Commission considers that the various violations suffered by Mr. Castillo Pérez were linked to his work in defense of human rights, and that these were aimed at stigmatizing him, intimidating him, and preventing him from continuing with those activities, thus affecting his right to freedom of opinion and expression.  to participate in the cultural life of the community and the right of association. Accordingly, the Commission concludes that the State is responsible for the violation of the rights set forth in Articles IV, XIII, and XXII of the American Declaration.  </w:t>
      </w:r>
    </w:p>
    <w:bookmarkEnd w:id="32"/>
    <w:p w14:paraId="3E189A68" w14:textId="77777777" w:rsidR="00C10196" w:rsidRPr="00F66E08" w:rsidRDefault="00C10196" w:rsidP="009C7481">
      <w:pPr>
        <w:pStyle w:val="paragraph"/>
        <w:spacing w:before="0" w:beforeAutospacing="0" w:after="0" w:afterAutospacing="0"/>
        <w:textAlignment w:val="baseline"/>
        <w:rPr>
          <w:rStyle w:val="eop"/>
          <w:sz w:val="20"/>
          <w:szCs w:val="20"/>
        </w:rPr>
      </w:pPr>
    </w:p>
    <w:p w14:paraId="29BC667C" w14:textId="6DEFF66D" w:rsidR="00C10196" w:rsidRPr="00F66E08" w:rsidRDefault="2E67936B" w:rsidP="004B1C8A">
      <w:pPr>
        <w:pStyle w:val="Heading2"/>
        <w:rPr>
          <w:lang w:val="en-US"/>
        </w:rPr>
      </w:pPr>
      <w:bookmarkStart w:id="33" w:name="_Toc216356775"/>
      <w:r w:rsidRPr="00F66E08">
        <w:rPr>
          <w:lang w:val="en-US"/>
        </w:rPr>
        <w:t xml:space="preserve">Right </w:t>
      </w:r>
      <w:r w:rsidRPr="00F66E08">
        <w:rPr>
          <w:rFonts w:eastAsia="SimSun"/>
          <w:lang w:val="en-US"/>
        </w:rPr>
        <w:t xml:space="preserve">to life, liberty, security and humane treatment </w:t>
      </w:r>
      <w:r w:rsidRPr="00F66E08">
        <w:rPr>
          <w:lang w:val="en-US"/>
        </w:rPr>
        <w:t>(Article I</w:t>
      </w:r>
      <w:r w:rsidR="00C10196" w:rsidRPr="00501F60">
        <w:rPr>
          <w:rStyle w:val="FootnoteReference"/>
          <w:szCs w:val="20"/>
        </w:rPr>
        <w:footnoteReference w:id="131"/>
      </w:r>
      <w:r w:rsidRPr="00F66E08">
        <w:rPr>
          <w:lang w:val="en-US"/>
        </w:rPr>
        <w:t xml:space="preserve"> of the American Declaration)</w:t>
      </w:r>
      <w:bookmarkEnd w:id="33"/>
      <w:r w:rsidRPr="00F66E08">
        <w:rPr>
          <w:lang w:val="en-US"/>
        </w:rPr>
        <w:t xml:space="preserve">  </w:t>
      </w:r>
    </w:p>
    <w:p w14:paraId="3BB469C8" w14:textId="77777777" w:rsidR="00C10196" w:rsidRPr="00F66E08" w:rsidRDefault="00C10196" w:rsidP="00C1019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Style w:val="normaltextrun"/>
          <w:sz w:val="20"/>
          <w:szCs w:val="20"/>
        </w:rPr>
      </w:pPr>
    </w:p>
    <w:p w14:paraId="134AE31E" w14:textId="5B597648" w:rsidR="00C10196" w:rsidRPr="00501F60" w:rsidRDefault="00C10196" w:rsidP="00425CDF">
      <w:pPr>
        <w:pStyle w:val="Heading3"/>
        <w:numPr>
          <w:ilvl w:val="0"/>
          <w:numId w:val="64"/>
        </w:numPr>
        <w:tabs>
          <w:tab w:val="left" w:pos="360"/>
        </w:tabs>
        <w:ind w:left="360"/>
        <w:rPr>
          <w:szCs w:val="20"/>
          <w:lang w:val="es-ES"/>
        </w:rPr>
      </w:pPr>
      <w:r w:rsidRPr="00501F60">
        <w:rPr>
          <w:szCs w:val="20"/>
        </w:rPr>
        <w:t>General considerations</w:t>
      </w:r>
    </w:p>
    <w:p w14:paraId="5E87D4AF" w14:textId="77777777" w:rsidR="00165CF6" w:rsidRPr="00501F60" w:rsidRDefault="00165CF6" w:rsidP="00165CF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469B329C" w14:textId="0285B545" w:rsidR="005552AB" w:rsidRPr="00501F60" w:rsidRDefault="00E433FD"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00501F60">
        <w:rPr>
          <w:rFonts w:ascii="Cambria" w:hAnsi="Cambria"/>
          <w:sz w:val="20"/>
          <w:szCs w:val="20"/>
        </w:rPr>
        <w:t>The Commission has stated that every person deprived of liberty has the right to live in conditions of detention compatible with his or her personal dignity and that the State must guarantee him or her the right to humane treatment. Consequently, the State, as responsible for detention facilities, is the guarantor of these rights of detainees</w:t>
      </w:r>
      <w:r w:rsidR="00B930C1" w:rsidRPr="00501F60">
        <w:rPr>
          <w:rStyle w:val="FootnoteReference"/>
          <w:rFonts w:ascii="Cambria" w:hAnsi="Cambria"/>
          <w:sz w:val="20"/>
          <w:szCs w:val="20"/>
        </w:rPr>
        <w:footnoteReference w:id="132"/>
      </w:r>
      <w:r w:rsidR="7CDB5C4D" w:rsidRPr="00501F60">
        <w:rPr>
          <w:rFonts w:ascii="Cambria" w:hAnsi="Cambria"/>
          <w:sz w:val="20"/>
          <w:szCs w:val="20"/>
        </w:rPr>
        <w:t>. It is a principle of the jurisprudence of the inter-American system that the State is the guarantor of the rights of persons deprived of liberty and therefore must take the necessary measures to respect and guarantee the rights of the individuals in its custody</w:t>
      </w:r>
      <w:r w:rsidR="00B930C1" w:rsidRPr="00501F60">
        <w:rPr>
          <w:rStyle w:val="FootnoteReference"/>
          <w:rFonts w:ascii="Cambria" w:hAnsi="Cambria"/>
          <w:sz w:val="20"/>
          <w:szCs w:val="20"/>
        </w:rPr>
        <w:footnoteReference w:id="133"/>
      </w:r>
      <w:r w:rsidR="7CDB5C4D" w:rsidRPr="00501F60">
        <w:rPr>
          <w:rFonts w:ascii="Cambria" w:hAnsi="Cambria"/>
          <w:sz w:val="20"/>
          <w:szCs w:val="20"/>
        </w:rPr>
        <w:t>, regardless of the type of deprivation of liberty in question.  its duration or the place where it is carried out. The Commission has explained this concept as follows:</w:t>
      </w:r>
    </w:p>
    <w:p w14:paraId="4AF16363" w14:textId="77777777" w:rsidR="005552AB" w:rsidRPr="00501F60" w:rsidRDefault="005552AB" w:rsidP="00EF175E">
      <w:pPr>
        <w:pStyle w:val="ListParagraph"/>
        <w:numPr>
          <w:ilvl w:val="0"/>
          <w:numId w:val="0"/>
        </w:numPr>
        <w:ind w:left="720"/>
      </w:pPr>
    </w:p>
    <w:p w14:paraId="02A4CFE3" w14:textId="5F687D49" w:rsidR="00B930C1" w:rsidRPr="00F66E08" w:rsidRDefault="7CDB5C4D" w:rsidP="7EC42DB7">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360" w:right="720"/>
        <w:jc w:val="both"/>
        <w:rPr>
          <w:rFonts w:ascii="Cambria" w:hAnsi="Cambria"/>
          <w:sz w:val="18"/>
          <w:szCs w:val="18"/>
        </w:rPr>
      </w:pPr>
      <w:r w:rsidRPr="00BD6C53">
        <w:rPr>
          <w:rFonts w:ascii="Cambria" w:hAnsi="Cambria"/>
          <w:sz w:val="18"/>
          <w:szCs w:val="18"/>
        </w:rPr>
        <w:t xml:space="preserve">The State, by depriving a person of liberty, places itself in a special position of guarantor of his life and physical integrity. At the moment of detaining an individual, the State introduces him into a "total institution", such as prison, in which the various aspects of his life are subject to a fixed regulation, and there is a distance from his natural and social environment, absolute control, a loss of privacy, a limitation of living space and,  above all, a radical decrease in the possibilities of self-protection. All this means that the act of imprisonment </w:t>
      </w:r>
      <w:r w:rsidRPr="00BD6C53">
        <w:rPr>
          <w:rFonts w:ascii="Cambria" w:hAnsi="Cambria"/>
          <w:sz w:val="18"/>
          <w:szCs w:val="18"/>
        </w:rPr>
        <w:lastRenderedPageBreak/>
        <w:t>implies a specific and material commitment to protect the human dignity of the prisoner while in his custody, which includes his protection against possible circumstances that may endanger his life, health and personal integrity, among other rights</w:t>
      </w:r>
      <w:r w:rsidR="00B930C1" w:rsidRPr="00BD6C53">
        <w:rPr>
          <w:rStyle w:val="FootnoteReference"/>
          <w:rFonts w:ascii="Cambria" w:hAnsi="Cambria"/>
          <w:sz w:val="18"/>
          <w:szCs w:val="18"/>
        </w:rPr>
        <w:footnoteReference w:id="134"/>
      </w:r>
      <w:r w:rsidRPr="00BD6C53">
        <w:rPr>
          <w:rFonts w:ascii="Cambria" w:hAnsi="Cambria"/>
          <w:sz w:val="18"/>
          <w:szCs w:val="18"/>
        </w:rPr>
        <w:t>.</w:t>
      </w:r>
    </w:p>
    <w:p w14:paraId="506FD507" w14:textId="77777777" w:rsidR="00445972" w:rsidRPr="00F66E08" w:rsidRDefault="00445972" w:rsidP="00445972">
      <w:pPr>
        <w:pStyle w:val="parrafos"/>
        <w:numPr>
          <w:ilvl w:val="0"/>
          <w:numId w:val="0"/>
        </w:numPr>
        <w:rPr>
          <w:rFonts w:ascii="Cambria" w:hAnsi="Cambria"/>
          <w:lang w:val="en-US"/>
        </w:rPr>
      </w:pPr>
    </w:p>
    <w:p w14:paraId="74C0DFE8" w14:textId="253F12AE" w:rsidR="000C50F1" w:rsidRPr="00F66E08" w:rsidRDefault="32734AB0"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eastAsia="Cambria" w:hAnsi="Cambria" w:cs="Cambria"/>
          <w:sz w:val="20"/>
          <w:szCs w:val="20"/>
        </w:rPr>
      </w:pPr>
      <w:r w:rsidRPr="00501F60">
        <w:rPr>
          <w:rFonts w:ascii="Cambria" w:eastAsia="Cambria" w:hAnsi="Cambria" w:cs="Cambria"/>
          <w:sz w:val="20"/>
          <w:szCs w:val="20"/>
        </w:rPr>
        <w:t>Considering the State's position as guarantor, when it is demonstrated that, after the arrest and excessive use of force, the detained person suffered physical injuries, the State incurs international responsibility for the violation of personal integrity and security, in contravention of Article I of the American Declaration</w:t>
      </w:r>
      <w:r w:rsidR="000C50F1" w:rsidRPr="00501F60">
        <w:rPr>
          <w:rStyle w:val="FootnoteReference"/>
          <w:rFonts w:ascii="Cambria" w:eastAsia="Cambria" w:hAnsi="Cambria" w:cs="Cambria"/>
          <w:sz w:val="20"/>
          <w:szCs w:val="20"/>
        </w:rPr>
        <w:footnoteReference w:id="135"/>
      </w:r>
      <w:r w:rsidRPr="00501F60">
        <w:rPr>
          <w:rFonts w:ascii="Cambria" w:eastAsia="Cambria" w:hAnsi="Cambria" w:cs="Cambria"/>
          <w:sz w:val="20"/>
          <w:szCs w:val="20"/>
        </w:rPr>
        <w:t>. However, not only physical integrity must be protected, but also moral and psychological integrity, as the IACHR has indicated in its Principles and Best Practices on the Protection of Persons Deprived of Liberty in the Americas</w:t>
      </w:r>
      <w:r w:rsidR="000C50F1" w:rsidRPr="00501F60">
        <w:rPr>
          <w:rStyle w:val="FootnoteReference"/>
          <w:rFonts w:ascii="Cambria" w:eastAsia="Cambria" w:hAnsi="Cambria" w:cs="Cambria"/>
          <w:sz w:val="20"/>
          <w:szCs w:val="20"/>
        </w:rPr>
        <w:footnoteReference w:id="136"/>
      </w:r>
      <w:r w:rsidRPr="00501F60">
        <w:rPr>
          <w:rFonts w:ascii="Cambria" w:eastAsia="Cambria" w:hAnsi="Cambria" w:cs="Cambria"/>
          <w:sz w:val="20"/>
          <w:szCs w:val="20"/>
        </w:rPr>
        <w:t>.</w:t>
      </w:r>
    </w:p>
    <w:p w14:paraId="0F5BE101" w14:textId="1A355D3C" w:rsidR="000C50F1" w:rsidRPr="00F66E08" w:rsidRDefault="000C50F1" w:rsidP="00C91638">
      <w:pPr>
        <w:tabs>
          <w:tab w:val="left" w:pos="360"/>
        </w:tabs>
        <w:rPr>
          <w:sz w:val="20"/>
          <w:szCs w:val="20"/>
        </w:rPr>
      </w:pPr>
    </w:p>
    <w:p w14:paraId="14D1BCC3" w14:textId="7A731CD9" w:rsidR="00C10196" w:rsidRPr="00501F60" w:rsidRDefault="00C10196" w:rsidP="00C91638">
      <w:pPr>
        <w:pStyle w:val="Heading3"/>
        <w:tabs>
          <w:tab w:val="left" w:pos="360"/>
        </w:tabs>
        <w:ind w:left="360"/>
        <w:rPr>
          <w:szCs w:val="20"/>
          <w:lang w:val="es-ES"/>
        </w:rPr>
      </w:pPr>
      <w:r w:rsidRPr="00501F60">
        <w:rPr>
          <w:szCs w:val="20"/>
        </w:rPr>
        <w:t>Case analysis</w:t>
      </w:r>
    </w:p>
    <w:p w14:paraId="1EADCC8D" w14:textId="77777777" w:rsidR="00225587" w:rsidRPr="00501F60" w:rsidRDefault="00225587" w:rsidP="00C91638">
      <w:pPr>
        <w:rPr>
          <w:sz w:val="20"/>
          <w:szCs w:val="20"/>
          <w:lang w:val="es-ES"/>
        </w:rPr>
      </w:pPr>
    </w:p>
    <w:p w14:paraId="57F6E82E" w14:textId="6D7FEBE0" w:rsidR="00225587" w:rsidRPr="00F66E08" w:rsidRDefault="00E433FD"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rPr>
      </w:pPr>
      <w:r w:rsidRPr="00BD6C53">
        <w:rPr>
          <w:rFonts w:ascii="Cambria" w:eastAsiaTheme="minorEastAsia" w:hAnsi="Cambria"/>
          <w:sz w:val="20"/>
          <w:szCs w:val="20"/>
          <w:bdr w:val="none" w:sz="0" w:space="0" w:color="auto"/>
        </w:rPr>
        <w:t xml:space="preserve">The </w:t>
      </w:r>
      <w:r w:rsidR="00225587" w:rsidRPr="00BD6C53">
        <w:rPr>
          <w:rFonts w:ascii="Cambria" w:hAnsi="Cambria"/>
          <w:sz w:val="20"/>
          <w:szCs w:val="20"/>
        </w:rPr>
        <w:t xml:space="preserve">Commission </w:t>
      </w:r>
      <w:r w:rsidRPr="00BD6C53">
        <w:rPr>
          <w:rFonts w:ascii="Cambria" w:eastAsiaTheme="minorEastAsia" w:hAnsi="Cambria"/>
          <w:sz w:val="20"/>
          <w:szCs w:val="20"/>
          <w:bdr w:val="none" w:sz="0" w:space="0" w:color="auto"/>
        </w:rPr>
        <w:t xml:space="preserve"> then proceeds to analyze the elements presented by the petitioner and publicly available information on the effects that occurred against Mr. Castillo Pérez. </w:t>
      </w:r>
    </w:p>
    <w:p w14:paraId="4ACFBCCB" w14:textId="77777777" w:rsidR="00225587" w:rsidRPr="00F66E08" w:rsidRDefault="00225587" w:rsidP="00B82A24">
      <w:pPr>
        <w:rPr>
          <w:sz w:val="20"/>
          <w:szCs w:val="20"/>
        </w:rPr>
      </w:pPr>
    </w:p>
    <w:p w14:paraId="4938E95B" w14:textId="31A8C19E" w:rsidR="00225587" w:rsidRPr="00BD6C53" w:rsidRDefault="5F434145"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00BD6C53">
        <w:rPr>
          <w:rFonts w:ascii="Cambria" w:hAnsi="Cambria"/>
          <w:sz w:val="20"/>
          <w:szCs w:val="20"/>
        </w:rPr>
        <w:t xml:space="preserve">In the first place, the Commission observes that, according to the petitioner, Mr. Castillo Pérez was beaten by the Chief of Interior Order of the establishment during his detention for having protested the denial of medical attention. It indicated that as a result of the dispute, Mr. Castillo Pérez had a wound on his cheekbone </w:t>
      </w:r>
      <w:r w:rsidR="69CF9CEE" w:rsidRPr="00BD6C53">
        <w:rPr>
          <w:rStyle w:val="normaltextrun"/>
          <w:rFonts w:ascii="Cambria" w:hAnsi="Cambria"/>
          <w:color w:val="000000" w:themeColor="text1"/>
          <w:sz w:val="20"/>
          <w:szCs w:val="20"/>
        </w:rPr>
        <w:t>(</w:t>
      </w:r>
      <w:r w:rsidR="69CF9CEE" w:rsidRPr="00BD6C53">
        <w:rPr>
          <w:rStyle w:val="normaltextrun"/>
          <w:rFonts w:ascii="Cambria" w:hAnsi="Cambria"/>
          <w:i/>
          <w:iCs/>
          <w:color w:val="000000" w:themeColor="text1"/>
          <w:sz w:val="20"/>
          <w:szCs w:val="20"/>
        </w:rPr>
        <w:t>supra</w:t>
      </w:r>
      <w:r w:rsidR="69CF9CEE" w:rsidRPr="00BD6C53">
        <w:rPr>
          <w:rStyle w:val="normaltextrun"/>
          <w:rFonts w:ascii="Cambria" w:hAnsi="Cambria"/>
          <w:color w:val="000000" w:themeColor="text1"/>
          <w:sz w:val="20"/>
          <w:szCs w:val="20"/>
        </w:rPr>
        <w:t xml:space="preserve"> para. 32).</w:t>
      </w:r>
      <w:r w:rsidR="69CF9CEE" w:rsidRPr="00BD6C53">
        <w:rPr>
          <w:rFonts w:ascii="Cambria" w:hAnsi="Cambria"/>
          <w:sz w:val="20"/>
          <w:szCs w:val="20"/>
        </w:rPr>
        <w:t xml:space="preserve"> </w:t>
      </w:r>
    </w:p>
    <w:p w14:paraId="6A2B39A7" w14:textId="7B6BB752" w:rsidR="00225587" w:rsidRPr="00BD6C53" w:rsidRDefault="00225587" w:rsidP="00B82A2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133C6CC7" w14:textId="6BCC0C6E" w:rsidR="75577740" w:rsidRPr="00BD6C53" w:rsidRDefault="69CF9CEE" w:rsidP="00B82A24">
      <w:pPr>
        <w:numPr>
          <w:ilvl w:val="0"/>
          <w:numId w:val="62"/>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ES"/>
        </w:rPr>
      </w:pPr>
      <w:r w:rsidRPr="00BD6C53">
        <w:rPr>
          <w:rFonts w:ascii="Cambria" w:hAnsi="Cambria"/>
          <w:sz w:val="20"/>
          <w:szCs w:val="20"/>
        </w:rPr>
        <w:t xml:space="preserve">Second, according to the petitioner, Mr. Castillo Pérez did not receive medical attention when he was deprived of liberty. He indicates that he was taken to a hospital three days after being hit on the cheekbone, but he did not receive medical assistance as a result of the absence of medical personnel </w:t>
      </w:r>
      <w:r w:rsidR="693B9549" w:rsidRPr="00BD6C53">
        <w:rPr>
          <w:rStyle w:val="normaltextrun"/>
          <w:rFonts w:ascii="Cambria" w:hAnsi="Cambria"/>
          <w:color w:val="000000" w:themeColor="text1"/>
          <w:sz w:val="20"/>
          <w:szCs w:val="20"/>
        </w:rPr>
        <w:t>(</w:t>
      </w:r>
      <w:r w:rsidR="693B9549" w:rsidRPr="00BD6C53">
        <w:rPr>
          <w:rStyle w:val="normaltextrun"/>
          <w:rFonts w:ascii="Cambria" w:hAnsi="Cambria"/>
          <w:i/>
          <w:iCs/>
          <w:color w:val="000000" w:themeColor="text1"/>
          <w:sz w:val="20"/>
          <w:szCs w:val="20"/>
        </w:rPr>
        <w:t>supra</w:t>
      </w:r>
      <w:r w:rsidR="693B9549" w:rsidRPr="00BD6C53">
        <w:rPr>
          <w:rStyle w:val="normaltextrun"/>
          <w:rFonts w:ascii="Cambria" w:hAnsi="Cambria"/>
          <w:color w:val="000000" w:themeColor="text1"/>
          <w:sz w:val="20"/>
          <w:szCs w:val="20"/>
        </w:rPr>
        <w:t xml:space="preserve"> para. 32).</w:t>
      </w:r>
      <w:r w:rsidR="7BE5AA94" w:rsidRPr="00BD6C53">
        <w:rPr>
          <w:rFonts w:ascii="Cambria" w:hAnsi="Cambria"/>
          <w:sz w:val="20"/>
          <w:szCs w:val="20"/>
        </w:rPr>
        <w:t xml:space="preserve"> Third, the IACHR notes that the petitioner indicated that Mr. Castillo Pérez was verbally and physically assaulted by 1st Lieutenant Lázaro in the "Kilo 5" prison in the province of Pinar del Río </w:t>
      </w:r>
      <w:r w:rsidR="75577740" w:rsidRPr="00BD6C53">
        <w:rPr>
          <w:rStyle w:val="normaltextrun"/>
          <w:rFonts w:ascii="Cambria" w:hAnsi="Cambria"/>
          <w:color w:val="000000" w:themeColor="text1"/>
          <w:sz w:val="20"/>
          <w:szCs w:val="20"/>
        </w:rPr>
        <w:t>(</w:t>
      </w:r>
      <w:r w:rsidR="75577740" w:rsidRPr="00BD6C53">
        <w:rPr>
          <w:rStyle w:val="normaltextrun"/>
          <w:rFonts w:ascii="Cambria" w:hAnsi="Cambria"/>
          <w:i/>
          <w:iCs/>
          <w:color w:val="000000" w:themeColor="text1"/>
          <w:sz w:val="20"/>
          <w:szCs w:val="20"/>
        </w:rPr>
        <w:t>supra</w:t>
      </w:r>
      <w:r w:rsidR="75577740" w:rsidRPr="00BD6C53">
        <w:rPr>
          <w:rStyle w:val="normaltextrun"/>
          <w:rFonts w:ascii="Cambria" w:hAnsi="Cambria"/>
          <w:color w:val="000000" w:themeColor="text1"/>
          <w:sz w:val="20"/>
          <w:szCs w:val="20"/>
        </w:rPr>
        <w:t xml:space="preserve"> para. 34).</w:t>
      </w:r>
      <w:r w:rsidR="75577740" w:rsidRPr="00BD6C53">
        <w:rPr>
          <w:rFonts w:ascii="Cambria" w:hAnsi="Cambria"/>
          <w:sz w:val="20"/>
          <w:szCs w:val="20"/>
        </w:rPr>
        <w:t xml:space="preserve">  </w:t>
      </w:r>
    </w:p>
    <w:p w14:paraId="20D2048A" w14:textId="6E9D2394" w:rsidR="7EC42DB7" w:rsidRPr="00BD6C53" w:rsidRDefault="7EC42DB7" w:rsidP="00B82A24">
      <w:p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jc w:val="both"/>
        <w:rPr>
          <w:rFonts w:ascii="Cambria" w:hAnsi="Cambria"/>
          <w:sz w:val="20"/>
          <w:szCs w:val="20"/>
          <w:lang w:val="es-ES"/>
        </w:rPr>
      </w:pPr>
    </w:p>
    <w:p w14:paraId="511C6E44" w14:textId="0FF11ACE" w:rsidR="61C0522D" w:rsidRPr="00BD6C53" w:rsidRDefault="61C0522D" w:rsidP="00B82A24">
      <w:pPr>
        <w:numPr>
          <w:ilvl w:val="0"/>
          <w:numId w:val="62"/>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ES"/>
        </w:rPr>
      </w:pPr>
      <w:r w:rsidRPr="00BD6C53">
        <w:rPr>
          <w:rFonts w:ascii="Cambria" w:hAnsi="Cambria"/>
          <w:sz w:val="20"/>
          <w:szCs w:val="20"/>
        </w:rPr>
        <w:t xml:space="preserve">Fourth, the Commission takes note of the urgent request for action before the United Nations Committee on Enforced Disappearances submitted by the organization </w:t>
      </w:r>
      <w:r w:rsidR="00F53070" w:rsidRPr="00BD6C53">
        <w:rPr>
          <w:rFonts w:ascii="Cambria" w:hAnsi="Cambria"/>
          <w:i/>
          <w:iCs/>
          <w:sz w:val="20"/>
          <w:szCs w:val="20"/>
        </w:rPr>
        <w:t xml:space="preserve">Prisoners Defender </w:t>
      </w:r>
      <w:r w:rsidR="653798CD" w:rsidRPr="00BD6C53">
        <w:rPr>
          <w:rFonts w:ascii="Cambria" w:hAnsi="Cambria"/>
          <w:sz w:val="20"/>
          <w:szCs w:val="20"/>
        </w:rPr>
        <w:t xml:space="preserve"> on May 25, 2021. The request indicated that the National Revolutionary Police and State Security entered Mr. Castillo Pérez's home on May 18, 2021, to arrest him. He specified that at the beginning of his detention there was no exact knowledge of his whereabouts and he was held incommunicado from his family </w:t>
      </w:r>
      <w:r w:rsidR="312CEA40" w:rsidRPr="00BD6C53">
        <w:rPr>
          <w:rStyle w:val="normaltextrun"/>
          <w:rFonts w:ascii="Cambria" w:hAnsi="Cambria"/>
          <w:color w:val="000000" w:themeColor="text1"/>
          <w:sz w:val="20"/>
          <w:szCs w:val="20"/>
        </w:rPr>
        <w:t>(</w:t>
      </w:r>
      <w:r w:rsidR="312CEA40" w:rsidRPr="00BD6C53">
        <w:rPr>
          <w:rStyle w:val="normaltextrun"/>
          <w:rFonts w:ascii="Cambria" w:hAnsi="Cambria"/>
          <w:i/>
          <w:iCs/>
          <w:color w:val="000000" w:themeColor="text1"/>
          <w:sz w:val="20"/>
          <w:szCs w:val="20"/>
        </w:rPr>
        <w:t>supra</w:t>
      </w:r>
      <w:r w:rsidR="312CEA40" w:rsidRPr="00BD6C53">
        <w:rPr>
          <w:rStyle w:val="normaltextrun"/>
          <w:rFonts w:ascii="Cambria" w:hAnsi="Cambria"/>
          <w:color w:val="000000" w:themeColor="text1"/>
          <w:sz w:val="20"/>
          <w:szCs w:val="20"/>
        </w:rPr>
        <w:t xml:space="preserve"> para. 37).</w:t>
      </w:r>
    </w:p>
    <w:p w14:paraId="4F409377" w14:textId="4A9E584F" w:rsidR="7EC42DB7" w:rsidRPr="00BD6C53" w:rsidRDefault="7EC42DB7" w:rsidP="00B82A24">
      <w:p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jc w:val="both"/>
        <w:rPr>
          <w:rFonts w:ascii="Cambria" w:hAnsi="Cambria"/>
          <w:sz w:val="20"/>
          <w:szCs w:val="20"/>
          <w:lang w:val="es-ES"/>
        </w:rPr>
      </w:pPr>
    </w:p>
    <w:p w14:paraId="24DE21DA" w14:textId="3B874EAF" w:rsidR="0269E206" w:rsidRPr="00BD6C53" w:rsidRDefault="0269E206"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00BD6C53">
        <w:rPr>
          <w:rFonts w:ascii="Cambria" w:hAnsi="Cambria"/>
          <w:sz w:val="20"/>
          <w:szCs w:val="20"/>
        </w:rPr>
        <w:t xml:space="preserve">Fifth, the IACHR notes the communication of urgent action from the organization Amnesty International of August 1, 2023, on the occasion of the conviction of Mr. Castillo Pérez in June 2022. The communication indicated that Mr. Castillo Pérez had limited access to quality medical care, was harassed and threatened by other inmates, and, as punishment for having sewn his mouth shut as a symbol of protest, was informed that he was unable to receive family visits </w:t>
      </w:r>
      <w:r w:rsidR="75F36D6A" w:rsidRPr="00BD6C53">
        <w:rPr>
          <w:rStyle w:val="normaltextrun"/>
          <w:rFonts w:ascii="Cambria" w:hAnsi="Cambria"/>
          <w:color w:val="000000" w:themeColor="text1"/>
          <w:sz w:val="20"/>
          <w:szCs w:val="20"/>
        </w:rPr>
        <w:t>(</w:t>
      </w:r>
      <w:r w:rsidR="75F36D6A" w:rsidRPr="00BD6C53">
        <w:rPr>
          <w:rStyle w:val="normaltextrun"/>
          <w:rFonts w:ascii="Cambria" w:hAnsi="Cambria"/>
          <w:i/>
          <w:iCs/>
          <w:color w:val="000000" w:themeColor="text1"/>
          <w:sz w:val="20"/>
          <w:szCs w:val="20"/>
        </w:rPr>
        <w:t>supra</w:t>
      </w:r>
      <w:r w:rsidR="75F36D6A" w:rsidRPr="00BD6C53">
        <w:rPr>
          <w:rStyle w:val="normaltextrun"/>
          <w:rFonts w:ascii="Cambria" w:hAnsi="Cambria"/>
          <w:color w:val="000000" w:themeColor="text1"/>
          <w:sz w:val="20"/>
          <w:szCs w:val="20"/>
        </w:rPr>
        <w:t xml:space="preserve"> para. 40).</w:t>
      </w:r>
    </w:p>
    <w:p w14:paraId="48BA4E51" w14:textId="4D76F2B2" w:rsidR="7EC42DB7" w:rsidRPr="00BD6C53" w:rsidRDefault="7EC42DB7" w:rsidP="00B82A2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0E066C88" w14:textId="0D0EF492" w:rsidR="45D640E8" w:rsidRPr="00BD6C53" w:rsidRDefault="45D640E8"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00BD6C53">
        <w:rPr>
          <w:rFonts w:ascii="Cambria" w:hAnsi="Cambria"/>
          <w:sz w:val="20"/>
          <w:szCs w:val="20"/>
        </w:rPr>
        <w:t xml:space="preserve">Sixth, according to the petitioner, Mr. Castillo Pérez was the victim of police surveillance and surveillance at his home on January 2, which was repeated on July 23 and the surveillance between November 27 and December 1, 2020, was "home confinement." According to a member of the San Isidro Movement, Mr. Castillo Pérez was held incommunicado and without food during the last mentioned period </w:t>
      </w:r>
      <w:r w:rsidR="20B6EBFC" w:rsidRPr="00BD6C53">
        <w:rPr>
          <w:rStyle w:val="normaltextrun"/>
          <w:rFonts w:ascii="Cambria" w:hAnsi="Cambria"/>
          <w:color w:val="000000" w:themeColor="text1"/>
          <w:sz w:val="20"/>
          <w:szCs w:val="20"/>
        </w:rPr>
        <w:t>(</w:t>
      </w:r>
      <w:r w:rsidR="20B6EBFC" w:rsidRPr="00BD6C53">
        <w:rPr>
          <w:rStyle w:val="normaltextrun"/>
          <w:rFonts w:ascii="Cambria" w:hAnsi="Cambria"/>
          <w:i/>
          <w:iCs/>
          <w:color w:val="000000" w:themeColor="text1"/>
          <w:sz w:val="20"/>
          <w:szCs w:val="20"/>
        </w:rPr>
        <w:t>supra</w:t>
      </w:r>
      <w:r w:rsidR="20B6EBFC" w:rsidRPr="00BD6C53">
        <w:rPr>
          <w:rStyle w:val="normaltextrun"/>
          <w:rFonts w:ascii="Cambria" w:hAnsi="Cambria"/>
          <w:color w:val="000000" w:themeColor="text1"/>
          <w:sz w:val="20"/>
          <w:szCs w:val="20"/>
        </w:rPr>
        <w:t xml:space="preserve"> para. 35).</w:t>
      </w:r>
    </w:p>
    <w:p w14:paraId="2CA0EEA9" w14:textId="67763CF2" w:rsidR="7EC42DB7" w:rsidRPr="00BD6C53" w:rsidRDefault="7EC42DB7" w:rsidP="00B82A2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cs="TimesNewRomanPSMT"/>
          <w:sz w:val="20"/>
          <w:szCs w:val="20"/>
          <w:lang w:val="es-ES"/>
        </w:rPr>
      </w:pPr>
    </w:p>
    <w:p w14:paraId="6B126191" w14:textId="4C092C97" w:rsidR="21C2A668" w:rsidRPr="00BD6C53" w:rsidRDefault="21C2A668"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cs="TimesNewRomanPSMT"/>
          <w:sz w:val="20"/>
          <w:szCs w:val="20"/>
          <w:lang w:val="es-ES"/>
        </w:rPr>
      </w:pPr>
      <w:r w:rsidRPr="00BD6C53">
        <w:rPr>
          <w:rFonts w:ascii="Cambria" w:hAnsi="Cambria" w:cs="TimesNewRomanPSMT"/>
          <w:sz w:val="20"/>
          <w:szCs w:val="20"/>
        </w:rPr>
        <w:t xml:space="preserve">Seventh, the IACHR notes that the petitioner indicated that Mr. Castillo Pérez was beaten when he was arrested on December 26, 2019 and June 11, 2020. According to a press video, on the last date he was arrested by a patrol and ended up bloodied inside a police station </w:t>
      </w:r>
      <w:r w:rsidR="0746B2D0" w:rsidRPr="00BD6C53">
        <w:rPr>
          <w:rStyle w:val="normaltextrun"/>
          <w:rFonts w:ascii="Cambria" w:hAnsi="Cambria"/>
          <w:color w:val="000000" w:themeColor="text1"/>
          <w:sz w:val="20"/>
          <w:szCs w:val="20"/>
        </w:rPr>
        <w:t>(</w:t>
      </w:r>
      <w:r w:rsidR="0746B2D0" w:rsidRPr="00BD6C53">
        <w:rPr>
          <w:rStyle w:val="normaltextrun"/>
          <w:rFonts w:ascii="Cambria" w:hAnsi="Cambria"/>
          <w:i/>
          <w:iCs/>
          <w:color w:val="000000" w:themeColor="text1"/>
          <w:sz w:val="20"/>
          <w:szCs w:val="20"/>
        </w:rPr>
        <w:t>supra</w:t>
      </w:r>
      <w:r w:rsidR="0746B2D0" w:rsidRPr="00BD6C53">
        <w:rPr>
          <w:rStyle w:val="normaltextrun"/>
          <w:rFonts w:ascii="Cambria" w:hAnsi="Cambria"/>
          <w:color w:val="000000" w:themeColor="text1"/>
          <w:sz w:val="20"/>
          <w:szCs w:val="20"/>
        </w:rPr>
        <w:t xml:space="preserve"> para. 35).</w:t>
      </w:r>
    </w:p>
    <w:p w14:paraId="7BFA6458" w14:textId="72C5360A" w:rsidR="7EC42DB7" w:rsidRPr="00BD6C53" w:rsidRDefault="7EC42DB7" w:rsidP="00B82A2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highlight w:val="yellow"/>
          <w:lang w:val="es-ES"/>
        </w:rPr>
      </w:pPr>
    </w:p>
    <w:p w14:paraId="6FCAF528" w14:textId="77677410" w:rsidR="00225587" w:rsidRPr="00F66E08" w:rsidRDefault="00C03E66"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rPr>
      </w:pPr>
      <w:r w:rsidRPr="00BD6C53">
        <w:rPr>
          <w:rFonts w:ascii="Cambria" w:hAnsi="Cambria"/>
          <w:sz w:val="20"/>
          <w:szCs w:val="20"/>
        </w:rPr>
        <w:t xml:space="preserve">The Commission considers that all these elements are part of the aforementioned context of criminalization of human rights defenders in Cuba. The IACHR has indicated that acts of violence, threats, and harassment against human rights defenders are usually aimed at diminishing their physical and mental </w:t>
      </w:r>
      <w:r w:rsidRPr="00BD6C53">
        <w:rPr>
          <w:rFonts w:ascii="Cambria" w:hAnsi="Cambria"/>
          <w:sz w:val="20"/>
          <w:szCs w:val="20"/>
        </w:rPr>
        <w:lastRenderedPageBreak/>
        <w:t>capacity, as well as intimidating them to prevent them from continuing with their work, which entails an infringement of their right to humane treatment</w:t>
      </w:r>
      <w:r w:rsidR="00E433FD" w:rsidRPr="00BD6C53">
        <w:rPr>
          <w:rStyle w:val="FootnoteReference"/>
          <w:rFonts w:ascii="Cambria" w:hAnsi="Cambria"/>
          <w:sz w:val="20"/>
          <w:szCs w:val="20"/>
        </w:rPr>
        <w:footnoteReference w:id="137"/>
      </w:r>
      <w:r w:rsidR="00E433FD" w:rsidRPr="00BD6C53">
        <w:rPr>
          <w:rFonts w:ascii="Cambria" w:hAnsi="Cambria"/>
          <w:sz w:val="20"/>
          <w:szCs w:val="20"/>
        </w:rPr>
        <w:t>. Thus, States can also incur international responsibility by failing to adopt reasonable measures to prevent these attacks against human rights defenders</w:t>
      </w:r>
      <w:r w:rsidR="00E433FD" w:rsidRPr="00BD6C53">
        <w:rPr>
          <w:rStyle w:val="FootnoteReference"/>
          <w:rFonts w:ascii="Cambria" w:hAnsi="Cambria"/>
          <w:sz w:val="20"/>
          <w:szCs w:val="20"/>
        </w:rPr>
        <w:footnoteReference w:id="138"/>
      </w:r>
      <w:r w:rsidR="00E433FD" w:rsidRPr="00BD6C53">
        <w:rPr>
          <w:rFonts w:ascii="Cambria" w:hAnsi="Cambria"/>
          <w:sz w:val="20"/>
          <w:szCs w:val="20"/>
        </w:rPr>
        <w:t>. In this regard, the Commission has stressed that "the State's obligation is not limited to providing material measures for the purpose of protecting (...) [human rights defenders], but entails the obligation to act on the structural causes that affect [their] security."</w:t>
      </w:r>
      <w:r w:rsidR="00E433FD" w:rsidRPr="00BD6C53">
        <w:rPr>
          <w:rStyle w:val="FootnoteReference"/>
          <w:rFonts w:ascii="Cambria" w:hAnsi="Cambria"/>
          <w:sz w:val="20"/>
          <w:szCs w:val="20"/>
        </w:rPr>
        <w:footnoteReference w:id="139"/>
      </w:r>
      <w:r w:rsidR="00E433FD" w:rsidRPr="00BD6C53">
        <w:rPr>
          <w:rFonts w:ascii="Cambria" w:hAnsi="Cambria"/>
          <w:sz w:val="20"/>
          <w:szCs w:val="20"/>
        </w:rPr>
        <w:t xml:space="preserve"> </w:t>
      </w:r>
    </w:p>
    <w:p w14:paraId="6F098102" w14:textId="134A4BA3" w:rsidR="00225587" w:rsidRPr="00F66E08" w:rsidRDefault="00225587" w:rsidP="00B82A2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rPr>
      </w:pPr>
    </w:p>
    <w:p w14:paraId="2CE0B185" w14:textId="21389FAA" w:rsidR="00225587" w:rsidRPr="00F66E08" w:rsidRDefault="00B74AF5"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rPr>
      </w:pPr>
      <w:r w:rsidRPr="00BD6C53">
        <w:rPr>
          <w:rFonts w:ascii="Cambria" w:hAnsi="Cambria"/>
          <w:sz w:val="20"/>
          <w:szCs w:val="20"/>
        </w:rPr>
        <w:t>In the instant case, and in accordance with all of the foregoing, the Commission considers that the State caused the right to humane treatment of Mr. Castillo Pérez to be violated. Consequently, the IACHR concludes that the State is responsible for the violation of the right established in Article I of the American Declaration to the detriment of Maykel Castillo Pérez.</w:t>
      </w:r>
      <w:bookmarkStart w:id="34" w:name="_Hlk172885354"/>
    </w:p>
    <w:p w14:paraId="2965C995" w14:textId="77777777" w:rsidR="00E37172" w:rsidRPr="00F66E08" w:rsidRDefault="00E37172" w:rsidP="00B82A2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rPr>
      </w:pPr>
    </w:p>
    <w:p w14:paraId="0AECD8AD" w14:textId="4A276138" w:rsidR="00BF7D80" w:rsidRDefault="00225587"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rPr>
      </w:pPr>
      <w:r w:rsidRPr="00501F60">
        <w:rPr>
          <w:rFonts w:ascii="Cambria" w:hAnsi="Cambria"/>
          <w:sz w:val="20"/>
          <w:szCs w:val="20"/>
        </w:rPr>
        <w:t>Finally, the Commission does not have sufficient information to rule on the violations related to the principle of equality before the law to the detriment of Maykel Castillo Pérez under Article II of the American Declaration.</w:t>
      </w:r>
    </w:p>
    <w:p w14:paraId="050A4D22" w14:textId="77777777" w:rsidR="00855036" w:rsidRDefault="00855036" w:rsidP="005E7A0B">
      <w:pPr>
        <w:ind w:left="720"/>
      </w:pPr>
    </w:p>
    <w:p w14:paraId="3B02CD2E" w14:textId="46A9B365" w:rsidR="00855036" w:rsidRPr="006D5467" w:rsidRDefault="00855036" w:rsidP="00D16E19">
      <w:pPr>
        <w:pStyle w:val="Heading1"/>
        <w:rPr>
          <w:lang w:val="en-US"/>
        </w:rPr>
      </w:pPr>
      <w:bookmarkStart w:id="35" w:name="_Toc216356776"/>
      <w:r w:rsidRPr="006D5467">
        <w:rPr>
          <w:lang w:val="en-US"/>
        </w:rPr>
        <w:t>REPORT No. 199/24 AND INFORMATION ON COMPLIANCE</w:t>
      </w:r>
      <w:bookmarkEnd w:id="35"/>
    </w:p>
    <w:p w14:paraId="75862C4F" w14:textId="77777777" w:rsidR="00855036" w:rsidRPr="006D5467" w:rsidRDefault="00855036" w:rsidP="0085503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rPr>
      </w:pPr>
    </w:p>
    <w:p w14:paraId="4D724FF6" w14:textId="0C526208" w:rsidR="00BF7D80" w:rsidRPr="006D5467" w:rsidRDefault="00855036" w:rsidP="00C91638">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rPr>
      </w:pPr>
      <w:r w:rsidRPr="006D5467">
        <w:rPr>
          <w:rFonts w:ascii="Cambria" w:hAnsi="Cambria"/>
          <w:sz w:val="20"/>
          <w:szCs w:val="20"/>
        </w:rPr>
        <w:t>On November 7, 2024, the Commission approved Admissibility and Merits Report No. 199/24 on the present case, which includes paragraphs 1 to 99 above, and made the following recommendations to the State:</w:t>
      </w:r>
      <w:bookmarkEnd w:id="34"/>
    </w:p>
    <w:p w14:paraId="4BA50BE5" w14:textId="77777777" w:rsidR="0097384D" w:rsidRPr="006D5467" w:rsidRDefault="0097384D" w:rsidP="0097384D">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Helvetica" w:eastAsia="Times New Roman" w:hAnsi="Helvetica"/>
          <w:i/>
          <w:iCs/>
          <w:sz w:val="20"/>
          <w:szCs w:val="20"/>
          <w:bdr w:val="none" w:sz="0" w:space="0" w:color="auto"/>
        </w:rPr>
      </w:pPr>
    </w:p>
    <w:p w14:paraId="15C6314D" w14:textId="77777777" w:rsidR="0097384D" w:rsidRPr="006D5467" w:rsidRDefault="0097384D" w:rsidP="00D16E19">
      <w:pPr>
        <w:pStyle w:val="ListParagraph"/>
        <w:numPr>
          <w:ilvl w:val="0"/>
          <w:numId w:val="61"/>
        </w:numPr>
        <w:rPr>
          <w:lang w:val="en-US"/>
        </w:rPr>
      </w:pPr>
      <w:r w:rsidRPr="006D5467">
        <w:rPr>
          <w:bdr w:val="none" w:sz="0" w:space="0" w:color="auto"/>
          <w:lang w:val="en-US"/>
        </w:rPr>
        <w:t xml:space="preserve">To make full reparation for the human rights violations declared in this report, both in their material and non-material aspects. The State must adopt measures of economic compensation and satisfaction. </w:t>
      </w:r>
    </w:p>
    <w:p w14:paraId="6F5E1A08" w14:textId="77777777" w:rsidR="0097384D" w:rsidRPr="006D5467" w:rsidRDefault="0097384D" w:rsidP="0097384D">
      <w:pPr>
        <w:tabs>
          <w:tab w:val="left" w:pos="360"/>
        </w:tabs>
        <w:ind w:hanging="360"/>
        <w:rPr>
          <w:sz w:val="20"/>
          <w:szCs w:val="20"/>
          <w:bdr w:val="none" w:sz="0" w:space="0" w:color="auto"/>
        </w:rPr>
      </w:pPr>
    </w:p>
    <w:p w14:paraId="0819948E" w14:textId="77777777" w:rsidR="0097384D" w:rsidRPr="006D5467" w:rsidRDefault="0097384D" w:rsidP="00D16E19">
      <w:pPr>
        <w:pStyle w:val="ListParagraph"/>
        <w:numPr>
          <w:ilvl w:val="0"/>
          <w:numId w:val="61"/>
        </w:numPr>
        <w:rPr>
          <w:lang w:val="en-US"/>
        </w:rPr>
      </w:pPr>
      <w:r w:rsidRPr="006D5467">
        <w:rPr>
          <w:bdr w:val="none" w:sz="0" w:space="0" w:color="auto"/>
          <w:lang w:val="en-US"/>
        </w:rPr>
        <w:t>To provide the necessary physical and mental health care measures for the rehabilitation of Maykel Castillo Pérez, if it is its will and in a concerted manner.</w:t>
      </w:r>
    </w:p>
    <w:p w14:paraId="5864B193" w14:textId="77777777" w:rsidR="0097384D" w:rsidRPr="006D5467" w:rsidRDefault="0097384D" w:rsidP="005E7A0B">
      <w:pPr>
        <w:ind w:left="720"/>
        <w:rPr>
          <w:bdr w:val="none" w:sz="0" w:space="0" w:color="auto"/>
        </w:rPr>
      </w:pPr>
    </w:p>
    <w:p w14:paraId="29FD31C4" w14:textId="77777777" w:rsidR="0097384D" w:rsidRPr="006D5467" w:rsidRDefault="0097384D" w:rsidP="00D16E19">
      <w:pPr>
        <w:pStyle w:val="ListParagraph"/>
        <w:numPr>
          <w:ilvl w:val="0"/>
          <w:numId w:val="61"/>
        </w:numPr>
        <w:rPr>
          <w:lang w:val="en-US"/>
        </w:rPr>
      </w:pPr>
      <w:r w:rsidRPr="006D5467">
        <w:rPr>
          <w:lang w:val="en-US"/>
        </w:rPr>
        <w:t>Immediately cease all types of persecution against Maykel Castillo Pérez, in particular, acts of harassment, harassment, attacks, and arbitrary police summonses, guaranteeing that the artist can carry out his work without fear of intimidation or reprisals, and without undue restrictions on the rights analyzed in this report.</w:t>
      </w:r>
    </w:p>
    <w:p w14:paraId="716AEC1D" w14:textId="77777777" w:rsidR="0097384D" w:rsidRPr="006D5467" w:rsidRDefault="0097384D" w:rsidP="0097384D">
      <w:pPr>
        <w:rPr>
          <w:bdr w:val="none" w:sz="0" w:space="0" w:color="auto"/>
        </w:rPr>
      </w:pPr>
    </w:p>
    <w:p w14:paraId="2DF1126B" w14:textId="77777777" w:rsidR="0097384D" w:rsidRPr="006D5467" w:rsidRDefault="0097384D" w:rsidP="00D16E19">
      <w:pPr>
        <w:pStyle w:val="ListParagraph"/>
        <w:numPr>
          <w:ilvl w:val="0"/>
          <w:numId w:val="61"/>
        </w:numPr>
        <w:rPr>
          <w:lang w:val="en-US"/>
        </w:rPr>
      </w:pPr>
      <w:r w:rsidRPr="006D5467">
        <w:rPr>
          <w:lang w:val="en-US"/>
        </w:rPr>
        <w:t>To carry out criminal, disciplinary, or other investigations that will clarify and determine the corresponding responsibilities for the violations identified in this report committed to the detriment of Maykel Castillo Pérez.</w:t>
      </w:r>
    </w:p>
    <w:p w14:paraId="145C4C58" w14:textId="77777777" w:rsidR="0097384D" w:rsidRPr="006D5467" w:rsidRDefault="0097384D" w:rsidP="005E7A0B">
      <w:pPr>
        <w:ind w:left="720"/>
        <w:rPr>
          <w:bdr w:val="none" w:sz="0" w:space="0" w:color="auto"/>
        </w:rPr>
      </w:pPr>
    </w:p>
    <w:p w14:paraId="33E98BA9" w14:textId="77777777" w:rsidR="0097384D" w:rsidRPr="006D5467" w:rsidRDefault="0097384D" w:rsidP="00D16E19">
      <w:pPr>
        <w:pStyle w:val="ListParagraph"/>
        <w:numPr>
          <w:ilvl w:val="0"/>
          <w:numId w:val="61"/>
        </w:numPr>
        <w:rPr>
          <w:lang w:val="en-US"/>
        </w:rPr>
      </w:pPr>
      <w:r w:rsidRPr="006D5467">
        <w:rPr>
          <w:bdr w:val="none" w:sz="0" w:space="0" w:color="auto"/>
          <w:lang w:val="en-US"/>
        </w:rPr>
        <w:t>Promote mechanisms of non-repetition that include: i) adopting measures to strengthen the capacity to investigate acts of violence against human rights defenders in accordance with inter-American standards; ii) adopt legislative, administrative or other measures to carry out an adequate diagnosis of the context of violence faced by human rights defenders in Cuba, including the collection of disaggregated and systematic data on its prevalence, and provide a comprehensive policy for its prevention and effective eradication, addressing its structural causes; iii) design training, awareness-raising, and training programs for State security forces on the inter-American human rights system, including the protection and prevention of violence against human rights defenders; and iv) prevent and eradicate the criminalization of those who exercise the right to freedom of expression and association, including political dissidents and human rights defenders; v) ensure that human rights defenders are able to carry out their work without fear of intimidation or reprisals, and without undue restrictions; and (vi) bring laws, procedures, and practices into line with international human rights standards on due process and access to justice.</w:t>
      </w:r>
    </w:p>
    <w:p w14:paraId="726EB494" w14:textId="77777777" w:rsidR="005E7A0B" w:rsidRPr="006D5467" w:rsidRDefault="005E7A0B" w:rsidP="005E7A0B">
      <w:pPr>
        <w:ind w:left="720"/>
        <w:rPr>
          <w:bdr w:val="none" w:sz="0" w:space="0" w:color="auto"/>
        </w:rPr>
      </w:pPr>
    </w:p>
    <w:p w14:paraId="0F1BEEE0" w14:textId="50B17A28" w:rsidR="005E7A0B" w:rsidRPr="006D5467" w:rsidRDefault="005E7A0B" w:rsidP="005E7A0B">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Theme="majorHAnsi" w:hAnsiTheme="majorHAnsi"/>
          <w:sz w:val="20"/>
          <w:szCs w:val="20"/>
        </w:rPr>
      </w:pPr>
      <w:r w:rsidRPr="006D5467">
        <w:rPr>
          <w:rFonts w:asciiTheme="majorHAnsi" w:hAnsiTheme="majorHAnsi"/>
          <w:sz w:val="20"/>
          <w:szCs w:val="20"/>
        </w:rPr>
        <w:t>On September 8, 2025, the Commission transmitted the report to the State, giving it two months to report on the measures taken to comply with its recommendations. On that same date, the IACHR notified the petitioners of the approval of the report. To date, the IACHR has not received a response from Cuba regarding Report No. 199/24.</w:t>
      </w:r>
    </w:p>
    <w:p w14:paraId="7A2C9723" w14:textId="77777777" w:rsidR="00794AE9" w:rsidRPr="006D5467" w:rsidRDefault="00794AE9" w:rsidP="00794AE9">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sz w:val="20"/>
          <w:szCs w:val="20"/>
        </w:rPr>
      </w:pPr>
    </w:p>
    <w:p w14:paraId="1BAF23E3" w14:textId="1C30453C" w:rsidR="00794AE9" w:rsidRPr="006D5467" w:rsidRDefault="00794AE9" w:rsidP="00794AE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Theme="majorHAnsi" w:hAnsiTheme="majorHAnsi"/>
          <w:sz w:val="20"/>
          <w:szCs w:val="20"/>
        </w:rPr>
      </w:pPr>
      <w:r w:rsidRPr="006D5467">
        <w:rPr>
          <w:rFonts w:asciiTheme="majorHAnsi" w:hAnsiTheme="majorHAnsi"/>
          <w:sz w:val="20"/>
          <w:szCs w:val="20"/>
        </w:rPr>
        <w:t>The Commission notes that the State has not yet complied with the recommendations contained in Report No. 199/24. Among the issues of concern regarding the detention of Mr. Castillo Pérez, the IACHR has reported Mr. Castillo's lack of communication with his family in Chapter IVB on Cuba in its 2024 Annual Report. It is also concerned that Mr. Castillo was allegedly assaulted by another inmate; that he was transferred to Kilo 8 prison, where he was allegedly held incommunicado;</w:t>
      </w:r>
      <w:r w:rsidR="00A83BF0" w:rsidRPr="006D5467">
        <w:rPr>
          <w:rFonts w:ascii="Cambria" w:hAnsi="Cambria"/>
          <w:sz w:val="20"/>
          <w:szCs w:val="20"/>
          <w:vertAlign w:val="superscript"/>
        </w:rPr>
        <w:t xml:space="preserve"> </w:t>
      </w:r>
      <w:r w:rsidR="00A83BF0" w:rsidRPr="006D5467">
        <w:rPr>
          <w:rFonts w:ascii="Cambria" w:hAnsi="Cambria"/>
          <w:sz w:val="20"/>
          <w:szCs w:val="20"/>
          <w:vertAlign w:val="superscript"/>
        </w:rPr>
        <w:footnoteReference w:id="140"/>
      </w:r>
      <w:r w:rsidRPr="006D5467">
        <w:rPr>
          <w:rFonts w:asciiTheme="majorHAnsi" w:hAnsiTheme="majorHAnsi"/>
          <w:sz w:val="20"/>
          <w:szCs w:val="20"/>
        </w:rPr>
        <w:t xml:space="preserve"> and that he was </w:t>
      </w:r>
      <w:r w:rsidR="00CD1AE8" w:rsidRPr="006D5467">
        <w:rPr>
          <w:rFonts w:asciiTheme="majorHAnsi" w:hAnsiTheme="majorHAnsi"/>
          <w:sz w:val="20"/>
          <w:szCs w:val="20"/>
        </w:rPr>
        <w:t xml:space="preserve">allegedly </w:t>
      </w:r>
      <w:r w:rsidRPr="006D5467">
        <w:rPr>
          <w:rFonts w:asciiTheme="majorHAnsi" w:hAnsiTheme="majorHAnsi"/>
          <w:sz w:val="20"/>
          <w:szCs w:val="20"/>
        </w:rPr>
        <w:t>placed in a punishment cell</w:t>
      </w:r>
      <w:r w:rsidR="000B5D15" w:rsidRPr="006D5467">
        <w:rPr>
          <w:rFonts w:ascii="Cambria" w:hAnsi="Cambria"/>
          <w:sz w:val="20"/>
          <w:szCs w:val="20"/>
          <w:vertAlign w:val="superscript"/>
        </w:rPr>
        <w:footnoteReference w:id="141"/>
      </w:r>
      <w:r w:rsidRPr="006D5467">
        <w:rPr>
          <w:rFonts w:asciiTheme="majorHAnsi" w:hAnsiTheme="majorHAnsi"/>
          <w:sz w:val="20"/>
          <w:szCs w:val="20"/>
        </w:rPr>
        <w:t xml:space="preserve"> for a week after peacefully protesting against hunger, violence, and the appalling conditions in the prison by shaving his head and eyebrows.</w:t>
      </w:r>
      <w:r w:rsidR="00CA5E42" w:rsidRPr="006D5467">
        <w:rPr>
          <w:rFonts w:ascii="Cambria" w:hAnsi="Cambria"/>
          <w:sz w:val="20"/>
          <w:szCs w:val="20"/>
          <w:vertAlign w:val="superscript"/>
        </w:rPr>
        <w:t xml:space="preserve"> </w:t>
      </w:r>
      <w:r w:rsidR="00CA5E42" w:rsidRPr="006D5467">
        <w:rPr>
          <w:rFonts w:ascii="Cambria" w:hAnsi="Cambria"/>
          <w:sz w:val="20"/>
          <w:szCs w:val="20"/>
          <w:vertAlign w:val="superscript"/>
        </w:rPr>
        <w:footnoteReference w:id="142"/>
      </w:r>
      <w:r w:rsidRPr="006D5467">
        <w:rPr>
          <w:rFonts w:asciiTheme="majorHAnsi" w:hAnsiTheme="majorHAnsi"/>
          <w:sz w:val="20"/>
          <w:szCs w:val="20"/>
        </w:rPr>
        <w:t xml:space="preserve"> </w:t>
      </w:r>
    </w:p>
    <w:p w14:paraId="29006CD8" w14:textId="77777777" w:rsidR="00794AE9" w:rsidRPr="006D5467" w:rsidRDefault="00794AE9" w:rsidP="00794AE9">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sz w:val="20"/>
          <w:szCs w:val="20"/>
        </w:rPr>
      </w:pPr>
    </w:p>
    <w:p w14:paraId="105C68D9" w14:textId="4BAF4928" w:rsidR="00794AE9" w:rsidRPr="006D5467" w:rsidRDefault="00794AE9" w:rsidP="00794AE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Theme="majorHAnsi" w:hAnsiTheme="majorHAnsi"/>
          <w:sz w:val="20"/>
          <w:szCs w:val="20"/>
        </w:rPr>
      </w:pPr>
      <w:r w:rsidRPr="006D5467">
        <w:rPr>
          <w:rFonts w:asciiTheme="majorHAnsi" w:hAnsiTheme="majorHAnsi"/>
          <w:sz w:val="20"/>
          <w:szCs w:val="20"/>
        </w:rPr>
        <w:t xml:space="preserve">In view of this situation, the IACHR urges the Cuban State to comply with its recommendations; to offer the necessary guarantees for the protection of Mr. Castillo Pérez's personal integrity; and to ensure that the defender can exercise his right to demonstrate peacefully without reprisals or sanctions. </w:t>
      </w:r>
    </w:p>
    <w:p w14:paraId="442F0028" w14:textId="7B2E39E8" w:rsidR="00794AE9" w:rsidRPr="006D5467" w:rsidRDefault="00794AE9" w:rsidP="00794AE9">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sz w:val="20"/>
          <w:szCs w:val="20"/>
        </w:rPr>
      </w:pPr>
    </w:p>
    <w:p w14:paraId="5A25E8A1" w14:textId="245159C8" w:rsidR="00794AE9" w:rsidRPr="006D5467" w:rsidRDefault="00794AE9" w:rsidP="00794AE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Theme="majorHAnsi" w:hAnsiTheme="majorHAnsi"/>
          <w:sz w:val="20"/>
          <w:szCs w:val="20"/>
        </w:rPr>
      </w:pPr>
      <w:r w:rsidRPr="006D5467">
        <w:rPr>
          <w:rFonts w:asciiTheme="majorHAnsi" w:hAnsiTheme="majorHAnsi"/>
          <w:sz w:val="20"/>
          <w:szCs w:val="20"/>
        </w:rPr>
        <w:t>The Commission also recalls the third of the Principles and Best Practices on the Protection of Persons Deprived of Liberty in the Americas, which establishes that the law shall prohibit, in all circumstances, the coercive isolation of persons deprived of liberty, as it constitutes cruel and inhuman treatment</w:t>
      </w:r>
      <w:r w:rsidR="00433924" w:rsidRPr="006D5467">
        <w:rPr>
          <w:rFonts w:ascii="Cambria" w:hAnsi="Cambria"/>
          <w:sz w:val="20"/>
          <w:szCs w:val="20"/>
          <w:vertAlign w:val="superscript"/>
        </w:rPr>
        <w:footnoteReference w:id="143"/>
      </w:r>
      <w:r w:rsidRPr="006D5467">
        <w:rPr>
          <w:rFonts w:asciiTheme="majorHAnsi" w:hAnsiTheme="majorHAnsi"/>
          <w:sz w:val="20"/>
          <w:szCs w:val="20"/>
        </w:rPr>
        <w:t xml:space="preserve">. </w:t>
      </w:r>
    </w:p>
    <w:p w14:paraId="3AF46515" w14:textId="77777777" w:rsidR="00EF175E" w:rsidRPr="006D5467" w:rsidRDefault="00EF175E" w:rsidP="00EF175E">
      <w:pPr>
        <w:pStyle w:val="ListParagraph"/>
        <w:numPr>
          <w:ilvl w:val="0"/>
          <w:numId w:val="0"/>
        </w:numPr>
        <w:ind w:left="720"/>
        <w:rPr>
          <w:rFonts w:asciiTheme="majorHAnsi" w:hAnsiTheme="majorHAnsi"/>
          <w:lang w:val="en-US"/>
        </w:rPr>
      </w:pPr>
    </w:p>
    <w:p w14:paraId="4AE37256" w14:textId="498893D2" w:rsidR="00524A36" w:rsidRPr="006D5467" w:rsidRDefault="00EF175E" w:rsidP="00524A36">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Theme="majorHAnsi" w:hAnsiTheme="majorHAnsi"/>
          <w:sz w:val="20"/>
          <w:szCs w:val="20"/>
        </w:rPr>
      </w:pPr>
      <w:r w:rsidRPr="006D5467">
        <w:rPr>
          <w:rFonts w:asciiTheme="majorHAnsi" w:hAnsiTheme="majorHAnsi"/>
          <w:sz w:val="20"/>
          <w:szCs w:val="20"/>
        </w:rPr>
        <w:t>The IACHR reiterates that the State cannot criminalize human rights activities</w:t>
      </w:r>
      <w:r w:rsidR="00424426" w:rsidRPr="006D5467">
        <w:rPr>
          <w:rFonts w:asciiTheme="majorHAnsi" w:hAnsiTheme="majorHAnsi"/>
          <w:sz w:val="20"/>
          <w:szCs w:val="20"/>
        </w:rPr>
        <w:t xml:space="preserve"> </w:t>
      </w:r>
      <w:r w:rsidRPr="006D5467">
        <w:rPr>
          <w:rFonts w:asciiTheme="majorHAnsi" w:hAnsiTheme="majorHAnsi"/>
          <w:sz w:val="20"/>
          <w:szCs w:val="20"/>
        </w:rPr>
        <w:t>but must prevent and eradicate the criminalization of political dissidents and human rights defenders.</w:t>
      </w:r>
    </w:p>
    <w:p w14:paraId="0370C18D" w14:textId="77777777" w:rsidR="00524A36" w:rsidRPr="00524A36" w:rsidRDefault="00524A36" w:rsidP="00524A3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sz w:val="20"/>
          <w:szCs w:val="20"/>
        </w:rPr>
      </w:pPr>
    </w:p>
    <w:p w14:paraId="17BDEA35" w14:textId="7BC3C4BD" w:rsidR="00524A36" w:rsidRPr="001B7FBB" w:rsidRDefault="00524A36" w:rsidP="00524A36">
      <w:pPr>
        <w:pStyle w:val="Heading1"/>
      </w:pPr>
      <w:bookmarkStart w:id="36" w:name="_Toc216356777"/>
      <w:r w:rsidRPr="001B7FBB">
        <w:t>ACTIONS FOLLOWING REPORT No. 201/25</w:t>
      </w:r>
      <w:bookmarkEnd w:id="36"/>
    </w:p>
    <w:p w14:paraId="6BCEBEA1" w14:textId="77777777" w:rsidR="00524A36" w:rsidRPr="001B7FBB" w:rsidRDefault="00524A36" w:rsidP="00524A3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sz w:val="20"/>
          <w:szCs w:val="20"/>
        </w:rPr>
      </w:pPr>
    </w:p>
    <w:p w14:paraId="4838ECDB" w14:textId="370FC983" w:rsidR="00524A36" w:rsidRPr="001B7FBB" w:rsidRDefault="00524A36" w:rsidP="00524A36">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Theme="majorHAnsi" w:hAnsiTheme="majorHAnsi"/>
          <w:sz w:val="20"/>
          <w:szCs w:val="20"/>
        </w:rPr>
      </w:pPr>
      <w:r w:rsidRPr="001B7FBB">
        <w:rPr>
          <w:rFonts w:asciiTheme="majorHAnsi" w:hAnsiTheme="majorHAnsi"/>
          <w:sz w:val="20"/>
          <w:szCs w:val="20"/>
        </w:rPr>
        <w:t xml:space="preserve">On October 22, 2025, the Commission approved </w:t>
      </w:r>
      <w:r w:rsidR="00816626" w:rsidRPr="001B7FBB">
        <w:rPr>
          <w:rFonts w:asciiTheme="majorHAnsi" w:hAnsiTheme="majorHAnsi"/>
          <w:sz w:val="20"/>
          <w:szCs w:val="20"/>
        </w:rPr>
        <w:t xml:space="preserve">Admissibility and </w:t>
      </w:r>
      <w:r w:rsidRPr="001B7FBB">
        <w:rPr>
          <w:rFonts w:asciiTheme="majorHAnsi" w:hAnsiTheme="majorHAnsi"/>
          <w:sz w:val="20"/>
          <w:szCs w:val="20"/>
        </w:rPr>
        <w:t>Merits Report</w:t>
      </w:r>
      <w:r w:rsidR="006D44A2" w:rsidRPr="001B7FBB">
        <w:rPr>
          <w:rFonts w:asciiTheme="majorHAnsi" w:hAnsiTheme="majorHAnsi"/>
          <w:sz w:val="20"/>
          <w:szCs w:val="20"/>
        </w:rPr>
        <w:t xml:space="preserve"> (Final)</w:t>
      </w:r>
      <w:r w:rsidRPr="001B7FBB">
        <w:rPr>
          <w:rFonts w:asciiTheme="majorHAnsi" w:hAnsiTheme="majorHAnsi"/>
          <w:sz w:val="20"/>
          <w:szCs w:val="20"/>
        </w:rPr>
        <w:t xml:space="preserve"> No. 201/25, covering paragraphs 1 through 105 above, and issued its final conclusions and recommendations to the State. On October 24, 2025, the Commission transmitted the report to the State, giving it three weeks to inform the Inter-American Commission of the measures taken to comply with its recommendations. To date, the IACHR has not received a response from Cuba regarding Report 201/25.</w:t>
      </w:r>
    </w:p>
    <w:p w14:paraId="0180B659" w14:textId="77777777" w:rsidR="00A9770A" w:rsidRPr="001B7FBB" w:rsidRDefault="00A9770A" w:rsidP="00A9770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sz w:val="20"/>
          <w:szCs w:val="20"/>
        </w:rPr>
      </w:pPr>
    </w:p>
    <w:p w14:paraId="62037361" w14:textId="3E149C53" w:rsidR="00A9770A" w:rsidRPr="001B7FBB" w:rsidRDefault="00A9770A" w:rsidP="00524A36">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Theme="majorHAnsi" w:hAnsiTheme="majorHAnsi"/>
          <w:sz w:val="20"/>
          <w:szCs w:val="20"/>
        </w:rPr>
      </w:pPr>
      <w:r w:rsidRPr="001B7FBB">
        <w:rPr>
          <w:rFonts w:asciiTheme="majorHAnsi" w:hAnsiTheme="majorHAnsi"/>
          <w:sz w:val="20"/>
          <w:szCs w:val="20"/>
        </w:rPr>
        <w:t>On November 17</w:t>
      </w:r>
      <w:r w:rsidR="008265BE" w:rsidRPr="001B7FBB">
        <w:rPr>
          <w:rFonts w:asciiTheme="majorHAnsi" w:hAnsiTheme="majorHAnsi"/>
          <w:sz w:val="20"/>
          <w:szCs w:val="20"/>
        </w:rPr>
        <w:t>, 2025</w:t>
      </w:r>
      <w:r w:rsidRPr="001B7FBB">
        <w:rPr>
          <w:rFonts w:asciiTheme="majorHAnsi" w:hAnsiTheme="majorHAnsi"/>
          <w:sz w:val="20"/>
          <w:szCs w:val="20"/>
        </w:rPr>
        <w:t>, the petitioners requested the publication of the report.</w:t>
      </w:r>
    </w:p>
    <w:p w14:paraId="7F21FA6B" w14:textId="77777777" w:rsidR="0097384D" w:rsidRPr="001B7FBB" w:rsidRDefault="0097384D" w:rsidP="00C91638">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sz w:val="20"/>
          <w:szCs w:val="20"/>
        </w:rPr>
      </w:pPr>
    </w:p>
    <w:p w14:paraId="35727419" w14:textId="4D6E47D2" w:rsidR="00BF7D80" w:rsidRPr="001B7FBB" w:rsidRDefault="0097384D" w:rsidP="00D16E19">
      <w:pPr>
        <w:pStyle w:val="Heading1"/>
        <w:rPr>
          <w:lang w:val="es-ES"/>
        </w:rPr>
      </w:pPr>
      <w:bookmarkStart w:id="37" w:name="_Toc216356778"/>
      <w:r w:rsidRPr="001B7FBB">
        <w:t xml:space="preserve">FINAL </w:t>
      </w:r>
      <w:r w:rsidR="00BF7D80" w:rsidRPr="001B7FBB">
        <w:t>CONCLUSIONS AND RECOMMENDATIONS</w:t>
      </w:r>
      <w:bookmarkEnd w:id="37"/>
      <w:r w:rsidR="00BF7D80" w:rsidRPr="001B7FBB">
        <w:t xml:space="preserve"> </w:t>
      </w:r>
    </w:p>
    <w:p w14:paraId="02DCB3DC" w14:textId="77777777" w:rsidR="00BF7D80" w:rsidRPr="001B7FBB" w:rsidRDefault="00BF7D80" w:rsidP="00C91638">
      <w:pPr>
        <w:tabs>
          <w:tab w:val="left" w:pos="360"/>
        </w:tabs>
        <w:suppressAutoHyphens/>
        <w:rPr>
          <w:rFonts w:asciiTheme="majorHAnsi" w:hAnsiTheme="majorHAnsi"/>
          <w:b/>
          <w:sz w:val="20"/>
          <w:szCs w:val="20"/>
          <w:lang w:val="es-ES"/>
        </w:rPr>
      </w:pPr>
    </w:p>
    <w:p w14:paraId="67ECAB0D" w14:textId="55AD8592" w:rsidR="00BF7D80" w:rsidRPr="001B7FBB" w:rsidRDefault="00BF7D80" w:rsidP="00B82A2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Theme="majorHAnsi" w:hAnsiTheme="majorHAnsi"/>
          <w:sz w:val="20"/>
          <w:szCs w:val="20"/>
        </w:rPr>
      </w:pPr>
      <w:bookmarkStart w:id="38" w:name="_Hlk172884949"/>
      <w:r w:rsidRPr="001B7FBB">
        <w:rPr>
          <w:rFonts w:asciiTheme="majorHAnsi" w:hAnsiTheme="majorHAnsi"/>
          <w:sz w:val="20"/>
          <w:szCs w:val="20"/>
        </w:rPr>
        <w:t xml:space="preserve">Based on the findings of fact and law in this report, the Inter-American Commission concludes that the State is responsible for the violation of the rights to life, liberty, security, and integrity of the person; freedom of research, opinion, expression and dissemination; to participate in the cultural life of the community; partnership; personal freedom; to a regular process; and to justice, established in Articles I, IV, XIII, XXII, XXV, XXVI, and XVIII of the American Declaration to the detriment of Mr. Maykel Castillo Pérez.  </w:t>
      </w:r>
    </w:p>
    <w:bookmarkEnd w:id="38"/>
    <w:p w14:paraId="16123025" w14:textId="77777777" w:rsidR="00BF1791" w:rsidRPr="001B7FBB" w:rsidRDefault="00BF1791" w:rsidP="00BF179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sz w:val="20"/>
          <w:szCs w:val="20"/>
        </w:rPr>
      </w:pPr>
    </w:p>
    <w:p w14:paraId="0F877AAE" w14:textId="77777777" w:rsidR="00BF7D80" w:rsidRPr="001B7FBB" w:rsidRDefault="00BF7D80" w:rsidP="00BF7D80">
      <w:pPr>
        <w:tabs>
          <w:tab w:val="left" w:pos="360"/>
        </w:tabs>
        <w:jc w:val="center"/>
        <w:rPr>
          <w:rFonts w:ascii="Cambria" w:hAnsi="Cambria"/>
          <w:b/>
          <w:sz w:val="20"/>
          <w:szCs w:val="20"/>
        </w:rPr>
      </w:pPr>
      <w:r w:rsidRPr="001B7FBB">
        <w:rPr>
          <w:rFonts w:ascii="Cambria" w:hAnsi="Cambria"/>
          <w:b/>
          <w:sz w:val="20"/>
          <w:szCs w:val="20"/>
        </w:rPr>
        <w:t>THE INTER-AMERICAN COMMISSION ON HUMAN RIGHTS</w:t>
      </w:r>
    </w:p>
    <w:p w14:paraId="5B7A2C2B" w14:textId="5C2DBF57" w:rsidR="00BF7D80" w:rsidRPr="001B7FBB" w:rsidRDefault="00BF7D80" w:rsidP="00BF7D80">
      <w:pPr>
        <w:tabs>
          <w:tab w:val="left" w:pos="360"/>
        </w:tabs>
        <w:jc w:val="center"/>
        <w:rPr>
          <w:rFonts w:ascii="Cambria" w:hAnsi="Cambria"/>
          <w:b/>
          <w:sz w:val="20"/>
          <w:szCs w:val="20"/>
        </w:rPr>
      </w:pPr>
      <w:r w:rsidRPr="001B7FBB">
        <w:rPr>
          <w:rFonts w:ascii="Cambria" w:hAnsi="Cambria"/>
          <w:b/>
          <w:sz w:val="20"/>
          <w:szCs w:val="20"/>
        </w:rPr>
        <w:t>RE</w:t>
      </w:r>
      <w:r w:rsidR="0097384D" w:rsidRPr="001B7FBB">
        <w:rPr>
          <w:rFonts w:ascii="Cambria" w:hAnsi="Cambria"/>
          <w:b/>
          <w:sz w:val="20"/>
          <w:szCs w:val="20"/>
        </w:rPr>
        <w:t>ITERATES</w:t>
      </w:r>
      <w:r w:rsidRPr="001B7FBB">
        <w:rPr>
          <w:rFonts w:ascii="Cambria" w:hAnsi="Cambria"/>
          <w:b/>
          <w:sz w:val="20"/>
          <w:szCs w:val="20"/>
        </w:rPr>
        <w:t xml:space="preserve"> TO THE STATE OF CUBA,</w:t>
      </w:r>
    </w:p>
    <w:p w14:paraId="78FD47FB" w14:textId="7239ACE5" w:rsidR="00BF7D80" w:rsidRPr="001B7FBB" w:rsidRDefault="00BF7D80" w:rsidP="00BF7D8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Helvetica" w:eastAsia="Times New Roman" w:hAnsi="Helvetica"/>
          <w:i/>
          <w:iCs/>
          <w:sz w:val="20"/>
          <w:szCs w:val="20"/>
          <w:bdr w:val="none" w:sz="0" w:space="0" w:color="auto"/>
        </w:rPr>
      </w:pPr>
    </w:p>
    <w:p w14:paraId="184EE233" w14:textId="77777777" w:rsidR="00BF7D80" w:rsidRPr="001B7FBB" w:rsidRDefault="00BF7D80" w:rsidP="00A131F3">
      <w:pPr>
        <w:pStyle w:val="ListParagraph"/>
        <w:numPr>
          <w:ilvl w:val="0"/>
          <w:numId w:val="68"/>
        </w:numPr>
        <w:rPr>
          <w:lang w:val="en-US"/>
        </w:rPr>
      </w:pPr>
      <w:bookmarkStart w:id="39" w:name="_Hlk172884974"/>
      <w:r w:rsidRPr="001B7FBB">
        <w:rPr>
          <w:bdr w:val="none" w:sz="0" w:space="0" w:color="auto"/>
          <w:lang w:val="en-US"/>
        </w:rPr>
        <w:t xml:space="preserve">To make full reparation for the human rights violations declared in this report, both in their material and non-material aspects. The State must adopt measures of economic compensation and satisfaction. </w:t>
      </w:r>
    </w:p>
    <w:p w14:paraId="25486D82" w14:textId="77777777" w:rsidR="00BF7D80" w:rsidRPr="001B7FBB" w:rsidRDefault="00BF7D80" w:rsidP="005552AB">
      <w:pPr>
        <w:tabs>
          <w:tab w:val="left" w:pos="360"/>
        </w:tabs>
        <w:ind w:hanging="360"/>
        <w:rPr>
          <w:sz w:val="20"/>
          <w:szCs w:val="20"/>
          <w:bdr w:val="none" w:sz="0" w:space="0" w:color="auto"/>
        </w:rPr>
      </w:pPr>
    </w:p>
    <w:p w14:paraId="669DE9CB" w14:textId="7CB3BD4D" w:rsidR="00BF7D80" w:rsidRPr="001B7FBB" w:rsidRDefault="00BF7D80" w:rsidP="00D16E19">
      <w:pPr>
        <w:pStyle w:val="ListParagraph"/>
        <w:rPr>
          <w:lang w:val="en-US"/>
        </w:rPr>
      </w:pPr>
      <w:r w:rsidRPr="001B7FBB">
        <w:rPr>
          <w:bdr w:val="none" w:sz="0" w:space="0" w:color="auto"/>
          <w:lang w:val="en-US"/>
        </w:rPr>
        <w:t>To provide the necessary physical and mental health care measures for the rehabilitation of Maykel Castillo Pérez, if it is its will and in a concerted manner.</w:t>
      </w:r>
    </w:p>
    <w:p w14:paraId="51D4EC7A" w14:textId="77777777" w:rsidR="00BF7D80" w:rsidRPr="001B7FBB" w:rsidRDefault="00BF7D80" w:rsidP="005E7A0B">
      <w:pPr>
        <w:ind w:left="720"/>
        <w:rPr>
          <w:bdr w:val="none" w:sz="0" w:space="0" w:color="auto"/>
        </w:rPr>
      </w:pPr>
    </w:p>
    <w:p w14:paraId="3E708EF4" w14:textId="7086EBB2" w:rsidR="003D61B7" w:rsidRPr="001B7FBB" w:rsidRDefault="003D61B7" w:rsidP="00D16E19">
      <w:pPr>
        <w:pStyle w:val="ListParagraph"/>
        <w:rPr>
          <w:lang w:val="en-US"/>
        </w:rPr>
      </w:pPr>
      <w:r w:rsidRPr="001B7FBB">
        <w:rPr>
          <w:bdr w:val="none" w:sz="0" w:space="0" w:color="auto"/>
          <w:lang w:val="en-US"/>
        </w:rPr>
        <w:t>Immediately</w:t>
      </w:r>
      <w:r w:rsidRPr="001B7FBB">
        <w:rPr>
          <w:lang w:val="en-US"/>
        </w:rPr>
        <w:t xml:space="preserve"> cease all types of persecution against Maykel Castillo Pérez, in particular, acts of harassment, harassment, attacks, and arbitrary police summonses, guaranteeing that the artist can carry out his work without fear of intimidation or reprisals, and without undue restrictions on the rights analyzed in this report.</w:t>
      </w:r>
    </w:p>
    <w:p w14:paraId="0B3C8F38" w14:textId="77777777" w:rsidR="003D61B7" w:rsidRPr="001B7FBB" w:rsidRDefault="003D61B7" w:rsidP="005552AB">
      <w:pPr>
        <w:rPr>
          <w:bdr w:val="none" w:sz="0" w:space="0" w:color="auto"/>
        </w:rPr>
      </w:pPr>
    </w:p>
    <w:p w14:paraId="595D917D" w14:textId="53BE902E" w:rsidR="003D61B7" w:rsidRPr="001B7FBB" w:rsidRDefault="003D61B7" w:rsidP="00D16E19">
      <w:pPr>
        <w:pStyle w:val="ListParagraph"/>
        <w:rPr>
          <w:lang w:val="en-US"/>
        </w:rPr>
      </w:pPr>
      <w:r w:rsidRPr="001B7FBB">
        <w:rPr>
          <w:lang w:val="en-US"/>
        </w:rPr>
        <w:t xml:space="preserve">To </w:t>
      </w:r>
      <w:r w:rsidRPr="001B7FBB">
        <w:rPr>
          <w:bdr w:val="none" w:sz="0" w:space="0" w:color="auto"/>
          <w:lang w:val="en-US"/>
        </w:rPr>
        <w:t>carry</w:t>
      </w:r>
      <w:r w:rsidRPr="001B7FBB">
        <w:rPr>
          <w:lang w:val="en-US"/>
        </w:rPr>
        <w:t xml:space="preserve"> out criminal, disciplinary, or other investigations that will clarify and determine the corresponding responsibilities for the violations identified in this report committed to the detriment of Maykel Castillo Pérez.</w:t>
      </w:r>
    </w:p>
    <w:p w14:paraId="690E5AB9" w14:textId="77777777" w:rsidR="00BF7D80" w:rsidRPr="001B7FBB" w:rsidRDefault="00BF7D80" w:rsidP="005E7A0B">
      <w:pPr>
        <w:ind w:left="720"/>
        <w:rPr>
          <w:bdr w:val="none" w:sz="0" w:space="0" w:color="auto"/>
        </w:rPr>
      </w:pPr>
    </w:p>
    <w:p w14:paraId="1A1CA51C" w14:textId="2A67BEE9" w:rsidR="00BF7D80" w:rsidRPr="001B7FBB" w:rsidRDefault="00BF7D80" w:rsidP="00D16E19">
      <w:pPr>
        <w:pStyle w:val="ListParagraph"/>
        <w:rPr>
          <w:lang w:val="en-US"/>
        </w:rPr>
      </w:pPr>
      <w:r w:rsidRPr="001B7FBB">
        <w:rPr>
          <w:bdr w:val="none" w:sz="0" w:space="0" w:color="auto"/>
          <w:lang w:val="en-US"/>
        </w:rPr>
        <w:t xml:space="preserve">Promote mechanisms of non-repetition that include: </w:t>
      </w:r>
      <w:r w:rsidR="00ED2F83" w:rsidRPr="001B7FBB">
        <w:rPr>
          <w:bdr w:val="none" w:sz="0" w:space="0" w:color="auto"/>
          <w:lang w:val="en-US"/>
        </w:rPr>
        <w:t>(</w:t>
      </w:r>
      <w:r w:rsidRPr="001B7FBB">
        <w:rPr>
          <w:bdr w:val="none" w:sz="0" w:space="0" w:color="auto"/>
          <w:lang w:val="en-US"/>
        </w:rPr>
        <w:t xml:space="preserve">i) adopting measures to strengthen the capacity to investigate acts of violence against human rights defenders in accordance with inter-American standards; </w:t>
      </w:r>
      <w:r w:rsidR="00ED2F83" w:rsidRPr="001B7FBB">
        <w:rPr>
          <w:bdr w:val="none" w:sz="0" w:space="0" w:color="auto"/>
          <w:lang w:val="en-US"/>
        </w:rPr>
        <w:t>(</w:t>
      </w:r>
      <w:r w:rsidRPr="001B7FBB">
        <w:rPr>
          <w:bdr w:val="none" w:sz="0" w:space="0" w:color="auto"/>
          <w:lang w:val="en-US"/>
        </w:rPr>
        <w:t xml:space="preserve">ii) adopt legislative, administrative or other measures to carry out an adequate diagnosis of the context of violence faced by human rights defenders in Cuba, including the collection of disaggregated and systematic data on its prevalence, and provide a comprehensive policy for its prevention and effective eradication, addressing its structural causes; </w:t>
      </w:r>
      <w:r w:rsidR="00ED2F83" w:rsidRPr="001B7FBB">
        <w:rPr>
          <w:bdr w:val="none" w:sz="0" w:space="0" w:color="auto"/>
          <w:lang w:val="en-US"/>
        </w:rPr>
        <w:t>(</w:t>
      </w:r>
      <w:r w:rsidRPr="001B7FBB">
        <w:rPr>
          <w:bdr w:val="none" w:sz="0" w:space="0" w:color="auto"/>
          <w:lang w:val="en-US"/>
        </w:rPr>
        <w:t xml:space="preserve">iii) design training, awareness-raising, and training programs for State security forces on the inter-American human rights system, including the protection and prevention of violence against human rights defenders; and </w:t>
      </w:r>
      <w:r w:rsidR="00ED2F83" w:rsidRPr="001B7FBB">
        <w:rPr>
          <w:bdr w:val="none" w:sz="0" w:space="0" w:color="auto"/>
          <w:lang w:val="en-US"/>
        </w:rPr>
        <w:t>(</w:t>
      </w:r>
      <w:r w:rsidRPr="001B7FBB">
        <w:rPr>
          <w:bdr w:val="none" w:sz="0" w:space="0" w:color="auto"/>
          <w:lang w:val="en-US"/>
        </w:rPr>
        <w:t xml:space="preserve">iv) prevent and eradicate the criminalization of those who exercise the right to freedom of expression and association, including political dissidents and human rights defenders; </w:t>
      </w:r>
      <w:r w:rsidR="00ED2F83" w:rsidRPr="001B7FBB">
        <w:rPr>
          <w:bdr w:val="none" w:sz="0" w:space="0" w:color="auto"/>
          <w:lang w:val="en-US"/>
        </w:rPr>
        <w:t>(</w:t>
      </w:r>
      <w:r w:rsidRPr="001B7FBB">
        <w:rPr>
          <w:bdr w:val="none" w:sz="0" w:space="0" w:color="auto"/>
          <w:lang w:val="en-US"/>
        </w:rPr>
        <w:t xml:space="preserve">v) ensure that human rights defenders are able to carry out their work without fear of intimidation or reprisals, and without undue restrictions; and </w:t>
      </w:r>
      <w:r w:rsidR="00ED2F83" w:rsidRPr="001B7FBB">
        <w:rPr>
          <w:bdr w:val="none" w:sz="0" w:space="0" w:color="auto"/>
          <w:lang w:val="en-US"/>
        </w:rPr>
        <w:t>(</w:t>
      </w:r>
      <w:r w:rsidRPr="001B7FBB">
        <w:rPr>
          <w:bdr w:val="none" w:sz="0" w:space="0" w:color="auto"/>
          <w:lang w:val="en-US"/>
        </w:rPr>
        <w:t>vi) bring laws, procedures, and practices into line with international human rights standards on due process and access to justice.</w:t>
      </w:r>
      <w:bookmarkEnd w:id="39"/>
    </w:p>
    <w:p w14:paraId="741D7B66" w14:textId="77777777" w:rsidR="003647B1" w:rsidRPr="001B7FBB" w:rsidRDefault="003647B1" w:rsidP="00BE683B">
      <w:pPr>
        <w:pStyle w:val="Heading1"/>
        <w:numPr>
          <w:ilvl w:val="0"/>
          <w:numId w:val="0"/>
        </w:numPr>
        <w:rPr>
          <w:lang w:val="en-US"/>
        </w:rPr>
      </w:pPr>
    </w:p>
    <w:p w14:paraId="2A13DD0F" w14:textId="06EF49C5" w:rsidR="003647B1" w:rsidRPr="001B7FBB" w:rsidRDefault="003647B1" w:rsidP="00BE683B">
      <w:pPr>
        <w:pStyle w:val="Heading1"/>
      </w:pPr>
      <w:bookmarkStart w:id="40" w:name="_Toc216356779"/>
      <w:r w:rsidRPr="001B7FBB">
        <w:t>PUBLICATION</w:t>
      </w:r>
      <w:bookmarkEnd w:id="40"/>
    </w:p>
    <w:p w14:paraId="57145C98" w14:textId="77777777" w:rsidR="003647B1" w:rsidRPr="001B7FBB" w:rsidRDefault="003647B1" w:rsidP="003647B1">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rPr>
      </w:pPr>
    </w:p>
    <w:p w14:paraId="03ECA913" w14:textId="07ED5FD6" w:rsidR="003647B1" w:rsidRDefault="003647B1" w:rsidP="00BE683B">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rPr>
      </w:pPr>
      <w:r w:rsidRPr="001B7FBB">
        <w:rPr>
          <w:rFonts w:ascii="Cambria" w:hAnsi="Cambria"/>
          <w:sz w:val="20"/>
          <w:szCs w:val="20"/>
        </w:rPr>
        <w:t>In view of the foregoing and in accordance with Article 47.3 of its Rules of Procedure, the IACHR decides to make this report public and to include it in its Annual Report to the General Assembly of the Organization of American States. The Inter-American Commission, in accordance with the rules contained in the instruments governing its mandate, will continue to evaluate the measures adopted by Cuba with respect to the aforementioned recommendations until it determines that they have been fully complied with.</w:t>
      </w:r>
    </w:p>
    <w:p w14:paraId="6326A0BC" w14:textId="77777777" w:rsidR="001B7FBB" w:rsidRDefault="001B7FBB" w:rsidP="001B7FB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rPr>
      </w:pPr>
    </w:p>
    <w:p w14:paraId="011E799E" w14:textId="399D13B9" w:rsidR="000F5F8A" w:rsidRPr="000F5F8A" w:rsidRDefault="00193094" w:rsidP="00193094">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rPr>
      </w:pPr>
      <w:r>
        <w:rPr>
          <w:rFonts w:ascii="Cambria" w:hAnsi="Cambria"/>
          <w:sz w:val="20"/>
          <w:szCs w:val="20"/>
        </w:rPr>
        <w:tab/>
      </w:r>
      <w:r w:rsidR="000F5F8A" w:rsidRPr="000F5F8A">
        <w:rPr>
          <w:rFonts w:ascii="Cambria" w:hAnsi="Cambria"/>
          <w:sz w:val="20"/>
          <w:szCs w:val="20"/>
        </w:rPr>
        <w:t xml:space="preserve">Approved by the Inter-American Commission on Human Rights on </w:t>
      </w:r>
      <w:r>
        <w:rPr>
          <w:rFonts w:ascii="Cambria" w:hAnsi="Cambria"/>
          <w:sz w:val="20"/>
          <w:szCs w:val="20"/>
        </w:rPr>
        <w:t>December 3</w:t>
      </w:r>
      <w:r w:rsidR="000F5F8A" w:rsidRPr="000F5F8A">
        <w:rPr>
          <w:rFonts w:ascii="Cambria" w:hAnsi="Cambria"/>
          <w:sz w:val="20"/>
          <w:szCs w:val="20"/>
        </w:rPr>
        <w:t>, 2025. (Signed): José Luis Caballero Ochoa, President; Andrea Pochak, First Vice President; Edgar Stuardo Ralón Orellana, Second Vice President; Roberta Clarke; Carlos Bernal Pulido and Gloria Monique de Mees, Members of the Commission.</w:t>
      </w:r>
    </w:p>
    <w:p w14:paraId="51F9C8B7" w14:textId="0AAAC697" w:rsidR="001B7FBB" w:rsidRPr="001B7FBB" w:rsidRDefault="001B7FBB" w:rsidP="000F5F8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rPr>
      </w:pPr>
    </w:p>
    <w:sectPr w:rsidR="001B7FBB" w:rsidRPr="001B7FBB" w:rsidSect="00934A2C">
      <w:headerReference w:type="first" r:id="rId18"/>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E59A7" w14:textId="77777777" w:rsidR="00187D33" w:rsidRDefault="00187D33">
      <w:r>
        <w:separator/>
      </w:r>
    </w:p>
  </w:endnote>
  <w:endnote w:type="continuationSeparator" w:id="0">
    <w:p w14:paraId="2DC3B749" w14:textId="77777777" w:rsidR="00187D33" w:rsidRDefault="00187D33">
      <w:r>
        <w:continuationSeparator/>
      </w:r>
    </w:p>
  </w:endnote>
  <w:endnote w:type="continuationNotice" w:id="1">
    <w:p w14:paraId="6CD79640" w14:textId="77777777" w:rsidR="00187D33" w:rsidRDefault="00187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ay Devanagari">
    <w:altName w:val="Times New Roman"/>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294112"/>
      <w:docPartObj>
        <w:docPartGallery w:val="Page Numbers (Bottom of Page)"/>
        <w:docPartUnique/>
      </w:docPartObj>
    </w:sdtPr>
    <w:sdtEndPr>
      <w:rPr>
        <w:noProof/>
        <w:sz w:val="16"/>
        <w:szCs w:val="22"/>
      </w:rPr>
    </w:sdtEndPr>
    <w:sdtContent>
      <w:p w14:paraId="606C6533"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D515D5">
          <w:rPr>
            <w:noProof/>
            <w:sz w:val="16"/>
            <w:szCs w:val="22"/>
          </w:rPr>
          <w:t>4</w:t>
        </w:r>
        <w:r w:rsidRPr="00934A2C">
          <w:rPr>
            <w:noProof/>
            <w:sz w:val="16"/>
            <w:szCs w:val="22"/>
          </w:rPr>
          <w:fldChar w:fldCharType="end"/>
        </w:r>
      </w:p>
    </w:sdtContent>
  </w:sdt>
  <w:p w14:paraId="39733074"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B328" w14:textId="77777777" w:rsidR="0070697F" w:rsidRPr="00934A2C" w:rsidRDefault="0070697F">
    <w:pPr>
      <w:pStyle w:val="Footer"/>
      <w:jc w:val="center"/>
      <w:rPr>
        <w:sz w:val="16"/>
        <w:szCs w:val="22"/>
      </w:rPr>
    </w:pPr>
  </w:p>
  <w:p w14:paraId="1D97EE6F"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393E1" w14:textId="77777777" w:rsidR="00187D33" w:rsidRPr="000F35ED" w:rsidRDefault="00187D33">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79575BD5" w14:textId="77777777" w:rsidR="00187D33" w:rsidRPr="000F35ED" w:rsidRDefault="00187D33" w:rsidP="000F35ED">
      <w:pPr>
        <w:rPr>
          <w:rFonts w:asciiTheme="majorHAnsi" w:hAnsiTheme="majorHAnsi"/>
          <w:sz w:val="16"/>
          <w:szCs w:val="16"/>
        </w:rPr>
      </w:pPr>
      <w:r w:rsidRPr="000F35ED">
        <w:rPr>
          <w:rFonts w:asciiTheme="majorHAnsi" w:hAnsiTheme="majorHAnsi"/>
          <w:sz w:val="16"/>
          <w:szCs w:val="16"/>
        </w:rPr>
        <w:separator/>
      </w:r>
    </w:p>
    <w:p w14:paraId="276AECCC" w14:textId="77777777" w:rsidR="00187D33" w:rsidRPr="000F35ED" w:rsidRDefault="00187D33" w:rsidP="000F35ED">
      <w:pPr>
        <w:pStyle w:val="Footer"/>
        <w:rPr>
          <w:rFonts w:asciiTheme="majorHAnsi" w:hAnsiTheme="majorHAnsi"/>
          <w:sz w:val="16"/>
          <w:szCs w:val="16"/>
        </w:rPr>
      </w:pPr>
      <w:r>
        <w:rPr>
          <w:rFonts w:asciiTheme="majorHAnsi" w:hAnsiTheme="majorHAnsi"/>
          <w:sz w:val="16"/>
          <w:szCs w:val="16"/>
        </w:rPr>
        <w:t>[… continued]</w:t>
      </w:r>
    </w:p>
  </w:footnote>
  <w:footnote w:type="continuationNotice" w:id="1">
    <w:p w14:paraId="5F6510D9" w14:textId="77777777" w:rsidR="00187D33" w:rsidRPr="000F35ED" w:rsidRDefault="00187D33" w:rsidP="000F35ED">
      <w:pPr>
        <w:jc w:val="right"/>
        <w:rPr>
          <w:rFonts w:asciiTheme="majorHAnsi" w:hAnsiTheme="majorHAnsi"/>
          <w:sz w:val="16"/>
          <w:szCs w:val="16"/>
          <w:lang w:val="es-ES"/>
        </w:rPr>
      </w:pPr>
      <w:r>
        <w:rPr>
          <w:rFonts w:asciiTheme="majorHAnsi" w:hAnsiTheme="majorHAnsi"/>
          <w:sz w:val="16"/>
          <w:szCs w:val="16"/>
        </w:rPr>
        <w:t>[continues...]</w:t>
      </w:r>
    </w:p>
  </w:footnote>
  <w:footnote w:id="2">
    <w:p w14:paraId="2B1982CB" w14:textId="7BF13FD5" w:rsidR="008D4242" w:rsidRPr="00F66E08" w:rsidRDefault="008D4242" w:rsidP="005A1DC2">
      <w:pPr>
        <w:pStyle w:val="FootnoteText"/>
      </w:pPr>
      <w:r w:rsidRPr="005A1DC2">
        <w:rPr>
          <w:rStyle w:val="FootnoteReference"/>
        </w:rPr>
        <w:footnoteRef/>
      </w:r>
      <w:r w:rsidRPr="005A1DC2">
        <w:t xml:space="preserve"> The grounds for which the Resolution was applied correspond to the following criterion: "Petitions in which there is no response from the State concerned at the admissibility stage."</w:t>
      </w:r>
    </w:p>
  </w:footnote>
  <w:footnote w:id="3">
    <w:p w14:paraId="6BD4CD7A" w14:textId="77777777" w:rsidR="00ED6D2F" w:rsidRPr="00F66E08" w:rsidRDefault="00ED6D2F" w:rsidP="005A1DC2">
      <w:pPr>
        <w:pStyle w:val="FootnoteText"/>
        <w:rPr>
          <w:color w:val="auto"/>
        </w:rPr>
      </w:pPr>
      <w:r w:rsidRPr="005A1DC2">
        <w:rPr>
          <w:rStyle w:val="FootnoteReference"/>
          <w:color w:val="auto"/>
        </w:rPr>
        <w:footnoteRef/>
      </w:r>
      <w:r w:rsidRPr="005A1DC2">
        <w:rPr>
          <w:color w:val="auto"/>
        </w:rPr>
        <w:t xml:space="preserve"> IACHR. Report No. 71/16. Petition 765-09. Admissibility. Q'oq'ob community of the Municipality of Santa María Nebaj. Guatemala. December 6, 2016, paragraph 27; IACHR. Report No. 77/20. Petition 1756-10. Inadmissibility. Ismael Estrada. United States of America. March 25, 2020, para. 8.</w:t>
      </w:r>
    </w:p>
  </w:footnote>
  <w:footnote w:id="4">
    <w:p w14:paraId="5878C3BB" w14:textId="085A6DDB" w:rsidR="00ED6D2F" w:rsidRPr="00F66E08" w:rsidRDefault="00ED6D2F" w:rsidP="005A1DC2">
      <w:pPr>
        <w:pStyle w:val="FootnoteText"/>
        <w:rPr>
          <w:color w:val="auto"/>
        </w:rPr>
      </w:pPr>
      <w:r w:rsidRPr="005A1DC2">
        <w:rPr>
          <w:rStyle w:val="FootnoteReference"/>
          <w:color w:val="auto"/>
        </w:rPr>
        <w:footnoteRef/>
      </w:r>
      <w:r w:rsidRPr="005A1DC2">
        <w:rPr>
          <w:color w:val="auto"/>
        </w:rPr>
        <w:t xml:space="preserve"> IACHR, Report No. 297/21. Case 13.639. Admissibility and Merits (Publication). Yoani María Sánchez Cordero. Cuba. October 30, 2021; Report No. 67/06, Case 12.476, Merits, </w:t>
      </w:r>
      <w:r w:rsidRPr="005A1DC2">
        <w:rPr>
          <w:i/>
          <w:color w:val="auto"/>
        </w:rPr>
        <w:t>Oscar Elías Biscet et al. v. Cuba</w:t>
      </w:r>
      <w:r w:rsidRPr="005A1DC2">
        <w:rPr>
          <w:color w:val="auto"/>
        </w:rPr>
        <w:t xml:space="preserve">, October 21, 2006; Report No. 27/18, Case No. 12.127. Bottom. Vladimiro Roca Antúnez and Others. Cuba. February 24, 2018; and Country Report 2020, Cuba. Situation of Human Rights in Cuba. </w:t>
      </w:r>
    </w:p>
  </w:footnote>
  <w:footnote w:id="5">
    <w:p w14:paraId="2BF9B0C8" w14:textId="77777777" w:rsidR="00ED6D2F" w:rsidRPr="00F66E08" w:rsidRDefault="00ED6D2F" w:rsidP="005A1DC2">
      <w:pPr>
        <w:pStyle w:val="FootnoteText"/>
        <w:rPr>
          <w:color w:val="auto"/>
        </w:rPr>
      </w:pPr>
      <w:r w:rsidRPr="005A1DC2">
        <w:rPr>
          <w:rStyle w:val="FootnoteReference"/>
          <w:color w:val="auto"/>
        </w:rPr>
        <w:footnoteRef/>
      </w:r>
      <w:r w:rsidRPr="005A1DC2">
        <w:rPr>
          <w:color w:val="auto"/>
        </w:rPr>
        <w:t xml:space="preserve"> IACHR. Country Report 2020, Cuba. Situation of Human Rights in Cuba. Paragraph 25. </w:t>
      </w:r>
    </w:p>
  </w:footnote>
  <w:footnote w:id="6">
    <w:p w14:paraId="24FFA5F3" w14:textId="77777777" w:rsidR="00ED6D2F" w:rsidRPr="00F66E08" w:rsidRDefault="00ED6D2F" w:rsidP="005A1DC2">
      <w:pPr>
        <w:pStyle w:val="FootnoteText"/>
        <w:rPr>
          <w:color w:val="auto"/>
        </w:rPr>
      </w:pPr>
      <w:r w:rsidRPr="005A1DC2">
        <w:rPr>
          <w:rStyle w:val="FootnoteReference"/>
          <w:color w:val="auto"/>
        </w:rPr>
        <w:footnoteRef/>
      </w:r>
      <w:r w:rsidRPr="005A1DC2">
        <w:rPr>
          <w:color w:val="auto"/>
        </w:rPr>
        <w:t xml:space="preserve"> IACHR, 2018 Annual Report, Chapter IV.B, "Cuba," para. 20.</w:t>
      </w:r>
    </w:p>
  </w:footnote>
  <w:footnote w:id="7">
    <w:p w14:paraId="7E8E2514" w14:textId="77777777" w:rsidR="00ED6D2F" w:rsidRPr="00F66E08" w:rsidRDefault="00ED6D2F" w:rsidP="005A1DC2">
      <w:pPr>
        <w:pStyle w:val="FootnoteText"/>
        <w:rPr>
          <w:color w:val="auto"/>
        </w:rPr>
      </w:pPr>
      <w:r w:rsidRPr="005A1DC2">
        <w:rPr>
          <w:rStyle w:val="FootnoteReference"/>
          <w:color w:val="auto"/>
        </w:rPr>
        <w:footnoteRef/>
      </w:r>
      <w:r w:rsidRPr="005A1DC2">
        <w:rPr>
          <w:color w:val="auto"/>
        </w:rPr>
        <w:t xml:space="preserve"> IACHR, 1997 Annual Report, Chapter V, "Development of Human Rights in the Region," para. 5.</w:t>
      </w:r>
    </w:p>
  </w:footnote>
  <w:footnote w:id="8">
    <w:p w14:paraId="2E316D3F" w14:textId="77777777" w:rsidR="00ED6D2F" w:rsidRPr="00F66E08" w:rsidRDefault="00ED6D2F" w:rsidP="005A1DC2">
      <w:pPr>
        <w:pStyle w:val="FootnoteText"/>
        <w:rPr>
          <w:color w:val="auto"/>
        </w:rPr>
      </w:pPr>
      <w:r w:rsidRPr="005A1DC2">
        <w:rPr>
          <w:rStyle w:val="FootnoteReference"/>
          <w:color w:val="auto"/>
        </w:rPr>
        <w:footnoteRef/>
      </w:r>
      <w:r w:rsidRPr="005A1DC2">
        <w:rPr>
          <w:color w:val="auto"/>
        </w:rPr>
        <w:t xml:space="preserve"> Office of the Special Rapporteur for Freedom of Expression of the IACHR, Special Country Report (2019), para. 246.</w:t>
      </w:r>
    </w:p>
  </w:footnote>
  <w:footnote w:id="9">
    <w:p w14:paraId="3938E2D4" w14:textId="77777777" w:rsidR="00ED6D2F" w:rsidRPr="00F66E08" w:rsidRDefault="00ED6D2F" w:rsidP="005A1DC2">
      <w:pPr>
        <w:jc w:val="both"/>
        <w:rPr>
          <w:rFonts w:asciiTheme="majorHAnsi" w:hAnsiTheme="majorHAnsi"/>
          <w:sz w:val="16"/>
          <w:szCs w:val="16"/>
        </w:rPr>
      </w:pPr>
      <w:r w:rsidRPr="005A1DC2">
        <w:rPr>
          <w:rStyle w:val="FootnoteReference"/>
          <w:rFonts w:asciiTheme="majorHAnsi" w:hAnsiTheme="majorHAnsi"/>
          <w:sz w:val="16"/>
          <w:szCs w:val="16"/>
        </w:rPr>
        <w:footnoteRef/>
      </w:r>
      <w:r w:rsidRPr="005A1DC2">
        <w:rPr>
          <w:rFonts w:asciiTheme="majorHAnsi" w:hAnsiTheme="majorHAnsi"/>
          <w:sz w:val="16"/>
          <w:szCs w:val="16"/>
        </w:rPr>
        <w:t xml:space="preserve"> IACHR Office of the Special Rapporteur for Freedom of Expression, Special Country Report, (2019), para. 147.</w:t>
      </w:r>
    </w:p>
  </w:footnote>
  <w:footnote w:id="10">
    <w:p w14:paraId="5662A9CB" w14:textId="77777777" w:rsidR="00ED6D2F" w:rsidRPr="00F66E08" w:rsidRDefault="00ED6D2F" w:rsidP="005A1DC2">
      <w:pPr>
        <w:jc w:val="both"/>
        <w:rPr>
          <w:rFonts w:asciiTheme="majorHAnsi" w:hAnsiTheme="majorHAnsi"/>
          <w:sz w:val="16"/>
          <w:szCs w:val="16"/>
        </w:rPr>
      </w:pPr>
      <w:r w:rsidRPr="005A1DC2">
        <w:rPr>
          <w:rStyle w:val="FootnoteReference"/>
          <w:rFonts w:asciiTheme="majorHAnsi" w:hAnsiTheme="majorHAnsi"/>
          <w:sz w:val="16"/>
          <w:szCs w:val="16"/>
        </w:rPr>
        <w:footnoteRef/>
      </w:r>
      <w:r w:rsidRPr="005A1DC2">
        <w:rPr>
          <w:rFonts w:asciiTheme="majorHAnsi" w:hAnsiTheme="majorHAnsi"/>
          <w:sz w:val="16"/>
          <w:szCs w:val="16"/>
        </w:rPr>
        <w:t xml:space="preserve"> IACHR, Report No. 67/06, Case 12.476, Merits, </w:t>
      </w:r>
      <w:r w:rsidRPr="005A1DC2">
        <w:rPr>
          <w:rFonts w:asciiTheme="majorHAnsi" w:hAnsiTheme="majorHAnsi"/>
          <w:i/>
          <w:sz w:val="16"/>
          <w:szCs w:val="16"/>
        </w:rPr>
        <w:t>Oscar Elías Biscet et al. v. Cuba</w:t>
      </w:r>
      <w:r w:rsidRPr="005A1DC2">
        <w:rPr>
          <w:rFonts w:asciiTheme="majorHAnsi" w:hAnsiTheme="majorHAnsi"/>
          <w:sz w:val="16"/>
          <w:szCs w:val="16"/>
        </w:rPr>
        <w:t>, October 21, 2006, para. 189.</w:t>
      </w:r>
    </w:p>
  </w:footnote>
  <w:footnote w:id="11">
    <w:p w14:paraId="2218B53A" w14:textId="77777777" w:rsidR="00ED6D2F" w:rsidRPr="00F66E08" w:rsidRDefault="00ED6D2F" w:rsidP="005A1DC2">
      <w:pPr>
        <w:pStyle w:val="FootnoteText"/>
        <w:rPr>
          <w:color w:val="auto"/>
        </w:rPr>
      </w:pPr>
      <w:r w:rsidRPr="005A1DC2">
        <w:rPr>
          <w:rStyle w:val="FootnoteReference"/>
          <w:color w:val="auto"/>
        </w:rPr>
        <w:footnoteRef/>
      </w:r>
      <w:r w:rsidRPr="005A1DC2">
        <w:rPr>
          <w:color w:val="auto"/>
        </w:rPr>
        <w:t xml:space="preserve"> </w:t>
      </w:r>
      <w:r w:rsidRPr="005A1DC2">
        <w:rPr>
          <w:i/>
          <w:color w:val="auto"/>
        </w:rPr>
        <w:t>See, for example</w:t>
      </w:r>
      <w:r w:rsidRPr="005A1DC2">
        <w:rPr>
          <w:color w:val="auto"/>
        </w:rPr>
        <w:t>, IACHR, Annual Report 2012, Chapter IV, "Cuba," para. 69.</w:t>
      </w:r>
    </w:p>
  </w:footnote>
  <w:footnote w:id="12">
    <w:p w14:paraId="28ED3BCD" w14:textId="790DA8F2" w:rsidR="00ED6D2F" w:rsidRPr="00F66E08" w:rsidRDefault="00ED6D2F" w:rsidP="005A1DC2">
      <w:pPr>
        <w:pStyle w:val="FootnoteText"/>
        <w:rPr>
          <w:color w:val="auto"/>
        </w:rPr>
      </w:pPr>
      <w:r w:rsidRPr="005A1DC2">
        <w:rPr>
          <w:rStyle w:val="FootnoteReference"/>
          <w:color w:val="auto"/>
        </w:rPr>
        <w:footnoteRef/>
      </w:r>
      <w:r w:rsidRPr="005A1DC2">
        <w:rPr>
          <w:color w:val="auto"/>
        </w:rPr>
        <w:t xml:space="preserve"> IACHR. Country Report 2020, Cuba. Situation of Human Rights in Cuba, para. 158.</w:t>
      </w:r>
    </w:p>
  </w:footnote>
  <w:footnote w:id="13">
    <w:p w14:paraId="301BF71F" w14:textId="6A2FB734" w:rsidR="00ED6D2F" w:rsidRPr="00F66E08" w:rsidRDefault="00ED6D2F" w:rsidP="005A1DC2">
      <w:pPr>
        <w:pStyle w:val="FootnoteText"/>
        <w:rPr>
          <w:color w:val="auto"/>
        </w:rPr>
      </w:pPr>
      <w:r w:rsidRPr="005A1DC2">
        <w:rPr>
          <w:rStyle w:val="FootnoteReference"/>
          <w:color w:val="auto"/>
        </w:rPr>
        <w:footnoteRef/>
      </w:r>
      <w:r w:rsidRPr="005A1DC2">
        <w:rPr>
          <w:color w:val="auto"/>
        </w:rPr>
        <w:t xml:space="preserve"> IACHR, Report No. 67/06, Case 12.476, Merits, </w:t>
      </w:r>
      <w:r w:rsidRPr="005A1DC2">
        <w:rPr>
          <w:i/>
          <w:color w:val="auto"/>
        </w:rPr>
        <w:t>Oscar Elías Biscet et al. v. Cuba</w:t>
      </w:r>
      <w:r w:rsidRPr="005A1DC2">
        <w:rPr>
          <w:color w:val="auto"/>
        </w:rPr>
        <w:t>, October 21, 2006, para. 129; IACHR, Annual Report 2012, Chapter IV, "Cuba," paras. 42-43; Office of the Special Rapporteur for Freedom of Expression of the IACHR, Special Country Report (2019), para. 445.</w:t>
      </w:r>
    </w:p>
  </w:footnote>
  <w:footnote w:id="14">
    <w:p w14:paraId="3BE43D53" w14:textId="77777777" w:rsidR="00ED6D2F" w:rsidRPr="00F66E08" w:rsidRDefault="00ED6D2F" w:rsidP="005A1DC2">
      <w:pPr>
        <w:pStyle w:val="FootnoteText"/>
        <w:rPr>
          <w:color w:val="auto"/>
        </w:rPr>
      </w:pPr>
      <w:r w:rsidRPr="005A1DC2">
        <w:rPr>
          <w:rStyle w:val="FootnoteReference"/>
          <w:color w:val="auto"/>
        </w:rPr>
        <w:footnoteRef/>
      </w:r>
      <w:r w:rsidRPr="005A1DC2">
        <w:rPr>
          <w:color w:val="auto"/>
        </w:rPr>
        <w:t xml:space="preserve"> Office of the Special Rapporteur for Freedom of Expression of the IACHR, Special Country Report (2019), para. 446.</w:t>
      </w:r>
    </w:p>
  </w:footnote>
  <w:footnote w:id="15">
    <w:p w14:paraId="058D2C7F" w14:textId="226FCE8A" w:rsidR="00D4444A" w:rsidRPr="00F66E08" w:rsidRDefault="00D4444A" w:rsidP="005A1DC2">
      <w:pPr>
        <w:pStyle w:val="FootnoteText"/>
        <w:rPr>
          <w:color w:val="auto"/>
        </w:rPr>
      </w:pPr>
      <w:r w:rsidRPr="005A1DC2">
        <w:rPr>
          <w:color w:val="auto"/>
          <w:vertAlign w:val="superscript"/>
        </w:rPr>
        <w:footnoteRef/>
      </w:r>
      <w:r w:rsidRPr="005A1DC2">
        <w:rPr>
          <w:color w:val="auto"/>
        </w:rPr>
        <w:t xml:space="preserve"> Initial Petition; Communication from the petitioner dated March 13, 2019; Communication from the petitioner dated March 18, 2021.</w:t>
      </w:r>
    </w:p>
  </w:footnote>
  <w:footnote w:id="16">
    <w:p w14:paraId="36192F41" w14:textId="40B00E26" w:rsidR="00E601D7" w:rsidRPr="00F66E08" w:rsidRDefault="00E601D7" w:rsidP="005A1DC2">
      <w:pPr>
        <w:pStyle w:val="FootnoteText"/>
      </w:pPr>
      <w:r w:rsidRPr="005A1DC2">
        <w:rPr>
          <w:rStyle w:val="FootnoteReference"/>
        </w:rPr>
        <w:footnoteRef/>
      </w:r>
      <w:r w:rsidRPr="005A1DC2">
        <w:t xml:space="preserve"> IACHR. Resolution 14/2021. Precautionary Measure No. 1101/20. 20 identified members of the San Isidro Movement (MSI) regarding Cuba. February 11, 2021, para. 22.</w:t>
      </w:r>
    </w:p>
  </w:footnote>
  <w:footnote w:id="17">
    <w:p w14:paraId="40006E6A" w14:textId="01A1F0D7" w:rsidR="00E90B8A" w:rsidRPr="00F66E08" w:rsidRDefault="00E90B8A" w:rsidP="005A1DC2">
      <w:pPr>
        <w:pStyle w:val="FootnoteText"/>
      </w:pPr>
      <w:r w:rsidRPr="005A1DC2">
        <w:rPr>
          <w:color w:val="auto"/>
          <w:vertAlign w:val="superscript"/>
        </w:rPr>
        <w:footnoteRef/>
      </w:r>
      <w:r w:rsidRPr="005A1DC2">
        <w:rPr>
          <w:color w:val="auto"/>
          <w:vertAlign w:val="superscript"/>
        </w:rPr>
        <w:t xml:space="preserve">  </w:t>
      </w:r>
      <w:r w:rsidR="003803D7" w:rsidRPr="005A1DC2">
        <w:rPr>
          <w:color w:val="auto"/>
        </w:rPr>
        <w:t>Initial Petition; Communication from the petitioner dated March 13, 2019; Communication from the petitioner dated March 18, 2021.</w:t>
      </w:r>
    </w:p>
  </w:footnote>
  <w:footnote w:id="18">
    <w:p w14:paraId="4FA4352C" w14:textId="67C3FE62" w:rsidR="00D4444A" w:rsidRPr="00F66E08" w:rsidRDefault="00D4444A" w:rsidP="005A1DC2">
      <w:pPr>
        <w:pStyle w:val="FootnoteText"/>
      </w:pPr>
      <w:r w:rsidRPr="005A1DC2">
        <w:rPr>
          <w:rStyle w:val="FootnoteReference"/>
        </w:rPr>
        <w:footnoteRef/>
      </w:r>
      <w:r w:rsidRPr="005A1DC2">
        <w:t xml:space="preserve"> </w:t>
      </w:r>
      <w:r w:rsidRPr="005A1DC2">
        <w:rPr>
          <w:color w:val="auto"/>
        </w:rPr>
        <w:t xml:space="preserve">Amnesty International. Cuba: Maykel Osorbo prisoner of conscience in danger.  August 1, 2023. Available in: </w:t>
      </w:r>
      <w:hyperlink r:id="rId1" w:history="1">
        <w:r w:rsidRPr="005A1DC2">
          <w:rPr>
            <w:rStyle w:val="Hyperlink"/>
            <w:color w:val="auto"/>
          </w:rPr>
          <w:t>https://www.amnesty.org/es/documents/amr25/7078/2023/es/</w:t>
        </w:r>
      </w:hyperlink>
      <w:r w:rsidRPr="005A1DC2">
        <w:rPr>
          <w:color w:val="auto"/>
        </w:rPr>
        <w:t xml:space="preserve"> </w:t>
      </w:r>
    </w:p>
  </w:footnote>
  <w:footnote w:id="19">
    <w:p w14:paraId="3944687C" w14:textId="3D83BACC" w:rsidR="00613E66" w:rsidRPr="00F66E08" w:rsidRDefault="00613E66" w:rsidP="005A1DC2">
      <w:pPr>
        <w:pStyle w:val="FootnoteText"/>
      </w:pPr>
      <w:r w:rsidRPr="005A1DC2">
        <w:rPr>
          <w:rStyle w:val="FootnoteReference"/>
        </w:rPr>
        <w:footnoteRef/>
      </w:r>
      <w:r w:rsidRPr="005A1DC2">
        <w:t xml:space="preserve">  </w:t>
      </w:r>
      <w:r w:rsidR="001256B8" w:rsidRPr="005A1DC2">
        <w:rPr>
          <w:color w:val="auto"/>
        </w:rPr>
        <w:t>Initial Petition.</w:t>
      </w:r>
    </w:p>
  </w:footnote>
  <w:footnote w:id="20">
    <w:p w14:paraId="6D8F7C1D" w14:textId="2D35CF67" w:rsidR="001C05D3" w:rsidRPr="00F66E08" w:rsidRDefault="001C05D3" w:rsidP="005A1DC2">
      <w:pPr>
        <w:pStyle w:val="FootnoteText"/>
      </w:pPr>
      <w:r w:rsidRPr="005A1DC2">
        <w:rPr>
          <w:rStyle w:val="FootnoteReference"/>
        </w:rPr>
        <w:footnoteRef/>
      </w:r>
      <w:r w:rsidRPr="005A1DC2">
        <w:t xml:space="preserve"> Annex 1</w:t>
      </w:r>
      <w:r w:rsidR="001256B8" w:rsidRPr="005A1DC2">
        <w:rPr>
          <w:color w:val="auto"/>
        </w:rPr>
        <w:t>. Provisional Conclusions of the Prosecutor's Office, December 14, 2018. Annex to the petitioner's communication of March 13, 2019.</w:t>
      </w:r>
    </w:p>
  </w:footnote>
  <w:footnote w:id="21">
    <w:p w14:paraId="4837CF20" w14:textId="42537721" w:rsidR="004C6867" w:rsidRPr="00F66E08" w:rsidRDefault="004C6867" w:rsidP="005A1DC2">
      <w:pPr>
        <w:pStyle w:val="FootnoteText"/>
      </w:pPr>
      <w:r w:rsidRPr="005A1DC2">
        <w:rPr>
          <w:rStyle w:val="FootnoteReference"/>
        </w:rPr>
        <w:footnoteRef/>
      </w:r>
      <w:r w:rsidR="43155C10" w:rsidRPr="005A1DC2">
        <w:t xml:space="preserve">  </w:t>
      </w:r>
      <w:r w:rsidR="43155C10" w:rsidRPr="005A1DC2">
        <w:rPr>
          <w:color w:val="auto"/>
        </w:rPr>
        <w:t xml:space="preserve">Annex 2. </w:t>
      </w:r>
      <w:r w:rsidR="43155C10" w:rsidRPr="43155C10">
        <w:t xml:space="preserve">Habeas corpus, October 1, </w:t>
      </w:r>
      <w:r w:rsidR="43155C10" w:rsidRPr="005A1DC2">
        <w:rPr>
          <w:color w:val="auto"/>
        </w:rPr>
        <w:t>2018. Annex to the petitioner's communication of October 4, 2018.</w:t>
      </w:r>
    </w:p>
  </w:footnote>
  <w:footnote w:id="22">
    <w:p w14:paraId="01C92F9F" w14:textId="555D1739" w:rsidR="00773302" w:rsidRPr="00F66E08" w:rsidRDefault="00773302" w:rsidP="005A1DC2">
      <w:pPr>
        <w:pStyle w:val="FootnoteText"/>
      </w:pPr>
      <w:r w:rsidRPr="005A1DC2">
        <w:rPr>
          <w:rStyle w:val="FootnoteReference"/>
        </w:rPr>
        <w:footnoteRef/>
      </w:r>
      <w:r w:rsidR="43155C10" w:rsidRPr="005A1DC2">
        <w:t xml:space="preserve">  </w:t>
      </w:r>
      <w:r w:rsidR="43155C10" w:rsidRPr="005A1DC2">
        <w:rPr>
          <w:color w:val="auto"/>
        </w:rPr>
        <w:t xml:space="preserve">Annex 2. </w:t>
      </w:r>
      <w:r w:rsidR="43155C10" w:rsidRPr="43155C10">
        <w:t xml:space="preserve">Habeas corpus, October 1, </w:t>
      </w:r>
      <w:r w:rsidR="43155C10" w:rsidRPr="005A1DC2">
        <w:rPr>
          <w:color w:val="auto"/>
        </w:rPr>
        <w:t>2018. Annex to the petitioner's communication of October 4, 2018.</w:t>
      </w:r>
    </w:p>
  </w:footnote>
  <w:footnote w:id="23">
    <w:p w14:paraId="261A7E84" w14:textId="70F5EB46" w:rsidR="00773302" w:rsidRPr="00F66E08" w:rsidRDefault="00773302" w:rsidP="005A1DC2">
      <w:pPr>
        <w:pStyle w:val="FootnoteText"/>
      </w:pPr>
      <w:r w:rsidRPr="005A1DC2">
        <w:rPr>
          <w:rStyle w:val="FootnoteReference"/>
        </w:rPr>
        <w:footnoteRef/>
      </w:r>
      <w:r w:rsidRPr="005A1DC2">
        <w:t xml:space="preserve">  </w:t>
      </w:r>
      <w:r w:rsidR="001256B8" w:rsidRPr="005A1DC2">
        <w:rPr>
          <w:color w:val="auto"/>
        </w:rPr>
        <w:t xml:space="preserve">Annex 3. </w:t>
      </w:r>
      <w:r w:rsidR="001256B8" w:rsidRPr="005A1DC2">
        <w:t xml:space="preserve">Proof of payment of fine, June 27, </w:t>
      </w:r>
      <w:r w:rsidR="001256B8" w:rsidRPr="005A1DC2">
        <w:rPr>
          <w:color w:val="auto"/>
        </w:rPr>
        <w:t xml:space="preserve">2018. Annex to the petitioner's communication of October 4, 2018. </w:t>
      </w:r>
    </w:p>
  </w:footnote>
  <w:footnote w:id="24">
    <w:p w14:paraId="432F5DDD" w14:textId="77777777" w:rsidR="00C473AC" w:rsidRPr="00F66E08" w:rsidRDefault="00C473AC" w:rsidP="005A1DC2">
      <w:pPr>
        <w:pStyle w:val="FootnoteText"/>
      </w:pPr>
      <w:r w:rsidRPr="005A1DC2">
        <w:rPr>
          <w:rStyle w:val="FootnoteReference"/>
        </w:rPr>
        <w:footnoteRef/>
      </w:r>
      <w:r w:rsidRPr="005A1DC2">
        <w:t xml:space="preserve"> </w:t>
      </w:r>
      <w:r w:rsidRPr="005A1DC2">
        <w:rPr>
          <w:color w:val="auto"/>
        </w:rPr>
        <w:t>Communication from the petitioner dated March 13, 2019.</w:t>
      </w:r>
    </w:p>
  </w:footnote>
  <w:footnote w:id="25">
    <w:p w14:paraId="4DE71FD1" w14:textId="00725B27" w:rsidR="00A26A03" w:rsidRPr="00F66E08" w:rsidRDefault="00A26A03" w:rsidP="005A1DC2">
      <w:pPr>
        <w:pStyle w:val="FootnoteText"/>
      </w:pPr>
      <w:r w:rsidRPr="005A1DC2">
        <w:rPr>
          <w:rStyle w:val="FootnoteReference"/>
        </w:rPr>
        <w:footnoteRef/>
      </w:r>
      <w:r w:rsidRPr="005A1DC2">
        <w:t xml:space="preserve"> </w:t>
      </w:r>
      <w:r w:rsidRPr="005A1DC2">
        <w:rPr>
          <w:color w:val="auto"/>
        </w:rPr>
        <w:t>Initial Petition.</w:t>
      </w:r>
    </w:p>
  </w:footnote>
  <w:footnote w:id="26">
    <w:p w14:paraId="24146B3E" w14:textId="78EDC939" w:rsidR="00A26A03" w:rsidRPr="00F66E08" w:rsidRDefault="00A26A03" w:rsidP="005A1DC2">
      <w:pPr>
        <w:pStyle w:val="FootnoteText"/>
      </w:pPr>
      <w:r w:rsidRPr="005A1DC2">
        <w:rPr>
          <w:rStyle w:val="FootnoteReference"/>
        </w:rPr>
        <w:footnoteRef/>
      </w:r>
      <w:r w:rsidR="43155C10" w:rsidRPr="005A1DC2">
        <w:t xml:space="preserve"> </w:t>
      </w:r>
      <w:r w:rsidR="43155C10" w:rsidRPr="005A1DC2">
        <w:rPr>
          <w:color w:val="auto"/>
        </w:rPr>
        <w:t xml:space="preserve">Annex 2. </w:t>
      </w:r>
      <w:r w:rsidR="43155C10" w:rsidRPr="43155C10">
        <w:t>Habeas corpus October 1</w:t>
      </w:r>
      <w:r w:rsidR="43155C10" w:rsidRPr="005A1DC2">
        <w:rPr>
          <w:color w:val="auto"/>
        </w:rPr>
        <w:t>, 2018. Annex to the petitioner's communication of October 4, 2018.</w:t>
      </w:r>
    </w:p>
  </w:footnote>
  <w:footnote w:id="27">
    <w:p w14:paraId="38F1544E" w14:textId="1C3DC98E" w:rsidR="001C05D3" w:rsidRPr="00F66E08" w:rsidRDefault="001C05D3" w:rsidP="005A1DC2">
      <w:pPr>
        <w:pStyle w:val="FootnoteText"/>
      </w:pPr>
      <w:r w:rsidRPr="005A1DC2">
        <w:rPr>
          <w:rStyle w:val="FootnoteReference"/>
        </w:rPr>
        <w:footnoteRef/>
      </w:r>
      <w:r w:rsidR="43155C10" w:rsidRPr="005A1DC2">
        <w:t xml:space="preserve"> </w:t>
      </w:r>
      <w:r w:rsidR="43155C10" w:rsidRPr="005A1DC2">
        <w:rPr>
          <w:color w:val="auto"/>
        </w:rPr>
        <w:t xml:space="preserve">Annex 2. </w:t>
      </w:r>
      <w:r w:rsidR="43155C10" w:rsidRPr="005A1DC2">
        <w:t xml:space="preserve">Habeas corpus, October 1, </w:t>
      </w:r>
      <w:r w:rsidR="43155C10" w:rsidRPr="005A1DC2">
        <w:rPr>
          <w:color w:val="auto"/>
        </w:rPr>
        <w:t xml:space="preserve">2018. Annex to the petitioner's communication of October 4, 2018. </w:t>
      </w:r>
    </w:p>
  </w:footnote>
  <w:footnote w:id="28">
    <w:p w14:paraId="19117806" w14:textId="1769B22C" w:rsidR="00540B3F" w:rsidRPr="00F66E08" w:rsidRDefault="00540B3F" w:rsidP="005A1DC2">
      <w:pPr>
        <w:pStyle w:val="FootnoteText"/>
        <w:rPr>
          <w:color w:val="auto"/>
        </w:rPr>
      </w:pPr>
      <w:r w:rsidRPr="005A1DC2">
        <w:rPr>
          <w:color w:val="auto"/>
          <w:vertAlign w:val="superscript"/>
        </w:rPr>
        <w:footnoteRef/>
      </w:r>
      <w:r w:rsidR="00090E1A" w:rsidRPr="005A1DC2">
        <w:rPr>
          <w:color w:val="auto"/>
        </w:rPr>
        <w:t xml:space="preserve"> Annex 4. Resolution of the People's Provincial Court of Havana, Fourth Criminal Chamber, October 9, 2018. Annex to the petitioner's communication of March 13, 2019.</w:t>
      </w:r>
    </w:p>
  </w:footnote>
  <w:footnote w:id="29">
    <w:p w14:paraId="3008C637" w14:textId="1A34E92E" w:rsidR="00090E1A" w:rsidRPr="00F66E08" w:rsidRDefault="00090E1A" w:rsidP="005A1DC2">
      <w:pPr>
        <w:pStyle w:val="FootnoteText"/>
      </w:pPr>
      <w:r w:rsidRPr="005A1DC2">
        <w:rPr>
          <w:rStyle w:val="FootnoteReference"/>
        </w:rPr>
        <w:footnoteRef/>
      </w:r>
      <w:r w:rsidRPr="005A1DC2">
        <w:t xml:space="preserve"> </w:t>
      </w:r>
      <w:bookmarkStart w:id="21" w:name="_Hlk172883940"/>
      <w:r w:rsidRPr="005A1DC2">
        <w:rPr>
          <w:rStyle w:val="normaltextrun"/>
          <w:bdr w:val="none" w:sz="0" w:space="0" w:color="auto" w:frame="1"/>
        </w:rPr>
        <w:t>Annex 4. Resolution of the People's Provincial Court of Havana, Fourth Criminal Chamber, October 12, 2018. Annex to the petitioner's communication of March 13, 2019.</w:t>
      </w:r>
      <w:bookmarkEnd w:id="21"/>
    </w:p>
  </w:footnote>
  <w:footnote w:id="30">
    <w:p w14:paraId="560FBD69" w14:textId="4B6449E2" w:rsidR="00540B3F" w:rsidRPr="00F66E08" w:rsidRDefault="00540B3F" w:rsidP="005A1DC2">
      <w:pPr>
        <w:pStyle w:val="FootnoteText"/>
        <w:rPr>
          <w:color w:val="auto"/>
        </w:rPr>
      </w:pPr>
      <w:r w:rsidRPr="005A1DC2">
        <w:rPr>
          <w:rStyle w:val="FootnoteReference"/>
          <w:color w:val="auto"/>
        </w:rPr>
        <w:footnoteRef/>
      </w:r>
      <w:r w:rsidRPr="005A1DC2">
        <w:rPr>
          <w:color w:val="auto"/>
        </w:rPr>
        <w:t xml:space="preserve"> Annex 4. Resolution of the People's Provincial Court of Havana, Fourth Criminal Chamber, October 12, 2018. Annex to the petitioner's communication of March 13, 2019.</w:t>
      </w:r>
    </w:p>
  </w:footnote>
  <w:footnote w:id="31">
    <w:p w14:paraId="3DEA0F40" w14:textId="0A49A10E" w:rsidR="00540B3F" w:rsidRPr="00F66E08" w:rsidRDefault="00540B3F" w:rsidP="005A1DC2">
      <w:pPr>
        <w:pStyle w:val="FootnoteText"/>
      </w:pPr>
      <w:r w:rsidRPr="005A1DC2">
        <w:rPr>
          <w:rStyle w:val="FootnoteReference"/>
          <w:color w:val="auto"/>
        </w:rPr>
        <w:footnoteRef/>
      </w:r>
      <w:r w:rsidRPr="005A1DC2">
        <w:rPr>
          <w:color w:val="auto"/>
        </w:rPr>
        <w:t xml:space="preserve"> Annex 4. Resolution of the People's Provincial Court of Havana, Fourth Criminal Chamber, October 17, 2018. Annex to the petitioner's communication of March 13, 2019.</w:t>
      </w:r>
    </w:p>
  </w:footnote>
  <w:footnote w:id="32">
    <w:p w14:paraId="4A2FC220" w14:textId="1306FF5A" w:rsidR="009B54B5" w:rsidRPr="00F66E08" w:rsidRDefault="009B54B5" w:rsidP="005A1DC2">
      <w:pPr>
        <w:pStyle w:val="FootnoteText"/>
      </w:pPr>
      <w:r w:rsidRPr="005A1DC2">
        <w:rPr>
          <w:rStyle w:val="FootnoteReference"/>
        </w:rPr>
        <w:footnoteRef/>
      </w:r>
      <w:r w:rsidRPr="005A1DC2">
        <w:t xml:space="preserve"> Communication from the petitioner dated March 13, 2019.</w:t>
      </w:r>
    </w:p>
  </w:footnote>
  <w:footnote w:id="33">
    <w:p w14:paraId="3B731D9F" w14:textId="22A0984F" w:rsidR="00540B3F" w:rsidRPr="00F66E08" w:rsidRDefault="00540B3F" w:rsidP="005A1DC2">
      <w:pPr>
        <w:pStyle w:val="FootnoteText"/>
      </w:pPr>
      <w:r w:rsidRPr="005A1DC2">
        <w:rPr>
          <w:rStyle w:val="FootnoteReference"/>
        </w:rPr>
        <w:footnoteRef/>
      </w:r>
      <w:r w:rsidRPr="005A1DC2">
        <w:t xml:space="preserve"> Annex 1</w:t>
      </w:r>
      <w:r w:rsidR="001256B8" w:rsidRPr="005A1DC2">
        <w:rPr>
          <w:color w:val="auto"/>
        </w:rPr>
        <w:t>. Provisional Conclusions of the Prosecutor's Office, December 14, 2018. Annex to the petitioner's communication of March 13, 2019.</w:t>
      </w:r>
    </w:p>
  </w:footnote>
  <w:footnote w:id="34">
    <w:p w14:paraId="2F149B0D" w14:textId="1439FE61" w:rsidR="00540B3F" w:rsidRPr="00F66E08" w:rsidRDefault="00540B3F" w:rsidP="005A1DC2">
      <w:pPr>
        <w:pStyle w:val="FootnoteText"/>
      </w:pPr>
      <w:r w:rsidRPr="005A1DC2">
        <w:rPr>
          <w:rStyle w:val="FootnoteReference"/>
          <w:color w:val="auto"/>
        </w:rPr>
        <w:footnoteRef/>
      </w:r>
      <w:r w:rsidRPr="005A1DC2">
        <w:rPr>
          <w:color w:val="auto"/>
        </w:rPr>
        <w:t xml:space="preserve"> Annex 5. Resolution of the Supreme People's Court, 18 January 2019. Annex to the petitioner's communication of March 13, 2019.</w:t>
      </w:r>
      <w:bookmarkStart w:id="22" w:name="_Hlk172884094"/>
      <w:bookmarkEnd w:id="22"/>
    </w:p>
  </w:footnote>
  <w:footnote w:id="35">
    <w:p w14:paraId="0299ABF8" w14:textId="3E3E26F0" w:rsidR="004C6867" w:rsidRPr="00F66E08" w:rsidRDefault="004C6867" w:rsidP="005A1DC2">
      <w:pPr>
        <w:pStyle w:val="FootnoteText"/>
      </w:pPr>
      <w:r w:rsidRPr="005A1DC2">
        <w:rPr>
          <w:rStyle w:val="FootnoteReference"/>
        </w:rPr>
        <w:footnoteRef/>
      </w:r>
      <w:r w:rsidRPr="005A1DC2">
        <w:t xml:space="preserve"> </w:t>
      </w:r>
      <w:r w:rsidRPr="005A1DC2">
        <w:rPr>
          <w:color w:val="auto"/>
        </w:rPr>
        <w:t>Communication from the petitioner dated March 18, 2021.</w:t>
      </w:r>
    </w:p>
  </w:footnote>
  <w:footnote w:id="36">
    <w:p w14:paraId="09A4A04B" w14:textId="4E8422F6" w:rsidR="001C7DE6" w:rsidRPr="00F66E08" w:rsidRDefault="001C7DE6" w:rsidP="005A1DC2">
      <w:pPr>
        <w:pStyle w:val="FootnoteText"/>
      </w:pPr>
      <w:r w:rsidRPr="005A1DC2">
        <w:rPr>
          <w:rStyle w:val="FootnoteReference"/>
        </w:rPr>
        <w:footnoteRef/>
      </w:r>
      <w:r w:rsidRPr="005A1DC2">
        <w:t xml:space="preserve"> </w:t>
      </w:r>
      <w:r w:rsidR="003803D7" w:rsidRPr="005A1DC2">
        <w:rPr>
          <w:color w:val="auto"/>
        </w:rPr>
        <w:t>Communication from the petitioner dated March 18, 2021.</w:t>
      </w:r>
    </w:p>
  </w:footnote>
  <w:footnote w:id="37">
    <w:p w14:paraId="6AB98D64" w14:textId="5AE64223" w:rsidR="001C7DE6" w:rsidRPr="00F66E08" w:rsidRDefault="001C7DE6" w:rsidP="005A1DC2">
      <w:pPr>
        <w:pStyle w:val="FootnoteText"/>
      </w:pPr>
      <w:r w:rsidRPr="005A1DC2">
        <w:rPr>
          <w:rStyle w:val="FootnoteReference"/>
        </w:rPr>
        <w:footnoteRef/>
      </w:r>
      <w:r w:rsidRPr="005A1DC2">
        <w:t xml:space="preserve"> </w:t>
      </w:r>
      <w:r w:rsidR="003803D7" w:rsidRPr="005A1DC2">
        <w:rPr>
          <w:color w:val="auto"/>
        </w:rPr>
        <w:t>Communication from the petitioner dated March 18, 2021.</w:t>
      </w:r>
    </w:p>
  </w:footnote>
  <w:footnote w:id="38">
    <w:p w14:paraId="3888B8CA" w14:textId="77777777" w:rsidR="003F4419" w:rsidRPr="00F66E08" w:rsidRDefault="003F4419" w:rsidP="005A1DC2">
      <w:pPr>
        <w:pStyle w:val="FootnoteText"/>
      </w:pPr>
      <w:r w:rsidRPr="005A1DC2">
        <w:rPr>
          <w:rStyle w:val="FootnoteReference"/>
        </w:rPr>
        <w:footnoteRef/>
      </w:r>
      <w:r w:rsidRPr="005A1DC2">
        <w:t xml:space="preserve"> </w:t>
      </w:r>
      <w:r w:rsidRPr="005A1DC2">
        <w:rPr>
          <w:color w:val="auto"/>
        </w:rPr>
        <w:t>Communication from the petitioner dated March 18, 2021.</w:t>
      </w:r>
    </w:p>
  </w:footnote>
  <w:footnote w:id="39">
    <w:p w14:paraId="7A0BC893" w14:textId="77777777" w:rsidR="003F4419" w:rsidRPr="00F66E08" w:rsidRDefault="003F4419" w:rsidP="005A1DC2">
      <w:pPr>
        <w:pStyle w:val="FootnoteText"/>
      </w:pPr>
      <w:r w:rsidRPr="005A1DC2">
        <w:rPr>
          <w:rStyle w:val="FootnoteReference"/>
        </w:rPr>
        <w:footnoteRef/>
      </w:r>
      <w:r w:rsidRPr="005A1DC2">
        <w:t xml:space="preserve"> </w:t>
      </w:r>
      <w:r w:rsidRPr="005A1DC2">
        <w:rPr>
          <w:color w:val="auto"/>
        </w:rPr>
        <w:t>Communication from the petitioner dated March 18, 2021.</w:t>
      </w:r>
    </w:p>
  </w:footnote>
  <w:footnote w:id="40">
    <w:p w14:paraId="6967CCB0" w14:textId="77777777" w:rsidR="003F4419" w:rsidRPr="00F66E08" w:rsidRDefault="003F4419" w:rsidP="005A1DC2">
      <w:pPr>
        <w:pStyle w:val="FootnoteText"/>
      </w:pPr>
      <w:r w:rsidRPr="005A1DC2">
        <w:rPr>
          <w:rStyle w:val="FootnoteReference"/>
        </w:rPr>
        <w:footnoteRef/>
      </w:r>
      <w:r w:rsidRPr="005A1DC2">
        <w:t xml:space="preserve"> </w:t>
      </w:r>
      <w:r w:rsidRPr="005A1DC2">
        <w:rPr>
          <w:color w:val="auto"/>
        </w:rPr>
        <w:t>Communication from the petitioner dated March 18, 2021.</w:t>
      </w:r>
    </w:p>
  </w:footnote>
  <w:footnote w:id="41">
    <w:p w14:paraId="64926890" w14:textId="26A31EED" w:rsidR="00300A44" w:rsidRPr="00F66E08" w:rsidRDefault="00300A44" w:rsidP="005A1DC2">
      <w:pPr>
        <w:pStyle w:val="FootnoteText"/>
      </w:pPr>
      <w:r w:rsidRPr="005A1DC2">
        <w:rPr>
          <w:rStyle w:val="FootnoteReference"/>
        </w:rPr>
        <w:footnoteRef/>
      </w:r>
      <w:r w:rsidRPr="005A1DC2">
        <w:t xml:space="preserve"> </w:t>
      </w:r>
      <w:r w:rsidRPr="005A1DC2">
        <w:rPr>
          <w:color w:val="auto"/>
        </w:rPr>
        <w:t>Communication from the petitioner dated March 18, 2021.</w:t>
      </w:r>
    </w:p>
  </w:footnote>
  <w:footnote w:id="42">
    <w:p w14:paraId="6BAD7A2B" w14:textId="46E3CCB5" w:rsidR="00300A44" w:rsidRPr="00F66E08" w:rsidRDefault="00300A44" w:rsidP="005A1DC2">
      <w:pPr>
        <w:pStyle w:val="FootnoteText"/>
        <w:rPr>
          <w:rFonts w:cs="TimesNewRomanPSMT"/>
          <w:color w:val="FF0000"/>
        </w:rPr>
      </w:pPr>
      <w:r w:rsidRPr="005A1DC2">
        <w:rPr>
          <w:rStyle w:val="FootnoteReference"/>
        </w:rPr>
        <w:footnoteRef/>
      </w:r>
      <w:r w:rsidRPr="005A1DC2">
        <w:t xml:space="preserve">YouTube, Arrests and beatings against artists and activists in Havana, June 12, 2020. Available in: </w:t>
      </w:r>
      <w:hyperlink r:id="rId2" w:history="1">
        <w:r w:rsidRPr="005A1DC2">
          <w:rPr>
            <w:rStyle w:val="Hyperlink"/>
            <w:rFonts w:cs="TimesNewRomanPSMT"/>
          </w:rPr>
          <w:t>https://www.youtube.com/watch?v=Vq7pgRQAxS0&amp;has_verified=1</w:t>
        </w:r>
      </w:hyperlink>
      <w:r w:rsidRPr="005A1DC2">
        <w:rPr>
          <w:rStyle w:val="Hyperlink"/>
          <w:rFonts w:cs="TimesNewRomanPSMT"/>
        </w:rPr>
        <w:t xml:space="preserve"> </w:t>
      </w:r>
    </w:p>
  </w:footnote>
  <w:footnote w:id="43">
    <w:p w14:paraId="6BBACE7F" w14:textId="71688A6B" w:rsidR="00300A44" w:rsidRPr="00F66E08" w:rsidRDefault="00300A44" w:rsidP="005A1DC2">
      <w:pPr>
        <w:pStyle w:val="FootnoteText"/>
      </w:pPr>
      <w:r w:rsidRPr="005A1DC2">
        <w:rPr>
          <w:rStyle w:val="FootnoteReference"/>
        </w:rPr>
        <w:footnoteRef/>
      </w:r>
      <w:r w:rsidRPr="005A1DC2">
        <w:t xml:space="preserve"> </w:t>
      </w:r>
      <w:r w:rsidRPr="005A1DC2">
        <w:rPr>
          <w:color w:val="auto"/>
        </w:rPr>
        <w:t>Communication from the petitioner dated March 18, 2021.</w:t>
      </w:r>
    </w:p>
  </w:footnote>
  <w:footnote w:id="44">
    <w:p w14:paraId="194C9C53" w14:textId="3D2110E5" w:rsidR="008F6B18" w:rsidRPr="00F66E08" w:rsidRDefault="008F6B18" w:rsidP="005A1DC2">
      <w:pPr>
        <w:pStyle w:val="FootnoteText"/>
      </w:pPr>
      <w:r w:rsidRPr="005A1DC2">
        <w:rPr>
          <w:rStyle w:val="FootnoteReference"/>
        </w:rPr>
        <w:footnoteRef/>
      </w:r>
      <w:r w:rsidRPr="005A1DC2">
        <w:t xml:space="preserve"> DNA Cuba. State Security detains Maykel Osorbo to prevent him from attending today's protest. June 30, 2020. Available in: </w:t>
      </w:r>
      <w:hyperlink r:id="rId3" w:history="1">
        <w:r w:rsidRPr="005A1DC2">
          <w:rPr>
            <w:rStyle w:val="Hyperlink"/>
            <w:rFonts w:cs="TimesNewRomanPSMT"/>
          </w:rPr>
          <w:t>https://adncuba.com/noticias-de-cuba/actualidad/seguridad-del-estado-detiene-maykel-osorbo-para-impedirle-asistir-la?fbclid=IwAR1Fjn-NWrfdxH5u7sqOcTqiae-xbDpQ7r-B0PjURiCG_ozi4xlnZWImBYo</w:t>
        </w:r>
      </w:hyperlink>
      <w:r w:rsidRPr="005A1DC2">
        <w:rPr>
          <w:rStyle w:val="Hyperlink"/>
          <w:rFonts w:cs="TimesNewRomanPSMT"/>
        </w:rPr>
        <w:t xml:space="preserve">  </w:t>
      </w:r>
    </w:p>
  </w:footnote>
  <w:footnote w:id="45">
    <w:p w14:paraId="683FA84F" w14:textId="30C51826" w:rsidR="003F4419" w:rsidRPr="00F66E08" w:rsidRDefault="003F4419" w:rsidP="005A1DC2">
      <w:pPr>
        <w:pStyle w:val="FootnoteText"/>
        <w:rPr>
          <w:color w:val="auto"/>
        </w:rPr>
      </w:pPr>
      <w:r w:rsidRPr="005A1DC2">
        <w:rPr>
          <w:rStyle w:val="FootnoteReference"/>
        </w:rPr>
        <w:footnoteRef/>
      </w:r>
      <w:r w:rsidRPr="005A1DC2">
        <w:t xml:space="preserve"> </w:t>
      </w:r>
      <w:r w:rsidRPr="005A1DC2">
        <w:rPr>
          <w:color w:val="auto"/>
        </w:rPr>
        <w:t xml:space="preserve">Communication from the petitioner dated March 18, 2021. Decree Law 370 "On the computerization of society in Cuba" entered into force on July 4, 2019 and prohibits the dissemination of information in its article 68 inc. I that is "contrary to the social interest, morals, good customs and integrity of people." </w:t>
      </w:r>
    </w:p>
  </w:footnote>
  <w:footnote w:id="46">
    <w:p w14:paraId="1C3030E8" w14:textId="6B649360" w:rsidR="00A8681F" w:rsidRPr="00F66E08" w:rsidRDefault="00A8681F" w:rsidP="005A1DC2">
      <w:pPr>
        <w:pStyle w:val="FootnoteText"/>
      </w:pPr>
      <w:r w:rsidRPr="005A1DC2">
        <w:rPr>
          <w:rStyle w:val="FootnoteReference"/>
        </w:rPr>
        <w:footnoteRef/>
      </w:r>
      <w:r w:rsidRPr="005A1DC2">
        <w:t xml:space="preserve"> Facebook, published on July 23, 2020, account of Maykel Osorbo 349. Available at: </w:t>
      </w:r>
      <w:hyperlink r:id="rId4" w:history="1">
        <w:r w:rsidRPr="005A1DC2">
          <w:rPr>
            <w:rStyle w:val="Hyperlink"/>
          </w:rPr>
          <w:t>https://www.facebook.com/100052174990089/posts/189956819146594/</w:t>
        </w:r>
      </w:hyperlink>
      <w:r w:rsidRPr="005A1DC2">
        <w:t xml:space="preserve">. </w:t>
      </w:r>
    </w:p>
  </w:footnote>
  <w:footnote w:id="47">
    <w:p w14:paraId="24700FDA" w14:textId="77777777" w:rsidR="006B7195" w:rsidRPr="00F66E08" w:rsidRDefault="006B7195" w:rsidP="005A1DC2">
      <w:pPr>
        <w:pStyle w:val="FootnoteText"/>
      </w:pPr>
      <w:r w:rsidRPr="005A1DC2">
        <w:rPr>
          <w:rStyle w:val="FootnoteReference"/>
        </w:rPr>
        <w:footnoteRef/>
      </w:r>
      <w:r w:rsidRPr="005A1DC2">
        <w:t xml:space="preserve"> </w:t>
      </w:r>
      <w:r w:rsidRPr="005A1DC2">
        <w:rPr>
          <w:color w:val="auto"/>
        </w:rPr>
        <w:t>Communication from the petitioner on the merits of March 18, 2021.</w:t>
      </w:r>
    </w:p>
  </w:footnote>
  <w:footnote w:id="48">
    <w:p w14:paraId="4A5F35DC" w14:textId="5A3AA7A7" w:rsidR="00D77396" w:rsidRPr="00F66E08" w:rsidRDefault="00D77396" w:rsidP="005A1DC2">
      <w:pPr>
        <w:pStyle w:val="FootnoteText"/>
      </w:pPr>
      <w:r w:rsidRPr="005A1DC2">
        <w:rPr>
          <w:rStyle w:val="FootnoteReference"/>
        </w:rPr>
        <w:footnoteRef/>
      </w:r>
      <w:r w:rsidRPr="005A1DC2">
        <w:t xml:space="preserve"> Facebook, published on July 24, 2020, Maykel Osorbo account 349. Available in: </w:t>
      </w:r>
      <w:hyperlink r:id="rId5" w:history="1">
        <w:r w:rsidRPr="005A1DC2">
          <w:rPr>
            <w:rStyle w:val="Hyperlink"/>
          </w:rPr>
          <w:t>https://www.facebook.com/maykelosorbo349/videos/205863560846298/</w:t>
        </w:r>
      </w:hyperlink>
      <w:r w:rsidRPr="005A1DC2">
        <w:t xml:space="preserve"> </w:t>
      </w:r>
    </w:p>
  </w:footnote>
  <w:footnote w:id="49">
    <w:p w14:paraId="4C7948CB" w14:textId="68444E06" w:rsidR="009B7CD6" w:rsidRPr="00F66E08" w:rsidRDefault="009B7CD6" w:rsidP="005A1DC2">
      <w:pPr>
        <w:pStyle w:val="FootnoteText"/>
      </w:pPr>
      <w:r w:rsidRPr="005A1DC2">
        <w:rPr>
          <w:rStyle w:val="FootnoteReference"/>
        </w:rPr>
        <w:footnoteRef/>
      </w:r>
      <w:r w:rsidRPr="005A1DC2">
        <w:t xml:space="preserve"> DNA Cuba. Regime police arrest rapper Maykel Osorbo. August 4, 2020. Available in: </w:t>
      </w:r>
      <w:hyperlink r:id="rId6" w:history="1">
        <w:r w:rsidRPr="005A1DC2">
          <w:rPr>
            <w:rStyle w:val="Hyperlink"/>
          </w:rPr>
          <w:t>https://adncuba.com/noticias-de-cuba/actualidad/policia-del-regimen-detiene-al-rapero-maykel-osorbo</w:t>
        </w:r>
      </w:hyperlink>
      <w:r w:rsidRPr="005A1DC2">
        <w:t xml:space="preserve">; Facebook, published on August 18, 2020, account of Maykel Osorbo 349. Available in: </w:t>
      </w:r>
      <w:hyperlink r:id="rId7" w:history="1">
        <w:r w:rsidRPr="005A1DC2">
          <w:rPr>
            <w:rStyle w:val="Hyperlink"/>
          </w:rPr>
          <w:t>https://www.facebook.com/100052174990089/posts/196355815173361/</w:t>
        </w:r>
      </w:hyperlink>
      <w:r w:rsidRPr="005A1DC2">
        <w:t xml:space="preserve">; Facebook, published on September 28, 2020, account of Maykel Osorbo 349. Available in:  </w:t>
      </w:r>
      <w:hyperlink r:id="rId8" w:history="1">
        <w:r w:rsidRPr="005A1DC2">
          <w:rPr>
            <w:rStyle w:val="Hyperlink"/>
          </w:rPr>
          <w:t>https://www.facebook.com/101986484610295/photos/a.106299627512314/206021957540080/?type=3</w:t>
        </w:r>
      </w:hyperlink>
      <w:r w:rsidRPr="005A1DC2">
        <w:t xml:space="preserve">;   YouTube, Arrest of Maykel Osorbo on November 14 in Cuba and Chacón, November 16, 2020. Available in: </w:t>
      </w:r>
      <w:hyperlink r:id="rId9" w:history="1">
        <w:r w:rsidRPr="005A1DC2">
          <w:rPr>
            <w:rStyle w:val="Hyperlink"/>
          </w:rPr>
          <w:t>https://www.youtube.com/watch?v=vAIJUZxtgt8</w:t>
        </w:r>
      </w:hyperlink>
      <w:r w:rsidRPr="005A1DC2">
        <w:t xml:space="preserve">; Facebook, published on December 17, 2020, account of Anamely Ramos González. Available at: </w:t>
      </w:r>
      <w:hyperlink r:id="rId10" w:history="1">
        <w:r w:rsidRPr="005A1DC2">
          <w:rPr>
            <w:rStyle w:val="Hyperlink"/>
          </w:rPr>
          <w:t>https://www.facebook.com/anamely.ramosgonzalez/posts/1999488470194239</w:t>
        </w:r>
      </w:hyperlink>
      <w:r w:rsidRPr="005A1DC2">
        <w:t xml:space="preserve">.  </w:t>
      </w:r>
    </w:p>
  </w:footnote>
  <w:footnote w:id="50">
    <w:p w14:paraId="536FFC2B" w14:textId="1783AE47" w:rsidR="003F4419" w:rsidRPr="00F66E08" w:rsidRDefault="003F4419" w:rsidP="005A1DC2">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sz w:val="16"/>
          <w:szCs w:val="16"/>
        </w:rPr>
      </w:pPr>
      <w:r w:rsidRPr="005A1DC2">
        <w:rPr>
          <w:rStyle w:val="FootnoteReference"/>
          <w:rFonts w:asciiTheme="majorHAnsi" w:hAnsiTheme="majorHAnsi"/>
          <w:sz w:val="16"/>
          <w:szCs w:val="16"/>
        </w:rPr>
        <w:footnoteRef/>
      </w:r>
      <w:r w:rsidRPr="005A1DC2">
        <w:rPr>
          <w:rFonts w:asciiTheme="majorHAnsi" w:hAnsiTheme="majorHAnsi"/>
          <w:sz w:val="16"/>
          <w:szCs w:val="16"/>
        </w:rPr>
        <w:t xml:space="preserve"> IACHR. Resolution 14/2021. Precautionary Measure No. 1101/20. 20 identified members of the San Isidro Movement (MSI) regarding Cuba. February 11, 2021, para. 6.</w:t>
      </w:r>
    </w:p>
  </w:footnote>
  <w:footnote w:id="51">
    <w:p w14:paraId="738BF74B" w14:textId="77777777" w:rsidR="003F4419" w:rsidRPr="00F66E08" w:rsidRDefault="003F4419" w:rsidP="005A1DC2">
      <w:pPr>
        <w:pStyle w:val="FootnoteText"/>
      </w:pPr>
      <w:r w:rsidRPr="005A1DC2">
        <w:rPr>
          <w:rStyle w:val="FootnoteReference"/>
        </w:rPr>
        <w:footnoteRef/>
      </w:r>
      <w:r w:rsidRPr="005A1DC2">
        <w:t xml:space="preserve"> </w:t>
      </w:r>
      <w:r w:rsidRPr="005A1DC2">
        <w:rPr>
          <w:color w:val="auto"/>
        </w:rPr>
        <w:t>Communication from the petitioner dated March 18, 2021.</w:t>
      </w:r>
    </w:p>
  </w:footnote>
  <w:footnote w:id="52">
    <w:p w14:paraId="20E2D640" w14:textId="43942DAB" w:rsidR="00844082" w:rsidRPr="00F66E08" w:rsidRDefault="00844082" w:rsidP="005A1DC2">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sz w:val="16"/>
          <w:szCs w:val="16"/>
        </w:rPr>
      </w:pPr>
      <w:r w:rsidRPr="005A1DC2">
        <w:rPr>
          <w:rStyle w:val="FootnoteReference"/>
          <w:rFonts w:asciiTheme="majorHAnsi" w:hAnsiTheme="majorHAnsi"/>
          <w:sz w:val="16"/>
          <w:szCs w:val="16"/>
        </w:rPr>
        <w:footnoteRef/>
      </w:r>
      <w:r w:rsidRPr="005A1DC2">
        <w:rPr>
          <w:rFonts w:asciiTheme="majorHAnsi" w:hAnsiTheme="majorHAnsi"/>
          <w:sz w:val="16"/>
          <w:szCs w:val="16"/>
        </w:rPr>
        <w:t xml:space="preserve"> IACHR. Resolution 14/2021. Precautionary Measure No. 1101/20. 20 identified members of the San Isidro Movement (MSI) regarding Cuba. 2021 February 11, para. 12.</w:t>
      </w:r>
    </w:p>
  </w:footnote>
  <w:footnote w:id="53">
    <w:p w14:paraId="62BE8B02" w14:textId="77777777" w:rsidR="003F4419" w:rsidRPr="00F66E08" w:rsidRDefault="003F4419" w:rsidP="005A1DC2">
      <w:pPr>
        <w:pStyle w:val="FootnoteText"/>
      </w:pPr>
      <w:r w:rsidRPr="005A1DC2">
        <w:rPr>
          <w:rStyle w:val="FootnoteReference"/>
        </w:rPr>
        <w:footnoteRef/>
      </w:r>
      <w:r w:rsidRPr="005A1DC2">
        <w:t xml:space="preserve"> </w:t>
      </w:r>
      <w:r w:rsidRPr="005A1DC2">
        <w:rPr>
          <w:color w:val="auto"/>
        </w:rPr>
        <w:t>Communication from the petitioner dated March 18, 2021.</w:t>
      </w:r>
    </w:p>
  </w:footnote>
  <w:footnote w:id="54">
    <w:p w14:paraId="4BD779AF" w14:textId="42E7BCDE" w:rsidR="00AB0D73" w:rsidRPr="00F66E08" w:rsidRDefault="00AB0D73" w:rsidP="005A1DC2">
      <w:pPr>
        <w:pStyle w:val="FootnoteText"/>
      </w:pPr>
      <w:r w:rsidRPr="005A1DC2">
        <w:rPr>
          <w:rStyle w:val="FootnoteReference"/>
        </w:rPr>
        <w:footnoteRef/>
      </w:r>
      <w:r w:rsidRPr="005A1DC2">
        <w:t xml:space="preserve"> </w:t>
      </w:r>
      <w:r w:rsidRPr="005A1DC2">
        <w:rPr>
          <w:color w:val="auto"/>
        </w:rPr>
        <w:t>Communication from the petitioner dated March 18, 2021.</w:t>
      </w:r>
    </w:p>
  </w:footnote>
  <w:footnote w:id="55">
    <w:p w14:paraId="0112C3DC" w14:textId="61619E58" w:rsidR="00AB0D73" w:rsidRPr="00F66E08" w:rsidRDefault="00AB0D73" w:rsidP="005A1DC2">
      <w:pPr>
        <w:pStyle w:val="FootnoteText"/>
      </w:pPr>
      <w:r w:rsidRPr="005A1DC2">
        <w:rPr>
          <w:rStyle w:val="FootnoteReference"/>
        </w:rPr>
        <w:footnoteRef/>
      </w:r>
      <w:r w:rsidRPr="005A1DC2">
        <w:rPr>
          <w:color w:val="auto"/>
        </w:rPr>
        <w:t>Youtube</w:t>
      </w:r>
      <w:r w:rsidRPr="005A1DC2">
        <w:t xml:space="preserve">, Anamely updates the situation of MSI strikers, November 29, 2020. Available in: </w:t>
      </w:r>
      <w:hyperlink r:id="rId11" w:history="1">
        <w:r w:rsidRPr="005A1DC2">
          <w:rPr>
            <w:rStyle w:val="Hyperlink"/>
            <w:rFonts w:cs="TimesNewRomanPSMT"/>
          </w:rPr>
          <w:t>https://www.youtube.com/watch?v=AIRzzt3QtAY</w:t>
        </w:r>
      </w:hyperlink>
      <w:r w:rsidRPr="005A1DC2">
        <w:t xml:space="preserve">  </w:t>
      </w:r>
    </w:p>
  </w:footnote>
  <w:footnote w:id="56">
    <w:p w14:paraId="4DD2B8F6" w14:textId="62452E7E" w:rsidR="00B00E22" w:rsidRPr="00F66E08" w:rsidRDefault="00B00E22" w:rsidP="005A1DC2">
      <w:pPr>
        <w:pStyle w:val="FootnoteText"/>
      </w:pPr>
      <w:r w:rsidRPr="005A1DC2">
        <w:rPr>
          <w:rStyle w:val="FootnoteReference"/>
        </w:rPr>
        <w:footnoteRef/>
      </w:r>
      <w:r w:rsidRPr="005A1DC2">
        <w:t xml:space="preserve"> </w:t>
      </w:r>
      <w:r w:rsidRPr="005A1DC2">
        <w:rPr>
          <w:color w:val="auto"/>
        </w:rPr>
        <w:t>Communication from the petitioner dated March 18, 2021.</w:t>
      </w:r>
    </w:p>
  </w:footnote>
  <w:footnote w:id="57">
    <w:p w14:paraId="3BA7AD17" w14:textId="0F46B8BA" w:rsidR="00B00E22" w:rsidRPr="00F66E08" w:rsidRDefault="00B00E22" w:rsidP="005A1DC2">
      <w:pPr>
        <w:pStyle w:val="FootnoteText"/>
      </w:pPr>
      <w:r w:rsidRPr="005A1DC2">
        <w:rPr>
          <w:rStyle w:val="FootnoteReference"/>
        </w:rPr>
        <w:footnoteRef/>
      </w:r>
      <w:r w:rsidRPr="005A1DC2">
        <w:t xml:space="preserve"> Facebook, published on December 15, 2020, account of Omara Isabel Ruiz Urquiola. Available at: </w:t>
      </w:r>
      <w:hyperlink r:id="rId12" w:history="1">
        <w:r w:rsidR="00A8681F" w:rsidRPr="005A1DC2">
          <w:rPr>
            <w:rStyle w:val="Hyperlink"/>
          </w:rPr>
          <w:t>https://www.facebook.com/omara.ruizurquiola.12/videos/1754862138001981</w:t>
        </w:r>
      </w:hyperlink>
      <w:r w:rsidR="00A8681F" w:rsidRPr="005A1DC2">
        <w:t xml:space="preserve">. </w:t>
      </w:r>
    </w:p>
  </w:footnote>
  <w:footnote w:id="58">
    <w:p w14:paraId="36AB3CB8" w14:textId="77777777" w:rsidR="003F4419" w:rsidRPr="00F66E08" w:rsidRDefault="003F4419" w:rsidP="005A1DC2">
      <w:pPr>
        <w:pStyle w:val="FootnoteText"/>
      </w:pPr>
      <w:r w:rsidRPr="005A1DC2">
        <w:rPr>
          <w:rStyle w:val="FootnoteReference"/>
        </w:rPr>
        <w:footnoteRef/>
      </w:r>
      <w:r w:rsidRPr="005A1DC2">
        <w:t xml:space="preserve"> </w:t>
      </w:r>
      <w:r w:rsidRPr="005A1DC2">
        <w:rPr>
          <w:color w:val="auto"/>
        </w:rPr>
        <w:t>Communication from the petitioner dated March 18, 2021.</w:t>
      </w:r>
    </w:p>
  </w:footnote>
  <w:footnote w:id="59">
    <w:p w14:paraId="4D09DAE1" w14:textId="01827372" w:rsidR="00A8681F" w:rsidRPr="00F66E08" w:rsidRDefault="00A8681F" w:rsidP="005A1DC2">
      <w:pPr>
        <w:pStyle w:val="FootnoteText"/>
      </w:pPr>
      <w:r w:rsidRPr="005A1DC2">
        <w:rPr>
          <w:rStyle w:val="FootnoteReference"/>
        </w:rPr>
        <w:footnoteRef/>
      </w:r>
      <w:r w:rsidRPr="005A1DC2">
        <w:t xml:space="preserve"> </w:t>
      </w:r>
      <w:r w:rsidRPr="005A1DC2">
        <w:rPr>
          <w:color w:val="auto"/>
        </w:rPr>
        <w:t>Communication from the petitioner dated March 18, 2021.</w:t>
      </w:r>
    </w:p>
  </w:footnote>
  <w:footnote w:id="60">
    <w:p w14:paraId="1B98E4F7" w14:textId="21BB4F87" w:rsidR="00DC5CBF" w:rsidRPr="00F66E08" w:rsidRDefault="00DC5CBF" w:rsidP="005A1DC2">
      <w:pPr>
        <w:pStyle w:val="FootnoteText"/>
      </w:pPr>
      <w:r w:rsidRPr="005A1DC2">
        <w:rPr>
          <w:rStyle w:val="FootnoteReference"/>
        </w:rPr>
        <w:footnoteRef/>
      </w:r>
      <w:r w:rsidRPr="005A1DC2">
        <w:t xml:space="preserve"> El Toque. What happened on January 27 in front of the Ministry of Culture? January 26, 2021. Available in: </w:t>
      </w:r>
      <w:hyperlink r:id="rId13" w:history="1">
        <w:r w:rsidRPr="005A1DC2">
          <w:rPr>
            <w:rStyle w:val="Hyperlink"/>
          </w:rPr>
          <w:t>https://eltoque.com/que-paso-el-27-de-enero-frente-al-ministerio-de-cultura-cuba</w:t>
        </w:r>
      </w:hyperlink>
      <w:r w:rsidRPr="005A1DC2">
        <w:t xml:space="preserve">; DDC. Rapper Maykel Castillo and artist Tania Bruguera released. January 28, 2021. Available in: </w:t>
      </w:r>
      <w:hyperlink r:id="rId14" w:history="1">
        <w:r w:rsidRPr="005A1DC2">
          <w:rPr>
            <w:rStyle w:val="Hyperlink"/>
          </w:rPr>
          <w:t>https://diariodecuba.com/derechos-humanos/1611828438_28387.html</w:t>
        </w:r>
      </w:hyperlink>
      <w:r w:rsidRPr="005A1DC2">
        <w:t xml:space="preserve"> </w:t>
      </w:r>
    </w:p>
  </w:footnote>
  <w:footnote w:id="61">
    <w:p w14:paraId="4BA695CA" w14:textId="49DC9E20" w:rsidR="00DC5CBF" w:rsidRPr="00F66E08" w:rsidRDefault="00DC5CBF" w:rsidP="005A1DC2">
      <w:pPr>
        <w:pStyle w:val="FootnoteText"/>
      </w:pPr>
      <w:r w:rsidRPr="005A1DC2">
        <w:rPr>
          <w:rStyle w:val="FootnoteReference"/>
        </w:rPr>
        <w:footnoteRef/>
      </w:r>
      <w:r w:rsidRPr="005A1DC2">
        <w:t xml:space="preserve"> CiberCuba. Maykel Osorbo: "The concert that goes, goes." January 28, 2021. Available in: </w:t>
      </w:r>
      <w:hyperlink r:id="rId15" w:history="1">
        <w:r w:rsidRPr="005A1DC2">
          <w:rPr>
            <w:rStyle w:val="Hyperlink"/>
          </w:rPr>
          <w:t>https://www.cibercuba.com/noticias/2021-01-28-u192519-e192519-s27061-maykel-osorbo-concierto</w:t>
        </w:r>
      </w:hyperlink>
      <w:r w:rsidRPr="005A1DC2">
        <w:t xml:space="preserve"> </w:t>
      </w:r>
    </w:p>
  </w:footnote>
  <w:footnote w:id="62">
    <w:p w14:paraId="251B8719" w14:textId="131574D6" w:rsidR="00B00E22" w:rsidRPr="00F66E08" w:rsidRDefault="00B00E22" w:rsidP="005A1DC2">
      <w:pPr>
        <w:pStyle w:val="FootnoteText"/>
      </w:pPr>
      <w:r w:rsidRPr="005A1DC2">
        <w:rPr>
          <w:rStyle w:val="FootnoteReference"/>
        </w:rPr>
        <w:footnoteRef/>
      </w:r>
      <w:r w:rsidRPr="005A1DC2">
        <w:t xml:space="preserve"> </w:t>
      </w:r>
      <w:r w:rsidRPr="005A1DC2">
        <w:rPr>
          <w:color w:val="auto"/>
        </w:rPr>
        <w:t>Communication from the petitioner dated March 18, 2021.</w:t>
      </w:r>
    </w:p>
  </w:footnote>
  <w:footnote w:id="63">
    <w:p w14:paraId="23261CE2" w14:textId="39300026" w:rsidR="00BE35A4" w:rsidRPr="00F66E08" w:rsidRDefault="00BE35A4" w:rsidP="005A1DC2">
      <w:pPr>
        <w:pStyle w:val="FootnoteText"/>
      </w:pPr>
      <w:r w:rsidRPr="005A1DC2">
        <w:rPr>
          <w:rStyle w:val="FootnoteReference"/>
        </w:rPr>
        <w:footnoteRef/>
      </w:r>
      <w:r w:rsidRPr="005A1DC2">
        <w:t xml:space="preserve"> </w:t>
      </w:r>
      <w:r w:rsidRPr="005A1DC2">
        <w:rPr>
          <w:color w:val="auto"/>
        </w:rPr>
        <w:t>Communication from the petitioner dated March 18, 2021.</w:t>
      </w:r>
    </w:p>
  </w:footnote>
  <w:footnote w:id="64">
    <w:p w14:paraId="00E7DBB4" w14:textId="4EE95964" w:rsidR="000E2D77" w:rsidRPr="00F66E08" w:rsidRDefault="000E2D77" w:rsidP="005A1DC2">
      <w:pPr>
        <w:pStyle w:val="FootnoteText"/>
      </w:pPr>
      <w:r w:rsidRPr="005A1DC2">
        <w:rPr>
          <w:rStyle w:val="FootnoteReference"/>
        </w:rPr>
        <w:footnoteRef/>
      </w:r>
      <w:r w:rsidRPr="005A1DC2">
        <w:t xml:space="preserve"> CubitaNow. Maykel Osorbo has been arrested again by State Security. </w:t>
      </w:r>
      <w:r w:rsidRPr="00F66E08">
        <w:rPr>
          <w:lang w:val="es-ES"/>
        </w:rPr>
        <w:t xml:space="preserve">February 1, 2021. Available in: </w:t>
      </w:r>
      <w:hyperlink r:id="rId16" w:history="1">
        <w:r w:rsidRPr="00F66E08">
          <w:rPr>
            <w:rStyle w:val="Hyperlink"/>
            <w:lang w:val="es-ES"/>
          </w:rPr>
          <w:t>https://noticias.cubitanow.com/maykel-osorbo-ha-sido-detenido-otra-vez-por-la-seguridad-del-estado</w:t>
        </w:r>
      </w:hyperlink>
      <w:r w:rsidRPr="00F66E08">
        <w:rPr>
          <w:lang w:val="es-ES"/>
        </w:rPr>
        <w:t xml:space="preserve">-; Diario Las Américas. </w:t>
      </w:r>
      <w:r w:rsidRPr="005A1DC2">
        <w:t xml:space="preserve">Rapper Maykel Osorbo arrested after criticizing the regime. Available in; </w:t>
      </w:r>
      <w:hyperlink r:id="rId17" w:history="1">
        <w:r w:rsidRPr="005A1DC2">
          <w:rPr>
            <w:rStyle w:val="Hyperlink"/>
          </w:rPr>
          <w:t>https://www.diariolasamericas.com/america-latina/detienen-rapero-maykel-osorbo-criticar-al-regimen-n4215763</w:t>
        </w:r>
      </w:hyperlink>
      <w:r w:rsidRPr="005A1DC2">
        <w:t xml:space="preserve">;  DNA Cuba. Police harassment against Osorbo continues: he is arrested again. February 9, 2021. Available at: </w:t>
      </w:r>
      <w:hyperlink r:id="rId18" w:history="1">
        <w:r w:rsidRPr="005A1DC2">
          <w:rPr>
            <w:rStyle w:val="Hyperlink"/>
          </w:rPr>
          <w:t>https://adncuba.com/noticias-de-cuba/actualidad/osorbo-vuelve-ser-detenido</w:t>
        </w:r>
      </w:hyperlink>
      <w:r w:rsidRPr="005A1DC2">
        <w:t xml:space="preserve">. </w:t>
      </w:r>
    </w:p>
  </w:footnote>
  <w:footnote w:id="65">
    <w:p w14:paraId="1AD18E44" w14:textId="04939464" w:rsidR="00B00E22" w:rsidRPr="00F66E08" w:rsidRDefault="00B00E22" w:rsidP="005A1DC2">
      <w:pPr>
        <w:pStyle w:val="FootnoteText"/>
      </w:pPr>
      <w:r w:rsidRPr="005A1DC2">
        <w:rPr>
          <w:rStyle w:val="FootnoteReference"/>
        </w:rPr>
        <w:footnoteRef/>
      </w:r>
      <w:r w:rsidRPr="005A1DC2">
        <w:t xml:space="preserve"> </w:t>
      </w:r>
      <w:r w:rsidRPr="005A1DC2">
        <w:rPr>
          <w:color w:val="auto"/>
        </w:rPr>
        <w:t>Communication from the petitioner dated March 18, 2021.</w:t>
      </w:r>
    </w:p>
  </w:footnote>
  <w:footnote w:id="66">
    <w:p w14:paraId="3F7D3EC6" w14:textId="790481F0" w:rsidR="00BE35A4" w:rsidRPr="00F66E08" w:rsidRDefault="00BE35A4" w:rsidP="005A1DC2">
      <w:pPr>
        <w:autoSpaceDE w:val="0"/>
        <w:autoSpaceDN w:val="0"/>
        <w:adjustRightInd w:val="0"/>
        <w:jc w:val="both"/>
        <w:rPr>
          <w:rFonts w:asciiTheme="majorHAnsi" w:hAnsiTheme="majorHAnsi" w:cs="TimesNewRomanPSMT"/>
          <w:sz w:val="16"/>
          <w:szCs w:val="16"/>
        </w:rPr>
      </w:pPr>
      <w:r w:rsidRPr="005A1DC2">
        <w:rPr>
          <w:rStyle w:val="FootnoteReference"/>
          <w:rFonts w:asciiTheme="majorHAnsi" w:hAnsiTheme="majorHAnsi"/>
          <w:sz w:val="16"/>
          <w:szCs w:val="16"/>
        </w:rPr>
        <w:footnoteRef/>
      </w:r>
      <w:r w:rsidRPr="005A1DC2">
        <w:rPr>
          <w:rFonts w:asciiTheme="majorHAnsi" w:hAnsiTheme="majorHAnsi" w:cs="TimesNewRomanPSMT"/>
          <w:sz w:val="16"/>
          <w:szCs w:val="16"/>
        </w:rPr>
        <w:t xml:space="preserve">Facebook, published on February 6, 2021, account of Maykel Osorbo 349. Available in: </w:t>
      </w:r>
      <w:hyperlink r:id="rId19" w:history="1">
        <w:r w:rsidRPr="005A1DC2">
          <w:rPr>
            <w:rStyle w:val="Hyperlink"/>
            <w:rFonts w:asciiTheme="majorHAnsi" w:hAnsiTheme="majorHAnsi" w:cs="TimesNewRomanPSMT"/>
            <w:sz w:val="16"/>
            <w:szCs w:val="16"/>
          </w:rPr>
          <w:t>https://www.facebook.com/maykelosorbo349/videos/435714627775513/</w:t>
        </w:r>
      </w:hyperlink>
      <w:r w:rsidRPr="005A1DC2">
        <w:rPr>
          <w:rFonts w:asciiTheme="majorHAnsi" w:hAnsiTheme="majorHAnsi" w:cs="TimesNewRomanPSMT"/>
          <w:sz w:val="16"/>
          <w:szCs w:val="16"/>
        </w:rPr>
        <w:t xml:space="preserve">; Facebook, published on February 6, 2021, Maykel Osorbo 349 account. Available at: </w:t>
      </w:r>
      <w:hyperlink r:id="rId20" w:history="1">
        <w:r w:rsidRPr="005A1DC2">
          <w:rPr>
            <w:rStyle w:val="Hyperlink"/>
            <w:rFonts w:asciiTheme="majorHAnsi" w:hAnsiTheme="majorHAnsi" w:cs="TimesNewRomanPSMT"/>
            <w:sz w:val="16"/>
            <w:szCs w:val="16"/>
          </w:rPr>
          <w:t>https://www.facebook.com/101986484610295/videos/142159997740696/</w:t>
        </w:r>
      </w:hyperlink>
      <w:r w:rsidRPr="005A1DC2">
        <w:rPr>
          <w:rFonts w:asciiTheme="majorHAnsi" w:hAnsiTheme="majorHAnsi" w:cs="TimesNewRomanPSMT"/>
          <w:sz w:val="16"/>
          <w:szCs w:val="16"/>
        </w:rPr>
        <w:t xml:space="preserve">. </w:t>
      </w:r>
    </w:p>
  </w:footnote>
  <w:footnote w:id="67">
    <w:p w14:paraId="54EE7B09" w14:textId="2CB067BE" w:rsidR="003803D7" w:rsidRPr="00F66E08" w:rsidRDefault="003803D7" w:rsidP="005A1DC2">
      <w:pPr>
        <w:pStyle w:val="FootnoteText"/>
      </w:pPr>
      <w:r w:rsidRPr="005A1DC2">
        <w:rPr>
          <w:rStyle w:val="FootnoteReference"/>
        </w:rPr>
        <w:footnoteRef/>
      </w:r>
      <w:r w:rsidRPr="005A1DC2">
        <w:t xml:space="preserve"> </w:t>
      </w:r>
      <w:r w:rsidRPr="005A1DC2">
        <w:rPr>
          <w:color w:val="auto"/>
        </w:rPr>
        <w:t>Communication from the petitioner dated March 18, 2021.</w:t>
      </w:r>
    </w:p>
  </w:footnote>
  <w:footnote w:id="68">
    <w:p w14:paraId="59E72C1F" w14:textId="5A16BACE" w:rsidR="009B2DFF" w:rsidRPr="00F66E08" w:rsidRDefault="009B2DFF" w:rsidP="005A1DC2">
      <w:pPr>
        <w:pStyle w:val="FootnoteText"/>
      </w:pPr>
      <w:r w:rsidRPr="005A1DC2">
        <w:rPr>
          <w:rStyle w:val="FootnoteReference"/>
        </w:rPr>
        <w:footnoteRef/>
      </w:r>
      <w:r w:rsidRPr="005A1DC2">
        <w:t xml:space="preserve"> Committee on Enforced Disappearances, Communication of May 28, 2021. Application AU No. 1182/2021.</w:t>
      </w:r>
    </w:p>
  </w:footnote>
  <w:footnote w:id="69">
    <w:p w14:paraId="5DECA20E" w14:textId="1A743D9D" w:rsidR="000F30A5" w:rsidRPr="00F66E08" w:rsidRDefault="000F30A5" w:rsidP="005A1DC2">
      <w:pPr>
        <w:pStyle w:val="FootnoteText"/>
      </w:pPr>
      <w:r w:rsidRPr="005A1DC2">
        <w:rPr>
          <w:rStyle w:val="FootnoteReference"/>
        </w:rPr>
        <w:footnoteRef/>
      </w:r>
      <w:r w:rsidRPr="005A1DC2">
        <w:t xml:space="preserve"> Freedom House. Cuba We Condemn the Arbitrary Detention of Musician and Activist Maykel Osorbo and Support an International Investigation. August 10, 2021. Available at: </w:t>
      </w:r>
      <w:hyperlink r:id="rId21" w:history="1">
        <w:r w:rsidRPr="005A1DC2">
          <w:rPr>
            <w:rStyle w:val="Hyperlink"/>
          </w:rPr>
          <w:t>https://freedomhouse.org/es/article/cuba-condenamos-la-detencion-arbitraria-del-musico-y-activista-maykel-osorbo-y-apoyamos-una</w:t>
        </w:r>
      </w:hyperlink>
      <w:r w:rsidRPr="005A1DC2">
        <w:t xml:space="preserve">. </w:t>
      </w:r>
    </w:p>
  </w:footnote>
  <w:footnote w:id="70">
    <w:p w14:paraId="03BE1089" w14:textId="41CE2493" w:rsidR="00FD08BD" w:rsidRPr="00F66E08" w:rsidRDefault="00FD08BD" w:rsidP="005A1DC2">
      <w:pPr>
        <w:pStyle w:val="FootnoteText"/>
      </w:pPr>
      <w:r w:rsidRPr="005A1DC2">
        <w:rPr>
          <w:rStyle w:val="FootnoteReference"/>
        </w:rPr>
        <w:footnoteRef/>
      </w:r>
      <w:r w:rsidRPr="005A1DC2">
        <w:t xml:space="preserve"> Working Group on Arbitrary Detentions, Opinion No. 63/2021, concerning Maykel Castillo Pérez (Cuba), February 4, 2022, paras. 98-101.</w:t>
      </w:r>
    </w:p>
  </w:footnote>
  <w:footnote w:id="71">
    <w:p w14:paraId="1643420D" w14:textId="78BEA069" w:rsidR="00015735" w:rsidRPr="00F66E08" w:rsidRDefault="00015735" w:rsidP="005A1DC2">
      <w:pPr>
        <w:pStyle w:val="FootnoteText"/>
      </w:pPr>
      <w:r w:rsidRPr="005A1DC2">
        <w:rPr>
          <w:rStyle w:val="FootnoteReference"/>
        </w:rPr>
        <w:footnoteRef/>
      </w:r>
      <w:r w:rsidRPr="005A1DC2">
        <w:rPr>
          <w:color w:val="auto"/>
        </w:rPr>
        <w:t xml:space="preserve">Amnesty International. Cuba: Maykel Osorbo prisoner of conscience in danger.  August 1, 2023. Available in: </w:t>
      </w:r>
      <w:hyperlink r:id="rId22" w:history="1">
        <w:r w:rsidRPr="005A1DC2">
          <w:rPr>
            <w:rStyle w:val="Hyperlink"/>
            <w:color w:val="auto"/>
          </w:rPr>
          <w:t>https://www.amnesty.org/es/documents/amr25/7078/2023/es/</w:t>
        </w:r>
      </w:hyperlink>
    </w:p>
  </w:footnote>
  <w:footnote w:id="72">
    <w:p w14:paraId="512CE8B7" w14:textId="77777777" w:rsidR="00A707DB" w:rsidRPr="00F66E08" w:rsidRDefault="00A707DB" w:rsidP="005A1DC2">
      <w:pPr>
        <w:pStyle w:val="FootnoteText"/>
        <w:rPr>
          <w:color w:val="auto"/>
        </w:rPr>
      </w:pPr>
      <w:r w:rsidRPr="005A1DC2">
        <w:rPr>
          <w:rStyle w:val="FootnoteReference"/>
          <w:color w:val="auto"/>
        </w:rPr>
        <w:footnoteRef/>
      </w:r>
      <w:r w:rsidRPr="005A1DC2">
        <w:rPr>
          <w:color w:val="auto"/>
        </w:rPr>
        <w:t xml:space="preserve"> Inter-American Court of Human Rights. </w:t>
      </w:r>
      <w:r w:rsidRPr="005A1DC2">
        <w:rPr>
          <w:i/>
          <w:color w:val="auto"/>
        </w:rPr>
        <w:t>Interpretation of the American Declaration of the Rights and Duties of Man in the Framework of Article 64 of the American Convention on Human Rights</w:t>
      </w:r>
      <w:r w:rsidRPr="005A1DC2">
        <w:rPr>
          <w:color w:val="auto"/>
        </w:rPr>
        <w:t>. Advisory Opinion OC-10/89 of July 14, 1989 [hereinafter "</w:t>
      </w:r>
      <w:r w:rsidRPr="005A1DC2">
        <w:rPr>
          <w:i/>
          <w:color w:val="auto"/>
        </w:rPr>
        <w:t>Interpretation of the American Declaration</w:t>
      </w:r>
      <w:r w:rsidRPr="005A1DC2">
        <w:rPr>
          <w:color w:val="auto"/>
        </w:rPr>
        <w:t>"], para. 47 ("Member States have understood that the Declaration contains and defines those essential human rights to which the Charter refers, so that the Charter of the Organization cannot be interpreted and applied in the field of human rights,  without integrating the relevant norms of the Declaration with the corresponding provisions of the Declaration, as is apparent from the practice followed by the organs of the OAS").</w:t>
      </w:r>
    </w:p>
  </w:footnote>
  <w:footnote w:id="73">
    <w:p w14:paraId="42E88A20" w14:textId="77777777" w:rsidR="00A707DB" w:rsidRPr="00F66E08" w:rsidRDefault="00A707DB" w:rsidP="005A1DC2">
      <w:pPr>
        <w:pStyle w:val="Footnotes"/>
        <w:spacing w:after="0"/>
        <w:ind w:firstLine="0"/>
        <w:rPr>
          <w:rFonts w:asciiTheme="majorHAnsi" w:hAnsiTheme="majorHAnsi"/>
          <w:b/>
          <w:sz w:val="16"/>
          <w:szCs w:val="16"/>
        </w:rPr>
      </w:pPr>
      <w:r w:rsidRPr="005A1DC2">
        <w:rPr>
          <w:rStyle w:val="FootnoteReference"/>
          <w:rFonts w:asciiTheme="majorHAnsi" w:eastAsia="Trebuchet MS" w:hAnsiTheme="majorHAnsi"/>
          <w:sz w:val="16"/>
          <w:szCs w:val="16"/>
        </w:rPr>
        <w:footnoteRef/>
      </w:r>
      <w:r w:rsidRPr="005A1DC2">
        <w:rPr>
          <w:rFonts w:asciiTheme="majorHAnsi" w:hAnsiTheme="majorHAnsi"/>
          <w:sz w:val="16"/>
          <w:szCs w:val="16"/>
        </w:rPr>
        <w:t xml:space="preserve"> IACHR. Report No. 50/16, Case 12.834. Fonds (Publication). </w:t>
      </w:r>
      <w:r w:rsidRPr="005A1DC2">
        <w:rPr>
          <w:rFonts w:asciiTheme="majorHAnsi" w:hAnsiTheme="majorHAnsi"/>
          <w:i/>
          <w:sz w:val="16"/>
          <w:szCs w:val="16"/>
        </w:rPr>
        <w:t>Undocumented workers.</w:t>
      </w:r>
      <w:r w:rsidRPr="005A1DC2">
        <w:rPr>
          <w:rFonts w:asciiTheme="majorHAnsi" w:hAnsiTheme="majorHAnsi"/>
          <w:sz w:val="16"/>
          <w:szCs w:val="16"/>
        </w:rPr>
        <w:t xml:space="preserve"> United States of America, November 30, 2016, para. 68. See Inter-American Court of Human Rights, </w:t>
      </w:r>
      <w:r w:rsidRPr="005A1DC2">
        <w:rPr>
          <w:rFonts w:asciiTheme="majorHAnsi" w:hAnsiTheme="majorHAnsi"/>
          <w:i/>
          <w:sz w:val="16"/>
          <w:szCs w:val="16"/>
        </w:rPr>
        <w:t>Interpretation of the American Declaration</w:t>
      </w:r>
      <w:r w:rsidRPr="005A1DC2">
        <w:rPr>
          <w:rFonts w:asciiTheme="majorHAnsi" w:hAnsiTheme="majorHAnsi"/>
          <w:sz w:val="16"/>
          <w:szCs w:val="16"/>
        </w:rPr>
        <w:t xml:space="preserve">. Advisory Opinion OC-10/89 of July 14, 1989, para. 37. See also ICJ, </w:t>
      </w:r>
      <w:r w:rsidRPr="005A1DC2">
        <w:rPr>
          <w:rFonts w:asciiTheme="majorHAnsi" w:hAnsiTheme="majorHAnsi"/>
          <w:i/>
          <w:sz w:val="16"/>
          <w:szCs w:val="16"/>
        </w:rPr>
        <w:t>Legal consequences for States of South Africa's continued presence in Namibia (South-West Africa) notwithstanding Security Council Resolution 276 (1970).</w:t>
      </w:r>
      <w:r w:rsidRPr="005A1DC2">
        <w:rPr>
          <w:rFonts w:asciiTheme="majorHAnsi" w:hAnsiTheme="majorHAnsi"/>
          <w:sz w:val="16"/>
          <w:szCs w:val="16"/>
        </w:rPr>
        <w:t xml:space="preserve"> Advisory Opinion, ICJ, 1971 Reports, p. 16 ad 31 (stating that "an international instrument must be interpreted and applied within the general framework of the legal system in force at the date of interpretation").</w:t>
      </w:r>
    </w:p>
  </w:footnote>
  <w:footnote w:id="74">
    <w:p w14:paraId="7B760212" w14:textId="77777777" w:rsidR="00BF1791" w:rsidRPr="00F66E08" w:rsidRDefault="00BF1791" w:rsidP="005A1DC2">
      <w:pPr>
        <w:pStyle w:val="Footnotes"/>
        <w:spacing w:after="0"/>
        <w:ind w:firstLine="0"/>
        <w:rPr>
          <w:rFonts w:asciiTheme="majorHAnsi" w:hAnsiTheme="majorHAnsi"/>
          <w:sz w:val="16"/>
          <w:szCs w:val="16"/>
        </w:rPr>
      </w:pPr>
      <w:r w:rsidRPr="005A1DC2">
        <w:rPr>
          <w:rStyle w:val="FootnoteReference"/>
          <w:rFonts w:asciiTheme="majorHAnsi" w:eastAsia="Trebuchet MS" w:hAnsiTheme="majorHAnsi"/>
          <w:sz w:val="16"/>
          <w:szCs w:val="16"/>
        </w:rPr>
        <w:footnoteRef/>
      </w:r>
      <w:r w:rsidRPr="005A1DC2">
        <w:rPr>
          <w:rFonts w:asciiTheme="majorHAnsi" w:hAnsiTheme="majorHAnsi"/>
          <w:sz w:val="16"/>
          <w:szCs w:val="16"/>
        </w:rPr>
        <w:t xml:space="preserve"> IACHR. </w:t>
      </w:r>
      <w:r w:rsidRPr="005A1DC2">
        <w:rPr>
          <w:rFonts w:asciiTheme="majorHAnsi" w:hAnsiTheme="majorHAnsi"/>
          <w:i/>
          <w:sz w:val="16"/>
          <w:szCs w:val="16"/>
        </w:rPr>
        <w:t>Report on the Human Rights Situation of Asylum-Seekers under the Canadian Refugee Status Determination System</w:t>
      </w:r>
      <w:r w:rsidRPr="005A1DC2">
        <w:rPr>
          <w:rFonts w:asciiTheme="majorHAnsi" w:hAnsiTheme="majorHAnsi"/>
          <w:sz w:val="16"/>
          <w:szCs w:val="16"/>
        </w:rPr>
        <w:t xml:space="preserve"> (2000), para. 38; IACHR. </w:t>
      </w:r>
      <w:r w:rsidRPr="005A1DC2">
        <w:rPr>
          <w:rFonts w:asciiTheme="majorHAnsi" w:hAnsiTheme="majorHAnsi"/>
          <w:i/>
          <w:sz w:val="16"/>
          <w:szCs w:val="16"/>
        </w:rPr>
        <w:t>Garza v. United States.</w:t>
      </w:r>
      <w:r w:rsidRPr="005A1DC2">
        <w:rPr>
          <w:rFonts w:asciiTheme="majorHAnsi" w:hAnsiTheme="majorHAnsi"/>
          <w:sz w:val="16"/>
          <w:szCs w:val="16"/>
        </w:rPr>
        <w:t xml:space="preserve"> Case No. 12.275. Annual Report of the IACHR 2000, paras. 88 and 89.</w:t>
      </w:r>
    </w:p>
  </w:footnote>
  <w:footnote w:id="75">
    <w:p w14:paraId="1A95E2FF" w14:textId="1BEA0D1E" w:rsidR="00195604" w:rsidRPr="00F66E08" w:rsidRDefault="00195604" w:rsidP="005A1DC2">
      <w:pPr>
        <w:shd w:val="clear" w:color="auto" w:fill="FFFFFF"/>
        <w:tabs>
          <w:tab w:val="num" w:pos="720"/>
          <w:tab w:val="left" w:pos="1440"/>
          <w:tab w:val="num" w:pos="2040"/>
        </w:tabs>
        <w:jc w:val="both"/>
        <w:rPr>
          <w:rFonts w:asciiTheme="majorHAnsi" w:hAnsiTheme="majorHAnsi"/>
          <w:sz w:val="16"/>
          <w:szCs w:val="16"/>
        </w:rPr>
      </w:pPr>
      <w:r w:rsidRPr="005A1DC2">
        <w:rPr>
          <w:rStyle w:val="FootnoteReference"/>
          <w:rFonts w:asciiTheme="majorHAnsi" w:hAnsiTheme="majorHAnsi"/>
          <w:sz w:val="16"/>
          <w:szCs w:val="16"/>
        </w:rPr>
        <w:footnoteRef/>
      </w:r>
      <w:r w:rsidRPr="005A1DC2">
        <w:rPr>
          <w:rFonts w:asciiTheme="majorHAnsi" w:hAnsiTheme="majorHAnsi"/>
          <w:sz w:val="16"/>
          <w:szCs w:val="16"/>
        </w:rPr>
        <w:t xml:space="preserve"> Article XXV. </w:t>
      </w:r>
      <w:r w:rsidRPr="005A1DC2">
        <w:rPr>
          <w:rFonts w:asciiTheme="majorHAnsi" w:eastAsia="Calibri" w:hAnsiTheme="majorHAnsi"/>
          <w:color w:val="000000"/>
          <w:sz w:val="16"/>
          <w:szCs w:val="16"/>
          <w:bdr w:val="none" w:sz="0" w:space="0" w:color="auto"/>
        </w:rPr>
        <w:t xml:space="preserve">No one may be deprived of his liberty except in the cases and according to the forms established by pre-existing laws. No one may be arrested for failure to comply with obligations of a purely civil nature. </w:t>
      </w:r>
    </w:p>
  </w:footnote>
  <w:footnote w:id="76">
    <w:p w14:paraId="615257D0" w14:textId="43324DBA" w:rsidR="00B930C1" w:rsidRPr="00F66E08" w:rsidRDefault="00B930C1" w:rsidP="005A1DC2">
      <w:pPr>
        <w:pStyle w:val="FootnoteText"/>
      </w:pPr>
      <w:r w:rsidRPr="005A1DC2">
        <w:rPr>
          <w:rStyle w:val="FootnoteReference"/>
        </w:rPr>
        <w:footnoteRef/>
      </w:r>
      <w:r w:rsidRPr="005A1DC2">
        <w:t xml:space="preserve"> IACHR.</w:t>
      </w:r>
      <w:r w:rsidRPr="005A1DC2">
        <w:rPr>
          <w:i/>
          <w:iCs/>
        </w:rPr>
        <w:t xml:space="preserve"> Report on Terrorism and Human Rights</w:t>
      </w:r>
      <w:r w:rsidRPr="005A1DC2">
        <w:t>, OEA/Ser.L/V/II.116.Doc.5 rev.1, October 22, 2002, para. 120.</w:t>
      </w:r>
    </w:p>
  </w:footnote>
  <w:footnote w:id="77">
    <w:p w14:paraId="6A4E84B0" w14:textId="4A276525" w:rsidR="0027590C" w:rsidRPr="003C3940" w:rsidRDefault="0027590C" w:rsidP="0027590C">
      <w:pPr>
        <w:jc w:val="both"/>
        <w:rPr>
          <w:rFonts w:ascii="Cambria" w:eastAsia="Cambria" w:hAnsi="Cambria" w:cs="Cambria"/>
          <w:sz w:val="16"/>
          <w:szCs w:val="16"/>
          <w:lang w:val="pt-BR"/>
        </w:rPr>
      </w:pPr>
      <w:r w:rsidRPr="0027590C">
        <w:rPr>
          <w:rFonts w:asciiTheme="majorHAnsi" w:hAnsiTheme="majorHAnsi"/>
          <w:sz w:val="16"/>
          <w:szCs w:val="16"/>
          <w:vertAlign w:val="superscript"/>
        </w:rPr>
        <w:footnoteRef/>
      </w:r>
      <w:r w:rsidRPr="0027590C">
        <w:rPr>
          <w:rFonts w:ascii="Cambria" w:eastAsia="Cambria" w:hAnsi="Cambria" w:cs="Cambria"/>
          <w:sz w:val="12"/>
          <w:szCs w:val="12"/>
        </w:rPr>
        <w:t xml:space="preserve"> </w:t>
      </w:r>
      <w:r w:rsidRPr="0027590C">
        <w:rPr>
          <w:rFonts w:ascii="Cambria" w:eastAsia="Cambria" w:hAnsi="Cambria" w:cs="Cambria"/>
          <w:sz w:val="16"/>
          <w:szCs w:val="16"/>
        </w:rPr>
        <w:t xml:space="preserve">IACHR. Report No. 76/11. Case 11.769. Bottom. J. Peru. July 20, 2011, para. 160; IACHR. Report No. 153/18. Case 13.069. Bottom. Manuela and Family. El Salvador. December 7, 2018, paragraph 80; IACHR. Report No. 298/23. Case 11.464. Admissibility and merits. Alberto Augusto Zalles Cueto. </w:t>
      </w:r>
      <w:r w:rsidRPr="003C3940">
        <w:rPr>
          <w:rFonts w:ascii="Cambria" w:eastAsia="Cambria" w:hAnsi="Cambria" w:cs="Cambria"/>
          <w:sz w:val="16"/>
          <w:szCs w:val="16"/>
          <w:lang w:val="pt-BR"/>
        </w:rPr>
        <w:t>Ecuador. November 30, 2023, para. 120.</w:t>
      </w:r>
    </w:p>
  </w:footnote>
  <w:footnote w:id="78">
    <w:p w14:paraId="43EC8A41" w14:textId="288865AB" w:rsidR="008805E1" w:rsidRPr="00F66E08" w:rsidRDefault="008805E1" w:rsidP="005A1DC2">
      <w:pPr>
        <w:pStyle w:val="FootnoteText"/>
      </w:pPr>
      <w:r w:rsidRPr="005A1DC2">
        <w:rPr>
          <w:rStyle w:val="FootnoteReference"/>
        </w:rPr>
        <w:footnoteRef/>
      </w:r>
      <w:r w:rsidRPr="003C3940">
        <w:rPr>
          <w:lang w:val="pt-BR"/>
        </w:rPr>
        <w:t xml:space="preserve"> IACHR. Report No. 129/17. Case 12.315. Bottom. Carlos Alberto Fernández Prieto and Carlos Alejandro Tumbeiro. </w:t>
      </w:r>
      <w:r w:rsidRPr="005A1DC2">
        <w:t>Argentina. October 25, 2017, para. 47.</w:t>
      </w:r>
    </w:p>
  </w:footnote>
  <w:footnote w:id="79">
    <w:p w14:paraId="51C7442F" w14:textId="5DC9A120" w:rsidR="00CC2F4A" w:rsidRPr="00F66E08" w:rsidRDefault="00CC2F4A" w:rsidP="005A1DC2">
      <w:pPr>
        <w:pStyle w:val="FootnoteText"/>
      </w:pPr>
      <w:r w:rsidRPr="005A1DC2">
        <w:rPr>
          <w:rStyle w:val="FootnoteReference"/>
        </w:rPr>
        <w:footnoteRef/>
      </w:r>
      <w:r w:rsidRPr="005A1DC2">
        <w:t xml:space="preserve"> IACHR. Complaint before the Inter-American Court, Walter David Bulacio, Argentina. January 24, 2001, para. 61.</w:t>
      </w:r>
    </w:p>
  </w:footnote>
  <w:footnote w:id="80">
    <w:p w14:paraId="327A0B21" w14:textId="62383C98" w:rsidR="00CC2F4A" w:rsidRPr="00F66E08" w:rsidRDefault="00CC2F4A" w:rsidP="005A1DC2">
      <w:pPr>
        <w:pStyle w:val="FootnoteText"/>
      </w:pPr>
      <w:r w:rsidRPr="005A1DC2">
        <w:rPr>
          <w:rStyle w:val="FootnoteReference"/>
        </w:rPr>
        <w:footnoteRef/>
      </w:r>
      <w:r w:rsidRPr="005A1DC2">
        <w:t xml:space="preserve"> IACHR. Report No. 24/18. Case 12.982. Bottom. Azul Rojas Martín and another. Peru. February 24, 2018, para. 65.</w:t>
      </w:r>
    </w:p>
  </w:footnote>
  <w:footnote w:id="81">
    <w:p w14:paraId="05595B40" w14:textId="40BA75DA" w:rsidR="00CC2F4A" w:rsidRPr="00F66E08" w:rsidRDefault="00CC2F4A" w:rsidP="005A1DC2">
      <w:pPr>
        <w:pStyle w:val="FootnoteText"/>
      </w:pPr>
      <w:r w:rsidRPr="005A1DC2">
        <w:rPr>
          <w:rStyle w:val="FootnoteReference"/>
        </w:rPr>
        <w:footnoteRef/>
      </w:r>
      <w:r w:rsidR="00837185">
        <w:t xml:space="preserve"> IACHR. Report No.172/10. Case 12.561. César Alberto Mendoza et al. (Perpetual imprisonment and confinement of adolescents). Bottom. Argentina. November 2, 2010, para. 174; IACHR. Complaint before the Inter-American Court of Human Rights. Case 12.651. César Alberto Mendoza et al. (Perpetual imprisonment and confinement of adolescents). Argentina. June 17, 2011, para. 182; IACHR. Report No. 8/20. Case 12.999. Bottom. Julio Rogelio Viteri Ungaretti and Family. Ecuador. March 3, 2020, para. 80. </w:t>
      </w:r>
    </w:p>
  </w:footnote>
  <w:footnote w:id="82">
    <w:p w14:paraId="02367490" w14:textId="3B48ACDB" w:rsidR="00151F04" w:rsidRPr="00F66E08" w:rsidRDefault="00151F04" w:rsidP="005A1DC2">
      <w:pPr>
        <w:pStyle w:val="FootnoteText"/>
      </w:pPr>
      <w:r w:rsidRPr="005A1DC2">
        <w:rPr>
          <w:rStyle w:val="FootnoteReference"/>
        </w:rPr>
        <w:footnoteRef/>
      </w:r>
      <w:r w:rsidRPr="005A1DC2">
        <w:t xml:space="preserve"> IACHR. Report No. 58/12. Case 12.606. Bottom. Landaeta Mejías Brothers. Venezuela, para. 218. </w:t>
      </w:r>
    </w:p>
  </w:footnote>
  <w:footnote w:id="83">
    <w:p w14:paraId="5257F1CA" w14:textId="1B3BF4F7" w:rsidR="00151F04" w:rsidRPr="003C3940" w:rsidRDefault="00151F04" w:rsidP="005A1DC2">
      <w:pPr>
        <w:pStyle w:val="FootnoteText"/>
      </w:pPr>
      <w:r w:rsidRPr="005A1DC2">
        <w:rPr>
          <w:rStyle w:val="FootnoteReference"/>
        </w:rPr>
        <w:footnoteRef/>
      </w:r>
      <w:r w:rsidRPr="005A1DC2">
        <w:t xml:space="preserve"> Inter-American Court of Human Rights. </w:t>
      </w:r>
      <w:r w:rsidR="00CC7B38" w:rsidRPr="005A1DC2">
        <w:rPr>
          <w:i/>
          <w:iCs/>
        </w:rPr>
        <w:t>Case of Nadege Dorzema et al. v. Dominican Republic</w:t>
      </w:r>
      <w:r w:rsidR="00CC7B38" w:rsidRPr="005A1DC2">
        <w:t xml:space="preserve">. Merits, Reparations and Costs. Judgment of October 24, 2012. Series C. No. 251, para. 133. </w:t>
      </w:r>
    </w:p>
  </w:footnote>
  <w:footnote w:id="84">
    <w:p w14:paraId="369AA516" w14:textId="1E962EE4" w:rsidR="00151F04" w:rsidRPr="00F66E08" w:rsidRDefault="00151F04" w:rsidP="005A1DC2">
      <w:pPr>
        <w:pStyle w:val="FootnoteText"/>
      </w:pPr>
      <w:r w:rsidRPr="005A1DC2">
        <w:rPr>
          <w:rStyle w:val="FootnoteReference"/>
        </w:rPr>
        <w:footnoteRef/>
      </w:r>
      <w:r w:rsidRPr="00A4057E">
        <w:t xml:space="preserve"> IACHR. Report No. 76/11. Case 11.769. A.J. Peru. July 20, 2011, para. 166. Inter-American Court of Human Rights. </w:t>
      </w:r>
      <w:r w:rsidR="00CC7B38" w:rsidRPr="005A1DC2">
        <w:rPr>
          <w:i/>
          <w:iCs/>
        </w:rPr>
        <w:t>Case of Cabrera García and Montiel Flores v. Mexico</w:t>
      </w:r>
      <w:r w:rsidR="00CC7B38" w:rsidRPr="005A1DC2">
        <w:t>. Preliminary Objection, Merits, Reparations and Costs. Judgment of November 26, 2010. Series C. No. 220, para. 106.</w:t>
      </w:r>
    </w:p>
  </w:footnote>
  <w:footnote w:id="85">
    <w:p w14:paraId="1A849E87" w14:textId="3B60B1FF" w:rsidR="00151F04" w:rsidRPr="00F66E08" w:rsidRDefault="00151F04" w:rsidP="005A1DC2">
      <w:pPr>
        <w:pStyle w:val="FootnoteText"/>
      </w:pPr>
      <w:r w:rsidRPr="005A1DC2">
        <w:rPr>
          <w:rStyle w:val="FootnoteReference"/>
        </w:rPr>
        <w:footnoteRef/>
      </w:r>
      <w:r w:rsidRPr="0083046E">
        <w:t xml:space="preserve"> IACHR. Report No. 76/11. Case 11.769. A.J. Peru. July 20, 2011, para. 166.</w:t>
      </w:r>
    </w:p>
  </w:footnote>
  <w:footnote w:id="86">
    <w:p w14:paraId="2EF591A3" w14:textId="25129515" w:rsidR="00151F04" w:rsidRPr="003C3940" w:rsidRDefault="00151F04" w:rsidP="005A1DC2">
      <w:pPr>
        <w:pStyle w:val="FootnoteText"/>
      </w:pPr>
      <w:r w:rsidRPr="005A1DC2">
        <w:rPr>
          <w:rStyle w:val="FootnoteReference"/>
        </w:rPr>
        <w:footnoteRef/>
      </w:r>
      <w:r w:rsidR="00B22D02" w:rsidRPr="005A1DC2">
        <w:t xml:space="preserve"> </w:t>
      </w:r>
      <w:r w:rsidR="00F33DE3" w:rsidRPr="00F33DE3">
        <w:rPr>
          <w:rFonts w:ascii="Cambria" w:eastAsia="Cambria" w:hAnsi="Cambria" w:cs="Cambria"/>
        </w:rPr>
        <w:t xml:space="preserve">IACHR. Report No. 76/11. Case 11.769. Bottom. J. Peru. July 20, 2011, para. 166; IACHR. </w:t>
      </w:r>
      <w:r w:rsidR="00F33DE3" w:rsidRPr="00F33DE3">
        <w:rPr>
          <w:rFonts w:ascii="Cambria" w:eastAsia="Cambria" w:hAnsi="Cambria" w:cs="Cambria"/>
          <w:i/>
          <w:iCs/>
        </w:rPr>
        <w:t>Human Rights of Migrants and Other Persons in the Context of Human Mobility in Mexico</w:t>
      </w:r>
      <w:r w:rsidR="00F33DE3" w:rsidRPr="00F33DE3">
        <w:rPr>
          <w:rFonts w:ascii="Cambria" w:eastAsia="Cambria" w:hAnsi="Cambria" w:cs="Cambria"/>
        </w:rPr>
        <w:t xml:space="preserve">. December 30, 2013, para. 448; IACHR. Report No. 74/15. Case 12.846. Bottom. Mariana Selvas Gómez and others. Mexico. October 28, 2015, paragraph 327; IACHR. Report No. 298/23. Case 11.464. Admissibility and Merits. </w:t>
      </w:r>
      <w:r w:rsidR="00F33DE3" w:rsidRPr="003C3940">
        <w:rPr>
          <w:rFonts w:ascii="Cambria" w:eastAsia="Cambria" w:hAnsi="Cambria" w:cs="Cambria"/>
        </w:rPr>
        <w:t>Alberto Augusto Zalles Cueto. Ecuador. November 30, 2023, para. 327.</w:t>
      </w:r>
    </w:p>
  </w:footnote>
  <w:footnote w:id="87">
    <w:p w14:paraId="2646E088" w14:textId="3391B3B6" w:rsidR="00B22D02" w:rsidRPr="00F66E08" w:rsidRDefault="00B22D02" w:rsidP="005A1DC2">
      <w:pPr>
        <w:pStyle w:val="FootnoteText"/>
      </w:pPr>
      <w:r w:rsidRPr="005A1DC2">
        <w:rPr>
          <w:rStyle w:val="FootnoteReference"/>
        </w:rPr>
        <w:footnoteRef/>
      </w:r>
      <w:r w:rsidRPr="003C3940">
        <w:t xml:space="preserve"> IACHR. Report No. 40/14. </w:t>
      </w:r>
      <w:r w:rsidRPr="005A1DC2">
        <w:t>Case 11.438. Bottom. Herrera Espinoza and others. Ecuador. July 17, 2004, para. 138.</w:t>
      </w:r>
    </w:p>
  </w:footnote>
  <w:footnote w:id="88">
    <w:p w14:paraId="3DE1B672" w14:textId="646E5DE2" w:rsidR="00B22D02" w:rsidRPr="00F66E08" w:rsidRDefault="00B22D02" w:rsidP="005A1DC2">
      <w:pPr>
        <w:pStyle w:val="FootnoteText"/>
      </w:pPr>
      <w:r w:rsidRPr="005A1DC2">
        <w:rPr>
          <w:rStyle w:val="FootnoteReference"/>
        </w:rPr>
        <w:footnoteRef/>
      </w:r>
      <w:r w:rsidRPr="005A1DC2">
        <w:t xml:space="preserve"> IACHR. Report No. 8/14. Case 12.617. Bottom. Luis Pollo Rivera. Peru. April 2, 2014, para. 197.</w:t>
      </w:r>
    </w:p>
  </w:footnote>
  <w:footnote w:id="89">
    <w:p w14:paraId="30B72337" w14:textId="7D3941FF" w:rsidR="00B22D02" w:rsidRPr="00F66E08" w:rsidRDefault="00B22D02" w:rsidP="005A1DC2">
      <w:pPr>
        <w:pStyle w:val="FootnoteText"/>
      </w:pPr>
      <w:r w:rsidRPr="005A1DC2">
        <w:rPr>
          <w:rStyle w:val="FootnoteReference"/>
        </w:rPr>
        <w:footnoteRef/>
      </w:r>
      <w:r w:rsidRPr="005A1DC2">
        <w:t xml:space="preserve"> IACHR. Criminalization of the work of human rights defenders. December 31, 2015, para. 193.</w:t>
      </w:r>
    </w:p>
  </w:footnote>
  <w:footnote w:id="90">
    <w:p w14:paraId="187D4AED" w14:textId="2845E37D" w:rsidR="000F4F72" w:rsidRPr="00F66E08" w:rsidRDefault="000F4F72" w:rsidP="005A1DC2">
      <w:pPr>
        <w:pStyle w:val="FootnoteText"/>
      </w:pPr>
      <w:r w:rsidRPr="005A1DC2">
        <w:rPr>
          <w:rStyle w:val="FootnoteReference"/>
        </w:rPr>
        <w:footnoteRef/>
      </w:r>
      <w:r w:rsidRPr="005A1DC2">
        <w:t xml:space="preserve"> Inter-American Court of Human Rights. </w:t>
      </w:r>
      <w:r w:rsidRPr="005A1DC2">
        <w:rPr>
          <w:i/>
          <w:iCs/>
        </w:rPr>
        <w:t>Case of Chaparro Álvarez and Lapo Íñiguez v. Ecuador.</w:t>
      </w:r>
      <w:r w:rsidRPr="005A1DC2">
        <w:t xml:space="preserve"> Preliminary Objections, Merits, Reparations and Costs. Judgment of November 21, 2007. Series C. No. 170, para. 73.</w:t>
      </w:r>
    </w:p>
  </w:footnote>
  <w:footnote w:id="91">
    <w:p w14:paraId="19E0B154" w14:textId="77777777" w:rsidR="002F195C" w:rsidRPr="00F66E08" w:rsidRDefault="002F195C" w:rsidP="002F195C">
      <w:pPr>
        <w:pStyle w:val="FootnoteText"/>
      </w:pPr>
      <w:r w:rsidRPr="005A1DC2">
        <w:rPr>
          <w:rStyle w:val="FootnoteReference"/>
        </w:rPr>
        <w:footnoteRef/>
      </w:r>
      <w:r w:rsidRPr="005A1DC2">
        <w:t xml:space="preserve"> IACHR. Criminalization of the work of human rights defenders, December 31, 2015, para. 194.</w:t>
      </w:r>
    </w:p>
  </w:footnote>
  <w:footnote w:id="92">
    <w:p w14:paraId="62D8D583" w14:textId="24B7C5B8" w:rsidR="00195604" w:rsidRPr="00F66E08" w:rsidRDefault="00195604" w:rsidP="005A1DC2">
      <w:pPr>
        <w:shd w:val="clear" w:color="auto" w:fill="FFFFFF"/>
        <w:tabs>
          <w:tab w:val="num" w:pos="720"/>
          <w:tab w:val="left" w:pos="1440"/>
          <w:tab w:val="num" w:pos="2040"/>
        </w:tabs>
        <w:jc w:val="both"/>
        <w:rPr>
          <w:rFonts w:asciiTheme="majorHAnsi" w:hAnsiTheme="majorHAnsi"/>
          <w:sz w:val="16"/>
          <w:szCs w:val="16"/>
        </w:rPr>
      </w:pPr>
      <w:r w:rsidRPr="005A1DC2">
        <w:rPr>
          <w:rStyle w:val="FootnoteReference"/>
          <w:rFonts w:asciiTheme="majorHAnsi" w:hAnsiTheme="majorHAnsi"/>
          <w:sz w:val="16"/>
          <w:szCs w:val="16"/>
        </w:rPr>
        <w:footnoteRef/>
      </w:r>
      <w:r w:rsidRPr="005A1DC2">
        <w:rPr>
          <w:rFonts w:asciiTheme="majorHAnsi" w:hAnsiTheme="majorHAnsi"/>
          <w:sz w:val="16"/>
          <w:szCs w:val="16"/>
        </w:rPr>
        <w:t xml:space="preserve"> Article XVIII. </w:t>
      </w:r>
      <w:r w:rsidRPr="005A1DC2">
        <w:rPr>
          <w:rFonts w:asciiTheme="majorHAnsi" w:eastAsia="Calibri" w:hAnsiTheme="majorHAnsi"/>
          <w:color w:val="000000"/>
          <w:sz w:val="16"/>
          <w:szCs w:val="16"/>
          <w:bdr w:val="none" w:sz="0" w:space="0" w:color="auto"/>
        </w:rPr>
        <w:t>Any person may go to court to assert his or her rights. It must also have a simple and brief procedure by which the courts protect it against acts of the authority that violate, to its detriment, any of the fundamental rights enshrined in the Constitution.</w:t>
      </w:r>
    </w:p>
  </w:footnote>
  <w:footnote w:id="93">
    <w:p w14:paraId="766E1833" w14:textId="2899D017" w:rsidR="00195604" w:rsidRPr="00F66E08" w:rsidRDefault="00195604" w:rsidP="005A1DC2">
      <w:pPr>
        <w:pStyle w:val="FootnoteText"/>
      </w:pPr>
      <w:r w:rsidRPr="005A1DC2">
        <w:rPr>
          <w:rStyle w:val="FootnoteReference"/>
        </w:rPr>
        <w:footnoteRef/>
      </w:r>
      <w:r w:rsidRPr="005A1DC2">
        <w:t xml:space="preserve"> Article XXVI. </w:t>
      </w:r>
      <w:r w:rsidRPr="005A1DC2">
        <w:rPr>
          <w:rFonts w:cs="Times New Roman"/>
          <w:bdr w:val="none" w:sz="0" w:space="0" w:color="auto"/>
        </w:rPr>
        <w:t>Every accused person is presumed innocent until proven guilty. Every person accused of a crime has the right to an impartial and public hearing, to be tried by courts previously established in accordance with pre-existing laws, and not to be subjected to cruel, infamous or unusual punishment.</w:t>
      </w:r>
    </w:p>
  </w:footnote>
  <w:footnote w:id="94">
    <w:p w14:paraId="6EBCD307" w14:textId="46E6DA1A" w:rsidR="000B2895" w:rsidRPr="00F66E08" w:rsidRDefault="000B2895" w:rsidP="005A1DC2">
      <w:pPr>
        <w:pStyle w:val="FootnoteText"/>
      </w:pPr>
      <w:r w:rsidRPr="005A1DC2">
        <w:rPr>
          <w:rStyle w:val="FootnoteReference"/>
        </w:rPr>
        <w:footnoteRef/>
      </w:r>
      <w:r w:rsidRPr="00A4057E">
        <w:t xml:space="preserve"> Inter-American Court of Human Rights. </w:t>
      </w:r>
      <w:r w:rsidRPr="00A4057E">
        <w:rPr>
          <w:i/>
          <w:iCs/>
        </w:rPr>
        <w:t>Case of Palamara Iribarne v. Chile.</w:t>
      </w:r>
      <w:r w:rsidRPr="005A1DC2">
        <w:t xml:space="preserve"> Merits, Reparations and Costs. Judgment of November 22, 2005. Series C. No. 135, paras. 174 and 175.</w:t>
      </w:r>
    </w:p>
  </w:footnote>
  <w:footnote w:id="95">
    <w:p w14:paraId="6EDF7C8F" w14:textId="092269AA" w:rsidR="000B2895" w:rsidRPr="00F66E08" w:rsidRDefault="000B2895" w:rsidP="00DE7322">
      <w:pPr>
        <w:jc w:val="both"/>
        <w:rPr>
          <w:rFonts w:ascii="Cambria" w:eastAsia="Cambria" w:hAnsi="Cambria" w:cs="Cambria"/>
          <w:sz w:val="16"/>
          <w:szCs w:val="16"/>
        </w:rPr>
      </w:pPr>
      <w:r w:rsidRPr="00DE7322">
        <w:rPr>
          <w:rStyle w:val="FootnoteReference"/>
          <w:rFonts w:asciiTheme="majorHAnsi" w:hAnsiTheme="majorHAnsi"/>
          <w:sz w:val="16"/>
          <w:szCs w:val="16"/>
        </w:rPr>
        <w:footnoteRef/>
      </w:r>
      <w:r w:rsidRPr="00DE7322">
        <w:rPr>
          <w:sz w:val="16"/>
          <w:szCs w:val="16"/>
        </w:rPr>
        <w:t xml:space="preserve"> </w:t>
      </w:r>
      <w:r w:rsidR="00DE7322" w:rsidRPr="00DE7322">
        <w:rPr>
          <w:rFonts w:ascii="Cambria" w:eastAsia="Cambria" w:hAnsi="Cambria" w:cs="Cambria"/>
          <w:sz w:val="16"/>
          <w:szCs w:val="16"/>
        </w:rPr>
        <w:t>IACHR. Towards the closure of Guantánamo. June 3, 2015, para. 236; IACHR. Report No. 83/23. Case 14.196 Admissibility and Merits. Oswaldo José Payá Sardiñas and others. Cuba. June 9, 2023, para. 93.</w:t>
      </w:r>
    </w:p>
  </w:footnote>
  <w:footnote w:id="96">
    <w:p w14:paraId="3B7596BF" w14:textId="559AC078" w:rsidR="00B92BD3" w:rsidRPr="00F66E08" w:rsidRDefault="00B92BD3" w:rsidP="00B92BD3">
      <w:pPr>
        <w:jc w:val="both"/>
        <w:rPr>
          <w:rFonts w:ascii="Cambria" w:hAnsi="Cambria"/>
          <w:sz w:val="16"/>
          <w:szCs w:val="16"/>
        </w:rPr>
      </w:pPr>
      <w:r w:rsidRPr="002819B7">
        <w:rPr>
          <w:rFonts w:ascii="Cambria" w:hAnsi="Cambria"/>
          <w:sz w:val="16"/>
          <w:szCs w:val="16"/>
          <w:vertAlign w:val="superscript"/>
        </w:rPr>
        <w:footnoteRef/>
      </w:r>
      <w:r w:rsidRPr="00B92BD3">
        <w:rPr>
          <w:rFonts w:ascii="Cambria" w:eastAsia="Cambria" w:hAnsi="Cambria" w:cs="Cambria"/>
          <w:sz w:val="16"/>
          <w:szCs w:val="16"/>
        </w:rPr>
        <w:t xml:space="preserve">  IACHR. Report No. 76/11. Case 11.769. Bottom. J. Peru. July 20, 2011, para. 269; IACHR. Report No. 237/19. Case 13.041. Bottom. Guillermo Antonio Álvarez. Argentina, December 5, 2019, para. 54; IACHR. Report No. 13/20. Case 13.333. Bottom. Reyes Alpizar Ortíz and Daniel García Rodríguez. Mexico. March 3, 2020, para. 93. </w:t>
      </w:r>
    </w:p>
  </w:footnote>
  <w:footnote w:id="97">
    <w:p w14:paraId="39F8A3E7" w14:textId="0AC1CF1A" w:rsidR="006C4C94" w:rsidRPr="00F66E08" w:rsidRDefault="006C4C94" w:rsidP="005A1DC2">
      <w:pPr>
        <w:pStyle w:val="FootnoteText"/>
      </w:pPr>
      <w:r w:rsidRPr="005A1DC2">
        <w:rPr>
          <w:rStyle w:val="FootnoteReference"/>
        </w:rPr>
        <w:footnoteRef/>
      </w:r>
      <w:r w:rsidRPr="005A1DC2">
        <w:t xml:space="preserve"> IACHR. Report No. 82/13. Case 12.679. Bottom. José Agapito Ruano Torres and Family. El Salvador. November 4, 2013, para. 145.  Inter-American Court of Human Rights. </w:t>
      </w:r>
      <w:r w:rsidR="002709B1" w:rsidRPr="005A1DC2">
        <w:rPr>
          <w:i/>
          <w:iCs/>
        </w:rPr>
        <w:t>Case of Cabrera García and Montiel Flores v. Mexico</w:t>
      </w:r>
      <w:r w:rsidR="002709B1" w:rsidRPr="005A1DC2">
        <w:t>. Preliminary Objection, Merits, Reparations and Costs. Judgment of November 26, 2010. Series C. No. 220, para. 155.</w:t>
      </w:r>
    </w:p>
  </w:footnote>
  <w:footnote w:id="98">
    <w:p w14:paraId="3560CFAD" w14:textId="57887CA5" w:rsidR="00B92BD3" w:rsidRPr="003C3940" w:rsidRDefault="00B92BD3" w:rsidP="00B92BD3">
      <w:pPr>
        <w:jc w:val="both"/>
        <w:rPr>
          <w:rFonts w:ascii="Cambria" w:eastAsia="Cambria" w:hAnsi="Cambria" w:cs="Cambria"/>
          <w:sz w:val="16"/>
          <w:szCs w:val="16"/>
        </w:rPr>
      </w:pPr>
      <w:r w:rsidRPr="002819B7">
        <w:rPr>
          <w:rFonts w:ascii="Cambria" w:hAnsi="Cambria"/>
          <w:sz w:val="16"/>
          <w:szCs w:val="16"/>
          <w:vertAlign w:val="superscript"/>
        </w:rPr>
        <w:footnoteRef/>
      </w:r>
      <w:r w:rsidRPr="0083046E">
        <w:rPr>
          <w:rFonts w:ascii="Cambria" w:eastAsia="Cambria" w:hAnsi="Cambria" w:cs="Cambria"/>
          <w:sz w:val="16"/>
          <w:szCs w:val="16"/>
        </w:rPr>
        <w:t xml:space="preserve"> IACHR. Report No.82/13. Case 12.679. José Agapito Ruano Torres and family. </w:t>
      </w:r>
      <w:r w:rsidRPr="003C3940">
        <w:rPr>
          <w:rFonts w:ascii="Cambria" w:eastAsia="Cambria" w:hAnsi="Cambria" w:cs="Cambria"/>
          <w:sz w:val="16"/>
          <w:szCs w:val="16"/>
        </w:rPr>
        <w:t xml:space="preserve">El Salvador. November 4, 2013, para. 146; IACHR. Report No. 237/19. Case 13.041. Bottom. Guillermo Antonio Álvarez. Argentina, December 5, 2019, para. 49; IACHR. Report No. 13/20. Case 13.333. Bottom. </w:t>
      </w:r>
      <w:r w:rsidRPr="00F66E08">
        <w:rPr>
          <w:rFonts w:ascii="Cambria" w:eastAsia="Cambria" w:hAnsi="Cambria" w:cs="Cambria"/>
          <w:sz w:val="16"/>
          <w:szCs w:val="16"/>
          <w:lang w:val="es-ES"/>
        </w:rPr>
        <w:t xml:space="preserve">Reyes Alpizar Ortíz and Daniel García Rodríguez. Mexico. March 3, 2020, para. </w:t>
      </w:r>
      <w:r w:rsidRPr="003C3940">
        <w:rPr>
          <w:rFonts w:ascii="Cambria" w:eastAsia="Cambria" w:hAnsi="Cambria" w:cs="Cambria"/>
          <w:sz w:val="16"/>
          <w:szCs w:val="16"/>
        </w:rPr>
        <w:t>88.</w:t>
      </w:r>
    </w:p>
  </w:footnote>
  <w:footnote w:id="99">
    <w:p w14:paraId="16511B43" w14:textId="2FC6742F" w:rsidR="002A4CCF" w:rsidRPr="00F66E08" w:rsidRDefault="002A4CCF" w:rsidP="002A4CCF">
      <w:pPr>
        <w:jc w:val="both"/>
        <w:rPr>
          <w:rFonts w:ascii="Cambria" w:hAnsi="Cambria"/>
          <w:sz w:val="16"/>
          <w:szCs w:val="16"/>
        </w:rPr>
      </w:pPr>
      <w:r w:rsidRPr="002819B7">
        <w:rPr>
          <w:rFonts w:ascii="Cambria" w:hAnsi="Cambria"/>
          <w:sz w:val="16"/>
          <w:szCs w:val="16"/>
          <w:vertAlign w:val="superscript"/>
        </w:rPr>
        <w:footnoteRef/>
      </w:r>
      <w:r w:rsidRPr="003C3940">
        <w:rPr>
          <w:rFonts w:ascii="Cambria" w:eastAsia="Cambria" w:hAnsi="Cambria" w:cs="Cambria"/>
          <w:sz w:val="16"/>
          <w:szCs w:val="16"/>
        </w:rPr>
        <w:t xml:space="preserve"> IACHR. Report No. 79/17. </w:t>
      </w:r>
      <w:r w:rsidRPr="002A4CCF">
        <w:rPr>
          <w:rFonts w:ascii="Cambria" w:eastAsia="Cambria" w:hAnsi="Cambria" w:cs="Cambria"/>
          <w:sz w:val="16"/>
          <w:szCs w:val="16"/>
        </w:rPr>
        <w:t xml:space="preserve">Case 12.650. Merits report. Hugo Humberto Ruiz Fuentes and family. Guatemala. 2017, para. 124. </w:t>
      </w:r>
    </w:p>
  </w:footnote>
  <w:footnote w:id="100">
    <w:p w14:paraId="444B96EE" w14:textId="77777777" w:rsidR="00A611D1" w:rsidRPr="00F66E08" w:rsidRDefault="00A611D1" w:rsidP="005A1DC2">
      <w:pPr>
        <w:pStyle w:val="FootnoteText"/>
      </w:pPr>
      <w:r w:rsidRPr="005A1DC2">
        <w:rPr>
          <w:rStyle w:val="FootnoteReference"/>
        </w:rPr>
        <w:footnoteRef/>
      </w:r>
      <w:r w:rsidRPr="005A1DC2">
        <w:t xml:space="preserve"> IACHR. Criminalization of the work of human rights defenders. December 31, 2015, para. 198.</w:t>
      </w:r>
    </w:p>
  </w:footnote>
  <w:footnote w:id="101">
    <w:p w14:paraId="525BFEAA" w14:textId="77777777" w:rsidR="00681C00" w:rsidRPr="00F66E08" w:rsidRDefault="00681C00" w:rsidP="00681C00">
      <w:pPr>
        <w:pStyle w:val="FootnoteText"/>
        <w:rPr>
          <w:color w:val="auto"/>
        </w:rPr>
      </w:pPr>
      <w:r w:rsidRPr="005A1DC2">
        <w:rPr>
          <w:rStyle w:val="FootnoteReference"/>
          <w:color w:val="auto"/>
        </w:rPr>
        <w:footnoteRef/>
      </w:r>
      <w:r w:rsidRPr="005A1DC2">
        <w:rPr>
          <w:color w:val="auto"/>
        </w:rPr>
        <w:t xml:space="preserve"> IACHR. </w:t>
      </w:r>
      <w:hyperlink r:id="rId23" w:history="1">
        <w:r w:rsidRPr="005A1DC2">
          <w:rPr>
            <w:rStyle w:val="Hyperlink"/>
            <w:color w:val="auto"/>
            <w:u w:val="none"/>
          </w:rPr>
          <w:t>Report on the Situation of Human Rights in Cuba</w:t>
        </w:r>
      </w:hyperlink>
      <w:r w:rsidRPr="005A1DC2">
        <w:rPr>
          <w:color w:val="auto"/>
        </w:rPr>
        <w:t xml:space="preserve">. February 3, 2020, Chapter 4.D. </w:t>
      </w:r>
    </w:p>
  </w:footnote>
  <w:footnote w:id="102">
    <w:p w14:paraId="6ED1D734" w14:textId="77777777" w:rsidR="00D82171" w:rsidRPr="00F66E08" w:rsidRDefault="00D82171" w:rsidP="00D82171">
      <w:pPr>
        <w:pStyle w:val="FootnoteText"/>
      </w:pPr>
      <w:r>
        <w:rPr>
          <w:rStyle w:val="FootnoteReference"/>
        </w:rPr>
        <w:footnoteRef/>
      </w:r>
      <w:r w:rsidRPr="00D82171">
        <w:t xml:space="preserve"> </w:t>
      </w:r>
      <w:r w:rsidRPr="005A1DC2">
        <w:rPr>
          <w:color w:val="auto"/>
        </w:rPr>
        <w:t xml:space="preserve">IACHR. </w:t>
      </w:r>
      <w:hyperlink r:id="rId24" w:history="1">
        <w:r w:rsidRPr="00FC4520">
          <w:rPr>
            <w:rStyle w:val="Hyperlink"/>
            <w:color w:val="auto"/>
            <w:u w:val="none"/>
          </w:rPr>
          <w:t>Report on the Situation of Human Rights in Cuba</w:t>
        </w:r>
      </w:hyperlink>
      <w:r w:rsidRPr="00FC4520">
        <w:rPr>
          <w:color w:val="auto"/>
        </w:rPr>
        <w:t>. February 3, 2020, para. 188.</w:t>
      </w:r>
    </w:p>
  </w:footnote>
  <w:footnote w:id="103">
    <w:p w14:paraId="0212ABFE" w14:textId="010A43CD" w:rsidR="00C10196" w:rsidRPr="00F66E08" w:rsidRDefault="00C10196" w:rsidP="005A1DC2">
      <w:pPr>
        <w:pStyle w:val="FootnoteText"/>
      </w:pPr>
      <w:r w:rsidRPr="005A1DC2">
        <w:rPr>
          <w:rStyle w:val="FootnoteReference"/>
        </w:rPr>
        <w:footnoteRef/>
      </w:r>
      <w:r w:rsidRPr="005A1DC2">
        <w:t xml:space="preserve"> Article IV.</w:t>
      </w:r>
      <w:r w:rsidRPr="005A1DC2">
        <w:rPr>
          <w:rFonts w:cs="Times New Roman"/>
          <w:bdr w:val="none" w:sz="0" w:space="0" w:color="auto"/>
        </w:rPr>
        <w:t xml:space="preserve"> Everyone has the right to freedom of research, opinion, expression and dissemination of thought by any means.</w:t>
      </w:r>
    </w:p>
  </w:footnote>
  <w:footnote w:id="104">
    <w:p w14:paraId="46EB59AA" w14:textId="4A8570EC" w:rsidR="00C10196" w:rsidRPr="00F66E08" w:rsidRDefault="00C10196" w:rsidP="005A1DC2">
      <w:pPr>
        <w:pStyle w:val="FootnoteText"/>
      </w:pPr>
      <w:r w:rsidRPr="005A1DC2">
        <w:rPr>
          <w:rStyle w:val="FootnoteReference"/>
        </w:rPr>
        <w:footnoteRef/>
      </w:r>
      <w:r w:rsidRPr="005A1DC2">
        <w:t xml:space="preserve"> Article XIII.</w:t>
      </w:r>
      <w:r w:rsidRPr="005A1DC2">
        <w:rPr>
          <w:rFonts w:cs="Times New Roman"/>
          <w:bdr w:val="none" w:sz="0" w:space="0" w:color="auto"/>
        </w:rPr>
        <w:t xml:space="preserve"> Everyone has the right to participate in the cultural life of the community, to enjoy the arts and to enjoy the benefits resulting from intellectual progress and especially from scientific discoveries. He also has the right to the </w:t>
      </w:r>
      <w:r w:rsidRPr="005A1DC2">
        <w:rPr>
          <w:bdr w:val="none" w:sz="0" w:space="0" w:color="auto"/>
        </w:rPr>
        <w:t>protection</w:t>
      </w:r>
      <w:r w:rsidRPr="005A1DC2">
        <w:rPr>
          <w:rFonts w:cs="Times New Roman"/>
          <w:bdr w:val="none" w:sz="0" w:space="0" w:color="auto"/>
        </w:rPr>
        <w:t xml:space="preserve"> of the moral and material interests that correspond to him by reason of the inventions, literary, scientific and artistic works of which he is the author.</w:t>
      </w:r>
    </w:p>
  </w:footnote>
  <w:footnote w:id="105">
    <w:p w14:paraId="3D7EBEF5" w14:textId="72D17FDC" w:rsidR="00C10196" w:rsidRPr="00F66E08" w:rsidRDefault="00C10196" w:rsidP="005A1DC2">
      <w:pPr>
        <w:pStyle w:val="FootnoteText"/>
      </w:pPr>
      <w:r w:rsidRPr="005A1DC2">
        <w:rPr>
          <w:rStyle w:val="FootnoteReference"/>
        </w:rPr>
        <w:footnoteRef/>
      </w:r>
      <w:r w:rsidRPr="005A1DC2">
        <w:t xml:space="preserve"> Article XXII. </w:t>
      </w:r>
      <w:r w:rsidRPr="005A1DC2">
        <w:rPr>
          <w:rFonts w:cs="Times New Roman"/>
          <w:bdr w:val="none" w:sz="0" w:space="0" w:color="auto"/>
        </w:rPr>
        <w:t>Everyone has the right to associate with others to promote, exercise and protect his legitimate interests of a political, economic, religious, social, cultural, professional, trade union or any other order.</w:t>
      </w:r>
    </w:p>
  </w:footnote>
  <w:footnote w:id="106">
    <w:p w14:paraId="66CB338F" w14:textId="587528AF" w:rsidR="00E30625" w:rsidRPr="00F66E08" w:rsidRDefault="00E30625" w:rsidP="005A1DC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16"/>
          <w:szCs w:val="16"/>
          <w:bdr w:val="none" w:sz="0" w:space="0" w:color="auto"/>
        </w:rPr>
      </w:pPr>
      <w:r w:rsidRPr="005A1DC2">
        <w:rPr>
          <w:rStyle w:val="FootnoteReference"/>
          <w:rFonts w:asciiTheme="majorHAnsi" w:hAnsiTheme="majorHAnsi"/>
          <w:sz w:val="16"/>
          <w:szCs w:val="16"/>
        </w:rPr>
        <w:footnoteRef/>
      </w:r>
      <w:r w:rsidRPr="005A1DC2">
        <w:rPr>
          <w:rFonts w:asciiTheme="majorHAnsi" w:hAnsiTheme="majorHAnsi"/>
          <w:sz w:val="16"/>
          <w:szCs w:val="16"/>
        </w:rPr>
        <w:t xml:space="preserve"> </w:t>
      </w:r>
      <w:r w:rsidR="00C34946">
        <w:rPr>
          <w:rFonts w:asciiTheme="majorHAnsi" w:eastAsia="Times New Roman" w:hAnsiTheme="majorHAnsi" w:cs="Open Sans"/>
          <w:sz w:val="16"/>
          <w:szCs w:val="16"/>
          <w:bdr w:val="none" w:sz="0" w:space="0" w:color="auto"/>
          <w:shd w:val="clear" w:color="auto" w:fill="FFFFFF"/>
        </w:rPr>
        <w:t xml:space="preserve">IACHR. Criminalization of the work of human rights defenders, December 31, 2015, para. 21. </w:t>
      </w:r>
    </w:p>
  </w:footnote>
  <w:footnote w:id="107">
    <w:p w14:paraId="20534E79" w14:textId="77777777" w:rsidR="000911CE" w:rsidRPr="00F66E08" w:rsidRDefault="000911CE" w:rsidP="000911C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16"/>
          <w:szCs w:val="16"/>
          <w:bdr w:val="none" w:sz="0" w:space="0" w:color="auto"/>
        </w:rPr>
      </w:pPr>
      <w:r w:rsidRPr="005A1DC2">
        <w:rPr>
          <w:rStyle w:val="FootnoteReference"/>
          <w:rFonts w:asciiTheme="majorHAnsi" w:hAnsiTheme="majorHAnsi"/>
          <w:sz w:val="16"/>
          <w:szCs w:val="16"/>
        </w:rPr>
        <w:footnoteRef/>
      </w:r>
      <w:r w:rsidRPr="005A1DC2">
        <w:rPr>
          <w:rFonts w:asciiTheme="majorHAnsi" w:hAnsiTheme="majorHAnsi"/>
          <w:sz w:val="16"/>
          <w:szCs w:val="16"/>
        </w:rPr>
        <w:t xml:space="preserve"> Inter-American Court of Human Rights. </w:t>
      </w:r>
      <w:r w:rsidRPr="005A1DC2">
        <w:rPr>
          <w:rFonts w:asciiTheme="majorHAnsi" w:eastAsia="Times New Roman" w:hAnsiTheme="majorHAnsi"/>
          <w:i/>
          <w:iCs/>
          <w:sz w:val="16"/>
          <w:szCs w:val="16"/>
          <w:bdr w:val="none" w:sz="0" w:space="0" w:color="auto"/>
        </w:rPr>
        <w:t>Case of the Forensic Anthropology Foundation of Guatemala</w:t>
      </w:r>
      <w:r w:rsidRPr="005A1DC2">
        <w:rPr>
          <w:rFonts w:asciiTheme="majorHAnsi" w:eastAsia="Times New Roman" w:hAnsiTheme="majorHAnsi"/>
          <w:sz w:val="16"/>
          <w:szCs w:val="16"/>
          <w:bdr w:val="none" w:sz="0" w:space="0" w:color="auto"/>
        </w:rPr>
        <w:t>. Provisional Measures. Resolution of the Inter-American Court of Human Rights of February 9, 2006, Twelfth Recital.</w:t>
      </w:r>
    </w:p>
  </w:footnote>
  <w:footnote w:id="108">
    <w:p w14:paraId="28882D27" w14:textId="278CAEE7" w:rsidR="00F121A6" w:rsidRPr="00F66E08" w:rsidRDefault="00F121A6">
      <w:pPr>
        <w:pStyle w:val="FootnoteText"/>
      </w:pPr>
      <w:r>
        <w:rPr>
          <w:rStyle w:val="FootnoteReference"/>
        </w:rPr>
        <w:footnoteRef/>
      </w:r>
      <w:r w:rsidRPr="00F121A6">
        <w:t xml:space="preserve"> IACHR. Basic Guidelines for the Investigation of Crimes against Human Rights Defenders in the Northern Triangle. June 1, 2021, para. 24.</w:t>
      </w:r>
    </w:p>
  </w:footnote>
  <w:footnote w:id="109">
    <w:p w14:paraId="579D857E" w14:textId="77777777" w:rsidR="00E30625" w:rsidRPr="00F66E08" w:rsidRDefault="00E30625" w:rsidP="005A1DC2">
      <w:pPr>
        <w:pStyle w:val="NoSpacing"/>
        <w:jc w:val="both"/>
        <w:rPr>
          <w:rFonts w:asciiTheme="majorHAnsi" w:hAnsiTheme="majorHAnsi"/>
          <w:sz w:val="16"/>
          <w:szCs w:val="16"/>
        </w:rPr>
      </w:pPr>
      <w:r w:rsidRPr="005A1DC2">
        <w:rPr>
          <w:rStyle w:val="FootnoteReference"/>
          <w:rFonts w:asciiTheme="majorHAnsi" w:hAnsiTheme="majorHAnsi"/>
          <w:sz w:val="16"/>
          <w:szCs w:val="16"/>
        </w:rPr>
        <w:footnoteRef/>
      </w:r>
      <w:r w:rsidRPr="005A1DC2">
        <w:rPr>
          <w:rFonts w:asciiTheme="majorHAnsi" w:hAnsiTheme="majorHAnsi"/>
          <w:sz w:val="16"/>
          <w:szCs w:val="16"/>
        </w:rPr>
        <w:t xml:space="preserve"> IACHR. Basic Guidelines for the Investigation of Crimes against Human Rights Defenders in the Northern Triangle. June 1, 2021, para. 24.</w:t>
      </w:r>
    </w:p>
  </w:footnote>
  <w:footnote w:id="110">
    <w:p w14:paraId="511727BC" w14:textId="77777777" w:rsidR="00E30625" w:rsidRPr="00F66E08" w:rsidRDefault="00E30625" w:rsidP="005A1DC2">
      <w:pPr>
        <w:pStyle w:val="FootnoteText"/>
        <w:rPr>
          <w:color w:val="auto"/>
        </w:rPr>
      </w:pPr>
      <w:r w:rsidRPr="005A1DC2">
        <w:rPr>
          <w:rStyle w:val="FootnoteReference"/>
          <w:color w:val="auto"/>
        </w:rPr>
        <w:footnoteRef/>
      </w:r>
      <w:r w:rsidRPr="005A1DC2">
        <w:rPr>
          <w:color w:val="auto"/>
        </w:rPr>
        <w:t xml:space="preserve"> Inter-American Court of Human Rights. </w:t>
      </w:r>
      <w:r w:rsidRPr="005A1DC2">
        <w:rPr>
          <w:i/>
          <w:iCs/>
          <w:color w:val="auto"/>
        </w:rPr>
        <w:t>Case of Vélez Restrepo and family v. Colombia</w:t>
      </w:r>
      <w:r w:rsidRPr="005A1DC2">
        <w:rPr>
          <w:color w:val="auto"/>
        </w:rPr>
        <w:t xml:space="preserve">. Preliminary Objection, Merits, Reparations and Costs. Judgment of September 3, 2012. Series C No. 248, para. 209.  </w:t>
      </w:r>
    </w:p>
  </w:footnote>
  <w:footnote w:id="111">
    <w:p w14:paraId="005C45E5" w14:textId="77777777" w:rsidR="00E30625" w:rsidRPr="00F66E08" w:rsidRDefault="00E30625" w:rsidP="005A1DC2">
      <w:pPr>
        <w:pStyle w:val="FootnoteText"/>
        <w:rPr>
          <w:color w:val="auto"/>
        </w:rPr>
      </w:pPr>
      <w:r w:rsidRPr="005A1DC2">
        <w:rPr>
          <w:rStyle w:val="FootnoteReference"/>
          <w:color w:val="auto"/>
        </w:rPr>
        <w:footnoteRef/>
      </w:r>
      <w:r w:rsidRPr="005A1DC2">
        <w:rPr>
          <w:color w:val="auto"/>
        </w:rPr>
        <w:t xml:space="preserve"> IACHR. Second Report on the Situation of Human Rights Defenders in the Americas. December 31, 2011, para. 98.</w:t>
      </w:r>
    </w:p>
  </w:footnote>
  <w:footnote w:id="112">
    <w:p w14:paraId="6EF21990" w14:textId="77777777" w:rsidR="00E30625" w:rsidRPr="00F66E08" w:rsidRDefault="00E30625" w:rsidP="005A1DC2">
      <w:pPr>
        <w:pStyle w:val="FootnoteText"/>
        <w:rPr>
          <w:rFonts w:cs="Cambay Devanagari"/>
          <w:color w:val="auto"/>
        </w:rPr>
      </w:pPr>
      <w:r w:rsidRPr="005A1DC2">
        <w:rPr>
          <w:rStyle w:val="FootnoteReference"/>
          <w:rFonts w:cs="Cambay Devanagari"/>
          <w:color w:val="auto"/>
        </w:rPr>
        <w:footnoteRef/>
      </w:r>
      <w:r w:rsidRPr="0083046E">
        <w:rPr>
          <w:rFonts w:cs="Cambay Devanagari"/>
          <w:color w:val="auto"/>
        </w:rPr>
        <w:t xml:space="preserve"> Inter-American Court of Human Rights. </w:t>
      </w:r>
      <w:r w:rsidRPr="0083046E">
        <w:rPr>
          <w:rFonts w:cs="Cambay Devanagari"/>
          <w:i/>
          <w:iCs/>
          <w:color w:val="auto"/>
        </w:rPr>
        <w:t>Case of Manuel Cepeda Vargas v. Colombia</w:t>
      </w:r>
      <w:r w:rsidRPr="005A1DC2">
        <w:rPr>
          <w:rFonts w:cs="Cambay Devanagari"/>
          <w:color w:val="auto"/>
        </w:rPr>
        <w:t xml:space="preserve">. Preliminary Objections, Merits, Reparations and Costs. Judgment of May 26, 2010. Series C No. 213, paras. 172-173. </w:t>
      </w:r>
    </w:p>
  </w:footnote>
  <w:footnote w:id="113">
    <w:p w14:paraId="416FD892" w14:textId="3E5144E2" w:rsidR="00BD6C53" w:rsidRPr="00F66E08" w:rsidRDefault="00BD6C53">
      <w:pPr>
        <w:pStyle w:val="FootnoteText"/>
      </w:pPr>
      <w:r w:rsidRPr="005138C7">
        <w:rPr>
          <w:rStyle w:val="FootnoteReference"/>
        </w:rPr>
        <w:footnoteRef/>
      </w:r>
      <w:r w:rsidRPr="005138C7">
        <w:t xml:space="preserve"> IACHR. RELAY. Protest and Human Rights. September 2019, paras. 308 and 355. </w:t>
      </w:r>
    </w:p>
  </w:footnote>
  <w:footnote w:id="114">
    <w:p w14:paraId="5797078C" w14:textId="77777777" w:rsidR="00BC3D6D" w:rsidRPr="00F66E08" w:rsidRDefault="00BC3D6D" w:rsidP="005A1DC2">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sz w:val="16"/>
          <w:szCs w:val="16"/>
        </w:rPr>
      </w:pPr>
      <w:r w:rsidRPr="005138C7">
        <w:rPr>
          <w:rStyle w:val="FootnoteReference"/>
          <w:rFonts w:asciiTheme="majorHAnsi" w:hAnsiTheme="majorHAnsi"/>
          <w:sz w:val="16"/>
          <w:szCs w:val="16"/>
        </w:rPr>
        <w:footnoteRef/>
      </w:r>
      <w:r w:rsidRPr="005138C7">
        <w:rPr>
          <w:rFonts w:asciiTheme="majorHAnsi" w:hAnsiTheme="majorHAnsi"/>
          <w:sz w:val="16"/>
          <w:szCs w:val="16"/>
        </w:rPr>
        <w:t xml:space="preserve"> </w:t>
      </w:r>
      <w:r w:rsidRPr="005138C7">
        <w:rPr>
          <w:rFonts w:asciiTheme="majorHAnsi" w:eastAsia="Calibri" w:hAnsiTheme="majorHAnsi" w:cs="Calibri"/>
          <w:sz w:val="16"/>
          <w:szCs w:val="16"/>
          <w:u w:color="000000"/>
          <w:lang w:eastAsia="es-ES"/>
        </w:rPr>
        <w:t>IACHR. Report on the Economic, Social, Cultural, and Environmental Rights of People of African Descent, March 16, 2021, para.</w:t>
      </w:r>
      <w:r w:rsidRPr="005138C7">
        <w:rPr>
          <w:rFonts w:asciiTheme="majorHAnsi" w:eastAsia="Calibri" w:hAnsiTheme="majorHAnsi" w:cs="Calibri"/>
          <w:color w:val="000000"/>
          <w:sz w:val="16"/>
          <w:szCs w:val="16"/>
          <w:u w:color="000000"/>
          <w:lang w:eastAsia="es-ES"/>
        </w:rPr>
        <w:t xml:space="preserve"> 209.</w:t>
      </w:r>
    </w:p>
  </w:footnote>
  <w:footnote w:id="115">
    <w:p w14:paraId="0C6BC8FA" w14:textId="2253BE63" w:rsidR="00BC3D6D" w:rsidRPr="00F66E08" w:rsidRDefault="00BC3D6D" w:rsidP="005A1DC2">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sz w:val="16"/>
          <w:szCs w:val="16"/>
        </w:rPr>
      </w:pPr>
      <w:r w:rsidRPr="005138C7">
        <w:rPr>
          <w:rStyle w:val="FootnoteReference"/>
          <w:rFonts w:asciiTheme="majorHAnsi" w:hAnsiTheme="majorHAnsi"/>
          <w:sz w:val="16"/>
          <w:szCs w:val="16"/>
        </w:rPr>
        <w:footnoteRef/>
      </w:r>
      <w:r w:rsidRPr="005138C7">
        <w:rPr>
          <w:rFonts w:asciiTheme="majorHAnsi" w:hAnsiTheme="majorHAnsi"/>
          <w:sz w:val="16"/>
          <w:szCs w:val="16"/>
        </w:rPr>
        <w:t xml:space="preserve"> IACHR. Case 13.608. Lawsuit by Maya Kaqchikel indigenous peoples of Sumpango and others against Guatemala. November 9, 2019, para. 93.</w:t>
      </w:r>
    </w:p>
  </w:footnote>
  <w:footnote w:id="116">
    <w:p w14:paraId="13810C1A" w14:textId="20329D75" w:rsidR="00BC3D6D" w:rsidRPr="00F66E08" w:rsidRDefault="00BC3D6D" w:rsidP="005A1DC2">
      <w:pPr>
        <w:pStyle w:val="FootnoteText"/>
      </w:pPr>
      <w:r w:rsidRPr="005138C7">
        <w:rPr>
          <w:rStyle w:val="FootnoteReference"/>
        </w:rPr>
        <w:footnoteRef/>
      </w:r>
      <w:r w:rsidRPr="005138C7">
        <w:t xml:space="preserve"> IACHR. Case 13.608. Lawsuit by Maya Kaqchikel indigenous peoples of Sumpango and others against Guatemala. November 9, 2019, para. 93.</w:t>
      </w:r>
    </w:p>
  </w:footnote>
  <w:footnote w:id="117">
    <w:p w14:paraId="653E419F" w14:textId="77777777" w:rsidR="001C7CC1" w:rsidRPr="00F66E08" w:rsidRDefault="001C7CC1" w:rsidP="005A1DC2">
      <w:pPr>
        <w:pStyle w:val="FootnoteText"/>
      </w:pPr>
      <w:r w:rsidRPr="005138C7">
        <w:rPr>
          <w:rStyle w:val="FootnoteReference"/>
        </w:rPr>
        <w:footnoteRef/>
      </w:r>
      <w:r w:rsidRPr="005138C7">
        <w:t xml:space="preserve"> </w:t>
      </w:r>
      <w:r w:rsidRPr="005138C7">
        <w:rPr>
          <w:color w:val="auto"/>
        </w:rPr>
        <w:t>United Nations Special Rapporteur on Cultural Rights, Report of the United Nations Special Rapporteur on Cultural Rights, January 4, 2018, paras. 3-5.</w:t>
      </w:r>
    </w:p>
  </w:footnote>
  <w:footnote w:id="118">
    <w:p w14:paraId="0B74B958" w14:textId="3B9889CC" w:rsidR="00BD6C53" w:rsidRPr="00F66E08" w:rsidRDefault="00BD6C53">
      <w:pPr>
        <w:pStyle w:val="FootnoteText"/>
      </w:pPr>
      <w:r w:rsidRPr="005138C7">
        <w:rPr>
          <w:rStyle w:val="FootnoteReference"/>
        </w:rPr>
        <w:footnoteRef/>
      </w:r>
      <w:r w:rsidRPr="005138C7">
        <w:t xml:space="preserve"> IACHR. RELAY. A Hemispheric Agenda for Freedom of Expression. February 25, 2009, para. 17.</w:t>
      </w:r>
    </w:p>
  </w:footnote>
  <w:footnote w:id="119">
    <w:p w14:paraId="02C8DC11" w14:textId="0AC76BB2" w:rsidR="00BD6C53" w:rsidRPr="00F66E08" w:rsidRDefault="00BD6C53">
      <w:pPr>
        <w:pStyle w:val="FootnoteText"/>
      </w:pPr>
      <w:r w:rsidRPr="005138C7">
        <w:rPr>
          <w:rStyle w:val="FootnoteReference"/>
        </w:rPr>
        <w:footnoteRef/>
      </w:r>
      <w:r w:rsidRPr="005138C7">
        <w:t xml:space="preserve"> IACHR. RELAY. Inter-American Legal Framework on the Right to Freedom of Expression. December 30, 2009, para. 26.</w:t>
      </w:r>
    </w:p>
  </w:footnote>
  <w:footnote w:id="120">
    <w:p w14:paraId="1220A0C8" w14:textId="632AB8D2" w:rsidR="00BD6C53" w:rsidRPr="00F66E08" w:rsidRDefault="00BD6C53">
      <w:pPr>
        <w:pStyle w:val="FootnoteText"/>
      </w:pPr>
      <w:r w:rsidRPr="002A0199">
        <w:rPr>
          <w:rStyle w:val="FootnoteReference"/>
        </w:rPr>
        <w:footnoteRef/>
      </w:r>
      <w:r w:rsidRPr="002A0199">
        <w:t xml:space="preserve"> HRC. Report of the Special Rapporteur on the promotion and promotion and protection of the freedom of opinion and expression. July 24, 2020, paragraph 5</w:t>
      </w:r>
    </w:p>
  </w:footnote>
  <w:footnote w:id="121">
    <w:p w14:paraId="5CD4630F" w14:textId="79013FC7" w:rsidR="00BD6C53" w:rsidRPr="00F66E08" w:rsidRDefault="00BD6C53">
      <w:pPr>
        <w:pStyle w:val="FootnoteText"/>
      </w:pPr>
      <w:r w:rsidRPr="002A0199">
        <w:rPr>
          <w:rStyle w:val="FootnoteReference"/>
        </w:rPr>
        <w:footnoteRef/>
      </w:r>
      <w:r w:rsidRPr="002A0199">
        <w:t xml:space="preserve"> IACHR. RELAY. Protest and Human Rights. September 2019, para. 8.</w:t>
      </w:r>
    </w:p>
  </w:footnote>
  <w:footnote w:id="122">
    <w:p w14:paraId="40897EB4" w14:textId="44F58843" w:rsidR="00BD6C53" w:rsidRPr="003C3940" w:rsidRDefault="00BD6C53">
      <w:pPr>
        <w:pStyle w:val="FootnoteText"/>
      </w:pPr>
      <w:r w:rsidRPr="002A0199">
        <w:rPr>
          <w:rStyle w:val="FootnoteReference"/>
        </w:rPr>
        <w:footnoteRef/>
      </w:r>
      <w:r w:rsidRPr="002A0199">
        <w:t xml:space="preserve">  IACHR. RELAY. A Hemispheric Agenda for Freedom of Expression. February 25, 2009, para. 64.</w:t>
      </w:r>
    </w:p>
  </w:footnote>
  <w:footnote w:id="123">
    <w:p w14:paraId="42832280" w14:textId="77777777" w:rsidR="00454579" w:rsidRPr="00F66E08" w:rsidRDefault="00454579" w:rsidP="002A0199">
      <w:pPr>
        <w:pStyle w:val="FootnoteText"/>
      </w:pPr>
      <w:r w:rsidRPr="005A1DC2">
        <w:rPr>
          <w:rStyle w:val="FootnoteReference"/>
        </w:rPr>
        <w:footnoteRef/>
      </w:r>
      <w:r w:rsidRPr="005A1DC2">
        <w:t xml:space="preserve"> IACHR. Report on the situation of human rights in Cuba. February 3, 2020, para. 211.</w:t>
      </w:r>
    </w:p>
  </w:footnote>
  <w:footnote w:id="124">
    <w:p w14:paraId="3BCF6D0E" w14:textId="30334141" w:rsidR="00454579" w:rsidRPr="00F66E08" w:rsidRDefault="00454579" w:rsidP="002A0199">
      <w:pPr>
        <w:pStyle w:val="FootnoteText"/>
      </w:pPr>
      <w:r w:rsidRPr="005A1DC2">
        <w:rPr>
          <w:rStyle w:val="FootnoteReference"/>
        </w:rPr>
        <w:footnoteRef/>
      </w:r>
      <w:r w:rsidRPr="005A1DC2">
        <w:t xml:space="preserve"> IACHR. Report on the situation of human rights in Cuba. 3 February 2020, paras. 214-216.</w:t>
      </w:r>
    </w:p>
  </w:footnote>
  <w:footnote w:id="125">
    <w:p w14:paraId="3E542FF0" w14:textId="77777777" w:rsidR="00E30625" w:rsidRPr="00F66E08" w:rsidRDefault="00E30625" w:rsidP="002A0199">
      <w:pPr>
        <w:pStyle w:val="FootnoteText"/>
        <w:rPr>
          <w:color w:val="auto"/>
        </w:rPr>
      </w:pPr>
      <w:r w:rsidRPr="005A1DC2">
        <w:rPr>
          <w:rStyle w:val="FootnoteReference"/>
          <w:color w:val="auto"/>
        </w:rPr>
        <w:footnoteRef/>
      </w:r>
      <w:r w:rsidRPr="005A1DC2">
        <w:rPr>
          <w:color w:val="auto"/>
        </w:rPr>
        <w:t xml:space="preserve"> Inter-American Court of Human Rights. </w:t>
      </w:r>
      <w:r w:rsidRPr="005A1DC2">
        <w:rPr>
          <w:i/>
          <w:iCs/>
          <w:color w:val="auto"/>
        </w:rPr>
        <w:t>Case of Huilca Tecse v. Peru</w:t>
      </w:r>
      <w:r w:rsidRPr="005A1DC2">
        <w:rPr>
          <w:color w:val="auto"/>
        </w:rPr>
        <w:t>. Merits, Reparations and Costs. Judgment of March 3, 2005, Series C No. 121, para. 6.</w:t>
      </w:r>
    </w:p>
  </w:footnote>
  <w:footnote w:id="126">
    <w:p w14:paraId="3EBFE4A0" w14:textId="77777777" w:rsidR="00E30625" w:rsidRPr="00F66E08" w:rsidRDefault="00E30625" w:rsidP="002A0199">
      <w:pPr>
        <w:pStyle w:val="FootnoteText"/>
        <w:rPr>
          <w:color w:val="auto"/>
        </w:rPr>
      </w:pPr>
      <w:r w:rsidRPr="005A1DC2">
        <w:rPr>
          <w:rStyle w:val="FootnoteReference"/>
          <w:color w:val="auto"/>
        </w:rPr>
        <w:footnoteRef/>
      </w:r>
      <w:r w:rsidRPr="005A1DC2">
        <w:rPr>
          <w:color w:val="auto"/>
        </w:rPr>
        <w:t xml:space="preserve"> IACHR, Report No. 56/12, Case 12.775, Merits, Florentín Gudiel et al., Guatemala, March 21, 2012, para. 21.</w:t>
      </w:r>
    </w:p>
  </w:footnote>
  <w:footnote w:id="127">
    <w:p w14:paraId="62B2B12E" w14:textId="77777777" w:rsidR="00E30625" w:rsidRPr="00F66E08" w:rsidRDefault="00E30625" w:rsidP="002A0199">
      <w:pPr>
        <w:pStyle w:val="FootnoteText"/>
        <w:rPr>
          <w:color w:val="auto"/>
        </w:rPr>
      </w:pPr>
      <w:r w:rsidRPr="005A1DC2">
        <w:rPr>
          <w:rStyle w:val="FootnoteReference"/>
          <w:color w:val="auto"/>
        </w:rPr>
        <w:footnoteRef/>
      </w:r>
      <w:r w:rsidRPr="005A1DC2">
        <w:rPr>
          <w:color w:val="auto"/>
        </w:rPr>
        <w:t xml:space="preserve"> Inter-American Court of Human Rights. Case of Yarce et al. v. Colombia. Preliminary Objection, Merits, Reparations and Costs. Judgment of November 22, 2016. Series C No. 325, para. 271.</w:t>
      </w:r>
    </w:p>
  </w:footnote>
  <w:footnote w:id="128">
    <w:p w14:paraId="0CF04937" w14:textId="20372C21" w:rsidR="00E433FD" w:rsidRPr="00F66E08" w:rsidRDefault="00E433FD" w:rsidP="002A0199">
      <w:pPr>
        <w:pStyle w:val="FootnoteText"/>
      </w:pPr>
      <w:r w:rsidRPr="005A1DC2">
        <w:rPr>
          <w:rStyle w:val="FootnoteReference"/>
        </w:rPr>
        <w:footnoteRef/>
      </w:r>
      <w:r w:rsidRPr="005A1DC2">
        <w:t xml:space="preserve"> IACHR. Report on the situation of human rights in Cuba. February 3, 2020, para. 193.</w:t>
      </w:r>
    </w:p>
  </w:footnote>
  <w:footnote w:id="129">
    <w:p w14:paraId="0BF135BB" w14:textId="283A4E12" w:rsidR="00DE3A31" w:rsidRPr="00F66E08" w:rsidRDefault="00DE3A31" w:rsidP="002A0199">
      <w:pPr>
        <w:pStyle w:val="FootnoteText"/>
      </w:pPr>
      <w:r w:rsidRPr="005138C7">
        <w:rPr>
          <w:rStyle w:val="FootnoteReference"/>
        </w:rPr>
        <w:footnoteRef/>
      </w:r>
      <w:r w:rsidRPr="005138C7">
        <w:t xml:space="preserve"> IACHR. RELAY. Protest and Human Rights. September 2019, paras. 308 and 355. </w:t>
      </w:r>
    </w:p>
  </w:footnote>
  <w:footnote w:id="130">
    <w:p w14:paraId="5CFED754" w14:textId="6D5EC427" w:rsidR="00E433FD" w:rsidRPr="00F66E08" w:rsidRDefault="00E433FD" w:rsidP="002A0199">
      <w:pPr>
        <w:pStyle w:val="FootnoteText"/>
      </w:pPr>
      <w:r>
        <w:rPr>
          <w:rStyle w:val="FootnoteReference"/>
        </w:rPr>
        <w:footnoteRef/>
      </w:r>
      <w:r w:rsidRPr="00E433FD">
        <w:t xml:space="preserve"> IACHR. Second Report on the Situation of Human Rights Defenders in the Americas. December 31, 2011, para. 25.</w:t>
      </w:r>
    </w:p>
  </w:footnote>
  <w:footnote w:id="131">
    <w:p w14:paraId="5A766A49" w14:textId="11ACEF90" w:rsidR="00C10196" w:rsidRPr="00F66E08" w:rsidRDefault="00C10196" w:rsidP="002A0199">
      <w:pPr>
        <w:shd w:val="clear" w:color="auto" w:fill="FFFFFF"/>
        <w:tabs>
          <w:tab w:val="num" w:pos="720"/>
          <w:tab w:val="left" w:pos="1440"/>
          <w:tab w:val="num" w:pos="2040"/>
        </w:tabs>
        <w:jc w:val="both"/>
        <w:rPr>
          <w:rFonts w:asciiTheme="majorHAnsi" w:hAnsiTheme="majorHAnsi"/>
          <w:sz w:val="16"/>
          <w:szCs w:val="16"/>
        </w:rPr>
      </w:pPr>
      <w:r w:rsidRPr="005A1DC2">
        <w:rPr>
          <w:rStyle w:val="FootnoteReference"/>
          <w:rFonts w:asciiTheme="majorHAnsi" w:hAnsiTheme="majorHAnsi"/>
          <w:sz w:val="16"/>
          <w:szCs w:val="16"/>
        </w:rPr>
        <w:footnoteRef/>
      </w:r>
      <w:r w:rsidRPr="005A1DC2">
        <w:rPr>
          <w:rFonts w:asciiTheme="majorHAnsi" w:hAnsiTheme="majorHAnsi"/>
          <w:sz w:val="16"/>
          <w:szCs w:val="16"/>
        </w:rPr>
        <w:t xml:space="preserve"> Article I. </w:t>
      </w:r>
      <w:r w:rsidRPr="005A1DC2">
        <w:rPr>
          <w:rFonts w:asciiTheme="majorHAnsi" w:eastAsia="Calibri" w:hAnsiTheme="majorHAnsi"/>
          <w:color w:val="000000"/>
          <w:sz w:val="16"/>
          <w:szCs w:val="16"/>
          <w:bdr w:val="none" w:sz="0" w:space="0" w:color="auto"/>
        </w:rPr>
        <w:t>Every human being has the right to life, liberty and security of person.</w:t>
      </w:r>
    </w:p>
  </w:footnote>
  <w:footnote w:id="132">
    <w:p w14:paraId="37701F1A" w14:textId="079E10E0" w:rsidR="00B930C1" w:rsidRPr="00F66E08" w:rsidRDefault="00B930C1" w:rsidP="002A0199">
      <w:pPr>
        <w:pStyle w:val="FootnoteText"/>
      </w:pPr>
      <w:r w:rsidRPr="005A1DC2">
        <w:rPr>
          <w:rStyle w:val="FootnoteReference"/>
        </w:rPr>
        <w:footnoteRef/>
      </w:r>
      <w:r w:rsidRPr="00A4057E">
        <w:t xml:space="preserve"> IACHR. Report No. 27/18, Case No. 12.127. Bottom. Vladimiro Roca Antúnez and others. Cuba. February 24, 2018, para. 144.</w:t>
      </w:r>
    </w:p>
  </w:footnote>
  <w:footnote w:id="133">
    <w:p w14:paraId="7DC1892E" w14:textId="778E4EE3" w:rsidR="00B930C1" w:rsidRPr="00F66E08" w:rsidRDefault="00B930C1" w:rsidP="002A0199">
      <w:pPr>
        <w:pStyle w:val="FootnoteText"/>
      </w:pPr>
      <w:r w:rsidRPr="005A1DC2">
        <w:rPr>
          <w:rStyle w:val="FootnoteReference"/>
        </w:rPr>
        <w:footnoteRef/>
      </w:r>
      <w:r w:rsidRPr="005A1DC2">
        <w:t xml:space="preserve"> IACHR. Report on Persons Deprived of Liberty (2011), para. 50. This principle was first developed by the Inter-American Court of Human Rights in </w:t>
      </w:r>
      <w:r w:rsidRPr="005A1DC2">
        <w:rPr>
          <w:i/>
          <w:iCs/>
        </w:rPr>
        <w:t>Neira Alegría v. Peru</w:t>
      </w:r>
      <w:r w:rsidRPr="005A1DC2">
        <w:t xml:space="preserve"> and subsequently developed in subsequent jurisprudence</w:t>
      </w:r>
    </w:p>
  </w:footnote>
  <w:footnote w:id="134">
    <w:p w14:paraId="2FC7F64B" w14:textId="1677800C" w:rsidR="00B930C1" w:rsidRPr="00F66E08" w:rsidRDefault="00B930C1" w:rsidP="002A0199">
      <w:pPr>
        <w:pStyle w:val="FootnoteText"/>
      </w:pPr>
      <w:r w:rsidRPr="005A1DC2">
        <w:rPr>
          <w:rStyle w:val="FootnoteReference"/>
        </w:rPr>
        <w:footnoteRef/>
      </w:r>
      <w:r w:rsidRPr="005A1DC2">
        <w:t xml:space="preserve"> IACHR. Report No. 41/99. Bottom. Minors Arrested, Honduras, March 10, 1999, para. 135; IACHR, Special Report on the Situation of Human Rights in the Challapalca Prison, Peru, para. 113.</w:t>
      </w:r>
    </w:p>
  </w:footnote>
  <w:footnote w:id="135">
    <w:p w14:paraId="2E77B5B3" w14:textId="2C661924" w:rsidR="4AEC06F1" w:rsidRPr="00F66E08" w:rsidRDefault="4AEC06F1" w:rsidP="002A0199">
      <w:pPr>
        <w:pStyle w:val="FootnoteText"/>
      </w:pPr>
      <w:r w:rsidRPr="4AEC06F1">
        <w:rPr>
          <w:rStyle w:val="FootnoteReference"/>
        </w:rPr>
        <w:footnoteRef/>
      </w:r>
      <w:r w:rsidRPr="4AEC06F1">
        <w:t xml:space="preserve"> IACHR. Report No. 12/14, Case 12.231. Bottom. Peter Cash. Commonwealth of the Bahamas. April 2, 2014, para. 98.</w:t>
      </w:r>
    </w:p>
  </w:footnote>
  <w:footnote w:id="136">
    <w:p w14:paraId="1E8D3BC3" w14:textId="375144DA" w:rsidR="4AEC06F1" w:rsidRPr="00F66E08" w:rsidRDefault="4AEC06F1" w:rsidP="002A0199">
      <w:pPr>
        <w:pStyle w:val="FootnoteText"/>
      </w:pPr>
      <w:r w:rsidRPr="4AEC06F1">
        <w:rPr>
          <w:rStyle w:val="FootnoteReference"/>
        </w:rPr>
        <w:footnoteRef/>
      </w:r>
      <w:r w:rsidRPr="4AEC06F1">
        <w:t xml:space="preserve"> IACHR. Resolution 1/08. Principles and Best Practices on the Protection of Persons Deprived of Liberty in the Americas, March 31, 2008.</w:t>
      </w:r>
    </w:p>
  </w:footnote>
  <w:footnote w:id="137">
    <w:p w14:paraId="6A6267D9" w14:textId="77777777" w:rsidR="00E433FD" w:rsidRPr="003C3940" w:rsidRDefault="00E433FD" w:rsidP="002A0199">
      <w:pPr>
        <w:pStyle w:val="FootnoteText"/>
        <w:rPr>
          <w:color w:val="auto"/>
        </w:rPr>
      </w:pPr>
      <w:r w:rsidRPr="005A1DC2">
        <w:rPr>
          <w:rStyle w:val="FootnoteReference"/>
          <w:color w:val="auto"/>
        </w:rPr>
        <w:footnoteRef/>
      </w:r>
      <w:r w:rsidRPr="005A1DC2">
        <w:rPr>
          <w:color w:val="auto"/>
        </w:rPr>
        <w:t xml:space="preserve"> IACHR. Cases 12,595, 12,596 and 12,621. Report No. 86/13, Merits. </w:t>
      </w:r>
      <w:r w:rsidRPr="003C3940">
        <w:rPr>
          <w:color w:val="auto"/>
        </w:rPr>
        <w:t>Ana Teresa Yarce and Others (</w:t>
      </w:r>
      <w:r w:rsidRPr="00A131F3">
        <w:rPr>
          <w:i/>
          <w:iCs/>
          <w:color w:val="auto"/>
        </w:rPr>
        <w:t>Comuna 13</w:t>
      </w:r>
      <w:r w:rsidRPr="003C3940">
        <w:rPr>
          <w:color w:val="auto"/>
        </w:rPr>
        <w:t xml:space="preserve">), Colombia. November 4, 2013, para. 276. </w:t>
      </w:r>
    </w:p>
  </w:footnote>
  <w:footnote w:id="138">
    <w:p w14:paraId="5C36D19D" w14:textId="77777777" w:rsidR="00E433FD" w:rsidRPr="003C3940" w:rsidRDefault="00E433FD" w:rsidP="002A0199">
      <w:pPr>
        <w:pStyle w:val="FootnoteText"/>
        <w:rPr>
          <w:color w:val="auto"/>
        </w:rPr>
      </w:pPr>
      <w:r w:rsidRPr="005A1DC2">
        <w:rPr>
          <w:rStyle w:val="FootnoteReference"/>
          <w:color w:val="auto"/>
        </w:rPr>
        <w:footnoteRef/>
      </w:r>
      <w:r w:rsidRPr="003C3940">
        <w:rPr>
          <w:color w:val="auto"/>
        </w:rPr>
        <w:t xml:space="preserve"> IACHR. </w:t>
      </w:r>
      <w:r w:rsidRPr="005A1DC2">
        <w:rPr>
          <w:color w:val="auto"/>
        </w:rPr>
        <w:t xml:space="preserve">Cases 12,595, 12,596 and 12,621. Report No. 86/13, Merits. </w:t>
      </w:r>
      <w:r w:rsidRPr="003C3940">
        <w:rPr>
          <w:color w:val="auto"/>
        </w:rPr>
        <w:t>Ana Teresa Yarce and Others (</w:t>
      </w:r>
      <w:r w:rsidRPr="00A131F3">
        <w:rPr>
          <w:i/>
          <w:iCs/>
          <w:color w:val="auto"/>
        </w:rPr>
        <w:t>Comuna 13</w:t>
      </w:r>
      <w:r w:rsidRPr="003C3940">
        <w:rPr>
          <w:color w:val="auto"/>
        </w:rPr>
        <w:t>), Colombia. November 4, 2013, para. 276.</w:t>
      </w:r>
    </w:p>
  </w:footnote>
  <w:footnote w:id="139">
    <w:p w14:paraId="3E144F73" w14:textId="0B866805" w:rsidR="00E433FD" w:rsidRPr="00A33774" w:rsidRDefault="00E433FD" w:rsidP="002A0199">
      <w:pPr>
        <w:pStyle w:val="FootnoteText"/>
        <w:rPr>
          <w:color w:val="auto"/>
        </w:rPr>
      </w:pPr>
      <w:r w:rsidRPr="005A1DC2">
        <w:rPr>
          <w:rStyle w:val="FootnoteReference"/>
          <w:color w:val="auto"/>
        </w:rPr>
        <w:footnoteRef/>
      </w:r>
      <w:r w:rsidRPr="003C3940">
        <w:rPr>
          <w:color w:val="auto"/>
        </w:rPr>
        <w:t xml:space="preserve"> IACHR.  </w:t>
      </w:r>
      <w:r w:rsidRPr="005A1DC2">
        <w:rPr>
          <w:color w:val="auto"/>
        </w:rPr>
        <w:t xml:space="preserve">Report on the Situation of Human Rights Defenders in the Americas, Doc. 5 rev. 1, March 7, 2006, para. </w:t>
      </w:r>
      <w:r w:rsidRPr="00A33774">
        <w:rPr>
          <w:color w:val="auto"/>
        </w:rPr>
        <w:t>47.</w:t>
      </w:r>
    </w:p>
  </w:footnote>
  <w:footnote w:id="140">
    <w:p w14:paraId="5E77276C" w14:textId="0C6A0C99" w:rsidR="00A83BF0" w:rsidRPr="00564D1F" w:rsidRDefault="00A83BF0" w:rsidP="00A83BF0">
      <w:pPr>
        <w:pStyle w:val="FootnoteText"/>
        <w:rPr>
          <w:rFonts w:ascii="Cambria" w:hAnsi="Cambria"/>
          <w:vertAlign w:val="superscript"/>
        </w:rPr>
      </w:pPr>
      <w:r w:rsidRPr="00FF55DC">
        <w:rPr>
          <w:rStyle w:val="FootnoteReference"/>
          <w:rFonts w:ascii="Cambria" w:hAnsi="Cambria"/>
        </w:rPr>
        <w:footnoteRef/>
      </w:r>
      <w:r w:rsidR="00564D1F" w:rsidRPr="00564D1F">
        <w:rPr>
          <w:rFonts w:ascii="Cambria" w:hAnsi="Cambria"/>
          <w:i/>
          <w:iCs/>
        </w:rPr>
        <w:t>Alas Tensas</w:t>
      </w:r>
      <w:r w:rsidR="00564D1F" w:rsidRPr="00564D1F">
        <w:rPr>
          <w:rFonts w:ascii="Cambria" w:hAnsi="Cambria"/>
        </w:rPr>
        <w:t>. Maykel Castillo: assaulted, punished, and facing new unjust accusations within the political prison Cuban, August 21, 2025</w:t>
      </w:r>
      <w:r w:rsidRPr="00564D1F">
        <w:rPr>
          <w:rFonts w:ascii="Cambria" w:hAnsi="Cambria"/>
        </w:rPr>
        <w:t>.</w:t>
      </w:r>
    </w:p>
  </w:footnote>
  <w:footnote w:id="141">
    <w:p w14:paraId="3F3F3EE0" w14:textId="1539CD32" w:rsidR="000B5D15" w:rsidRPr="00CA0544" w:rsidRDefault="000B5D15" w:rsidP="000B5D15">
      <w:pPr>
        <w:pStyle w:val="FootnoteText"/>
        <w:rPr>
          <w:rFonts w:ascii="Cambria" w:hAnsi="Cambria"/>
        </w:rPr>
      </w:pPr>
      <w:r w:rsidRPr="00FF55DC">
        <w:rPr>
          <w:rFonts w:ascii="Cambria" w:hAnsi="Cambria"/>
          <w:vertAlign w:val="superscript"/>
          <w:lang w:val="es-US"/>
        </w:rPr>
        <w:footnoteRef/>
      </w:r>
      <w:r w:rsidRPr="00CA0544">
        <w:rPr>
          <w:rFonts w:ascii="Cambria" w:hAnsi="Cambria"/>
        </w:rPr>
        <w:t xml:space="preserve"> </w:t>
      </w:r>
      <w:r w:rsidR="00CA0544" w:rsidRPr="00CA0544">
        <w:rPr>
          <w:rFonts w:ascii="Cambria" w:hAnsi="Cambria"/>
        </w:rPr>
        <w:t>Martí News. Maykel Castillo Pérez, known as “El Osorbo,” in solitary confinement after protest in prison, September 27, 2025</w:t>
      </w:r>
      <w:r w:rsidRPr="00CA0544">
        <w:rPr>
          <w:rFonts w:ascii="Cambria" w:hAnsi="Cambria"/>
        </w:rPr>
        <w:t>.</w:t>
      </w:r>
    </w:p>
  </w:footnote>
  <w:footnote w:id="142">
    <w:p w14:paraId="1D284671" w14:textId="05541444" w:rsidR="00CA5E42" w:rsidRPr="0077370B" w:rsidRDefault="00CA5E42" w:rsidP="00CA5E42">
      <w:pPr>
        <w:pStyle w:val="FootnoteText"/>
        <w:rPr>
          <w:rFonts w:ascii="Cambria" w:hAnsi="Cambria"/>
        </w:rPr>
      </w:pPr>
      <w:r w:rsidRPr="00FF55DC">
        <w:rPr>
          <w:rFonts w:ascii="Cambria" w:hAnsi="Cambria"/>
          <w:vertAlign w:val="superscript"/>
          <w:lang w:val="es-US"/>
        </w:rPr>
        <w:footnoteRef/>
      </w:r>
      <w:r w:rsidRPr="0077370B">
        <w:rPr>
          <w:rFonts w:ascii="Cambria" w:hAnsi="Cambria"/>
        </w:rPr>
        <w:t xml:space="preserve"> </w:t>
      </w:r>
      <w:r w:rsidR="0077370B" w:rsidRPr="0077370B">
        <w:rPr>
          <w:rFonts w:ascii="Cambria" w:hAnsi="Cambria"/>
        </w:rPr>
        <w:t>Martí News. “El Osorbo” visibly thinner after leaving punishment cell, October 16, 2025.</w:t>
      </w:r>
    </w:p>
  </w:footnote>
  <w:footnote w:id="143">
    <w:p w14:paraId="5FEE2000" w14:textId="222A676D" w:rsidR="00433924" w:rsidRPr="00165904" w:rsidRDefault="00433924" w:rsidP="00433924">
      <w:pPr>
        <w:pStyle w:val="FootnoteText"/>
      </w:pPr>
      <w:r>
        <w:rPr>
          <w:rStyle w:val="FootnoteReference"/>
        </w:rPr>
        <w:footnoteRef/>
      </w:r>
      <w:r w:rsidRPr="00165904">
        <w:t xml:space="preserve"> </w:t>
      </w:r>
      <w:r w:rsidR="00165904" w:rsidRPr="00165904">
        <w:t>Principle III. IACHR. Principles and Best Practices on the Protection of Persons Deprived of Liberty in the Americas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F876"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08DADD2"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BEDB"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36DEC936" wp14:editId="1BD9FD6D">
          <wp:extent cx="1972237" cy="104775"/>
          <wp:effectExtent l="0" t="0" r="9525" b="0"/>
          <wp:docPr id="3" name="Picture 3" descr="C:\Users\mfontana\Documents\Eva Fontana\GRAFICA IACHR\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00D89AA0" w14:textId="77777777" w:rsidR="00040C3A" w:rsidRPr="00EC7D62" w:rsidRDefault="000666B1" w:rsidP="00A50FCF">
    <w:pPr>
      <w:pStyle w:val="Header"/>
      <w:tabs>
        <w:tab w:val="clear" w:pos="4320"/>
        <w:tab w:val="clear" w:pos="8640"/>
      </w:tabs>
      <w:jc w:val="center"/>
      <w:rPr>
        <w:sz w:val="22"/>
        <w:szCs w:val="22"/>
      </w:rPr>
    </w:pPr>
    <w:r>
      <w:rPr>
        <w:noProof/>
        <w:sz w:val="22"/>
        <w:szCs w:val="22"/>
        <w:bdr w:val="nil"/>
      </w:rPr>
      <w:pict w14:anchorId="661617F9">
        <v:rect id="_x0000_i1025" alt="" style="width:468pt;height:.05pt;mso-width-percent:0;mso-height-percent:0;mso-width-percent:0;mso-height-percent:0"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FC9C0D2" w14:paraId="7D803613" w14:textId="77777777" w:rsidTr="2FC9C0D2">
      <w:tc>
        <w:tcPr>
          <w:tcW w:w="3120" w:type="dxa"/>
        </w:tcPr>
        <w:p w14:paraId="4464E956" w14:textId="07317B7E" w:rsidR="2FC9C0D2" w:rsidRDefault="2FC9C0D2" w:rsidP="2FC9C0D2">
          <w:pPr>
            <w:ind w:left="-115"/>
          </w:pPr>
        </w:p>
      </w:tc>
      <w:tc>
        <w:tcPr>
          <w:tcW w:w="3120" w:type="dxa"/>
        </w:tcPr>
        <w:p w14:paraId="244ABD2C" w14:textId="2429716E" w:rsidR="2FC9C0D2" w:rsidRDefault="2FC9C0D2" w:rsidP="2FC9C0D2">
          <w:pPr>
            <w:jc w:val="center"/>
          </w:pPr>
        </w:p>
      </w:tc>
      <w:tc>
        <w:tcPr>
          <w:tcW w:w="3120" w:type="dxa"/>
        </w:tcPr>
        <w:p w14:paraId="2D57A25F" w14:textId="24543860" w:rsidR="2FC9C0D2" w:rsidRDefault="2FC9C0D2" w:rsidP="2FC9C0D2">
          <w:pPr>
            <w:ind w:right="-115"/>
            <w:jc w:val="right"/>
          </w:pPr>
        </w:p>
      </w:tc>
    </w:tr>
  </w:tbl>
  <w:p w14:paraId="2F009001" w14:textId="0AC7465E" w:rsidR="2FC9C0D2" w:rsidRDefault="2FC9C0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FC9C0D2" w14:paraId="15FEE6BF" w14:textId="77777777" w:rsidTr="2FC9C0D2">
      <w:tc>
        <w:tcPr>
          <w:tcW w:w="3120" w:type="dxa"/>
        </w:tcPr>
        <w:p w14:paraId="16CFAB87" w14:textId="606712C6" w:rsidR="2FC9C0D2" w:rsidRDefault="2FC9C0D2" w:rsidP="2FC9C0D2">
          <w:pPr>
            <w:ind w:left="-115"/>
          </w:pPr>
        </w:p>
      </w:tc>
      <w:tc>
        <w:tcPr>
          <w:tcW w:w="3120" w:type="dxa"/>
        </w:tcPr>
        <w:p w14:paraId="26DB027C" w14:textId="3D7339C2" w:rsidR="2FC9C0D2" w:rsidRDefault="2FC9C0D2" w:rsidP="2FC9C0D2">
          <w:pPr>
            <w:jc w:val="center"/>
          </w:pPr>
        </w:p>
      </w:tc>
      <w:tc>
        <w:tcPr>
          <w:tcW w:w="3120" w:type="dxa"/>
        </w:tcPr>
        <w:p w14:paraId="47BAC48E" w14:textId="55B05660" w:rsidR="2FC9C0D2" w:rsidRDefault="2FC9C0D2" w:rsidP="2FC9C0D2">
          <w:pPr>
            <w:ind w:right="-115"/>
            <w:jc w:val="right"/>
          </w:pPr>
        </w:p>
      </w:tc>
    </w:tr>
  </w:tbl>
  <w:p w14:paraId="22CF934D" w14:textId="3E1D439A" w:rsidR="2FC9C0D2" w:rsidRDefault="2FC9C0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5123"/>
    <w:multiLevelType w:val="hybridMultilevel"/>
    <w:tmpl w:val="C83673D6"/>
    <w:lvl w:ilvl="0" w:tplc="5FA4A708">
      <w:start w:val="1"/>
      <w:numFmt w:val="bullet"/>
      <w:lvlText w:val="-"/>
      <w:lvlJc w:val="left"/>
      <w:pPr>
        <w:ind w:left="720" w:hanging="360"/>
      </w:pPr>
      <w:rPr>
        <w:rFonts w:ascii="Cambria" w:hAnsi="Cambria" w:hint="default"/>
      </w:rPr>
    </w:lvl>
    <w:lvl w:ilvl="1" w:tplc="8DBCCA7A">
      <w:start w:val="1"/>
      <w:numFmt w:val="bullet"/>
      <w:lvlText w:val="o"/>
      <w:lvlJc w:val="left"/>
      <w:pPr>
        <w:ind w:left="1440" w:hanging="360"/>
      </w:pPr>
      <w:rPr>
        <w:rFonts w:ascii="Courier New" w:hAnsi="Courier New" w:hint="default"/>
      </w:rPr>
    </w:lvl>
    <w:lvl w:ilvl="2" w:tplc="1F627366">
      <w:start w:val="1"/>
      <w:numFmt w:val="bullet"/>
      <w:lvlText w:val=""/>
      <w:lvlJc w:val="left"/>
      <w:pPr>
        <w:ind w:left="2160" w:hanging="360"/>
      </w:pPr>
      <w:rPr>
        <w:rFonts w:ascii="Wingdings" w:hAnsi="Wingdings" w:hint="default"/>
      </w:rPr>
    </w:lvl>
    <w:lvl w:ilvl="3" w:tplc="8A241A90">
      <w:start w:val="1"/>
      <w:numFmt w:val="bullet"/>
      <w:lvlText w:val=""/>
      <w:lvlJc w:val="left"/>
      <w:pPr>
        <w:ind w:left="2880" w:hanging="360"/>
      </w:pPr>
      <w:rPr>
        <w:rFonts w:ascii="Symbol" w:hAnsi="Symbol" w:hint="default"/>
      </w:rPr>
    </w:lvl>
    <w:lvl w:ilvl="4" w:tplc="5B2AEE42">
      <w:start w:val="1"/>
      <w:numFmt w:val="bullet"/>
      <w:lvlText w:val="o"/>
      <w:lvlJc w:val="left"/>
      <w:pPr>
        <w:ind w:left="3600" w:hanging="360"/>
      </w:pPr>
      <w:rPr>
        <w:rFonts w:ascii="Courier New" w:hAnsi="Courier New" w:hint="default"/>
      </w:rPr>
    </w:lvl>
    <w:lvl w:ilvl="5" w:tplc="EEA8559A">
      <w:start w:val="1"/>
      <w:numFmt w:val="bullet"/>
      <w:lvlText w:val=""/>
      <w:lvlJc w:val="left"/>
      <w:pPr>
        <w:ind w:left="4320" w:hanging="360"/>
      </w:pPr>
      <w:rPr>
        <w:rFonts w:ascii="Wingdings" w:hAnsi="Wingdings" w:hint="default"/>
      </w:rPr>
    </w:lvl>
    <w:lvl w:ilvl="6" w:tplc="71263FFE">
      <w:start w:val="1"/>
      <w:numFmt w:val="bullet"/>
      <w:lvlText w:val=""/>
      <w:lvlJc w:val="left"/>
      <w:pPr>
        <w:ind w:left="5040" w:hanging="360"/>
      </w:pPr>
      <w:rPr>
        <w:rFonts w:ascii="Symbol" w:hAnsi="Symbol" w:hint="default"/>
      </w:rPr>
    </w:lvl>
    <w:lvl w:ilvl="7" w:tplc="54EE9B92">
      <w:start w:val="1"/>
      <w:numFmt w:val="bullet"/>
      <w:lvlText w:val="o"/>
      <w:lvlJc w:val="left"/>
      <w:pPr>
        <w:ind w:left="5760" w:hanging="360"/>
      </w:pPr>
      <w:rPr>
        <w:rFonts w:ascii="Courier New" w:hAnsi="Courier New" w:hint="default"/>
      </w:rPr>
    </w:lvl>
    <w:lvl w:ilvl="8" w:tplc="9BF465DA">
      <w:start w:val="1"/>
      <w:numFmt w:val="bullet"/>
      <w:lvlText w:val=""/>
      <w:lvlJc w:val="left"/>
      <w:pPr>
        <w:ind w:left="6480" w:hanging="360"/>
      </w:pPr>
      <w:rPr>
        <w:rFonts w:ascii="Wingdings" w:hAnsi="Wingdings" w:hint="default"/>
      </w:rPr>
    </w:lvl>
  </w:abstractNum>
  <w:abstractNum w:abstractNumId="1"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2"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7"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8"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1"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4"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9BC57C3"/>
    <w:multiLevelType w:val="hybridMultilevel"/>
    <w:tmpl w:val="2CA04538"/>
    <w:lvl w:ilvl="0" w:tplc="E904D5E2">
      <w:start w:val="1"/>
      <w:numFmt w:val="decimal"/>
      <w:lvlText w:val="%1."/>
      <w:lvlJc w:val="left"/>
      <w:pPr>
        <w:tabs>
          <w:tab w:val="num" w:pos="0"/>
        </w:tabs>
        <w:ind w:left="-720" w:firstLine="720"/>
      </w:pPr>
      <w:rPr>
        <w:rFonts w:ascii="Cambria" w:hAnsi="Cambria" w:hint="default"/>
        <w:b w:val="0"/>
        <w:bCs w:val="0"/>
        <w:i w:val="0"/>
        <w:color w:val="auto"/>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72A0BA1"/>
    <w:multiLevelType w:val="hybridMultilevel"/>
    <w:tmpl w:val="01E284C0"/>
    <w:lvl w:ilvl="0" w:tplc="4BD2254A">
      <w:start w:val="1"/>
      <w:numFmt w:val="upperRoman"/>
      <w:pStyle w:val="Heading1"/>
      <w:lvlText w:val="%1."/>
      <w:lvlJc w:val="left"/>
      <w:pPr>
        <w:ind w:left="72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94A1496"/>
    <w:multiLevelType w:val="hybridMultilevel"/>
    <w:tmpl w:val="C6728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9"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0" w15:restartNumberingAfterBreak="0">
    <w:nsid w:val="40651C0C"/>
    <w:multiLevelType w:val="hybridMultilevel"/>
    <w:tmpl w:val="5896C32E"/>
    <w:lvl w:ilvl="0" w:tplc="8858172A">
      <w:start w:val="1"/>
      <w:numFmt w:val="bullet"/>
      <w:lvlText w:val="-"/>
      <w:lvlJc w:val="left"/>
      <w:pPr>
        <w:ind w:left="1080" w:hanging="360"/>
      </w:pPr>
      <w:rPr>
        <w:rFonts w:ascii="Cambria" w:eastAsia="Cambria"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9"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3"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5"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C3360A6"/>
    <w:multiLevelType w:val="multilevel"/>
    <w:tmpl w:val="B3CE7A6E"/>
    <w:lvl w:ilvl="0">
      <w:start w:val="1"/>
      <w:numFmt w:val="decimal"/>
      <w:pStyle w:val="Heading3"/>
      <w:lvlText w:val="%1."/>
      <w:lvlJc w:val="left"/>
      <w:pPr>
        <w:ind w:left="720" w:hanging="360"/>
      </w:pPr>
      <w:rPr>
        <w:rFonts w:ascii="Cambria" w:hAnsi="Cambria" w:hint="default"/>
        <w:b/>
        <w:color w:val="auto"/>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D7D4B9D"/>
    <w:multiLevelType w:val="hybridMultilevel"/>
    <w:tmpl w:val="402EB966"/>
    <w:lvl w:ilvl="0" w:tplc="FFFFFFFF">
      <w:start w:val="1"/>
      <w:numFmt w:val="decimal"/>
      <w:pStyle w:val="parrafos"/>
      <w:lvlText w:val="%1."/>
      <w:lvlJc w:val="left"/>
      <w:pPr>
        <w:ind w:left="1440" w:hanging="360"/>
      </w:pPr>
      <w:rPr>
        <w:rFonts w:ascii="Cambria" w:hAnsi="Cambria"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019715A"/>
    <w:multiLevelType w:val="hybridMultilevel"/>
    <w:tmpl w:val="8800ECF8"/>
    <w:lvl w:ilvl="0" w:tplc="A760BB96">
      <w:start w:val="1"/>
      <w:numFmt w:val="upperLetter"/>
      <w:pStyle w:val="Heading2"/>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1"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2"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22B1B5B"/>
    <w:multiLevelType w:val="hybridMultilevel"/>
    <w:tmpl w:val="B46AF2A6"/>
    <w:lvl w:ilvl="0" w:tplc="94D29F56">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7"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92909963">
    <w:abstractNumId w:val="0"/>
  </w:num>
  <w:num w:numId="2" w16cid:durableId="1169904775">
    <w:abstractNumId w:val="4"/>
  </w:num>
  <w:num w:numId="3" w16cid:durableId="1257059261">
    <w:abstractNumId w:val="5"/>
  </w:num>
  <w:num w:numId="4" w16cid:durableId="1359894998">
    <w:abstractNumId w:val="56"/>
  </w:num>
  <w:num w:numId="5" w16cid:durableId="1206136330">
    <w:abstractNumId w:val="21"/>
  </w:num>
  <w:num w:numId="6" w16cid:durableId="864097905">
    <w:abstractNumId w:val="50"/>
  </w:num>
  <w:num w:numId="7" w16cid:durableId="1242136383">
    <w:abstractNumId w:val="28"/>
  </w:num>
  <w:num w:numId="8" w16cid:durableId="1718973108">
    <w:abstractNumId w:val="6"/>
  </w:num>
  <w:num w:numId="9" w16cid:durableId="1359963769">
    <w:abstractNumId w:val="17"/>
  </w:num>
  <w:num w:numId="10" w16cid:durableId="97526048">
    <w:abstractNumId w:val="43"/>
  </w:num>
  <w:num w:numId="11" w16cid:durableId="2038120164">
    <w:abstractNumId w:val="1"/>
  </w:num>
  <w:num w:numId="12" w16cid:durableId="1990359167">
    <w:abstractNumId w:val="38"/>
  </w:num>
  <w:num w:numId="13" w16cid:durableId="1491369506">
    <w:abstractNumId w:val="39"/>
  </w:num>
  <w:num w:numId="14" w16cid:durableId="1611623707">
    <w:abstractNumId w:val="44"/>
  </w:num>
  <w:num w:numId="15" w16cid:durableId="528222279">
    <w:abstractNumId w:val="2"/>
  </w:num>
  <w:num w:numId="16" w16cid:durableId="1104963260">
    <w:abstractNumId w:val="3"/>
  </w:num>
  <w:num w:numId="17" w16cid:durableId="1130705706">
    <w:abstractNumId w:val="7"/>
  </w:num>
  <w:num w:numId="18" w16cid:durableId="927924773">
    <w:abstractNumId w:val="8"/>
  </w:num>
  <w:num w:numId="19" w16cid:durableId="564030406">
    <w:abstractNumId w:val="9"/>
  </w:num>
  <w:num w:numId="20" w16cid:durableId="713696498">
    <w:abstractNumId w:val="10"/>
  </w:num>
  <w:num w:numId="21" w16cid:durableId="1982609545">
    <w:abstractNumId w:val="11"/>
  </w:num>
  <w:num w:numId="22" w16cid:durableId="668754591">
    <w:abstractNumId w:val="12"/>
  </w:num>
  <w:num w:numId="23" w16cid:durableId="1164735988">
    <w:abstractNumId w:val="13"/>
  </w:num>
  <w:num w:numId="24" w16cid:durableId="2079670276">
    <w:abstractNumId w:val="14"/>
  </w:num>
  <w:num w:numId="25" w16cid:durableId="1504735091">
    <w:abstractNumId w:val="15"/>
  </w:num>
  <w:num w:numId="26" w16cid:durableId="225531269">
    <w:abstractNumId w:val="18"/>
  </w:num>
  <w:num w:numId="27" w16cid:durableId="737023220">
    <w:abstractNumId w:val="19"/>
  </w:num>
  <w:num w:numId="28" w16cid:durableId="767240662">
    <w:abstractNumId w:val="22"/>
  </w:num>
  <w:num w:numId="29" w16cid:durableId="1988581991">
    <w:abstractNumId w:val="23"/>
  </w:num>
  <w:num w:numId="30" w16cid:durableId="2077052072">
    <w:abstractNumId w:val="24"/>
  </w:num>
  <w:num w:numId="31" w16cid:durableId="252519949">
    <w:abstractNumId w:val="26"/>
  </w:num>
  <w:num w:numId="32" w16cid:durableId="946812509">
    <w:abstractNumId w:val="29"/>
  </w:num>
  <w:num w:numId="33" w16cid:durableId="1777863972">
    <w:abstractNumId w:val="31"/>
  </w:num>
  <w:num w:numId="34" w16cid:durableId="2033602566">
    <w:abstractNumId w:val="32"/>
  </w:num>
  <w:num w:numId="35" w16cid:durableId="1381393191">
    <w:abstractNumId w:val="33"/>
  </w:num>
  <w:num w:numId="36" w16cid:durableId="1324897914">
    <w:abstractNumId w:val="34"/>
  </w:num>
  <w:num w:numId="37" w16cid:durableId="405107908">
    <w:abstractNumId w:val="35"/>
  </w:num>
  <w:num w:numId="38" w16cid:durableId="666595650">
    <w:abstractNumId w:val="36"/>
  </w:num>
  <w:num w:numId="39" w16cid:durableId="1362318683">
    <w:abstractNumId w:val="37"/>
  </w:num>
  <w:num w:numId="40" w16cid:durableId="388310001">
    <w:abstractNumId w:val="40"/>
  </w:num>
  <w:num w:numId="41" w16cid:durableId="37241337">
    <w:abstractNumId w:val="41"/>
  </w:num>
  <w:num w:numId="42" w16cid:durableId="1790318712">
    <w:abstractNumId w:val="49"/>
  </w:num>
  <w:num w:numId="43" w16cid:durableId="1566407437">
    <w:abstractNumId w:val="51"/>
  </w:num>
  <w:num w:numId="44" w16cid:durableId="276525886">
    <w:abstractNumId w:val="52"/>
  </w:num>
  <w:num w:numId="45" w16cid:durableId="1372539413">
    <w:abstractNumId w:val="54"/>
  </w:num>
  <w:num w:numId="46" w16cid:durableId="443430678">
    <w:abstractNumId w:val="55"/>
  </w:num>
  <w:num w:numId="47" w16cid:durableId="1106729365">
    <w:abstractNumId w:val="57"/>
  </w:num>
  <w:num w:numId="48" w16cid:durableId="1984119927">
    <w:abstractNumId w:val="58"/>
  </w:num>
  <w:num w:numId="49" w16cid:durableId="1969624573">
    <w:abstractNumId w:val="59"/>
  </w:num>
  <w:num w:numId="50" w16cid:durableId="1323192634">
    <w:abstractNumId w:val="60"/>
  </w:num>
  <w:num w:numId="51" w16cid:durableId="1358850946">
    <w:abstractNumId w:val="61"/>
  </w:num>
  <w:num w:numId="52" w16cid:durableId="1739596497">
    <w:abstractNumId w:val="20"/>
  </w:num>
  <w:num w:numId="53" w16cid:durableId="63531161">
    <w:abstractNumId w:val="42"/>
  </w:num>
  <w:num w:numId="54" w16cid:durableId="1351418108">
    <w:abstractNumId w:val="45"/>
  </w:num>
  <w:num w:numId="55" w16cid:durableId="1701660327">
    <w:abstractNumId w:val="25"/>
  </w:num>
  <w:num w:numId="56" w16cid:durableId="1044672423">
    <w:abstractNumId w:val="47"/>
  </w:num>
  <w:num w:numId="57" w16cid:durableId="282275581">
    <w:abstractNumId w:val="48"/>
  </w:num>
  <w:num w:numId="58" w16cid:durableId="777799821">
    <w:abstractNumId w:val="48"/>
    <w:lvlOverride w:ilvl="0">
      <w:startOverride w:val="1"/>
    </w:lvlOverride>
  </w:num>
  <w:num w:numId="59" w16cid:durableId="572815451">
    <w:abstractNumId w:val="48"/>
    <w:lvlOverride w:ilvl="0">
      <w:startOverride w:val="1"/>
    </w:lvlOverride>
  </w:num>
  <w:num w:numId="60" w16cid:durableId="910307865">
    <w:abstractNumId w:val="46"/>
  </w:num>
  <w:num w:numId="61" w16cid:durableId="1192843658">
    <w:abstractNumId w:val="27"/>
  </w:num>
  <w:num w:numId="62" w16cid:durableId="324667314">
    <w:abstractNumId w:val="16"/>
  </w:num>
  <w:num w:numId="63" w16cid:durableId="11502446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581186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136384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62645078">
    <w:abstractNumId w:val="30"/>
  </w:num>
  <w:num w:numId="67" w16cid:durableId="1623534840">
    <w:abstractNumId w:val="53"/>
  </w:num>
  <w:num w:numId="68" w16cid:durableId="1610158830">
    <w:abstractNumId w:val="53"/>
    <w:lvlOverride w:ilvl="0">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5DD2"/>
    <w:rsid w:val="00006896"/>
    <w:rsid w:val="00006E1F"/>
    <w:rsid w:val="000070D7"/>
    <w:rsid w:val="00010F1C"/>
    <w:rsid w:val="00011096"/>
    <w:rsid w:val="0001270D"/>
    <w:rsid w:val="00015735"/>
    <w:rsid w:val="000158FD"/>
    <w:rsid w:val="00017437"/>
    <w:rsid w:val="0001788C"/>
    <w:rsid w:val="000220D5"/>
    <w:rsid w:val="00023752"/>
    <w:rsid w:val="000257EF"/>
    <w:rsid w:val="00027A6B"/>
    <w:rsid w:val="00030F24"/>
    <w:rsid w:val="000319B6"/>
    <w:rsid w:val="00032214"/>
    <w:rsid w:val="00040C3A"/>
    <w:rsid w:val="00041D90"/>
    <w:rsid w:val="00043BE7"/>
    <w:rsid w:val="00044112"/>
    <w:rsid w:val="00046F61"/>
    <w:rsid w:val="00054BE4"/>
    <w:rsid w:val="0006317A"/>
    <w:rsid w:val="0006565A"/>
    <w:rsid w:val="000666B1"/>
    <w:rsid w:val="00066EA8"/>
    <w:rsid w:val="00067A5D"/>
    <w:rsid w:val="000716C5"/>
    <w:rsid w:val="00075E23"/>
    <w:rsid w:val="00076A53"/>
    <w:rsid w:val="0008537A"/>
    <w:rsid w:val="000864BE"/>
    <w:rsid w:val="0008768F"/>
    <w:rsid w:val="00090E1A"/>
    <w:rsid w:val="000911CE"/>
    <w:rsid w:val="00092520"/>
    <w:rsid w:val="0009297F"/>
    <w:rsid w:val="0009344A"/>
    <w:rsid w:val="0009539B"/>
    <w:rsid w:val="00096A49"/>
    <w:rsid w:val="000A0055"/>
    <w:rsid w:val="000A34C9"/>
    <w:rsid w:val="000A392E"/>
    <w:rsid w:val="000A39E4"/>
    <w:rsid w:val="000A575F"/>
    <w:rsid w:val="000A576A"/>
    <w:rsid w:val="000A748E"/>
    <w:rsid w:val="000A7F9F"/>
    <w:rsid w:val="000B2895"/>
    <w:rsid w:val="000B5D15"/>
    <w:rsid w:val="000B7F13"/>
    <w:rsid w:val="000C1C34"/>
    <w:rsid w:val="000C225D"/>
    <w:rsid w:val="000C3CD9"/>
    <w:rsid w:val="000C50F1"/>
    <w:rsid w:val="000D10DB"/>
    <w:rsid w:val="000D78A0"/>
    <w:rsid w:val="000E02EC"/>
    <w:rsid w:val="000E0C8F"/>
    <w:rsid w:val="000E2D77"/>
    <w:rsid w:val="000E5EB5"/>
    <w:rsid w:val="000F30A5"/>
    <w:rsid w:val="000F3113"/>
    <w:rsid w:val="000F35ED"/>
    <w:rsid w:val="000F4F72"/>
    <w:rsid w:val="000F5828"/>
    <w:rsid w:val="000F5F8A"/>
    <w:rsid w:val="00107131"/>
    <w:rsid w:val="0010736F"/>
    <w:rsid w:val="001104AF"/>
    <w:rsid w:val="00113F73"/>
    <w:rsid w:val="00114346"/>
    <w:rsid w:val="00115BF5"/>
    <w:rsid w:val="00121CC2"/>
    <w:rsid w:val="0012213C"/>
    <w:rsid w:val="001256B8"/>
    <w:rsid w:val="00130BEE"/>
    <w:rsid w:val="00131431"/>
    <w:rsid w:val="00133EE5"/>
    <w:rsid w:val="00151F04"/>
    <w:rsid w:val="001606B5"/>
    <w:rsid w:val="00161D34"/>
    <w:rsid w:val="00165904"/>
    <w:rsid w:val="00165CF6"/>
    <w:rsid w:val="00166189"/>
    <w:rsid w:val="00167A34"/>
    <w:rsid w:val="001769FC"/>
    <w:rsid w:val="00181F34"/>
    <w:rsid w:val="00182CA9"/>
    <w:rsid w:val="00187D33"/>
    <w:rsid w:val="00193094"/>
    <w:rsid w:val="00195604"/>
    <w:rsid w:val="001A4D23"/>
    <w:rsid w:val="001A574E"/>
    <w:rsid w:val="001A7870"/>
    <w:rsid w:val="001B3E44"/>
    <w:rsid w:val="001B62CA"/>
    <w:rsid w:val="001B7FBB"/>
    <w:rsid w:val="001C05D3"/>
    <w:rsid w:val="001C103F"/>
    <w:rsid w:val="001C1B41"/>
    <w:rsid w:val="001C32DB"/>
    <w:rsid w:val="001C3D17"/>
    <w:rsid w:val="001C4CB6"/>
    <w:rsid w:val="001C7CC1"/>
    <w:rsid w:val="001C7DE6"/>
    <w:rsid w:val="001D18C7"/>
    <w:rsid w:val="001D65EF"/>
    <w:rsid w:val="001E15B6"/>
    <w:rsid w:val="001F555A"/>
    <w:rsid w:val="00200A8F"/>
    <w:rsid w:val="00202589"/>
    <w:rsid w:val="002036D7"/>
    <w:rsid w:val="00204B61"/>
    <w:rsid w:val="00211EC3"/>
    <w:rsid w:val="00212978"/>
    <w:rsid w:val="002176CA"/>
    <w:rsid w:val="0022273F"/>
    <w:rsid w:val="0022299C"/>
    <w:rsid w:val="00223BEB"/>
    <w:rsid w:val="002250A3"/>
    <w:rsid w:val="00225587"/>
    <w:rsid w:val="002266A0"/>
    <w:rsid w:val="00233603"/>
    <w:rsid w:val="00235217"/>
    <w:rsid w:val="00242EA8"/>
    <w:rsid w:val="00246B79"/>
    <w:rsid w:val="00246D1F"/>
    <w:rsid w:val="00247403"/>
    <w:rsid w:val="00247542"/>
    <w:rsid w:val="00247C25"/>
    <w:rsid w:val="00261A07"/>
    <w:rsid w:val="00261AC6"/>
    <w:rsid w:val="0026270A"/>
    <w:rsid w:val="002638BE"/>
    <w:rsid w:val="002639D9"/>
    <w:rsid w:val="00264BED"/>
    <w:rsid w:val="00266589"/>
    <w:rsid w:val="00266B61"/>
    <w:rsid w:val="0026712A"/>
    <w:rsid w:val="002703F8"/>
    <w:rsid w:val="002704DB"/>
    <w:rsid w:val="002709B1"/>
    <w:rsid w:val="002739FB"/>
    <w:rsid w:val="0027590C"/>
    <w:rsid w:val="00276DF8"/>
    <w:rsid w:val="00277EF9"/>
    <w:rsid w:val="002827DD"/>
    <w:rsid w:val="00283D7D"/>
    <w:rsid w:val="002944C7"/>
    <w:rsid w:val="002A0199"/>
    <w:rsid w:val="002A0AAE"/>
    <w:rsid w:val="002A188A"/>
    <w:rsid w:val="002A4CCF"/>
    <w:rsid w:val="002A5820"/>
    <w:rsid w:val="002B60A8"/>
    <w:rsid w:val="002C6800"/>
    <w:rsid w:val="002D11CA"/>
    <w:rsid w:val="002D2B26"/>
    <w:rsid w:val="002D7EA2"/>
    <w:rsid w:val="002E17E2"/>
    <w:rsid w:val="002E187C"/>
    <w:rsid w:val="002E42F1"/>
    <w:rsid w:val="002E4AEA"/>
    <w:rsid w:val="002F195C"/>
    <w:rsid w:val="00300A44"/>
    <w:rsid w:val="00302733"/>
    <w:rsid w:val="00303D52"/>
    <w:rsid w:val="003046E5"/>
    <w:rsid w:val="00304D6B"/>
    <w:rsid w:val="003057A9"/>
    <w:rsid w:val="00307ABC"/>
    <w:rsid w:val="0031160D"/>
    <w:rsid w:val="00314078"/>
    <w:rsid w:val="0031535D"/>
    <w:rsid w:val="00315A6E"/>
    <w:rsid w:val="00316E26"/>
    <w:rsid w:val="00322B86"/>
    <w:rsid w:val="00323E53"/>
    <w:rsid w:val="003267B9"/>
    <w:rsid w:val="0032742E"/>
    <w:rsid w:val="0033028D"/>
    <w:rsid w:val="0033169F"/>
    <w:rsid w:val="00346C95"/>
    <w:rsid w:val="00355091"/>
    <w:rsid w:val="00355DCC"/>
    <w:rsid w:val="00356185"/>
    <w:rsid w:val="003567E6"/>
    <w:rsid w:val="00360380"/>
    <w:rsid w:val="00361415"/>
    <w:rsid w:val="003617C9"/>
    <w:rsid w:val="003621DD"/>
    <w:rsid w:val="0036232B"/>
    <w:rsid w:val="00363049"/>
    <w:rsid w:val="003640F9"/>
    <w:rsid w:val="003647B1"/>
    <w:rsid w:val="00365872"/>
    <w:rsid w:val="00367458"/>
    <w:rsid w:val="00370F68"/>
    <w:rsid w:val="0037519E"/>
    <w:rsid w:val="003803D7"/>
    <w:rsid w:val="0038642D"/>
    <w:rsid w:val="00386CF0"/>
    <w:rsid w:val="003973E8"/>
    <w:rsid w:val="003A388C"/>
    <w:rsid w:val="003B0B55"/>
    <w:rsid w:val="003B1D16"/>
    <w:rsid w:val="003B2CEA"/>
    <w:rsid w:val="003B365A"/>
    <w:rsid w:val="003B3F8C"/>
    <w:rsid w:val="003C053F"/>
    <w:rsid w:val="003C3940"/>
    <w:rsid w:val="003C470F"/>
    <w:rsid w:val="003C676B"/>
    <w:rsid w:val="003C7DD3"/>
    <w:rsid w:val="003D3BC2"/>
    <w:rsid w:val="003D61B7"/>
    <w:rsid w:val="003D67C7"/>
    <w:rsid w:val="003D7C03"/>
    <w:rsid w:val="003E26A0"/>
    <w:rsid w:val="003E328F"/>
    <w:rsid w:val="003E432F"/>
    <w:rsid w:val="003E6CA1"/>
    <w:rsid w:val="003E7383"/>
    <w:rsid w:val="003E77C4"/>
    <w:rsid w:val="003F4419"/>
    <w:rsid w:val="003F7183"/>
    <w:rsid w:val="003F725B"/>
    <w:rsid w:val="003F7F64"/>
    <w:rsid w:val="00403C18"/>
    <w:rsid w:val="00410BAB"/>
    <w:rsid w:val="00413219"/>
    <w:rsid w:val="004165C2"/>
    <w:rsid w:val="00424426"/>
    <w:rsid w:val="00425CDF"/>
    <w:rsid w:val="00426114"/>
    <w:rsid w:val="0042653A"/>
    <w:rsid w:val="0042782C"/>
    <w:rsid w:val="00433924"/>
    <w:rsid w:val="004348AA"/>
    <w:rsid w:val="00434DA4"/>
    <w:rsid w:val="0043663D"/>
    <w:rsid w:val="00437655"/>
    <w:rsid w:val="00441ECB"/>
    <w:rsid w:val="00445972"/>
    <w:rsid w:val="00447FD3"/>
    <w:rsid w:val="004502CA"/>
    <w:rsid w:val="00454579"/>
    <w:rsid w:val="00461D3E"/>
    <w:rsid w:val="004621F6"/>
    <w:rsid w:val="00463CEE"/>
    <w:rsid w:val="00463DE0"/>
    <w:rsid w:val="00467B7E"/>
    <w:rsid w:val="0047697B"/>
    <w:rsid w:val="00477592"/>
    <w:rsid w:val="00482EC8"/>
    <w:rsid w:val="00486F1C"/>
    <w:rsid w:val="004938F1"/>
    <w:rsid w:val="0049419D"/>
    <w:rsid w:val="004A5DD4"/>
    <w:rsid w:val="004B1C8A"/>
    <w:rsid w:val="004B3EC7"/>
    <w:rsid w:val="004C20D2"/>
    <w:rsid w:val="004C4B62"/>
    <w:rsid w:val="004C54C9"/>
    <w:rsid w:val="004C6867"/>
    <w:rsid w:val="004C790D"/>
    <w:rsid w:val="004D195F"/>
    <w:rsid w:val="004D2720"/>
    <w:rsid w:val="004D31DD"/>
    <w:rsid w:val="004D6025"/>
    <w:rsid w:val="004D6618"/>
    <w:rsid w:val="004E024F"/>
    <w:rsid w:val="004E2649"/>
    <w:rsid w:val="004E51DE"/>
    <w:rsid w:val="004F36A3"/>
    <w:rsid w:val="004F47A6"/>
    <w:rsid w:val="004F49F9"/>
    <w:rsid w:val="004F627D"/>
    <w:rsid w:val="00501399"/>
    <w:rsid w:val="00501F60"/>
    <w:rsid w:val="0050633D"/>
    <w:rsid w:val="005064F1"/>
    <w:rsid w:val="00507BC4"/>
    <w:rsid w:val="00510A24"/>
    <w:rsid w:val="005128E4"/>
    <w:rsid w:val="005133DB"/>
    <w:rsid w:val="005138C7"/>
    <w:rsid w:val="00524A36"/>
    <w:rsid w:val="00525560"/>
    <w:rsid w:val="00526998"/>
    <w:rsid w:val="005269D1"/>
    <w:rsid w:val="005354F3"/>
    <w:rsid w:val="00536923"/>
    <w:rsid w:val="00540B3F"/>
    <w:rsid w:val="00540C82"/>
    <w:rsid w:val="005430CE"/>
    <w:rsid w:val="00544C49"/>
    <w:rsid w:val="005466EC"/>
    <w:rsid w:val="005516A1"/>
    <w:rsid w:val="005552AB"/>
    <w:rsid w:val="005572EF"/>
    <w:rsid w:val="005635B8"/>
    <w:rsid w:val="00564201"/>
    <w:rsid w:val="00564D1F"/>
    <w:rsid w:val="0056538A"/>
    <w:rsid w:val="00565744"/>
    <w:rsid w:val="0057402A"/>
    <w:rsid w:val="005771D0"/>
    <w:rsid w:val="00585495"/>
    <w:rsid w:val="0059191A"/>
    <w:rsid w:val="005921FF"/>
    <w:rsid w:val="005937F1"/>
    <w:rsid w:val="00595C1D"/>
    <w:rsid w:val="005961D9"/>
    <w:rsid w:val="005A1DC2"/>
    <w:rsid w:val="005A6D0E"/>
    <w:rsid w:val="005B2258"/>
    <w:rsid w:val="005B52B0"/>
    <w:rsid w:val="005B6806"/>
    <w:rsid w:val="005B77ED"/>
    <w:rsid w:val="005B7820"/>
    <w:rsid w:val="005C0494"/>
    <w:rsid w:val="005C1647"/>
    <w:rsid w:val="005C4225"/>
    <w:rsid w:val="005C4CA5"/>
    <w:rsid w:val="005C67BB"/>
    <w:rsid w:val="005D0DB1"/>
    <w:rsid w:val="005D2B31"/>
    <w:rsid w:val="005D67B8"/>
    <w:rsid w:val="005D7146"/>
    <w:rsid w:val="005D7795"/>
    <w:rsid w:val="005E7A0B"/>
    <w:rsid w:val="005F0A0B"/>
    <w:rsid w:val="005F0DAD"/>
    <w:rsid w:val="005F0F33"/>
    <w:rsid w:val="005F2A7B"/>
    <w:rsid w:val="005F309E"/>
    <w:rsid w:val="00600DEB"/>
    <w:rsid w:val="00602BA0"/>
    <w:rsid w:val="00604C10"/>
    <w:rsid w:val="006125C3"/>
    <w:rsid w:val="00613E66"/>
    <w:rsid w:val="006212B3"/>
    <w:rsid w:val="00624987"/>
    <w:rsid w:val="00627C9F"/>
    <w:rsid w:val="006311E9"/>
    <w:rsid w:val="00632354"/>
    <w:rsid w:val="00640C93"/>
    <w:rsid w:val="00640E08"/>
    <w:rsid w:val="00642810"/>
    <w:rsid w:val="00644885"/>
    <w:rsid w:val="00645038"/>
    <w:rsid w:val="00645348"/>
    <w:rsid w:val="00646274"/>
    <w:rsid w:val="00647FCE"/>
    <w:rsid w:val="00652333"/>
    <w:rsid w:val="00655B8E"/>
    <w:rsid w:val="00655FE7"/>
    <w:rsid w:val="0068009E"/>
    <w:rsid w:val="00681C00"/>
    <w:rsid w:val="00683EDE"/>
    <w:rsid w:val="00692219"/>
    <w:rsid w:val="00697D86"/>
    <w:rsid w:val="006A17D2"/>
    <w:rsid w:val="006A3810"/>
    <w:rsid w:val="006A4B39"/>
    <w:rsid w:val="006A5489"/>
    <w:rsid w:val="006A5E13"/>
    <w:rsid w:val="006A73E6"/>
    <w:rsid w:val="006A74FA"/>
    <w:rsid w:val="006B2D5C"/>
    <w:rsid w:val="006B4D40"/>
    <w:rsid w:val="006B5899"/>
    <w:rsid w:val="006B7195"/>
    <w:rsid w:val="006C1A20"/>
    <w:rsid w:val="006C4C94"/>
    <w:rsid w:val="006C4EB1"/>
    <w:rsid w:val="006D44A2"/>
    <w:rsid w:val="006D5467"/>
    <w:rsid w:val="006E0166"/>
    <w:rsid w:val="006E52FA"/>
    <w:rsid w:val="006E7B34"/>
    <w:rsid w:val="006F305B"/>
    <w:rsid w:val="006F54E9"/>
    <w:rsid w:val="00704F0D"/>
    <w:rsid w:val="0070697F"/>
    <w:rsid w:val="0072199C"/>
    <w:rsid w:val="00722C9F"/>
    <w:rsid w:val="00725161"/>
    <w:rsid w:val="007253B8"/>
    <w:rsid w:val="00727475"/>
    <w:rsid w:val="00731FFF"/>
    <w:rsid w:val="00735CAE"/>
    <w:rsid w:val="0073631B"/>
    <w:rsid w:val="0073741F"/>
    <w:rsid w:val="00750254"/>
    <w:rsid w:val="0076643F"/>
    <w:rsid w:val="007668F7"/>
    <w:rsid w:val="00771AB8"/>
    <w:rsid w:val="00773302"/>
    <w:rsid w:val="0077370B"/>
    <w:rsid w:val="007748B6"/>
    <w:rsid w:val="0077580F"/>
    <w:rsid w:val="00777F63"/>
    <w:rsid w:val="0078070F"/>
    <w:rsid w:val="007827C1"/>
    <w:rsid w:val="00784999"/>
    <w:rsid w:val="00785EB0"/>
    <w:rsid w:val="00791FEF"/>
    <w:rsid w:val="007942A7"/>
    <w:rsid w:val="00794AE9"/>
    <w:rsid w:val="007A5817"/>
    <w:rsid w:val="007B1F28"/>
    <w:rsid w:val="007B60E9"/>
    <w:rsid w:val="007B6CC3"/>
    <w:rsid w:val="007C3334"/>
    <w:rsid w:val="007C756A"/>
    <w:rsid w:val="007D0F0D"/>
    <w:rsid w:val="007D27E6"/>
    <w:rsid w:val="007D2B98"/>
    <w:rsid w:val="007D4297"/>
    <w:rsid w:val="007E13F0"/>
    <w:rsid w:val="007E183F"/>
    <w:rsid w:val="007E21BC"/>
    <w:rsid w:val="007E59BE"/>
    <w:rsid w:val="007F743F"/>
    <w:rsid w:val="007F7E9A"/>
    <w:rsid w:val="008014DC"/>
    <w:rsid w:val="00803F1C"/>
    <w:rsid w:val="0080600E"/>
    <w:rsid w:val="00807CAC"/>
    <w:rsid w:val="00810A92"/>
    <w:rsid w:val="00811E25"/>
    <w:rsid w:val="0081205E"/>
    <w:rsid w:val="00813005"/>
    <w:rsid w:val="00815021"/>
    <w:rsid w:val="00816626"/>
    <w:rsid w:val="00817612"/>
    <w:rsid w:val="00821035"/>
    <w:rsid w:val="008217E6"/>
    <w:rsid w:val="00822175"/>
    <w:rsid w:val="00824132"/>
    <w:rsid w:val="008265BE"/>
    <w:rsid w:val="008266A7"/>
    <w:rsid w:val="0083046E"/>
    <w:rsid w:val="008338A4"/>
    <w:rsid w:val="00835116"/>
    <w:rsid w:val="00837185"/>
    <w:rsid w:val="00837C45"/>
    <w:rsid w:val="00844082"/>
    <w:rsid w:val="00844106"/>
    <w:rsid w:val="00844730"/>
    <w:rsid w:val="008457C2"/>
    <w:rsid w:val="00847104"/>
    <w:rsid w:val="00850DB7"/>
    <w:rsid w:val="00855036"/>
    <w:rsid w:val="008566BC"/>
    <w:rsid w:val="0085778D"/>
    <w:rsid w:val="00857A82"/>
    <w:rsid w:val="008634DF"/>
    <w:rsid w:val="00865597"/>
    <w:rsid w:val="00866BFB"/>
    <w:rsid w:val="00873836"/>
    <w:rsid w:val="008805E1"/>
    <w:rsid w:val="00885737"/>
    <w:rsid w:val="0088799D"/>
    <w:rsid w:val="00890650"/>
    <w:rsid w:val="00890CA2"/>
    <w:rsid w:val="00896C71"/>
    <w:rsid w:val="00897E12"/>
    <w:rsid w:val="008A078F"/>
    <w:rsid w:val="008A20E0"/>
    <w:rsid w:val="008A7E0F"/>
    <w:rsid w:val="008B12F5"/>
    <w:rsid w:val="008B7F23"/>
    <w:rsid w:val="008C3098"/>
    <w:rsid w:val="008C4951"/>
    <w:rsid w:val="008C7015"/>
    <w:rsid w:val="008D1665"/>
    <w:rsid w:val="008D35D2"/>
    <w:rsid w:val="008D4242"/>
    <w:rsid w:val="008D4B73"/>
    <w:rsid w:val="008D768D"/>
    <w:rsid w:val="008E2E59"/>
    <w:rsid w:val="008E3378"/>
    <w:rsid w:val="008E3759"/>
    <w:rsid w:val="008E46C1"/>
    <w:rsid w:val="008F1912"/>
    <w:rsid w:val="008F1B28"/>
    <w:rsid w:val="008F497D"/>
    <w:rsid w:val="008F604B"/>
    <w:rsid w:val="008F6B18"/>
    <w:rsid w:val="009014A4"/>
    <w:rsid w:val="0090270B"/>
    <w:rsid w:val="009041DC"/>
    <w:rsid w:val="00907C20"/>
    <w:rsid w:val="00910791"/>
    <w:rsid w:val="009113FE"/>
    <w:rsid w:val="00914740"/>
    <w:rsid w:val="00917B5A"/>
    <w:rsid w:val="00920A58"/>
    <w:rsid w:val="00920A8C"/>
    <w:rsid w:val="0092111F"/>
    <w:rsid w:val="009306E9"/>
    <w:rsid w:val="009325E4"/>
    <w:rsid w:val="009344ED"/>
    <w:rsid w:val="00934A2C"/>
    <w:rsid w:val="00937F4D"/>
    <w:rsid w:val="00941189"/>
    <w:rsid w:val="00941C6B"/>
    <w:rsid w:val="00942651"/>
    <w:rsid w:val="0094623F"/>
    <w:rsid w:val="00951CBC"/>
    <w:rsid w:val="00955168"/>
    <w:rsid w:val="009609E8"/>
    <w:rsid w:val="00961698"/>
    <w:rsid w:val="009649DC"/>
    <w:rsid w:val="0096706E"/>
    <w:rsid w:val="0097384D"/>
    <w:rsid w:val="00975797"/>
    <w:rsid w:val="00975C4E"/>
    <w:rsid w:val="0097642C"/>
    <w:rsid w:val="00981FBA"/>
    <w:rsid w:val="009827A7"/>
    <w:rsid w:val="00990FA8"/>
    <w:rsid w:val="009916D3"/>
    <w:rsid w:val="00991866"/>
    <w:rsid w:val="00993879"/>
    <w:rsid w:val="00997275"/>
    <w:rsid w:val="00997BC5"/>
    <w:rsid w:val="009A0BE3"/>
    <w:rsid w:val="009A33C5"/>
    <w:rsid w:val="009A4F41"/>
    <w:rsid w:val="009A5E52"/>
    <w:rsid w:val="009B2DFF"/>
    <w:rsid w:val="009B381B"/>
    <w:rsid w:val="009B506F"/>
    <w:rsid w:val="009B54B5"/>
    <w:rsid w:val="009B5807"/>
    <w:rsid w:val="009B7CD6"/>
    <w:rsid w:val="009C43AB"/>
    <w:rsid w:val="009C4EAA"/>
    <w:rsid w:val="009C6BD2"/>
    <w:rsid w:val="009C7481"/>
    <w:rsid w:val="009D00C1"/>
    <w:rsid w:val="009D0E64"/>
    <w:rsid w:val="009D1753"/>
    <w:rsid w:val="009D3279"/>
    <w:rsid w:val="009D41F5"/>
    <w:rsid w:val="009D7611"/>
    <w:rsid w:val="009E0B61"/>
    <w:rsid w:val="009E46F2"/>
    <w:rsid w:val="009E53DE"/>
    <w:rsid w:val="00A00D0A"/>
    <w:rsid w:val="00A03A30"/>
    <w:rsid w:val="00A04F3A"/>
    <w:rsid w:val="00A114C1"/>
    <w:rsid w:val="00A131F3"/>
    <w:rsid w:val="00A14E25"/>
    <w:rsid w:val="00A25496"/>
    <w:rsid w:val="00A2598E"/>
    <w:rsid w:val="00A25F88"/>
    <w:rsid w:val="00A26A03"/>
    <w:rsid w:val="00A328B3"/>
    <w:rsid w:val="00A32EA9"/>
    <w:rsid w:val="00A33774"/>
    <w:rsid w:val="00A33B1E"/>
    <w:rsid w:val="00A36D00"/>
    <w:rsid w:val="00A4057E"/>
    <w:rsid w:val="00A4212E"/>
    <w:rsid w:val="00A474D6"/>
    <w:rsid w:val="00A47F90"/>
    <w:rsid w:val="00A50F29"/>
    <w:rsid w:val="00A50FCF"/>
    <w:rsid w:val="00A528D1"/>
    <w:rsid w:val="00A553F0"/>
    <w:rsid w:val="00A610CD"/>
    <w:rsid w:val="00A611D1"/>
    <w:rsid w:val="00A6344C"/>
    <w:rsid w:val="00A65328"/>
    <w:rsid w:val="00A66E7F"/>
    <w:rsid w:val="00A707DB"/>
    <w:rsid w:val="00A72532"/>
    <w:rsid w:val="00A75BC6"/>
    <w:rsid w:val="00A75E63"/>
    <w:rsid w:val="00A814FA"/>
    <w:rsid w:val="00A82717"/>
    <w:rsid w:val="00A83BF0"/>
    <w:rsid w:val="00A8681F"/>
    <w:rsid w:val="00A954D7"/>
    <w:rsid w:val="00A967EC"/>
    <w:rsid w:val="00A9770A"/>
    <w:rsid w:val="00AA09A2"/>
    <w:rsid w:val="00AA53A2"/>
    <w:rsid w:val="00AA7080"/>
    <w:rsid w:val="00AA7996"/>
    <w:rsid w:val="00AB0D73"/>
    <w:rsid w:val="00AC19CB"/>
    <w:rsid w:val="00AC2DD7"/>
    <w:rsid w:val="00AC55D4"/>
    <w:rsid w:val="00AD26B5"/>
    <w:rsid w:val="00AE090A"/>
    <w:rsid w:val="00AE4046"/>
    <w:rsid w:val="00AE5488"/>
    <w:rsid w:val="00AE6F91"/>
    <w:rsid w:val="00AE7974"/>
    <w:rsid w:val="00AF2A4A"/>
    <w:rsid w:val="00AF5571"/>
    <w:rsid w:val="00AF7988"/>
    <w:rsid w:val="00B00E22"/>
    <w:rsid w:val="00B02243"/>
    <w:rsid w:val="00B05E14"/>
    <w:rsid w:val="00B07184"/>
    <w:rsid w:val="00B07341"/>
    <w:rsid w:val="00B20AB1"/>
    <w:rsid w:val="00B22D02"/>
    <w:rsid w:val="00B30539"/>
    <w:rsid w:val="00B314DB"/>
    <w:rsid w:val="00B320D3"/>
    <w:rsid w:val="00B34C9C"/>
    <w:rsid w:val="00B34CE7"/>
    <w:rsid w:val="00B361F2"/>
    <w:rsid w:val="00B3718B"/>
    <w:rsid w:val="00B405AB"/>
    <w:rsid w:val="00B4426F"/>
    <w:rsid w:val="00B44329"/>
    <w:rsid w:val="00B447B6"/>
    <w:rsid w:val="00B4632A"/>
    <w:rsid w:val="00B50F66"/>
    <w:rsid w:val="00B5107C"/>
    <w:rsid w:val="00B513B1"/>
    <w:rsid w:val="00B51715"/>
    <w:rsid w:val="00B530F1"/>
    <w:rsid w:val="00B54658"/>
    <w:rsid w:val="00B54A0C"/>
    <w:rsid w:val="00B632D6"/>
    <w:rsid w:val="00B67999"/>
    <w:rsid w:val="00B706C4"/>
    <w:rsid w:val="00B74AF5"/>
    <w:rsid w:val="00B82A24"/>
    <w:rsid w:val="00B92BD3"/>
    <w:rsid w:val="00B930C1"/>
    <w:rsid w:val="00B967F6"/>
    <w:rsid w:val="00B97006"/>
    <w:rsid w:val="00BA276C"/>
    <w:rsid w:val="00BA461E"/>
    <w:rsid w:val="00BB01FB"/>
    <w:rsid w:val="00BB0EB4"/>
    <w:rsid w:val="00BB306F"/>
    <w:rsid w:val="00BB3A15"/>
    <w:rsid w:val="00BB43E0"/>
    <w:rsid w:val="00BB5D01"/>
    <w:rsid w:val="00BB5D05"/>
    <w:rsid w:val="00BB68C2"/>
    <w:rsid w:val="00BC1180"/>
    <w:rsid w:val="00BC3D6D"/>
    <w:rsid w:val="00BD4B89"/>
    <w:rsid w:val="00BD6C53"/>
    <w:rsid w:val="00BE35A4"/>
    <w:rsid w:val="00BE5D98"/>
    <w:rsid w:val="00BE683B"/>
    <w:rsid w:val="00BF02CB"/>
    <w:rsid w:val="00BF0872"/>
    <w:rsid w:val="00BF11D3"/>
    <w:rsid w:val="00BF1664"/>
    <w:rsid w:val="00BF1791"/>
    <w:rsid w:val="00BF6FD8"/>
    <w:rsid w:val="00BF7D80"/>
    <w:rsid w:val="00C00755"/>
    <w:rsid w:val="00C021D6"/>
    <w:rsid w:val="00C03680"/>
    <w:rsid w:val="00C03B38"/>
    <w:rsid w:val="00C03E66"/>
    <w:rsid w:val="00C054DF"/>
    <w:rsid w:val="00C10196"/>
    <w:rsid w:val="00C11C64"/>
    <w:rsid w:val="00C14A21"/>
    <w:rsid w:val="00C16598"/>
    <w:rsid w:val="00C1693A"/>
    <w:rsid w:val="00C16FAB"/>
    <w:rsid w:val="00C21762"/>
    <w:rsid w:val="00C23B49"/>
    <w:rsid w:val="00C24543"/>
    <w:rsid w:val="00C24AD3"/>
    <w:rsid w:val="00C256A2"/>
    <w:rsid w:val="00C25EC4"/>
    <w:rsid w:val="00C34946"/>
    <w:rsid w:val="00C34E7C"/>
    <w:rsid w:val="00C40789"/>
    <w:rsid w:val="00C460F0"/>
    <w:rsid w:val="00C46EDB"/>
    <w:rsid w:val="00C46EE5"/>
    <w:rsid w:val="00C473AC"/>
    <w:rsid w:val="00C50243"/>
    <w:rsid w:val="00C51515"/>
    <w:rsid w:val="00C5660B"/>
    <w:rsid w:val="00C5692E"/>
    <w:rsid w:val="00C56B72"/>
    <w:rsid w:val="00C62A75"/>
    <w:rsid w:val="00C64489"/>
    <w:rsid w:val="00C66B72"/>
    <w:rsid w:val="00C72217"/>
    <w:rsid w:val="00C75282"/>
    <w:rsid w:val="00C810D8"/>
    <w:rsid w:val="00C8325C"/>
    <w:rsid w:val="00C84F37"/>
    <w:rsid w:val="00C91638"/>
    <w:rsid w:val="00C9567A"/>
    <w:rsid w:val="00C963EE"/>
    <w:rsid w:val="00C97129"/>
    <w:rsid w:val="00CA0544"/>
    <w:rsid w:val="00CA29C6"/>
    <w:rsid w:val="00CA2B57"/>
    <w:rsid w:val="00CA33D3"/>
    <w:rsid w:val="00CA5E42"/>
    <w:rsid w:val="00CB212D"/>
    <w:rsid w:val="00CB2583"/>
    <w:rsid w:val="00CB25C3"/>
    <w:rsid w:val="00CB2660"/>
    <w:rsid w:val="00CC2F4A"/>
    <w:rsid w:val="00CC3DB0"/>
    <w:rsid w:val="00CC5E90"/>
    <w:rsid w:val="00CC63CF"/>
    <w:rsid w:val="00CC676A"/>
    <w:rsid w:val="00CC7B38"/>
    <w:rsid w:val="00CD046C"/>
    <w:rsid w:val="00CD19A3"/>
    <w:rsid w:val="00CD1AE8"/>
    <w:rsid w:val="00CE076C"/>
    <w:rsid w:val="00CE102D"/>
    <w:rsid w:val="00CE5199"/>
    <w:rsid w:val="00CE66D5"/>
    <w:rsid w:val="00CF637A"/>
    <w:rsid w:val="00D059DE"/>
    <w:rsid w:val="00D12193"/>
    <w:rsid w:val="00D13FCE"/>
    <w:rsid w:val="00D14302"/>
    <w:rsid w:val="00D15077"/>
    <w:rsid w:val="00D15A92"/>
    <w:rsid w:val="00D160FD"/>
    <w:rsid w:val="00D16E19"/>
    <w:rsid w:val="00D207D9"/>
    <w:rsid w:val="00D25568"/>
    <w:rsid w:val="00D27F08"/>
    <w:rsid w:val="00D306D1"/>
    <w:rsid w:val="00D33186"/>
    <w:rsid w:val="00D34786"/>
    <w:rsid w:val="00D3526F"/>
    <w:rsid w:val="00D37BFC"/>
    <w:rsid w:val="00D41732"/>
    <w:rsid w:val="00D4195C"/>
    <w:rsid w:val="00D41F9A"/>
    <w:rsid w:val="00D4204F"/>
    <w:rsid w:val="00D43258"/>
    <w:rsid w:val="00D4444A"/>
    <w:rsid w:val="00D44AA9"/>
    <w:rsid w:val="00D46F6B"/>
    <w:rsid w:val="00D47A8E"/>
    <w:rsid w:val="00D50517"/>
    <w:rsid w:val="00D515D5"/>
    <w:rsid w:val="00D52D14"/>
    <w:rsid w:val="00D700A2"/>
    <w:rsid w:val="00D712D3"/>
    <w:rsid w:val="00D71422"/>
    <w:rsid w:val="00D72DC6"/>
    <w:rsid w:val="00D73373"/>
    <w:rsid w:val="00D7558D"/>
    <w:rsid w:val="00D77396"/>
    <w:rsid w:val="00D811E6"/>
    <w:rsid w:val="00D81D92"/>
    <w:rsid w:val="00D82171"/>
    <w:rsid w:val="00D82A10"/>
    <w:rsid w:val="00D83D73"/>
    <w:rsid w:val="00D944BD"/>
    <w:rsid w:val="00D94655"/>
    <w:rsid w:val="00D9589A"/>
    <w:rsid w:val="00D96E66"/>
    <w:rsid w:val="00D97533"/>
    <w:rsid w:val="00DA7B5F"/>
    <w:rsid w:val="00DC11E7"/>
    <w:rsid w:val="00DC2326"/>
    <w:rsid w:val="00DC5CBF"/>
    <w:rsid w:val="00DC5D77"/>
    <w:rsid w:val="00DC7023"/>
    <w:rsid w:val="00DC769A"/>
    <w:rsid w:val="00DD3D86"/>
    <w:rsid w:val="00DE0DD3"/>
    <w:rsid w:val="00DE3A31"/>
    <w:rsid w:val="00DE7322"/>
    <w:rsid w:val="00DF1721"/>
    <w:rsid w:val="00DF1EC4"/>
    <w:rsid w:val="00DF6D64"/>
    <w:rsid w:val="00E0340B"/>
    <w:rsid w:val="00E04A90"/>
    <w:rsid w:val="00E101A0"/>
    <w:rsid w:val="00E125E2"/>
    <w:rsid w:val="00E13487"/>
    <w:rsid w:val="00E143F8"/>
    <w:rsid w:val="00E14A08"/>
    <w:rsid w:val="00E17D32"/>
    <w:rsid w:val="00E20F52"/>
    <w:rsid w:val="00E219C7"/>
    <w:rsid w:val="00E231CB"/>
    <w:rsid w:val="00E2345B"/>
    <w:rsid w:val="00E30625"/>
    <w:rsid w:val="00E30B3F"/>
    <w:rsid w:val="00E37172"/>
    <w:rsid w:val="00E41912"/>
    <w:rsid w:val="00E43157"/>
    <w:rsid w:val="00E433FD"/>
    <w:rsid w:val="00E45102"/>
    <w:rsid w:val="00E461CE"/>
    <w:rsid w:val="00E533DE"/>
    <w:rsid w:val="00E554D1"/>
    <w:rsid w:val="00E56E67"/>
    <w:rsid w:val="00E601D7"/>
    <w:rsid w:val="00E61344"/>
    <w:rsid w:val="00E67837"/>
    <w:rsid w:val="00E720CA"/>
    <w:rsid w:val="00E810C3"/>
    <w:rsid w:val="00E829B8"/>
    <w:rsid w:val="00E84755"/>
    <w:rsid w:val="00E84EB5"/>
    <w:rsid w:val="00E85618"/>
    <w:rsid w:val="00E85662"/>
    <w:rsid w:val="00E8677F"/>
    <w:rsid w:val="00E8789F"/>
    <w:rsid w:val="00E909AA"/>
    <w:rsid w:val="00E90B8A"/>
    <w:rsid w:val="00E94F44"/>
    <w:rsid w:val="00E9543F"/>
    <w:rsid w:val="00E97B71"/>
    <w:rsid w:val="00E97FD1"/>
    <w:rsid w:val="00EA04F0"/>
    <w:rsid w:val="00EA3D34"/>
    <w:rsid w:val="00EA3DAE"/>
    <w:rsid w:val="00EB454D"/>
    <w:rsid w:val="00EB4EB4"/>
    <w:rsid w:val="00ED0E93"/>
    <w:rsid w:val="00ED2F83"/>
    <w:rsid w:val="00ED6D2F"/>
    <w:rsid w:val="00ED76BE"/>
    <w:rsid w:val="00EE0F2E"/>
    <w:rsid w:val="00EE7413"/>
    <w:rsid w:val="00EF1750"/>
    <w:rsid w:val="00EF175E"/>
    <w:rsid w:val="00EF5CA4"/>
    <w:rsid w:val="00EF619B"/>
    <w:rsid w:val="00F00B55"/>
    <w:rsid w:val="00F02AD1"/>
    <w:rsid w:val="00F10ABA"/>
    <w:rsid w:val="00F11967"/>
    <w:rsid w:val="00F121A6"/>
    <w:rsid w:val="00F155F6"/>
    <w:rsid w:val="00F253CC"/>
    <w:rsid w:val="00F25E67"/>
    <w:rsid w:val="00F3004A"/>
    <w:rsid w:val="00F32C70"/>
    <w:rsid w:val="00F33DE3"/>
    <w:rsid w:val="00F37106"/>
    <w:rsid w:val="00F47198"/>
    <w:rsid w:val="00F473EE"/>
    <w:rsid w:val="00F519CF"/>
    <w:rsid w:val="00F53070"/>
    <w:rsid w:val="00F551E4"/>
    <w:rsid w:val="00F56BA5"/>
    <w:rsid w:val="00F60E22"/>
    <w:rsid w:val="00F64407"/>
    <w:rsid w:val="00F65B15"/>
    <w:rsid w:val="00F65F7C"/>
    <w:rsid w:val="00F66E08"/>
    <w:rsid w:val="00F7222B"/>
    <w:rsid w:val="00F73104"/>
    <w:rsid w:val="00F805FB"/>
    <w:rsid w:val="00F81395"/>
    <w:rsid w:val="00F8470C"/>
    <w:rsid w:val="00F851C5"/>
    <w:rsid w:val="00F86588"/>
    <w:rsid w:val="00F902EB"/>
    <w:rsid w:val="00F917D1"/>
    <w:rsid w:val="00F9531F"/>
    <w:rsid w:val="00F9653B"/>
    <w:rsid w:val="00F973BC"/>
    <w:rsid w:val="00FA0580"/>
    <w:rsid w:val="00FA6E2C"/>
    <w:rsid w:val="00FB1110"/>
    <w:rsid w:val="00FB62CF"/>
    <w:rsid w:val="00FC1DAF"/>
    <w:rsid w:val="00FC6D5C"/>
    <w:rsid w:val="00FD08BD"/>
    <w:rsid w:val="00FD0CED"/>
    <w:rsid w:val="00FD3C3B"/>
    <w:rsid w:val="00FD5A99"/>
    <w:rsid w:val="00FE07DD"/>
    <w:rsid w:val="00FE6B45"/>
    <w:rsid w:val="00FF3FC3"/>
    <w:rsid w:val="00FF55F3"/>
    <w:rsid w:val="00FF5851"/>
    <w:rsid w:val="00FF7B79"/>
    <w:rsid w:val="010709B8"/>
    <w:rsid w:val="0135F749"/>
    <w:rsid w:val="014C1723"/>
    <w:rsid w:val="01937422"/>
    <w:rsid w:val="01A4071A"/>
    <w:rsid w:val="01B3CAC7"/>
    <w:rsid w:val="01E37122"/>
    <w:rsid w:val="01EF6453"/>
    <w:rsid w:val="023B7B3E"/>
    <w:rsid w:val="0269E206"/>
    <w:rsid w:val="02924849"/>
    <w:rsid w:val="0381082C"/>
    <w:rsid w:val="0382307F"/>
    <w:rsid w:val="0393B2EB"/>
    <w:rsid w:val="03F652D6"/>
    <w:rsid w:val="0464E515"/>
    <w:rsid w:val="04E6FB45"/>
    <w:rsid w:val="04F7440F"/>
    <w:rsid w:val="052DAF58"/>
    <w:rsid w:val="0573EF05"/>
    <w:rsid w:val="059E7836"/>
    <w:rsid w:val="0661EC32"/>
    <w:rsid w:val="069DBFCC"/>
    <w:rsid w:val="07049330"/>
    <w:rsid w:val="0744882C"/>
    <w:rsid w:val="0746B2D0"/>
    <w:rsid w:val="07760117"/>
    <w:rsid w:val="0791F135"/>
    <w:rsid w:val="07E58950"/>
    <w:rsid w:val="0827F79B"/>
    <w:rsid w:val="0869FE22"/>
    <w:rsid w:val="08786425"/>
    <w:rsid w:val="0881E715"/>
    <w:rsid w:val="099DBB15"/>
    <w:rsid w:val="09DC533D"/>
    <w:rsid w:val="09FFC1CC"/>
    <w:rsid w:val="0A1E5395"/>
    <w:rsid w:val="0A369CB4"/>
    <w:rsid w:val="0A69E643"/>
    <w:rsid w:val="0A7B5753"/>
    <w:rsid w:val="0A8A028F"/>
    <w:rsid w:val="0B2B4673"/>
    <w:rsid w:val="0B70C1E9"/>
    <w:rsid w:val="0B728D3F"/>
    <w:rsid w:val="0C34B774"/>
    <w:rsid w:val="0CC4D74C"/>
    <w:rsid w:val="0CD3DFF9"/>
    <w:rsid w:val="0CE19318"/>
    <w:rsid w:val="0D008B8C"/>
    <w:rsid w:val="0D4EB682"/>
    <w:rsid w:val="0D934449"/>
    <w:rsid w:val="0DD3FC6A"/>
    <w:rsid w:val="0DF0C36A"/>
    <w:rsid w:val="0E382570"/>
    <w:rsid w:val="0E5027E3"/>
    <w:rsid w:val="0E845CB9"/>
    <w:rsid w:val="0E9A6F9B"/>
    <w:rsid w:val="0ED62311"/>
    <w:rsid w:val="0EDEC4FB"/>
    <w:rsid w:val="0EF9F998"/>
    <w:rsid w:val="0F2E0CD4"/>
    <w:rsid w:val="0F2FB06C"/>
    <w:rsid w:val="0F34ED99"/>
    <w:rsid w:val="0F432307"/>
    <w:rsid w:val="0F594D09"/>
    <w:rsid w:val="0F9CC906"/>
    <w:rsid w:val="0FA40F00"/>
    <w:rsid w:val="0FAEDBA3"/>
    <w:rsid w:val="0FCD8A64"/>
    <w:rsid w:val="0FFCE6A5"/>
    <w:rsid w:val="10918FD4"/>
    <w:rsid w:val="10F88793"/>
    <w:rsid w:val="11117793"/>
    <w:rsid w:val="113DFA3A"/>
    <w:rsid w:val="1153B962"/>
    <w:rsid w:val="115F12F7"/>
    <w:rsid w:val="115F30A5"/>
    <w:rsid w:val="11D0C41C"/>
    <w:rsid w:val="11DB90C8"/>
    <w:rsid w:val="11E087F0"/>
    <w:rsid w:val="11E17E8A"/>
    <w:rsid w:val="1217B05A"/>
    <w:rsid w:val="128FDEAA"/>
    <w:rsid w:val="12F3E536"/>
    <w:rsid w:val="12F9CE6E"/>
    <w:rsid w:val="12FF260A"/>
    <w:rsid w:val="13348464"/>
    <w:rsid w:val="1359B2F5"/>
    <w:rsid w:val="135CD80E"/>
    <w:rsid w:val="13C5D395"/>
    <w:rsid w:val="13ECD5C3"/>
    <w:rsid w:val="141F7A11"/>
    <w:rsid w:val="1421925A"/>
    <w:rsid w:val="142C7093"/>
    <w:rsid w:val="145E46FD"/>
    <w:rsid w:val="1467B7C7"/>
    <w:rsid w:val="146AE858"/>
    <w:rsid w:val="1499A6AE"/>
    <w:rsid w:val="153F4604"/>
    <w:rsid w:val="163375B3"/>
    <w:rsid w:val="16544C59"/>
    <w:rsid w:val="1672D575"/>
    <w:rsid w:val="17480F90"/>
    <w:rsid w:val="184FD623"/>
    <w:rsid w:val="18580214"/>
    <w:rsid w:val="186C6F8F"/>
    <w:rsid w:val="18C0D144"/>
    <w:rsid w:val="194C2091"/>
    <w:rsid w:val="19E14BD8"/>
    <w:rsid w:val="19F86F9A"/>
    <w:rsid w:val="1A526247"/>
    <w:rsid w:val="1A769373"/>
    <w:rsid w:val="1AC83169"/>
    <w:rsid w:val="1AE1661C"/>
    <w:rsid w:val="1B195020"/>
    <w:rsid w:val="1BF8F23B"/>
    <w:rsid w:val="1C399F75"/>
    <w:rsid w:val="1CB31FDF"/>
    <w:rsid w:val="1D39AB4D"/>
    <w:rsid w:val="1D778BC2"/>
    <w:rsid w:val="1E3A0857"/>
    <w:rsid w:val="1E470FD5"/>
    <w:rsid w:val="1E5E084A"/>
    <w:rsid w:val="1EB641B4"/>
    <w:rsid w:val="1ECE4048"/>
    <w:rsid w:val="1ED3CF8F"/>
    <w:rsid w:val="1F0772AF"/>
    <w:rsid w:val="1F385811"/>
    <w:rsid w:val="1F4BC200"/>
    <w:rsid w:val="1FBCEF08"/>
    <w:rsid w:val="208B8141"/>
    <w:rsid w:val="20B170C9"/>
    <w:rsid w:val="20B6EBFC"/>
    <w:rsid w:val="214D63A7"/>
    <w:rsid w:val="21C01DE4"/>
    <w:rsid w:val="21C06605"/>
    <w:rsid w:val="21C2A668"/>
    <w:rsid w:val="21F738F6"/>
    <w:rsid w:val="2200F90C"/>
    <w:rsid w:val="22209521"/>
    <w:rsid w:val="227A4D6E"/>
    <w:rsid w:val="227FEF64"/>
    <w:rsid w:val="22AD782F"/>
    <w:rsid w:val="22DB2448"/>
    <w:rsid w:val="232A7A38"/>
    <w:rsid w:val="2340945D"/>
    <w:rsid w:val="2356B59C"/>
    <w:rsid w:val="238F2456"/>
    <w:rsid w:val="2391891D"/>
    <w:rsid w:val="23B4CC90"/>
    <w:rsid w:val="23D02799"/>
    <w:rsid w:val="23DE4284"/>
    <w:rsid w:val="23E466D8"/>
    <w:rsid w:val="243CB1E2"/>
    <w:rsid w:val="246908D4"/>
    <w:rsid w:val="24AE4D54"/>
    <w:rsid w:val="24C4FE43"/>
    <w:rsid w:val="25930EF5"/>
    <w:rsid w:val="25DF309B"/>
    <w:rsid w:val="26379DDC"/>
    <w:rsid w:val="263E8D1A"/>
    <w:rsid w:val="266C7AC4"/>
    <w:rsid w:val="267362FF"/>
    <w:rsid w:val="26C44AED"/>
    <w:rsid w:val="26D8ED18"/>
    <w:rsid w:val="26DCC086"/>
    <w:rsid w:val="26E547C6"/>
    <w:rsid w:val="272B1798"/>
    <w:rsid w:val="272EAAC6"/>
    <w:rsid w:val="2749C39F"/>
    <w:rsid w:val="279CEE5F"/>
    <w:rsid w:val="27C4EDEA"/>
    <w:rsid w:val="27C8970B"/>
    <w:rsid w:val="28485530"/>
    <w:rsid w:val="288C124F"/>
    <w:rsid w:val="28965081"/>
    <w:rsid w:val="28D76B27"/>
    <w:rsid w:val="2914815E"/>
    <w:rsid w:val="291B5139"/>
    <w:rsid w:val="295B6D9C"/>
    <w:rsid w:val="29BE24F0"/>
    <w:rsid w:val="29DFBE37"/>
    <w:rsid w:val="2A06C07E"/>
    <w:rsid w:val="2A0D3E41"/>
    <w:rsid w:val="2B1F279F"/>
    <w:rsid w:val="2B5490EA"/>
    <w:rsid w:val="2B822132"/>
    <w:rsid w:val="2B94DA66"/>
    <w:rsid w:val="2BC0CA7F"/>
    <w:rsid w:val="2BCFE6E5"/>
    <w:rsid w:val="2BE9E981"/>
    <w:rsid w:val="2C05E326"/>
    <w:rsid w:val="2C2B8A06"/>
    <w:rsid w:val="2C876355"/>
    <w:rsid w:val="2C9D2593"/>
    <w:rsid w:val="2CAEE540"/>
    <w:rsid w:val="2CD5F4F1"/>
    <w:rsid w:val="2CDB7DE1"/>
    <w:rsid w:val="2CEF7171"/>
    <w:rsid w:val="2CF04DD0"/>
    <w:rsid w:val="2D342F61"/>
    <w:rsid w:val="2E5853C3"/>
    <w:rsid w:val="2E67936B"/>
    <w:rsid w:val="2EBB932B"/>
    <w:rsid w:val="2F07D34A"/>
    <w:rsid w:val="2FC9C0D2"/>
    <w:rsid w:val="2FDE3F46"/>
    <w:rsid w:val="2FE5FED1"/>
    <w:rsid w:val="2FFA0163"/>
    <w:rsid w:val="3017DD6E"/>
    <w:rsid w:val="30802F82"/>
    <w:rsid w:val="30B4C63E"/>
    <w:rsid w:val="312CEA40"/>
    <w:rsid w:val="31313052"/>
    <w:rsid w:val="31946A14"/>
    <w:rsid w:val="31ABF3A9"/>
    <w:rsid w:val="31FDFCBB"/>
    <w:rsid w:val="3224DA76"/>
    <w:rsid w:val="32384CB2"/>
    <w:rsid w:val="32445FC1"/>
    <w:rsid w:val="3255FA91"/>
    <w:rsid w:val="3260B698"/>
    <w:rsid w:val="3262477C"/>
    <w:rsid w:val="32734AB0"/>
    <w:rsid w:val="32A8CB00"/>
    <w:rsid w:val="32F1D7CF"/>
    <w:rsid w:val="33402A54"/>
    <w:rsid w:val="3347044E"/>
    <w:rsid w:val="3360E6DC"/>
    <w:rsid w:val="336552A2"/>
    <w:rsid w:val="33FDA9EB"/>
    <w:rsid w:val="34349DB3"/>
    <w:rsid w:val="343898DF"/>
    <w:rsid w:val="34908F7B"/>
    <w:rsid w:val="34B29144"/>
    <w:rsid w:val="34D6D66F"/>
    <w:rsid w:val="34EABA70"/>
    <w:rsid w:val="3531CB29"/>
    <w:rsid w:val="3540A4C6"/>
    <w:rsid w:val="35DE8E49"/>
    <w:rsid w:val="35EAD851"/>
    <w:rsid w:val="360F5737"/>
    <w:rsid w:val="361DB1FE"/>
    <w:rsid w:val="363A3BB8"/>
    <w:rsid w:val="364AF2DF"/>
    <w:rsid w:val="3691A13A"/>
    <w:rsid w:val="36B25FA8"/>
    <w:rsid w:val="37CA049A"/>
    <w:rsid w:val="37DB1CD8"/>
    <w:rsid w:val="380694CD"/>
    <w:rsid w:val="3832D34E"/>
    <w:rsid w:val="389F5B5E"/>
    <w:rsid w:val="3938F992"/>
    <w:rsid w:val="39D80542"/>
    <w:rsid w:val="3A77DCEC"/>
    <w:rsid w:val="3A7C06EF"/>
    <w:rsid w:val="3AD5406D"/>
    <w:rsid w:val="3B4AE34F"/>
    <w:rsid w:val="3B57DE31"/>
    <w:rsid w:val="3B9377E4"/>
    <w:rsid w:val="3BB13747"/>
    <w:rsid w:val="3C0A8A3D"/>
    <w:rsid w:val="3C17492D"/>
    <w:rsid w:val="3C346678"/>
    <w:rsid w:val="3C5185DC"/>
    <w:rsid w:val="3C76D7AF"/>
    <w:rsid w:val="3C77BEF8"/>
    <w:rsid w:val="3D38915C"/>
    <w:rsid w:val="3D6717AE"/>
    <w:rsid w:val="3D76A237"/>
    <w:rsid w:val="3D8C96B7"/>
    <w:rsid w:val="3EB61B41"/>
    <w:rsid w:val="3F09C15B"/>
    <w:rsid w:val="3F622B5F"/>
    <w:rsid w:val="3FB54678"/>
    <w:rsid w:val="400A663D"/>
    <w:rsid w:val="401C770A"/>
    <w:rsid w:val="4020DA8B"/>
    <w:rsid w:val="4036EE73"/>
    <w:rsid w:val="40FB40BB"/>
    <w:rsid w:val="410007C7"/>
    <w:rsid w:val="41038E03"/>
    <w:rsid w:val="411A1C55"/>
    <w:rsid w:val="41348A5F"/>
    <w:rsid w:val="4136FDAE"/>
    <w:rsid w:val="414F54E5"/>
    <w:rsid w:val="416E4534"/>
    <w:rsid w:val="41974333"/>
    <w:rsid w:val="41E6FFAD"/>
    <w:rsid w:val="41EF9BE2"/>
    <w:rsid w:val="43155C10"/>
    <w:rsid w:val="4316C78A"/>
    <w:rsid w:val="4346672D"/>
    <w:rsid w:val="434DB8F2"/>
    <w:rsid w:val="43527A96"/>
    <w:rsid w:val="43C38D07"/>
    <w:rsid w:val="43CE14F5"/>
    <w:rsid w:val="43CECB50"/>
    <w:rsid w:val="43D2F32B"/>
    <w:rsid w:val="43E29662"/>
    <w:rsid w:val="43E570A8"/>
    <w:rsid w:val="44275D98"/>
    <w:rsid w:val="44278A61"/>
    <w:rsid w:val="44612DCE"/>
    <w:rsid w:val="446EA409"/>
    <w:rsid w:val="446FE430"/>
    <w:rsid w:val="44C46221"/>
    <w:rsid w:val="44F9903D"/>
    <w:rsid w:val="4508125B"/>
    <w:rsid w:val="4519883D"/>
    <w:rsid w:val="453474AF"/>
    <w:rsid w:val="459B40ED"/>
    <w:rsid w:val="45B44320"/>
    <w:rsid w:val="45D640E8"/>
    <w:rsid w:val="45EC20C7"/>
    <w:rsid w:val="46929EC7"/>
    <w:rsid w:val="46E1A2F7"/>
    <w:rsid w:val="4706F86F"/>
    <w:rsid w:val="486E1AF8"/>
    <w:rsid w:val="4895401B"/>
    <w:rsid w:val="49209D23"/>
    <w:rsid w:val="49628CA5"/>
    <w:rsid w:val="4A158D52"/>
    <w:rsid w:val="4A19BC8D"/>
    <w:rsid w:val="4ACD72EA"/>
    <w:rsid w:val="4AE38D5D"/>
    <w:rsid w:val="4AEC06F1"/>
    <w:rsid w:val="4B3B975F"/>
    <w:rsid w:val="4B50820E"/>
    <w:rsid w:val="4CE44BB9"/>
    <w:rsid w:val="4CE6D008"/>
    <w:rsid w:val="4CF2C3FA"/>
    <w:rsid w:val="4D77C6FE"/>
    <w:rsid w:val="4DF45367"/>
    <w:rsid w:val="4E16B6DC"/>
    <w:rsid w:val="4E7793EE"/>
    <w:rsid w:val="4F202269"/>
    <w:rsid w:val="4F4BBD5E"/>
    <w:rsid w:val="4F7F3C49"/>
    <w:rsid w:val="4F9B8321"/>
    <w:rsid w:val="4FB7FA4C"/>
    <w:rsid w:val="4FD69E7B"/>
    <w:rsid w:val="505526D8"/>
    <w:rsid w:val="505DA721"/>
    <w:rsid w:val="50B64C94"/>
    <w:rsid w:val="50ED6F45"/>
    <w:rsid w:val="51017635"/>
    <w:rsid w:val="51D47BF8"/>
    <w:rsid w:val="52324FA7"/>
    <w:rsid w:val="5254BF18"/>
    <w:rsid w:val="53335BD5"/>
    <w:rsid w:val="53464879"/>
    <w:rsid w:val="535167F1"/>
    <w:rsid w:val="5359341B"/>
    <w:rsid w:val="536C70D5"/>
    <w:rsid w:val="537B8EA1"/>
    <w:rsid w:val="53BEADC8"/>
    <w:rsid w:val="541B52CD"/>
    <w:rsid w:val="542D36A3"/>
    <w:rsid w:val="5444CAE9"/>
    <w:rsid w:val="54649990"/>
    <w:rsid w:val="54A07D30"/>
    <w:rsid w:val="54B55ADC"/>
    <w:rsid w:val="5548DDEB"/>
    <w:rsid w:val="557BA5E4"/>
    <w:rsid w:val="5587999A"/>
    <w:rsid w:val="55AD3264"/>
    <w:rsid w:val="55AE4616"/>
    <w:rsid w:val="560EB686"/>
    <w:rsid w:val="567AF42B"/>
    <w:rsid w:val="56C76101"/>
    <w:rsid w:val="56D69809"/>
    <w:rsid w:val="56FB33CD"/>
    <w:rsid w:val="5725A847"/>
    <w:rsid w:val="576F04E1"/>
    <w:rsid w:val="5770E456"/>
    <w:rsid w:val="57C557F0"/>
    <w:rsid w:val="5804B72F"/>
    <w:rsid w:val="581DE825"/>
    <w:rsid w:val="583B8D41"/>
    <w:rsid w:val="585C17AA"/>
    <w:rsid w:val="587E13A9"/>
    <w:rsid w:val="5889047A"/>
    <w:rsid w:val="5915513A"/>
    <w:rsid w:val="59563C47"/>
    <w:rsid w:val="59A475D0"/>
    <w:rsid w:val="59CB5BAF"/>
    <w:rsid w:val="59F6DD26"/>
    <w:rsid w:val="5A013214"/>
    <w:rsid w:val="5A60224B"/>
    <w:rsid w:val="5A77C48D"/>
    <w:rsid w:val="5A932A1D"/>
    <w:rsid w:val="5B1DAFBC"/>
    <w:rsid w:val="5B788B21"/>
    <w:rsid w:val="5BB9AF50"/>
    <w:rsid w:val="5BC386DB"/>
    <w:rsid w:val="5BE298E8"/>
    <w:rsid w:val="5BEC792E"/>
    <w:rsid w:val="5BFFD2CE"/>
    <w:rsid w:val="5C617D66"/>
    <w:rsid w:val="5C71BE5B"/>
    <w:rsid w:val="5CD0B98D"/>
    <w:rsid w:val="5CF8CE24"/>
    <w:rsid w:val="5DC4D315"/>
    <w:rsid w:val="5DF23230"/>
    <w:rsid w:val="5DFA5E7E"/>
    <w:rsid w:val="5E4BFA35"/>
    <w:rsid w:val="5E4E0871"/>
    <w:rsid w:val="5EA7CB03"/>
    <w:rsid w:val="5EE04DDB"/>
    <w:rsid w:val="5F03398D"/>
    <w:rsid w:val="5F434145"/>
    <w:rsid w:val="5F464D6C"/>
    <w:rsid w:val="5F4D38E6"/>
    <w:rsid w:val="5F5BF307"/>
    <w:rsid w:val="5F6D8E00"/>
    <w:rsid w:val="5F6F8435"/>
    <w:rsid w:val="5FE2D820"/>
    <w:rsid w:val="602198B2"/>
    <w:rsid w:val="602532BD"/>
    <w:rsid w:val="60A9D455"/>
    <w:rsid w:val="60B0946A"/>
    <w:rsid w:val="612627EA"/>
    <w:rsid w:val="619534E6"/>
    <w:rsid w:val="61C0522D"/>
    <w:rsid w:val="61CEE2C2"/>
    <w:rsid w:val="627A01CE"/>
    <w:rsid w:val="628D8F03"/>
    <w:rsid w:val="62ADD2B4"/>
    <w:rsid w:val="62FC4949"/>
    <w:rsid w:val="631B111E"/>
    <w:rsid w:val="6352945E"/>
    <w:rsid w:val="637F466D"/>
    <w:rsid w:val="63B317C7"/>
    <w:rsid w:val="63F9A21F"/>
    <w:rsid w:val="64611CCF"/>
    <w:rsid w:val="64C0FF4B"/>
    <w:rsid w:val="64D15613"/>
    <w:rsid w:val="64DE3FC9"/>
    <w:rsid w:val="65086A62"/>
    <w:rsid w:val="653798CD"/>
    <w:rsid w:val="6555A4BF"/>
    <w:rsid w:val="656E0209"/>
    <w:rsid w:val="65B1A290"/>
    <w:rsid w:val="664C5951"/>
    <w:rsid w:val="6698D647"/>
    <w:rsid w:val="66AFE45B"/>
    <w:rsid w:val="66C176F2"/>
    <w:rsid w:val="66FF0096"/>
    <w:rsid w:val="675A21E6"/>
    <w:rsid w:val="67A606F0"/>
    <w:rsid w:val="689931CF"/>
    <w:rsid w:val="689B2B9F"/>
    <w:rsid w:val="68A2BEFF"/>
    <w:rsid w:val="68B5D63C"/>
    <w:rsid w:val="68CC6C8D"/>
    <w:rsid w:val="68D175E7"/>
    <w:rsid w:val="693B9549"/>
    <w:rsid w:val="694F40EE"/>
    <w:rsid w:val="69782496"/>
    <w:rsid w:val="69BBB72C"/>
    <w:rsid w:val="69CF9CEE"/>
    <w:rsid w:val="69E28D29"/>
    <w:rsid w:val="69ED9143"/>
    <w:rsid w:val="6A13BF5B"/>
    <w:rsid w:val="6A20CD65"/>
    <w:rsid w:val="6A721BE9"/>
    <w:rsid w:val="6AA2EB9D"/>
    <w:rsid w:val="6AF2BB6B"/>
    <w:rsid w:val="6B30DB56"/>
    <w:rsid w:val="6B60E202"/>
    <w:rsid w:val="6B61B7AB"/>
    <w:rsid w:val="6BC31A7C"/>
    <w:rsid w:val="6BF626E4"/>
    <w:rsid w:val="6C5AEAD0"/>
    <w:rsid w:val="6C657A58"/>
    <w:rsid w:val="6C9623FB"/>
    <w:rsid w:val="6CEDAB18"/>
    <w:rsid w:val="6D1AAA7C"/>
    <w:rsid w:val="6D66D47E"/>
    <w:rsid w:val="6D9CAED4"/>
    <w:rsid w:val="6DB1E8F6"/>
    <w:rsid w:val="6DCAEE24"/>
    <w:rsid w:val="6DD67D9C"/>
    <w:rsid w:val="6DFB8FD3"/>
    <w:rsid w:val="6E00DBAB"/>
    <w:rsid w:val="6E5BCF0D"/>
    <w:rsid w:val="6E8333E9"/>
    <w:rsid w:val="6EC49614"/>
    <w:rsid w:val="6EFEB008"/>
    <w:rsid w:val="6F35647A"/>
    <w:rsid w:val="6F453A08"/>
    <w:rsid w:val="6F55A870"/>
    <w:rsid w:val="6F70A961"/>
    <w:rsid w:val="6F9F839D"/>
    <w:rsid w:val="6FC1AB04"/>
    <w:rsid w:val="6FCC116D"/>
    <w:rsid w:val="70175B61"/>
    <w:rsid w:val="704A49BF"/>
    <w:rsid w:val="7089FF19"/>
    <w:rsid w:val="70D07E18"/>
    <w:rsid w:val="70E65565"/>
    <w:rsid w:val="71248D4B"/>
    <w:rsid w:val="713F4304"/>
    <w:rsid w:val="718C409A"/>
    <w:rsid w:val="71D7BF66"/>
    <w:rsid w:val="71DEDA6B"/>
    <w:rsid w:val="71EA94A4"/>
    <w:rsid w:val="722D118A"/>
    <w:rsid w:val="724CBE30"/>
    <w:rsid w:val="7290A851"/>
    <w:rsid w:val="72DAAA16"/>
    <w:rsid w:val="7319B3BD"/>
    <w:rsid w:val="7326F5B7"/>
    <w:rsid w:val="73642302"/>
    <w:rsid w:val="73B4238E"/>
    <w:rsid w:val="73D79749"/>
    <w:rsid w:val="741A90F7"/>
    <w:rsid w:val="74621340"/>
    <w:rsid w:val="746C7089"/>
    <w:rsid w:val="74BFE170"/>
    <w:rsid w:val="75577740"/>
    <w:rsid w:val="7558DB32"/>
    <w:rsid w:val="75603ABD"/>
    <w:rsid w:val="75877972"/>
    <w:rsid w:val="75F36D6A"/>
    <w:rsid w:val="7682E274"/>
    <w:rsid w:val="76C987DF"/>
    <w:rsid w:val="76D2C68A"/>
    <w:rsid w:val="76E17BDA"/>
    <w:rsid w:val="76EAAA87"/>
    <w:rsid w:val="76F6324D"/>
    <w:rsid w:val="76FAF696"/>
    <w:rsid w:val="77348820"/>
    <w:rsid w:val="77787E6A"/>
    <w:rsid w:val="778B83BF"/>
    <w:rsid w:val="778FECE7"/>
    <w:rsid w:val="77D3F671"/>
    <w:rsid w:val="78553D49"/>
    <w:rsid w:val="7870F047"/>
    <w:rsid w:val="78F46AC7"/>
    <w:rsid w:val="792C91B4"/>
    <w:rsid w:val="7A7FC7B4"/>
    <w:rsid w:val="7A9645A8"/>
    <w:rsid w:val="7A9D2E91"/>
    <w:rsid w:val="7AD3E665"/>
    <w:rsid w:val="7AE3B45F"/>
    <w:rsid w:val="7B56D5DA"/>
    <w:rsid w:val="7B5A6B26"/>
    <w:rsid w:val="7B6D54D1"/>
    <w:rsid w:val="7BE5AA94"/>
    <w:rsid w:val="7BF1A9E8"/>
    <w:rsid w:val="7C21512B"/>
    <w:rsid w:val="7C6F82F6"/>
    <w:rsid w:val="7C7CC485"/>
    <w:rsid w:val="7CC0265E"/>
    <w:rsid w:val="7CCD8E1C"/>
    <w:rsid w:val="7CCF4674"/>
    <w:rsid w:val="7CDB5C4D"/>
    <w:rsid w:val="7CE590A8"/>
    <w:rsid w:val="7D11A274"/>
    <w:rsid w:val="7D271696"/>
    <w:rsid w:val="7D686389"/>
    <w:rsid w:val="7DA03E76"/>
    <w:rsid w:val="7E4D0BBF"/>
    <w:rsid w:val="7E724AA1"/>
    <w:rsid w:val="7EC42DB7"/>
    <w:rsid w:val="7F62F023"/>
    <w:rsid w:val="7F828AF9"/>
    <w:rsid w:val="7FAA4221"/>
    <w:rsid w:val="7FB0C9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B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ListParagraph"/>
    <w:next w:val="Normal"/>
    <w:link w:val="Heading1Char"/>
    <w:autoRedefine/>
    <w:uiPriority w:val="9"/>
    <w:qFormat/>
    <w:rsid w:val="001B62CA"/>
    <w:pPr>
      <w:numPr>
        <w:numId w:val="55"/>
      </w:numPr>
      <w:suppressAutoHyphens/>
      <w:outlineLvl w:val="0"/>
    </w:pPr>
    <w:rPr>
      <w:rFonts w:asciiTheme="majorHAnsi" w:hAnsiTheme="majorHAnsi"/>
      <w:b/>
      <w:lang w:val="es-ES_tradnl"/>
    </w:rPr>
  </w:style>
  <w:style w:type="paragraph" w:styleId="Heading2">
    <w:name w:val="heading 2"/>
    <w:basedOn w:val="Normal"/>
    <w:next w:val="Normal"/>
    <w:link w:val="Heading2Char"/>
    <w:autoRedefine/>
    <w:qFormat/>
    <w:rsid w:val="004B1C8A"/>
    <w:pPr>
      <w:keepNext/>
      <w:numPr>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outlineLvl w:val="1"/>
    </w:pPr>
    <w:rPr>
      <w:rFonts w:ascii="Cambria" w:eastAsia="Times New Roman" w:hAnsi="Cambria" w:cs="Arial"/>
      <w:b/>
      <w:bCs/>
      <w:iCs/>
      <w:sz w:val="20"/>
      <w:szCs w:val="28"/>
      <w:bdr w:val="none" w:sz="0" w:space="0" w:color="auto"/>
      <w:lang w:val="es-ES"/>
    </w:rPr>
  </w:style>
  <w:style w:type="paragraph" w:styleId="Heading3">
    <w:name w:val="heading 3"/>
    <w:basedOn w:val="Normal"/>
    <w:next w:val="Normal"/>
    <w:link w:val="Heading3Char"/>
    <w:qFormat/>
    <w:rsid w:val="00161D34"/>
    <w:pPr>
      <w:keepNext/>
      <w:numPr>
        <w:numId w:val="60"/>
      </w:numPr>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asciiTheme="majorHAnsi" w:eastAsia="Times New Roman" w:hAnsiTheme="majorHAnsi" w:cs="Arial"/>
      <w:b/>
      <w:bCs/>
      <w:sz w:val="20"/>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Colorful List - Accent 12,Lista vistosa - Énfasis 11,Subtle Emphasis1,Footnote1,Parragrap,Superíndice,Dot pt,No Spacing1,Indicator Text"/>
    <w:link w:val="ListParagraphChar"/>
    <w:autoRedefine/>
    <w:uiPriority w:val="72"/>
    <w:qFormat/>
    <w:rsid w:val="00D16E19"/>
    <w:pPr>
      <w:numPr>
        <w:numId w:val="67"/>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pPr>
    <w:rPr>
      <w:rFonts w:ascii="Cambria" w:eastAsia="Cambria" w:hAnsi="Cambria" w:cs="Cambria"/>
      <w:color w:val="000000"/>
      <w:u w:color="000000"/>
      <w:lang w:val="es-CO"/>
    </w:rPr>
  </w:style>
  <w:style w:type="numbering" w:customStyle="1" w:styleId="List0">
    <w:name w:val="List 0"/>
    <w:basedOn w:val="Estiloimportado1"/>
    <w:pPr>
      <w:numPr>
        <w:numId w:val="32"/>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
    <w:name w:val="List 21"/>
    <w:basedOn w:val="Estiloimportado3"/>
    <w:pPr>
      <w:numPr>
        <w:numId w:val="53"/>
      </w:numPr>
    </w:pPr>
  </w:style>
  <w:style w:type="numbering" w:customStyle="1" w:styleId="Estiloimportado3">
    <w:name w:val="Estilo importado 3"/>
  </w:style>
  <w:style w:type="numbering" w:customStyle="1" w:styleId="List31">
    <w:name w:val="List 31"/>
    <w:basedOn w:val="Estiloimportado4"/>
    <w:pPr>
      <w:numPr>
        <w:numId w:val="52"/>
      </w:numPr>
    </w:pPr>
  </w:style>
  <w:style w:type="numbering" w:customStyle="1" w:styleId="Estiloimportado4">
    <w:name w:val="Estilo importado 4"/>
  </w:style>
  <w:style w:type="numbering" w:customStyle="1" w:styleId="List41">
    <w:name w:val="List 41"/>
    <w:basedOn w:val="Estiloimportado5"/>
    <w:pPr>
      <w:numPr>
        <w:numId w:val="3"/>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4"/>
      </w:numPr>
    </w:pPr>
  </w:style>
  <w:style w:type="numbering" w:customStyle="1" w:styleId="Estiloimportado7">
    <w:name w:val="Estilo importado 7"/>
  </w:style>
  <w:style w:type="numbering" w:customStyle="1" w:styleId="List7">
    <w:name w:val="List 7"/>
    <w:basedOn w:val="Estiloimportado8"/>
    <w:pPr>
      <w:numPr>
        <w:numId w:val="5"/>
      </w:numPr>
    </w:pPr>
  </w:style>
  <w:style w:type="numbering" w:customStyle="1" w:styleId="Estiloimportado8">
    <w:name w:val="Estilo importado 8"/>
  </w:style>
  <w:style w:type="numbering" w:customStyle="1" w:styleId="List8">
    <w:name w:val="List 8"/>
    <w:basedOn w:val="Estiloimportado9"/>
    <w:pPr>
      <w:numPr>
        <w:numId w:val="6"/>
      </w:numPr>
    </w:pPr>
  </w:style>
  <w:style w:type="numbering" w:customStyle="1" w:styleId="Estiloimportado9">
    <w:name w:val="Estilo importado 9"/>
  </w:style>
  <w:style w:type="numbering" w:customStyle="1" w:styleId="List9">
    <w:name w:val="List 9"/>
    <w:basedOn w:val="Estiloimportado10"/>
    <w:pPr>
      <w:numPr>
        <w:numId w:val="23"/>
      </w:numPr>
    </w:pPr>
  </w:style>
  <w:style w:type="numbering" w:customStyle="1" w:styleId="Estiloimportado10">
    <w:name w:val="Estilo importado 10"/>
  </w:style>
  <w:style w:type="numbering" w:customStyle="1" w:styleId="List10">
    <w:name w:val="List 10"/>
    <w:basedOn w:val="Estiloimportado11"/>
    <w:pPr>
      <w:numPr>
        <w:numId w:val="7"/>
      </w:numPr>
    </w:pPr>
  </w:style>
  <w:style w:type="numbering" w:customStyle="1" w:styleId="Estiloimportado11">
    <w:name w:val="Estilo importado 11"/>
  </w:style>
  <w:style w:type="numbering" w:customStyle="1" w:styleId="List11">
    <w:name w:val="List 11"/>
    <w:basedOn w:val="Estiloimportado12"/>
    <w:pPr>
      <w:numPr>
        <w:numId w:val="8"/>
      </w:numPr>
    </w:pPr>
  </w:style>
  <w:style w:type="numbering" w:customStyle="1" w:styleId="Estiloimportado12">
    <w:name w:val="Estilo importado 12"/>
  </w:style>
  <w:style w:type="numbering" w:customStyle="1" w:styleId="List12">
    <w:name w:val="List 12"/>
    <w:basedOn w:val="Estiloimportado13"/>
    <w:pPr>
      <w:numPr>
        <w:numId w:val="37"/>
      </w:numPr>
    </w:pPr>
  </w:style>
  <w:style w:type="numbering" w:customStyle="1" w:styleId="Estiloimportado13">
    <w:name w:val="Estilo importado 13"/>
  </w:style>
  <w:style w:type="numbering" w:customStyle="1" w:styleId="List13">
    <w:name w:val="List 13"/>
    <w:basedOn w:val="Estiloimportado14"/>
    <w:pPr>
      <w:numPr>
        <w:numId w:val="43"/>
      </w:numPr>
    </w:pPr>
  </w:style>
  <w:style w:type="numbering" w:customStyle="1" w:styleId="Estiloimportado14">
    <w:name w:val="Estilo importado 14"/>
  </w:style>
  <w:style w:type="numbering" w:customStyle="1" w:styleId="List14">
    <w:name w:val="List 14"/>
    <w:basedOn w:val="Estiloimportado15"/>
    <w:pPr>
      <w:numPr>
        <w:numId w:val="18"/>
      </w:numPr>
    </w:pPr>
  </w:style>
  <w:style w:type="numbering" w:customStyle="1" w:styleId="Estiloimportado15">
    <w:name w:val="Estilo importado 15"/>
  </w:style>
  <w:style w:type="numbering" w:customStyle="1" w:styleId="List15">
    <w:name w:val="List 15"/>
    <w:basedOn w:val="Estiloimportado16"/>
    <w:pPr>
      <w:numPr>
        <w:numId w:val="17"/>
      </w:numPr>
    </w:pPr>
  </w:style>
  <w:style w:type="numbering" w:customStyle="1" w:styleId="Estiloimportado16">
    <w:name w:val="Estilo importado 16"/>
  </w:style>
  <w:style w:type="numbering" w:customStyle="1" w:styleId="List16">
    <w:name w:val="List 16"/>
    <w:basedOn w:val="Estiloimportado16"/>
    <w:pPr>
      <w:numPr>
        <w:numId w:val="11"/>
      </w:numPr>
    </w:pPr>
  </w:style>
  <w:style w:type="numbering" w:customStyle="1" w:styleId="List17">
    <w:name w:val="List 17"/>
    <w:basedOn w:val="Estiloimportado17"/>
    <w:pPr>
      <w:numPr>
        <w:numId w:val="26"/>
      </w:numPr>
    </w:pPr>
  </w:style>
  <w:style w:type="numbering" w:customStyle="1" w:styleId="Estiloimportado17">
    <w:name w:val="Estilo importado 17"/>
  </w:style>
  <w:style w:type="numbering" w:customStyle="1" w:styleId="List18">
    <w:name w:val="List 18"/>
    <w:basedOn w:val="Estiloimportado18"/>
    <w:pPr>
      <w:numPr>
        <w:numId w:val="28"/>
      </w:numPr>
    </w:pPr>
  </w:style>
  <w:style w:type="numbering" w:customStyle="1" w:styleId="Estiloimportado18">
    <w:name w:val="Estilo importado 18"/>
  </w:style>
  <w:style w:type="numbering" w:customStyle="1" w:styleId="List19">
    <w:name w:val="List 19"/>
    <w:basedOn w:val="Estiloimportado10"/>
    <w:pPr>
      <w:numPr>
        <w:numId w:val="20"/>
      </w:numPr>
    </w:pPr>
  </w:style>
  <w:style w:type="numbering" w:customStyle="1" w:styleId="List20">
    <w:name w:val="List 20"/>
    <w:basedOn w:val="Estiloimportado12"/>
    <w:pPr>
      <w:numPr>
        <w:numId w:val="44"/>
      </w:numPr>
    </w:pPr>
  </w:style>
  <w:style w:type="numbering" w:customStyle="1" w:styleId="List210">
    <w:name w:val="List 210"/>
    <w:basedOn w:val="Estiloimportado19"/>
    <w:pPr>
      <w:numPr>
        <w:numId w:val="39"/>
      </w:numPr>
    </w:pPr>
  </w:style>
  <w:style w:type="numbering" w:customStyle="1" w:styleId="Estiloimportado19">
    <w:name w:val="Estilo importado 19"/>
  </w:style>
  <w:style w:type="numbering" w:customStyle="1" w:styleId="List22">
    <w:name w:val="List 22"/>
    <w:basedOn w:val="Estiloimportado19"/>
    <w:pPr>
      <w:numPr>
        <w:numId w:val="29"/>
      </w:numPr>
    </w:pPr>
  </w:style>
  <w:style w:type="numbering" w:customStyle="1" w:styleId="List23">
    <w:name w:val="List 23"/>
    <w:basedOn w:val="Estiloimportado19"/>
    <w:pPr>
      <w:numPr>
        <w:numId w:val="19"/>
      </w:numPr>
    </w:pPr>
  </w:style>
  <w:style w:type="numbering" w:customStyle="1" w:styleId="List24">
    <w:name w:val="List 24"/>
    <w:basedOn w:val="Estiloimportado20"/>
    <w:pPr>
      <w:numPr>
        <w:numId w:val="14"/>
      </w:numPr>
    </w:pPr>
  </w:style>
  <w:style w:type="numbering" w:customStyle="1" w:styleId="Estiloimportado20">
    <w:name w:val="Estilo importado 20"/>
  </w:style>
  <w:style w:type="numbering" w:customStyle="1" w:styleId="List25">
    <w:name w:val="List 25"/>
    <w:basedOn w:val="Estiloimportado21"/>
    <w:pPr>
      <w:numPr>
        <w:numId w:val="16"/>
      </w:numPr>
    </w:pPr>
  </w:style>
  <w:style w:type="numbering" w:customStyle="1" w:styleId="Estiloimportado21">
    <w:name w:val="Estilo importado 21"/>
  </w:style>
  <w:style w:type="numbering" w:customStyle="1" w:styleId="List26">
    <w:name w:val="List 26"/>
    <w:basedOn w:val="Estiloimportado22"/>
    <w:pPr>
      <w:numPr>
        <w:numId w:val="50"/>
      </w:numPr>
    </w:pPr>
  </w:style>
  <w:style w:type="numbering" w:customStyle="1" w:styleId="Estiloimportado22">
    <w:name w:val="Estilo importado 22"/>
  </w:style>
  <w:style w:type="numbering" w:customStyle="1" w:styleId="List27">
    <w:name w:val="List 27"/>
    <w:basedOn w:val="Estiloimportado23"/>
    <w:pPr>
      <w:numPr>
        <w:numId w:val="42"/>
      </w:numPr>
    </w:pPr>
  </w:style>
  <w:style w:type="numbering" w:customStyle="1" w:styleId="Estiloimportado23">
    <w:name w:val="Estilo importado 23"/>
  </w:style>
  <w:style w:type="numbering" w:customStyle="1" w:styleId="List28">
    <w:name w:val="List 28"/>
    <w:basedOn w:val="Estiloimportado24"/>
    <w:pPr>
      <w:numPr>
        <w:numId w:val="31"/>
      </w:numPr>
    </w:pPr>
  </w:style>
  <w:style w:type="numbering" w:customStyle="1" w:styleId="Estiloimportado24">
    <w:name w:val="Estilo importado 24"/>
  </w:style>
  <w:style w:type="numbering" w:customStyle="1" w:styleId="List29">
    <w:name w:val="List 29"/>
    <w:basedOn w:val="Estiloimportado25"/>
    <w:pPr>
      <w:numPr>
        <w:numId w:val="35"/>
      </w:numPr>
    </w:pPr>
  </w:style>
  <w:style w:type="numbering" w:customStyle="1" w:styleId="Estiloimportado25">
    <w:name w:val="Estilo importado 25"/>
  </w:style>
  <w:style w:type="numbering" w:customStyle="1" w:styleId="List30">
    <w:name w:val="List 30"/>
    <w:basedOn w:val="Estiloimportado26"/>
    <w:pPr>
      <w:numPr>
        <w:numId w:val="33"/>
      </w:numPr>
    </w:pPr>
  </w:style>
  <w:style w:type="numbering" w:customStyle="1" w:styleId="Estiloimportado26">
    <w:name w:val="Estilo importado 26"/>
  </w:style>
  <w:style w:type="numbering" w:customStyle="1" w:styleId="List310">
    <w:name w:val="List 310"/>
    <w:basedOn w:val="Estiloimportado27"/>
    <w:pPr>
      <w:numPr>
        <w:numId w:val="46"/>
      </w:numPr>
    </w:pPr>
  </w:style>
  <w:style w:type="numbering" w:customStyle="1" w:styleId="Estiloimportado27">
    <w:name w:val="Estilo importado 27"/>
  </w:style>
  <w:style w:type="numbering" w:customStyle="1" w:styleId="List32">
    <w:name w:val="List 32"/>
    <w:basedOn w:val="Estiloimportado28"/>
    <w:pPr>
      <w:numPr>
        <w:numId w:val="49"/>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Ca,ft"/>
    <w:link w:val="FootnoteTextChar"/>
    <w:qFormat/>
    <w:rsid w:val="00A03A30"/>
    <w:pPr>
      <w:jc w:val="both"/>
    </w:pPr>
    <w:rPr>
      <w:rFonts w:asciiTheme="majorHAnsi" w:eastAsia="Calibri" w:hAnsiTheme="majorHAnsi" w:cs="Calibri"/>
      <w:color w:val="000000"/>
      <w:sz w:val="16"/>
      <w:szCs w:val="16"/>
      <w:u w:color="000000"/>
      <w:lang w:val="en-US"/>
    </w:rPr>
  </w:style>
  <w:style w:type="numbering" w:customStyle="1" w:styleId="List33">
    <w:name w:val="List 33"/>
    <w:basedOn w:val="Estiloimportado29"/>
    <w:pPr>
      <w:numPr>
        <w:numId w:val="27"/>
      </w:numPr>
    </w:pPr>
  </w:style>
  <w:style w:type="numbering" w:customStyle="1" w:styleId="Estiloimportado29">
    <w:name w:val="Estilo importado 29"/>
  </w:style>
  <w:style w:type="numbering" w:customStyle="1" w:styleId="List34">
    <w:name w:val="List 34"/>
    <w:basedOn w:val="Estiloimportado30"/>
    <w:pPr>
      <w:numPr>
        <w:numId w:val="12"/>
      </w:numPr>
    </w:pPr>
  </w:style>
  <w:style w:type="numbering" w:customStyle="1" w:styleId="Estiloimportado30">
    <w:name w:val="Estilo importado 30"/>
  </w:style>
  <w:style w:type="numbering" w:customStyle="1" w:styleId="List35">
    <w:name w:val="List 35"/>
    <w:basedOn w:val="Estiloimportado31"/>
    <w:pPr>
      <w:numPr>
        <w:numId w:val="9"/>
      </w:numPr>
    </w:pPr>
  </w:style>
  <w:style w:type="numbering" w:customStyle="1" w:styleId="Estiloimportado31">
    <w:name w:val="Estilo importado 31"/>
  </w:style>
  <w:style w:type="numbering" w:customStyle="1" w:styleId="List36">
    <w:name w:val="List 36"/>
    <w:basedOn w:val="Estiloimportado32"/>
    <w:pPr>
      <w:numPr>
        <w:numId w:val="15"/>
      </w:numPr>
    </w:pPr>
  </w:style>
  <w:style w:type="numbering" w:customStyle="1" w:styleId="Estiloimportado32">
    <w:name w:val="Estilo importado 32"/>
  </w:style>
  <w:style w:type="numbering" w:customStyle="1" w:styleId="List37">
    <w:name w:val="List 37"/>
    <w:basedOn w:val="Estiloimportado33"/>
    <w:pPr>
      <w:numPr>
        <w:numId w:val="48"/>
      </w:numPr>
    </w:pPr>
  </w:style>
  <w:style w:type="numbering" w:customStyle="1" w:styleId="Estiloimportado33">
    <w:name w:val="Estilo importado 33"/>
  </w:style>
  <w:style w:type="numbering" w:customStyle="1" w:styleId="List38">
    <w:name w:val="List 38"/>
    <w:basedOn w:val="Estiloimportado34"/>
    <w:pPr>
      <w:numPr>
        <w:numId w:val="36"/>
      </w:numPr>
    </w:pPr>
  </w:style>
  <w:style w:type="numbering" w:customStyle="1" w:styleId="Estiloimportado34">
    <w:name w:val="Estilo importado 34"/>
  </w:style>
  <w:style w:type="numbering" w:customStyle="1" w:styleId="List39">
    <w:name w:val="List 39"/>
    <w:basedOn w:val="Estiloimportado35"/>
    <w:pPr>
      <w:numPr>
        <w:numId w:val="47"/>
      </w:numPr>
    </w:pPr>
  </w:style>
  <w:style w:type="numbering" w:customStyle="1" w:styleId="Estiloimportado35">
    <w:name w:val="Estilo importado 35"/>
  </w:style>
  <w:style w:type="numbering" w:customStyle="1" w:styleId="List40">
    <w:name w:val="List 40"/>
    <w:basedOn w:val="Estiloimportado36"/>
    <w:pPr>
      <w:numPr>
        <w:numId w:val="22"/>
      </w:numPr>
    </w:pPr>
  </w:style>
  <w:style w:type="numbering" w:customStyle="1" w:styleId="Estiloimportado36">
    <w:name w:val="Estilo importado 36"/>
  </w:style>
  <w:style w:type="numbering" w:customStyle="1" w:styleId="List410">
    <w:name w:val="List 410"/>
    <w:basedOn w:val="Estiloimportado37"/>
    <w:pPr>
      <w:numPr>
        <w:numId w:val="45"/>
      </w:numPr>
    </w:pPr>
  </w:style>
  <w:style w:type="numbering" w:customStyle="1" w:styleId="Estiloimportado37">
    <w:name w:val="Estilo importado 37"/>
  </w:style>
  <w:style w:type="numbering" w:customStyle="1" w:styleId="List42">
    <w:name w:val="List 42"/>
    <w:basedOn w:val="Estiloimportado12"/>
    <w:pPr>
      <w:numPr>
        <w:numId w:val="13"/>
      </w:numPr>
    </w:pPr>
  </w:style>
  <w:style w:type="numbering" w:customStyle="1" w:styleId="List43">
    <w:name w:val="List 43"/>
    <w:basedOn w:val="Estiloimportado38"/>
    <w:pPr>
      <w:numPr>
        <w:numId w:val="24"/>
      </w:numPr>
    </w:pPr>
  </w:style>
  <w:style w:type="numbering" w:customStyle="1" w:styleId="Estiloimportado38">
    <w:name w:val="Estilo importado 38"/>
  </w:style>
  <w:style w:type="numbering" w:customStyle="1" w:styleId="List44">
    <w:name w:val="List 44"/>
    <w:basedOn w:val="Estiloimportado39"/>
    <w:pPr>
      <w:numPr>
        <w:numId w:val="41"/>
      </w:numPr>
    </w:pPr>
  </w:style>
  <w:style w:type="numbering" w:customStyle="1" w:styleId="Estiloimportado39">
    <w:name w:val="Estilo importado 39"/>
  </w:style>
  <w:style w:type="numbering" w:customStyle="1" w:styleId="List45">
    <w:name w:val="List 45"/>
    <w:basedOn w:val="Estiloimportado40"/>
    <w:pPr>
      <w:numPr>
        <w:numId w:val="21"/>
      </w:numPr>
    </w:pPr>
  </w:style>
  <w:style w:type="numbering" w:customStyle="1" w:styleId="Estiloimportado40">
    <w:name w:val="Estilo importado 40"/>
  </w:style>
  <w:style w:type="numbering" w:customStyle="1" w:styleId="List46">
    <w:name w:val="List 46"/>
    <w:basedOn w:val="Estiloimportado41"/>
    <w:pPr>
      <w:numPr>
        <w:numId w:val="25"/>
      </w:numPr>
    </w:pPr>
  </w:style>
  <w:style w:type="numbering" w:customStyle="1" w:styleId="Estiloimportado41">
    <w:name w:val="Estilo importado 41"/>
  </w:style>
  <w:style w:type="numbering" w:customStyle="1" w:styleId="List47">
    <w:name w:val="List 47"/>
    <w:basedOn w:val="Estiloimportado42"/>
    <w:pPr>
      <w:numPr>
        <w:numId w:val="30"/>
      </w:numPr>
    </w:pPr>
  </w:style>
  <w:style w:type="numbering" w:customStyle="1" w:styleId="Estiloimportado42">
    <w:name w:val="Estilo importado 42"/>
  </w:style>
  <w:style w:type="numbering" w:customStyle="1" w:styleId="List48">
    <w:name w:val="List 48"/>
    <w:basedOn w:val="Estiloimportado43"/>
    <w:pPr>
      <w:numPr>
        <w:numId w:val="51"/>
      </w:numPr>
    </w:pPr>
  </w:style>
  <w:style w:type="numbering" w:customStyle="1" w:styleId="Estiloimportado43">
    <w:name w:val="Estilo importado 43"/>
  </w:style>
  <w:style w:type="numbering" w:customStyle="1" w:styleId="List49">
    <w:name w:val="List 49"/>
    <w:basedOn w:val="Estiloimportado44"/>
    <w:pPr>
      <w:numPr>
        <w:numId w:val="40"/>
      </w:numPr>
    </w:pPr>
  </w:style>
  <w:style w:type="numbering" w:customStyle="1" w:styleId="Estiloimportado44">
    <w:name w:val="Estilo importado 44"/>
  </w:style>
  <w:style w:type="numbering" w:customStyle="1" w:styleId="List50">
    <w:name w:val="List 50"/>
    <w:basedOn w:val="Estiloimportado45"/>
    <w:pPr>
      <w:numPr>
        <w:numId w:val="38"/>
      </w:numPr>
    </w:pPr>
  </w:style>
  <w:style w:type="numbering" w:customStyle="1" w:styleId="Estiloimportado45">
    <w:name w:val="Estilo importado 45"/>
  </w:style>
  <w:style w:type="numbering" w:customStyle="1" w:styleId="List510">
    <w:name w:val="List 510"/>
    <w:basedOn w:val="Estiloimportado46"/>
    <w:pPr>
      <w:numPr>
        <w:numId w:val="34"/>
      </w:numPr>
    </w:pPr>
  </w:style>
  <w:style w:type="numbering" w:customStyle="1" w:styleId="Estiloimportado46">
    <w:name w:val="Estilo importado 46"/>
  </w:style>
  <w:style w:type="numbering" w:customStyle="1" w:styleId="List52">
    <w:name w:val="List 52"/>
    <w:basedOn w:val="Estiloimportado1"/>
    <w:pPr>
      <w:numPr>
        <w:numId w:val="10"/>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1B62CA"/>
    <w:rPr>
      <w:rFonts w:asciiTheme="majorHAnsi" w:eastAsia="Cambria" w:hAnsiTheme="majorHAnsi" w:cs="Cambria"/>
      <w:b/>
      <w:color w:val="000000"/>
      <w:u w:color="000000"/>
      <w:lang w:val="es-ES_tradnl"/>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1,4_G,16 Point,Superscript 6 Point,Footnote symbol,Footnote,Texto nota al pie"/>
    <w:basedOn w:val="DefaultParagraphFont"/>
    <w:link w:val="FootnotesrefssChar1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unhideWhenUsed/>
    <w:rsid w:val="0031535D"/>
    <w:pPr>
      <w:spacing w:after="120"/>
    </w:pPr>
  </w:style>
  <w:style w:type="character" w:customStyle="1" w:styleId="BodyTextChar">
    <w:name w:val="Body Text Char"/>
    <w:basedOn w:val="DefaultParagraphFont"/>
    <w:link w:val="BodyText"/>
    <w:uiPriority w:val="99"/>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A03A30"/>
    <w:rPr>
      <w:rFonts w:asciiTheme="majorHAnsi" w:eastAsia="Calibri" w:hAnsiTheme="majorHAnsi" w:cs="Calibri"/>
      <w:color w:val="000000"/>
      <w:sz w:val="16"/>
      <w:szCs w:val="16"/>
      <w:u w:color="000000"/>
      <w:lang w:val="en-US"/>
    </w:rPr>
  </w:style>
  <w:style w:type="character" w:customStyle="1" w:styleId="Heading2Char">
    <w:name w:val="Heading 2 Char"/>
    <w:basedOn w:val="DefaultParagraphFont"/>
    <w:link w:val="Heading2"/>
    <w:rsid w:val="004B1C8A"/>
    <w:rPr>
      <w:rFonts w:ascii="Cambria" w:eastAsia="Times New Roman" w:hAnsi="Cambria" w:cs="Arial"/>
      <w:b/>
      <w:bCs/>
      <w:iCs/>
      <w:szCs w:val="28"/>
      <w:bdr w:val="none" w:sz="0" w:space="0" w:color="auto"/>
      <w:lang w:eastAsia="en-US"/>
    </w:rPr>
  </w:style>
  <w:style w:type="character" w:customStyle="1" w:styleId="Heading3Char">
    <w:name w:val="Heading 3 Char"/>
    <w:basedOn w:val="DefaultParagraphFont"/>
    <w:link w:val="Heading3"/>
    <w:rsid w:val="00161D34"/>
    <w:rPr>
      <w:rFonts w:asciiTheme="majorHAnsi" w:eastAsia="Times New Roman" w:hAnsiTheme="majorHAnsi" w:cs="Arial"/>
      <w:b/>
      <w:bCs/>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link w:val="FootnoteReference"/>
    <w:qFormat/>
    <w:rsid w:val="009014A4"/>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uiPriority w:val="99"/>
    <w:rsid w:val="004D6618"/>
    <w:pPr>
      <w:pBdr>
        <w:top w:val="none" w:sz="0" w:space="0" w:color="auto"/>
        <w:left w:val="none" w:sz="0" w:space="0" w:color="auto"/>
        <w:bottom w:val="none" w:sz="0" w:space="0" w:color="auto"/>
        <w:right w:val="none" w:sz="0" w:space="0" w:color="auto"/>
        <w:between w:val="none" w:sz="0" w:space="0" w:color="auto"/>
        <w:bar w:val="none" w:sz="0" w:color="auto"/>
      </w:pBdr>
      <w:spacing w:before="200" w:after="160" w:line="240" w:lineRule="exact"/>
    </w:pPr>
    <w:rPr>
      <w:rFonts w:ascii="Verdana" w:hAnsi="Verdana"/>
      <w:sz w:val="22"/>
      <w:szCs w:val="20"/>
      <w:bdr w:val="none" w:sz="0" w:space="0" w:color="auto"/>
      <w:vertAlign w:val="superscript"/>
      <w:lang w:val="es-ES" w:eastAsia="es-ES"/>
    </w:rPr>
  </w:style>
  <w:style w:type="character" w:customStyle="1" w:styleId="ListParagraphChar">
    <w:name w:val="List Paragraph Char"/>
    <w:aliases w:val="Párrafo de lista1 Char,List Paragraph1 Char,Colorful List - Accent 11 Char,List Paragraph11 Char,List Paragraph2 Char,Colorful List - Accent 12 Char,Lista vistosa - Énfasis 11 Char,Subtle Emphasis1 Char,Footnote1 Char,Parragrap Char"/>
    <w:link w:val="ListParagraph"/>
    <w:uiPriority w:val="72"/>
    <w:locked/>
    <w:rsid w:val="00D16E19"/>
    <w:rPr>
      <w:rFonts w:ascii="Cambria" w:eastAsia="Cambria" w:hAnsi="Cambria" w:cs="Cambria"/>
      <w:color w:val="000000"/>
      <w:u w:color="000000"/>
      <w:lang w:val="es-CO"/>
    </w:rPr>
  </w:style>
  <w:style w:type="paragraph" w:styleId="NoSpacing">
    <w:name w:val="No Spacing"/>
    <w:aliases w:val="Informes"/>
    <w:link w:val="NoSpacingChar"/>
    <w:uiPriority w:val="99"/>
    <w:qFormat/>
    <w:rsid w:val="00161D34"/>
    <w:rPr>
      <w:sz w:val="24"/>
      <w:szCs w:val="24"/>
      <w:lang w:val="en-US" w:eastAsia="en-US"/>
    </w:rPr>
  </w:style>
  <w:style w:type="paragraph" w:customStyle="1" w:styleId="parrafos">
    <w:name w:val="parrafos"/>
    <w:basedOn w:val="Normal"/>
    <w:link w:val="parrafosChar"/>
    <w:qFormat/>
    <w:rsid w:val="00914740"/>
    <w:pPr>
      <w:numPr>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pPr>
    <w:rPr>
      <w:rFonts w:asciiTheme="majorHAnsi" w:hAnsiTheme="majorHAnsi"/>
      <w:color w:val="000000" w:themeColor="text1"/>
      <w:sz w:val="20"/>
      <w:szCs w:val="20"/>
      <w:lang w:val="es-VE"/>
    </w:rPr>
  </w:style>
  <w:style w:type="paragraph" w:customStyle="1" w:styleId="citas">
    <w:name w:val="citas"/>
    <w:basedOn w:val="ListParagraph"/>
    <w:link w:val="citasChar"/>
    <w:qFormat/>
    <w:rsid w:val="00914740"/>
  </w:style>
  <w:style w:type="character" w:customStyle="1" w:styleId="parrafosChar">
    <w:name w:val="parrafos Char"/>
    <w:basedOn w:val="DefaultParagraphFont"/>
    <w:link w:val="parrafos"/>
    <w:rsid w:val="00914740"/>
    <w:rPr>
      <w:rFonts w:asciiTheme="majorHAnsi" w:hAnsiTheme="majorHAnsi"/>
      <w:color w:val="000000" w:themeColor="text1"/>
      <w:lang w:val="es-VE" w:eastAsia="en-US"/>
    </w:rPr>
  </w:style>
  <w:style w:type="character" w:customStyle="1" w:styleId="citasChar">
    <w:name w:val="citas Char"/>
    <w:basedOn w:val="ListParagraphChar"/>
    <w:link w:val="citas"/>
    <w:rsid w:val="00914740"/>
    <w:rPr>
      <w:rFonts w:ascii="Cambria" w:eastAsia="Cambria" w:hAnsi="Cambria" w:cs="Cambria"/>
      <w:color w:val="000000"/>
      <w:u w:color="000000"/>
      <w:lang w:val="es-CO"/>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otnotes">
    <w:name w:val="Footnotes"/>
    <w:basedOn w:val="FootnoteText"/>
    <w:qFormat/>
    <w:rsid w:val="00A707DB"/>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720"/>
    </w:pPr>
    <w:rPr>
      <w:rFonts w:ascii="Cambria" w:eastAsia="Times New Roman" w:hAnsi="Cambria" w:cs="Times New Roman"/>
      <w:color w:val="auto"/>
      <w:sz w:val="18"/>
      <w:szCs w:val="18"/>
      <w:bdr w:val="none" w:sz="0" w:space="0" w:color="auto"/>
      <w:lang w:eastAsia="en-US"/>
    </w:rPr>
  </w:style>
  <w:style w:type="character" w:styleId="UnresolvedMention">
    <w:name w:val="Unresolved Mention"/>
    <w:basedOn w:val="DefaultParagraphFont"/>
    <w:uiPriority w:val="99"/>
    <w:semiHidden/>
    <w:unhideWhenUsed/>
    <w:rsid w:val="00D4444A"/>
    <w:rPr>
      <w:color w:val="605E5C"/>
      <w:shd w:val="clear" w:color="auto" w:fill="E1DFDD"/>
    </w:rPr>
  </w:style>
  <w:style w:type="character" w:styleId="FollowedHyperlink">
    <w:name w:val="FollowedHyperlink"/>
    <w:basedOn w:val="DefaultParagraphFont"/>
    <w:uiPriority w:val="99"/>
    <w:semiHidden/>
    <w:unhideWhenUsed/>
    <w:rsid w:val="008E46C1"/>
    <w:rPr>
      <w:color w:val="800080" w:themeColor="followedHyperlink"/>
      <w:u w:val="single"/>
    </w:rPr>
  </w:style>
  <w:style w:type="character" w:styleId="CommentReference">
    <w:name w:val="annotation reference"/>
    <w:basedOn w:val="DefaultParagraphFont"/>
    <w:uiPriority w:val="99"/>
    <w:semiHidden/>
    <w:unhideWhenUsed/>
    <w:rsid w:val="000864BE"/>
    <w:rPr>
      <w:sz w:val="16"/>
      <w:szCs w:val="16"/>
    </w:rPr>
  </w:style>
  <w:style w:type="paragraph" w:styleId="CommentText">
    <w:name w:val="annotation text"/>
    <w:basedOn w:val="Normal"/>
    <w:link w:val="CommentTextChar"/>
    <w:uiPriority w:val="99"/>
    <w:unhideWhenUsed/>
    <w:rsid w:val="000864BE"/>
    <w:rPr>
      <w:sz w:val="20"/>
      <w:szCs w:val="20"/>
    </w:rPr>
  </w:style>
  <w:style w:type="character" w:customStyle="1" w:styleId="CommentTextChar">
    <w:name w:val="Comment Text Char"/>
    <w:basedOn w:val="DefaultParagraphFont"/>
    <w:link w:val="CommentText"/>
    <w:uiPriority w:val="99"/>
    <w:rsid w:val="000864BE"/>
    <w:rPr>
      <w:lang w:val="en-US" w:eastAsia="en-US"/>
    </w:rPr>
  </w:style>
  <w:style w:type="paragraph" w:styleId="CommentSubject">
    <w:name w:val="annotation subject"/>
    <w:basedOn w:val="CommentText"/>
    <w:next w:val="CommentText"/>
    <w:link w:val="CommentSubjectChar"/>
    <w:uiPriority w:val="99"/>
    <w:semiHidden/>
    <w:unhideWhenUsed/>
    <w:rsid w:val="000864BE"/>
    <w:rPr>
      <w:b/>
      <w:bCs/>
    </w:rPr>
  </w:style>
  <w:style w:type="character" w:customStyle="1" w:styleId="CommentSubjectChar">
    <w:name w:val="Comment Subject Char"/>
    <w:basedOn w:val="CommentTextChar"/>
    <w:link w:val="CommentSubject"/>
    <w:uiPriority w:val="99"/>
    <w:semiHidden/>
    <w:rsid w:val="000864BE"/>
    <w:rPr>
      <w:b/>
      <w:bCs/>
      <w:lang w:val="en-US" w:eastAsia="en-US"/>
    </w:rPr>
  </w:style>
  <w:style w:type="character" w:styleId="Emphasis">
    <w:name w:val="Emphasis"/>
    <w:basedOn w:val="DefaultParagraphFont"/>
    <w:uiPriority w:val="20"/>
    <w:qFormat/>
    <w:rsid w:val="000F30A5"/>
    <w:rPr>
      <w:i/>
      <w:iCs/>
    </w:rPr>
  </w:style>
  <w:style w:type="character" w:customStyle="1" w:styleId="normaltextrun">
    <w:name w:val="normaltextrun"/>
    <w:basedOn w:val="DefaultParagraphFont"/>
    <w:rsid w:val="003567E6"/>
  </w:style>
  <w:style w:type="character" w:customStyle="1" w:styleId="eop">
    <w:name w:val="eop"/>
    <w:basedOn w:val="DefaultParagraphFont"/>
    <w:rsid w:val="003567E6"/>
  </w:style>
  <w:style w:type="paragraph" w:customStyle="1" w:styleId="paragraph">
    <w:name w:val="paragraph"/>
    <w:basedOn w:val="Normal"/>
    <w:rsid w:val="003567E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uiPriority w:val="22"/>
    <w:qFormat/>
    <w:rsid w:val="00D9589A"/>
    <w:rPr>
      <w:b/>
      <w:bCs/>
    </w:rPr>
  </w:style>
  <w:style w:type="character" w:customStyle="1" w:styleId="EnlacedeInternet">
    <w:name w:val="Enlace de Internet"/>
    <w:uiPriority w:val="99"/>
    <w:unhideWhenUsed/>
    <w:rsid w:val="00D9589A"/>
    <w:rPr>
      <w:color w:val="0000FF"/>
      <w:u w:val="single"/>
    </w:rPr>
  </w:style>
  <w:style w:type="character" w:customStyle="1" w:styleId="NoSpacingChar">
    <w:name w:val="No Spacing Char"/>
    <w:aliases w:val="Informes Char"/>
    <w:link w:val="NoSpacing"/>
    <w:uiPriority w:val="99"/>
    <w:qFormat/>
    <w:locked/>
    <w:rsid w:val="00D9589A"/>
    <w:rPr>
      <w:sz w:val="24"/>
      <w:szCs w:val="24"/>
      <w:lang w:val="en-US" w:eastAsia="en-US"/>
    </w:rPr>
  </w:style>
  <w:style w:type="paragraph" w:styleId="NormalWeb">
    <w:name w:val="Normal (Web)"/>
    <w:basedOn w:val="Normal"/>
    <w:uiPriority w:val="99"/>
    <w:semiHidden/>
    <w:unhideWhenUsed/>
    <w:rsid w:val="00C11C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uperscript">
    <w:name w:val="superscript"/>
    <w:basedOn w:val="DefaultParagraphFont"/>
    <w:rsid w:val="004621F6"/>
  </w:style>
  <w:style w:type="character" w:customStyle="1" w:styleId="highlight">
    <w:name w:val="highlight"/>
    <w:basedOn w:val="DefaultParagraphFont"/>
    <w:rsid w:val="00C021D6"/>
  </w:style>
  <w:style w:type="paragraph" w:styleId="Revision">
    <w:name w:val="Revision"/>
    <w:hidden/>
    <w:uiPriority w:val="99"/>
    <w:semiHidden/>
    <w:rsid w:val="009D00C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PlaceholderText">
    <w:name w:val="Placeholder Text"/>
    <w:basedOn w:val="DefaultParagraphFont"/>
    <w:uiPriority w:val="99"/>
    <w:semiHidden/>
    <w:rsid w:val="00F66E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1644">
      <w:bodyDiv w:val="1"/>
      <w:marLeft w:val="0"/>
      <w:marRight w:val="0"/>
      <w:marTop w:val="0"/>
      <w:marBottom w:val="0"/>
      <w:divBdr>
        <w:top w:val="none" w:sz="0" w:space="0" w:color="auto"/>
        <w:left w:val="none" w:sz="0" w:space="0" w:color="auto"/>
        <w:bottom w:val="none" w:sz="0" w:space="0" w:color="auto"/>
        <w:right w:val="none" w:sz="0" w:space="0" w:color="auto"/>
      </w:divBdr>
      <w:divsChild>
        <w:div w:id="491677773">
          <w:marLeft w:val="0"/>
          <w:marRight w:val="0"/>
          <w:marTop w:val="0"/>
          <w:marBottom w:val="0"/>
          <w:divBdr>
            <w:top w:val="none" w:sz="0" w:space="0" w:color="auto"/>
            <w:left w:val="none" w:sz="0" w:space="0" w:color="auto"/>
            <w:bottom w:val="none" w:sz="0" w:space="0" w:color="auto"/>
            <w:right w:val="none" w:sz="0" w:space="0" w:color="auto"/>
          </w:divBdr>
        </w:div>
        <w:div w:id="1892568597">
          <w:marLeft w:val="0"/>
          <w:marRight w:val="0"/>
          <w:marTop w:val="0"/>
          <w:marBottom w:val="0"/>
          <w:divBdr>
            <w:top w:val="none" w:sz="0" w:space="0" w:color="auto"/>
            <w:left w:val="none" w:sz="0" w:space="0" w:color="auto"/>
            <w:bottom w:val="none" w:sz="0" w:space="0" w:color="auto"/>
            <w:right w:val="none" w:sz="0" w:space="0" w:color="auto"/>
          </w:divBdr>
        </w:div>
        <w:div w:id="361788774">
          <w:marLeft w:val="0"/>
          <w:marRight w:val="0"/>
          <w:marTop w:val="0"/>
          <w:marBottom w:val="0"/>
          <w:divBdr>
            <w:top w:val="none" w:sz="0" w:space="0" w:color="auto"/>
            <w:left w:val="none" w:sz="0" w:space="0" w:color="auto"/>
            <w:bottom w:val="none" w:sz="0" w:space="0" w:color="auto"/>
            <w:right w:val="none" w:sz="0" w:space="0" w:color="auto"/>
          </w:divBdr>
        </w:div>
        <w:div w:id="1748532859">
          <w:marLeft w:val="0"/>
          <w:marRight w:val="0"/>
          <w:marTop w:val="0"/>
          <w:marBottom w:val="0"/>
          <w:divBdr>
            <w:top w:val="none" w:sz="0" w:space="0" w:color="auto"/>
            <w:left w:val="none" w:sz="0" w:space="0" w:color="auto"/>
            <w:bottom w:val="none" w:sz="0" w:space="0" w:color="auto"/>
            <w:right w:val="none" w:sz="0" w:space="0" w:color="auto"/>
          </w:divBdr>
        </w:div>
        <w:div w:id="1830974679">
          <w:marLeft w:val="0"/>
          <w:marRight w:val="0"/>
          <w:marTop w:val="0"/>
          <w:marBottom w:val="0"/>
          <w:divBdr>
            <w:top w:val="none" w:sz="0" w:space="0" w:color="auto"/>
            <w:left w:val="none" w:sz="0" w:space="0" w:color="auto"/>
            <w:bottom w:val="none" w:sz="0" w:space="0" w:color="auto"/>
            <w:right w:val="none" w:sz="0" w:space="0" w:color="auto"/>
          </w:divBdr>
        </w:div>
      </w:divsChild>
    </w:div>
    <w:div w:id="586501786">
      <w:bodyDiv w:val="1"/>
      <w:marLeft w:val="0"/>
      <w:marRight w:val="0"/>
      <w:marTop w:val="0"/>
      <w:marBottom w:val="0"/>
      <w:divBdr>
        <w:top w:val="none" w:sz="0" w:space="0" w:color="auto"/>
        <w:left w:val="none" w:sz="0" w:space="0" w:color="auto"/>
        <w:bottom w:val="none" w:sz="0" w:space="0" w:color="auto"/>
        <w:right w:val="none" w:sz="0" w:space="0" w:color="auto"/>
      </w:divBdr>
      <w:divsChild>
        <w:div w:id="354910">
          <w:marLeft w:val="0"/>
          <w:marRight w:val="0"/>
          <w:marTop w:val="0"/>
          <w:marBottom w:val="0"/>
          <w:divBdr>
            <w:top w:val="none" w:sz="0" w:space="0" w:color="auto"/>
            <w:left w:val="none" w:sz="0" w:space="0" w:color="auto"/>
            <w:bottom w:val="none" w:sz="0" w:space="0" w:color="auto"/>
            <w:right w:val="none" w:sz="0" w:space="0" w:color="auto"/>
          </w:divBdr>
        </w:div>
        <w:div w:id="1167209693">
          <w:marLeft w:val="0"/>
          <w:marRight w:val="0"/>
          <w:marTop w:val="0"/>
          <w:marBottom w:val="0"/>
          <w:divBdr>
            <w:top w:val="none" w:sz="0" w:space="0" w:color="auto"/>
            <w:left w:val="none" w:sz="0" w:space="0" w:color="auto"/>
            <w:bottom w:val="none" w:sz="0" w:space="0" w:color="auto"/>
            <w:right w:val="none" w:sz="0" w:space="0" w:color="auto"/>
          </w:divBdr>
        </w:div>
      </w:divsChild>
    </w:div>
    <w:div w:id="801001336">
      <w:bodyDiv w:val="1"/>
      <w:marLeft w:val="0"/>
      <w:marRight w:val="0"/>
      <w:marTop w:val="0"/>
      <w:marBottom w:val="0"/>
      <w:divBdr>
        <w:top w:val="none" w:sz="0" w:space="0" w:color="auto"/>
        <w:left w:val="none" w:sz="0" w:space="0" w:color="auto"/>
        <w:bottom w:val="none" w:sz="0" w:space="0" w:color="auto"/>
        <w:right w:val="none" w:sz="0" w:space="0" w:color="auto"/>
      </w:divBdr>
    </w:div>
    <w:div w:id="1000697397">
      <w:bodyDiv w:val="1"/>
      <w:marLeft w:val="0"/>
      <w:marRight w:val="0"/>
      <w:marTop w:val="0"/>
      <w:marBottom w:val="0"/>
      <w:divBdr>
        <w:top w:val="none" w:sz="0" w:space="0" w:color="auto"/>
        <w:left w:val="none" w:sz="0" w:space="0" w:color="auto"/>
        <w:bottom w:val="none" w:sz="0" w:space="0" w:color="auto"/>
        <w:right w:val="none" w:sz="0" w:space="0" w:color="auto"/>
      </w:divBdr>
      <w:divsChild>
        <w:div w:id="741097883">
          <w:marLeft w:val="0"/>
          <w:marRight w:val="0"/>
          <w:marTop w:val="0"/>
          <w:marBottom w:val="0"/>
          <w:divBdr>
            <w:top w:val="none" w:sz="0" w:space="0" w:color="auto"/>
            <w:left w:val="none" w:sz="0" w:space="0" w:color="auto"/>
            <w:bottom w:val="none" w:sz="0" w:space="0" w:color="auto"/>
            <w:right w:val="none" w:sz="0" w:space="0" w:color="auto"/>
          </w:divBdr>
          <w:divsChild>
            <w:div w:id="2547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3100">
      <w:bodyDiv w:val="1"/>
      <w:marLeft w:val="0"/>
      <w:marRight w:val="0"/>
      <w:marTop w:val="0"/>
      <w:marBottom w:val="0"/>
      <w:divBdr>
        <w:top w:val="none" w:sz="0" w:space="0" w:color="auto"/>
        <w:left w:val="none" w:sz="0" w:space="0" w:color="auto"/>
        <w:bottom w:val="none" w:sz="0" w:space="0" w:color="auto"/>
        <w:right w:val="none" w:sz="0" w:space="0" w:color="auto"/>
      </w:divBdr>
      <w:divsChild>
        <w:div w:id="33695388">
          <w:marLeft w:val="0"/>
          <w:marRight w:val="0"/>
          <w:marTop w:val="0"/>
          <w:marBottom w:val="0"/>
          <w:divBdr>
            <w:top w:val="none" w:sz="0" w:space="0" w:color="auto"/>
            <w:left w:val="none" w:sz="0" w:space="0" w:color="auto"/>
            <w:bottom w:val="none" w:sz="0" w:space="0" w:color="auto"/>
            <w:right w:val="none" w:sz="0" w:space="0" w:color="auto"/>
          </w:divBdr>
        </w:div>
        <w:div w:id="1231379829">
          <w:marLeft w:val="0"/>
          <w:marRight w:val="0"/>
          <w:marTop w:val="0"/>
          <w:marBottom w:val="0"/>
          <w:divBdr>
            <w:top w:val="none" w:sz="0" w:space="0" w:color="auto"/>
            <w:left w:val="none" w:sz="0" w:space="0" w:color="auto"/>
            <w:bottom w:val="none" w:sz="0" w:space="0" w:color="auto"/>
            <w:right w:val="none" w:sz="0" w:space="0" w:color="auto"/>
          </w:divBdr>
        </w:div>
        <w:div w:id="1650286071">
          <w:marLeft w:val="0"/>
          <w:marRight w:val="0"/>
          <w:marTop w:val="0"/>
          <w:marBottom w:val="0"/>
          <w:divBdr>
            <w:top w:val="none" w:sz="0" w:space="0" w:color="auto"/>
            <w:left w:val="none" w:sz="0" w:space="0" w:color="auto"/>
            <w:bottom w:val="none" w:sz="0" w:space="0" w:color="auto"/>
            <w:right w:val="none" w:sz="0" w:space="0" w:color="auto"/>
          </w:divBdr>
        </w:div>
        <w:div w:id="1927304948">
          <w:marLeft w:val="0"/>
          <w:marRight w:val="0"/>
          <w:marTop w:val="0"/>
          <w:marBottom w:val="0"/>
          <w:divBdr>
            <w:top w:val="none" w:sz="0" w:space="0" w:color="auto"/>
            <w:left w:val="none" w:sz="0" w:space="0" w:color="auto"/>
            <w:bottom w:val="none" w:sz="0" w:space="0" w:color="auto"/>
            <w:right w:val="none" w:sz="0" w:space="0" w:color="auto"/>
          </w:divBdr>
        </w:div>
        <w:div w:id="1617445695">
          <w:marLeft w:val="0"/>
          <w:marRight w:val="0"/>
          <w:marTop w:val="0"/>
          <w:marBottom w:val="0"/>
          <w:divBdr>
            <w:top w:val="none" w:sz="0" w:space="0" w:color="auto"/>
            <w:left w:val="none" w:sz="0" w:space="0" w:color="auto"/>
            <w:bottom w:val="none" w:sz="0" w:space="0" w:color="auto"/>
            <w:right w:val="none" w:sz="0" w:space="0" w:color="auto"/>
          </w:divBdr>
        </w:div>
        <w:div w:id="1361005999">
          <w:marLeft w:val="0"/>
          <w:marRight w:val="0"/>
          <w:marTop w:val="0"/>
          <w:marBottom w:val="0"/>
          <w:divBdr>
            <w:top w:val="none" w:sz="0" w:space="0" w:color="auto"/>
            <w:left w:val="none" w:sz="0" w:space="0" w:color="auto"/>
            <w:bottom w:val="none" w:sz="0" w:space="0" w:color="auto"/>
            <w:right w:val="none" w:sz="0" w:space="0" w:color="auto"/>
          </w:divBdr>
        </w:div>
        <w:div w:id="1090658527">
          <w:marLeft w:val="0"/>
          <w:marRight w:val="0"/>
          <w:marTop w:val="0"/>
          <w:marBottom w:val="0"/>
          <w:divBdr>
            <w:top w:val="none" w:sz="0" w:space="0" w:color="auto"/>
            <w:left w:val="none" w:sz="0" w:space="0" w:color="auto"/>
            <w:bottom w:val="none" w:sz="0" w:space="0" w:color="auto"/>
            <w:right w:val="none" w:sz="0" w:space="0" w:color="auto"/>
          </w:divBdr>
        </w:div>
        <w:div w:id="196941189">
          <w:marLeft w:val="0"/>
          <w:marRight w:val="0"/>
          <w:marTop w:val="0"/>
          <w:marBottom w:val="0"/>
          <w:divBdr>
            <w:top w:val="none" w:sz="0" w:space="0" w:color="auto"/>
            <w:left w:val="none" w:sz="0" w:space="0" w:color="auto"/>
            <w:bottom w:val="none" w:sz="0" w:space="0" w:color="auto"/>
            <w:right w:val="none" w:sz="0" w:space="0" w:color="auto"/>
          </w:divBdr>
        </w:div>
        <w:div w:id="716777828">
          <w:marLeft w:val="0"/>
          <w:marRight w:val="0"/>
          <w:marTop w:val="0"/>
          <w:marBottom w:val="0"/>
          <w:divBdr>
            <w:top w:val="none" w:sz="0" w:space="0" w:color="auto"/>
            <w:left w:val="none" w:sz="0" w:space="0" w:color="auto"/>
            <w:bottom w:val="none" w:sz="0" w:space="0" w:color="auto"/>
            <w:right w:val="none" w:sz="0" w:space="0" w:color="auto"/>
          </w:divBdr>
        </w:div>
        <w:div w:id="59254347">
          <w:marLeft w:val="0"/>
          <w:marRight w:val="0"/>
          <w:marTop w:val="0"/>
          <w:marBottom w:val="0"/>
          <w:divBdr>
            <w:top w:val="none" w:sz="0" w:space="0" w:color="auto"/>
            <w:left w:val="none" w:sz="0" w:space="0" w:color="auto"/>
            <w:bottom w:val="none" w:sz="0" w:space="0" w:color="auto"/>
            <w:right w:val="none" w:sz="0" w:space="0" w:color="auto"/>
          </w:divBdr>
        </w:div>
        <w:div w:id="461070686">
          <w:marLeft w:val="0"/>
          <w:marRight w:val="0"/>
          <w:marTop w:val="0"/>
          <w:marBottom w:val="0"/>
          <w:divBdr>
            <w:top w:val="none" w:sz="0" w:space="0" w:color="auto"/>
            <w:left w:val="none" w:sz="0" w:space="0" w:color="auto"/>
            <w:bottom w:val="none" w:sz="0" w:space="0" w:color="auto"/>
            <w:right w:val="none" w:sz="0" w:space="0" w:color="auto"/>
          </w:divBdr>
        </w:div>
        <w:div w:id="26613166">
          <w:marLeft w:val="0"/>
          <w:marRight w:val="0"/>
          <w:marTop w:val="0"/>
          <w:marBottom w:val="0"/>
          <w:divBdr>
            <w:top w:val="none" w:sz="0" w:space="0" w:color="auto"/>
            <w:left w:val="none" w:sz="0" w:space="0" w:color="auto"/>
            <w:bottom w:val="none" w:sz="0" w:space="0" w:color="auto"/>
            <w:right w:val="none" w:sz="0" w:space="0" w:color="auto"/>
          </w:divBdr>
        </w:div>
        <w:div w:id="1115638920">
          <w:marLeft w:val="0"/>
          <w:marRight w:val="0"/>
          <w:marTop w:val="0"/>
          <w:marBottom w:val="0"/>
          <w:divBdr>
            <w:top w:val="none" w:sz="0" w:space="0" w:color="auto"/>
            <w:left w:val="none" w:sz="0" w:space="0" w:color="auto"/>
            <w:bottom w:val="none" w:sz="0" w:space="0" w:color="auto"/>
            <w:right w:val="none" w:sz="0" w:space="0" w:color="auto"/>
          </w:divBdr>
        </w:div>
        <w:div w:id="783813042">
          <w:marLeft w:val="0"/>
          <w:marRight w:val="0"/>
          <w:marTop w:val="0"/>
          <w:marBottom w:val="0"/>
          <w:divBdr>
            <w:top w:val="none" w:sz="0" w:space="0" w:color="auto"/>
            <w:left w:val="none" w:sz="0" w:space="0" w:color="auto"/>
            <w:bottom w:val="none" w:sz="0" w:space="0" w:color="auto"/>
            <w:right w:val="none" w:sz="0" w:space="0" w:color="auto"/>
          </w:divBdr>
        </w:div>
        <w:div w:id="1935937555">
          <w:marLeft w:val="0"/>
          <w:marRight w:val="0"/>
          <w:marTop w:val="0"/>
          <w:marBottom w:val="0"/>
          <w:divBdr>
            <w:top w:val="none" w:sz="0" w:space="0" w:color="auto"/>
            <w:left w:val="none" w:sz="0" w:space="0" w:color="auto"/>
            <w:bottom w:val="none" w:sz="0" w:space="0" w:color="auto"/>
            <w:right w:val="none" w:sz="0" w:space="0" w:color="auto"/>
          </w:divBdr>
        </w:div>
        <w:div w:id="901717395">
          <w:marLeft w:val="0"/>
          <w:marRight w:val="0"/>
          <w:marTop w:val="0"/>
          <w:marBottom w:val="0"/>
          <w:divBdr>
            <w:top w:val="none" w:sz="0" w:space="0" w:color="auto"/>
            <w:left w:val="none" w:sz="0" w:space="0" w:color="auto"/>
            <w:bottom w:val="none" w:sz="0" w:space="0" w:color="auto"/>
            <w:right w:val="none" w:sz="0" w:space="0" w:color="auto"/>
          </w:divBdr>
        </w:div>
        <w:div w:id="582296696">
          <w:marLeft w:val="0"/>
          <w:marRight w:val="0"/>
          <w:marTop w:val="0"/>
          <w:marBottom w:val="0"/>
          <w:divBdr>
            <w:top w:val="none" w:sz="0" w:space="0" w:color="auto"/>
            <w:left w:val="none" w:sz="0" w:space="0" w:color="auto"/>
            <w:bottom w:val="none" w:sz="0" w:space="0" w:color="auto"/>
            <w:right w:val="none" w:sz="0" w:space="0" w:color="auto"/>
          </w:divBdr>
        </w:div>
        <w:div w:id="336813766">
          <w:marLeft w:val="0"/>
          <w:marRight w:val="0"/>
          <w:marTop w:val="0"/>
          <w:marBottom w:val="0"/>
          <w:divBdr>
            <w:top w:val="none" w:sz="0" w:space="0" w:color="auto"/>
            <w:left w:val="none" w:sz="0" w:space="0" w:color="auto"/>
            <w:bottom w:val="none" w:sz="0" w:space="0" w:color="auto"/>
            <w:right w:val="none" w:sz="0" w:space="0" w:color="auto"/>
          </w:divBdr>
        </w:div>
        <w:div w:id="2096854814">
          <w:marLeft w:val="0"/>
          <w:marRight w:val="0"/>
          <w:marTop w:val="0"/>
          <w:marBottom w:val="0"/>
          <w:divBdr>
            <w:top w:val="none" w:sz="0" w:space="0" w:color="auto"/>
            <w:left w:val="none" w:sz="0" w:space="0" w:color="auto"/>
            <w:bottom w:val="none" w:sz="0" w:space="0" w:color="auto"/>
            <w:right w:val="none" w:sz="0" w:space="0" w:color="auto"/>
          </w:divBdr>
        </w:div>
        <w:div w:id="1519588487">
          <w:marLeft w:val="0"/>
          <w:marRight w:val="0"/>
          <w:marTop w:val="0"/>
          <w:marBottom w:val="0"/>
          <w:divBdr>
            <w:top w:val="none" w:sz="0" w:space="0" w:color="auto"/>
            <w:left w:val="none" w:sz="0" w:space="0" w:color="auto"/>
            <w:bottom w:val="none" w:sz="0" w:space="0" w:color="auto"/>
            <w:right w:val="none" w:sz="0" w:space="0" w:color="auto"/>
          </w:divBdr>
        </w:div>
        <w:div w:id="2132899337">
          <w:marLeft w:val="0"/>
          <w:marRight w:val="0"/>
          <w:marTop w:val="0"/>
          <w:marBottom w:val="0"/>
          <w:divBdr>
            <w:top w:val="none" w:sz="0" w:space="0" w:color="auto"/>
            <w:left w:val="none" w:sz="0" w:space="0" w:color="auto"/>
            <w:bottom w:val="none" w:sz="0" w:space="0" w:color="auto"/>
            <w:right w:val="none" w:sz="0" w:space="0" w:color="auto"/>
          </w:divBdr>
        </w:div>
        <w:div w:id="1467509761">
          <w:marLeft w:val="0"/>
          <w:marRight w:val="0"/>
          <w:marTop w:val="0"/>
          <w:marBottom w:val="0"/>
          <w:divBdr>
            <w:top w:val="none" w:sz="0" w:space="0" w:color="auto"/>
            <w:left w:val="none" w:sz="0" w:space="0" w:color="auto"/>
            <w:bottom w:val="none" w:sz="0" w:space="0" w:color="auto"/>
            <w:right w:val="none" w:sz="0" w:space="0" w:color="auto"/>
          </w:divBdr>
        </w:div>
        <w:div w:id="2024015905">
          <w:marLeft w:val="0"/>
          <w:marRight w:val="0"/>
          <w:marTop w:val="0"/>
          <w:marBottom w:val="0"/>
          <w:divBdr>
            <w:top w:val="none" w:sz="0" w:space="0" w:color="auto"/>
            <w:left w:val="none" w:sz="0" w:space="0" w:color="auto"/>
            <w:bottom w:val="none" w:sz="0" w:space="0" w:color="auto"/>
            <w:right w:val="none" w:sz="0" w:space="0" w:color="auto"/>
          </w:divBdr>
        </w:div>
        <w:div w:id="1775132000">
          <w:marLeft w:val="0"/>
          <w:marRight w:val="0"/>
          <w:marTop w:val="0"/>
          <w:marBottom w:val="0"/>
          <w:divBdr>
            <w:top w:val="none" w:sz="0" w:space="0" w:color="auto"/>
            <w:left w:val="none" w:sz="0" w:space="0" w:color="auto"/>
            <w:bottom w:val="none" w:sz="0" w:space="0" w:color="auto"/>
            <w:right w:val="none" w:sz="0" w:space="0" w:color="auto"/>
          </w:divBdr>
        </w:div>
        <w:div w:id="1359744847">
          <w:marLeft w:val="0"/>
          <w:marRight w:val="0"/>
          <w:marTop w:val="0"/>
          <w:marBottom w:val="0"/>
          <w:divBdr>
            <w:top w:val="none" w:sz="0" w:space="0" w:color="auto"/>
            <w:left w:val="none" w:sz="0" w:space="0" w:color="auto"/>
            <w:bottom w:val="none" w:sz="0" w:space="0" w:color="auto"/>
            <w:right w:val="none" w:sz="0" w:space="0" w:color="auto"/>
          </w:divBdr>
        </w:div>
        <w:div w:id="1149134291">
          <w:marLeft w:val="0"/>
          <w:marRight w:val="0"/>
          <w:marTop w:val="0"/>
          <w:marBottom w:val="0"/>
          <w:divBdr>
            <w:top w:val="none" w:sz="0" w:space="0" w:color="auto"/>
            <w:left w:val="none" w:sz="0" w:space="0" w:color="auto"/>
            <w:bottom w:val="none" w:sz="0" w:space="0" w:color="auto"/>
            <w:right w:val="none" w:sz="0" w:space="0" w:color="auto"/>
          </w:divBdr>
        </w:div>
        <w:div w:id="2110419624">
          <w:marLeft w:val="0"/>
          <w:marRight w:val="0"/>
          <w:marTop w:val="0"/>
          <w:marBottom w:val="0"/>
          <w:divBdr>
            <w:top w:val="none" w:sz="0" w:space="0" w:color="auto"/>
            <w:left w:val="none" w:sz="0" w:space="0" w:color="auto"/>
            <w:bottom w:val="none" w:sz="0" w:space="0" w:color="auto"/>
            <w:right w:val="none" w:sz="0" w:space="0" w:color="auto"/>
          </w:divBdr>
        </w:div>
        <w:div w:id="1030108515">
          <w:marLeft w:val="0"/>
          <w:marRight w:val="0"/>
          <w:marTop w:val="0"/>
          <w:marBottom w:val="0"/>
          <w:divBdr>
            <w:top w:val="none" w:sz="0" w:space="0" w:color="auto"/>
            <w:left w:val="none" w:sz="0" w:space="0" w:color="auto"/>
            <w:bottom w:val="none" w:sz="0" w:space="0" w:color="auto"/>
            <w:right w:val="none" w:sz="0" w:space="0" w:color="auto"/>
          </w:divBdr>
        </w:div>
        <w:div w:id="898592759">
          <w:marLeft w:val="0"/>
          <w:marRight w:val="0"/>
          <w:marTop w:val="0"/>
          <w:marBottom w:val="0"/>
          <w:divBdr>
            <w:top w:val="none" w:sz="0" w:space="0" w:color="auto"/>
            <w:left w:val="none" w:sz="0" w:space="0" w:color="auto"/>
            <w:bottom w:val="none" w:sz="0" w:space="0" w:color="auto"/>
            <w:right w:val="none" w:sz="0" w:space="0" w:color="auto"/>
          </w:divBdr>
        </w:div>
        <w:div w:id="1942372555">
          <w:marLeft w:val="0"/>
          <w:marRight w:val="0"/>
          <w:marTop w:val="0"/>
          <w:marBottom w:val="0"/>
          <w:divBdr>
            <w:top w:val="none" w:sz="0" w:space="0" w:color="auto"/>
            <w:left w:val="none" w:sz="0" w:space="0" w:color="auto"/>
            <w:bottom w:val="none" w:sz="0" w:space="0" w:color="auto"/>
            <w:right w:val="none" w:sz="0" w:space="0" w:color="auto"/>
          </w:divBdr>
        </w:div>
        <w:div w:id="1473525871">
          <w:marLeft w:val="0"/>
          <w:marRight w:val="0"/>
          <w:marTop w:val="0"/>
          <w:marBottom w:val="0"/>
          <w:divBdr>
            <w:top w:val="none" w:sz="0" w:space="0" w:color="auto"/>
            <w:left w:val="none" w:sz="0" w:space="0" w:color="auto"/>
            <w:bottom w:val="none" w:sz="0" w:space="0" w:color="auto"/>
            <w:right w:val="none" w:sz="0" w:space="0" w:color="auto"/>
          </w:divBdr>
        </w:div>
        <w:div w:id="44765122">
          <w:marLeft w:val="0"/>
          <w:marRight w:val="0"/>
          <w:marTop w:val="0"/>
          <w:marBottom w:val="0"/>
          <w:divBdr>
            <w:top w:val="none" w:sz="0" w:space="0" w:color="auto"/>
            <w:left w:val="none" w:sz="0" w:space="0" w:color="auto"/>
            <w:bottom w:val="none" w:sz="0" w:space="0" w:color="auto"/>
            <w:right w:val="none" w:sz="0" w:space="0" w:color="auto"/>
          </w:divBdr>
        </w:div>
        <w:div w:id="518859019">
          <w:marLeft w:val="0"/>
          <w:marRight w:val="0"/>
          <w:marTop w:val="0"/>
          <w:marBottom w:val="0"/>
          <w:divBdr>
            <w:top w:val="none" w:sz="0" w:space="0" w:color="auto"/>
            <w:left w:val="none" w:sz="0" w:space="0" w:color="auto"/>
            <w:bottom w:val="none" w:sz="0" w:space="0" w:color="auto"/>
            <w:right w:val="none" w:sz="0" w:space="0" w:color="auto"/>
          </w:divBdr>
        </w:div>
        <w:div w:id="796529617">
          <w:marLeft w:val="0"/>
          <w:marRight w:val="0"/>
          <w:marTop w:val="0"/>
          <w:marBottom w:val="0"/>
          <w:divBdr>
            <w:top w:val="none" w:sz="0" w:space="0" w:color="auto"/>
            <w:left w:val="none" w:sz="0" w:space="0" w:color="auto"/>
            <w:bottom w:val="none" w:sz="0" w:space="0" w:color="auto"/>
            <w:right w:val="none" w:sz="0" w:space="0" w:color="auto"/>
          </w:divBdr>
        </w:div>
        <w:div w:id="1479882969">
          <w:marLeft w:val="0"/>
          <w:marRight w:val="0"/>
          <w:marTop w:val="0"/>
          <w:marBottom w:val="0"/>
          <w:divBdr>
            <w:top w:val="none" w:sz="0" w:space="0" w:color="auto"/>
            <w:left w:val="none" w:sz="0" w:space="0" w:color="auto"/>
            <w:bottom w:val="none" w:sz="0" w:space="0" w:color="auto"/>
            <w:right w:val="none" w:sz="0" w:space="0" w:color="auto"/>
          </w:divBdr>
        </w:div>
        <w:div w:id="2089109221">
          <w:marLeft w:val="0"/>
          <w:marRight w:val="0"/>
          <w:marTop w:val="0"/>
          <w:marBottom w:val="0"/>
          <w:divBdr>
            <w:top w:val="none" w:sz="0" w:space="0" w:color="auto"/>
            <w:left w:val="none" w:sz="0" w:space="0" w:color="auto"/>
            <w:bottom w:val="none" w:sz="0" w:space="0" w:color="auto"/>
            <w:right w:val="none" w:sz="0" w:space="0" w:color="auto"/>
          </w:divBdr>
        </w:div>
        <w:div w:id="1837695694">
          <w:marLeft w:val="0"/>
          <w:marRight w:val="0"/>
          <w:marTop w:val="0"/>
          <w:marBottom w:val="0"/>
          <w:divBdr>
            <w:top w:val="none" w:sz="0" w:space="0" w:color="auto"/>
            <w:left w:val="none" w:sz="0" w:space="0" w:color="auto"/>
            <w:bottom w:val="none" w:sz="0" w:space="0" w:color="auto"/>
            <w:right w:val="none" w:sz="0" w:space="0" w:color="auto"/>
          </w:divBdr>
        </w:div>
        <w:div w:id="373963468">
          <w:marLeft w:val="0"/>
          <w:marRight w:val="0"/>
          <w:marTop w:val="0"/>
          <w:marBottom w:val="0"/>
          <w:divBdr>
            <w:top w:val="none" w:sz="0" w:space="0" w:color="auto"/>
            <w:left w:val="none" w:sz="0" w:space="0" w:color="auto"/>
            <w:bottom w:val="none" w:sz="0" w:space="0" w:color="auto"/>
            <w:right w:val="none" w:sz="0" w:space="0" w:color="auto"/>
          </w:divBdr>
        </w:div>
      </w:divsChild>
    </w:div>
    <w:div w:id="1106391004">
      <w:bodyDiv w:val="1"/>
      <w:marLeft w:val="0"/>
      <w:marRight w:val="0"/>
      <w:marTop w:val="0"/>
      <w:marBottom w:val="0"/>
      <w:divBdr>
        <w:top w:val="none" w:sz="0" w:space="0" w:color="auto"/>
        <w:left w:val="none" w:sz="0" w:space="0" w:color="auto"/>
        <w:bottom w:val="none" w:sz="0" w:space="0" w:color="auto"/>
        <w:right w:val="none" w:sz="0" w:space="0" w:color="auto"/>
      </w:divBdr>
      <w:divsChild>
        <w:div w:id="1020208216">
          <w:marLeft w:val="0"/>
          <w:marRight w:val="0"/>
          <w:marTop w:val="0"/>
          <w:marBottom w:val="0"/>
          <w:divBdr>
            <w:top w:val="none" w:sz="0" w:space="0" w:color="auto"/>
            <w:left w:val="none" w:sz="0" w:space="0" w:color="auto"/>
            <w:bottom w:val="none" w:sz="0" w:space="0" w:color="auto"/>
            <w:right w:val="none" w:sz="0" w:space="0" w:color="auto"/>
          </w:divBdr>
        </w:div>
        <w:div w:id="1497064076">
          <w:marLeft w:val="0"/>
          <w:marRight w:val="0"/>
          <w:marTop w:val="0"/>
          <w:marBottom w:val="0"/>
          <w:divBdr>
            <w:top w:val="none" w:sz="0" w:space="0" w:color="auto"/>
            <w:left w:val="none" w:sz="0" w:space="0" w:color="auto"/>
            <w:bottom w:val="none" w:sz="0" w:space="0" w:color="auto"/>
            <w:right w:val="none" w:sz="0" w:space="0" w:color="auto"/>
          </w:divBdr>
        </w:div>
        <w:div w:id="1170827793">
          <w:marLeft w:val="0"/>
          <w:marRight w:val="0"/>
          <w:marTop w:val="0"/>
          <w:marBottom w:val="0"/>
          <w:divBdr>
            <w:top w:val="none" w:sz="0" w:space="0" w:color="auto"/>
            <w:left w:val="none" w:sz="0" w:space="0" w:color="auto"/>
            <w:bottom w:val="none" w:sz="0" w:space="0" w:color="auto"/>
            <w:right w:val="none" w:sz="0" w:space="0" w:color="auto"/>
          </w:divBdr>
        </w:div>
      </w:divsChild>
    </w:div>
    <w:div w:id="1124351049">
      <w:bodyDiv w:val="1"/>
      <w:marLeft w:val="0"/>
      <w:marRight w:val="0"/>
      <w:marTop w:val="0"/>
      <w:marBottom w:val="0"/>
      <w:divBdr>
        <w:top w:val="none" w:sz="0" w:space="0" w:color="auto"/>
        <w:left w:val="none" w:sz="0" w:space="0" w:color="auto"/>
        <w:bottom w:val="none" w:sz="0" w:space="0" w:color="auto"/>
        <w:right w:val="none" w:sz="0" w:space="0" w:color="auto"/>
      </w:divBdr>
      <w:divsChild>
        <w:div w:id="714810727">
          <w:marLeft w:val="0"/>
          <w:marRight w:val="0"/>
          <w:marTop w:val="0"/>
          <w:marBottom w:val="0"/>
          <w:divBdr>
            <w:top w:val="none" w:sz="0" w:space="0" w:color="auto"/>
            <w:left w:val="none" w:sz="0" w:space="0" w:color="auto"/>
            <w:bottom w:val="none" w:sz="0" w:space="0" w:color="auto"/>
            <w:right w:val="none" w:sz="0" w:space="0" w:color="auto"/>
          </w:divBdr>
        </w:div>
        <w:div w:id="2003239567">
          <w:marLeft w:val="0"/>
          <w:marRight w:val="0"/>
          <w:marTop w:val="0"/>
          <w:marBottom w:val="0"/>
          <w:divBdr>
            <w:top w:val="none" w:sz="0" w:space="0" w:color="auto"/>
            <w:left w:val="none" w:sz="0" w:space="0" w:color="auto"/>
            <w:bottom w:val="none" w:sz="0" w:space="0" w:color="auto"/>
            <w:right w:val="none" w:sz="0" w:space="0" w:color="auto"/>
          </w:divBdr>
        </w:div>
      </w:divsChild>
    </w:div>
    <w:div w:id="1147628324">
      <w:bodyDiv w:val="1"/>
      <w:marLeft w:val="0"/>
      <w:marRight w:val="0"/>
      <w:marTop w:val="0"/>
      <w:marBottom w:val="0"/>
      <w:divBdr>
        <w:top w:val="none" w:sz="0" w:space="0" w:color="auto"/>
        <w:left w:val="none" w:sz="0" w:space="0" w:color="auto"/>
        <w:bottom w:val="none" w:sz="0" w:space="0" w:color="auto"/>
        <w:right w:val="none" w:sz="0" w:space="0" w:color="auto"/>
      </w:divBdr>
    </w:div>
    <w:div w:id="1269316464">
      <w:bodyDiv w:val="1"/>
      <w:marLeft w:val="0"/>
      <w:marRight w:val="0"/>
      <w:marTop w:val="0"/>
      <w:marBottom w:val="0"/>
      <w:divBdr>
        <w:top w:val="none" w:sz="0" w:space="0" w:color="auto"/>
        <w:left w:val="none" w:sz="0" w:space="0" w:color="auto"/>
        <w:bottom w:val="none" w:sz="0" w:space="0" w:color="auto"/>
        <w:right w:val="none" w:sz="0" w:space="0" w:color="auto"/>
      </w:divBdr>
      <w:divsChild>
        <w:div w:id="910627692">
          <w:marLeft w:val="0"/>
          <w:marRight w:val="0"/>
          <w:marTop w:val="0"/>
          <w:marBottom w:val="0"/>
          <w:divBdr>
            <w:top w:val="none" w:sz="0" w:space="0" w:color="auto"/>
            <w:left w:val="none" w:sz="0" w:space="0" w:color="auto"/>
            <w:bottom w:val="none" w:sz="0" w:space="0" w:color="auto"/>
            <w:right w:val="none" w:sz="0" w:space="0" w:color="auto"/>
          </w:divBdr>
        </w:div>
        <w:div w:id="557480129">
          <w:marLeft w:val="0"/>
          <w:marRight w:val="0"/>
          <w:marTop w:val="0"/>
          <w:marBottom w:val="0"/>
          <w:divBdr>
            <w:top w:val="none" w:sz="0" w:space="0" w:color="auto"/>
            <w:left w:val="none" w:sz="0" w:space="0" w:color="auto"/>
            <w:bottom w:val="none" w:sz="0" w:space="0" w:color="auto"/>
            <w:right w:val="none" w:sz="0" w:space="0" w:color="auto"/>
          </w:divBdr>
        </w:div>
        <w:div w:id="726487950">
          <w:marLeft w:val="0"/>
          <w:marRight w:val="0"/>
          <w:marTop w:val="0"/>
          <w:marBottom w:val="0"/>
          <w:divBdr>
            <w:top w:val="none" w:sz="0" w:space="0" w:color="auto"/>
            <w:left w:val="none" w:sz="0" w:space="0" w:color="auto"/>
            <w:bottom w:val="none" w:sz="0" w:space="0" w:color="auto"/>
            <w:right w:val="none" w:sz="0" w:space="0" w:color="auto"/>
          </w:divBdr>
        </w:div>
        <w:div w:id="481433621">
          <w:marLeft w:val="0"/>
          <w:marRight w:val="0"/>
          <w:marTop w:val="0"/>
          <w:marBottom w:val="0"/>
          <w:divBdr>
            <w:top w:val="none" w:sz="0" w:space="0" w:color="auto"/>
            <w:left w:val="none" w:sz="0" w:space="0" w:color="auto"/>
            <w:bottom w:val="none" w:sz="0" w:space="0" w:color="auto"/>
            <w:right w:val="none" w:sz="0" w:space="0" w:color="auto"/>
          </w:divBdr>
        </w:div>
        <w:div w:id="1523013286">
          <w:marLeft w:val="0"/>
          <w:marRight w:val="0"/>
          <w:marTop w:val="0"/>
          <w:marBottom w:val="0"/>
          <w:divBdr>
            <w:top w:val="none" w:sz="0" w:space="0" w:color="auto"/>
            <w:left w:val="none" w:sz="0" w:space="0" w:color="auto"/>
            <w:bottom w:val="none" w:sz="0" w:space="0" w:color="auto"/>
            <w:right w:val="none" w:sz="0" w:space="0" w:color="auto"/>
          </w:divBdr>
        </w:div>
        <w:div w:id="223761419">
          <w:marLeft w:val="0"/>
          <w:marRight w:val="0"/>
          <w:marTop w:val="0"/>
          <w:marBottom w:val="0"/>
          <w:divBdr>
            <w:top w:val="none" w:sz="0" w:space="0" w:color="auto"/>
            <w:left w:val="none" w:sz="0" w:space="0" w:color="auto"/>
            <w:bottom w:val="none" w:sz="0" w:space="0" w:color="auto"/>
            <w:right w:val="none" w:sz="0" w:space="0" w:color="auto"/>
          </w:divBdr>
        </w:div>
      </w:divsChild>
    </w:div>
    <w:div w:id="1368993403">
      <w:bodyDiv w:val="1"/>
      <w:marLeft w:val="0"/>
      <w:marRight w:val="0"/>
      <w:marTop w:val="0"/>
      <w:marBottom w:val="0"/>
      <w:divBdr>
        <w:top w:val="none" w:sz="0" w:space="0" w:color="auto"/>
        <w:left w:val="none" w:sz="0" w:space="0" w:color="auto"/>
        <w:bottom w:val="none" w:sz="0" w:space="0" w:color="auto"/>
        <w:right w:val="none" w:sz="0" w:space="0" w:color="auto"/>
      </w:divBdr>
      <w:divsChild>
        <w:div w:id="1895658879">
          <w:marLeft w:val="0"/>
          <w:marRight w:val="0"/>
          <w:marTop w:val="0"/>
          <w:marBottom w:val="0"/>
          <w:divBdr>
            <w:top w:val="none" w:sz="0" w:space="0" w:color="auto"/>
            <w:left w:val="none" w:sz="0" w:space="0" w:color="auto"/>
            <w:bottom w:val="none" w:sz="0" w:space="0" w:color="auto"/>
            <w:right w:val="none" w:sz="0" w:space="0" w:color="auto"/>
          </w:divBdr>
        </w:div>
        <w:div w:id="1047728661">
          <w:marLeft w:val="0"/>
          <w:marRight w:val="0"/>
          <w:marTop w:val="0"/>
          <w:marBottom w:val="0"/>
          <w:divBdr>
            <w:top w:val="none" w:sz="0" w:space="0" w:color="auto"/>
            <w:left w:val="none" w:sz="0" w:space="0" w:color="auto"/>
            <w:bottom w:val="none" w:sz="0" w:space="0" w:color="auto"/>
            <w:right w:val="none" w:sz="0" w:space="0" w:color="auto"/>
          </w:divBdr>
        </w:div>
        <w:div w:id="835072087">
          <w:marLeft w:val="0"/>
          <w:marRight w:val="0"/>
          <w:marTop w:val="0"/>
          <w:marBottom w:val="0"/>
          <w:divBdr>
            <w:top w:val="none" w:sz="0" w:space="0" w:color="auto"/>
            <w:left w:val="none" w:sz="0" w:space="0" w:color="auto"/>
            <w:bottom w:val="none" w:sz="0" w:space="0" w:color="auto"/>
            <w:right w:val="none" w:sz="0" w:space="0" w:color="auto"/>
          </w:divBdr>
        </w:div>
        <w:div w:id="2113084100">
          <w:marLeft w:val="0"/>
          <w:marRight w:val="0"/>
          <w:marTop w:val="0"/>
          <w:marBottom w:val="0"/>
          <w:divBdr>
            <w:top w:val="none" w:sz="0" w:space="0" w:color="auto"/>
            <w:left w:val="none" w:sz="0" w:space="0" w:color="auto"/>
            <w:bottom w:val="none" w:sz="0" w:space="0" w:color="auto"/>
            <w:right w:val="none" w:sz="0" w:space="0" w:color="auto"/>
          </w:divBdr>
        </w:div>
        <w:div w:id="1622686793">
          <w:marLeft w:val="0"/>
          <w:marRight w:val="0"/>
          <w:marTop w:val="0"/>
          <w:marBottom w:val="0"/>
          <w:divBdr>
            <w:top w:val="none" w:sz="0" w:space="0" w:color="auto"/>
            <w:left w:val="none" w:sz="0" w:space="0" w:color="auto"/>
            <w:bottom w:val="none" w:sz="0" w:space="0" w:color="auto"/>
            <w:right w:val="none" w:sz="0" w:space="0" w:color="auto"/>
          </w:divBdr>
        </w:div>
        <w:div w:id="1398282412">
          <w:marLeft w:val="0"/>
          <w:marRight w:val="0"/>
          <w:marTop w:val="0"/>
          <w:marBottom w:val="0"/>
          <w:divBdr>
            <w:top w:val="none" w:sz="0" w:space="0" w:color="auto"/>
            <w:left w:val="none" w:sz="0" w:space="0" w:color="auto"/>
            <w:bottom w:val="none" w:sz="0" w:space="0" w:color="auto"/>
            <w:right w:val="none" w:sz="0" w:space="0" w:color="auto"/>
          </w:divBdr>
        </w:div>
        <w:div w:id="203713075">
          <w:marLeft w:val="0"/>
          <w:marRight w:val="0"/>
          <w:marTop w:val="0"/>
          <w:marBottom w:val="0"/>
          <w:divBdr>
            <w:top w:val="none" w:sz="0" w:space="0" w:color="auto"/>
            <w:left w:val="none" w:sz="0" w:space="0" w:color="auto"/>
            <w:bottom w:val="none" w:sz="0" w:space="0" w:color="auto"/>
            <w:right w:val="none" w:sz="0" w:space="0" w:color="auto"/>
          </w:divBdr>
        </w:div>
      </w:divsChild>
    </w:div>
    <w:div w:id="1665359848">
      <w:bodyDiv w:val="1"/>
      <w:marLeft w:val="0"/>
      <w:marRight w:val="0"/>
      <w:marTop w:val="0"/>
      <w:marBottom w:val="0"/>
      <w:divBdr>
        <w:top w:val="none" w:sz="0" w:space="0" w:color="auto"/>
        <w:left w:val="none" w:sz="0" w:space="0" w:color="auto"/>
        <w:bottom w:val="none" w:sz="0" w:space="0" w:color="auto"/>
        <w:right w:val="none" w:sz="0" w:space="0" w:color="auto"/>
      </w:divBdr>
    </w:div>
    <w:div w:id="1666932938">
      <w:bodyDiv w:val="1"/>
      <w:marLeft w:val="0"/>
      <w:marRight w:val="0"/>
      <w:marTop w:val="0"/>
      <w:marBottom w:val="0"/>
      <w:divBdr>
        <w:top w:val="none" w:sz="0" w:space="0" w:color="auto"/>
        <w:left w:val="none" w:sz="0" w:space="0" w:color="auto"/>
        <w:bottom w:val="none" w:sz="0" w:space="0" w:color="auto"/>
        <w:right w:val="none" w:sz="0" w:space="0" w:color="auto"/>
      </w:divBdr>
      <w:divsChild>
        <w:div w:id="1138765738">
          <w:marLeft w:val="0"/>
          <w:marRight w:val="0"/>
          <w:marTop w:val="0"/>
          <w:marBottom w:val="0"/>
          <w:divBdr>
            <w:top w:val="none" w:sz="0" w:space="0" w:color="auto"/>
            <w:left w:val="none" w:sz="0" w:space="0" w:color="auto"/>
            <w:bottom w:val="none" w:sz="0" w:space="0" w:color="auto"/>
            <w:right w:val="none" w:sz="0" w:space="0" w:color="auto"/>
          </w:divBdr>
        </w:div>
        <w:div w:id="708458646">
          <w:marLeft w:val="0"/>
          <w:marRight w:val="0"/>
          <w:marTop w:val="0"/>
          <w:marBottom w:val="0"/>
          <w:divBdr>
            <w:top w:val="none" w:sz="0" w:space="0" w:color="auto"/>
            <w:left w:val="none" w:sz="0" w:space="0" w:color="auto"/>
            <w:bottom w:val="none" w:sz="0" w:space="0" w:color="auto"/>
            <w:right w:val="none" w:sz="0" w:space="0" w:color="auto"/>
          </w:divBdr>
        </w:div>
        <w:div w:id="2118483390">
          <w:marLeft w:val="0"/>
          <w:marRight w:val="0"/>
          <w:marTop w:val="0"/>
          <w:marBottom w:val="0"/>
          <w:divBdr>
            <w:top w:val="none" w:sz="0" w:space="0" w:color="auto"/>
            <w:left w:val="none" w:sz="0" w:space="0" w:color="auto"/>
            <w:bottom w:val="none" w:sz="0" w:space="0" w:color="auto"/>
            <w:right w:val="none" w:sz="0" w:space="0" w:color="auto"/>
          </w:divBdr>
        </w:div>
        <w:div w:id="364983824">
          <w:marLeft w:val="0"/>
          <w:marRight w:val="0"/>
          <w:marTop w:val="0"/>
          <w:marBottom w:val="0"/>
          <w:divBdr>
            <w:top w:val="none" w:sz="0" w:space="0" w:color="auto"/>
            <w:left w:val="none" w:sz="0" w:space="0" w:color="auto"/>
            <w:bottom w:val="none" w:sz="0" w:space="0" w:color="auto"/>
            <w:right w:val="none" w:sz="0" w:space="0" w:color="auto"/>
          </w:divBdr>
        </w:div>
        <w:div w:id="292181446">
          <w:marLeft w:val="0"/>
          <w:marRight w:val="0"/>
          <w:marTop w:val="0"/>
          <w:marBottom w:val="0"/>
          <w:divBdr>
            <w:top w:val="none" w:sz="0" w:space="0" w:color="auto"/>
            <w:left w:val="none" w:sz="0" w:space="0" w:color="auto"/>
            <w:bottom w:val="none" w:sz="0" w:space="0" w:color="auto"/>
            <w:right w:val="none" w:sz="0" w:space="0" w:color="auto"/>
          </w:divBdr>
        </w:div>
        <w:div w:id="603462918">
          <w:marLeft w:val="0"/>
          <w:marRight w:val="0"/>
          <w:marTop w:val="0"/>
          <w:marBottom w:val="0"/>
          <w:divBdr>
            <w:top w:val="none" w:sz="0" w:space="0" w:color="auto"/>
            <w:left w:val="none" w:sz="0" w:space="0" w:color="auto"/>
            <w:bottom w:val="none" w:sz="0" w:space="0" w:color="auto"/>
            <w:right w:val="none" w:sz="0" w:space="0" w:color="auto"/>
          </w:divBdr>
        </w:div>
        <w:div w:id="239751339">
          <w:marLeft w:val="0"/>
          <w:marRight w:val="0"/>
          <w:marTop w:val="0"/>
          <w:marBottom w:val="0"/>
          <w:divBdr>
            <w:top w:val="none" w:sz="0" w:space="0" w:color="auto"/>
            <w:left w:val="none" w:sz="0" w:space="0" w:color="auto"/>
            <w:bottom w:val="none" w:sz="0" w:space="0" w:color="auto"/>
            <w:right w:val="none" w:sz="0" w:space="0" w:color="auto"/>
          </w:divBdr>
        </w:div>
        <w:div w:id="1284120011">
          <w:marLeft w:val="0"/>
          <w:marRight w:val="0"/>
          <w:marTop w:val="0"/>
          <w:marBottom w:val="0"/>
          <w:divBdr>
            <w:top w:val="none" w:sz="0" w:space="0" w:color="auto"/>
            <w:left w:val="none" w:sz="0" w:space="0" w:color="auto"/>
            <w:bottom w:val="none" w:sz="0" w:space="0" w:color="auto"/>
            <w:right w:val="none" w:sz="0" w:space="0" w:color="auto"/>
          </w:divBdr>
        </w:div>
        <w:div w:id="163712947">
          <w:marLeft w:val="0"/>
          <w:marRight w:val="0"/>
          <w:marTop w:val="0"/>
          <w:marBottom w:val="0"/>
          <w:divBdr>
            <w:top w:val="none" w:sz="0" w:space="0" w:color="auto"/>
            <w:left w:val="none" w:sz="0" w:space="0" w:color="auto"/>
            <w:bottom w:val="none" w:sz="0" w:space="0" w:color="auto"/>
            <w:right w:val="none" w:sz="0" w:space="0" w:color="auto"/>
          </w:divBdr>
        </w:div>
        <w:div w:id="1187327442">
          <w:marLeft w:val="0"/>
          <w:marRight w:val="0"/>
          <w:marTop w:val="0"/>
          <w:marBottom w:val="0"/>
          <w:divBdr>
            <w:top w:val="none" w:sz="0" w:space="0" w:color="auto"/>
            <w:left w:val="none" w:sz="0" w:space="0" w:color="auto"/>
            <w:bottom w:val="none" w:sz="0" w:space="0" w:color="auto"/>
            <w:right w:val="none" w:sz="0" w:space="0" w:color="auto"/>
          </w:divBdr>
        </w:div>
        <w:div w:id="1922137193">
          <w:marLeft w:val="0"/>
          <w:marRight w:val="0"/>
          <w:marTop w:val="0"/>
          <w:marBottom w:val="0"/>
          <w:divBdr>
            <w:top w:val="none" w:sz="0" w:space="0" w:color="auto"/>
            <w:left w:val="none" w:sz="0" w:space="0" w:color="auto"/>
            <w:bottom w:val="none" w:sz="0" w:space="0" w:color="auto"/>
            <w:right w:val="none" w:sz="0" w:space="0" w:color="auto"/>
          </w:divBdr>
        </w:div>
        <w:div w:id="12996216">
          <w:marLeft w:val="0"/>
          <w:marRight w:val="0"/>
          <w:marTop w:val="0"/>
          <w:marBottom w:val="0"/>
          <w:divBdr>
            <w:top w:val="none" w:sz="0" w:space="0" w:color="auto"/>
            <w:left w:val="none" w:sz="0" w:space="0" w:color="auto"/>
            <w:bottom w:val="none" w:sz="0" w:space="0" w:color="auto"/>
            <w:right w:val="none" w:sz="0" w:space="0" w:color="auto"/>
          </w:divBdr>
        </w:div>
        <w:div w:id="1687367608">
          <w:marLeft w:val="0"/>
          <w:marRight w:val="0"/>
          <w:marTop w:val="0"/>
          <w:marBottom w:val="0"/>
          <w:divBdr>
            <w:top w:val="none" w:sz="0" w:space="0" w:color="auto"/>
            <w:left w:val="none" w:sz="0" w:space="0" w:color="auto"/>
            <w:bottom w:val="none" w:sz="0" w:space="0" w:color="auto"/>
            <w:right w:val="none" w:sz="0" w:space="0" w:color="auto"/>
          </w:divBdr>
        </w:div>
        <w:div w:id="1000306207">
          <w:marLeft w:val="0"/>
          <w:marRight w:val="0"/>
          <w:marTop w:val="0"/>
          <w:marBottom w:val="0"/>
          <w:divBdr>
            <w:top w:val="none" w:sz="0" w:space="0" w:color="auto"/>
            <w:left w:val="none" w:sz="0" w:space="0" w:color="auto"/>
            <w:bottom w:val="none" w:sz="0" w:space="0" w:color="auto"/>
            <w:right w:val="none" w:sz="0" w:space="0" w:color="auto"/>
          </w:divBdr>
        </w:div>
        <w:div w:id="902914121">
          <w:marLeft w:val="0"/>
          <w:marRight w:val="0"/>
          <w:marTop w:val="0"/>
          <w:marBottom w:val="0"/>
          <w:divBdr>
            <w:top w:val="none" w:sz="0" w:space="0" w:color="auto"/>
            <w:left w:val="none" w:sz="0" w:space="0" w:color="auto"/>
            <w:bottom w:val="none" w:sz="0" w:space="0" w:color="auto"/>
            <w:right w:val="none" w:sz="0" w:space="0" w:color="auto"/>
          </w:divBdr>
        </w:div>
      </w:divsChild>
    </w:div>
    <w:div w:id="1704400007">
      <w:bodyDiv w:val="1"/>
      <w:marLeft w:val="0"/>
      <w:marRight w:val="0"/>
      <w:marTop w:val="0"/>
      <w:marBottom w:val="0"/>
      <w:divBdr>
        <w:top w:val="none" w:sz="0" w:space="0" w:color="auto"/>
        <w:left w:val="none" w:sz="0" w:space="0" w:color="auto"/>
        <w:bottom w:val="none" w:sz="0" w:space="0" w:color="auto"/>
        <w:right w:val="none" w:sz="0" w:space="0" w:color="auto"/>
      </w:divBdr>
      <w:divsChild>
        <w:div w:id="1610164787">
          <w:marLeft w:val="0"/>
          <w:marRight w:val="0"/>
          <w:marTop w:val="0"/>
          <w:marBottom w:val="0"/>
          <w:divBdr>
            <w:top w:val="none" w:sz="0" w:space="0" w:color="auto"/>
            <w:left w:val="none" w:sz="0" w:space="0" w:color="auto"/>
            <w:bottom w:val="none" w:sz="0" w:space="0" w:color="auto"/>
            <w:right w:val="none" w:sz="0" w:space="0" w:color="auto"/>
          </w:divBdr>
        </w:div>
        <w:div w:id="1909534515">
          <w:marLeft w:val="0"/>
          <w:marRight w:val="0"/>
          <w:marTop w:val="0"/>
          <w:marBottom w:val="0"/>
          <w:divBdr>
            <w:top w:val="none" w:sz="0" w:space="0" w:color="auto"/>
            <w:left w:val="none" w:sz="0" w:space="0" w:color="auto"/>
            <w:bottom w:val="none" w:sz="0" w:space="0" w:color="auto"/>
            <w:right w:val="none" w:sz="0" w:space="0" w:color="auto"/>
          </w:divBdr>
        </w:div>
        <w:div w:id="1536234890">
          <w:marLeft w:val="0"/>
          <w:marRight w:val="0"/>
          <w:marTop w:val="0"/>
          <w:marBottom w:val="0"/>
          <w:divBdr>
            <w:top w:val="none" w:sz="0" w:space="0" w:color="auto"/>
            <w:left w:val="none" w:sz="0" w:space="0" w:color="auto"/>
            <w:bottom w:val="none" w:sz="0" w:space="0" w:color="auto"/>
            <w:right w:val="none" w:sz="0" w:space="0" w:color="auto"/>
          </w:divBdr>
        </w:div>
        <w:div w:id="1878928367">
          <w:marLeft w:val="0"/>
          <w:marRight w:val="0"/>
          <w:marTop w:val="0"/>
          <w:marBottom w:val="0"/>
          <w:divBdr>
            <w:top w:val="none" w:sz="0" w:space="0" w:color="auto"/>
            <w:left w:val="none" w:sz="0" w:space="0" w:color="auto"/>
            <w:bottom w:val="none" w:sz="0" w:space="0" w:color="auto"/>
            <w:right w:val="none" w:sz="0" w:space="0" w:color="auto"/>
          </w:divBdr>
        </w:div>
        <w:div w:id="186215574">
          <w:marLeft w:val="0"/>
          <w:marRight w:val="0"/>
          <w:marTop w:val="0"/>
          <w:marBottom w:val="0"/>
          <w:divBdr>
            <w:top w:val="none" w:sz="0" w:space="0" w:color="auto"/>
            <w:left w:val="none" w:sz="0" w:space="0" w:color="auto"/>
            <w:bottom w:val="none" w:sz="0" w:space="0" w:color="auto"/>
            <w:right w:val="none" w:sz="0" w:space="0" w:color="auto"/>
          </w:divBdr>
        </w:div>
        <w:div w:id="1275290836">
          <w:marLeft w:val="0"/>
          <w:marRight w:val="0"/>
          <w:marTop w:val="0"/>
          <w:marBottom w:val="0"/>
          <w:divBdr>
            <w:top w:val="none" w:sz="0" w:space="0" w:color="auto"/>
            <w:left w:val="none" w:sz="0" w:space="0" w:color="auto"/>
            <w:bottom w:val="none" w:sz="0" w:space="0" w:color="auto"/>
            <w:right w:val="none" w:sz="0" w:space="0" w:color="auto"/>
          </w:divBdr>
        </w:div>
        <w:div w:id="1022896255">
          <w:marLeft w:val="0"/>
          <w:marRight w:val="0"/>
          <w:marTop w:val="0"/>
          <w:marBottom w:val="0"/>
          <w:divBdr>
            <w:top w:val="none" w:sz="0" w:space="0" w:color="auto"/>
            <w:left w:val="none" w:sz="0" w:space="0" w:color="auto"/>
            <w:bottom w:val="none" w:sz="0" w:space="0" w:color="auto"/>
            <w:right w:val="none" w:sz="0" w:space="0" w:color="auto"/>
          </w:divBdr>
        </w:div>
        <w:div w:id="334570929">
          <w:marLeft w:val="0"/>
          <w:marRight w:val="0"/>
          <w:marTop w:val="0"/>
          <w:marBottom w:val="0"/>
          <w:divBdr>
            <w:top w:val="none" w:sz="0" w:space="0" w:color="auto"/>
            <w:left w:val="none" w:sz="0" w:space="0" w:color="auto"/>
            <w:bottom w:val="none" w:sz="0" w:space="0" w:color="auto"/>
            <w:right w:val="none" w:sz="0" w:space="0" w:color="auto"/>
          </w:divBdr>
        </w:div>
        <w:div w:id="219094534">
          <w:marLeft w:val="0"/>
          <w:marRight w:val="0"/>
          <w:marTop w:val="0"/>
          <w:marBottom w:val="0"/>
          <w:divBdr>
            <w:top w:val="none" w:sz="0" w:space="0" w:color="auto"/>
            <w:left w:val="none" w:sz="0" w:space="0" w:color="auto"/>
            <w:bottom w:val="none" w:sz="0" w:space="0" w:color="auto"/>
            <w:right w:val="none" w:sz="0" w:space="0" w:color="auto"/>
          </w:divBdr>
        </w:div>
        <w:div w:id="1563326485">
          <w:marLeft w:val="0"/>
          <w:marRight w:val="0"/>
          <w:marTop w:val="0"/>
          <w:marBottom w:val="0"/>
          <w:divBdr>
            <w:top w:val="none" w:sz="0" w:space="0" w:color="auto"/>
            <w:left w:val="none" w:sz="0" w:space="0" w:color="auto"/>
            <w:bottom w:val="none" w:sz="0" w:space="0" w:color="auto"/>
            <w:right w:val="none" w:sz="0" w:space="0" w:color="auto"/>
          </w:divBdr>
        </w:div>
        <w:div w:id="1548762457">
          <w:marLeft w:val="0"/>
          <w:marRight w:val="0"/>
          <w:marTop w:val="0"/>
          <w:marBottom w:val="0"/>
          <w:divBdr>
            <w:top w:val="none" w:sz="0" w:space="0" w:color="auto"/>
            <w:left w:val="none" w:sz="0" w:space="0" w:color="auto"/>
            <w:bottom w:val="none" w:sz="0" w:space="0" w:color="auto"/>
            <w:right w:val="none" w:sz="0" w:space="0" w:color="auto"/>
          </w:divBdr>
        </w:div>
        <w:div w:id="595284186">
          <w:marLeft w:val="0"/>
          <w:marRight w:val="0"/>
          <w:marTop w:val="0"/>
          <w:marBottom w:val="0"/>
          <w:divBdr>
            <w:top w:val="none" w:sz="0" w:space="0" w:color="auto"/>
            <w:left w:val="none" w:sz="0" w:space="0" w:color="auto"/>
            <w:bottom w:val="none" w:sz="0" w:space="0" w:color="auto"/>
            <w:right w:val="none" w:sz="0" w:space="0" w:color="auto"/>
          </w:divBdr>
        </w:div>
        <w:div w:id="1556117379">
          <w:marLeft w:val="0"/>
          <w:marRight w:val="0"/>
          <w:marTop w:val="0"/>
          <w:marBottom w:val="0"/>
          <w:divBdr>
            <w:top w:val="none" w:sz="0" w:space="0" w:color="auto"/>
            <w:left w:val="none" w:sz="0" w:space="0" w:color="auto"/>
            <w:bottom w:val="none" w:sz="0" w:space="0" w:color="auto"/>
            <w:right w:val="none" w:sz="0" w:space="0" w:color="auto"/>
          </w:divBdr>
        </w:div>
        <w:div w:id="364327230">
          <w:marLeft w:val="0"/>
          <w:marRight w:val="0"/>
          <w:marTop w:val="0"/>
          <w:marBottom w:val="0"/>
          <w:divBdr>
            <w:top w:val="none" w:sz="0" w:space="0" w:color="auto"/>
            <w:left w:val="none" w:sz="0" w:space="0" w:color="auto"/>
            <w:bottom w:val="none" w:sz="0" w:space="0" w:color="auto"/>
            <w:right w:val="none" w:sz="0" w:space="0" w:color="auto"/>
          </w:divBdr>
        </w:div>
        <w:div w:id="467868459">
          <w:marLeft w:val="0"/>
          <w:marRight w:val="0"/>
          <w:marTop w:val="0"/>
          <w:marBottom w:val="0"/>
          <w:divBdr>
            <w:top w:val="none" w:sz="0" w:space="0" w:color="auto"/>
            <w:left w:val="none" w:sz="0" w:space="0" w:color="auto"/>
            <w:bottom w:val="none" w:sz="0" w:space="0" w:color="auto"/>
            <w:right w:val="none" w:sz="0" w:space="0" w:color="auto"/>
          </w:divBdr>
        </w:div>
        <w:div w:id="1093746163">
          <w:marLeft w:val="0"/>
          <w:marRight w:val="0"/>
          <w:marTop w:val="0"/>
          <w:marBottom w:val="0"/>
          <w:divBdr>
            <w:top w:val="none" w:sz="0" w:space="0" w:color="auto"/>
            <w:left w:val="none" w:sz="0" w:space="0" w:color="auto"/>
            <w:bottom w:val="none" w:sz="0" w:space="0" w:color="auto"/>
            <w:right w:val="none" w:sz="0" w:space="0" w:color="auto"/>
          </w:divBdr>
        </w:div>
        <w:div w:id="736131960">
          <w:marLeft w:val="0"/>
          <w:marRight w:val="0"/>
          <w:marTop w:val="0"/>
          <w:marBottom w:val="0"/>
          <w:divBdr>
            <w:top w:val="none" w:sz="0" w:space="0" w:color="auto"/>
            <w:left w:val="none" w:sz="0" w:space="0" w:color="auto"/>
            <w:bottom w:val="none" w:sz="0" w:space="0" w:color="auto"/>
            <w:right w:val="none" w:sz="0" w:space="0" w:color="auto"/>
          </w:divBdr>
        </w:div>
        <w:div w:id="1169296455">
          <w:marLeft w:val="0"/>
          <w:marRight w:val="0"/>
          <w:marTop w:val="0"/>
          <w:marBottom w:val="0"/>
          <w:divBdr>
            <w:top w:val="none" w:sz="0" w:space="0" w:color="auto"/>
            <w:left w:val="none" w:sz="0" w:space="0" w:color="auto"/>
            <w:bottom w:val="none" w:sz="0" w:space="0" w:color="auto"/>
            <w:right w:val="none" w:sz="0" w:space="0" w:color="auto"/>
          </w:divBdr>
        </w:div>
        <w:div w:id="2102332608">
          <w:marLeft w:val="0"/>
          <w:marRight w:val="0"/>
          <w:marTop w:val="0"/>
          <w:marBottom w:val="0"/>
          <w:divBdr>
            <w:top w:val="none" w:sz="0" w:space="0" w:color="auto"/>
            <w:left w:val="none" w:sz="0" w:space="0" w:color="auto"/>
            <w:bottom w:val="none" w:sz="0" w:space="0" w:color="auto"/>
            <w:right w:val="none" w:sz="0" w:space="0" w:color="auto"/>
          </w:divBdr>
        </w:div>
        <w:div w:id="852064787">
          <w:marLeft w:val="0"/>
          <w:marRight w:val="0"/>
          <w:marTop w:val="0"/>
          <w:marBottom w:val="0"/>
          <w:divBdr>
            <w:top w:val="none" w:sz="0" w:space="0" w:color="auto"/>
            <w:left w:val="none" w:sz="0" w:space="0" w:color="auto"/>
            <w:bottom w:val="none" w:sz="0" w:space="0" w:color="auto"/>
            <w:right w:val="none" w:sz="0" w:space="0" w:color="auto"/>
          </w:divBdr>
        </w:div>
      </w:divsChild>
    </w:div>
    <w:div w:id="1708482845">
      <w:bodyDiv w:val="1"/>
      <w:marLeft w:val="0"/>
      <w:marRight w:val="0"/>
      <w:marTop w:val="0"/>
      <w:marBottom w:val="0"/>
      <w:divBdr>
        <w:top w:val="none" w:sz="0" w:space="0" w:color="auto"/>
        <w:left w:val="none" w:sz="0" w:space="0" w:color="auto"/>
        <w:bottom w:val="none" w:sz="0" w:space="0" w:color="auto"/>
        <w:right w:val="none" w:sz="0" w:space="0" w:color="auto"/>
      </w:divBdr>
      <w:divsChild>
        <w:div w:id="1108281749">
          <w:marLeft w:val="0"/>
          <w:marRight w:val="0"/>
          <w:marTop w:val="0"/>
          <w:marBottom w:val="0"/>
          <w:divBdr>
            <w:top w:val="none" w:sz="0" w:space="0" w:color="auto"/>
            <w:left w:val="none" w:sz="0" w:space="0" w:color="auto"/>
            <w:bottom w:val="none" w:sz="0" w:space="0" w:color="auto"/>
            <w:right w:val="none" w:sz="0" w:space="0" w:color="auto"/>
          </w:divBdr>
        </w:div>
        <w:div w:id="665089654">
          <w:marLeft w:val="0"/>
          <w:marRight w:val="0"/>
          <w:marTop w:val="0"/>
          <w:marBottom w:val="0"/>
          <w:divBdr>
            <w:top w:val="none" w:sz="0" w:space="0" w:color="auto"/>
            <w:left w:val="none" w:sz="0" w:space="0" w:color="auto"/>
            <w:bottom w:val="none" w:sz="0" w:space="0" w:color="auto"/>
            <w:right w:val="none" w:sz="0" w:space="0" w:color="auto"/>
          </w:divBdr>
        </w:div>
        <w:div w:id="676541864">
          <w:marLeft w:val="0"/>
          <w:marRight w:val="0"/>
          <w:marTop w:val="0"/>
          <w:marBottom w:val="0"/>
          <w:divBdr>
            <w:top w:val="none" w:sz="0" w:space="0" w:color="auto"/>
            <w:left w:val="none" w:sz="0" w:space="0" w:color="auto"/>
            <w:bottom w:val="none" w:sz="0" w:space="0" w:color="auto"/>
            <w:right w:val="none" w:sz="0" w:space="0" w:color="auto"/>
          </w:divBdr>
        </w:div>
        <w:div w:id="2016377672">
          <w:marLeft w:val="0"/>
          <w:marRight w:val="0"/>
          <w:marTop w:val="0"/>
          <w:marBottom w:val="0"/>
          <w:divBdr>
            <w:top w:val="none" w:sz="0" w:space="0" w:color="auto"/>
            <w:left w:val="none" w:sz="0" w:space="0" w:color="auto"/>
            <w:bottom w:val="none" w:sz="0" w:space="0" w:color="auto"/>
            <w:right w:val="none" w:sz="0" w:space="0" w:color="auto"/>
          </w:divBdr>
        </w:div>
        <w:div w:id="752238272">
          <w:marLeft w:val="0"/>
          <w:marRight w:val="0"/>
          <w:marTop w:val="0"/>
          <w:marBottom w:val="0"/>
          <w:divBdr>
            <w:top w:val="none" w:sz="0" w:space="0" w:color="auto"/>
            <w:left w:val="none" w:sz="0" w:space="0" w:color="auto"/>
            <w:bottom w:val="none" w:sz="0" w:space="0" w:color="auto"/>
            <w:right w:val="none" w:sz="0" w:space="0" w:color="auto"/>
          </w:divBdr>
        </w:div>
      </w:divsChild>
    </w:div>
    <w:div w:id="1714646601">
      <w:bodyDiv w:val="1"/>
      <w:marLeft w:val="0"/>
      <w:marRight w:val="0"/>
      <w:marTop w:val="0"/>
      <w:marBottom w:val="0"/>
      <w:divBdr>
        <w:top w:val="none" w:sz="0" w:space="0" w:color="auto"/>
        <w:left w:val="none" w:sz="0" w:space="0" w:color="auto"/>
        <w:bottom w:val="none" w:sz="0" w:space="0" w:color="auto"/>
        <w:right w:val="none" w:sz="0" w:space="0" w:color="auto"/>
      </w:divBdr>
      <w:divsChild>
        <w:div w:id="2014606396">
          <w:marLeft w:val="0"/>
          <w:marRight w:val="0"/>
          <w:marTop w:val="0"/>
          <w:marBottom w:val="0"/>
          <w:divBdr>
            <w:top w:val="none" w:sz="0" w:space="0" w:color="auto"/>
            <w:left w:val="none" w:sz="0" w:space="0" w:color="auto"/>
            <w:bottom w:val="none" w:sz="0" w:space="0" w:color="auto"/>
            <w:right w:val="none" w:sz="0" w:space="0" w:color="auto"/>
          </w:divBdr>
        </w:div>
        <w:div w:id="1192571222">
          <w:marLeft w:val="0"/>
          <w:marRight w:val="0"/>
          <w:marTop w:val="0"/>
          <w:marBottom w:val="0"/>
          <w:divBdr>
            <w:top w:val="none" w:sz="0" w:space="0" w:color="auto"/>
            <w:left w:val="none" w:sz="0" w:space="0" w:color="auto"/>
            <w:bottom w:val="none" w:sz="0" w:space="0" w:color="auto"/>
            <w:right w:val="none" w:sz="0" w:space="0" w:color="auto"/>
          </w:divBdr>
        </w:div>
        <w:div w:id="1463427055">
          <w:marLeft w:val="0"/>
          <w:marRight w:val="0"/>
          <w:marTop w:val="0"/>
          <w:marBottom w:val="0"/>
          <w:divBdr>
            <w:top w:val="none" w:sz="0" w:space="0" w:color="auto"/>
            <w:left w:val="none" w:sz="0" w:space="0" w:color="auto"/>
            <w:bottom w:val="none" w:sz="0" w:space="0" w:color="auto"/>
            <w:right w:val="none" w:sz="0" w:space="0" w:color="auto"/>
          </w:divBdr>
        </w:div>
        <w:div w:id="635915298">
          <w:marLeft w:val="0"/>
          <w:marRight w:val="0"/>
          <w:marTop w:val="0"/>
          <w:marBottom w:val="0"/>
          <w:divBdr>
            <w:top w:val="none" w:sz="0" w:space="0" w:color="auto"/>
            <w:left w:val="none" w:sz="0" w:space="0" w:color="auto"/>
            <w:bottom w:val="none" w:sz="0" w:space="0" w:color="auto"/>
            <w:right w:val="none" w:sz="0" w:space="0" w:color="auto"/>
          </w:divBdr>
        </w:div>
        <w:div w:id="1372000768">
          <w:marLeft w:val="0"/>
          <w:marRight w:val="0"/>
          <w:marTop w:val="0"/>
          <w:marBottom w:val="0"/>
          <w:divBdr>
            <w:top w:val="none" w:sz="0" w:space="0" w:color="auto"/>
            <w:left w:val="none" w:sz="0" w:space="0" w:color="auto"/>
            <w:bottom w:val="none" w:sz="0" w:space="0" w:color="auto"/>
            <w:right w:val="none" w:sz="0" w:space="0" w:color="auto"/>
          </w:divBdr>
        </w:div>
        <w:div w:id="511342216">
          <w:marLeft w:val="0"/>
          <w:marRight w:val="0"/>
          <w:marTop w:val="0"/>
          <w:marBottom w:val="0"/>
          <w:divBdr>
            <w:top w:val="none" w:sz="0" w:space="0" w:color="auto"/>
            <w:left w:val="none" w:sz="0" w:space="0" w:color="auto"/>
            <w:bottom w:val="none" w:sz="0" w:space="0" w:color="auto"/>
            <w:right w:val="none" w:sz="0" w:space="0" w:color="auto"/>
          </w:divBdr>
        </w:div>
      </w:divsChild>
    </w:div>
    <w:div w:id="1722904412">
      <w:bodyDiv w:val="1"/>
      <w:marLeft w:val="0"/>
      <w:marRight w:val="0"/>
      <w:marTop w:val="0"/>
      <w:marBottom w:val="0"/>
      <w:divBdr>
        <w:top w:val="none" w:sz="0" w:space="0" w:color="auto"/>
        <w:left w:val="none" w:sz="0" w:space="0" w:color="auto"/>
        <w:bottom w:val="none" w:sz="0" w:space="0" w:color="auto"/>
        <w:right w:val="none" w:sz="0" w:space="0" w:color="auto"/>
      </w:divBdr>
    </w:div>
    <w:div w:id="1789081584">
      <w:bodyDiv w:val="1"/>
      <w:marLeft w:val="0"/>
      <w:marRight w:val="0"/>
      <w:marTop w:val="0"/>
      <w:marBottom w:val="0"/>
      <w:divBdr>
        <w:top w:val="none" w:sz="0" w:space="0" w:color="auto"/>
        <w:left w:val="none" w:sz="0" w:space="0" w:color="auto"/>
        <w:bottom w:val="none" w:sz="0" w:space="0" w:color="auto"/>
        <w:right w:val="none" w:sz="0" w:space="0" w:color="auto"/>
      </w:divBdr>
      <w:divsChild>
        <w:div w:id="2114281976">
          <w:marLeft w:val="0"/>
          <w:marRight w:val="0"/>
          <w:marTop w:val="0"/>
          <w:marBottom w:val="0"/>
          <w:divBdr>
            <w:top w:val="none" w:sz="0" w:space="0" w:color="auto"/>
            <w:left w:val="none" w:sz="0" w:space="0" w:color="auto"/>
            <w:bottom w:val="none" w:sz="0" w:space="0" w:color="auto"/>
            <w:right w:val="none" w:sz="0" w:space="0" w:color="auto"/>
          </w:divBdr>
        </w:div>
        <w:div w:id="513346602">
          <w:marLeft w:val="0"/>
          <w:marRight w:val="0"/>
          <w:marTop w:val="0"/>
          <w:marBottom w:val="0"/>
          <w:divBdr>
            <w:top w:val="none" w:sz="0" w:space="0" w:color="auto"/>
            <w:left w:val="none" w:sz="0" w:space="0" w:color="auto"/>
            <w:bottom w:val="none" w:sz="0" w:space="0" w:color="auto"/>
            <w:right w:val="none" w:sz="0" w:space="0" w:color="auto"/>
          </w:divBdr>
        </w:div>
        <w:div w:id="555363278">
          <w:marLeft w:val="0"/>
          <w:marRight w:val="0"/>
          <w:marTop w:val="0"/>
          <w:marBottom w:val="0"/>
          <w:divBdr>
            <w:top w:val="none" w:sz="0" w:space="0" w:color="auto"/>
            <w:left w:val="none" w:sz="0" w:space="0" w:color="auto"/>
            <w:bottom w:val="none" w:sz="0" w:space="0" w:color="auto"/>
            <w:right w:val="none" w:sz="0" w:space="0" w:color="auto"/>
          </w:divBdr>
        </w:div>
        <w:div w:id="395394823">
          <w:marLeft w:val="0"/>
          <w:marRight w:val="0"/>
          <w:marTop w:val="0"/>
          <w:marBottom w:val="0"/>
          <w:divBdr>
            <w:top w:val="none" w:sz="0" w:space="0" w:color="auto"/>
            <w:left w:val="none" w:sz="0" w:space="0" w:color="auto"/>
            <w:bottom w:val="none" w:sz="0" w:space="0" w:color="auto"/>
            <w:right w:val="none" w:sz="0" w:space="0" w:color="auto"/>
          </w:divBdr>
        </w:div>
        <w:div w:id="85032125">
          <w:marLeft w:val="0"/>
          <w:marRight w:val="0"/>
          <w:marTop w:val="0"/>
          <w:marBottom w:val="0"/>
          <w:divBdr>
            <w:top w:val="none" w:sz="0" w:space="0" w:color="auto"/>
            <w:left w:val="none" w:sz="0" w:space="0" w:color="auto"/>
            <w:bottom w:val="none" w:sz="0" w:space="0" w:color="auto"/>
            <w:right w:val="none" w:sz="0" w:space="0" w:color="auto"/>
          </w:divBdr>
        </w:div>
        <w:div w:id="501504960">
          <w:marLeft w:val="0"/>
          <w:marRight w:val="0"/>
          <w:marTop w:val="0"/>
          <w:marBottom w:val="0"/>
          <w:divBdr>
            <w:top w:val="none" w:sz="0" w:space="0" w:color="auto"/>
            <w:left w:val="none" w:sz="0" w:space="0" w:color="auto"/>
            <w:bottom w:val="none" w:sz="0" w:space="0" w:color="auto"/>
            <w:right w:val="none" w:sz="0" w:space="0" w:color="auto"/>
          </w:divBdr>
        </w:div>
      </w:divsChild>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2075154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facebook.com/101986484610295/photos/a.106299627512314/206021957540080/?type=3" TargetMode="External"/><Relationship Id="rId13" Type="http://schemas.openxmlformats.org/officeDocument/2006/relationships/hyperlink" Target="https://eltoque.com/que-paso-el-27-de-enero-frente-al-ministerio-de-cultura-cuba" TargetMode="External"/><Relationship Id="rId18" Type="http://schemas.openxmlformats.org/officeDocument/2006/relationships/hyperlink" Target="https://adncuba.com/noticias-de-cuba/actualidad/osorbo-vuelve-ser-detenido" TargetMode="External"/><Relationship Id="rId3" Type="http://schemas.openxmlformats.org/officeDocument/2006/relationships/hyperlink" Target="https://adncuba.com/noticias-de-cuba/actualidad/seguridad-del-estado-detiene-maykel-osorbo-para-impedirle-asistir-la?fbclid=IwAR1Fjn-NWrfdxH5u7sqOcTqiae-xbDpQ7r-B0PjURiCG_ozi4xlnZWImBYo" TargetMode="External"/><Relationship Id="rId21" Type="http://schemas.openxmlformats.org/officeDocument/2006/relationships/hyperlink" Target="https://freedomhouse.org/es/article/cuba-condenamos-la-detencion-arbitraria-del-musico-y-activista-maykel-osorbo-y-apoyamos-una" TargetMode="External"/><Relationship Id="rId7" Type="http://schemas.openxmlformats.org/officeDocument/2006/relationships/hyperlink" Target="https://www.facebook.com/100052174990089/posts/196355815173361/" TargetMode="External"/><Relationship Id="rId12" Type="http://schemas.openxmlformats.org/officeDocument/2006/relationships/hyperlink" Target="https://www.facebook.com/omara.ruizurquiola.12/videos/1754862138001981" TargetMode="External"/><Relationship Id="rId17" Type="http://schemas.openxmlformats.org/officeDocument/2006/relationships/hyperlink" Target="https://www.diariolasamericas.com/america-latina/detienen-rapero-maykel-osorbo-criticar-al-regimen-n4215763" TargetMode="External"/><Relationship Id="rId2" Type="http://schemas.openxmlformats.org/officeDocument/2006/relationships/hyperlink" Target="https://www.youtube.com/watch?v=Vq7pgRQAxS0&amp;has_verified=1" TargetMode="External"/><Relationship Id="rId16" Type="http://schemas.openxmlformats.org/officeDocument/2006/relationships/hyperlink" Target="https://noticias.cubitanow.com/maykel-osorbo-ha-sido-detenido-otra-vez-por-la-seguridad-del-estado-" TargetMode="External"/><Relationship Id="rId20" Type="http://schemas.openxmlformats.org/officeDocument/2006/relationships/hyperlink" Target="https://www.facebook.com/101986484610295/videos/142159997740696/" TargetMode="External"/><Relationship Id="rId1" Type="http://schemas.openxmlformats.org/officeDocument/2006/relationships/hyperlink" Target="https://www.amnesty.org/es/documents/amr25/7078/2023/es/" TargetMode="External"/><Relationship Id="rId6" Type="http://schemas.openxmlformats.org/officeDocument/2006/relationships/hyperlink" Target="https://adncuba.com/noticias-de-cuba/actualidad/policia-del-regimen-detiene-al-rapero-maykel-osorbo" TargetMode="External"/><Relationship Id="rId11" Type="http://schemas.openxmlformats.org/officeDocument/2006/relationships/hyperlink" Target="https://www.youtube.com/watch?v=AIRzzt3QtAY" TargetMode="External"/><Relationship Id="rId24" Type="http://schemas.openxmlformats.org/officeDocument/2006/relationships/hyperlink" Target="http://www.oas.org/es/cidh/informes/pdfs/Cuba2020-es.pdf" TargetMode="External"/><Relationship Id="rId5" Type="http://schemas.openxmlformats.org/officeDocument/2006/relationships/hyperlink" Target="https://www.facebook.com/maykelosorbo349/videos/205863560846298/" TargetMode="External"/><Relationship Id="rId15" Type="http://schemas.openxmlformats.org/officeDocument/2006/relationships/hyperlink" Target="https://www.cibercuba.com/noticias/2021-01-28-u192519-e192519-s27061-maykel-osorbo-concierto" TargetMode="External"/><Relationship Id="rId23" Type="http://schemas.openxmlformats.org/officeDocument/2006/relationships/hyperlink" Target="http://www.oas.org/es/cidh/informes/pdfs/Cuba2020-es.pdf" TargetMode="External"/><Relationship Id="rId10" Type="http://schemas.openxmlformats.org/officeDocument/2006/relationships/hyperlink" Target="https://www.facebook.com/anamely.ramosgonzalez/posts/1999488470194239" TargetMode="External"/><Relationship Id="rId19" Type="http://schemas.openxmlformats.org/officeDocument/2006/relationships/hyperlink" Target="https://www.facebook.com/maykelosorbo349/videos/435714627775513/" TargetMode="External"/><Relationship Id="rId4" Type="http://schemas.openxmlformats.org/officeDocument/2006/relationships/hyperlink" Target="https://www.facebook.com/100052174990089/posts/189956819146594/" TargetMode="External"/><Relationship Id="rId9" Type="http://schemas.openxmlformats.org/officeDocument/2006/relationships/hyperlink" Target="https://www.youtube.com/watch?v=vAIJUZxtgt8" TargetMode="External"/><Relationship Id="rId14" Type="http://schemas.openxmlformats.org/officeDocument/2006/relationships/hyperlink" Target="https://diariodecuba.com/derechos-humanos/1611828438_28387.html" TargetMode="External"/><Relationship Id="rId22" Type="http://schemas.openxmlformats.org/officeDocument/2006/relationships/hyperlink" Target="https://www.amnesty.org/es/documents/amr25/7078/2023/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30f74aa-8393-4aa5-b2f8-3c7aae566a68">
      <UserInfo>
        <DisplayName>Bollier, Ignacio</DisplayName>
        <AccountId>205</AccountId>
        <AccountType/>
      </UserInfo>
      <UserInfo>
        <DisplayName>CIDH Intern 11 (López, Clara)</DisplayName>
        <AccountId>196</AccountId>
        <AccountType/>
      </UserInfo>
    </SharedWithUsers>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D589DCDDB8A16B44BDC2A7128ECAC845" ma:contentTypeVersion="18" ma:contentTypeDescription="Crear nuevo documento." ma:contentTypeScope="" ma:versionID="4f0f407cfc3c24e46a12ff7f45efc9bd">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6f70cb62ebd1175e4b39eff2e0e1abe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87AFEE-4476-4A41-9AD9-A924DB9963B3}">
  <ds:schemaRefs>
    <ds:schemaRef ds:uri="http://schemas.microsoft.com/sharepoint/v3/contenttype/forms"/>
  </ds:schemaRefs>
</ds:datastoreItem>
</file>

<file path=customXml/itemProps2.xml><?xml version="1.0" encoding="utf-8"?>
<ds:datastoreItem xmlns:ds="http://schemas.openxmlformats.org/officeDocument/2006/customXml" ds:itemID="{B7FEFE11-8A2A-4102-89D8-ABE50D71BD54}">
  <ds:schemaRefs>
    <ds:schemaRef ds:uri="http://schemas.microsoft.com/office/2006/metadata/properties"/>
    <ds:schemaRef ds:uri="http://schemas.microsoft.com/office/infopath/2007/PartnerControls"/>
    <ds:schemaRef ds:uri="730f74aa-8393-4aa5-b2f8-3c7aae566a68"/>
    <ds:schemaRef ds:uri="7ff2a89a-f9c3-4229-b04b-1f4abb2786a1"/>
  </ds:schemaRefs>
</ds:datastoreItem>
</file>

<file path=customXml/itemProps3.xml><?xml version="1.0" encoding="utf-8"?>
<ds:datastoreItem xmlns:ds="http://schemas.openxmlformats.org/officeDocument/2006/customXml" ds:itemID="{5A944A0C-733F-49F9-B19F-846F57FB69E6}">
  <ds:schemaRefs>
    <ds:schemaRef ds:uri="http://schemas.openxmlformats.org/officeDocument/2006/bibliography"/>
  </ds:schemaRefs>
</ds:datastoreItem>
</file>

<file path=customXml/itemProps4.xml><?xml version="1.0" encoding="utf-8"?>
<ds:datastoreItem xmlns:ds="http://schemas.openxmlformats.org/officeDocument/2006/customXml" ds:itemID="{9F184220-EB0B-4665-9D6E-72D860353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12948</Words>
  <Characters>73809</Characters>
  <Application>Microsoft Office Word</Application>
  <DocSecurity>0</DocSecurity>
  <Lines>615</Lines>
  <Paragraphs>173</Paragraphs>
  <ScaleCrop>false</ScaleCrop>
  <Company/>
  <LinksUpToDate>false</LinksUpToDate>
  <CharactersWithSpaces>86584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2025-12-12T15:46:00Z</dcterms:created>
  <dcterms:modified xsi:type="dcterms:W3CDTF">2025-12-12T15:46:00Z</dcterms:modified>
</cp:coreProperties>
</file>