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CE333" w14:textId="124A65E8" w:rsidR="002A6B05" w:rsidRPr="00A623AB" w:rsidRDefault="009F015E" w:rsidP="009F015E">
      <w:pPr>
        <w:ind w:firstLine="2268"/>
        <w:jc w:val="both"/>
        <w:rPr>
          <w:rFonts w:ascii="Cambria" w:hAnsi="Cambria" w:cs="Univers"/>
          <w:b/>
          <w:bCs/>
          <w:sz w:val="20"/>
          <w:szCs w:val="20"/>
          <w:lang w:val="es-ES"/>
        </w:rPr>
      </w:pPr>
      <w:r>
        <w:rPr>
          <w:noProof/>
        </w:rPr>
        <w:drawing>
          <wp:inline distT="0" distB="0" distL="0" distR="0" wp14:anchorId="4B343977" wp14:editId="1D69749C">
            <wp:extent cx="2653322" cy="510639"/>
            <wp:effectExtent l="0" t="0" r="0" b="3810"/>
            <wp:docPr id="1136611608" name="Picture 12" descr="Imagen que contiene 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6611608" name="Picture 12" descr="Imagen que contiene Logotipo&#10;&#10;Descripción generada automáticamente"/>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2653322" cy="510639"/>
                    </a:xfrm>
                    <a:prstGeom prst="rect">
                      <a:avLst/>
                    </a:prstGeom>
                    <a:noFill/>
                    <a:ln>
                      <a:noFill/>
                    </a:ln>
                  </pic:spPr>
                </pic:pic>
              </a:graphicData>
            </a:graphic>
          </wp:inline>
        </w:drawing>
      </w:r>
      <w:r w:rsidR="0066215E" w:rsidRPr="00A623AB">
        <w:rPr>
          <w:rFonts w:ascii="Cambria" w:hAnsi="Cambria"/>
          <w:noProof/>
          <w:sz w:val="20"/>
          <w:szCs w:val="20"/>
        </w:rPr>
        <mc:AlternateContent>
          <mc:Choice Requires="wps">
            <w:drawing>
              <wp:anchor distT="0" distB="0" distL="114300" distR="114300" simplePos="0" relativeHeight="251666432" behindDoc="0" locked="0" layoutInCell="1" allowOverlap="1" wp14:anchorId="13B2AB92" wp14:editId="486CB3D0">
                <wp:simplePos x="0" y="0"/>
                <wp:positionH relativeFrom="column">
                  <wp:posOffset>1922780</wp:posOffset>
                </wp:positionH>
                <wp:positionV relativeFrom="paragraph">
                  <wp:posOffset>-541655</wp:posOffset>
                </wp:positionV>
                <wp:extent cx="5248275" cy="902335"/>
                <wp:effectExtent l="0" t="0" r="0" b="0"/>
                <wp:wrapNone/>
                <wp:docPr id="11" name="Text Box 11"/>
                <wp:cNvGraphicFramePr/>
                <a:graphic xmlns:a="http://schemas.openxmlformats.org/drawingml/2006/main">
                  <a:graphicData uri="http://schemas.microsoft.com/office/word/2010/wordprocessingShape">
                    <wps:wsp>
                      <wps:cNvSpPr txBox="1"/>
                      <wps:spPr>
                        <a:xfrm>
                          <a:off x="0" y="0"/>
                          <a:ext cx="5248275" cy="9023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713298E" w14:textId="2445513D" w:rsidR="006373C8" w:rsidRDefault="006373C8" w:rsidP="002A6B05">
                            <w:r>
                              <w:tab/>
                              <w:t xml:space="preserve">                              </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13B2AB92" id="_x0000_t202" coordsize="21600,21600" o:spt="202" path="m,l,21600r21600,l21600,xe">
                <v:stroke joinstyle="miter"/>
                <v:path gradientshapeok="t" o:connecttype="rect"/>
              </v:shapetype>
              <v:shape id="Text Box 11" o:spid="_x0000_s1026" type="#_x0000_t202" style="position:absolute;left:0;text-align:left;margin-left:151.4pt;margin-top:-42.65pt;width:413.25pt;height:71.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" filled="f" stroked="f" strokeweight=".5pt">
                <v:textbox>
                  <w:txbxContent>
                    <w:p w14:paraId="0713298E" w14:textId="2445513D" w:rsidR="006373C8" w:rsidRDefault="006373C8" w:rsidP="002A6B05">
                      <w:r>
                        <w:tab/>
                        <w:t xml:space="preserve">                              </w:t>
                      </w:r>
                    </w:p>
                  </w:txbxContent>
                </v:textbox>
              </v:shape>
            </w:pict>
          </mc:Fallback>
        </mc:AlternateContent>
      </w:r>
      <w:r w:rsidR="0066215E" w:rsidRPr="00A623AB">
        <w:rPr>
          <w:rFonts w:ascii="Cambria" w:hAnsi="Cambria"/>
          <w:noProof/>
          <w:sz w:val="20"/>
          <w:szCs w:val="20"/>
        </w:rPr>
        <mc:AlternateContent>
          <mc:Choice Requires="wps">
            <w:drawing>
              <wp:anchor distT="0" distB="0" distL="114300" distR="114300" simplePos="0" relativeHeight="251658240" behindDoc="0" locked="0" layoutInCell="1" allowOverlap="1" wp14:anchorId="0D3B201C" wp14:editId="304B9B14">
                <wp:simplePos x="0" y="0"/>
                <wp:positionH relativeFrom="column">
                  <wp:posOffset>-416115</wp:posOffset>
                </wp:positionH>
                <wp:positionV relativeFrom="paragraph">
                  <wp:posOffset>-439420</wp:posOffset>
                </wp:positionV>
                <wp:extent cx="1543050" cy="9096375"/>
                <wp:effectExtent l="0" t="0" r="0" b="9525"/>
                <wp:wrapNone/>
                <wp:docPr id="1" name="Rectangle 1"/>
                <wp:cNvGraphicFramePr/>
                <a:graphic xmlns:a="http://schemas.openxmlformats.org/drawingml/2006/main">
                  <a:graphicData uri="http://schemas.microsoft.com/office/word/2010/wordprocessingShape">
                    <wps:wsp>
                      <wps:cNvSpPr/>
                      <wps:spPr>
                        <a:xfrm>
                          <a:off x="0" y="0"/>
                          <a:ext cx="1543050" cy="9096375"/>
                        </a:xfrm>
                        <a:prstGeom prst="rect">
                          <a:avLst/>
                        </a:pr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6A42B32D" id="Rectangle 1" o:spid="_x0000_s1026" style="position:absolute;margin-left:-32.75pt;margin-top:-34.6pt;width:121.5pt;height:716.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" fillcolor="#70ad47 [3209]" stroked="f" strokeweight="1pt"/>
            </w:pict>
          </mc:Fallback>
        </mc:AlternateContent>
      </w:r>
    </w:p>
    <w:p w14:paraId="16F50900" w14:textId="77777777" w:rsidR="002A6B05" w:rsidRPr="00A623AB" w:rsidRDefault="002A6B05" w:rsidP="002A6B05">
      <w:pPr>
        <w:tabs>
          <w:tab w:val="center" w:pos="5400"/>
        </w:tabs>
        <w:suppressAutoHyphens/>
        <w:jc w:val="both"/>
        <w:rPr>
          <w:rFonts w:ascii="Cambria" w:hAnsi="Cambria"/>
          <w:sz w:val="20"/>
          <w:szCs w:val="20"/>
          <w:lang w:val="es-ES"/>
        </w:rPr>
      </w:pPr>
    </w:p>
    <w:p w14:paraId="51670703" w14:textId="77777777" w:rsidR="002A6B05" w:rsidRPr="00A623AB" w:rsidRDefault="002A6B05" w:rsidP="002A6B05">
      <w:pPr>
        <w:tabs>
          <w:tab w:val="center" w:pos="5400"/>
        </w:tabs>
        <w:suppressAutoHyphens/>
        <w:jc w:val="both"/>
        <w:rPr>
          <w:rFonts w:ascii="Cambria" w:hAnsi="Cambria"/>
          <w:sz w:val="20"/>
          <w:szCs w:val="20"/>
          <w:lang w:val="es-ES"/>
        </w:rPr>
      </w:pPr>
    </w:p>
    <w:p w14:paraId="7884D8E6" w14:textId="77777777" w:rsidR="002A6B05" w:rsidRPr="00A623AB" w:rsidRDefault="002A6B05" w:rsidP="002A6B05">
      <w:pPr>
        <w:tabs>
          <w:tab w:val="center" w:pos="5400"/>
        </w:tabs>
        <w:suppressAutoHyphens/>
        <w:rPr>
          <w:rFonts w:ascii="Cambria" w:hAnsi="Cambria"/>
          <w:sz w:val="20"/>
          <w:szCs w:val="20"/>
          <w:lang w:val="es-ES"/>
        </w:rPr>
      </w:pPr>
    </w:p>
    <w:p w14:paraId="1B81F574" w14:textId="77777777" w:rsidR="002A6B05" w:rsidRPr="00A623AB" w:rsidRDefault="002A6B05" w:rsidP="002A6B05">
      <w:pPr>
        <w:tabs>
          <w:tab w:val="center" w:pos="5400"/>
        </w:tabs>
        <w:suppressAutoHyphens/>
        <w:rPr>
          <w:rFonts w:ascii="Cambria" w:hAnsi="Cambria"/>
          <w:sz w:val="20"/>
          <w:szCs w:val="20"/>
          <w:lang w:val="es-ES"/>
        </w:rPr>
      </w:pPr>
    </w:p>
    <w:p w14:paraId="63B22D65" w14:textId="77777777" w:rsidR="002A6B05" w:rsidRPr="00A623AB" w:rsidRDefault="002A6B05" w:rsidP="002A6B05">
      <w:pPr>
        <w:tabs>
          <w:tab w:val="center" w:pos="5400"/>
        </w:tabs>
        <w:suppressAutoHyphens/>
        <w:rPr>
          <w:rFonts w:ascii="Cambria" w:hAnsi="Cambria"/>
          <w:sz w:val="20"/>
          <w:szCs w:val="20"/>
          <w:lang w:val="es-ES"/>
        </w:rPr>
      </w:pPr>
    </w:p>
    <w:p w14:paraId="458455C1" w14:textId="77777777" w:rsidR="002A6B05" w:rsidRPr="00A623AB" w:rsidRDefault="002A6B05" w:rsidP="002A6B05">
      <w:pPr>
        <w:tabs>
          <w:tab w:val="center" w:pos="5400"/>
        </w:tabs>
        <w:suppressAutoHyphens/>
        <w:jc w:val="center"/>
        <w:rPr>
          <w:rFonts w:ascii="Cambria" w:hAnsi="Cambria"/>
          <w:sz w:val="20"/>
          <w:szCs w:val="20"/>
          <w:lang w:val="es-ES"/>
        </w:rPr>
      </w:pPr>
    </w:p>
    <w:p w14:paraId="00DAB3B2" w14:textId="77777777" w:rsidR="002A6B05" w:rsidRPr="00A623AB" w:rsidRDefault="002A6B05" w:rsidP="002A6B05">
      <w:pPr>
        <w:tabs>
          <w:tab w:val="center" w:pos="5400"/>
        </w:tabs>
        <w:suppressAutoHyphens/>
        <w:jc w:val="center"/>
        <w:rPr>
          <w:rFonts w:ascii="Cambria" w:hAnsi="Cambria"/>
          <w:sz w:val="20"/>
          <w:szCs w:val="20"/>
          <w:lang w:val="es-ES"/>
        </w:rPr>
      </w:pPr>
    </w:p>
    <w:p w14:paraId="612C5A53" w14:textId="77777777" w:rsidR="002A6B05" w:rsidRPr="00A623AB" w:rsidRDefault="002A6B05" w:rsidP="002A6B05">
      <w:pPr>
        <w:tabs>
          <w:tab w:val="center" w:pos="5400"/>
        </w:tabs>
        <w:suppressAutoHyphens/>
        <w:jc w:val="center"/>
        <w:rPr>
          <w:rFonts w:ascii="Cambria" w:hAnsi="Cambria"/>
          <w:sz w:val="20"/>
          <w:szCs w:val="20"/>
          <w:lang w:val="es-ES"/>
        </w:rPr>
      </w:pPr>
    </w:p>
    <w:p w14:paraId="7D9217DD" w14:textId="77777777" w:rsidR="002A6B05" w:rsidRPr="00A623AB" w:rsidRDefault="002A6B05" w:rsidP="002A6B05">
      <w:pPr>
        <w:tabs>
          <w:tab w:val="center" w:pos="5400"/>
        </w:tabs>
        <w:suppressAutoHyphens/>
        <w:jc w:val="center"/>
        <w:rPr>
          <w:rFonts w:ascii="Cambria" w:hAnsi="Cambria"/>
          <w:sz w:val="20"/>
          <w:szCs w:val="20"/>
          <w:lang w:val="es-ES"/>
        </w:rPr>
      </w:pPr>
    </w:p>
    <w:p w14:paraId="68AA6C4C" w14:textId="77777777" w:rsidR="002A6B05" w:rsidRPr="00A623AB" w:rsidRDefault="002A6B05" w:rsidP="002A6B05">
      <w:pPr>
        <w:tabs>
          <w:tab w:val="center" w:pos="5400"/>
        </w:tabs>
        <w:suppressAutoHyphens/>
        <w:jc w:val="center"/>
        <w:rPr>
          <w:rFonts w:ascii="Cambria" w:hAnsi="Cambria"/>
          <w:sz w:val="20"/>
          <w:szCs w:val="20"/>
          <w:lang w:val="es-ES"/>
        </w:rPr>
      </w:pPr>
    </w:p>
    <w:p w14:paraId="6D0998EA" w14:textId="77777777" w:rsidR="002A6B05" w:rsidRPr="00A623AB" w:rsidRDefault="002A6B05" w:rsidP="002A6B05">
      <w:pPr>
        <w:tabs>
          <w:tab w:val="center" w:pos="5400"/>
        </w:tabs>
        <w:suppressAutoHyphens/>
        <w:jc w:val="center"/>
        <w:rPr>
          <w:rFonts w:ascii="Cambria" w:hAnsi="Cambria"/>
          <w:sz w:val="20"/>
          <w:szCs w:val="20"/>
          <w:lang w:val="es-ES"/>
        </w:rPr>
      </w:pPr>
    </w:p>
    <w:p w14:paraId="243C4C22" w14:textId="77777777" w:rsidR="002A6B05" w:rsidRPr="00A623AB" w:rsidRDefault="002A6B05" w:rsidP="002A6B05">
      <w:pPr>
        <w:tabs>
          <w:tab w:val="center" w:pos="5400"/>
        </w:tabs>
        <w:suppressAutoHyphens/>
        <w:jc w:val="center"/>
        <w:rPr>
          <w:rFonts w:ascii="Cambria" w:hAnsi="Cambria"/>
          <w:sz w:val="20"/>
          <w:szCs w:val="20"/>
          <w:lang w:val="es-ES"/>
        </w:rPr>
      </w:pPr>
    </w:p>
    <w:p w14:paraId="38418965" w14:textId="77777777" w:rsidR="002A6B05" w:rsidRPr="00A623AB" w:rsidRDefault="0066215E" w:rsidP="002A6B05">
      <w:pPr>
        <w:tabs>
          <w:tab w:val="center" w:pos="5400"/>
        </w:tabs>
        <w:suppressAutoHyphens/>
        <w:jc w:val="center"/>
        <w:rPr>
          <w:rFonts w:ascii="Cambria" w:hAnsi="Cambria"/>
          <w:sz w:val="20"/>
          <w:szCs w:val="20"/>
          <w:lang w:val="es-ES"/>
        </w:rPr>
      </w:pPr>
      <w:r w:rsidRPr="00A623AB">
        <w:rPr>
          <w:rFonts w:ascii="Cambria" w:hAnsi="Cambria"/>
          <w:noProof/>
          <w:sz w:val="20"/>
          <w:szCs w:val="20"/>
        </w:rPr>
        <mc:AlternateContent>
          <mc:Choice Requires="wps">
            <w:drawing>
              <wp:anchor distT="0" distB="0" distL="114300" distR="114300" simplePos="0" relativeHeight="251661312" behindDoc="0" locked="0" layoutInCell="1" allowOverlap="1" wp14:anchorId="5F891DFD" wp14:editId="2A5056F1">
                <wp:simplePos x="0" y="0"/>
                <wp:positionH relativeFrom="column">
                  <wp:posOffset>1352550</wp:posOffset>
                </wp:positionH>
                <wp:positionV relativeFrom="paragraph">
                  <wp:posOffset>107315</wp:posOffset>
                </wp:positionV>
                <wp:extent cx="4441190" cy="2181225"/>
                <wp:effectExtent l="0" t="0" r="0" b="0"/>
                <wp:wrapNone/>
                <wp:docPr id="5" name="Text Box 5"/>
                <wp:cNvGraphicFramePr/>
                <a:graphic xmlns:a="http://schemas.openxmlformats.org/drawingml/2006/main">
                  <a:graphicData uri="http://schemas.microsoft.com/office/word/2010/wordprocessingShape">
                    <wps:wsp>
                      <wps:cNvSpPr txBox="1"/>
                      <wps:spPr>
                        <a:xfrm>
                          <a:off x="0" y="0"/>
                          <a:ext cx="4441190" cy="2181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E359DBF" w14:textId="14F3D19B" w:rsidR="006373C8" w:rsidRPr="006E6974" w:rsidRDefault="006373C8" w:rsidP="002A6B05">
                            <w:pPr>
                              <w:spacing w:line="276" w:lineRule="auto"/>
                              <w:rPr>
                                <w:rFonts w:ascii="Cambria" w:hAnsi="Cambria" w:cs="Arial"/>
                                <w:b/>
                                <w:bCs/>
                                <w:color w:val="0D0D0D" w:themeColor="text1" w:themeTint="F2"/>
                                <w:sz w:val="36"/>
                                <w:szCs w:val="22"/>
                              </w:rPr>
                            </w:pPr>
                            <w:r>
                              <w:rPr>
                                <w:rFonts w:ascii="Cambria" w:eastAsia="Cambria" w:hAnsi="Cambria" w:cs="Cambria"/>
                                <w:b/>
                                <w:bCs/>
                                <w:color w:val="0D0D0D"/>
                                <w:sz w:val="36"/>
                                <w:szCs w:val="36"/>
                              </w:rPr>
                              <w:t xml:space="preserve">REPORT No. </w:t>
                            </w:r>
                            <w:r w:rsidR="00823451">
                              <w:rPr>
                                <w:rFonts w:ascii="Cambria" w:eastAsia="Cambria" w:hAnsi="Cambria" w:cs="Cambria"/>
                                <w:b/>
                                <w:bCs/>
                                <w:color w:val="0D0D0D"/>
                                <w:sz w:val="36"/>
                                <w:szCs w:val="36"/>
                              </w:rPr>
                              <w:t>288</w:t>
                            </w:r>
                            <w:r>
                              <w:rPr>
                                <w:rFonts w:ascii="Cambria" w:eastAsia="Cambria" w:hAnsi="Cambria" w:cs="Cambria"/>
                                <w:b/>
                                <w:bCs/>
                                <w:color w:val="0D0D0D"/>
                                <w:sz w:val="36"/>
                                <w:szCs w:val="36"/>
                              </w:rPr>
                              <w:t>/</w:t>
                            </w:r>
                            <w:r w:rsidR="00783024">
                              <w:rPr>
                                <w:rFonts w:ascii="Cambria" w:eastAsia="Cambria" w:hAnsi="Cambria" w:cs="Cambria"/>
                                <w:b/>
                                <w:bCs/>
                                <w:color w:val="0D0D0D"/>
                                <w:sz w:val="36"/>
                                <w:szCs w:val="36"/>
                              </w:rPr>
                              <w:t>2</w:t>
                            </w:r>
                            <w:r w:rsidR="00717D88">
                              <w:rPr>
                                <w:rFonts w:ascii="Cambria" w:eastAsia="Cambria" w:hAnsi="Cambria" w:cs="Cambria"/>
                                <w:b/>
                                <w:bCs/>
                                <w:color w:val="0D0D0D"/>
                                <w:sz w:val="36"/>
                                <w:szCs w:val="36"/>
                              </w:rPr>
                              <w:t>5</w:t>
                            </w:r>
                          </w:p>
                          <w:p w14:paraId="79F199AD" w14:textId="77777777" w:rsidR="006373C8" w:rsidRPr="006E6974" w:rsidRDefault="006373C8" w:rsidP="002A6B05">
                            <w:pPr>
                              <w:spacing w:line="276" w:lineRule="auto"/>
                              <w:rPr>
                                <w:rFonts w:ascii="Cambria" w:hAnsi="Cambria" w:cs="Arial"/>
                                <w:b/>
                                <w:color w:val="0D0D0D" w:themeColor="text1" w:themeTint="F2"/>
                                <w:sz w:val="36"/>
                                <w:szCs w:val="22"/>
                              </w:rPr>
                            </w:pPr>
                            <w:r>
                              <w:rPr>
                                <w:rFonts w:ascii="Cambria" w:eastAsia="Cambria" w:hAnsi="Cambria" w:cs="Cambria"/>
                                <w:b/>
                                <w:bCs/>
                                <w:color w:val="0D0D0D"/>
                                <w:sz w:val="36"/>
                                <w:szCs w:val="36"/>
                              </w:rPr>
                              <w:t>CASE 13.866</w:t>
                            </w:r>
                          </w:p>
                          <w:p w14:paraId="44A17443" w14:textId="0BC84B51" w:rsidR="006373C8" w:rsidRPr="00E936C8" w:rsidRDefault="006373C8" w:rsidP="002A6B05">
                            <w:pPr>
                              <w:spacing w:line="276" w:lineRule="auto"/>
                              <w:rPr>
                                <w:rFonts w:ascii="Cambria" w:hAnsi="Cambria" w:cs="Arial"/>
                                <w:color w:val="0D0D0D" w:themeColor="text1" w:themeTint="F2"/>
                                <w:szCs w:val="22"/>
                              </w:rPr>
                            </w:pPr>
                            <w:r>
                              <w:rPr>
                                <w:rFonts w:ascii="Cambria" w:eastAsia="Cambria" w:hAnsi="Cambria" w:cs="Cambria"/>
                                <w:color w:val="0D0D0D"/>
                              </w:rPr>
                              <w:t xml:space="preserve">REPORT ON THE MERITS </w:t>
                            </w:r>
                            <w:r w:rsidR="00717D88" w:rsidRPr="00823451">
                              <w:rPr>
                                <w:rFonts w:ascii="Cambria" w:eastAsia="Cambria" w:hAnsi="Cambria" w:cs="Cambria"/>
                                <w:color w:val="0D0D0D"/>
                              </w:rPr>
                              <w:t>(PUBLICATION)</w:t>
                            </w:r>
                          </w:p>
                          <w:p w14:paraId="00F61645" w14:textId="77777777" w:rsidR="006373C8" w:rsidRPr="00E936C8" w:rsidRDefault="006373C8" w:rsidP="002A6B05">
                            <w:pPr>
                              <w:spacing w:line="276" w:lineRule="auto"/>
                              <w:rPr>
                                <w:rFonts w:ascii="Cambria" w:hAnsi="Cambria" w:cs="Arial"/>
                                <w:color w:val="0D0D0D" w:themeColor="text1" w:themeTint="F2"/>
                                <w:szCs w:val="22"/>
                              </w:rPr>
                            </w:pPr>
                            <w:bookmarkStart w:id="0" w:name="_ftnref1"/>
                          </w:p>
                          <w:p w14:paraId="7BC10611" w14:textId="77777777" w:rsidR="006373C8" w:rsidRPr="00E936C8" w:rsidRDefault="006373C8" w:rsidP="002A6B05">
                            <w:pPr>
                              <w:spacing w:line="276" w:lineRule="auto"/>
                              <w:rPr>
                                <w:rFonts w:ascii="Cambria" w:hAnsi="Cambria" w:cs="Arial"/>
                                <w:color w:val="0D0D0D" w:themeColor="text1" w:themeTint="F2"/>
                                <w:szCs w:val="22"/>
                              </w:rPr>
                            </w:pPr>
                            <w:r>
                              <w:rPr>
                                <w:rFonts w:ascii="Cambria" w:eastAsia="Cambria" w:hAnsi="Cambria" w:cs="Cambria"/>
                                <w:color w:val="0D0D0D"/>
                              </w:rPr>
                              <w:t>SARAH LYN LANGTON AND FAMILY</w:t>
                            </w:r>
                          </w:p>
                          <w:bookmarkEnd w:id="0"/>
                          <w:p w14:paraId="3712B270" w14:textId="77777777" w:rsidR="006373C8" w:rsidRPr="00717D88" w:rsidRDefault="006373C8" w:rsidP="002A6B05">
                            <w:pPr>
                              <w:spacing w:line="276" w:lineRule="auto"/>
                              <w:rPr>
                                <w:rFonts w:ascii="Cambria" w:hAnsi="Cambria" w:cs="Arial"/>
                                <w:color w:val="0D0D0D" w:themeColor="text1" w:themeTint="F2"/>
                                <w:szCs w:val="22"/>
                              </w:rPr>
                            </w:pPr>
                            <w:r>
                              <w:rPr>
                                <w:rFonts w:ascii="Cambria" w:eastAsia="Cambria" w:hAnsi="Cambria" w:cs="Cambria"/>
                                <w:color w:val="0D0D0D"/>
                              </w:rPr>
                              <w:t>VENEZUELA</w:t>
                            </w:r>
                          </w:p>
                          <w:p w14:paraId="6354463B" w14:textId="77777777" w:rsidR="006373C8" w:rsidRPr="00717D88" w:rsidRDefault="006373C8" w:rsidP="002A6B05">
                            <w:pPr>
                              <w:rPr>
                                <w:color w:val="0D0D0D" w:themeColor="text1" w:themeTint="F2"/>
                              </w:rPr>
                            </w:pP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5F891DFD" id="Text Box 5" o:spid="_x0000_s1027" type="#_x0000_t202" style="position:absolute;left:0;text-align:left;margin-left:106.5pt;margin-top:8.45pt;width:349.7pt;height:17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" filled="f" stroked="f" strokeweight=".5pt">
                <v:textbox>
                  <w:txbxContent>
                    <w:p w14:paraId="4E359DBF" w14:textId="14F3D19B" w:rsidR="006373C8" w:rsidRPr="006E6974" w:rsidRDefault="006373C8" w:rsidP="002A6B05">
                      <w:pPr>
                        <w:spacing w:line="276" w:lineRule="auto"/>
                        <w:rPr>
                          <w:rFonts w:ascii="Cambria" w:hAnsi="Cambria" w:cs="Arial"/>
                          <w:b/>
                          <w:bCs/>
                          <w:color w:val="0D0D0D" w:themeColor="text1" w:themeTint="F2"/>
                          <w:sz w:val="36"/>
                          <w:szCs w:val="22"/>
                        </w:rPr>
                      </w:pPr>
                      <w:r>
                        <w:rPr>
                          <w:rFonts w:ascii="Cambria" w:eastAsia="Cambria" w:hAnsi="Cambria" w:cs="Cambria"/>
                          <w:b/>
                          <w:bCs/>
                          <w:color w:val="0D0D0D"/>
                          <w:sz w:val="36"/>
                          <w:szCs w:val="36"/>
                        </w:rPr>
                        <w:t xml:space="preserve">REPORT No. </w:t>
                      </w:r>
                      <w:r w:rsidR="00823451">
                        <w:rPr>
                          <w:rFonts w:ascii="Cambria" w:eastAsia="Cambria" w:hAnsi="Cambria" w:cs="Cambria"/>
                          <w:b/>
                          <w:bCs/>
                          <w:color w:val="0D0D0D"/>
                          <w:sz w:val="36"/>
                          <w:szCs w:val="36"/>
                        </w:rPr>
                        <w:t>288</w:t>
                      </w:r>
                      <w:r>
                        <w:rPr>
                          <w:rFonts w:ascii="Cambria" w:eastAsia="Cambria" w:hAnsi="Cambria" w:cs="Cambria"/>
                          <w:b/>
                          <w:bCs/>
                          <w:color w:val="0D0D0D"/>
                          <w:sz w:val="36"/>
                          <w:szCs w:val="36"/>
                        </w:rPr>
                        <w:t>/</w:t>
                      </w:r>
                      <w:r w:rsidR="00783024">
                        <w:rPr>
                          <w:rFonts w:ascii="Cambria" w:eastAsia="Cambria" w:hAnsi="Cambria" w:cs="Cambria"/>
                          <w:b/>
                          <w:bCs/>
                          <w:color w:val="0D0D0D"/>
                          <w:sz w:val="36"/>
                          <w:szCs w:val="36"/>
                        </w:rPr>
                        <w:t>2</w:t>
                      </w:r>
                      <w:r w:rsidR="00717D88">
                        <w:rPr>
                          <w:rFonts w:ascii="Cambria" w:eastAsia="Cambria" w:hAnsi="Cambria" w:cs="Cambria"/>
                          <w:b/>
                          <w:bCs/>
                          <w:color w:val="0D0D0D"/>
                          <w:sz w:val="36"/>
                          <w:szCs w:val="36"/>
                        </w:rPr>
                        <w:t>5</w:t>
                      </w:r>
                    </w:p>
                    <w:p w14:paraId="79F199AD" w14:textId="77777777" w:rsidR="006373C8" w:rsidRPr="006E6974" w:rsidRDefault="006373C8" w:rsidP="002A6B05">
                      <w:pPr>
                        <w:spacing w:line="276" w:lineRule="auto"/>
                        <w:rPr>
                          <w:rFonts w:ascii="Cambria" w:hAnsi="Cambria" w:cs="Arial"/>
                          <w:b/>
                          <w:color w:val="0D0D0D" w:themeColor="text1" w:themeTint="F2"/>
                          <w:sz w:val="36"/>
                          <w:szCs w:val="22"/>
                        </w:rPr>
                      </w:pPr>
                      <w:r>
                        <w:rPr>
                          <w:rFonts w:ascii="Cambria" w:eastAsia="Cambria" w:hAnsi="Cambria" w:cs="Cambria"/>
                          <w:b/>
                          <w:bCs/>
                          <w:color w:val="0D0D0D"/>
                          <w:sz w:val="36"/>
                          <w:szCs w:val="36"/>
                        </w:rPr>
                        <w:t>CASE 13.866</w:t>
                      </w:r>
                    </w:p>
                    <w:p w14:paraId="44A17443" w14:textId="0BC84B51" w:rsidR="006373C8" w:rsidRPr="00E936C8" w:rsidRDefault="006373C8" w:rsidP="002A6B05">
                      <w:pPr>
                        <w:spacing w:line="276" w:lineRule="auto"/>
                        <w:rPr>
                          <w:rFonts w:ascii="Cambria" w:hAnsi="Cambria" w:cs="Arial"/>
                          <w:color w:val="0D0D0D" w:themeColor="text1" w:themeTint="F2"/>
                          <w:szCs w:val="22"/>
                        </w:rPr>
                      </w:pPr>
                      <w:r>
                        <w:rPr>
                          <w:rFonts w:ascii="Cambria" w:eastAsia="Cambria" w:hAnsi="Cambria" w:cs="Cambria"/>
                          <w:color w:val="0D0D0D"/>
                        </w:rPr>
                        <w:t xml:space="preserve">REPORT ON THE MERITS </w:t>
                      </w:r>
                      <w:r w:rsidR="00717D88" w:rsidRPr="00823451">
                        <w:rPr>
                          <w:rFonts w:ascii="Cambria" w:eastAsia="Cambria" w:hAnsi="Cambria" w:cs="Cambria"/>
                          <w:color w:val="0D0D0D"/>
                        </w:rPr>
                        <w:t>(PUBLICATION)</w:t>
                      </w:r>
                    </w:p>
                    <w:p w14:paraId="00F61645" w14:textId="77777777" w:rsidR="006373C8" w:rsidRPr="00E936C8" w:rsidRDefault="006373C8" w:rsidP="002A6B05">
                      <w:pPr>
                        <w:spacing w:line="276" w:lineRule="auto"/>
                        <w:rPr>
                          <w:rFonts w:ascii="Cambria" w:hAnsi="Cambria" w:cs="Arial"/>
                          <w:color w:val="0D0D0D" w:themeColor="text1" w:themeTint="F2"/>
                          <w:szCs w:val="22"/>
                        </w:rPr>
                      </w:pPr>
                      <w:bookmarkStart w:id="1" w:name="_ftnref1"/>
                    </w:p>
                    <w:p w14:paraId="7BC10611" w14:textId="77777777" w:rsidR="006373C8" w:rsidRPr="00E936C8" w:rsidRDefault="006373C8" w:rsidP="002A6B05">
                      <w:pPr>
                        <w:spacing w:line="276" w:lineRule="auto"/>
                        <w:rPr>
                          <w:rFonts w:ascii="Cambria" w:hAnsi="Cambria" w:cs="Arial"/>
                          <w:color w:val="0D0D0D" w:themeColor="text1" w:themeTint="F2"/>
                          <w:szCs w:val="22"/>
                        </w:rPr>
                      </w:pPr>
                      <w:r>
                        <w:rPr>
                          <w:rFonts w:ascii="Cambria" w:eastAsia="Cambria" w:hAnsi="Cambria" w:cs="Cambria"/>
                          <w:color w:val="0D0D0D"/>
                        </w:rPr>
                        <w:t>SARAH LYN LANGTON AND FAMILY</w:t>
                      </w:r>
                    </w:p>
                    <w:bookmarkEnd w:id="1"/>
                    <w:p w14:paraId="3712B270" w14:textId="77777777" w:rsidR="006373C8" w:rsidRPr="00717D88" w:rsidRDefault="006373C8" w:rsidP="002A6B05">
                      <w:pPr>
                        <w:spacing w:line="276" w:lineRule="auto"/>
                        <w:rPr>
                          <w:rFonts w:ascii="Cambria" w:hAnsi="Cambria" w:cs="Arial"/>
                          <w:color w:val="0D0D0D" w:themeColor="text1" w:themeTint="F2"/>
                          <w:szCs w:val="22"/>
                        </w:rPr>
                      </w:pPr>
                      <w:r>
                        <w:rPr>
                          <w:rFonts w:ascii="Cambria" w:eastAsia="Cambria" w:hAnsi="Cambria" w:cs="Cambria"/>
                          <w:color w:val="0D0D0D"/>
                        </w:rPr>
                        <w:t>VENEZUELA</w:t>
                      </w:r>
                    </w:p>
                    <w:p w14:paraId="6354463B" w14:textId="77777777" w:rsidR="006373C8" w:rsidRPr="00717D88" w:rsidRDefault="006373C8" w:rsidP="002A6B05">
                      <w:pPr>
                        <w:rPr>
                          <w:color w:val="0D0D0D" w:themeColor="text1" w:themeTint="F2"/>
                        </w:rPr>
                      </w:pPr>
                    </w:p>
                  </w:txbxContent>
                </v:textbox>
              </v:shape>
            </w:pict>
          </mc:Fallback>
        </mc:AlternateContent>
      </w:r>
      <w:r w:rsidRPr="00A623AB">
        <w:rPr>
          <w:rFonts w:ascii="Cambria" w:hAnsi="Cambria"/>
          <w:noProof/>
          <w:sz w:val="20"/>
          <w:szCs w:val="20"/>
        </w:rPr>
        <mc:AlternateContent>
          <mc:Choice Requires="wps">
            <w:drawing>
              <wp:anchor distT="0" distB="0" distL="114300" distR="114300" simplePos="0" relativeHeight="251665408" behindDoc="0" locked="0" layoutInCell="1" allowOverlap="1" wp14:anchorId="672421D5" wp14:editId="7032D0C0">
                <wp:simplePos x="0" y="0"/>
                <wp:positionH relativeFrom="column">
                  <wp:posOffset>-342900</wp:posOffset>
                </wp:positionH>
                <wp:positionV relativeFrom="paragraph">
                  <wp:posOffset>164465</wp:posOffset>
                </wp:positionV>
                <wp:extent cx="1390650" cy="1377315"/>
                <wp:effectExtent l="0" t="0" r="0" b="0"/>
                <wp:wrapNone/>
                <wp:docPr id="8" name="Text Box 8"/>
                <wp:cNvGraphicFramePr/>
                <a:graphic xmlns:a="http://schemas.openxmlformats.org/drawingml/2006/main">
                  <a:graphicData uri="http://schemas.microsoft.com/office/word/2010/wordprocessingShape">
                    <wps:wsp>
                      <wps:cNvSpPr txBox="1"/>
                      <wps:spPr>
                        <a:xfrm>
                          <a:off x="0" y="0"/>
                          <a:ext cx="1390650" cy="13773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C228F0F" w14:textId="58C3FD8C" w:rsidR="006373C8" w:rsidRPr="00DD3C64" w:rsidRDefault="006373C8" w:rsidP="002A6B05">
                            <w:pPr>
                              <w:spacing w:line="276" w:lineRule="auto"/>
                              <w:jc w:val="right"/>
                              <w:rPr>
                                <w:rFonts w:asciiTheme="minorHAnsi" w:hAnsiTheme="minorHAnsi"/>
                                <w:color w:val="FFFFFF" w:themeColor="background1"/>
                                <w:sz w:val="22"/>
                                <w:lang w:val="pt-BR"/>
                              </w:rPr>
                            </w:pPr>
                            <w:r w:rsidRPr="00717D88">
                              <w:rPr>
                                <w:rFonts w:ascii="Calibri" w:eastAsia="Calibri" w:hAnsi="Calibri" w:cs="Calibri"/>
                                <w:color w:val="FFFFFF"/>
                                <w:sz w:val="22"/>
                                <w:szCs w:val="22"/>
                                <w:lang w:val="pt-BR"/>
                              </w:rPr>
                              <w:t>OEA/Ser.L/V/II.1</w:t>
                            </w:r>
                            <w:r w:rsidR="00783024" w:rsidRPr="00717D88">
                              <w:rPr>
                                <w:rFonts w:ascii="Calibri" w:eastAsia="Calibri" w:hAnsi="Calibri" w:cs="Calibri"/>
                                <w:color w:val="FFFFFF"/>
                                <w:sz w:val="22"/>
                                <w:szCs w:val="22"/>
                                <w:lang w:val="pt-BR"/>
                              </w:rPr>
                              <w:t>82</w:t>
                            </w:r>
                          </w:p>
                          <w:p w14:paraId="74D6E134" w14:textId="1227A3EF" w:rsidR="006373C8" w:rsidRPr="00733323" w:rsidRDefault="006373C8" w:rsidP="002A6B05">
                            <w:pPr>
                              <w:spacing w:line="276" w:lineRule="auto"/>
                              <w:jc w:val="right"/>
                              <w:rPr>
                                <w:rFonts w:asciiTheme="minorHAnsi" w:hAnsiTheme="minorHAnsi"/>
                                <w:color w:val="FFFFFF" w:themeColor="background1"/>
                                <w:sz w:val="22"/>
                                <w:lang w:val="pt-BR"/>
                              </w:rPr>
                            </w:pPr>
                            <w:r w:rsidRPr="00733323">
                              <w:rPr>
                                <w:rFonts w:ascii="Calibri" w:eastAsia="Calibri" w:hAnsi="Calibri" w:cs="Calibri"/>
                                <w:color w:val="FFFFFF"/>
                                <w:sz w:val="22"/>
                                <w:szCs w:val="22"/>
                                <w:lang w:val="pt-BR"/>
                              </w:rPr>
                              <w:t xml:space="preserve">Doc. </w:t>
                            </w:r>
                            <w:r w:rsidR="00823451" w:rsidRPr="00733323">
                              <w:rPr>
                                <w:rFonts w:ascii="Calibri" w:eastAsia="Calibri" w:hAnsi="Calibri" w:cs="Calibri"/>
                                <w:color w:val="FFFFFF"/>
                                <w:sz w:val="22"/>
                                <w:szCs w:val="22"/>
                                <w:lang w:val="pt-BR"/>
                              </w:rPr>
                              <w:t>303</w:t>
                            </w:r>
                          </w:p>
                          <w:p w14:paraId="728A6EEA" w14:textId="2527CA44" w:rsidR="006373C8" w:rsidRPr="007C756A" w:rsidRDefault="00783024" w:rsidP="002A6B05">
                            <w:pPr>
                              <w:spacing w:line="276" w:lineRule="auto"/>
                              <w:jc w:val="right"/>
                              <w:rPr>
                                <w:rFonts w:asciiTheme="minorHAnsi" w:hAnsiTheme="minorHAnsi"/>
                                <w:color w:val="FFFFFF" w:themeColor="background1"/>
                                <w:sz w:val="22"/>
                              </w:rPr>
                            </w:pPr>
                            <w:r>
                              <w:rPr>
                                <w:rFonts w:ascii="Calibri" w:eastAsia="Calibri" w:hAnsi="Calibri" w:cs="Calibri"/>
                                <w:color w:val="FFFFFF"/>
                                <w:sz w:val="22"/>
                                <w:szCs w:val="22"/>
                              </w:rPr>
                              <w:t>Decem</w:t>
                            </w:r>
                            <w:r w:rsidR="006373C8">
                              <w:rPr>
                                <w:rFonts w:ascii="Calibri" w:eastAsia="Calibri" w:hAnsi="Calibri" w:cs="Calibri"/>
                                <w:color w:val="FFFFFF"/>
                                <w:sz w:val="22"/>
                                <w:szCs w:val="22"/>
                              </w:rPr>
                              <w:t xml:space="preserve">ber </w:t>
                            </w:r>
                            <w:r w:rsidR="00823451">
                              <w:rPr>
                                <w:rFonts w:ascii="Calibri" w:eastAsia="Calibri" w:hAnsi="Calibri" w:cs="Calibri"/>
                                <w:color w:val="FFFFFF"/>
                                <w:sz w:val="22"/>
                                <w:szCs w:val="22"/>
                              </w:rPr>
                              <w:t>19</w:t>
                            </w:r>
                            <w:r w:rsidR="006373C8">
                              <w:rPr>
                                <w:rFonts w:ascii="Calibri" w:eastAsia="Calibri" w:hAnsi="Calibri" w:cs="Calibri"/>
                                <w:color w:val="FFFFFF"/>
                                <w:sz w:val="22"/>
                                <w:szCs w:val="22"/>
                              </w:rPr>
                              <w:t xml:space="preserve"> 20</w:t>
                            </w:r>
                            <w:r>
                              <w:rPr>
                                <w:rFonts w:ascii="Calibri" w:eastAsia="Calibri" w:hAnsi="Calibri" w:cs="Calibri"/>
                                <w:color w:val="FFFFFF"/>
                                <w:sz w:val="22"/>
                                <w:szCs w:val="22"/>
                              </w:rPr>
                              <w:t>2</w:t>
                            </w:r>
                            <w:r w:rsidR="00717D88">
                              <w:rPr>
                                <w:rFonts w:ascii="Calibri" w:eastAsia="Calibri" w:hAnsi="Calibri" w:cs="Calibri"/>
                                <w:color w:val="FFFFFF"/>
                                <w:sz w:val="22"/>
                                <w:szCs w:val="22"/>
                              </w:rPr>
                              <w:t>5</w:t>
                            </w:r>
                          </w:p>
                          <w:p w14:paraId="43CDFDEB" w14:textId="77777777" w:rsidR="006373C8" w:rsidRPr="007C756A" w:rsidRDefault="006373C8" w:rsidP="002A6B05">
                            <w:pPr>
                              <w:spacing w:line="276" w:lineRule="auto"/>
                              <w:jc w:val="right"/>
                              <w:rPr>
                                <w:rFonts w:asciiTheme="minorHAnsi" w:hAnsiTheme="minorHAnsi"/>
                                <w:color w:val="FFFFFF" w:themeColor="background1"/>
                                <w:sz w:val="22"/>
                              </w:rPr>
                            </w:pPr>
                            <w:r>
                              <w:rPr>
                                <w:rFonts w:ascii="Calibri" w:eastAsia="Calibri" w:hAnsi="Calibri" w:cs="Calibri"/>
                                <w:color w:val="FFFFFF"/>
                                <w:sz w:val="22"/>
                                <w:szCs w:val="22"/>
                              </w:rPr>
                              <w:t>Original: Spanish</w:t>
                            </w:r>
                          </w:p>
                          <w:p w14:paraId="50930466" w14:textId="77777777" w:rsidR="006373C8" w:rsidRPr="00E936C8" w:rsidRDefault="006373C8" w:rsidP="002A6B05">
                            <w:pPr>
                              <w:spacing w:line="276" w:lineRule="auto"/>
                              <w:jc w:val="right"/>
                              <w:rPr>
                                <w:rFonts w:asciiTheme="minorHAnsi" w:hAnsiTheme="minorHAnsi"/>
                                <w:color w:val="FFFFFF" w:themeColor="background1"/>
                                <w:sz w:val="22"/>
                              </w:rPr>
                            </w:pP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672421D5" id="Text Box 8" o:spid="_x0000_s1028" type="#_x0000_t202" style="position:absolute;left:0;text-align:left;margin-left:-27pt;margin-top:12.95pt;width:109.5pt;height:108.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" filled="f" stroked="f" strokeweight=".5pt">
                <v:textbox>
                  <w:txbxContent>
                    <w:p w14:paraId="1C228F0F" w14:textId="58C3FD8C" w:rsidR="006373C8" w:rsidRPr="00DD3C64" w:rsidRDefault="006373C8" w:rsidP="002A6B05">
                      <w:pPr>
                        <w:spacing w:line="276" w:lineRule="auto"/>
                        <w:jc w:val="right"/>
                        <w:rPr>
                          <w:rFonts w:asciiTheme="minorHAnsi" w:hAnsiTheme="minorHAnsi"/>
                          <w:color w:val="FFFFFF" w:themeColor="background1"/>
                          <w:sz w:val="22"/>
                          <w:lang w:val="pt-BR"/>
                        </w:rPr>
                      </w:pPr>
                      <w:r w:rsidRPr="00717D88">
                        <w:rPr>
                          <w:rFonts w:ascii="Calibri" w:eastAsia="Calibri" w:hAnsi="Calibri" w:cs="Calibri"/>
                          <w:color w:val="FFFFFF"/>
                          <w:sz w:val="22"/>
                          <w:szCs w:val="22"/>
                          <w:lang w:val="pt-BR"/>
                        </w:rPr>
                        <w:t>OEA/Ser.L/V/II.1</w:t>
                      </w:r>
                      <w:r w:rsidR="00783024" w:rsidRPr="00717D88">
                        <w:rPr>
                          <w:rFonts w:ascii="Calibri" w:eastAsia="Calibri" w:hAnsi="Calibri" w:cs="Calibri"/>
                          <w:color w:val="FFFFFF"/>
                          <w:sz w:val="22"/>
                          <w:szCs w:val="22"/>
                          <w:lang w:val="pt-BR"/>
                        </w:rPr>
                        <w:t>82</w:t>
                      </w:r>
                    </w:p>
                    <w:p w14:paraId="74D6E134" w14:textId="1227A3EF" w:rsidR="006373C8" w:rsidRPr="00733323" w:rsidRDefault="006373C8" w:rsidP="002A6B05">
                      <w:pPr>
                        <w:spacing w:line="276" w:lineRule="auto"/>
                        <w:jc w:val="right"/>
                        <w:rPr>
                          <w:rFonts w:asciiTheme="minorHAnsi" w:hAnsiTheme="minorHAnsi"/>
                          <w:color w:val="FFFFFF" w:themeColor="background1"/>
                          <w:sz w:val="22"/>
                          <w:lang w:val="pt-BR"/>
                        </w:rPr>
                      </w:pPr>
                      <w:r w:rsidRPr="00733323">
                        <w:rPr>
                          <w:rFonts w:ascii="Calibri" w:eastAsia="Calibri" w:hAnsi="Calibri" w:cs="Calibri"/>
                          <w:color w:val="FFFFFF"/>
                          <w:sz w:val="22"/>
                          <w:szCs w:val="22"/>
                          <w:lang w:val="pt-BR"/>
                        </w:rPr>
                        <w:t xml:space="preserve">Doc. </w:t>
                      </w:r>
                      <w:r w:rsidR="00823451" w:rsidRPr="00733323">
                        <w:rPr>
                          <w:rFonts w:ascii="Calibri" w:eastAsia="Calibri" w:hAnsi="Calibri" w:cs="Calibri"/>
                          <w:color w:val="FFFFFF"/>
                          <w:sz w:val="22"/>
                          <w:szCs w:val="22"/>
                          <w:lang w:val="pt-BR"/>
                        </w:rPr>
                        <w:t>303</w:t>
                      </w:r>
                    </w:p>
                    <w:p w14:paraId="728A6EEA" w14:textId="2527CA44" w:rsidR="006373C8" w:rsidRPr="007C756A" w:rsidRDefault="00783024" w:rsidP="002A6B05">
                      <w:pPr>
                        <w:spacing w:line="276" w:lineRule="auto"/>
                        <w:jc w:val="right"/>
                        <w:rPr>
                          <w:rFonts w:asciiTheme="minorHAnsi" w:hAnsiTheme="minorHAnsi"/>
                          <w:color w:val="FFFFFF" w:themeColor="background1"/>
                          <w:sz w:val="22"/>
                        </w:rPr>
                      </w:pPr>
                      <w:r>
                        <w:rPr>
                          <w:rFonts w:ascii="Calibri" w:eastAsia="Calibri" w:hAnsi="Calibri" w:cs="Calibri"/>
                          <w:color w:val="FFFFFF"/>
                          <w:sz w:val="22"/>
                          <w:szCs w:val="22"/>
                        </w:rPr>
                        <w:t>Decem</w:t>
                      </w:r>
                      <w:r w:rsidR="006373C8">
                        <w:rPr>
                          <w:rFonts w:ascii="Calibri" w:eastAsia="Calibri" w:hAnsi="Calibri" w:cs="Calibri"/>
                          <w:color w:val="FFFFFF"/>
                          <w:sz w:val="22"/>
                          <w:szCs w:val="22"/>
                        </w:rPr>
                        <w:t xml:space="preserve">ber </w:t>
                      </w:r>
                      <w:r w:rsidR="00823451">
                        <w:rPr>
                          <w:rFonts w:ascii="Calibri" w:eastAsia="Calibri" w:hAnsi="Calibri" w:cs="Calibri"/>
                          <w:color w:val="FFFFFF"/>
                          <w:sz w:val="22"/>
                          <w:szCs w:val="22"/>
                        </w:rPr>
                        <w:t>19</w:t>
                      </w:r>
                      <w:r w:rsidR="006373C8">
                        <w:rPr>
                          <w:rFonts w:ascii="Calibri" w:eastAsia="Calibri" w:hAnsi="Calibri" w:cs="Calibri"/>
                          <w:color w:val="FFFFFF"/>
                          <w:sz w:val="22"/>
                          <w:szCs w:val="22"/>
                        </w:rPr>
                        <w:t xml:space="preserve"> 20</w:t>
                      </w:r>
                      <w:r>
                        <w:rPr>
                          <w:rFonts w:ascii="Calibri" w:eastAsia="Calibri" w:hAnsi="Calibri" w:cs="Calibri"/>
                          <w:color w:val="FFFFFF"/>
                          <w:sz w:val="22"/>
                          <w:szCs w:val="22"/>
                        </w:rPr>
                        <w:t>2</w:t>
                      </w:r>
                      <w:r w:rsidR="00717D88">
                        <w:rPr>
                          <w:rFonts w:ascii="Calibri" w:eastAsia="Calibri" w:hAnsi="Calibri" w:cs="Calibri"/>
                          <w:color w:val="FFFFFF"/>
                          <w:sz w:val="22"/>
                          <w:szCs w:val="22"/>
                        </w:rPr>
                        <w:t>5</w:t>
                      </w:r>
                    </w:p>
                    <w:p w14:paraId="43CDFDEB" w14:textId="77777777" w:rsidR="006373C8" w:rsidRPr="007C756A" w:rsidRDefault="006373C8" w:rsidP="002A6B05">
                      <w:pPr>
                        <w:spacing w:line="276" w:lineRule="auto"/>
                        <w:jc w:val="right"/>
                        <w:rPr>
                          <w:rFonts w:asciiTheme="minorHAnsi" w:hAnsiTheme="minorHAnsi"/>
                          <w:color w:val="FFFFFF" w:themeColor="background1"/>
                          <w:sz w:val="22"/>
                        </w:rPr>
                      </w:pPr>
                      <w:r>
                        <w:rPr>
                          <w:rFonts w:ascii="Calibri" w:eastAsia="Calibri" w:hAnsi="Calibri" w:cs="Calibri"/>
                          <w:color w:val="FFFFFF"/>
                          <w:sz w:val="22"/>
                          <w:szCs w:val="22"/>
                        </w:rPr>
                        <w:t>Original: Spanish</w:t>
                      </w:r>
                    </w:p>
                    <w:p w14:paraId="50930466" w14:textId="77777777" w:rsidR="006373C8" w:rsidRPr="00E936C8" w:rsidRDefault="006373C8" w:rsidP="002A6B05">
                      <w:pPr>
                        <w:spacing w:line="276" w:lineRule="auto"/>
                        <w:jc w:val="right"/>
                        <w:rPr>
                          <w:rFonts w:asciiTheme="minorHAnsi" w:hAnsiTheme="minorHAnsi"/>
                          <w:color w:val="FFFFFF" w:themeColor="background1"/>
                          <w:sz w:val="22"/>
                        </w:rPr>
                      </w:pPr>
                    </w:p>
                  </w:txbxContent>
                </v:textbox>
              </v:shape>
            </w:pict>
          </mc:Fallback>
        </mc:AlternateContent>
      </w:r>
    </w:p>
    <w:p w14:paraId="4540C7C0" w14:textId="77777777" w:rsidR="002A6B05" w:rsidRPr="00A623AB" w:rsidRDefault="002A6B05" w:rsidP="002A6B05">
      <w:pPr>
        <w:tabs>
          <w:tab w:val="center" w:pos="5400"/>
        </w:tabs>
        <w:suppressAutoHyphens/>
        <w:jc w:val="center"/>
        <w:rPr>
          <w:rFonts w:ascii="Cambria" w:hAnsi="Cambria"/>
          <w:sz w:val="20"/>
          <w:szCs w:val="20"/>
          <w:lang w:val="es-ES"/>
        </w:rPr>
      </w:pPr>
    </w:p>
    <w:p w14:paraId="613BE558" w14:textId="77777777" w:rsidR="002A6B05" w:rsidRPr="00A623AB" w:rsidRDefault="002A6B05" w:rsidP="002A6B05">
      <w:pPr>
        <w:tabs>
          <w:tab w:val="center" w:pos="5400"/>
        </w:tabs>
        <w:suppressAutoHyphens/>
        <w:jc w:val="center"/>
        <w:rPr>
          <w:rFonts w:ascii="Cambria" w:hAnsi="Cambria"/>
          <w:sz w:val="20"/>
          <w:szCs w:val="20"/>
          <w:lang w:val="es-ES"/>
        </w:rPr>
      </w:pPr>
    </w:p>
    <w:p w14:paraId="51DA3D94" w14:textId="77777777" w:rsidR="002A6B05" w:rsidRPr="00A623AB" w:rsidRDefault="002A6B05" w:rsidP="002A6B05">
      <w:pPr>
        <w:tabs>
          <w:tab w:val="center" w:pos="5400"/>
        </w:tabs>
        <w:suppressAutoHyphens/>
        <w:jc w:val="center"/>
        <w:rPr>
          <w:rFonts w:ascii="Cambria" w:hAnsi="Cambria" w:cs="Arial"/>
          <w:sz w:val="20"/>
          <w:szCs w:val="20"/>
          <w:lang w:val="es-ES"/>
        </w:rPr>
      </w:pPr>
    </w:p>
    <w:p w14:paraId="3C794416" w14:textId="77777777" w:rsidR="002A6B05" w:rsidRPr="00A623AB" w:rsidRDefault="002A6B05" w:rsidP="002A6B05">
      <w:pPr>
        <w:tabs>
          <w:tab w:val="center" w:pos="5400"/>
        </w:tabs>
        <w:suppressAutoHyphens/>
        <w:jc w:val="center"/>
        <w:rPr>
          <w:rFonts w:ascii="Cambria" w:hAnsi="Cambria"/>
          <w:sz w:val="20"/>
          <w:szCs w:val="20"/>
          <w:lang w:val="es-ES"/>
        </w:rPr>
      </w:pPr>
    </w:p>
    <w:p w14:paraId="1335DA5C" w14:textId="77777777" w:rsidR="002A6B05" w:rsidRPr="00A623AB" w:rsidRDefault="002A6B05" w:rsidP="002A6B05">
      <w:pPr>
        <w:tabs>
          <w:tab w:val="center" w:pos="5400"/>
        </w:tabs>
        <w:suppressAutoHyphens/>
        <w:jc w:val="center"/>
        <w:rPr>
          <w:rFonts w:ascii="Cambria" w:hAnsi="Cambria"/>
          <w:sz w:val="20"/>
          <w:szCs w:val="20"/>
          <w:lang w:val="es-ES"/>
        </w:rPr>
      </w:pPr>
    </w:p>
    <w:p w14:paraId="1406B126" w14:textId="77777777" w:rsidR="002A6B05" w:rsidRPr="00A623AB" w:rsidRDefault="002A6B05" w:rsidP="002A6B05">
      <w:pPr>
        <w:tabs>
          <w:tab w:val="center" w:pos="5400"/>
        </w:tabs>
        <w:suppressAutoHyphens/>
        <w:jc w:val="center"/>
        <w:rPr>
          <w:rFonts w:ascii="Cambria" w:hAnsi="Cambria"/>
          <w:sz w:val="20"/>
          <w:szCs w:val="20"/>
          <w:lang w:val="es-ES"/>
        </w:rPr>
      </w:pPr>
    </w:p>
    <w:p w14:paraId="5FC6BB58" w14:textId="77777777" w:rsidR="002A6B05" w:rsidRPr="00A623AB" w:rsidRDefault="002A6B05" w:rsidP="002A6B05">
      <w:pPr>
        <w:tabs>
          <w:tab w:val="center" w:pos="5400"/>
        </w:tabs>
        <w:suppressAutoHyphens/>
        <w:jc w:val="center"/>
        <w:rPr>
          <w:rFonts w:ascii="Cambria" w:hAnsi="Cambria"/>
          <w:sz w:val="20"/>
          <w:szCs w:val="20"/>
          <w:lang w:val="es-ES"/>
        </w:rPr>
      </w:pPr>
    </w:p>
    <w:p w14:paraId="660E162D" w14:textId="77777777" w:rsidR="002A6B05" w:rsidRPr="00A623AB" w:rsidRDefault="002A6B05" w:rsidP="002A6B05">
      <w:pPr>
        <w:tabs>
          <w:tab w:val="center" w:pos="5400"/>
        </w:tabs>
        <w:suppressAutoHyphens/>
        <w:jc w:val="center"/>
        <w:rPr>
          <w:rFonts w:ascii="Cambria" w:hAnsi="Cambria"/>
          <w:sz w:val="20"/>
          <w:szCs w:val="20"/>
          <w:lang w:val="es-ES"/>
        </w:rPr>
      </w:pPr>
    </w:p>
    <w:p w14:paraId="4575BC2D" w14:textId="77777777" w:rsidR="002A6B05" w:rsidRPr="00A623AB" w:rsidRDefault="002A6B05" w:rsidP="002A6B05">
      <w:pPr>
        <w:tabs>
          <w:tab w:val="center" w:pos="5400"/>
        </w:tabs>
        <w:suppressAutoHyphens/>
        <w:jc w:val="center"/>
        <w:rPr>
          <w:rFonts w:ascii="Cambria" w:hAnsi="Cambria"/>
          <w:sz w:val="20"/>
          <w:szCs w:val="20"/>
          <w:lang w:val="es-ES"/>
        </w:rPr>
      </w:pPr>
    </w:p>
    <w:p w14:paraId="50C0DF8A" w14:textId="77777777" w:rsidR="002A6B05" w:rsidRPr="00A623AB" w:rsidRDefault="002A6B05" w:rsidP="002A6B05">
      <w:pPr>
        <w:tabs>
          <w:tab w:val="center" w:pos="5400"/>
        </w:tabs>
        <w:suppressAutoHyphens/>
        <w:jc w:val="center"/>
        <w:rPr>
          <w:rFonts w:ascii="Cambria" w:hAnsi="Cambria"/>
          <w:sz w:val="20"/>
          <w:szCs w:val="20"/>
          <w:lang w:val="es-ES"/>
        </w:rPr>
      </w:pPr>
    </w:p>
    <w:p w14:paraId="124C9F21" w14:textId="77777777" w:rsidR="002A6B05" w:rsidRPr="00A623AB" w:rsidRDefault="002A6B05" w:rsidP="002A6B05">
      <w:pPr>
        <w:tabs>
          <w:tab w:val="center" w:pos="5400"/>
        </w:tabs>
        <w:suppressAutoHyphens/>
        <w:jc w:val="center"/>
        <w:rPr>
          <w:rFonts w:ascii="Cambria" w:hAnsi="Cambria"/>
          <w:sz w:val="20"/>
          <w:szCs w:val="20"/>
          <w:lang w:val="es-ES"/>
        </w:rPr>
      </w:pPr>
    </w:p>
    <w:p w14:paraId="20818158" w14:textId="77777777" w:rsidR="002A6B05" w:rsidRPr="00A623AB" w:rsidRDefault="002A6B05" w:rsidP="002A6B05">
      <w:pPr>
        <w:tabs>
          <w:tab w:val="center" w:pos="5400"/>
        </w:tabs>
        <w:suppressAutoHyphens/>
        <w:jc w:val="center"/>
        <w:rPr>
          <w:rFonts w:ascii="Cambria" w:hAnsi="Cambria"/>
          <w:sz w:val="20"/>
          <w:szCs w:val="20"/>
          <w:lang w:val="es-ES"/>
        </w:rPr>
      </w:pPr>
    </w:p>
    <w:p w14:paraId="234BC3F8" w14:textId="77777777" w:rsidR="002A6B05" w:rsidRPr="00A623AB" w:rsidRDefault="002A6B05" w:rsidP="002A6B05">
      <w:pPr>
        <w:tabs>
          <w:tab w:val="center" w:pos="5400"/>
        </w:tabs>
        <w:suppressAutoHyphens/>
        <w:jc w:val="center"/>
        <w:rPr>
          <w:rFonts w:ascii="Cambria" w:hAnsi="Cambria"/>
          <w:sz w:val="20"/>
          <w:szCs w:val="20"/>
          <w:lang w:val="es-ES"/>
        </w:rPr>
      </w:pPr>
    </w:p>
    <w:p w14:paraId="2CA9C102" w14:textId="77777777" w:rsidR="002A6B05" w:rsidRPr="00A623AB" w:rsidRDefault="002A6B05" w:rsidP="002A6B05">
      <w:pPr>
        <w:tabs>
          <w:tab w:val="center" w:pos="5400"/>
        </w:tabs>
        <w:suppressAutoHyphens/>
        <w:jc w:val="center"/>
        <w:rPr>
          <w:rFonts w:ascii="Cambria" w:hAnsi="Cambria"/>
          <w:sz w:val="20"/>
          <w:szCs w:val="20"/>
          <w:lang w:val="es-ES"/>
        </w:rPr>
      </w:pPr>
    </w:p>
    <w:p w14:paraId="075E413F" w14:textId="77777777" w:rsidR="002A6B05" w:rsidRPr="00A623AB" w:rsidRDefault="002A6B05" w:rsidP="002A6B05">
      <w:pPr>
        <w:tabs>
          <w:tab w:val="center" w:pos="5400"/>
        </w:tabs>
        <w:suppressAutoHyphens/>
        <w:jc w:val="center"/>
        <w:rPr>
          <w:rFonts w:ascii="Cambria" w:hAnsi="Cambria"/>
          <w:sz w:val="20"/>
          <w:szCs w:val="20"/>
          <w:lang w:val="es-ES"/>
        </w:rPr>
      </w:pPr>
    </w:p>
    <w:p w14:paraId="45F9C75B" w14:textId="77777777" w:rsidR="002A6B05" w:rsidRPr="00A623AB" w:rsidRDefault="002A6B05" w:rsidP="002A6B05">
      <w:pPr>
        <w:tabs>
          <w:tab w:val="center" w:pos="5400"/>
        </w:tabs>
        <w:suppressAutoHyphens/>
        <w:jc w:val="center"/>
        <w:rPr>
          <w:rFonts w:ascii="Cambria" w:hAnsi="Cambria"/>
          <w:sz w:val="20"/>
          <w:szCs w:val="20"/>
          <w:lang w:val="es-ES"/>
        </w:rPr>
      </w:pPr>
    </w:p>
    <w:p w14:paraId="1A61D41D" w14:textId="77777777" w:rsidR="002A6B05" w:rsidRPr="00A623AB" w:rsidRDefault="002A6B05" w:rsidP="002A6B05">
      <w:pPr>
        <w:tabs>
          <w:tab w:val="center" w:pos="5400"/>
        </w:tabs>
        <w:suppressAutoHyphens/>
        <w:jc w:val="center"/>
        <w:rPr>
          <w:rFonts w:ascii="Cambria" w:hAnsi="Cambria"/>
          <w:sz w:val="20"/>
          <w:szCs w:val="20"/>
          <w:lang w:val="es-ES"/>
        </w:rPr>
      </w:pPr>
    </w:p>
    <w:p w14:paraId="36131F26" w14:textId="77777777" w:rsidR="002A6B05" w:rsidRPr="00A623AB" w:rsidRDefault="002A6B05" w:rsidP="002A6B05">
      <w:pPr>
        <w:tabs>
          <w:tab w:val="center" w:pos="5400"/>
        </w:tabs>
        <w:suppressAutoHyphens/>
        <w:jc w:val="center"/>
        <w:rPr>
          <w:rFonts w:ascii="Cambria" w:hAnsi="Cambria"/>
          <w:sz w:val="20"/>
          <w:szCs w:val="20"/>
          <w:lang w:val="es-ES"/>
        </w:rPr>
      </w:pPr>
    </w:p>
    <w:p w14:paraId="169EBAA4" w14:textId="77777777" w:rsidR="002A6B05" w:rsidRPr="00A623AB" w:rsidRDefault="002A6B05" w:rsidP="002A6B05">
      <w:pPr>
        <w:tabs>
          <w:tab w:val="center" w:pos="5400"/>
        </w:tabs>
        <w:suppressAutoHyphens/>
        <w:jc w:val="center"/>
        <w:rPr>
          <w:rFonts w:ascii="Cambria" w:hAnsi="Cambria"/>
          <w:sz w:val="20"/>
          <w:szCs w:val="20"/>
          <w:lang w:val="es-ES"/>
        </w:rPr>
      </w:pPr>
    </w:p>
    <w:p w14:paraId="626AE424" w14:textId="77777777" w:rsidR="002A6B05" w:rsidRPr="00A623AB" w:rsidRDefault="002A6B05" w:rsidP="002A6B05">
      <w:pPr>
        <w:tabs>
          <w:tab w:val="center" w:pos="5400"/>
        </w:tabs>
        <w:suppressAutoHyphens/>
        <w:jc w:val="center"/>
        <w:rPr>
          <w:rFonts w:ascii="Cambria" w:hAnsi="Cambria"/>
          <w:sz w:val="20"/>
          <w:szCs w:val="20"/>
          <w:lang w:val="es-ES"/>
        </w:rPr>
      </w:pPr>
    </w:p>
    <w:p w14:paraId="39BF2C9E" w14:textId="77777777" w:rsidR="002A6B05" w:rsidRPr="00A623AB" w:rsidRDefault="002A6B05" w:rsidP="002A6B05">
      <w:pPr>
        <w:tabs>
          <w:tab w:val="center" w:pos="5400"/>
        </w:tabs>
        <w:suppressAutoHyphens/>
        <w:jc w:val="center"/>
        <w:rPr>
          <w:rFonts w:ascii="Cambria" w:hAnsi="Cambria"/>
          <w:sz w:val="20"/>
          <w:szCs w:val="20"/>
          <w:lang w:val="es-ES"/>
        </w:rPr>
      </w:pPr>
    </w:p>
    <w:p w14:paraId="761F86AE" w14:textId="77777777" w:rsidR="002A6B05" w:rsidRPr="00A623AB" w:rsidRDefault="002A6B05" w:rsidP="002A6B05">
      <w:pPr>
        <w:tabs>
          <w:tab w:val="center" w:pos="5400"/>
        </w:tabs>
        <w:suppressAutoHyphens/>
        <w:jc w:val="center"/>
        <w:rPr>
          <w:rFonts w:ascii="Cambria" w:hAnsi="Cambria"/>
          <w:sz w:val="20"/>
          <w:szCs w:val="20"/>
          <w:lang w:val="es-ES"/>
        </w:rPr>
      </w:pPr>
    </w:p>
    <w:p w14:paraId="327EC6E2" w14:textId="77777777" w:rsidR="002A6B05" w:rsidRPr="00A623AB" w:rsidRDefault="002A6B05" w:rsidP="002A6B05">
      <w:pPr>
        <w:tabs>
          <w:tab w:val="center" w:pos="5400"/>
        </w:tabs>
        <w:suppressAutoHyphens/>
        <w:jc w:val="center"/>
        <w:rPr>
          <w:rFonts w:ascii="Cambria" w:hAnsi="Cambria"/>
          <w:sz w:val="20"/>
          <w:szCs w:val="20"/>
          <w:lang w:val="es-ES"/>
        </w:rPr>
      </w:pPr>
    </w:p>
    <w:p w14:paraId="44A0A7BD" w14:textId="77777777" w:rsidR="002A6B05" w:rsidRPr="00A623AB" w:rsidRDefault="002A6B05" w:rsidP="002A6B05">
      <w:pPr>
        <w:tabs>
          <w:tab w:val="center" w:pos="5400"/>
        </w:tabs>
        <w:suppressAutoHyphens/>
        <w:jc w:val="center"/>
        <w:rPr>
          <w:rFonts w:ascii="Cambria" w:hAnsi="Cambria"/>
          <w:sz w:val="20"/>
          <w:szCs w:val="20"/>
          <w:lang w:val="es-ES"/>
        </w:rPr>
      </w:pPr>
    </w:p>
    <w:p w14:paraId="624FDD1E" w14:textId="77777777" w:rsidR="002A6B05" w:rsidRPr="00A623AB" w:rsidRDefault="002A6B05" w:rsidP="002A6B05">
      <w:pPr>
        <w:tabs>
          <w:tab w:val="center" w:pos="5400"/>
        </w:tabs>
        <w:suppressAutoHyphens/>
        <w:jc w:val="center"/>
        <w:rPr>
          <w:rFonts w:ascii="Cambria" w:hAnsi="Cambria"/>
          <w:sz w:val="20"/>
          <w:szCs w:val="20"/>
          <w:lang w:val="es-ES"/>
        </w:rPr>
      </w:pPr>
    </w:p>
    <w:p w14:paraId="2CE2B179" w14:textId="77777777" w:rsidR="002A6B05" w:rsidRPr="00A623AB" w:rsidRDefault="002A6B05" w:rsidP="002A6B05">
      <w:pPr>
        <w:tabs>
          <w:tab w:val="center" w:pos="5400"/>
        </w:tabs>
        <w:suppressAutoHyphens/>
        <w:jc w:val="center"/>
        <w:rPr>
          <w:rFonts w:ascii="Cambria" w:hAnsi="Cambria"/>
          <w:sz w:val="20"/>
          <w:szCs w:val="20"/>
          <w:lang w:val="es-ES"/>
        </w:rPr>
      </w:pPr>
    </w:p>
    <w:p w14:paraId="0FBF462D" w14:textId="77777777" w:rsidR="002A6B05" w:rsidRPr="00A623AB" w:rsidRDefault="002A6B05" w:rsidP="002A6B05">
      <w:pPr>
        <w:tabs>
          <w:tab w:val="center" w:pos="5400"/>
        </w:tabs>
        <w:suppressAutoHyphens/>
        <w:jc w:val="center"/>
        <w:rPr>
          <w:rFonts w:ascii="Cambria" w:hAnsi="Cambria"/>
          <w:sz w:val="20"/>
          <w:szCs w:val="20"/>
          <w:lang w:val="es-ES"/>
        </w:rPr>
      </w:pPr>
    </w:p>
    <w:p w14:paraId="37F3F04F" w14:textId="77777777" w:rsidR="002A6B05" w:rsidRPr="00A623AB" w:rsidRDefault="002A6B05" w:rsidP="002A6B05">
      <w:pPr>
        <w:tabs>
          <w:tab w:val="center" w:pos="5400"/>
        </w:tabs>
        <w:suppressAutoHyphens/>
        <w:jc w:val="center"/>
        <w:rPr>
          <w:rFonts w:ascii="Cambria" w:hAnsi="Cambria"/>
          <w:sz w:val="20"/>
          <w:szCs w:val="20"/>
          <w:lang w:val="es-ES"/>
        </w:rPr>
      </w:pPr>
    </w:p>
    <w:p w14:paraId="2456D6E0" w14:textId="77777777" w:rsidR="002A6B05" w:rsidRPr="00A623AB" w:rsidRDefault="0066215E" w:rsidP="002A6B05">
      <w:pPr>
        <w:tabs>
          <w:tab w:val="center" w:pos="5400"/>
        </w:tabs>
        <w:suppressAutoHyphens/>
        <w:jc w:val="center"/>
        <w:rPr>
          <w:rFonts w:ascii="Cambria" w:hAnsi="Cambria"/>
          <w:sz w:val="20"/>
          <w:szCs w:val="20"/>
          <w:lang w:val="es-ES"/>
        </w:rPr>
      </w:pPr>
      <w:r w:rsidRPr="00A623AB">
        <w:rPr>
          <w:rFonts w:ascii="Cambria" w:hAnsi="Cambria"/>
          <w:noProof/>
          <w:sz w:val="20"/>
          <w:szCs w:val="20"/>
        </w:rPr>
        <mc:AlternateContent>
          <mc:Choice Requires="wps">
            <w:drawing>
              <wp:anchor distT="0" distB="0" distL="114300" distR="114300" simplePos="0" relativeHeight="251663360" behindDoc="0" locked="0" layoutInCell="1" allowOverlap="1" wp14:anchorId="687F56ED" wp14:editId="7836A1A1">
                <wp:simplePos x="0" y="0"/>
                <wp:positionH relativeFrom="column">
                  <wp:posOffset>1341755</wp:posOffset>
                </wp:positionH>
                <wp:positionV relativeFrom="paragraph">
                  <wp:posOffset>22860</wp:posOffset>
                </wp:positionV>
                <wp:extent cx="4933950" cy="664845"/>
                <wp:effectExtent l="0" t="0" r="0" b="1905"/>
                <wp:wrapNone/>
                <wp:docPr id="7" name="Text Box 7"/>
                <wp:cNvGraphicFramePr/>
                <a:graphic xmlns:a="http://schemas.openxmlformats.org/drawingml/2006/main">
                  <a:graphicData uri="http://schemas.microsoft.com/office/word/2010/wordprocessingShape">
                    <wps:wsp>
                      <wps:cNvSpPr txBox="1"/>
                      <wps:spPr>
                        <a:xfrm>
                          <a:off x="0" y="0"/>
                          <a:ext cx="4933950" cy="6648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DA72066" w14:textId="1EA55B33" w:rsidR="006373C8" w:rsidRPr="00E936C8" w:rsidRDefault="006373C8" w:rsidP="002A6B05">
                            <w:pPr>
                              <w:tabs>
                                <w:tab w:val="center" w:pos="5400"/>
                              </w:tabs>
                              <w:suppressAutoHyphens/>
                              <w:spacing w:before="60"/>
                              <w:rPr>
                                <w:rFonts w:ascii="Cambria" w:hAnsi="Cambria" w:cs="Univers"/>
                                <w:color w:val="0D0D0D" w:themeColor="text1" w:themeTint="F2"/>
                                <w:sz w:val="18"/>
                                <w:szCs w:val="20"/>
                              </w:rPr>
                            </w:pPr>
                            <w:r>
                              <w:rPr>
                                <w:rFonts w:ascii="Cambria" w:eastAsia="Cambria" w:hAnsi="Cambria" w:cs="Cambria"/>
                                <w:color w:val="0D0D0D"/>
                                <w:sz w:val="18"/>
                                <w:szCs w:val="18"/>
                              </w:rPr>
                              <w:t>Approved</w:t>
                            </w:r>
                            <w:r w:rsidR="0028556A">
                              <w:rPr>
                                <w:rFonts w:ascii="Cambria" w:eastAsia="Cambria" w:hAnsi="Cambria" w:cs="Cambria"/>
                                <w:color w:val="0D0D0D"/>
                                <w:sz w:val="18"/>
                                <w:szCs w:val="18"/>
                              </w:rPr>
                              <w:t xml:space="preserve"> electronically</w:t>
                            </w:r>
                            <w:r>
                              <w:rPr>
                                <w:rFonts w:ascii="Cambria" w:eastAsia="Cambria" w:hAnsi="Cambria" w:cs="Cambria"/>
                                <w:color w:val="0D0D0D"/>
                                <w:sz w:val="18"/>
                                <w:szCs w:val="18"/>
                              </w:rPr>
                              <w:t xml:space="preserve"> by the Commission on </w:t>
                            </w:r>
                            <w:r w:rsidR="00783024">
                              <w:rPr>
                                <w:rFonts w:ascii="Cambria" w:eastAsia="Cambria" w:hAnsi="Cambria" w:cs="Cambria"/>
                                <w:color w:val="0D0D0D"/>
                                <w:sz w:val="18"/>
                                <w:szCs w:val="18"/>
                              </w:rPr>
                              <w:t>December</w:t>
                            </w:r>
                            <w:r>
                              <w:rPr>
                                <w:rFonts w:ascii="Cambria" w:eastAsia="Cambria" w:hAnsi="Cambria" w:cs="Cambria"/>
                                <w:color w:val="0D0D0D"/>
                                <w:sz w:val="18"/>
                                <w:szCs w:val="18"/>
                              </w:rPr>
                              <w:t xml:space="preserve"> </w:t>
                            </w:r>
                            <w:r w:rsidR="00823451">
                              <w:rPr>
                                <w:rFonts w:ascii="Cambria" w:eastAsia="Cambria" w:hAnsi="Cambria" w:cs="Cambria"/>
                                <w:color w:val="0D0D0D"/>
                                <w:sz w:val="18"/>
                                <w:szCs w:val="18"/>
                              </w:rPr>
                              <w:t>19</w:t>
                            </w:r>
                            <w:r>
                              <w:rPr>
                                <w:rFonts w:ascii="Cambria" w:eastAsia="Cambria" w:hAnsi="Cambria" w:cs="Cambria"/>
                                <w:color w:val="0D0D0D"/>
                                <w:sz w:val="18"/>
                                <w:szCs w:val="18"/>
                              </w:rPr>
                              <w:t>, 20</w:t>
                            </w:r>
                            <w:r w:rsidR="00783024">
                              <w:rPr>
                                <w:rFonts w:ascii="Cambria" w:eastAsia="Cambria" w:hAnsi="Cambria" w:cs="Cambria"/>
                                <w:color w:val="0D0D0D"/>
                                <w:sz w:val="18"/>
                                <w:szCs w:val="18"/>
                              </w:rPr>
                              <w:t>2</w:t>
                            </w:r>
                            <w:r w:rsidR="0028556A">
                              <w:rPr>
                                <w:rFonts w:ascii="Cambria" w:eastAsia="Cambria" w:hAnsi="Cambria" w:cs="Cambria"/>
                                <w:color w:val="0D0D0D"/>
                                <w:sz w:val="18"/>
                                <w:szCs w:val="18"/>
                              </w:rPr>
                              <w:t>5</w:t>
                            </w:r>
                            <w:r>
                              <w:rPr>
                                <w:rFonts w:ascii="Cambria" w:eastAsia="Cambria" w:hAnsi="Cambria" w:cs="Cambria"/>
                                <w:color w:val="0D0D0D"/>
                                <w:sz w:val="18"/>
                                <w:szCs w:val="18"/>
                              </w:rPr>
                              <w:br/>
                            </w:r>
                          </w:p>
                          <w:p w14:paraId="3F92EA3B" w14:textId="77777777" w:rsidR="006373C8" w:rsidRPr="00E936C8" w:rsidRDefault="006373C8" w:rsidP="002A6B05">
                            <w:pPr>
                              <w:tabs>
                                <w:tab w:val="center" w:pos="5400"/>
                              </w:tabs>
                              <w:suppressAutoHyphens/>
                              <w:spacing w:before="60"/>
                              <w:rPr>
                                <w:rFonts w:ascii="Calibri" w:hAnsi="Calibri"/>
                                <w:color w:val="FFFFFF" w:themeColor="background1"/>
                                <w:spacing w:val="-2"/>
                                <w:sz w:val="16"/>
                              </w:rPr>
                            </w:pP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687F56ED" id="Text Box 7" o:spid="_x0000_s1029" type="#_x0000_t202" style="position:absolute;left:0;text-align:left;margin-left:105.65pt;margin-top:1.8pt;width:388.5pt;height:52.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" filled="f" stroked="f" strokeweight=".5pt">
                <v:textbox>
                  <w:txbxContent>
                    <w:p w14:paraId="6DA72066" w14:textId="1EA55B33" w:rsidR="006373C8" w:rsidRPr="00E936C8" w:rsidRDefault="006373C8" w:rsidP="002A6B05">
                      <w:pPr>
                        <w:tabs>
                          <w:tab w:val="center" w:pos="5400"/>
                        </w:tabs>
                        <w:suppressAutoHyphens/>
                        <w:spacing w:before="60"/>
                        <w:rPr>
                          <w:rFonts w:ascii="Cambria" w:hAnsi="Cambria" w:cs="Univers"/>
                          <w:color w:val="0D0D0D" w:themeColor="text1" w:themeTint="F2"/>
                          <w:sz w:val="18"/>
                          <w:szCs w:val="20"/>
                        </w:rPr>
                      </w:pPr>
                      <w:r>
                        <w:rPr>
                          <w:rFonts w:ascii="Cambria" w:eastAsia="Cambria" w:hAnsi="Cambria" w:cs="Cambria"/>
                          <w:color w:val="0D0D0D"/>
                          <w:sz w:val="18"/>
                          <w:szCs w:val="18"/>
                        </w:rPr>
                        <w:t>Approved</w:t>
                      </w:r>
                      <w:r w:rsidR="0028556A">
                        <w:rPr>
                          <w:rFonts w:ascii="Cambria" w:eastAsia="Cambria" w:hAnsi="Cambria" w:cs="Cambria"/>
                          <w:color w:val="0D0D0D"/>
                          <w:sz w:val="18"/>
                          <w:szCs w:val="18"/>
                        </w:rPr>
                        <w:t xml:space="preserve"> electronically</w:t>
                      </w:r>
                      <w:r>
                        <w:rPr>
                          <w:rFonts w:ascii="Cambria" w:eastAsia="Cambria" w:hAnsi="Cambria" w:cs="Cambria"/>
                          <w:color w:val="0D0D0D"/>
                          <w:sz w:val="18"/>
                          <w:szCs w:val="18"/>
                        </w:rPr>
                        <w:t xml:space="preserve"> by the Commission on </w:t>
                      </w:r>
                      <w:r w:rsidR="00783024">
                        <w:rPr>
                          <w:rFonts w:ascii="Cambria" w:eastAsia="Cambria" w:hAnsi="Cambria" w:cs="Cambria"/>
                          <w:color w:val="0D0D0D"/>
                          <w:sz w:val="18"/>
                          <w:szCs w:val="18"/>
                        </w:rPr>
                        <w:t>December</w:t>
                      </w:r>
                      <w:r>
                        <w:rPr>
                          <w:rFonts w:ascii="Cambria" w:eastAsia="Cambria" w:hAnsi="Cambria" w:cs="Cambria"/>
                          <w:color w:val="0D0D0D"/>
                          <w:sz w:val="18"/>
                          <w:szCs w:val="18"/>
                        </w:rPr>
                        <w:t xml:space="preserve"> </w:t>
                      </w:r>
                      <w:r w:rsidR="00823451">
                        <w:rPr>
                          <w:rFonts w:ascii="Cambria" w:eastAsia="Cambria" w:hAnsi="Cambria" w:cs="Cambria"/>
                          <w:color w:val="0D0D0D"/>
                          <w:sz w:val="18"/>
                          <w:szCs w:val="18"/>
                        </w:rPr>
                        <w:t>19</w:t>
                      </w:r>
                      <w:r>
                        <w:rPr>
                          <w:rFonts w:ascii="Cambria" w:eastAsia="Cambria" w:hAnsi="Cambria" w:cs="Cambria"/>
                          <w:color w:val="0D0D0D"/>
                          <w:sz w:val="18"/>
                          <w:szCs w:val="18"/>
                        </w:rPr>
                        <w:t>, 20</w:t>
                      </w:r>
                      <w:r w:rsidR="00783024">
                        <w:rPr>
                          <w:rFonts w:ascii="Cambria" w:eastAsia="Cambria" w:hAnsi="Cambria" w:cs="Cambria"/>
                          <w:color w:val="0D0D0D"/>
                          <w:sz w:val="18"/>
                          <w:szCs w:val="18"/>
                        </w:rPr>
                        <w:t>2</w:t>
                      </w:r>
                      <w:r w:rsidR="0028556A">
                        <w:rPr>
                          <w:rFonts w:ascii="Cambria" w:eastAsia="Cambria" w:hAnsi="Cambria" w:cs="Cambria"/>
                          <w:color w:val="0D0D0D"/>
                          <w:sz w:val="18"/>
                          <w:szCs w:val="18"/>
                        </w:rPr>
                        <w:t>5</w:t>
                      </w:r>
                      <w:r>
                        <w:rPr>
                          <w:rFonts w:ascii="Cambria" w:eastAsia="Cambria" w:hAnsi="Cambria" w:cs="Cambria"/>
                          <w:color w:val="0D0D0D"/>
                          <w:sz w:val="18"/>
                          <w:szCs w:val="18"/>
                        </w:rPr>
                        <w:br/>
                      </w:r>
                    </w:p>
                    <w:p w14:paraId="3F92EA3B" w14:textId="77777777" w:rsidR="006373C8" w:rsidRPr="00E936C8" w:rsidRDefault="006373C8" w:rsidP="002A6B05">
                      <w:pPr>
                        <w:tabs>
                          <w:tab w:val="center" w:pos="5400"/>
                        </w:tabs>
                        <w:suppressAutoHyphens/>
                        <w:spacing w:before="60"/>
                        <w:rPr>
                          <w:rFonts w:ascii="Calibri" w:hAnsi="Calibri"/>
                          <w:color w:val="FFFFFF" w:themeColor="background1"/>
                          <w:spacing w:val="-2"/>
                          <w:sz w:val="16"/>
                        </w:rPr>
                      </w:pPr>
                    </w:p>
                  </w:txbxContent>
                </v:textbox>
              </v:shape>
            </w:pict>
          </mc:Fallback>
        </mc:AlternateContent>
      </w:r>
    </w:p>
    <w:p w14:paraId="327E107D" w14:textId="77777777" w:rsidR="002A6B05" w:rsidRPr="00A623AB" w:rsidRDefault="002A6B05" w:rsidP="002A6B05">
      <w:pPr>
        <w:tabs>
          <w:tab w:val="center" w:pos="5400"/>
        </w:tabs>
        <w:suppressAutoHyphens/>
        <w:jc w:val="center"/>
        <w:rPr>
          <w:rFonts w:ascii="Cambria" w:hAnsi="Cambria"/>
          <w:sz w:val="20"/>
          <w:szCs w:val="20"/>
          <w:lang w:val="es-ES"/>
        </w:rPr>
      </w:pPr>
    </w:p>
    <w:p w14:paraId="294B5F55" w14:textId="77777777" w:rsidR="002A6B05" w:rsidRPr="00A623AB" w:rsidRDefault="002A6B05" w:rsidP="002A6B05">
      <w:pPr>
        <w:tabs>
          <w:tab w:val="center" w:pos="5400"/>
        </w:tabs>
        <w:suppressAutoHyphens/>
        <w:jc w:val="center"/>
        <w:rPr>
          <w:rFonts w:ascii="Cambria" w:hAnsi="Cambria"/>
          <w:sz w:val="20"/>
          <w:szCs w:val="20"/>
          <w:lang w:val="es-ES"/>
        </w:rPr>
      </w:pPr>
    </w:p>
    <w:p w14:paraId="4B950423" w14:textId="77777777" w:rsidR="002A6B05" w:rsidRPr="00A623AB" w:rsidRDefault="002A6B05" w:rsidP="002A6B05">
      <w:pPr>
        <w:tabs>
          <w:tab w:val="center" w:pos="5400"/>
        </w:tabs>
        <w:suppressAutoHyphens/>
        <w:jc w:val="center"/>
        <w:rPr>
          <w:rFonts w:ascii="Cambria" w:hAnsi="Cambria"/>
          <w:sz w:val="20"/>
          <w:szCs w:val="20"/>
          <w:lang w:val="es-ES"/>
        </w:rPr>
      </w:pPr>
    </w:p>
    <w:p w14:paraId="2ECC9EC3" w14:textId="77777777" w:rsidR="002A6B05" w:rsidRPr="00A623AB" w:rsidRDefault="002A6B05" w:rsidP="002A6B05">
      <w:pPr>
        <w:tabs>
          <w:tab w:val="center" w:pos="5400"/>
        </w:tabs>
        <w:suppressAutoHyphens/>
        <w:jc w:val="center"/>
        <w:rPr>
          <w:rFonts w:ascii="Cambria" w:hAnsi="Cambria"/>
          <w:sz w:val="20"/>
          <w:szCs w:val="20"/>
          <w:lang w:val="es-ES"/>
        </w:rPr>
      </w:pPr>
    </w:p>
    <w:p w14:paraId="7AF375D4" w14:textId="77777777" w:rsidR="002A6B05" w:rsidRPr="00A623AB" w:rsidRDefault="0066215E" w:rsidP="002A6B05">
      <w:pPr>
        <w:tabs>
          <w:tab w:val="center" w:pos="5400"/>
        </w:tabs>
        <w:suppressAutoHyphens/>
        <w:jc w:val="center"/>
        <w:rPr>
          <w:rFonts w:ascii="Cambria" w:hAnsi="Cambria"/>
          <w:sz w:val="20"/>
          <w:szCs w:val="20"/>
          <w:lang w:val="es-ES"/>
        </w:rPr>
      </w:pPr>
      <w:r w:rsidRPr="00A623AB">
        <w:rPr>
          <w:rFonts w:ascii="Cambria" w:hAnsi="Cambria"/>
          <w:noProof/>
          <w:sz w:val="20"/>
          <w:szCs w:val="20"/>
        </w:rPr>
        <mc:AlternateContent>
          <mc:Choice Requires="wps">
            <w:drawing>
              <wp:anchor distT="0" distB="0" distL="114300" distR="114300" simplePos="0" relativeHeight="251669504" behindDoc="0" locked="0" layoutInCell="1" allowOverlap="1" wp14:anchorId="62E38E07" wp14:editId="4ECC9C27">
                <wp:simplePos x="0" y="0"/>
                <wp:positionH relativeFrom="column">
                  <wp:posOffset>1333500</wp:posOffset>
                </wp:positionH>
                <wp:positionV relativeFrom="paragraph">
                  <wp:posOffset>5715</wp:posOffset>
                </wp:positionV>
                <wp:extent cx="4943475" cy="657225"/>
                <wp:effectExtent l="0" t="0" r="0" b="0"/>
                <wp:wrapNone/>
                <wp:docPr id="10" name="Text Box 10"/>
                <wp:cNvGraphicFramePr/>
                <a:graphic xmlns:a="http://schemas.openxmlformats.org/drawingml/2006/main">
                  <a:graphicData uri="http://schemas.microsoft.com/office/word/2010/wordprocessingShape">
                    <wps:wsp>
                      <wps:cNvSpPr txBox="1"/>
                      <wps:spPr>
                        <a:xfrm>
                          <a:off x="0" y="0"/>
                          <a:ext cx="4943475" cy="657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234CC46" w14:textId="50773F38" w:rsidR="006373C8" w:rsidRPr="006E6974" w:rsidRDefault="006373C8" w:rsidP="002A6B05">
                            <w:pPr>
                              <w:spacing w:line="276" w:lineRule="auto"/>
                              <w:rPr>
                                <w:rFonts w:ascii="Cambria" w:hAnsi="Cambria"/>
                                <w:color w:val="595959" w:themeColor="text1" w:themeTint="A6"/>
                                <w:sz w:val="18"/>
                                <w:szCs w:val="18"/>
                              </w:rPr>
                            </w:pPr>
                            <w:r>
                              <w:rPr>
                                <w:rFonts w:ascii="Cambria" w:eastAsia="Cambria" w:hAnsi="Cambria" w:cs="Cambria"/>
                                <w:b/>
                                <w:bCs/>
                                <w:color w:val="595959"/>
                                <w:sz w:val="18"/>
                                <w:szCs w:val="18"/>
                              </w:rPr>
                              <w:t>Cite as:</w:t>
                            </w:r>
                            <w:r>
                              <w:rPr>
                                <w:rFonts w:ascii="Cambria" w:eastAsia="Cambria" w:hAnsi="Cambria" w:cs="Cambria"/>
                                <w:color w:val="595959"/>
                                <w:sz w:val="18"/>
                                <w:szCs w:val="18"/>
                              </w:rPr>
                              <w:t xml:space="preserve"> IACHR, Report No. </w:t>
                            </w:r>
                            <w:r w:rsidR="00823451">
                              <w:rPr>
                                <w:rFonts w:ascii="Cambria" w:eastAsia="Cambria" w:hAnsi="Cambria" w:cs="Cambria"/>
                                <w:color w:val="595959"/>
                                <w:sz w:val="18"/>
                                <w:szCs w:val="18"/>
                              </w:rPr>
                              <w:t>288</w:t>
                            </w:r>
                            <w:r>
                              <w:rPr>
                                <w:rFonts w:ascii="Cambria" w:eastAsia="Cambria" w:hAnsi="Cambria" w:cs="Cambria"/>
                                <w:color w:val="595959"/>
                                <w:sz w:val="18"/>
                                <w:szCs w:val="18"/>
                              </w:rPr>
                              <w:t>/</w:t>
                            </w:r>
                            <w:r w:rsidR="00783024">
                              <w:rPr>
                                <w:rFonts w:ascii="Cambria" w:eastAsia="Cambria" w:hAnsi="Cambria" w:cs="Cambria"/>
                                <w:color w:val="595959"/>
                                <w:sz w:val="18"/>
                                <w:szCs w:val="18"/>
                              </w:rPr>
                              <w:t>2</w:t>
                            </w:r>
                            <w:r w:rsidR="0028556A">
                              <w:rPr>
                                <w:rFonts w:ascii="Cambria" w:eastAsia="Cambria" w:hAnsi="Cambria" w:cs="Cambria"/>
                                <w:color w:val="595959"/>
                                <w:sz w:val="18"/>
                                <w:szCs w:val="18"/>
                              </w:rPr>
                              <w:t>5</w:t>
                            </w:r>
                            <w:r>
                              <w:rPr>
                                <w:rFonts w:ascii="Cambria" w:eastAsia="Cambria" w:hAnsi="Cambria" w:cs="Cambria"/>
                                <w:color w:val="595959"/>
                                <w:sz w:val="18"/>
                                <w:szCs w:val="18"/>
                              </w:rPr>
                              <w:t>. Case 13</w:t>
                            </w:r>
                            <w:r w:rsidR="00783024">
                              <w:rPr>
                                <w:rFonts w:ascii="Cambria" w:eastAsia="Cambria" w:hAnsi="Cambria" w:cs="Cambria"/>
                                <w:color w:val="595959"/>
                                <w:sz w:val="18"/>
                                <w:szCs w:val="18"/>
                              </w:rPr>
                              <w:t>.</w:t>
                            </w:r>
                            <w:r>
                              <w:rPr>
                                <w:rFonts w:ascii="Cambria" w:eastAsia="Cambria" w:hAnsi="Cambria" w:cs="Cambria"/>
                                <w:color w:val="595959"/>
                                <w:sz w:val="18"/>
                                <w:szCs w:val="18"/>
                              </w:rPr>
                              <w:t>866. Merits</w:t>
                            </w:r>
                            <w:r w:rsidR="0028556A">
                              <w:rPr>
                                <w:rFonts w:ascii="Cambria" w:eastAsia="Cambria" w:hAnsi="Cambria" w:cs="Cambria"/>
                                <w:color w:val="595959"/>
                                <w:sz w:val="18"/>
                                <w:szCs w:val="18"/>
                              </w:rPr>
                              <w:t xml:space="preserve"> </w:t>
                            </w:r>
                            <w:r w:rsidR="0028556A" w:rsidRPr="00823451">
                              <w:rPr>
                                <w:rFonts w:ascii="Cambria" w:eastAsia="Cambria" w:hAnsi="Cambria" w:cs="Cambria"/>
                                <w:color w:val="595959"/>
                                <w:sz w:val="18"/>
                                <w:szCs w:val="18"/>
                              </w:rPr>
                              <w:t>(</w:t>
                            </w:r>
                            <w:r w:rsidR="00823451" w:rsidRPr="00823451">
                              <w:rPr>
                                <w:rFonts w:ascii="Cambria" w:eastAsia="Cambria" w:hAnsi="Cambria" w:cs="Cambria"/>
                                <w:color w:val="595959"/>
                                <w:sz w:val="18"/>
                                <w:szCs w:val="18"/>
                              </w:rPr>
                              <w:t>Publicaction</w:t>
                            </w:r>
                            <w:r w:rsidR="0028556A" w:rsidRPr="00823451">
                              <w:rPr>
                                <w:rFonts w:ascii="Cambria" w:eastAsia="Cambria" w:hAnsi="Cambria" w:cs="Cambria"/>
                                <w:color w:val="595959"/>
                                <w:sz w:val="18"/>
                                <w:szCs w:val="18"/>
                              </w:rPr>
                              <w:t>)</w:t>
                            </w:r>
                            <w:r>
                              <w:rPr>
                                <w:rFonts w:ascii="Cambria" w:eastAsia="Cambria" w:hAnsi="Cambria" w:cs="Cambria"/>
                                <w:color w:val="595959"/>
                                <w:sz w:val="18"/>
                                <w:szCs w:val="18"/>
                              </w:rPr>
                              <w:t xml:space="preserve">. Sarah Lyn Langton and family. Venezuela. </w:t>
                            </w:r>
                            <w:r w:rsidR="00783024">
                              <w:rPr>
                                <w:rFonts w:ascii="Cambria" w:eastAsia="Cambria" w:hAnsi="Cambria" w:cs="Cambria"/>
                                <w:color w:val="595959"/>
                                <w:sz w:val="18"/>
                                <w:szCs w:val="18"/>
                              </w:rPr>
                              <w:t>De</w:t>
                            </w:r>
                            <w:r w:rsidR="00934D6C">
                              <w:rPr>
                                <w:rFonts w:ascii="Cambria" w:eastAsia="Cambria" w:hAnsi="Cambria" w:cs="Cambria"/>
                                <w:color w:val="595959"/>
                                <w:sz w:val="18"/>
                                <w:szCs w:val="18"/>
                              </w:rPr>
                              <w:t>cember</w:t>
                            </w:r>
                            <w:r>
                              <w:rPr>
                                <w:rFonts w:ascii="Cambria" w:eastAsia="Cambria" w:hAnsi="Cambria" w:cs="Cambria"/>
                                <w:color w:val="595959"/>
                                <w:sz w:val="18"/>
                                <w:szCs w:val="18"/>
                              </w:rPr>
                              <w:t xml:space="preserve"> </w:t>
                            </w:r>
                            <w:r w:rsidR="00823451">
                              <w:rPr>
                                <w:rFonts w:ascii="Cambria" w:eastAsia="Cambria" w:hAnsi="Cambria" w:cs="Cambria"/>
                                <w:color w:val="595959"/>
                                <w:sz w:val="18"/>
                                <w:szCs w:val="18"/>
                              </w:rPr>
                              <w:t>19</w:t>
                            </w:r>
                            <w:r>
                              <w:rPr>
                                <w:rFonts w:ascii="Cambria" w:eastAsia="Cambria" w:hAnsi="Cambria" w:cs="Cambria"/>
                                <w:color w:val="595959"/>
                                <w:sz w:val="18"/>
                                <w:szCs w:val="18"/>
                              </w:rPr>
                              <w:t>, 20</w:t>
                            </w:r>
                            <w:r w:rsidR="00934D6C">
                              <w:rPr>
                                <w:rFonts w:ascii="Cambria" w:eastAsia="Cambria" w:hAnsi="Cambria" w:cs="Cambria"/>
                                <w:color w:val="595959"/>
                                <w:sz w:val="18"/>
                                <w:szCs w:val="18"/>
                              </w:rPr>
                              <w:t>2</w:t>
                            </w:r>
                            <w:r w:rsidR="0028556A">
                              <w:rPr>
                                <w:rFonts w:ascii="Cambria" w:eastAsia="Cambria" w:hAnsi="Cambria" w:cs="Cambria"/>
                                <w:color w:val="595959"/>
                                <w:sz w:val="18"/>
                                <w:szCs w:val="18"/>
                              </w:rPr>
                              <w:t>5</w:t>
                            </w:r>
                            <w:r>
                              <w:rPr>
                                <w:rFonts w:ascii="Cambria" w:eastAsia="Cambria" w:hAnsi="Cambria" w:cs="Cambria"/>
                                <w:color w:val="595959"/>
                                <w:sz w:val="18"/>
                                <w:szCs w:val="18"/>
                              </w:rPr>
                              <w:t>.</w:t>
                            </w:r>
                          </w:p>
                          <w:p w14:paraId="5E8D6C87" w14:textId="77777777" w:rsidR="006373C8" w:rsidRPr="009D70A3" w:rsidRDefault="006373C8" w:rsidP="002A6B05">
                            <w:pPr>
                              <w:spacing w:line="276" w:lineRule="auto"/>
                              <w:rPr>
                                <w:rFonts w:ascii="Cambria" w:hAnsi="Cambria"/>
                                <w:color w:val="595959" w:themeColor="text1" w:themeTint="A6"/>
                                <w:sz w:val="18"/>
                                <w:szCs w:val="18"/>
                                <w:lang w:val="es-VE"/>
                              </w:rPr>
                            </w:pP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62E38E07" id="Text Box 10" o:spid="_x0000_s1030" type="#_x0000_t202" style="position:absolute;left:0;text-align:left;margin-left:105pt;margin-top:.45pt;width:389.25pt;height:51.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" filled="f" stroked="f" strokeweight=".5pt">
                <v:textbox>
                  <w:txbxContent>
                    <w:p w14:paraId="2234CC46" w14:textId="50773F38" w:rsidR="006373C8" w:rsidRPr="006E6974" w:rsidRDefault="006373C8" w:rsidP="002A6B05">
                      <w:pPr>
                        <w:spacing w:line="276" w:lineRule="auto"/>
                        <w:rPr>
                          <w:rFonts w:ascii="Cambria" w:hAnsi="Cambria"/>
                          <w:color w:val="595959" w:themeColor="text1" w:themeTint="A6"/>
                          <w:sz w:val="18"/>
                          <w:szCs w:val="18"/>
                        </w:rPr>
                      </w:pPr>
                      <w:r>
                        <w:rPr>
                          <w:rFonts w:ascii="Cambria" w:eastAsia="Cambria" w:hAnsi="Cambria" w:cs="Cambria"/>
                          <w:b/>
                          <w:bCs/>
                          <w:color w:val="595959"/>
                          <w:sz w:val="18"/>
                          <w:szCs w:val="18"/>
                        </w:rPr>
                        <w:t>Cite as:</w:t>
                      </w:r>
                      <w:r>
                        <w:rPr>
                          <w:rFonts w:ascii="Cambria" w:eastAsia="Cambria" w:hAnsi="Cambria" w:cs="Cambria"/>
                          <w:color w:val="595959"/>
                          <w:sz w:val="18"/>
                          <w:szCs w:val="18"/>
                        </w:rPr>
                        <w:t xml:space="preserve"> IACHR, Report No. </w:t>
                      </w:r>
                      <w:r w:rsidR="00823451">
                        <w:rPr>
                          <w:rFonts w:ascii="Cambria" w:eastAsia="Cambria" w:hAnsi="Cambria" w:cs="Cambria"/>
                          <w:color w:val="595959"/>
                          <w:sz w:val="18"/>
                          <w:szCs w:val="18"/>
                        </w:rPr>
                        <w:t>288</w:t>
                      </w:r>
                      <w:r>
                        <w:rPr>
                          <w:rFonts w:ascii="Cambria" w:eastAsia="Cambria" w:hAnsi="Cambria" w:cs="Cambria"/>
                          <w:color w:val="595959"/>
                          <w:sz w:val="18"/>
                          <w:szCs w:val="18"/>
                        </w:rPr>
                        <w:t>/</w:t>
                      </w:r>
                      <w:r w:rsidR="00783024">
                        <w:rPr>
                          <w:rFonts w:ascii="Cambria" w:eastAsia="Cambria" w:hAnsi="Cambria" w:cs="Cambria"/>
                          <w:color w:val="595959"/>
                          <w:sz w:val="18"/>
                          <w:szCs w:val="18"/>
                        </w:rPr>
                        <w:t>2</w:t>
                      </w:r>
                      <w:r w:rsidR="0028556A">
                        <w:rPr>
                          <w:rFonts w:ascii="Cambria" w:eastAsia="Cambria" w:hAnsi="Cambria" w:cs="Cambria"/>
                          <w:color w:val="595959"/>
                          <w:sz w:val="18"/>
                          <w:szCs w:val="18"/>
                        </w:rPr>
                        <w:t>5</w:t>
                      </w:r>
                      <w:r>
                        <w:rPr>
                          <w:rFonts w:ascii="Cambria" w:eastAsia="Cambria" w:hAnsi="Cambria" w:cs="Cambria"/>
                          <w:color w:val="595959"/>
                          <w:sz w:val="18"/>
                          <w:szCs w:val="18"/>
                        </w:rPr>
                        <w:t>. Case 13</w:t>
                      </w:r>
                      <w:r w:rsidR="00783024">
                        <w:rPr>
                          <w:rFonts w:ascii="Cambria" w:eastAsia="Cambria" w:hAnsi="Cambria" w:cs="Cambria"/>
                          <w:color w:val="595959"/>
                          <w:sz w:val="18"/>
                          <w:szCs w:val="18"/>
                        </w:rPr>
                        <w:t>.</w:t>
                      </w:r>
                      <w:r>
                        <w:rPr>
                          <w:rFonts w:ascii="Cambria" w:eastAsia="Cambria" w:hAnsi="Cambria" w:cs="Cambria"/>
                          <w:color w:val="595959"/>
                          <w:sz w:val="18"/>
                          <w:szCs w:val="18"/>
                        </w:rPr>
                        <w:t>866. Merits</w:t>
                      </w:r>
                      <w:r w:rsidR="0028556A">
                        <w:rPr>
                          <w:rFonts w:ascii="Cambria" w:eastAsia="Cambria" w:hAnsi="Cambria" w:cs="Cambria"/>
                          <w:color w:val="595959"/>
                          <w:sz w:val="18"/>
                          <w:szCs w:val="18"/>
                        </w:rPr>
                        <w:t xml:space="preserve"> </w:t>
                      </w:r>
                      <w:r w:rsidR="0028556A" w:rsidRPr="00823451">
                        <w:rPr>
                          <w:rFonts w:ascii="Cambria" w:eastAsia="Cambria" w:hAnsi="Cambria" w:cs="Cambria"/>
                          <w:color w:val="595959"/>
                          <w:sz w:val="18"/>
                          <w:szCs w:val="18"/>
                        </w:rPr>
                        <w:t>(</w:t>
                      </w:r>
                      <w:r w:rsidR="00823451" w:rsidRPr="00823451">
                        <w:rPr>
                          <w:rFonts w:ascii="Cambria" w:eastAsia="Cambria" w:hAnsi="Cambria" w:cs="Cambria"/>
                          <w:color w:val="595959"/>
                          <w:sz w:val="18"/>
                          <w:szCs w:val="18"/>
                        </w:rPr>
                        <w:t>Publicaction</w:t>
                      </w:r>
                      <w:r w:rsidR="0028556A" w:rsidRPr="00823451">
                        <w:rPr>
                          <w:rFonts w:ascii="Cambria" w:eastAsia="Cambria" w:hAnsi="Cambria" w:cs="Cambria"/>
                          <w:color w:val="595959"/>
                          <w:sz w:val="18"/>
                          <w:szCs w:val="18"/>
                        </w:rPr>
                        <w:t>)</w:t>
                      </w:r>
                      <w:r>
                        <w:rPr>
                          <w:rFonts w:ascii="Cambria" w:eastAsia="Cambria" w:hAnsi="Cambria" w:cs="Cambria"/>
                          <w:color w:val="595959"/>
                          <w:sz w:val="18"/>
                          <w:szCs w:val="18"/>
                        </w:rPr>
                        <w:t xml:space="preserve">. Sarah Lyn Langton and family. Venezuela. </w:t>
                      </w:r>
                      <w:r w:rsidR="00783024">
                        <w:rPr>
                          <w:rFonts w:ascii="Cambria" w:eastAsia="Cambria" w:hAnsi="Cambria" w:cs="Cambria"/>
                          <w:color w:val="595959"/>
                          <w:sz w:val="18"/>
                          <w:szCs w:val="18"/>
                        </w:rPr>
                        <w:t>De</w:t>
                      </w:r>
                      <w:r w:rsidR="00934D6C">
                        <w:rPr>
                          <w:rFonts w:ascii="Cambria" w:eastAsia="Cambria" w:hAnsi="Cambria" w:cs="Cambria"/>
                          <w:color w:val="595959"/>
                          <w:sz w:val="18"/>
                          <w:szCs w:val="18"/>
                        </w:rPr>
                        <w:t>cember</w:t>
                      </w:r>
                      <w:r>
                        <w:rPr>
                          <w:rFonts w:ascii="Cambria" w:eastAsia="Cambria" w:hAnsi="Cambria" w:cs="Cambria"/>
                          <w:color w:val="595959"/>
                          <w:sz w:val="18"/>
                          <w:szCs w:val="18"/>
                        </w:rPr>
                        <w:t xml:space="preserve"> </w:t>
                      </w:r>
                      <w:r w:rsidR="00823451">
                        <w:rPr>
                          <w:rFonts w:ascii="Cambria" w:eastAsia="Cambria" w:hAnsi="Cambria" w:cs="Cambria"/>
                          <w:color w:val="595959"/>
                          <w:sz w:val="18"/>
                          <w:szCs w:val="18"/>
                        </w:rPr>
                        <w:t>19</w:t>
                      </w:r>
                      <w:r>
                        <w:rPr>
                          <w:rFonts w:ascii="Cambria" w:eastAsia="Cambria" w:hAnsi="Cambria" w:cs="Cambria"/>
                          <w:color w:val="595959"/>
                          <w:sz w:val="18"/>
                          <w:szCs w:val="18"/>
                        </w:rPr>
                        <w:t>, 20</w:t>
                      </w:r>
                      <w:r w:rsidR="00934D6C">
                        <w:rPr>
                          <w:rFonts w:ascii="Cambria" w:eastAsia="Cambria" w:hAnsi="Cambria" w:cs="Cambria"/>
                          <w:color w:val="595959"/>
                          <w:sz w:val="18"/>
                          <w:szCs w:val="18"/>
                        </w:rPr>
                        <w:t>2</w:t>
                      </w:r>
                      <w:r w:rsidR="0028556A">
                        <w:rPr>
                          <w:rFonts w:ascii="Cambria" w:eastAsia="Cambria" w:hAnsi="Cambria" w:cs="Cambria"/>
                          <w:color w:val="595959"/>
                          <w:sz w:val="18"/>
                          <w:szCs w:val="18"/>
                        </w:rPr>
                        <w:t>5</w:t>
                      </w:r>
                      <w:r>
                        <w:rPr>
                          <w:rFonts w:ascii="Cambria" w:eastAsia="Cambria" w:hAnsi="Cambria" w:cs="Cambria"/>
                          <w:color w:val="595959"/>
                          <w:sz w:val="18"/>
                          <w:szCs w:val="18"/>
                        </w:rPr>
                        <w:t>.</w:t>
                      </w:r>
                    </w:p>
                    <w:p w14:paraId="5E8D6C87" w14:textId="77777777" w:rsidR="006373C8" w:rsidRPr="009D70A3" w:rsidRDefault="006373C8" w:rsidP="002A6B05">
                      <w:pPr>
                        <w:spacing w:line="276" w:lineRule="auto"/>
                        <w:rPr>
                          <w:rFonts w:ascii="Cambria" w:hAnsi="Cambria"/>
                          <w:color w:val="595959" w:themeColor="text1" w:themeTint="A6"/>
                          <w:sz w:val="18"/>
                          <w:szCs w:val="18"/>
                          <w:lang w:val="es-VE"/>
                        </w:rPr>
                      </w:pPr>
                    </w:p>
                  </w:txbxContent>
                </v:textbox>
              </v:shape>
            </w:pict>
          </mc:Fallback>
        </mc:AlternateContent>
      </w:r>
    </w:p>
    <w:p w14:paraId="68FC41CC" w14:textId="77777777" w:rsidR="002A6B05" w:rsidRPr="00A623AB" w:rsidRDefault="002A6B05" w:rsidP="002A6B05">
      <w:pPr>
        <w:tabs>
          <w:tab w:val="center" w:pos="5400"/>
        </w:tabs>
        <w:suppressAutoHyphens/>
        <w:jc w:val="center"/>
        <w:rPr>
          <w:rFonts w:ascii="Cambria" w:hAnsi="Cambria"/>
          <w:sz w:val="20"/>
          <w:szCs w:val="20"/>
          <w:lang w:val="es-ES"/>
        </w:rPr>
      </w:pPr>
    </w:p>
    <w:p w14:paraId="30750BA6" w14:textId="77777777" w:rsidR="002A6B05" w:rsidRPr="00A623AB" w:rsidRDefault="0066215E" w:rsidP="002A6B05">
      <w:pPr>
        <w:tabs>
          <w:tab w:val="center" w:pos="5400"/>
        </w:tabs>
        <w:suppressAutoHyphens/>
        <w:jc w:val="center"/>
        <w:rPr>
          <w:rFonts w:ascii="Cambria" w:hAnsi="Cambria"/>
          <w:b/>
          <w:sz w:val="20"/>
          <w:szCs w:val="20"/>
          <w:lang w:val="es-ES"/>
        </w:rPr>
      </w:pPr>
      <w:r w:rsidRPr="00A623AB">
        <w:rPr>
          <w:rFonts w:ascii="Cambria" w:hAnsi="Cambria"/>
          <w:noProof/>
          <w:sz w:val="20"/>
          <w:szCs w:val="20"/>
        </w:rPr>
        <mc:AlternateContent>
          <mc:Choice Requires="wps">
            <w:drawing>
              <wp:anchor distT="0" distB="0" distL="114300" distR="114300" simplePos="0" relativeHeight="251670528" behindDoc="0" locked="0" layoutInCell="1" allowOverlap="1" wp14:anchorId="1A8F5671" wp14:editId="07F3F177">
                <wp:simplePos x="0" y="0"/>
                <wp:positionH relativeFrom="column">
                  <wp:posOffset>1329690</wp:posOffset>
                </wp:positionH>
                <wp:positionV relativeFrom="paragraph">
                  <wp:posOffset>638497</wp:posOffset>
                </wp:positionV>
                <wp:extent cx="4096385" cy="567055"/>
                <wp:effectExtent l="0" t="0" r="0" b="4445"/>
                <wp:wrapNone/>
                <wp:docPr id="9" name="Text Box 9"/>
                <wp:cNvGraphicFramePr/>
                <a:graphic xmlns:a="http://schemas.openxmlformats.org/drawingml/2006/main">
                  <a:graphicData uri="http://schemas.microsoft.com/office/word/2010/wordprocessingShape">
                    <wps:wsp>
                      <wps:cNvSpPr txBox="1"/>
                      <wps:spPr>
                        <a:xfrm>
                          <a:off x="0" y="0"/>
                          <a:ext cx="4096385" cy="5670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92A3D31" w14:textId="77777777" w:rsidR="006373C8" w:rsidRPr="00D72DC6" w:rsidRDefault="006373C8" w:rsidP="002A6B05">
                            <w:pPr>
                              <w:rPr>
                                <w:color w:val="FFFFFF" w:themeColor="background1"/>
                                <w14:textFill>
                                  <w14:noFill/>
                                </w14:textFill>
                              </w:rPr>
                            </w:pPr>
                            <w:r w:rsidRPr="00D72DC6">
                              <w:rPr>
                                <w:noProof/>
                                <w:color w:val="FFFFFF" w:themeColor="background1"/>
                                <w14:textFill>
                                  <w14:noFill/>
                                </w14:textFill>
                              </w:rPr>
                              <w:drawing>
                                <wp:inline distT="0" distB="0" distL="0" distR="0" wp14:anchorId="2ECAADFE" wp14:editId="3081C164">
                                  <wp:extent cx="1371683" cy="349105"/>
                                  <wp:effectExtent l="0" t="0" r="0" b="0"/>
                                  <wp:docPr id="1984759060"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667930" name="Picture 4" descr="C:\Users\mfontana\Documents\Eva Fontana\GRAFICA CIDH\cartas\logos\oea-es.jpg"/>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371683" cy="349105"/>
                                          </a:xfrm>
                                          <a:prstGeom prst="rect">
                                            <a:avLst/>
                                          </a:prstGeom>
                                          <a:noFill/>
                                          <a:ln>
                                            <a:noFill/>
                                          </a:ln>
                                        </pic:spPr>
                                      </pic:pic>
                                    </a:graphicData>
                                  </a:graphic>
                                </wp:inline>
                              </w:drawing>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1A8F5671" id="Text Box 9" o:spid="_x0000_s1031" type="#_x0000_t202" style="position:absolute;left:0;text-align:left;margin-left:104.7pt;margin-top:50.3pt;width:322.55pt;height:44.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" fillcolor="white [3201]" stroked="f" strokeweight=".5pt">
                <v:textbox>
                  <w:txbxContent>
                    <w:p w14:paraId="192A3D31" w14:textId="77777777" w:rsidR="006373C8" w:rsidRPr="00D72DC6" w:rsidRDefault="006373C8" w:rsidP="002A6B05">
                      <w:pPr>
                        <w:rPr>
                          <w:color w:val="FFFFFF" w:themeColor="background1"/>
                          <w14:textFill>
                            <w14:noFill/>
                          </w14:textFill>
                        </w:rPr>
                      </w:pPr>
                      <w:r w:rsidRPr="00D72DC6">
                        <w:rPr>
                          <w:noProof/>
                          <w:color w:val="FFFFFF" w:themeColor="background1"/>
                          <w14:textFill>
                            <w14:noFill/>
                          </w14:textFill>
                        </w:rPr>
                        <w:drawing>
                          <wp:inline distT="0" distB="0" distL="0" distR="0" wp14:anchorId="2ECAADFE" wp14:editId="3081C164">
                            <wp:extent cx="1371683" cy="349105"/>
                            <wp:effectExtent l="0" t="0" r="0" b="0"/>
                            <wp:docPr id="1984759060"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667930" name="Picture 4" descr="C:\Users\mfontana\Documents\Eva Fontana\GRAFICA CIDH\cartas\logos\oea-es.jpg"/>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371683" cy="349105"/>
                                    </a:xfrm>
                                    <a:prstGeom prst="rect">
                                      <a:avLst/>
                                    </a:prstGeom>
                                    <a:noFill/>
                                    <a:ln>
                                      <a:noFill/>
                                    </a:ln>
                                  </pic:spPr>
                                </pic:pic>
                              </a:graphicData>
                            </a:graphic>
                          </wp:inline>
                        </w:drawing>
                      </w:r>
                    </w:p>
                  </w:txbxContent>
                </v:textbox>
              </v:shape>
            </w:pict>
          </mc:Fallback>
        </mc:AlternateContent>
      </w:r>
      <w:r w:rsidRPr="00A623AB">
        <w:rPr>
          <w:rFonts w:ascii="Cambria" w:hAnsi="Cambria"/>
          <w:noProof/>
          <w:sz w:val="20"/>
          <w:szCs w:val="20"/>
        </w:rPr>
        <mc:AlternateContent>
          <mc:Choice Requires="wps">
            <w:drawing>
              <wp:anchor distT="0" distB="0" distL="114300" distR="114300" simplePos="0" relativeHeight="251672576" behindDoc="0" locked="0" layoutInCell="1" allowOverlap="1" wp14:anchorId="34830F7D" wp14:editId="22F5FD29">
                <wp:simplePos x="0" y="0"/>
                <wp:positionH relativeFrom="column">
                  <wp:posOffset>-272225</wp:posOffset>
                </wp:positionH>
                <wp:positionV relativeFrom="paragraph">
                  <wp:posOffset>915035</wp:posOffset>
                </wp:positionV>
                <wp:extent cx="1181100" cy="332740"/>
                <wp:effectExtent l="0" t="0" r="0" b="0"/>
                <wp:wrapNone/>
                <wp:docPr id="4" name="Text Box 4"/>
                <wp:cNvGraphicFramePr/>
                <a:graphic xmlns:a="http://schemas.openxmlformats.org/drawingml/2006/main">
                  <a:graphicData uri="http://schemas.microsoft.com/office/word/2010/wordprocessingShape">
                    <wps:wsp>
                      <wps:cNvSpPr txBox="1"/>
                      <wps:spPr>
                        <a:xfrm>
                          <a:off x="0" y="0"/>
                          <a:ext cx="1181100" cy="3327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E4E63CF" w14:textId="77777777" w:rsidR="006373C8" w:rsidRPr="004B7EB6" w:rsidRDefault="006373C8" w:rsidP="002A6B05">
                            <w:pPr>
                              <w:jc w:val="center"/>
                              <w:rPr>
                                <w:rFonts w:asciiTheme="minorHAnsi" w:hAnsiTheme="minorHAnsi"/>
                                <w:b/>
                                <w:color w:val="FFFFFF" w:themeColor="background1"/>
                              </w:rPr>
                            </w:pPr>
                            <w:r>
                              <w:rPr>
                                <w:rFonts w:ascii="Calibri" w:eastAsia="Calibri" w:hAnsi="Calibri" w:cs="Calibri"/>
                                <w:b/>
                                <w:bCs/>
                                <w:color w:val="FFFFFF"/>
                              </w:rPr>
                              <w:t>www.cidh.org</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34830F7D" id="Text Box 4" o:spid="_x0000_s1032" type="#_x0000_t202" style="position:absolute;left:0;text-align:left;margin-left:-21.45pt;margin-top:72.05pt;width:93pt;height:26.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" filled="f" stroked="f" strokeweight=".5pt">
                <v:textbox>
                  <w:txbxContent>
                    <w:p w14:paraId="5E4E63CF" w14:textId="77777777" w:rsidR="006373C8" w:rsidRPr="004B7EB6" w:rsidRDefault="006373C8" w:rsidP="002A6B05">
                      <w:pPr>
                        <w:jc w:val="center"/>
                        <w:rPr>
                          <w:rFonts w:asciiTheme="minorHAnsi" w:hAnsiTheme="minorHAnsi"/>
                          <w:b/>
                          <w:color w:val="FFFFFF" w:themeColor="background1"/>
                        </w:rPr>
                      </w:pPr>
                      <w:r>
                        <w:rPr>
                          <w:rFonts w:ascii="Calibri" w:eastAsia="Calibri" w:hAnsi="Calibri" w:cs="Calibri"/>
                          <w:b/>
                          <w:bCs/>
                          <w:color w:val="FFFFFF"/>
                        </w:rPr>
                        <w:t>www.cidh.org</w:t>
                      </w:r>
                    </w:p>
                  </w:txbxContent>
                </v:textbox>
              </v:shape>
            </w:pict>
          </mc:Fallback>
        </mc:AlternateContent>
      </w:r>
    </w:p>
    <w:p w14:paraId="154C9F4C" w14:textId="77777777" w:rsidR="002A6B05" w:rsidRPr="00A623AB" w:rsidRDefault="002A6B05" w:rsidP="002A6B05">
      <w:pPr>
        <w:tabs>
          <w:tab w:val="center" w:pos="5400"/>
        </w:tabs>
        <w:suppressAutoHyphens/>
        <w:jc w:val="center"/>
        <w:rPr>
          <w:rFonts w:ascii="Cambria" w:hAnsi="Cambria"/>
          <w:b/>
          <w:sz w:val="18"/>
          <w:szCs w:val="18"/>
          <w:lang w:val="es-ES"/>
        </w:rPr>
      </w:pPr>
    </w:p>
    <w:p w14:paraId="3787DEBB" w14:textId="77777777" w:rsidR="002A6B05" w:rsidRPr="00A623AB" w:rsidRDefault="002A6B05" w:rsidP="002A6B05">
      <w:pPr>
        <w:tabs>
          <w:tab w:val="center" w:pos="5400"/>
        </w:tabs>
        <w:suppressAutoHyphens/>
        <w:spacing w:line="276" w:lineRule="auto"/>
        <w:jc w:val="center"/>
        <w:rPr>
          <w:rFonts w:ascii="Cambria" w:hAnsi="Cambria"/>
          <w:b/>
          <w:sz w:val="18"/>
          <w:szCs w:val="18"/>
          <w:lang w:val="es-ES"/>
        </w:rPr>
      </w:pPr>
    </w:p>
    <w:p w14:paraId="727887A5" w14:textId="77777777" w:rsidR="002A6B05" w:rsidRPr="00A623AB" w:rsidRDefault="002A6B05" w:rsidP="002A6B05">
      <w:pPr>
        <w:tabs>
          <w:tab w:val="center" w:pos="5400"/>
        </w:tabs>
        <w:suppressAutoHyphens/>
        <w:spacing w:line="276" w:lineRule="auto"/>
        <w:jc w:val="center"/>
        <w:rPr>
          <w:rFonts w:ascii="Cambria" w:hAnsi="Cambria"/>
          <w:b/>
          <w:sz w:val="18"/>
          <w:szCs w:val="18"/>
          <w:lang w:val="es-ES"/>
        </w:rPr>
      </w:pPr>
    </w:p>
    <w:p w14:paraId="22D31AAE" w14:textId="77777777" w:rsidR="002A6B05" w:rsidRPr="00A623AB" w:rsidRDefault="002A6B05" w:rsidP="0028556A">
      <w:pPr>
        <w:tabs>
          <w:tab w:val="center" w:pos="5400"/>
        </w:tabs>
        <w:suppressAutoHyphens/>
        <w:spacing w:line="276" w:lineRule="auto"/>
        <w:rPr>
          <w:rFonts w:ascii="Cambria" w:hAnsi="Cambria"/>
          <w:b/>
          <w:sz w:val="18"/>
          <w:szCs w:val="18"/>
          <w:lang w:val="es-ES"/>
        </w:rPr>
      </w:pPr>
    </w:p>
    <w:p w14:paraId="1AFDB200" w14:textId="77777777" w:rsidR="002A6B05" w:rsidRPr="00823451" w:rsidRDefault="0066215E" w:rsidP="002A6B05">
      <w:pPr>
        <w:tabs>
          <w:tab w:val="center" w:pos="5400"/>
        </w:tabs>
        <w:suppressAutoHyphens/>
        <w:jc w:val="center"/>
        <w:rPr>
          <w:rFonts w:ascii="Cambria" w:hAnsi="Cambria"/>
          <w:b/>
        </w:rPr>
      </w:pPr>
      <w:r w:rsidRPr="00823451">
        <w:rPr>
          <w:rFonts w:ascii="Cambria" w:eastAsia="Cambria" w:hAnsi="Cambria" w:cs="Cambria"/>
          <w:b/>
          <w:bCs/>
        </w:rPr>
        <w:t>TABLE OF CONTENTS</w:t>
      </w:r>
    </w:p>
    <w:sdt>
      <w:sdtPr>
        <w:rPr>
          <w:rFonts w:ascii="Cambria" w:eastAsia="Arial Unicode MS" w:hAnsi="Cambria" w:cs="Times New Roman"/>
          <w:b w:val="0"/>
          <w:bCs w:val="0"/>
          <w:color w:val="auto"/>
          <w:sz w:val="20"/>
          <w:szCs w:val="20"/>
          <w:bdr w:val="nil"/>
          <w:lang w:val="es-ES" w:eastAsia="en-US"/>
        </w:rPr>
        <w:id w:val="-2143880512"/>
        <w:docPartObj>
          <w:docPartGallery w:val="Table of Contents"/>
          <w:docPartUnique/>
        </w:docPartObj>
      </w:sdtPr>
      <w:sdtEndPr>
        <w:rPr>
          <w:sz w:val="24"/>
          <w:szCs w:val="24"/>
        </w:rPr>
      </w:sdtEndPr>
      <w:sdtContent>
        <w:p w14:paraId="11A27861" w14:textId="77777777" w:rsidR="002A6B05" w:rsidRPr="00823451" w:rsidRDefault="002A6B05" w:rsidP="002A6B05">
          <w:pPr>
            <w:pStyle w:val="TOCHeading"/>
            <w:spacing w:before="0" w:line="240" w:lineRule="auto"/>
            <w:rPr>
              <w:rFonts w:ascii="Cambria" w:hAnsi="Cambria"/>
              <w:b w:val="0"/>
              <w:color w:val="auto"/>
              <w:sz w:val="24"/>
              <w:szCs w:val="24"/>
              <w:lang w:val="es-ES"/>
            </w:rPr>
          </w:pPr>
        </w:p>
        <w:p w14:paraId="76A7EC75" w14:textId="3049B4E0" w:rsidR="00823451" w:rsidRPr="00823451" w:rsidRDefault="0066215E">
          <w:pPr>
            <w:pStyle w:val="TOC1"/>
            <w:rPr>
              <w:rFonts w:eastAsiaTheme="minorEastAsia" w:cstheme="minorBidi"/>
              <w:b w:val="0"/>
              <w:bCs w:val="0"/>
              <w:kern w:val="2"/>
              <w:sz w:val="24"/>
              <w:szCs w:val="24"/>
              <w:bdr w:val="none" w:sz="0" w:space="0" w:color="auto"/>
              <w:lang w:val="en-US"/>
              <w14:ligatures w14:val="standardContextual"/>
            </w:rPr>
          </w:pPr>
          <w:r w:rsidRPr="00823451">
            <w:rPr>
              <w:noProof w:val="0"/>
              <w:sz w:val="24"/>
              <w:szCs w:val="24"/>
              <w:lang w:val="es-ES"/>
            </w:rPr>
            <w:fldChar w:fldCharType="begin"/>
          </w:r>
          <w:r w:rsidRPr="00823451">
            <w:rPr>
              <w:noProof w:val="0"/>
              <w:sz w:val="24"/>
              <w:szCs w:val="24"/>
              <w:lang w:val="es-ES"/>
            </w:rPr>
            <w:instrText xml:space="preserve"> TOC \o "1-3" \h \z \u </w:instrText>
          </w:r>
          <w:r w:rsidRPr="00823451">
            <w:rPr>
              <w:noProof w:val="0"/>
              <w:sz w:val="24"/>
              <w:szCs w:val="24"/>
              <w:lang w:val="es-ES"/>
            </w:rPr>
            <w:fldChar w:fldCharType="separate"/>
          </w:r>
          <w:hyperlink w:anchor="_Toc217309568" w:history="1">
            <w:r w:rsidR="00823451" w:rsidRPr="00823451">
              <w:rPr>
                <w:rStyle w:val="Hyperlink"/>
                <w:rFonts w:eastAsia="Cambria" w:cs="Cambria"/>
                <w:sz w:val="24"/>
                <w:szCs w:val="24"/>
                <w:lang w:val="es-ES"/>
              </w:rPr>
              <w:t>I.</w:t>
            </w:r>
            <w:r w:rsidR="00823451" w:rsidRPr="00823451">
              <w:rPr>
                <w:rFonts w:eastAsiaTheme="minorEastAsia" w:cstheme="minorBidi"/>
                <w:b w:val="0"/>
                <w:bCs w:val="0"/>
                <w:kern w:val="2"/>
                <w:sz w:val="24"/>
                <w:szCs w:val="24"/>
                <w:bdr w:val="none" w:sz="0" w:space="0" w:color="auto"/>
                <w:lang w:val="en-US"/>
                <w14:ligatures w14:val="standardContextual"/>
              </w:rPr>
              <w:tab/>
            </w:r>
            <w:r w:rsidR="00823451" w:rsidRPr="00823451">
              <w:rPr>
                <w:rStyle w:val="Hyperlink"/>
                <w:rFonts w:eastAsia="Cambria" w:cs="Cambria"/>
                <w:sz w:val="24"/>
                <w:szCs w:val="24"/>
              </w:rPr>
              <w:t>SUMMARY</w:t>
            </w:r>
            <w:r w:rsidR="00823451" w:rsidRPr="00823451">
              <w:rPr>
                <w:webHidden/>
                <w:sz w:val="24"/>
                <w:szCs w:val="24"/>
              </w:rPr>
              <w:tab/>
            </w:r>
            <w:r w:rsidR="00823451" w:rsidRPr="00823451">
              <w:rPr>
                <w:webHidden/>
                <w:sz w:val="24"/>
                <w:szCs w:val="24"/>
              </w:rPr>
              <w:fldChar w:fldCharType="begin"/>
            </w:r>
            <w:r w:rsidR="00823451" w:rsidRPr="00823451">
              <w:rPr>
                <w:webHidden/>
                <w:sz w:val="24"/>
                <w:szCs w:val="24"/>
              </w:rPr>
              <w:instrText xml:space="preserve"> PAGEREF _Toc217309568 \h </w:instrText>
            </w:r>
            <w:r w:rsidR="00823451" w:rsidRPr="00823451">
              <w:rPr>
                <w:webHidden/>
                <w:sz w:val="24"/>
                <w:szCs w:val="24"/>
              </w:rPr>
            </w:r>
            <w:r w:rsidR="00823451" w:rsidRPr="00823451">
              <w:rPr>
                <w:webHidden/>
                <w:sz w:val="24"/>
                <w:szCs w:val="24"/>
              </w:rPr>
              <w:fldChar w:fldCharType="separate"/>
            </w:r>
            <w:r w:rsidR="000E6559">
              <w:rPr>
                <w:webHidden/>
                <w:sz w:val="24"/>
                <w:szCs w:val="24"/>
              </w:rPr>
              <w:t>3</w:t>
            </w:r>
            <w:r w:rsidR="00823451" w:rsidRPr="00823451">
              <w:rPr>
                <w:webHidden/>
                <w:sz w:val="24"/>
                <w:szCs w:val="24"/>
              </w:rPr>
              <w:fldChar w:fldCharType="end"/>
            </w:r>
          </w:hyperlink>
        </w:p>
        <w:p w14:paraId="2327326D" w14:textId="3E575A92" w:rsidR="00823451" w:rsidRPr="00823451" w:rsidRDefault="00823451">
          <w:pPr>
            <w:pStyle w:val="TOC1"/>
            <w:rPr>
              <w:rFonts w:eastAsiaTheme="minorEastAsia" w:cstheme="minorBidi"/>
              <w:b w:val="0"/>
              <w:bCs w:val="0"/>
              <w:kern w:val="2"/>
              <w:sz w:val="24"/>
              <w:szCs w:val="24"/>
              <w:bdr w:val="none" w:sz="0" w:space="0" w:color="auto"/>
              <w:lang w:val="en-US"/>
              <w14:ligatures w14:val="standardContextual"/>
            </w:rPr>
          </w:pPr>
          <w:hyperlink w:anchor="_Toc217309569" w:history="1">
            <w:r w:rsidRPr="00823451">
              <w:rPr>
                <w:rStyle w:val="Hyperlink"/>
                <w:rFonts w:eastAsia="Cambria" w:cs="Cambria"/>
                <w:sz w:val="24"/>
                <w:szCs w:val="24"/>
                <w:lang w:val="es-ES"/>
              </w:rPr>
              <w:t>II.</w:t>
            </w:r>
            <w:r w:rsidRPr="00823451">
              <w:rPr>
                <w:rFonts w:eastAsiaTheme="minorEastAsia" w:cstheme="minorBidi"/>
                <w:b w:val="0"/>
                <w:bCs w:val="0"/>
                <w:kern w:val="2"/>
                <w:sz w:val="24"/>
                <w:szCs w:val="24"/>
                <w:bdr w:val="none" w:sz="0" w:space="0" w:color="auto"/>
                <w:lang w:val="en-US"/>
                <w14:ligatures w14:val="standardContextual"/>
              </w:rPr>
              <w:tab/>
            </w:r>
            <w:r w:rsidRPr="00823451">
              <w:rPr>
                <w:rStyle w:val="Hyperlink"/>
                <w:rFonts w:eastAsia="Cambria" w:cs="Cambria"/>
                <w:sz w:val="24"/>
                <w:szCs w:val="24"/>
              </w:rPr>
              <w:t>POSITION OF THE PARTIES</w:t>
            </w:r>
            <w:r w:rsidRPr="00823451">
              <w:rPr>
                <w:webHidden/>
                <w:sz w:val="24"/>
                <w:szCs w:val="24"/>
              </w:rPr>
              <w:tab/>
            </w:r>
            <w:r w:rsidRPr="00823451">
              <w:rPr>
                <w:webHidden/>
                <w:sz w:val="24"/>
                <w:szCs w:val="24"/>
              </w:rPr>
              <w:fldChar w:fldCharType="begin"/>
            </w:r>
            <w:r w:rsidRPr="00823451">
              <w:rPr>
                <w:webHidden/>
                <w:sz w:val="24"/>
                <w:szCs w:val="24"/>
              </w:rPr>
              <w:instrText xml:space="preserve"> PAGEREF _Toc217309569 \h </w:instrText>
            </w:r>
            <w:r w:rsidRPr="00823451">
              <w:rPr>
                <w:webHidden/>
                <w:sz w:val="24"/>
                <w:szCs w:val="24"/>
              </w:rPr>
            </w:r>
            <w:r w:rsidRPr="00823451">
              <w:rPr>
                <w:webHidden/>
                <w:sz w:val="24"/>
                <w:szCs w:val="24"/>
              </w:rPr>
              <w:fldChar w:fldCharType="separate"/>
            </w:r>
            <w:r w:rsidR="000E6559">
              <w:rPr>
                <w:webHidden/>
                <w:sz w:val="24"/>
                <w:szCs w:val="24"/>
              </w:rPr>
              <w:t>3</w:t>
            </w:r>
            <w:r w:rsidRPr="00823451">
              <w:rPr>
                <w:webHidden/>
                <w:sz w:val="24"/>
                <w:szCs w:val="24"/>
              </w:rPr>
              <w:fldChar w:fldCharType="end"/>
            </w:r>
          </w:hyperlink>
        </w:p>
        <w:p w14:paraId="31C6450F" w14:textId="35D43560" w:rsidR="00823451" w:rsidRPr="00823451" w:rsidRDefault="00823451">
          <w:pPr>
            <w:pStyle w:val="TOC2"/>
            <w:rPr>
              <w:rFonts w:eastAsiaTheme="minorEastAsia" w:cstheme="minorBidi"/>
              <w:kern w:val="2"/>
              <w:sz w:val="24"/>
              <w:szCs w:val="24"/>
              <w:bdr w:val="none" w:sz="0" w:space="0" w:color="auto"/>
              <w:lang w:val="en-US" w:eastAsia="en-US"/>
              <w14:ligatures w14:val="standardContextual"/>
            </w:rPr>
          </w:pPr>
          <w:hyperlink w:anchor="_Toc217309570" w:history="1">
            <w:r w:rsidRPr="00823451">
              <w:rPr>
                <w:rStyle w:val="Hyperlink"/>
                <w:sz w:val="24"/>
                <w:szCs w:val="24"/>
                <w:lang w:val="es-ES"/>
              </w:rPr>
              <w:t>A.</w:t>
            </w:r>
            <w:r w:rsidRPr="00823451">
              <w:rPr>
                <w:rFonts w:eastAsiaTheme="minorEastAsia" w:cstheme="minorBidi"/>
                <w:kern w:val="2"/>
                <w:sz w:val="24"/>
                <w:szCs w:val="24"/>
                <w:bdr w:val="none" w:sz="0" w:space="0" w:color="auto"/>
                <w:lang w:val="en-US" w:eastAsia="en-US"/>
                <w14:ligatures w14:val="standardContextual"/>
              </w:rPr>
              <w:tab/>
            </w:r>
            <w:r w:rsidRPr="00823451">
              <w:rPr>
                <w:rStyle w:val="Hyperlink"/>
                <w:rFonts w:cs="Cambria"/>
                <w:sz w:val="24"/>
                <w:szCs w:val="24"/>
              </w:rPr>
              <w:t>Position of the petitioners</w:t>
            </w:r>
            <w:r w:rsidRPr="00823451">
              <w:rPr>
                <w:webHidden/>
                <w:sz w:val="24"/>
                <w:szCs w:val="24"/>
              </w:rPr>
              <w:tab/>
            </w:r>
            <w:r w:rsidRPr="00823451">
              <w:rPr>
                <w:webHidden/>
                <w:sz w:val="24"/>
                <w:szCs w:val="24"/>
              </w:rPr>
              <w:fldChar w:fldCharType="begin"/>
            </w:r>
            <w:r w:rsidRPr="00823451">
              <w:rPr>
                <w:webHidden/>
                <w:sz w:val="24"/>
                <w:szCs w:val="24"/>
              </w:rPr>
              <w:instrText xml:space="preserve"> PAGEREF _Toc217309570 \h </w:instrText>
            </w:r>
            <w:r w:rsidRPr="00823451">
              <w:rPr>
                <w:webHidden/>
                <w:sz w:val="24"/>
                <w:szCs w:val="24"/>
              </w:rPr>
            </w:r>
            <w:r w:rsidRPr="00823451">
              <w:rPr>
                <w:webHidden/>
                <w:sz w:val="24"/>
                <w:szCs w:val="24"/>
              </w:rPr>
              <w:fldChar w:fldCharType="separate"/>
            </w:r>
            <w:r w:rsidR="000E6559">
              <w:rPr>
                <w:webHidden/>
                <w:sz w:val="24"/>
                <w:szCs w:val="24"/>
              </w:rPr>
              <w:t>3</w:t>
            </w:r>
            <w:r w:rsidRPr="00823451">
              <w:rPr>
                <w:webHidden/>
                <w:sz w:val="24"/>
                <w:szCs w:val="24"/>
              </w:rPr>
              <w:fldChar w:fldCharType="end"/>
            </w:r>
          </w:hyperlink>
        </w:p>
        <w:p w14:paraId="1E54128A" w14:textId="76CAFD22" w:rsidR="00823451" w:rsidRPr="00823451" w:rsidRDefault="00823451">
          <w:pPr>
            <w:pStyle w:val="TOC2"/>
            <w:rPr>
              <w:rFonts w:eastAsiaTheme="minorEastAsia" w:cstheme="minorBidi"/>
              <w:kern w:val="2"/>
              <w:sz w:val="24"/>
              <w:szCs w:val="24"/>
              <w:bdr w:val="none" w:sz="0" w:space="0" w:color="auto"/>
              <w:lang w:val="en-US" w:eastAsia="en-US"/>
              <w14:ligatures w14:val="standardContextual"/>
            </w:rPr>
          </w:pPr>
          <w:hyperlink w:anchor="_Toc217309571" w:history="1">
            <w:r w:rsidRPr="00823451">
              <w:rPr>
                <w:rStyle w:val="Hyperlink"/>
                <w:sz w:val="24"/>
                <w:szCs w:val="24"/>
                <w:lang w:val="es-ES"/>
              </w:rPr>
              <w:t>B.</w:t>
            </w:r>
            <w:r w:rsidRPr="00823451">
              <w:rPr>
                <w:rFonts w:eastAsiaTheme="minorEastAsia" w:cstheme="minorBidi"/>
                <w:kern w:val="2"/>
                <w:sz w:val="24"/>
                <w:szCs w:val="24"/>
                <w:bdr w:val="none" w:sz="0" w:space="0" w:color="auto"/>
                <w:lang w:val="en-US" w:eastAsia="en-US"/>
                <w14:ligatures w14:val="standardContextual"/>
              </w:rPr>
              <w:tab/>
            </w:r>
            <w:r w:rsidRPr="00823451">
              <w:rPr>
                <w:rStyle w:val="Hyperlink"/>
                <w:rFonts w:cs="Cambria"/>
                <w:sz w:val="24"/>
                <w:szCs w:val="24"/>
              </w:rPr>
              <w:t>Position of the State</w:t>
            </w:r>
            <w:r w:rsidRPr="00823451">
              <w:rPr>
                <w:webHidden/>
                <w:sz w:val="24"/>
                <w:szCs w:val="24"/>
              </w:rPr>
              <w:tab/>
            </w:r>
            <w:r w:rsidRPr="00823451">
              <w:rPr>
                <w:webHidden/>
                <w:sz w:val="24"/>
                <w:szCs w:val="24"/>
              </w:rPr>
              <w:fldChar w:fldCharType="begin"/>
            </w:r>
            <w:r w:rsidRPr="00823451">
              <w:rPr>
                <w:webHidden/>
                <w:sz w:val="24"/>
                <w:szCs w:val="24"/>
              </w:rPr>
              <w:instrText xml:space="preserve"> PAGEREF _Toc217309571 \h </w:instrText>
            </w:r>
            <w:r w:rsidRPr="00823451">
              <w:rPr>
                <w:webHidden/>
                <w:sz w:val="24"/>
                <w:szCs w:val="24"/>
              </w:rPr>
            </w:r>
            <w:r w:rsidRPr="00823451">
              <w:rPr>
                <w:webHidden/>
                <w:sz w:val="24"/>
                <w:szCs w:val="24"/>
              </w:rPr>
              <w:fldChar w:fldCharType="separate"/>
            </w:r>
            <w:r w:rsidR="000E6559">
              <w:rPr>
                <w:webHidden/>
                <w:sz w:val="24"/>
                <w:szCs w:val="24"/>
              </w:rPr>
              <w:t>5</w:t>
            </w:r>
            <w:r w:rsidRPr="00823451">
              <w:rPr>
                <w:webHidden/>
                <w:sz w:val="24"/>
                <w:szCs w:val="24"/>
              </w:rPr>
              <w:fldChar w:fldCharType="end"/>
            </w:r>
          </w:hyperlink>
        </w:p>
        <w:p w14:paraId="1A57F38E" w14:textId="06DE65C8" w:rsidR="00823451" w:rsidRPr="00823451" w:rsidRDefault="00823451">
          <w:pPr>
            <w:pStyle w:val="TOC1"/>
            <w:rPr>
              <w:rFonts w:eastAsiaTheme="minorEastAsia" w:cstheme="minorBidi"/>
              <w:b w:val="0"/>
              <w:bCs w:val="0"/>
              <w:kern w:val="2"/>
              <w:sz w:val="24"/>
              <w:szCs w:val="24"/>
              <w:bdr w:val="none" w:sz="0" w:space="0" w:color="auto"/>
              <w:lang w:val="en-US"/>
              <w14:ligatures w14:val="standardContextual"/>
            </w:rPr>
          </w:pPr>
          <w:hyperlink w:anchor="_Toc217309572" w:history="1">
            <w:r w:rsidRPr="00823451">
              <w:rPr>
                <w:rStyle w:val="Hyperlink"/>
                <w:rFonts w:eastAsia="Cambria" w:cs="Cambria"/>
                <w:sz w:val="24"/>
                <w:szCs w:val="24"/>
                <w:lang w:val="es-ES"/>
              </w:rPr>
              <w:t>III.</w:t>
            </w:r>
            <w:r w:rsidRPr="00823451">
              <w:rPr>
                <w:rFonts w:eastAsiaTheme="minorEastAsia" w:cstheme="minorBidi"/>
                <w:b w:val="0"/>
                <w:bCs w:val="0"/>
                <w:kern w:val="2"/>
                <w:sz w:val="24"/>
                <w:szCs w:val="24"/>
                <w:bdr w:val="none" w:sz="0" w:space="0" w:color="auto"/>
                <w:lang w:val="en-US"/>
                <w14:ligatures w14:val="standardContextual"/>
              </w:rPr>
              <w:tab/>
            </w:r>
            <w:r w:rsidRPr="00823451">
              <w:rPr>
                <w:rStyle w:val="Hyperlink"/>
                <w:rFonts w:eastAsia="Cambria" w:cs="Cambria"/>
                <w:sz w:val="24"/>
                <w:szCs w:val="24"/>
              </w:rPr>
              <w:t>FINDINGS OF FACTS</w:t>
            </w:r>
            <w:r w:rsidRPr="00823451">
              <w:rPr>
                <w:webHidden/>
                <w:sz w:val="24"/>
                <w:szCs w:val="24"/>
              </w:rPr>
              <w:tab/>
            </w:r>
            <w:r w:rsidRPr="00823451">
              <w:rPr>
                <w:webHidden/>
                <w:sz w:val="24"/>
                <w:szCs w:val="24"/>
              </w:rPr>
              <w:fldChar w:fldCharType="begin"/>
            </w:r>
            <w:r w:rsidRPr="00823451">
              <w:rPr>
                <w:webHidden/>
                <w:sz w:val="24"/>
                <w:szCs w:val="24"/>
              </w:rPr>
              <w:instrText xml:space="preserve"> PAGEREF _Toc217309572 \h </w:instrText>
            </w:r>
            <w:r w:rsidRPr="00823451">
              <w:rPr>
                <w:webHidden/>
                <w:sz w:val="24"/>
                <w:szCs w:val="24"/>
              </w:rPr>
            </w:r>
            <w:r w:rsidRPr="00823451">
              <w:rPr>
                <w:webHidden/>
                <w:sz w:val="24"/>
                <w:szCs w:val="24"/>
              </w:rPr>
              <w:fldChar w:fldCharType="separate"/>
            </w:r>
            <w:r w:rsidR="000E6559">
              <w:rPr>
                <w:webHidden/>
                <w:sz w:val="24"/>
                <w:szCs w:val="24"/>
              </w:rPr>
              <w:t>5</w:t>
            </w:r>
            <w:r w:rsidRPr="00823451">
              <w:rPr>
                <w:webHidden/>
                <w:sz w:val="24"/>
                <w:szCs w:val="24"/>
              </w:rPr>
              <w:fldChar w:fldCharType="end"/>
            </w:r>
          </w:hyperlink>
        </w:p>
        <w:p w14:paraId="3B2743A3" w14:textId="41B2B738" w:rsidR="00823451" w:rsidRPr="00823451" w:rsidRDefault="00823451">
          <w:pPr>
            <w:pStyle w:val="TOC2"/>
            <w:rPr>
              <w:rFonts w:eastAsiaTheme="minorEastAsia" w:cstheme="minorBidi"/>
              <w:kern w:val="2"/>
              <w:sz w:val="24"/>
              <w:szCs w:val="24"/>
              <w:bdr w:val="none" w:sz="0" w:space="0" w:color="auto"/>
              <w:lang w:val="en-US" w:eastAsia="en-US"/>
              <w14:ligatures w14:val="standardContextual"/>
            </w:rPr>
          </w:pPr>
          <w:hyperlink w:anchor="_Toc217309573" w:history="1">
            <w:r w:rsidRPr="00823451">
              <w:rPr>
                <w:rStyle w:val="Hyperlink"/>
                <w:sz w:val="24"/>
                <w:szCs w:val="24"/>
              </w:rPr>
              <w:t>A.</w:t>
            </w:r>
            <w:r w:rsidRPr="00823451">
              <w:rPr>
                <w:rFonts w:eastAsiaTheme="minorEastAsia" w:cstheme="minorBidi"/>
                <w:kern w:val="2"/>
                <w:sz w:val="24"/>
                <w:szCs w:val="24"/>
                <w:bdr w:val="none" w:sz="0" w:space="0" w:color="auto"/>
                <w:lang w:val="en-US" w:eastAsia="en-US"/>
                <w14:ligatures w14:val="standardContextual"/>
              </w:rPr>
              <w:tab/>
            </w:r>
            <w:r w:rsidRPr="00823451">
              <w:rPr>
                <w:rStyle w:val="Hyperlink"/>
                <w:rFonts w:cs="Cambria"/>
                <w:sz w:val="24"/>
                <w:szCs w:val="24"/>
              </w:rPr>
              <w:t>Context and background: Detention conditions at the INOF and medical assistance services for persons deprived of their liberty in Venezuela</w:t>
            </w:r>
            <w:r w:rsidRPr="00823451">
              <w:rPr>
                <w:webHidden/>
                <w:sz w:val="24"/>
                <w:szCs w:val="24"/>
              </w:rPr>
              <w:tab/>
            </w:r>
            <w:r w:rsidRPr="00823451">
              <w:rPr>
                <w:webHidden/>
                <w:sz w:val="24"/>
                <w:szCs w:val="24"/>
              </w:rPr>
              <w:fldChar w:fldCharType="begin"/>
            </w:r>
            <w:r w:rsidRPr="00823451">
              <w:rPr>
                <w:webHidden/>
                <w:sz w:val="24"/>
                <w:szCs w:val="24"/>
              </w:rPr>
              <w:instrText xml:space="preserve"> PAGEREF _Toc217309573 \h </w:instrText>
            </w:r>
            <w:r w:rsidRPr="00823451">
              <w:rPr>
                <w:webHidden/>
                <w:sz w:val="24"/>
                <w:szCs w:val="24"/>
              </w:rPr>
            </w:r>
            <w:r w:rsidRPr="00823451">
              <w:rPr>
                <w:webHidden/>
                <w:sz w:val="24"/>
                <w:szCs w:val="24"/>
              </w:rPr>
              <w:fldChar w:fldCharType="separate"/>
            </w:r>
            <w:r w:rsidR="000E6559">
              <w:rPr>
                <w:webHidden/>
                <w:sz w:val="24"/>
                <w:szCs w:val="24"/>
              </w:rPr>
              <w:t>5</w:t>
            </w:r>
            <w:r w:rsidRPr="00823451">
              <w:rPr>
                <w:webHidden/>
                <w:sz w:val="24"/>
                <w:szCs w:val="24"/>
              </w:rPr>
              <w:fldChar w:fldCharType="end"/>
            </w:r>
          </w:hyperlink>
        </w:p>
        <w:p w14:paraId="6C5A8EC4" w14:textId="27CDF8DC" w:rsidR="00823451" w:rsidRPr="00823451" w:rsidRDefault="00823451">
          <w:pPr>
            <w:pStyle w:val="TOC2"/>
            <w:rPr>
              <w:rFonts w:eastAsiaTheme="minorEastAsia" w:cstheme="minorBidi"/>
              <w:kern w:val="2"/>
              <w:sz w:val="24"/>
              <w:szCs w:val="24"/>
              <w:bdr w:val="none" w:sz="0" w:space="0" w:color="auto"/>
              <w:lang w:val="en-US" w:eastAsia="en-US"/>
              <w14:ligatures w14:val="standardContextual"/>
            </w:rPr>
          </w:pPr>
          <w:hyperlink w:anchor="_Toc217309574" w:history="1">
            <w:r w:rsidRPr="00823451">
              <w:rPr>
                <w:rStyle w:val="Hyperlink"/>
                <w:sz w:val="24"/>
                <w:szCs w:val="24"/>
              </w:rPr>
              <w:t>B.</w:t>
            </w:r>
            <w:r w:rsidRPr="00823451">
              <w:rPr>
                <w:rFonts w:eastAsiaTheme="minorEastAsia" w:cstheme="minorBidi"/>
                <w:kern w:val="2"/>
                <w:sz w:val="24"/>
                <w:szCs w:val="24"/>
                <w:bdr w:val="none" w:sz="0" w:space="0" w:color="auto"/>
                <w:lang w:val="en-US" w:eastAsia="en-US"/>
                <w14:ligatures w14:val="standardContextual"/>
              </w:rPr>
              <w:tab/>
            </w:r>
            <w:r w:rsidRPr="00823451">
              <w:rPr>
                <w:rStyle w:val="Hyperlink"/>
                <w:rFonts w:cs="Cambria"/>
                <w:sz w:val="24"/>
                <w:szCs w:val="24"/>
              </w:rPr>
              <w:t>The physical and mental health condition of Sarah Lyn Langton during the time she was deprived of her liberty at the INOF</w:t>
            </w:r>
            <w:r w:rsidRPr="00823451">
              <w:rPr>
                <w:webHidden/>
                <w:sz w:val="24"/>
                <w:szCs w:val="24"/>
              </w:rPr>
              <w:tab/>
            </w:r>
            <w:r w:rsidRPr="00823451">
              <w:rPr>
                <w:webHidden/>
                <w:sz w:val="24"/>
                <w:szCs w:val="24"/>
              </w:rPr>
              <w:fldChar w:fldCharType="begin"/>
            </w:r>
            <w:r w:rsidRPr="00823451">
              <w:rPr>
                <w:webHidden/>
                <w:sz w:val="24"/>
                <w:szCs w:val="24"/>
              </w:rPr>
              <w:instrText xml:space="preserve"> PAGEREF _Toc217309574 \h </w:instrText>
            </w:r>
            <w:r w:rsidRPr="00823451">
              <w:rPr>
                <w:webHidden/>
                <w:sz w:val="24"/>
                <w:szCs w:val="24"/>
              </w:rPr>
            </w:r>
            <w:r w:rsidRPr="00823451">
              <w:rPr>
                <w:webHidden/>
                <w:sz w:val="24"/>
                <w:szCs w:val="24"/>
              </w:rPr>
              <w:fldChar w:fldCharType="separate"/>
            </w:r>
            <w:r w:rsidR="000E6559">
              <w:rPr>
                <w:webHidden/>
                <w:sz w:val="24"/>
                <w:szCs w:val="24"/>
              </w:rPr>
              <w:t>6</w:t>
            </w:r>
            <w:r w:rsidRPr="00823451">
              <w:rPr>
                <w:webHidden/>
                <w:sz w:val="24"/>
                <w:szCs w:val="24"/>
              </w:rPr>
              <w:fldChar w:fldCharType="end"/>
            </w:r>
          </w:hyperlink>
        </w:p>
        <w:p w14:paraId="6923EB23" w14:textId="200C64C1" w:rsidR="00823451" w:rsidRPr="00823451" w:rsidRDefault="00823451">
          <w:pPr>
            <w:pStyle w:val="TOC2"/>
            <w:rPr>
              <w:rFonts w:eastAsiaTheme="minorEastAsia" w:cstheme="minorBidi"/>
              <w:kern w:val="2"/>
              <w:sz w:val="24"/>
              <w:szCs w:val="24"/>
              <w:bdr w:val="none" w:sz="0" w:space="0" w:color="auto"/>
              <w:lang w:val="en-US" w:eastAsia="en-US"/>
              <w14:ligatures w14:val="standardContextual"/>
            </w:rPr>
          </w:pPr>
          <w:hyperlink w:anchor="_Toc217309575" w:history="1">
            <w:r w:rsidRPr="00823451">
              <w:rPr>
                <w:rStyle w:val="Hyperlink"/>
                <w:sz w:val="24"/>
                <w:szCs w:val="24"/>
              </w:rPr>
              <w:t>C.</w:t>
            </w:r>
            <w:r w:rsidRPr="00823451">
              <w:rPr>
                <w:rFonts w:eastAsiaTheme="minorEastAsia" w:cstheme="minorBidi"/>
                <w:kern w:val="2"/>
                <w:sz w:val="24"/>
                <w:szCs w:val="24"/>
                <w:bdr w:val="none" w:sz="0" w:space="0" w:color="auto"/>
                <w:lang w:val="en-US" w:eastAsia="en-US"/>
                <w14:ligatures w14:val="standardContextual"/>
              </w:rPr>
              <w:tab/>
            </w:r>
            <w:r w:rsidRPr="00823451">
              <w:rPr>
                <w:rStyle w:val="Hyperlink"/>
                <w:rFonts w:cs="Cambria"/>
                <w:sz w:val="24"/>
                <w:szCs w:val="24"/>
              </w:rPr>
              <w:t>The death of Sarah Lyn Langton at the San Bernardino Medical Institute in the city of Caracas</w:t>
            </w:r>
            <w:r w:rsidRPr="00823451">
              <w:rPr>
                <w:webHidden/>
                <w:sz w:val="24"/>
                <w:szCs w:val="24"/>
              </w:rPr>
              <w:tab/>
            </w:r>
            <w:r w:rsidRPr="00823451">
              <w:rPr>
                <w:webHidden/>
                <w:sz w:val="24"/>
                <w:szCs w:val="24"/>
              </w:rPr>
              <w:fldChar w:fldCharType="begin"/>
            </w:r>
            <w:r w:rsidRPr="00823451">
              <w:rPr>
                <w:webHidden/>
                <w:sz w:val="24"/>
                <w:szCs w:val="24"/>
              </w:rPr>
              <w:instrText xml:space="preserve"> PAGEREF _Toc217309575 \h </w:instrText>
            </w:r>
            <w:r w:rsidRPr="00823451">
              <w:rPr>
                <w:webHidden/>
                <w:sz w:val="24"/>
                <w:szCs w:val="24"/>
              </w:rPr>
            </w:r>
            <w:r w:rsidRPr="00823451">
              <w:rPr>
                <w:webHidden/>
                <w:sz w:val="24"/>
                <w:szCs w:val="24"/>
              </w:rPr>
              <w:fldChar w:fldCharType="separate"/>
            </w:r>
            <w:r w:rsidR="000E6559">
              <w:rPr>
                <w:webHidden/>
                <w:sz w:val="24"/>
                <w:szCs w:val="24"/>
              </w:rPr>
              <w:t>7</w:t>
            </w:r>
            <w:r w:rsidRPr="00823451">
              <w:rPr>
                <w:webHidden/>
                <w:sz w:val="24"/>
                <w:szCs w:val="24"/>
              </w:rPr>
              <w:fldChar w:fldCharType="end"/>
            </w:r>
          </w:hyperlink>
        </w:p>
        <w:p w14:paraId="22009A53" w14:textId="159DF4AC" w:rsidR="00823451" w:rsidRPr="00823451" w:rsidRDefault="00823451">
          <w:pPr>
            <w:pStyle w:val="TOC2"/>
            <w:rPr>
              <w:rFonts w:eastAsiaTheme="minorEastAsia" w:cstheme="minorBidi"/>
              <w:kern w:val="2"/>
              <w:sz w:val="24"/>
              <w:szCs w:val="24"/>
              <w:bdr w:val="none" w:sz="0" w:space="0" w:color="auto"/>
              <w:lang w:val="en-US" w:eastAsia="en-US"/>
              <w14:ligatures w14:val="standardContextual"/>
            </w:rPr>
          </w:pPr>
          <w:hyperlink w:anchor="_Toc217309576" w:history="1">
            <w:r w:rsidRPr="00823451">
              <w:rPr>
                <w:rStyle w:val="Hyperlink"/>
                <w:rFonts w:cs="Cambria"/>
                <w:sz w:val="24"/>
                <w:szCs w:val="24"/>
              </w:rPr>
              <w:t>D.</w:t>
            </w:r>
            <w:r w:rsidRPr="00823451">
              <w:rPr>
                <w:rFonts w:eastAsiaTheme="minorEastAsia" w:cstheme="minorBidi"/>
                <w:kern w:val="2"/>
                <w:sz w:val="24"/>
                <w:szCs w:val="24"/>
                <w:bdr w:val="none" w:sz="0" w:space="0" w:color="auto"/>
                <w:lang w:val="en-US" w:eastAsia="en-US"/>
                <w14:ligatures w14:val="standardContextual"/>
              </w:rPr>
              <w:tab/>
            </w:r>
            <w:r w:rsidRPr="00823451">
              <w:rPr>
                <w:rStyle w:val="Hyperlink"/>
                <w:rFonts w:cs="Cambria"/>
                <w:sz w:val="24"/>
                <w:szCs w:val="24"/>
              </w:rPr>
              <w:t>Situation of the INOF’s medical service on March 6 and 7, 2001</w:t>
            </w:r>
            <w:r w:rsidRPr="00823451">
              <w:rPr>
                <w:webHidden/>
                <w:sz w:val="24"/>
                <w:szCs w:val="24"/>
              </w:rPr>
              <w:tab/>
            </w:r>
            <w:r w:rsidRPr="00823451">
              <w:rPr>
                <w:webHidden/>
                <w:sz w:val="24"/>
                <w:szCs w:val="24"/>
              </w:rPr>
              <w:fldChar w:fldCharType="begin"/>
            </w:r>
            <w:r w:rsidRPr="00823451">
              <w:rPr>
                <w:webHidden/>
                <w:sz w:val="24"/>
                <w:szCs w:val="24"/>
              </w:rPr>
              <w:instrText xml:space="preserve"> PAGEREF _Toc217309576 \h </w:instrText>
            </w:r>
            <w:r w:rsidRPr="00823451">
              <w:rPr>
                <w:webHidden/>
                <w:sz w:val="24"/>
                <w:szCs w:val="24"/>
              </w:rPr>
            </w:r>
            <w:r w:rsidRPr="00823451">
              <w:rPr>
                <w:webHidden/>
                <w:sz w:val="24"/>
                <w:szCs w:val="24"/>
              </w:rPr>
              <w:fldChar w:fldCharType="separate"/>
            </w:r>
            <w:r w:rsidR="000E6559">
              <w:rPr>
                <w:webHidden/>
                <w:sz w:val="24"/>
                <w:szCs w:val="24"/>
              </w:rPr>
              <w:t>8</w:t>
            </w:r>
            <w:r w:rsidRPr="00823451">
              <w:rPr>
                <w:webHidden/>
                <w:sz w:val="24"/>
                <w:szCs w:val="24"/>
              </w:rPr>
              <w:fldChar w:fldCharType="end"/>
            </w:r>
          </w:hyperlink>
        </w:p>
        <w:p w14:paraId="0C2D1841" w14:textId="526F3F56" w:rsidR="00823451" w:rsidRPr="00823451" w:rsidRDefault="00823451">
          <w:pPr>
            <w:pStyle w:val="TOC2"/>
            <w:rPr>
              <w:rFonts w:eastAsiaTheme="minorEastAsia" w:cstheme="minorBidi"/>
              <w:kern w:val="2"/>
              <w:sz w:val="24"/>
              <w:szCs w:val="24"/>
              <w:bdr w:val="none" w:sz="0" w:space="0" w:color="auto"/>
              <w:lang w:val="en-US" w:eastAsia="en-US"/>
              <w14:ligatures w14:val="standardContextual"/>
            </w:rPr>
          </w:pPr>
          <w:hyperlink w:anchor="_Toc217309577" w:history="1">
            <w:r w:rsidRPr="00823451">
              <w:rPr>
                <w:rStyle w:val="Hyperlink"/>
                <w:sz w:val="24"/>
                <w:szCs w:val="24"/>
              </w:rPr>
              <w:t>E.</w:t>
            </w:r>
            <w:r w:rsidRPr="00823451">
              <w:rPr>
                <w:rFonts w:eastAsiaTheme="minorEastAsia" w:cstheme="minorBidi"/>
                <w:kern w:val="2"/>
                <w:sz w:val="24"/>
                <w:szCs w:val="24"/>
                <w:bdr w:val="none" w:sz="0" w:space="0" w:color="auto"/>
                <w:lang w:val="en-US" w:eastAsia="en-US"/>
                <w14:ligatures w14:val="standardContextual"/>
              </w:rPr>
              <w:tab/>
            </w:r>
            <w:r w:rsidRPr="00823451">
              <w:rPr>
                <w:rStyle w:val="Hyperlink"/>
                <w:rFonts w:cs="Cambria"/>
                <w:sz w:val="24"/>
                <w:szCs w:val="24"/>
              </w:rPr>
              <w:t>Investigation of the facts and domestic legal proceedings</w:t>
            </w:r>
            <w:r w:rsidRPr="00823451">
              <w:rPr>
                <w:webHidden/>
                <w:sz w:val="24"/>
                <w:szCs w:val="24"/>
              </w:rPr>
              <w:tab/>
            </w:r>
            <w:r w:rsidRPr="00823451">
              <w:rPr>
                <w:webHidden/>
                <w:sz w:val="24"/>
                <w:szCs w:val="24"/>
              </w:rPr>
              <w:fldChar w:fldCharType="begin"/>
            </w:r>
            <w:r w:rsidRPr="00823451">
              <w:rPr>
                <w:webHidden/>
                <w:sz w:val="24"/>
                <w:szCs w:val="24"/>
              </w:rPr>
              <w:instrText xml:space="preserve"> PAGEREF _Toc217309577 \h </w:instrText>
            </w:r>
            <w:r w:rsidRPr="00823451">
              <w:rPr>
                <w:webHidden/>
                <w:sz w:val="24"/>
                <w:szCs w:val="24"/>
              </w:rPr>
            </w:r>
            <w:r w:rsidRPr="00823451">
              <w:rPr>
                <w:webHidden/>
                <w:sz w:val="24"/>
                <w:szCs w:val="24"/>
              </w:rPr>
              <w:fldChar w:fldCharType="separate"/>
            </w:r>
            <w:r w:rsidR="000E6559">
              <w:rPr>
                <w:webHidden/>
                <w:sz w:val="24"/>
                <w:szCs w:val="24"/>
              </w:rPr>
              <w:t>9</w:t>
            </w:r>
            <w:r w:rsidRPr="00823451">
              <w:rPr>
                <w:webHidden/>
                <w:sz w:val="24"/>
                <w:szCs w:val="24"/>
              </w:rPr>
              <w:fldChar w:fldCharType="end"/>
            </w:r>
          </w:hyperlink>
        </w:p>
        <w:p w14:paraId="39082EA2" w14:textId="2407D823" w:rsidR="00823451" w:rsidRPr="00823451" w:rsidRDefault="00823451">
          <w:pPr>
            <w:pStyle w:val="TOC1"/>
            <w:rPr>
              <w:rFonts w:eastAsiaTheme="minorEastAsia" w:cstheme="minorBidi"/>
              <w:b w:val="0"/>
              <w:bCs w:val="0"/>
              <w:kern w:val="2"/>
              <w:sz w:val="24"/>
              <w:szCs w:val="24"/>
              <w:bdr w:val="none" w:sz="0" w:space="0" w:color="auto"/>
              <w:lang w:val="en-US"/>
              <w14:ligatures w14:val="standardContextual"/>
            </w:rPr>
          </w:pPr>
          <w:hyperlink w:anchor="_Toc217309578" w:history="1">
            <w:r w:rsidRPr="00823451">
              <w:rPr>
                <w:rStyle w:val="Hyperlink"/>
                <w:rFonts w:eastAsia="Cambria" w:cs="Cambria"/>
                <w:sz w:val="24"/>
                <w:szCs w:val="24"/>
                <w:lang w:val="es-ES"/>
              </w:rPr>
              <w:t>IV.</w:t>
            </w:r>
            <w:r w:rsidRPr="00823451">
              <w:rPr>
                <w:rFonts w:eastAsiaTheme="minorEastAsia" w:cstheme="minorBidi"/>
                <w:b w:val="0"/>
                <w:bCs w:val="0"/>
                <w:kern w:val="2"/>
                <w:sz w:val="24"/>
                <w:szCs w:val="24"/>
                <w:bdr w:val="none" w:sz="0" w:space="0" w:color="auto"/>
                <w:lang w:val="en-US"/>
                <w14:ligatures w14:val="standardContextual"/>
              </w:rPr>
              <w:tab/>
            </w:r>
            <w:r w:rsidRPr="00823451">
              <w:rPr>
                <w:rStyle w:val="Hyperlink"/>
                <w:rFonts w:eastAsia="Cambria" w:cs="Cambria"/>
                <w:sz w:val="24"/>
                <w:szCs w:val="24"/>
              </w:rPr>
              <w:t>ANALYSIS OF LAW</w:t>
            </w:r>
            <w:r w:rsidRPr="00823451">
              <w:rPr>
                <w:webHidden/>
                <w:sz w:val="24"/>
                <w:szCs w:val="24"/>
              </w:rPr>
              <w:tab/>
            </w:r>
            <w:r w:rsidRPr="00823451">
              <w:rPr>
                <w:webHidden/>
                <w:sz w:val="24"/>
                <w:szCs w:val="24"/>
              </w:rPr>
              <w:fldChar w:fldCharType="begin"/>
            </w:r>
            <w:r w:rsidRPr="00823451">
              <w:rPr>
                <w:webHidden/>
                <w:sz w:val="24"/>
                <w:szCs w:val="24"/>
              </w:rPr>
              <w:instrText xml:space="preserve"> PAGEREF _Toc217309578 \h </w:instrText>
            </w:r>
            <w:r w:rsidRPr="00823451">
              <w:rPr>
                <w:webHidden/>
                <w:sz w:val="24"/>
                <w:szCs w:val="24"/>
              </w:rPr>
            </w:r>
            <w:r w:rsidRPr="00823451">
              <w:rPr>
                <w:webHidden/>
                <w:sz w:val="24"/>
                <w:szCs w:val="24"/>
              </w:rPr>
              <w:fldChar w:fldCharType="separate"/>
            </w:r>
            <w:r w:rsidR="000E6559">
              <w:rPr>
                <w:webHidden/>
                <w:sz w:val="24"/>
                <w:szCs w:val="24"/>
              </w:rPr>
              <w:t>10</w:t>
            </w:r>
            <w:r w:rsidRPr="00823451">
              <w:rPr>
                <w:webHidden/>
                <w:sz w:val="24"/>
                <w:szCs w:val="24"/>
              </w:rPr>
              <w:fldChar w:fldCharType="end"/>
            </w:r>
          </w:hyperlink>
        </w:p>
        <w:p w14:paraId="09F1DF76" w14:textId="57B844E0" w:rsidR="00823451" w:rsidRPr="00823451" w:rsidRDefault="00823451">
          <w:pPr>
            <w:pStyle w:val="TOC2"/>
            <w:rPr>
              <w:rFonts w:eastAsiaTheme="minorEastAsia" w:cstheme="minorBidi"/>
              <w:kern w:val="2"/>
              <w:sz w:val="24"/>
              <w:szCs w:val="24"/>
              <w:bdr w:val="none" w:sz="0" w:space="0" w:color="auto"/>
              <w:lang w:val="en-US" w:eastAsia="en-US"/>
              <w14:ligatures w14:val="standardContextual"/>
            </w:rPr>
          </w:pPr>
          <w:hyperlink w:anchor="_Toc217309579" w:history="1">
            <w:r w:rsidRPr="00823451">
              <w:rPr>
                <w:rStyle w:val="Hyperlink"/>
                <w:rFonts w:cs="Cambria"/>
                <w:sz w:val="24"/>
                <w:szCs w:val="24"/>
              </w:rPr>
              <w:t>A.</w:t>
            </w:r>
            <w:r w:rsidRPr="00823451">
              <w:rPr>
                <w:rFonts w:eastAsiaTheme="minorEastAsia" w:cstheme="minorBidi"/>
                <w:kern w:val="2"/>
                <w:sz w:val="24"/>
                <w:szCs w:val="24"/>
                <w:bdr w:val="none" w:sz="0" w:space="0" w:color="auto"/>
                <w:lang w:val="en-US" w:eastAsia="en-US"/>
                <w14:ligatures w14:val="standardContextual"/>
              </w:rPr>
              <w:tab/>
            </w:r>
            <w:r w:rsidRPr="00823451">
              <w:rPr>
                <w:rStyle w:val="Hyperlink"/>
                <w:rFonts w:cs="Cambria"/>
                <w:sz w:val="24"/>
                <w:szCs w:val="24"/>
              </w:rPr>
              <w:t>Right to life (Article 4.1), right to personal integrity (Articles 5.1 and 5.2), and right to health (Article 26), in relation to Articles 1.1 and 2 of the American Convention</w:t>
            </w:r>
            <w:r w:rsidRPr="00823451">
              <w:rPr>
                <w:webHidden/>
                <w:sz w:val="24"/>
                <w:szCs w:val="24"/>
              </w:rPr>
              <w:tab/>
            </w:r>
            <w:r w:rsidRPr="00823451">
              <w:rPr>
                <w:webHidden/>
                <w:sz w:val="24"/>
                <w:szCs w:val="24"/>
              </w:rPr>
              <w:fldChar w:fldCharType="begin"/>
            </w:r>
            <w:r w:rsidRPr="00823451">
              <w:rPr>
                <w:webHidden/>
                <w:sz w:val="24"/>
                <w:szCs w:val="24"/>
              </w:rPr>
              <w:instrText xml:space="preserve"> PAGEREF _Toc217309579 \h </w:instrText>
            </w:r>
            <w:r w:rsidRPr="00823451">
              <w:rPr>
                <w:webHidden/>
                <w:sz w:val="24"/>
                <w:szCs w:val="24"/>
              </w:rPr>
            </w:r>
            <w:r w:rsidRPr="00823451">
              <w:rPr>
                <w:webHidden/>
                <w:sz w:val="24"/>
                <w:szCs w:val="24"/>
              </w:rPr>
              <w:fldChar w:fldCharType="separate"/>
            </w:r>
            <w:r w:rsidR="000E6559">
              <w:rPr>
                <w:webHidden/>
                <w:sz w:val="24"/>
                <w:szCs w:val="24"/>
              </w:rPr>
              <w:t>11</w:t>
            </w:r>
            <w:r w:rsidRPr="00823451">
              <w:rPr>
                <w:webHidden/>
                <w:sz w:val="24"/>
                <w:szCs w:val="24"/>
              </w:rPr>
              <w:fldChar w:fldCharType="end"/>
            </w:r>
          </w:hyperlink>
        </w:p>
        <w:p w14:paraId="1F1666D8" w14:textId="07A390E7" w:rsidR="00823451" w:rsidRPr="00823451" w:rsidRDefault="00823451">
          <w:pPr>
            <w:pStyle w:val="TOC2"/>
            <w:rPr>
              <w:rFonts w:eastAsiaTheme="minorEastAsia" w:cstheme="minorBidi"/>
              <w:kern w:val="2"/>
              <w:sz w:val="24"/>
              <w:szCs w:val="24"/>
              <w:bdr w:val="none" w:sz="0" w:space="0" w:color="auto"/>
              <w:lang w:val="en-US" w:eastAsia="en-US"/>
              <w14:ligatures w14:val="standardContextual"/>
            </w:rPr>
          </w:pPr>
          <w:hyperlink w:anchor="_Toc217309580" w:history="1">
            <w:r w:rsidRPr="00823451">
              <w:rPr>
                <w:rStyle w:val="Hyperlink"/>
                <w:sz w:val="24"/>
                <w:szCs w:val="24"/>
              </w:rPr>
              <w:t>B.</w:t>
            </w:r>
            <w:r w:rsidRPr="00823451">
              <w:rPr>
                <w:rFonts w:eastAsiaTheme="minorEastAsia" w:cstheme="minorBidi"/>
                <w:kern w:val="2"/>
                <w:sz w:val="24"/>
                <w:szCs w:val="24"/>
                <w:bdr w:val="none" w:sz="0" w:space="0" w:color="auto"/>
                <w:lang w:val="en-US" w:eastAsia="en-US"/>
                <w14:ligatures w14:val="standardContextual"/>
              </w:rPr>
              <w:tab/>
            </w:r>
            <w:r w:rsidRPr="00823451">
              <w:rPr>
                <w:rStyle w:val="Hyperlink"/>
                <w:rFonts w:cs="Cambria"/>
                <w:sz w:val="24"/>
                <w:szCs w:val="24"/>
              </w:rPr>
              <w:t>Right to a fair trial (Article 8) and to judicial protection (Article 25), in relation to Article 1.1 of the American Convention</w:t>
            </w:r>
            <w:r w:rsidRPr="00823451">
              <w:rPr>
                <w:webHidden/>
                <w:sz w:val="24"/>
                <w:szCs w:val="24"/>
              </w:rPr>
              <w:tab/>
            </w:r>
            <w:r w:rsidRPr="00823451">
              <w:rPr>
                <w:webHidden/>
                <w:sz w:val="24"/>
                <w:szCs w:val="24"/>
              </w:rPr>
              <w:fldChar w:fldCharType="begin"/>
            </w:r>
            <w:r w:rsidRPr="00823451">
              <w:rPr>
                <w:webHidden/>
                <w:sz w:val="24"/>
                <w:szCs w:val="24"/>
              </w:rPr>
              <w:instrText xml:space="preserve"> PAGEREF _Toc217309580 \h </w:instrText>
            </w:r>
            <w:r w:rsidRPr="00823451">
              <w:rPr>
                <w:webHidden/>
                <w:sz w:val="24"/>
                <w:szCs w:val="24"/>
              </w:rPr>
            </w:r>
            <w:r w:rsidRPr="00823451">
              <w:rPr>
                <w:webHidden/>
                <w:sz w:val="24"/>
                <w:szCs w:val="24"/>
              </w:rPr>
              <w:fldChar w:fldCharType="separate"/>
            </w:r>
            <w:r w:rsidR="000E6559">
              <w:rPr>
                <w:webHidden/>
                <w:sz w:val="24"/>
                <w:szCs w:val="24"/>
              </w:rPr>
              <w:t>16</w:t>
            </w:r>
            <w:r w:rsidRPr="00823451">
              <w:rPr>
                <w:webHidden/>
                <w:sz w:val="24"/>
                <w:szCs w:val="24"/>
              </w:rPr>
              <w:fldChar w:fldCharType="end"/>
            </w:r>
          </w:hyperlink>
        </w:p>
        <w:p w14:paraId="3974300E" w14:textId="31C69499" w:rsidR="00823451" w:rsidRPr="00823451" w:rsidRDefault="00823451">
          <w:pPr>
            <w:pStyle w:val="TOC3"/>
            <w:rPr>
              <w:rFonts w:ascii="Cambria" w:eastAsiaTheme="minorEastAsia" w:hAnsi="Cambria" w:cstheme="minorBidi"/>
              <w:noProof/>
              <w:kern w:val="2"/>
              <w:bdr w:val="none" w:sz="0" w:space="0" w:color="auto"/>
              <w14:ligatures w14:val="standardContextual"/>
            </w:rPr>
          </w:pPr>
          <w:hyperlink w:anchor="_Toc217309581" w:history="1">
            <w:r w:rsidRPr="00823451">
              <w:rPr>
                <w:rStyle w:val="Hyperlink"/>
                <w:rFonts w:ascii="Cambria" w:hAnsi="Cambria"/>
                <w:noProof/>
                <w:lang w:val="es-ES"/>
              </w:rPr>
              <w:t>1.</w:t>
            </w:r>
            <w:r w:rsidRPr="00823451">
              <w:rPr>
                <w:rFonts w:ascii="Cambria" w:eastAsiaTheme="minorEastAsia" w:hAnsi="Cambria" w:cstheme="minorBidi"/>
                <w:noProof/>
                <w:kern w:val="2"/>
                <w:bdr w:val="none" w:sz="0" w:space="0" w:color="auto"/>
                <w14:ligatures w14:val="standardContextual"/>
              </w:rPr>
              <w:tab/>
            </w:r>
            <w:r w:rsidRPr="00823451">
              <w:rPr>
                <w:rStyle w:val="Hyperlink"/>
                <w:rFonts w:ascii="Cambria" w:eastAsia="Cambria" w:hAnsi="Cambria" w:cs="Cambria"/>
                <w:noProof/>
              </w:rPr>
              <w:t>General considerations</w:t>
            </w:r>
            <w:r w:rsidRPr="00823451">
              <w:rPr>
                <w:rFonts w:ascii="Cambria" w:hAnsi="Cambria"/>
                <w:noProof/>
                <w:webHidden/>
              </w:rPr>
              <w:tab/>
            </w:r>
            <w:r w:rsidRPr="00823451">
              <w:rPr>
                <w:rFonts w:ascii="Cambria" w:hAnsi="Cambria"/>
                <w:noProof/>
                <w:webHidden/>
              </w:rPr>
              <w:fldChar w:fldCharType="begin"/>
            </w:r>
            <w:r w:rsidRPr="00823451">
              <w:rPr>
                <w:rFonts w:ascii="Cambria" w:hAnsi="Cambria"/>
                <w:noProof/>
                <w:webHidden/>
              </w:rPr>
              <w:instrText xml:space="preserve"> PAGEREF _Toc217309581 \h </w:instrText>
            </w:r>
            <w:r w:rsidRPr="00823451">
              <w:rPr>
                <w:rFonts w:ascii="Cambria" w:hAnsi="Cambria"/>
                <w:noProof/>
                <w:webHidden/>
              </w:rPr>
            </w:r>
            <w:r w:rsidRPr="00823451">
              <w:rPr>
                <w:rFonts w:ascii="Cambria" w:hAnsi="Cambria"/>
                <w:noProof/>
                <w:webHidden/>
              </w:rPr>
              <w:fldChar w:fldCharType="separate"/>
            </w:r>
            <w:r w:rsidR="000E6559">
              <w:rPr>
                <w:rFonts w:ascii="Cambria" w:hAnsi="Cambria"/>
                <w:noProof/>
                <w:webHidden/>
              </w:rPr>
              <w:t>16</w:t>
            </w:r>
            <w:r w:rsidRPr="00823451">
              <w:rPr>
                <w:rFonts w:ascii="Cambria" w:hAnsi="Cambria"/>
                <w:noProof/>
                <w:webHidden/>
              </w:rPr>
              <w:fldChar w:fldCharType="end"/>
            </w:r>
          </w:hyperlink>
        </w:p>
        <w:p w14:paraId="39645CC8" w14:textId="60F47580" w:rsidR="00823451" w:rsidRPr="00823451" w:rsidRDefault="00823451">
          <w:pPr>
            <w:pStyle w:val="TOC3"/>
            <w:rPr>
              <w:rFonts w:ascii="Cambria" w:eastAsiaTheme="minorEastAsia" w:hAnsi="Cambria" w:cstheme="minorBidi"/>
              <w:noProof/>
              <w:kern w:val="2"/>
              <w:bdr w:val="none" w:sz="0" w:space="0" w:color="auto"/>
              <w14:ligatures w14:val="standardContextual"/>
            </w:rPr>
          </w:pPr>
          <w:hyperlink w:anchor="_Toc217309582" w:history="1">
            <w:r w:rsidRPr="00823451">
              <w:rPr>
                <w:rStyle w:val="Hyperlink"/>
                <w:rFonts w:ascii="Cambria" w:eastAsia="Cambria" w:hAnsi="Cambria" w:cs="Cambria"/>
                <w:noProof/>
              </w:rPr>
              <w:t>2.  Analysis of this case</w:t>
            </w:r>
            <w:r w:rsidRPr="00823451">
              <w:rPr>
                <w:rFonts w:ascii="Cambria" w:hAnsi="Cambria"/>
                <w:noProof/>
                <w:webHidden/>
              </w:rPr>
              <w:tab/>
            </w:r>
            <w:r w:rsidRPr="00823451">
              <w:rPr>
                <w:rFonts w:ascii="Cambria" w:hAnsi="Cambria"/>
                <w:noProof/>
                <w:webHidden/>
              </w:rPr>
              <w:fldChar w:fldCharType="begin"/>
            </w:r>
            <w:r w:rsidRPr="00823451">
              <w:rPr>
                <w:rFonts w:ascii="Cambria" w:hAnsi="Cambria"/>
                <w:noProof/>
                <w:webHidden/>
              </w:rPr>
              <w:instrText xml:space="preserve"> PAGEREF _Toc217309582 \h </w:instrText>
            </w:r>
            <w:r w:rsidRPr="00823451">
              <w:rPr>
                <w:rFonts w:ascii="Cambria" w:hAnsi="Cambria"/>
                <w:noProof/>
                <w:webHidden/>
              </w:rPr>
            </w:r>
            <w:r w:rsidRPr="00823451">
              <w:rPr>
                <w:rFonts w:ascii="Cambria" w:hAnsi="Cambria"/>
                <w:noProof/>
                <w:webHidden/>
              </w:rPr>
              <w:fldChar w:fldCharType="separate"/>
            </w:r>
            <w:r w:rsidR="000E6559">
              <w:rPr>
                <w:rFonts w:ascii="Cambria" w:hAnsi="Cambria"/>
                <w:noProof/>
                <w:webHidden/>
              </w:rPr>
              <w:t>18</w:t>
            </w:r>
            <w:r w:rsidRPr="00823451">
              <w:rPr>
                <w:rFonts w:ascii="Cambria" w:hAnsi="Cambria"/>
                <w:noProof/>
                <w:webHidden/>
              </w:rPr>
              <w:fldChar w:fldCharType="end"/>
            </w:r>
          </w:hyperlink>
        </w:p>
        <w:p w14:paraId="5A483A5F" w14:textId="219302DA" w:rsidR="00823451" w:rsidRPr="00823451" w:rsidRDefault="00823451">
          <w:pPr>
            <w:pStyle w:val="TOC2"/>
            <w:rPr>
              <w:rFonts w:eastAsiaTheme="minorEastAsia" w:cstheme="minorBidi"/>
              <w:kern w:val="2"/>
              <w:sz w:val="24"/>
              <w:szCs w:val="24"/>
              <w:bdr w:val="none" w:sz="0" w:space="0" w:color="auto"/>
              <w:lang w:val="en-US" w:eastAsia="en-US"/>
              <w14:ligatures w14:val="standardContextual"/>
            </w:rPr>
          </w:pPr>
          <w:hyperlink w:anchor="_Toc217309583" w:history="1">
            <w:r w:rsidRPr="00823451">
              <w:rPr>
                <w:rStyle w:val="Hyperlink"/>
                <w:sz w:val="24"/>
                <w:szCs w:val="24"/>
              </w:rPr>
              <w:t>C.</w:t>
            </w:r>
            <w:r w:rsidRPr="00823451">
              <w:rPr>
                <w:rFonts w:eastAsiaTheme="minorEastAsia" w:cstheme="minorBidi"/>
                <w:kern w:val="2"/>
                <w:sz w:val="24"/>
                <w:szCs w:val="24"/>
                <w:bdr w:val="none" w:sz="0" w:space="0" w:color="auto"/>
                <w:lang w:val="en-US" w:eastAsia="en-US"/>
                <w14:ligatures w14:val="standardContextual"/>
              </w:rPr>
              <w:tab/>
            </w:r>
            <w:r w:rsidRPr="00823451">
              <w:rPr>
                <w:rStyle w:val="Hyperlink"/>
                <w:rFonts w:cs="Cambria"/>
                <w:sz w:val="24"/>
                <w:szCs w:val="24"/>
              </w:rPr>
              <w:t>Right to personal integrity (Article 5.1), in relation to Article 1.1 of the American Convention, of Terry Langton and Lyn Langton</w:t>
            </w:r>
            <w:r w:rsidRPr="00823451">
              <w:rPr>
                <w:webHidden/>
                <w:sz w:val="24"/>
                <w:szCs w:val="24"/>
              </w:rPr>
              <w:tab/>
            </w:r>
            <w:r w:rsidRPr="00823451">
              <w:rPr>
                <w:webHidden/>
                <w:sz w:val="24"/>
                <w:szCs w:val="24"/>
              </w:rPr>
              <w:fldChar w:fldCharType="begin"/>
            </w:r>
            <w:r w:rsidRPr="00823451">
              <w:rPr>
                <w:webHidden/>
                <w:sz w:val="24"/>
                <w:szCs w:val="24"/>
              </w:rPr>
              <w:instrText xml:space="preserve"> PAGEREF _Toc217309583 \h </w:instrText>
            </w:r>
            <w:r w:rsidRPr="00823451">
              <w:rPr>
                <w:webHidden/>
                <w:sz w:val="24"/>
                <w:szCs w:val="24"/>
              </w:rPr>
            </w:r>
            <w:r w:rsidRPr="00823451">
              <w:rPr>
                <w:webHidden/>
                <w:sz w:val="24"/>
                <w:szCs w:val="24"/>
              </w:rPr>
              <w:fldChar w:fldCharType="separate"/>
            </w:r>
            <w:r w:rsidR="000E6559">
              <w:rPr>
                <w:webHidden/>
                <w:sz w:val="24"/>
                <w:szCs w:val="24"/>
              </w:rPr>
              <w:t>19</w:t>
            </w:r>
            <w:r w:rsidRPr="00823451">
              <w:rPr>
                <w:webHidden/>
                <w:sz w:val="24"/>
                <w:szCs w:val="24"/>
              </w:rPr>
              <w:fldChar w:fldCharType="end"/>
            </w:r>
          </w:hyperlink>
        </w:p>
        <w:p w14:paraId="1FF446EC" w14:textId="1945B29E" w:rsidR="00823451" w:rsidRPr="00823451" w:rsidRDefault="00823451">
          <w:pPr>
            <w:pStyle w:val="TOC1"/>
            <w:rPr>
              <w:rFonts w:eastAsiaTheme="minorEastAsia" w:cstheme="minorBidi"/>
              <w:b w:val="0"/>
              <w:bCs w:val="0"/>
              <w:kern w:val="2"/>
              <w:sz w:val="24"/>
              <w:szCs w:val="24"/>
              <w:bdr w:val="none" w:sz="0" w:space="0" w:color="auto"/>
              <w:lang w:val="en-US"/>
              <w14:ligatures w14:val="standardContextual"/>
            </w:rPr>
          </w:pPr>
          <w:hyperlink w:anchor="_Toc217309584" w:history="1">
            <w:r w:rsidRPr="00823451">
              <w:rPr>
                <w:rStyle w:val="Hyperlink"/>
                <w:rFonts w:eastAsia="Cambria" w:cs="Cambria"/>
                <w:sz w:val="24"/>
                <w:szCs w:val="24"/>
                <w:lang w:val="es-CO"/>
              </w:rPr>
              <w:t>V.</w:t>
            </w:r>
            <w:r w:rsidRPr="00823451">
              <w:rPr>
                <w:rFonts w:eastAsiaTheme="minorEastAsia" w:cstheme="minorBidi"/>
                <w:b w:val="0"/>
                <w:bCs w:val="0"/>
                <w:kern w:val="2"/>
                <w:sz w:val="24"/>
                <w:szCs w:val="24"/>
                <w:bdr w:val="none" w:sz="0" w:space="0" w:color="auto"/>
                <w:lang w:val="en-US"/>
                <w14:ligatures w14:val="standardContextual"/>
              </w:rPr>
              <w:tab/>
            </w:r>
            <w:r w:rsidRPr="00823451">
              <w:rPr>
                <w:rStyle w:val="Hyperlink"/>
                <w:rFonts w:eastAsia="Cambria" w:cs="Cambria"/>
                <w:sz w:val="24"/>
                <w:szCs w:val="24"/>
              </w:rPr>
              <w:t>REPORT</w:t>
            </w:r>
            <w:r w:rsidRPr="00823451">
              <w:rPr>
                <w:rStyle w:val="Hyperlink"/>
                <w:rFonts w:eastAsia="Malgun Gothic"/>
                <w:sz w:val="24"/>
                <w:szCs w:val="24"/>
              </w:rPr>
              <w:t xml:space="preserve"> 389/21 AND COMPLIANCE INFORMATION</w:t>
            </w:r>
            <w:r w:rsidRPr="00823451">
              <w:rPr>
                <w:webHidden/>
                <w:sz w:val="24"/>
                <w:szCs w:val="24"/>
              </w:rPr>
              <w:tab/>
            </w:r>
            <w:r w:rsidRPr="00823451">
              <w:rPr>
                <w:webHidden/>
                <w:sz w:val="24"/>
                <w:szCs w:val="24"/>
              </w:rPr>
              <w:fldChar w:fldCharType="begin"/>
            </w:r>
            <w:r w:rsidRPr="00823451">
              <w:rPr>
                <w:webHidden/>
                <w:sz w:val="24"/>
                <w:szCs w:val="24"/>
              </w:rPr>
              <w:instrText xml:space="preserve"> PAGEREF _Toc217309584 \h </w:instrText>
            </w:r>
            <w:r w:rsidRPr="00823451">
              <w:rPr>
                <w:webHidden/>
                <w:sz w:val="24"/>
                <w:szCs w:val="24"/>
              </w:rPr>
            </w:r>
            <w:r w:rsidRPr="00823451">
              <w:rPr>
                <w:webHidden/>
                <w:sz w:val="24"/>
                <w:szCs w:val="24"/>
              </w:rPr>
              <w:fldChar w:fldCharType="separate"/>
            </w:r>
            <w:r w:rsidR="000E6559">
              <w:rPr>
                <w:webHidden/>
                <w:sz w:val="24"/>
                <w:szCs w:val="24"/>
              </w:rPr>
              <w:t>20</w:t>
            </w:r>
            <w:r w:rsidRPr="00823451">
              <w:rPr>
                <w:webHidden/>
                <w:sz w:val="24"/>
                <w:szCs w:val="24"/>
              </w:rPr>
              <w:fldChar w:fldCharType="end"/>
            </w:r>
          </w:hyperlink>
        </w:p>
        <w:p w14:paraId="7951A199" w14:textId="77F3231B" w:rsidR="00823451" w:rsidRPr="00823451" w:rsidRDefault="00823451">
          <w:pPr>
            <w:pStyle w:val="TOC1"/>
            <w:rPr>
              <w:rFonts w:eastAsiaTheme="minorEastAsia" w:cstheme="minorBidi"/>
              <w:b w:val="0"/>
              <w:bCs w:val="0"/>
              <w:kern w:val="2"/>
              <w:sz w:val="24"/>
              <w:szCs w:val="24"/>
              <w:bdr w:val="none" w:sz="0" w:space="0" w:color="auto"/>
              <w:lang w:val="en-US"/>
              <w14:ligatures w14:val="standardContextual"/>
            </w:rPr>
          </w:pPr>
          <w:hyperlink w:anchor="_Toc217309585" w:history="1">
            <w:r w:rsidRPr="00823451">
              <w:rPr>
                <w:rStyle w:val="Hyperlink"/>
                <w:rFonts w:eastAsia="Cambria" w:cs="Cambria"/>
                <w:sz w:val="24"/>
                <w:szCs w:val="24"/>
              </w:rPr>
              <w:t>VI.</w:t>
            </w:r>
            <w:r w:rsidRPr="00823451">
              <w:rPr>
                <w:rFonts w:eastAsiaTheme="minorEastAsia" w:cstheme="minorBidi"/>
                <w:b w:val="0"/>
                <w:bCs w:val="0"/>
                <w:kern w:val="2"/>
                <w:sz w:val="24"/>
                <w:szCs w:val="24"/>
                <w:bdr w:val="none" w:sz="0" w:space="0" w:color="auto"/>
                <w:lang w:val="en-US"/>
                <w14:ligatures w14:val="standardContextual"/>
              </w:rPr>
              <w:tab/>
            </w:r>
            <w:r w:rsidRPr="00823451">
              <w:rPr>
                <w:rStyle w:val="Hyperlink"/>
                <w:rFonts w:eastAsia="Cambria" w:cs="Cambria"/>
                <w:sz w:val="24"/>
                <w:szCs w:val="24"/>
              </w:rPr>
              <w:t>SUBSEQUENT</w:t>
            </w:r>
            <w:r w:rsidRPr="00823451">
              <w:rPr>
                <w:rStyle w:val="Hyperlink"/>
                <w:rFonts w:eastAsia="Malgun Gothic"/>
                <w:sz w:val="24"/>
                <w:szCs w:val="24"/>
              </w:rPr>
              <w:t xml:space="preserve"> PROCEEDINGS TO REPORT No. 42/25 AND INFORMATION ON COMPLIANCE</w:t>
            </w:r>
            <w:r w:rsidRPr="00823451">
              <w:rPr>
                <w:webHidden/>
                <w:sz w:val="24"/>
                <w:szCs w:val="24"/>
              </w:rPr>
              <w:tab/>
            </w:r>
            <w:r w:rsidRPr="00823451">
              <w:rPr>
                <w:webHidden/>
                <w:sz w:val="24"/>
                <w:szCs w:val="24"/>
              </w:rPr>
              <w:tab/>
            </w:r>
            <w:r w:rsidRPr="00823451">
              <w:rPr>
                <w:webHidden/>
                <w:sz w:val="24"/>
                <w:szCs w:val="24"/>
              </w:rPr>
              <w:fldChar w:fldCharType="begin"/>
            </w:r>
            <w:r w:rsidRPr="00823451">
              <w:rPr>
                <w:webHidden/>
                <w:sz w:val="24"/>
                <w:szCs w:val="24"/>
              </w:rPr>
              <w:instrText xml:space="preserve"> PAGEREF _Toc217309585 \h </w:instrText>
            </w:r>
            <w:r w:rsidRPr="00823451">
              <w:rPr>
                <w:webHidden/>
                <w:sz w:val="24"/>
                <w:szCs w:val="24"/>
              </w:rPr>
            </w:r>
            <w:r w:rsidRPr="00823451">
              <w:rPr>
                <w:webHidden/>
                <w:sz w:val="24"/>
                <w:szCs w:val="24"/>
              </w:rPr>
              <w:fldChar w:fldCharType="separate"/>
            </w:r>
            <w:r w:rsidR="000E6559">
              <w:rPr>
                <w:webHidden/>
                <w:sz w:val="24"/>
                <w:szCs w:val="24"/>
              </w:rPr>
              <w:t>20</w:t>
            </w:r>
            <w:r w:rsidRPr="00823451">
              <w:rPr>
                <w:webHidden/>
                <w:sz w:val="24"/>
                <w:szCs w:val="24"/>
              </w:rPr>
              <w:fldChar w:fldCharType="end"/>
            </w:r>
          </w:hyperlink>
        </w:p>
        <w:p w14:paraId="4BB170EE" w14:textId="402F2504" w:rsidR="00823451" w:rsidRPr="00823451" w:rsidRDefault="00823451">
          <w:pPr>
            <w:pStyle w:val="TOC1"/>
            <w:rPr>
              <w:rFonts w:eastAsiaTheme="minorEastAsia" w:cstheme="minorBidi"/>
              <w:b w:val="0"/>
              <w:bCs w:val="0"/>
              <w:kern w:val="2"/>
              <w:sz w:val="24"/>
              <w:szCs w:val="24"/>
              <w:bdr w:val="none" w:sz="0" w:space="0" w:color="auto"/>
              <w:lang w:val="en-US"/>
              <w14:ligatures w14:val="standardContextual"/>
            </w:rPr>
          </w:pPr>
          <w:hyperlink w:anchor="_Toc217309586" w:history="1">
            <w:r w:rsidRPr="00823451">
              <w:rPr>
                <w:rStyle w:val="Hyperlink"/>
                <w:rFonts w:eastAsia="Cambria" w:cs="Cambria"/>
                <w:sz w:val="24"/>
                <w:szCs w:val="24"/>
                <w:lang w:val="es-CO"/>
              </w:rPr>
              <w:t>VII.</w:t>
            </w:r>
            <w:r w:rsidRPr="00823451">
              <w:rPr>
                <w:rFonts w:eastAsiaTheme="minorEastAsia" w:cstheme="minorBidi"/>
                <w:b w:val="0"/>
                <w:bCs w:val="0"/>
                <w:kern w:val="2"/>
                <w:sz w:val="24"/>
                <w:szCs w:val="24"/>
                <w:bdr w:val="none" w:sz="0" w:space="0" w:color="auto"/>
                <w:lang w:val="en-US"/>
                <w14:ligatures w14:val="standardContextual"/>
              </w:rPr>
              <w:tab/>
            </w:r>
            <w:r w:rsidRPr="00823451">
              <w:rPr>
                <w:rStyle w:val="Hyperlink"/>
                <w:rFonts w:eastAsia="Cambria" w:cs="Cambria"/>
                <w:sz w:val="24"/>
                <w:szCs w:val="24"/>
              </w:rPr>
              <w:t>CONCLUSIONS</w:t>
            </w:r>
            <w:r w:rsidRPr="00823451">
              <w:rPr>
                <w:rStyle w:val="Hyperlink"/>
                <w:rFonts w:eastAsia="Malgun Gothic"/>
                <w:sz w:val="24"/>
                <w:szCs w:val="24"/>
              </w:rPr>
              <w:t xml:space="preserve"> AND FINAL RECOMMENDATIONS</w:t>
            </w:r>
            <w:r w:rsidRPr="00823451">
              <w:rPr>
                <w:webHidden/>
                <w:sz w:val="24"/>
                <w:szCs w:val="24"/>
              </w:rPr>
              <w:tab/>
            </w:r>
            <w:r w:rsidRPr="00823451">
              <w:rPr>
                <w:webHidden/>
                <w:sz w:val="24"/>
                <w:szCs w:val="24"/>
              </w:rPr>
              <w:fldChar w:fldCharType="begin"/>
            </w:r>
            <w:r w:rsidRPr="00823451">
              <w:rPr>
                <w:webHidden/>
                <w:sz w:val="24"/>
                <w:szCs w:val="24"/>
              </w:rPr>
              <w:instrText xml:space="preserve"> PAGEREF _Toc217309586 \h </w:instrText>
            </w:r>
            <w:r w:rsidRPr="00823451">
              <w:rPr>
                <w:webHidden/>
                <w:sz w:val="24"/>
                <w:szCs w:val="24"/>
              </w:rPr>
            </w:r>
            <w:r w:rsidRPr="00823451">
              <w:rPr>
                <w:webHidden/>
                <w:sz w:val="24"/>
                <w:szCs w:val="24"/>
              </w:rPr>
              <w:fldChar w:fldCharType="separate"/>
            </w:r>
            <w:r w:rsidR="000E6559">
              <w:rPr>
                <w:webHidden/>
                <w:sz w:val="24"/>
                <w:szCs w:val="24"/>
              </w:rPr>
              <w:t>21</w:t>
            </w:r>
            <w:r w:rsidRPr="00823451">
              <w:rPr>
                <w:webHidden/>
                <w:sz w:val="24"/>
                <w:szCs w:val="24"/>
              </w:rPr>
              <w:fldChar w:fldCharType="end"/>
            </w:r>
          </w:hyperlink>
        </w:p>
        <w:p w14:paraId="71462829" w14:textId="3DDA71FA" w:rsidR="00823451" w:rsidRPr="00823451" w:rsidRDefault="00823451">
          <w:pPr>
            <w:pStyle w:val="TOC1"/>
            <w:rPr>
              <w:rFonts w:eastAsiaTheme="minorEastAsia" w:cstheme="minorBidi"/>
              <w:b w:val="0"/>
              <w:bCs w:val="0"/>
              <w:kern w:val="2"/>
              <w:sz w:val="24"/>
              <w:szCs w:val="24"/>
              <w:bdr w:val="none" w:sz="0" w:space="0" w:color="auto"/>
              <w:lang w:val="en-US"/>
              <w14:ligatures w14:val="standardContextual"/>
            </w:rPr>
          </w:pPr>
          <w:hyperlink w:anchor="_Toc217309587" w:history="1">
            <w:r w:rsidRPr="00823451">
              <w:rPr>
                <w:rStyle w:val="Hyperlink"/>
                <w:rFonts w:eastAsia="Cambria" w:cs="Cambria"/>
                <w:sz w:val="24"/>
                <w:szCs w:val="24"/>
                <w:lang w:val="es-CO"/>
              </w:rPr>
              <w:t>VIII.</w:t>
            </w:r>
            <w:r w:rsidRPr="00823451">
              <w:rPr>
                <w:rFonts w:eastAsiaTheme="minorEastAsia" w:cstheme="minorBidi"/>
                <w:b w:val="0"/>
                <w:bCs w:val="0"/>
                <w:kern w:val="2"/>
                <w:sz w:val="24"/>
                <w:szCs w:val="24"/>
                <w:bdr w:val="none" w:sz="0" w:space="0" w:color="auto"/>
                <w:lang w:val="en-US"/>
                <w14:ligatures w14:val="standardContextual"/>
              </w:rPr>
              <w:tab/>
            </w:r>
            <w:r w:rsidRPr="00823451">
              <w:rPr>
                <w:rStyle w:val="Hyperlink"/>
                <w:rFonts w:eastAsia="Cambria" w:cs="Cambria"/>
                <w:sz w:val="24"/>
                <w:szCs w:val="24"/>
              </w:rPr>
              <w:t>PUBLICATION</w:t>
            </w:r>
            <w:r w:rsidRPr="00823451">
              <w:rPr>
                <w:webHidden/>
                <w:sz w:val="24"/>
                <w:szCs w:val="24"/>
              </w:rPr>
              <w:tab/>
            </w:r>
            <w:r w:rsidRPr="00823451">
              <w:rPr>
                <w:webHidden/>
                <w:sz w:val="24"/>
                <w:szCs w:val="24"/>
              </w:rPr>
              <w:fldChar w:fldCharType="begin"/>
            </w:r>
            <w:r w:rsidRPr="00823451">
              <w:rPr>
                <w:webHidden/>
                <w:sz w:val="24"/>
                <w:szCs w:val="24"/>
              </w:rPr>
              <w:instrText xml:space="preserve"> PAGEREF _Toc217309587 \h </w:instrText>
            </w:r>
            <w:r w:rsidRPr="00823451">
              <w:rPr>
                <w:webHidden/>
                <w:sz w:val="24"/>
                <w:szCs w:val="24"/>
              </w:rPr>
            </w:r>
            <w:r w:rsidRPr="00823451">
              <w:rPr>
                <w:webHidden/>
                <w:sz w:val="24"/>
                <w:szCs w:val="24"/>
              </w:rPr>
              <w:fldChar w:fldCharType="separate"/>
            </w:r>
            <w:r w:rsidR="000E6559">
              <w:rPr>
                <w:webHidden/>
                <w:sz w:val="24"/>
                <w:szCs w:val="24"/>
              </w:rPr>
              <w:t>21</w:t>
            </w:r>
            <w:r w:rsidRPr="00823451">
              <w:rPr>
                <w:webHidden/>
                <w:sz w:val="24"/>
                <w:szCs w:val="24"/>
              </w:rPr>
              <w:fldChar w:fldCharType="end"/>
            </w:r>
          </w:hyperlink>
        </w:p>
        <w:p w14:paraId="5D319C16" w14:textId="2B7F9499" w:rsidR="00EA6555" w:rsidRPr="0028556A" w:rsidRDefault="0066215E" w:rsidP="0028556A">
          <w:pPr>
            <w:rPr>
              <w:rFonts w:ascii="Cambria" w:hAnsi="Cambria"/>
              <w:lang w:val="es-ES"/>
            </w:rPr>
          </w:pPr>
          <w:r w:rsidRPr="00823451">
            <w:rPr>
              <w:rFonts w:ascii="Cambria" w:hAnsi="Cambria"/>
              <w:bCs/>
              <w:lang w:val="es-ES"/>
            </w:rPr>
            <w:fldChar w:fldCharType="end"/>
          </w:r>
        </w:p>
      </w:sdtContent>
    </w:sdt>
    <w:p w14:paraId="533DE6A9" w14:textId="77777777" w:rsidR="00EA6555" w:rsidRPr="00A623AB" w:rsidRDefault="00EA6555" w:rsidP="00E17464">
      <w:pPr>
        <w:tabs>
          <w:tab w:val="center" w:pos="5400"/>
        </w:tabs>
        <w:suppressAutoHyphens/>
        <w:spacing w:line="276" w:lineRule="auto"/>
        <w:jc w:val="center"/>
        <w:rPr>
          <w:rFonts w:ascii="Cambria" w:hAnsi="Cambria"/>
          <w:b/>
          <w:sz w:val="20"/>
          <w:szCs w:val="20"/>
          <w:lang w:val="es-ES"/>
        </w:rPr>
      </w:pPr>
    </w:p>
    <w:p w14:paraId="08C6C61A" w14:textId="77777777" w:rsidR="00EA6555" w:rsidRPr="00A623AB" w:rsidRDefault="00EA6555" w:rsidP="00E17464">
      <w:pPr>
        <w:tabs>
          <w:tab w:val="center" w:pos="5400"/>
        </w:tabs>
        <w:suppressAutoHyphens/>
        <w:spacing w:line="276" w:lineRule="auto"/>
        <w:jc w:val="center"/>
        <w:rPr>
          <w:rFonts w:ascii="Cambria" w:hAnsi="Cambria"/>
          <w:b/>
          <w:sz w:val="20"/>
          <w:szCs w:val="20"/>
          <w:lang w:val="es-ES"/>
        </w:rPr>
      </w:pPr>
    </w:p>
    <w:p w14:paraId="23E5FF54" w14:textId="189381F0" w:rsidR="0027491A" w:rsidRDefault="0027491A">
      <w:pPr>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b/>
          <w:sz w:val="20"/>
          <w:szCs w:val="20"/>
          <w:lang w:val="es-ES"/>
        </w:rPr>
      </w:pPr>
      <w:r>
        <w:rPr>
          <w:rFonts w:ascii="Cambria" w:hAnsi="Cambria"/>
          <w:b/>
          <w:sz w:val="20"/>
          <w:szCs w:val="20"/>
          <w:lang w:val="es-ES"/>
        </w:rPr>
        <w:br w:type="page"/>
      </w:r>
    </w:p>
    <w:p w14:paraId="49810D96" w14:textId="77777777" w:rsidR="002A6B05" w:rsidRPr="00A623AB" w:rsidRDefault="002A6B05" w:rsidP="00981BF7">
      <w:pPr>
        <w:tabs>
          <w:tab w:val="center" w:pos="5400"/>
        </w:tabs>
        <w:suppressAutoHyphens/>
        <w:rPr>
          <w:rFonts w:ascii="Cambria" w:hAnsi="Cambria"/>
          <w:sz w:val="20"/>
          <w:szCs w:val="20"/>
          <w:lang w:val="es-ES"/>
        </w:rPr>
      </w:pPr>
    </w:p>
    <w:p w14:paraId="76F305AF" w14:textId="07249F40" w:rsidR="002A6B05" w:rsidRPr="00A623AB" w:rsidRDefault="0066215E" w:rsidP="00120626">
      <w:pPr>
        <w:pStyle w:val="Heading1"/>
        <w:numPr>
          <w:ilvl w:val="0"/>
          <w:numId w:val="65"/>
        </w:numPr>
        <w:spacing w:before="0"/>
        <w:rPr>
          <w:rFonts w:ascii="Cambria" w:hAnsi="Cambria"/>
          <w:color w:val="auto"/>
          <w:sz w:val="20"/>
          <w:szCs w:val="20"/>
          <w:lang w:val="es-ES"/>
        </w:rPr>
      </w:pPr>
      <w:bookmarkStart w:id="2" w:name="_Toc370840743"/>
      <w:bookmarkStart w:id="3" w:name="_Toc370840839"/>
      <w:bookmarkStart w:id="4" w:name="_Toc423514405"/>
      <w:bookmarkStart w:id="5" w:name="_Toc441166725"/>
      <w:bookmarkStart w:id="6" w:name="_Toc477355340"/>
      <w:bookmarkStart w:id="7" w:name="_Toc217309568"/>
      <w:r w:rsidRPr="00A623AB">
        <w:rPr>
          <w:rFonts w:ascii="Cambria" w:eastAsia="Cambria" w:hAnsi="Cambria" w:cs="Cambria"/>
          <w:color w:val="auto"/>
          <w:sz w:val="20"/>
          <w:szCs w:val="20"/>
        </w:rPr>
        <w:t>SUMMARY</w:t>
      </w:r>
      <w:bookmarkEnd w:id="2"/>
      <w:bookmarkEnd w:id="3"/>
      <w:bookmarkEnd w:id="4"/>
      <w:bookmarkEnd w:id="5"/>
      <w:bookmarkEnd w:id="6"/>
      <w:bookmarkEnd w:id="7"/>
    </w:p>
    <w:p w14:paraId="642E14BD" w14:textId="77777777" w:rsidR="002A6B05" w:rsidRPr="00A623AB" w:rsidRDefault="002A6B05" w:rsidP="002A6B05">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jc w:val="both"/>
        <w:rPr>
          <w:rFonts w:ascii="Cambria" w:hAnsi="Cambria"/>
          <w:sz w:val="20"/>
          <w:szCs w:val="20"/>
          <w:lang w:val="es-ES"/>
        </w:rPr>
      </w:pPr>
    </w:p>
    <w:p w14:paraId="56DE94C3" w14:textId="06F463E2" w:rsidR="001F742A" w:rsidRPr="00A623AB" w:rsidRDefault="0066215E" w:rsidP="0036484A">
      <w:pPr>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spacing w:after="120"/>
        <w:ind w:left="0" w:firstLine="709"/>
        <w:jc w:val="both"/>
        <w:rPr>
          <w:rFonts w:ascii="Cambria" w:hAnsi="Cambria"/>
          <w:sz w:val="20"/>
          <w:szCs w:val="20"/>
        </w:rPr>
      </w:pPr>
      <w:r w:rsidRPr="00A623AB">
        <w:rPr>
          <w:rFonts w:ascii="Cambria" w:eastAsia="Cambria" w:hAnsi="Cambria" w:cs="Cambria"/>
          <w:sz w:val="20"/>
          <w:szCs w:val="20"/>
        </w:rPr>
        <w:t>On April 19, 2011, the Inter-American Commission on Human Rights (hereinafter “the Inter-American Commission”, “the Commission” or “ the IACHR”) received a petition from the non-governmental organization REDRESS (hereinafter “the petitioner</w:t>
      </w:r>
      <w:r w:rsidR="008C68E2" w:rsidRPr="00A623AB">
        <w:rPr>
          <w:rFonts w:ascii="Cambria" w:eastAsia="Cambria" w:hAnsi="Cambria" w:cs="Cambria"/>
          <w:sz w:val="20"/>
          <w:szCs w:val="20"/>
        </w:rPr>
        <w:t>s</w:t>
      </w:r>
      <w:r w:rsidRPr="00A623AB">
        <w:rPr>
          <w:rFonts w:ascii="Cambria" w:eastAsia="Cambria" w:hAnsi="Cambria" w:cs="Cambria"/>
          <w:sz w:val="20"/>
          <w:szCs w:val="20"/>
        </w:rPr>
        <w:t xml:space="preserve">”) alleging the international responsibility of the Bolivarian Republic of Venezuela (hereinafter “the Venezuelan State”, “the State” or “Venezuela”) to the detriment of Sarah Lyn Langton, Terry Langton and Lyn Langton, nationals of the United Kingdom of Great Britain and Northern Ireland. </w:t>
      </w:r>
    </w:p>
    <w:p w14:paraId="33FDF194" w14:textId="77777777" w:rsidR="001F742A" w:rsidRPr="00A623AB" w:rsidRDefault="0066215E" w:rsidP="0036484A">
      <w:pPr>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spacing w:after="120"/>
        <w:ind w:left="0" w:firstLine="709"/>
        <w:jc w:val="both"/>
        <w:rPr>
          <w:rFonts w:ascii="Cambria" w:hAnsi="Cambria"/>
          <w:sz w:val="20"/>
          <w:szCs w:val="20"/>
        </w:rPr>
      </w:pPr>
      <w:r w:rsidRPr="00A623AB">
        <w:rPr>
          <w:rFonts w:ascii="Cambria" w:eastAsia="Cambria" w:hAnsi="Cambria" w:cs="Cambria"/>
          <w:sz w:val="20"/>
          <w:szCs w:val="20"/>
        </w:rPr>
        <w:t>The Commission approved Admissibility Report No. 189/19 on December 5, 2019. On December 26, 2019, the Commission notified the parties of that report and put itself at their disposal with a view to reaching a friendly settlement. The parties were allowed time, in accordance with regulations, to submit additional observations on the merits. The State submitted no observations in this regard. All information received was duly relayed between the parties.</w:t>
      </w:r>
    </w:p>
    <w:p w14:paraId="30299475" w14:textId="77777777" w:rsidR="001F742A" w:rsidRPr="00A623AB" w:rsidRDefault="001F742A" w:rsidP="001F742A">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1260"/>
        <w:jc w:val="both"/>
        <w:rPr>
          <w:rFonts w:ascii="Cambria" w:hAnsi="Cambria"/>
          <w:sz w:val="20"/>
          <w:szCs w:val="20"/>
        </w:rPr>
      </w:pPr>
    </w:p>
    <w:p w14:paraId="4631103D" w14:textId="3731720B" w:rsidR="002A6B05" w:rsidRPr="00A623AB" w:rsidRDefault="0066215E" w:rsidP="00120626">
      <w:pPr>
        <w:pStyle w:val="Heading1"/>
        <w:numPr>
          <w:ilvl w:val="0"/>
          <w:numId w:val="65"/>
        </w:numPr>
        <w:spacing w:before="0"/>
        <w:jc w:val="both"/>
        <w:rPr>
          <w:rFonts w:ascii="Cambria" w:hAnsi="Cambria"/>
          <w:color w:val="auto"/>
          <w:sz w:val="20"/>
          <w:szCs w:val="20"/>
          <w:lang w:val="es-ES"/>
        </w:rPr>
      </w:pPr>
      <w:bookmarkStart w:id="8" w:name="_Toc477355342"/>
      <w:bookmarkStart w:id="9" w:name="_Toc217309569"/>
      <w:r w:rsidRPr="00A623AB">
        <w:rPr>
          <w:rFonts w:ascii="Cambria" w:eastAsia="Cambria" w:hAnsi="Cambria" w:cs="Cambria"/>
          <w:color w:val="auto"/>
          <w:sz w:val="20"/>
          <w:szCs w:val="20"/>
        </w:rPr>
        <w:t>POSITION OF THE PARTIES</w:t>
      </w:r>
      <w:bookmarkEnd w:id="8"/>
      <w:bookmarkEnd w:id="9"/>
    </w:p>
    <w:p w14:paraId="6348D5CA" w14:textId="77777777" w:rsidR="002A6B05" w:rsidRPr="00A623AB" w:rsidRDefault="002A6B05" w:rsidP="002A6B05">
      <w:pPr>
        <w:tabs>
          <w:tab w:val="left" w:pos="1440"/>
        </w:tabs>
        <w:jc w:val="both"/>
        <w:rPr>
          <w:rFonts w:ascii="Cambria" w:hAnsi="Cambria"/>
          <w:sz w:val="20"/>
          <w:szCs w:val="20"/>
          <w:lang w:val="es-ES"/>
        </w:rPr>
      </w:pPr>
    </w:p>
    <w:p w14:paraId="7C3E9A38" w14:textId="427B157E" w:rsidR="002A6B05" w:rsidRPr="00A623AB" w:rsidRDefault="0066215E" w:rsidP="002A6B05">
      <w:pPr>
        <w:pStyle w:val="Heading2"/>
        <w:numPr>
          <w:ilvl w:val="0"/>
          <w:numId w:val="52"/>
        </w:numPr>
        <w:jc w:val="both"/>
        <w:rPr>
          <w:rFonts w:ascii="Cambria" w:hAnsi="Cambria"/>
          <w:i w:val="0"/>
          <w:sz w:val="20"/>
          <w:szCs w:val="20"/>
          <w:lang w:val="es-ES"/>
        </w:rPr>
      </w:pPr>
      <w:bookmarkStart w:id="10" w:name="_Toc423514408"/>
      <w:bookmarkStart w:id="11" w:name="_Toc441166728"/>
      <w:bookmarkStart w:id="12" w:name="_Toc477355343"/>
      <w:bookmarkStart w:id="13" w:name="_Toc217309570"/>
      <w:bookmarkEnd w:id="10"/>
      <w:bookmarkEnd w:id="11"/>
      <w:bookmarkEnd w:id="12"/>
      <w:r w:rsidRPr="00A623AB">
        <w:rPr>
          <w:rFonts w:ascii="Cambria" w:eastAsia="Cambria" w:hAnsi="Cambria" w:cs="Cambria"/>
          <w:i w:val="0"/>
          <w:sz w:val="20"/>
          <w:szCs w:val="20"/>
          <w:bdr w:val="nil"/>
        </w:rPr>
        <w:t>Position of the petitioner</w:t>
      </w:r>
      <w:r w:rsidR="008C68E2" w:rsidRPr="00A623AB">
        <w:rPr>
          <w:rFonts w:ascii="Cambria" w:eastAsia="Cambria" w:hAnsi="Cambria" w:cs="Cambria"/>
          <w:i w:val="0"/>
          <w:sz w:val="20"/>
          <w:szCs w:val="20"/>
          <w:bdr w:val="nil"/>
        </w:rPr>
        <w:t>s</w:t>
      </w:r>
      <w:bookmarkEnd w:id="13"/>
    </w:p>
    <w:p w14:paraId="08AF4F82" w14:textId="77777777" w:rsidR="002A6B05" w:rsidRPr="00A623AB" w:rsidRDefault="002A6B05" w:rsidP="002A6B05">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jc w:val="both"/>
        <w:rPr>
          <w:rFonts w:ascii="Cambria" w:hAnsi="Cambria"/>
          <w:sz w:val="20"/>
          <w:szCs w:val="20"/>
          <w:lang w:val="es-ES"/>
        </w:rPr>
      </w:pPr>
    </w:p>
    <w:p w14:paraId="4889D6C3" w14:textId="309662AE" w:rsidR="002A6B05" w:rsidRPr="00A623AB" w:rsidRDefault="0066215E" w:rsidP="002A6B05">
      <w:pPr>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0" w:firstLine="567"/>
        <w:jc w:val="both"/>
        <w:rPr>
          <w:rFonts w:ascii="Cambria" w:hAnsi="Cambria"/>
          <w:sz w:val="20"/>
          <w:szCs w:val="20"/>
        </w:rPr>
      </w:pPr>
      <w:r w:rsidRPr="00A623AB">
        <w:rPr>
          <w:rFonts w:ascii="Cambria" w:eastAsia="Cambria" w:hAnsi="Cambria" w:cs="Cambria"/>
          <w:sz w:val="20"/>
          <w:szCs w:val="20"/>
        </w:rPr>
        <w:t>The petitioner</w:t>
      </w:r>
      <w:r w:rsidR="008C68E2" w:rsidRPr="00A623AB">
        <w:rPr>
          <w:rFonts w:ascii="Cambria" w:eastAsia="Cambria" w:hAnsi="Cambria" w:cs="Cambria"/>
          <w:sz w:val="20"/>
          <w:szCs w:val="20"/>
        </w:rPr>
        <w:t>s</w:t>
      </w:r>
      <w:r w:rsidRPr="00A623AB">
        <w:rPr>
          <w:rFonts w:ascii="Cambria" w:eastAsia="Cambria" w:hAnsi="Cambria" w:cs="Cambria"/>
          <w:sz w:val="20"/>
          <w:szCs w:val="20"/>
        </w:rPr>
        <w:t xml:space="preserve"> claim that on August 8, 2000, Sarah Lyn Langton, a British national, was convicted for drug trafficking in Venezuela and then imprisoned at the National Institute of Female Orientation (INOF), in the state of Miranda, Venezuela. They state that Sarah suffered type 1 diabetes mellitus and</w:t>
      </w:r>
      <w:r w:rsidR="008C68E2" w:rsidRPr="00A623AB">
        <w:rPr>
          <w:rFonts w:ascii="Cambria" w:eastAsia="Cambria" w:hAnsi="Cambria" w:cs="Cambria"/>
          <w:sz w:val="20"/>
          <w:szCs w:val="20"/>
        </w:rPr>
        <w:t>,</w:t>
      </w:r>
      <w:r w:rsidRPr="00A623AB">
        <w:rPr>
          <w:rFonts w:ascii="Cambria" w:eastAsia="Cambria" w:hAnsi="Cambria" w:cs="Cambria"/>
          <w:sz w:val="20"/>
          <w:szCs w:val="20"/>
        </w:rPr>
        <w:t xml:space="preserve"> thus</w:t>
      </w:r>
      <w:r w:rsidR="008C68E2" w:rsidRPr="00A623AB">
        <w:rPr>
          <w:rFonts w:ascii="Cambria" w:eastAsia="Cambria" w:hAnsi="Cambria" w:cs="Cambria"/>
          <w:sz w:val="20"/>
          <w:szCs w:val="20"/>
        </w:rPr>
        <w:t>, she</w:t>
      </w:r>
      <w:r w:rsidRPr="00A623AB">
        <w:rPr>
          <w:rFonts w:ascii="Cambria" w:eastAsia="Cambria" w:hAnsi="Cambria" w:cs="Cambria"/>
          <w:sz w:val="20"/>
          <w:szCs w:val="20"/>
        </w:rPr>
        <w:t xml:space="preserve"> was </w:t>
      </w:r>
      <w:r w:rsidR="008C68E2" w:rsidRPr="00A623AB">
        <w:rPr>
          <w:rFonts w:ascii="Cambria" w:eastAsia="Cambria" w:hAnsi="Cambria" w:cs="Cambria"/>
          <w:sz w:val="20"/>
          <w:szCs w:val="20"/>
        </w:rPr>
        <w:t>insulin dependent</w:t>
      </w:r>
      <w:r w:rsidRPr="00A623AB">
        <w:rPr>
          <w:rFonts w:ascii="Cambria" w:eastAsia="Cambria" w:hAnsi="Cambria" w:cs="Cambria"/>
          <w:sz w:val="20"/>
          <w:szCs w:val="20"/>
        </w:rPr>
        <w:t>.</w:t>
      </w:r>
    </w:p>
    <w:p w14:paraId="6B00DAF1" w14:textId="77777777" w:rsidR="002A6B05" w:rsidRPr="00A623AB" w:rsidRDefault="002A6B05" w:rsidP="002A6B05">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567"/>
        <w:jc w:val="both"/>
        <w:rPr>
          <w:rFonts w:ascii="Cambria" w:hAnsi="Cambria"/>
          <w:sz w:val="20"/>
          <w:szCs w:val="20"/>
        </w:rPr>
      </w:pPr>
    </w:p>
    <w:p w14:paraId="1ADC432B" w14:textId="0B71BB43" w:rsidR="002A6B05" w:rsidRPr="00A623AB" w:rsidRDefault="0066215E" w:rsidP="002A6B05">
      <w:pPr>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0" w:firstLine="567"/>
        <w:jc w:val="both"/>
        <w:rPr>
          <w:rFonts w:ascii="Cambria" w:hAnsi="Cambria"/>
          <w:sz w:val="20"/>
          <w:szCs w:val="20"/>
        </w:rPr>
      </w:pPr>
      <w:r w:rsidRPr="00A623AB">
        <w:rPr>
          <w:rFonts w:ascii="Cambria" w:eastAsia="Cambria" w:hAnsi="Cambria" w:cs="Cambria"/>
          <w:sz w:val="20"/>
          <w:szCs w:val="20"/>
        </w:rPr>
        <w:t>They point out that on March 6, 2001, at 4</w:t>
      </w:r>
      <w:r w:rsidR="008C68E2" w:rsidRPr="00A623AB">
        <w:rPr>
          <w:rFonts w:ascii="Cambria" w:eastAsia="Cambria" w:hAnsi="Cambria" w:cs="Cambria"/>
          <w:sz w:val="20"/>
          <w:szCs w:val="20"/>
        </w:rPr>
        <w:t>.</w:t>
      </w:r>
      <w:r w:rsidRPr="00A623AB">
        <w:rPr>
          <w:rFonts w:ascii="Cambria" w:eastAsia="Cambria" w:hAnsi="Cambria" w:cs="Cambria"/>
          <w:sz w:val="20"/>
          <w:szCs w:val="20"/>
        </w:rPr>
        <w:t>15 p</w:t>
      </w:r>
      <w:r w:rsidR="008C68E2" w:rsidRPr="00A623AB">
        <w:rPr>
          <w:rFonts w:ascii="Cambria" w:eastAsia="Cambria" w:hAnsi="Cambria" w:cs="Cambria"/>
          <w:sz w:val="20"/>
          <w:szCs w:val="20"/>
        </w:rPr>
        <w:t>.</w:t>
      </w:r>
      <w:r w:rsidRPr="00A623AB">
        <w:rPr>
          <w:rFonts w:ascii="Cambria" w:eastAsia="Cambria" w:hAnsi="Cambria" w:cs="Cambria"/>
          <w:sz w:val="20"/>
          <w:szCs w:val="20"/>
        </w:rPr>
        <w:t>m</w:t>
      </w:r>
      <w:r w:rsidR="008C68E2" w:rsidRPr="00A623AB">
        <w:rPr>
          <w:rFonts w:ascii="Cambria" w:eastAsia="Cambria" w:hAnsi="Cambria" w:cs="Cambria"/>
          <w:sz w:val="20"/>
          <w:szCs w:val="20"/>
        </w:rPr>
        <w:t>.</w:t>
      </w:r>
      <w:r w:rsidRPr="00A623AB">
        <w:rPr>
          <w:rFonts w:ascii="Cambria" w:eastAsia="Cambria" w:hAnsi="Cambria" w:cs="Cambria"/>
          <w:sz w:val="20"/>
          <w:szCs w:val="20"/>
        </w:rPr>
        <w:t>, the alleged victim suffered a hypoglycemia attack, and between 5</w:t>
      </w:r>
      <w:r w:rsidR="008C68E2" w:rsidRPr="00A623AB">
        <w:rPr>
          <w:rFonts w:ascii="Cambria" w:eastAsia="Cambria" w:hAnsi="Cambria" w:cs="Cambria"/>
          <w:sz w:val="20"/>
          <w:szCs w:val="20"/>
        </w:rPr>
        <w:t>.</w:t>
      </w:r>
      <w:r w:rsidRPr="00A623AB">
        <w:rPr>
          <w:rFonts w:ascii="Cambria" w:eastAsia="Cambria" w:hAnsi="Cambria" w:cs="Cambria"/>
          <w:sz w:val="20"/>
          <w:szCs w:val="20"/>
        </w:rPr>
        <w:t>30 p</w:t>
      </w:r>
      <w:r w:rsidR="008C68E2" w:rsidRPr="00A623AB">
        <w:rPr>
          <w:rFonts w:ascii="Cambria" w:eastAsia="Cambria" w:hAnsi="Cambria" w:cs="Cambria"/>
          <w:sz w:val="20"/>
          <w:szCs w:val="20"/>
        </w:rPr>
        <w:t>.</w:t>
      </w:r>
      <w:r w:rsidRPr="00A623AB">
        <w:rPr>
          <w:rFonts w:ascii="Cambria" w:eastAsia="Cambria" w:hAnsi="Cambria" w:cs="Cambria"/>
          <w:sz w:val="20"/>
          <w:szCs w:val="20"/>
        </w:rPr>
        <w:t>m</w:t>
      </w:r>
      <w:r w:rsidR="008C68E2" w:rsidRPr="00A623AB">
        <w:rPr>
          <w:rFonts w:ascii="Cambria" w:eastAsia="Cambria" w:hAnsi="Cambria" w:cs="Cambria"/>
          <w:sz w:val="20"/>
          <w:szCs w:val="20"/>
        </w:rPr>
        <w:t>.</w:t>
      </w:r>
      <w:r w:rsidRPr="00A623AB">
        <w:rPr>
          <w:rFonts w:ascii="Cambria" w:eastAsia="Cambria" w:hAnsi="Cambria" w:cs="Cambria"/>
          <w:sz w:val="20"/>
          <w:szCs w:val="20"/>
        </w:rPr>
        <w:t xml:space="preserve"> and 7</w:t>
      </w:r>
      <w:r w:rsidR="008C68E2" w:rsidRPr="00A623AB">
        <w:rPr>
          <w:rFonts w:ascii="Cambria" w:eastAsia="Cambria" w:hAnsi="Cambria" w:cs="Cambria"/>
          <w:sz w:val="20"/>
          <w:szCs w:val="20"/>
        </w:rPr>
        <w:t>.</w:t>
      </w:r>
      <w:r w:rsidRPr="00A623AB">
        <w:rPr>
          <w:rFonts w:ascii="Cambria" w:eastAsia="Cambria" w:hAnsi="Cambria" w:cs="Cambria"/>
          <w:sz w:val="20"/>
          <w:szCs w:val="20"/>
        </w:rPr>
        <w:t>00 p</w:t>
      </w:r>
      <w:r w:rsidR="008C68E2" w:rsidRPr="00A623AB">
        <w:rPr>
          <w:rFonts w:ascii="Cambria" w:eastAsia="Cambria" w:hAnsi="Cambria" w:cs="Cambria"/>
          <w:sz w:val="20"/>
          <w:szCs w:val="20"/>
        </w:rPr>
        <w:t>.</w:t>
      </w:r>
      <w:r w:rsidRPr="00A623AB">
        <w:rPr>
          <w:rFonts w:ascii="Cambria" w:eastAsia="Cambria" w:hAnsi="Cambria" w:cs="Cambria"/>
          <w:sz w:val="20"/>
          <w:szCs w:val="20"/>
        </w:rPr>
        <w:t>m</w:t>
      </w:r>
      <w:r w:rsidR="008C68E2" w:rsidRPr="00A623AB">
        <w:rPr>
          <w:rFonts w:ascii="Cambria" w:eastAsia="Cambria" w:hAnsi="Cambria" w:cs="Cambria"/>
          <w:sz w:val="20"/>
          <w:szCs w:val="20"/>
        </w:rPr>
        <w:t>.</w:t>
      </w:r>
      <w:r w:rsidRPr="00A623AB">
        <w:rPr>
          <w:rFonts w:ascii="Cambria" w:eastAsia="Cambria" w:hAnsi="Cambria" w:cs="Cambria"/>
          <w:sz w:val="20"/>
          <w:szCs w:val="20"/>
        </w:rPr>
        <w:t>, she was transferred to the Victorino Santaella General Hospital in Los Teques due to a drop in her blood sugar levels. They argue that at 7</w:t>
      </w:r>
      <w:r w:rsidR="008C68E2" w:rsidRPr="00A623AB">
        <w:rPr>
          <w:rFonts w:ascii="Cambria" w:eastAsia="Cambria" w:hAnsi="Cambria" w:cs="Cambria"/>
          <w:sz w:val="20"/>
          <w:szCs w:val="20"/>
        </w:rPr>
        <w:t>.</w:t>
      </w:r>
      <w:r w:rsidRPr="00A623AB">
        <w:rPr>
          <w:rFonts w:ascii="Cambria" w:eastAsia="Cambria" w:hAnsi="Cambria" w:cs="Cambria"/>
          <w:sz w:val="20"/>
          <w:szCs w:val="20"/>
        </w:rPr>
        <w:t>45 p</w:t>
      </w:r>
      <w:r w:rsidR="008C68E2" w:rsidRPr="00A623AB">
        <w:rPr>
          <w:rFonts w:ascii="Cambria" w:eastAsia="Cambria" w:hAnsi="Cambria" w:cs="Cambria"/>
          <w:sz w:val="20"/>
          <w:szCs w:val="20"/>
        </w:rPr>
        <w:t>.</w:t>
      </w:r>
      <w:r w:rsidRPr="00A623AB">
        <w:rPr>
          <w:rFonts w:ascii="Cambria" w:eastAsia="Cambria" w:hAnsi="Cambria" w:cs="Cambria"/>
          <w:sz w:val="20"/>
          <w:szCs w:val="20"/>
        </w:rPr>
        <w:t>m</w:t>
      </w:r>
      <w:r w:rsidR="008C68E2" w:rsidRPr="00A623AB">
        <w:rPr>
          <w:rFonts w:ascii="Cambria" w:eastAsia="Cambria" w:hAnsi="Cambria" w:cs="Cambria"/>
          <w:sz w:val="20"/>
          <w:szCs w:val="20"/>
        </w:rPr>
        <w:t>.</w:t>
      </w:r>
      <w:r w:rsidRPr="00A623AB">
        <w:rPr>
          <w:rFonts w:ascii="Cambria" w:eastAsia="Cambria" w:hAnsi="Cambria" w:cs="Cambria"/>
          <w:sz w:val="20"/>
          <w:szCs w:val="20"/>
        </w:rPr>
        <w:t xml:space="preserve"> of the same day, the alleged victim was discharged without a formal diagnosis, and that there was no medical staff on duty at the prison that could assist her at the moment. </w:t>
      </w:r>
    </w:p>
    <w:p w14:paraId="0F098697" w14:textId="77777777" w:rsidR="002A6B05" w:rsidRPr="00A623AB" w:rsidRDefault="002A6B05" w:rsidP="002A6B05">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jc w:val="both"/>
        <w:rPr>
          <w:rFonts w:ascii="Cambria" w:hAnsi="Cambria"/>
          <w:sz w:val="20"/>
          <w:szCs w:val="20"/>
        </w:rPr>
      </w:pPr>
    </w:p>
    <w:p w14:paraId="7B7D0AA5" w14:textId="041D49AF" w:rsidR="00E437A7" w:rsidRPr="00A623AB" w:rsidRDefault="0066215E" w:rsidP="002A6B05">
      <w:pPr>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0" w:firstLine="567"/>
        <w:jc w:val="both"/>
        <w:rPr>
          <w:rFonts w:ascii="Cambria" w:hAnsi="Cambria"/>
          <w:sz w:val="20"/>
          <w:szCs w:val="20"/>
        </w:rPr>
      </w:pPr>
      <w:r w:rsidRPr="00A623AB">
        <w:rPr>
          <w:rFonts w:ascii="Cambria" w:eastAsia="Cambria" w:hAnsi="Cambria" w:cs="Cambria"/>
          <w:sz w:val="20"/>
          <w:szCs w:val="20"/>
        </w:rPr>
        <w:t>Moreover, they state that the next day, at 3</w:t>
      </w:r>
      <w:r w:rsidR="008C68E2" w:rsidRPr="00A623AB">
        <w:rPr>
          <w:rFonts w:ascii="Cambria" w:eastAsia="Cambria" w:hAnsi="Cambria" w:cs="Cambria"/>
          <w:sz w:val="20"/>
          <w:szCs w:val="20"/>
        </w:rPr>
        <w:t>.</w:t>
      </w:r>
      <w:r w:rsidRPr="00A623AB">
        <w:rPr>
          <w:rFonts w:ascii="Cambria" w:eastAsia="Cambria" w:hAnsi="Cambria" w:cs="Cambria"/>
          <w:sz w:val="20"/>
          <w:szCs w:val="20"/>
        </w:rPr>
        <w:t>30 p</w:t>
      </w:r>
      <w:r w:rsidR="008C68E2" w:rsidRPr="00A623AB">
        <w:rPr>
          <w:rFonts w:ascii="Cambria" w:eastAsia="Cambria" w:hAnsi="Cambria" w:cs="Cambria"/>
          <w:sz w:val="20"/>
          <w:szCs w:val="20"/>
        </w:rPr>
        <w:t>.</w:t>
      </w:r>
      <w:r w:rsidRPr="00A623AB">
        <w:rPr>
          <w:rFonts w:ascii="Cambria" w:eastAsia="Cambria" w:hAnsi="Cambria" w:cs="Cambria"/>
          <w:sz w:val="20"/>
          <w:szCs w:val="20"/>
        </w:rPr>
        <w:t>m</w:t>
      </w:r>
      <w:r w:rsidR="008C68E2" w:rsidRPr="00A623AB">
        <w:rPr>
          <w:rFonts w:ascii="Cambria" w:eastAsia="Cambria" w:hAnsi="Cambria" w:cs="Cambria"/>
          <w:sz w:val="20"/>
          <w:szCs w:val="20"/>
        </w:rPr>
        <w:t>.</w:t>
      </w:r>
      <w:r w:rsidRPr="00A623AB">
        <w:rPr>
          <w:rFonts w:ascii="Cambria" w:eastAsia="Cambria" w:hAnsi="Cambria" w:cs="Cambria"/>
          <w:sz w:val="20"/>
          <w:szCs w:val="20"/>
        </w:rPr>
        <w:t xml:space="preserve">, while she was in her cell, she began to convulse and fainted, and thus was unable to administer herself a dose of insulin or any other drug that would stabilize her. At the same time, they claim that the insulin was in the fridge located at the main office of the penitentiary, which the alleged victim had no access to. They state that INOF authorities called the fire brigade, which arrived </w:t>
      </w:r>
      <w:r w:rsidR="008C68E2" w:rsidRPr="00A623AB">
        <w:rPr>
          <w:rFonts w:ascii="Cambria" w:eastAsia="Cambria" w:hAnsi="Cambria" w:cs="Cambria"/>
          <w:sz w:val="20"/>
          <w:szCs w:val="20"/>
        </w:rPr>
        <w:t>in</w:t>
      </w:r>
      <w:r w:rsidRPr="00A623AB">
        <w:rPr>
          <w:rFonts w:ascii="Cambria" w:eastAsia="Cambria" w:hAnsi="Cambria" w:cs="Cambria"/>
          <w:sz w:val="20"/>
          <w:szCs w:val="20"/>
        </w:rPr>
        <w:t xml:space="preserve"> an ambulance one hour later, and that the penitentiary staff took more than two hours to get her to the ambulance. </w:t>
      </w:r>
    </w:p>
    <w:p w14:paraId="070E5A33" w14:textId="77777777" w:rsidR="00E437A7" w:rsidRPr="00A623AB" w:rsidRDefault="00E437A7" w:rsidP="00E437A7">
      <w:pPr>
        <w:pStyle w:val="ListParagraph"/>
        <w:rPr>
          <w:color w:val="auto"/>
          <w:sz w:val="20"/>
          <w:szCs w:val="20"/>
        </w:rPr>
      </w:pPr>
    </w:p>
    <w:p w14:paraId="4CA70C8D" w14:textId="6299F208" w:rsidR="00A726D4" w:rsidRPr="00A623AB" w:rsidRDefault="0066215E" w:rsidP="002A6B05">
      <w:pPr>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0" w:firstLine="567"/>
        <w:jc w:val="both"/>
        <w:rPr>
          <w:rFonts w:ascii="Cambria" w:hAnsi="Cambria"/>
          <w:sz w:val="20"/>
          <w:szCs w:val="20"/>
        </w:rPr>
      </w:pPr>
      <w:r w:rsidRPr="00A623AB">
        <w:rPr>
          <w:rFonts w:ascii="Cambria" w:eastAsia="Cambria" w:hAnsi="Cambria" w:cs="Cambria"/>
          <w:sz w:val="20"/>
          <w:szCs w:val="20"/>
        </w:rPr>
        <w:t>The petitioner</w:t>
      </w:r>
      <w:r w:rsidR="008C68E2" w:rsidRPr="00A623AB">
        <w:rPr>
          <w:rFonts w:ascii="Cambria" w:eastAsia="Cambria" w:hAnsi="Cambria" w:cs="Cambria"/>
          <w:sz w:val="20"/>
          <w:szCs w:val="20"/>
        </w:rPr>
        <w:t>s</w:t>
      </w:r>
      <w:r w:rsidRPr="00A623AB">
        <w:rPr>
          <w:rFonts w:ascii="Cambria" w:eastAsia="Cambria" w:hAnsi="Cambria" w:cs="Cambria"/>
          <w:sz w:val="20"/>
          <w:szCs w:val="20"/>
        </w:rPr>
        <w:t xml:space="preserve"> argue that when the emergency arose, “there were no doctors or ad hoc personnel with the capacity to address medical needs in cases of emergency at the INOF,” given that the chief doctor of the INOF’s medical service, who was also supposed to be on duty at the adult section at that moment, was at a conference in Colombia, and that the prison captain that had authorized the absence of the doctor was at the same conference. They also claim that none of them had taken any measures to make sure there was a working medical service at the prison while the</w:t>
      </w:r>
      <w:r w:rsidR="008C68E2" w:rsidRPr="00A623AB">
        <w:rPr>
          <w:rFonts w:ascii="Cambria" w:eastAsia="Cambria" w:hAnsi="Cambria" w:cs="Cambria"/>
          <w:sz w:val="20"/>
          <w:szCs w:val="20"/>
        </w:rPr>
        <w:t>y</w:t>
      </w:r>
      <w:r w:rsidRPr="00A623AB">
        <w:rPr>
          <w:rFonts w:ascii="Cambria" w:eastAsia="Cambria" w:hAnsi="Cambria" w:cs="Cambria"/>
          <w:sz w:val="20"/>
          <w:szCs w:val="20"/>
        </w:rPr>
        <w:t xml:space="preserve"> were away. The petitioner</w:t>
      </w:r>
      <w:r w:rsidR="008C68E2" w:rsidRPr="00A623AB">
        <w:rPr>
          <w:rFonts w:ascii="Cambria" w:eastAsia="Cambria" w:hAnsi="Cambria" w:cs="Cambria"/>
          <w:sz w:val="20"/>
          <w:szCs w:val="20"/>
        </w:rPr>
        <w:t>s</w:t>
      </w:r>
      <w:r w:rsidRPr="00A623AB">
        <w:rPr>
          <w:rFonts w:ascii="Cambria" w:eastAsia="Cambria" w:hAnsi="Cambria" w:cs="Cambria"/>
          <w:sz w:val="20"/>
          <w:szCs w:val="20"/>
        </w:rPr>
        <w:t xml:space="preserve"> allege that </w:t>
      </w:r>
      <w:r w:rsidR="00F433D9" w:rsidRPr="00A623AB">
        <w:rPr>
          <w:rFonts w:ascii="Cambria" w:eastAsia="Cambria" w:hAnsi="Cambria" w:cs="Cambria"/>
          <w:sz w:val="20"/>
          <w:szCs w:val="20"/>
        </w:rPr>
        <w:t xml:space="preserve">although </w:t>
      </w:r>
      <w:r w:rsidRPr="00A623AB">
        <w:rPr>
          <w:rFonts w:ascii="Cambria" w:eastAsia="Cambria" w:hAnsi="Cambria" w:cs="Cambria"/>
          <w:sz w:val="20"/>
          <w:szCs w:val="20"/>
        </w:rPr>
        <w:t xml:space="preserve">Dr. Luis Eduardo Mota Acosta and Dr. Migdalia Coromoto Galavis Carvajal were present at the INOF at the time of the facts and had been notified of the situation, they did not assist the alleged victim due to an alleged expressed prohibition to access the adult section, since they were in charge of the pediatrics section of the prison. </w:t>
      </w:r>
    </w:p>
    <w:p w14:paraId="3F9955A3" w14:textId="77777777" w:rsidR="00A726D4" w:rsidRPr="00A623AB" w:rsidRDefault="00A726D4" w:rsidP="00A726D4">
      <w:pPr>
        <w:pStyle w:val="ListParagraph"/>
        <w:rPr>
          <w:color w:val="auto"/>
          <w:sz w:val="20"/>
          <w:szCs w:val="20"/>
        </w:rPr>
      </w:pPr>
    </w:p>
    <w:p w14:paraId="787734F0" w14:textId="64AA74B1" w:rsidR="002A6B05" w:rsidRPr="00A623AB" w:rsidRDefault="0066215E" w:rsidP="0036484A">
      <w:pPr>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0" w:firstLine="567"/>
        <w:jc w:val="both"/>
        <w:rPr>
          <w:rFonts w:ascii="Cambria" w:hAnsi="Cambria"/>
          <w:sz w:val="20"/>
          <w:szCs w:val="20"/>
        </w:rPr>
      </w:pPr>
      <w:r w:rsidRPr="00A623AB">
        <w:rPr>
          <w:rFonts w:ascii="Cambria" w:eastAsia="Cambria" w:hAnsi="Cambria" w:cs="Cambria"/>
          <w:sz w:val="20"/>
          <w:szCs w:val="20"/>
        </w:rPr>
        <w:t>The petitioner</w:t>
      </w:r>
      <w:r w:rsidR="00F433D9" w:rsidRPr="00A623AB">
        <w:rPr>
          <w:rFonts w:ascii="Cambria" w:eastAsia="Cambria" w:hAnsi="Cambria" w:cs="Cambria"/>
          <w:sz w:val="20"/>
          <w:szCs w:val="20"/>
        </w:rPr>
        <w:t>s</w:t>
      </w:r>
      <w:r w:rsidRPr="00A623AB">
        <w:rPr>
          <w:rFonts w:ascii="Cambria" w:eastAsia="Cambria" w:hAnsi="Cambria" w:cs="Cambria"/>
          <w:sz w:val="20"/>
          <w:szCs w:val="20"/>
        </w:rPr>
        <w:t xml:space="preserve"> affirm that, approximately at 6</w:t>
      </w:r>
      <w:r w:rsidR="00F433D9" w:rsidRPr="00A623AB">
        <w:rPr>
          <w:rFonts w:ascii="Cambria" w:eastAsia="Cambria" w:hAnsi="Cambria" w:cs="Cambria"/>
          <w:sz w:val="20"/>
          <w:szCs w:val="20"/>
        </w:rPr>
        <w:t>.</w:t>
      </w:r>
      <w:r w:rsidRPr="00A623AB">
        <w:rPr>
          <w:rFonts w:ascii="Cambria" w:eastAsia="Cambria" w:hAnsi="Cambria" w:cs="Cambria"/>
          <w:sz w:val="20"/>
          <w:szCs w:val="20"/>
        </w:rPr>
        <w:t>00 p</w:t>
      </w:r>
      <w:r w:rsidR="00F433D9" w:rsidRPr="00A623AB">
        <w:rPr>
          <w:rFonts w:ascii="Cambria" w:eastAsia="Cambria" w:hAnsi="Cambria" w:cs="Cambria"/>
          <w:sz w:val="20"/>
          <w:szCs w:val="20"/>
        </w:rPr>
        <w:t>.</w:t>
      </w:r>
      <w:r w:rsidRPr="00A623AB">
        <w:rPr>
          <w:rFonts w:ascii="Cambria" w:eastAsia="Cambria" w:hAnsi="Cambria" w:cs="Cambria"/>
          <w:sz w:val="20"/>
          <w:szCs w:val="20"/>
        </w:rPr>
        <w:t>m</w:t>
      </w:r>
      <w:r w:rsidR="00F433D9" w:rsidRPr="00A623AB">
        <w:rPr>
          <w:rFonts w:ascii="Cambria" w:eastAsia="Cambria" w:hAnsi="Cambria" w:cs="Cambria"/>
          <w:sz w:val="20"/>
          <w:szCs w:val="20"/>
        </w:rPr>
        <w:t>.</w:t>
      </w:r>
      <w:r w:rsidRPr="00A623AB">
        <w:rPr>
          <w:rFonts w:ascii="Cambria" w:eastAsia="Cambria" w:hAnsi="Cambria" w:cs="Cambria"/>
          <w:sz w:val="20"/>
          <w:szCs w:val="20"/>
        </w:rPr>
        <w:t xml:space="preserve"> that same day, the alleged victim was transferred to the Victorino Santaella General Hospital in “a critic</w:t>
      </w:r>
      <w:r w:rsidR="00F433D9" w:rsidRPr="00A623AB">
        <w:rPr>
          <w:rFonts w:ascii="Cambria" w:eastAsia="Cambria" w:hAnsi="Cambria" w:cs="Cambria"/>
          <w:sz w:val="20"/>
          <w:szCs w:val="20"/>
        </w:rPr>
        <w:t>al</w:t>
      </w:r>
      <w:r w:rsidRPr="00A623AB">
        <w:rPr>
          <w:rFonts w:ascii="Cambria" w:eastAsia="Cambria" w:hAnsi="Cambria" w:cs="Cambria"/>
          <w:sz w:val="20"/>
          <w:szCs w:val="20"/>
        </w:rPr>
        <w:t xml:space="preserve"> condition, with profuse perspiration, fluctuating between semi-unconsciousness and unconsciousness, </w:t>
      </w:r>
      <w:r w:rsidR="00081450" w:rsidRPr="00A623AB">
        <w:rPr>
          <w:rFonts w:ascii="Cambria" w:eastAsia="Cambria" w:hAnsi="Cambria" w:cs="Cambria"/>
          <w:sz w:val="20"/>
          <w:szCs w:val="20"/>
        </w:rPr>
        <w:t xml:space="preserve">her body cold, </w:t>
      </w:r>
      <w:r w:rsidRPr="00A623AB">
        <w:rPr>
          <w:rFonts w:ascii="Cambria" w:eastAsia="Cambria" w:hAnsi="Cambria" w:cs="Cambria"/>
          <w:sz w:val="20"/>
          <w:szCs w:val="20"/>
        </w:rPr>
        <w:t>extremely pale, suffering hypoglycemia,” so the doctors ordered her transfer to the intensive care unit</w:t>
      </w:r>
      <w:r w:rsidR="00F433D9" w:rsidRPr="00A623AB">
        <w:rPr>
          <w:rFonts w:ascii="Cambria" w:eastAsia="Cambria" w:hAnsi="Cambria" w:cs="Cambria"/>
          <w:sz w:val="20"/>
          <w:szCs w:val="20"/>
        </w:rPr>
        <w:t>. However,</w:t>
      </w:r>
      <w:r w:rsidRPr="00A623AB">
        <w:rPr>
          <w:rFonts w:ascii="Cambria" w:eastAsia="Cambria" w:hAnsi="Cambria" w:cs="Cambria"/>
          <w:sz w:val="20"/>
          <w:szCs w:val="20"/>
        </w:rPr>
        <w:t xml:space="preserve"> since there were no beds available, she had to remain in the hall of the hospital. The petitioner</w:t>
      </w:r>
      <w:r w:rsidR="00F433D9" w:rsidRPr="00A623AB">
        <w:rPr>
          <w:rFonts w:ascii="Cambria" w:eastAsia="Cambria" w:hAnsi="Cambria" w:cs="Cambria"/>
          <w:sz w:val="20"/>
          <w:szCs w:val="20"/>
        </w:rPr>
        <w:t>s</w:t>
      </w:r>
      <w:r w:rsidRPr="00A623AB">
        <w:rPr>
          <w:rFonts w:ascii="Cambria" w:eastAsia="Cambria" w:hAnsi="Cambria" w:cs="Cambria"/>
          <w:sz w:val="20"/>
          <w:szCs w:val="20"/>
        </w:rPr>
        <w:t xml:space="preserve"> argue that Sarah did not receive medical assistance at least until 11</w:t>
      </w:r>
      <w:r w:rsidR="00F433D9" w:rsidRPr="00A623AB">
        <w:rPr>
          <w:rFonts w:ascii="Cambria" w:eastAsia="Cambria" w:hAnsi="Cambria" w:cs="Cambria"/>
          <w:sz w:val="20"/>
          <w:szCs w:val="20"/>
        </w:rPr>
        <w:t>.</w:t>
      </w:r>
      <w:r w:rsidRPr="00A623AB">
        <w:rPr>
          <w:rFonts w:ascii="Cambria" w:eastAsia="Cambria" w:hAnsi="Cambria" w:cs="Cambria"/>
          <w:sz w:val="20"/>
          <w:szCs w:val="20"/>
        </w:rPr>
        <w:t>00 p</w:t>
      </w:r>
      <w:r w:rsidR="00F433D9" w:rsidRPr="00A623AB">
        <w:rPr>
          <w:rFonts w:ascii="Cambria" w:eastAsia="Cambria" w:hAnsi="Cambria" w:cs="Cambria"/>
          <w:sz w:val="20"/>
          <w:szCs w:val="20"/>
        </w:rPr>
        <w:t>.</w:t>
      </w:r>
      <w:r w:rsidRPr="00A623AB">
        <w:rPr>
          <w:rFonts w:ascii="Cambria" w:eastAsia="Cambria" w:hAnsi="Cambria" w:cs="Cambria"/>
          <w:sz w:val="20"/>
          <w:szCs w:val="20"/>
        </w:rPr>
        <w:t xml:space="preserve">m. </w:t>
      </w:r>
    </w:p>
    <w:p w14:paraId="1036DC84" w14:textId="77777777" w:rsidR="00256DC4" w:rsidRPr="00A623AB" w:rsidRDefault="00256DC4" w:rsidP="0036484A">
      <w:pPr>
        <w:pStyle w:val="ListParagraph"/>
        <w:ind w:firstLine="567"/>
        <w:rPr>
          <w:color w:val="auto"/>
          <w:sz w:val="20"/>
          <w:szCs w:val="20"/>
        </w:rPr>
      </w:pPr>
    </w:p>
    <w:p w14:paraId="23B67B36" w14:textId="738225C6" w:rsidR="00256DC4" w:rsidRPr="00A623AB" w:rsidRDefault="0066215E" w:rsidP="0036484A">
      <w:pPr>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0" w:firstLine="567"/>
        <w:jc w:val="both"/>
        <w:rPr>
          <w:rFonts w:ascii="Cambria" w:hAnsi="Cambria"/>
          <w:sz w:val="20"/>
          <w:szCs w:val="20"/>
        </w:rPr>
      </w:pPr>
      <w:r w:rsidRPr="00A623AB">
        <w:rPr>
          <w:rFonts w:ascii="Cambria" w:eastAsia="Cambria" w:hAnsi="Cambria" w:cs="Cambria"/>
          <w:sz w:val="20"/>
          <w:szCs w:val="20"/>
        </w:rPr>
        <w:lastRenderedPageBreak/>
        <w:t xml:space="preserve">They claim that, according to a note from the General Directorate of Custody and Rehabilitation of Inmates </w:t>
      </w:r>
      <w:r w:rsidR="00F433D9" w:rsidRPr="00A623AB">
        <w:rPr>
          <w:rFonts w:ascii="Cambria" w:eastAsia="Cambria" w:hAnsi="Cambria" w:cs="Cambria"/>
          <w:sz w:val="20"/>
          <w:szCs w:val="20"/>
        </w:rPr>
        <w:t>dated</w:t>
      </w:r>
      <w:r w:rsidRPr="00A623AB">
        <w:rPr>
          <w:rFonts w:ascii="Cambria" w:eastAsia="Cambria" w:hAnsi="Cambria" w:cs="Cambria"/>
          <w:sz w:val="20"/>
          <w:szCs w:val="20"/>
        </w:rPr>
        <w:t xml:space="preserve"> March 11, 2001, her attending physician had stated that the alleged victim was in a very critical health condition and had to be taken to the intensive care unit, but that there were no appropriate medical instruments available at the hospital, which is why her defense attorney had interceded to get a transfer to a private medical center with the authorization of the INOF’s director.</w:t>
      </w:r>
    </w:p>
    <w:p w14:paraId="2AA1967E" w14:textId="77777777" w:rsidR="002A6B05" w:rsidRPr="00A623AB" w:rsidRDefault="002A6B05" w:rsidP="0036484A">
      <w:pPr>
        <w:pStyle w:val="ListParagraph"/>
        <w:ind w:firstLine="567"/>
        <w:rPr>
          <w:color w:val="auto"/>
          <w:sz w:val="20"/>
          <w:szCs w:val="20"/>
        </w:rPr>
      </w:pPr>
    </w:p>
    <w:p w14:paraId="14172B61" w14:textId="17C6375E" w:rsidR="002A6B05" w:rsidRPr="00A623AB" w:rsidRDefault="0066215E" w:rsidP="0036484A">
      <w:pPr>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0" w:firstLine="567"/>
        <w:jc w:val="both"/>
        <w:rPr>
          <w:rFonts w:ascii="Cambria" w:hAnsi="Cambria"/>
          <w:sz w:val="20"/>
          <w:szCs w:val="20"/>
        </w:rPr>
      </w:pPr>
      <w:r w:rsidRPr="00A623AB">
        <w:rPr>
          <w:rFonts w:ascii="Cambria" w:eastAsia="Cambria" w:hAnsi="Cambria" w:cs="Cambria"/>
          <w:sz w:val="20"/>
          <w:szCs w:val="20"/>
        </w:rPr>
        <w:t>In addition, the petitioner</w:t>
      </w:r>
      <w:r w:rsidR="00F433D9" w:rsidRPr="00A623AB">
        <w:rPr>
          <w:rFonts w:ascii="Cambria" w:eastAsia="Cambria" w:hAnsi="Cambria" w:cs="Cambria"/>
          <w:sz w:val="20"/>
          <w:szCs w:val="20"/>
        </w:rPr>
        <w:t>s</w:t>
      </w:r>
      <w:r w:rsidRPr="00A623AB">
        <w:rPr>
          <w:rFonts w:ascii="Cambria" w:eastAsia="Cambria" w:hAnsi="Cambria" w:cs="Cambria"/>
          <w:sz w:val="20"/>
          <w:szCs w:val="20"/>
        </w:rPr>
        <w:t xml:space="preserve"> claim that the alleged victim arrived at the San Bernardino Medical Institute in Caracas at 4</w:t>
      </w:r>
      <w:r w:rsidR="00D92796" w:rsidRPr="00A623AB">
        <w:rPr>
          <w:rFonts w:ascii="Cambria" w:eastAsia="Cambria" w:hAnsi="Cambria" w:cs="Cambria"/>
          <w:sz w:val="20"/>
          <w:szCs w:val="20"/>
        </w:rPr>
        <w:t>.</w:t>
      </w:r>
      <w:r w:rsidRPr="00A623AB">
        <w:rPr>
          <w:rFonts w:ascii="Cambria" w:eastAsia="Cambria" w:hAnsi="Cambria" w:cs="Cambria"/>
          <w:sz w:val="20"/>
          <w:szCs w:val="20"/>
        </w:rPr>
        <w:t>00 a</w:t>
      </w:r>
      <w:r w:rsidR="00D92796" w:rsidRPr="00A623AB">
        <w:rPr>
          <w:rFonts w:ascii="Cambria" w:eastAsia="Cambria" w:hAnsi="Cambria" w:cs="Cambria"/>
          <w:sz w:val="20"/>
          <w:szCs w:val="20"/>
        </w:rPr>
        <w:t>.</w:t>
      </w:r>
      <w:r w:rsidRPr="00A623AB">
        <w:rPr>
          <w:rFonts w:ascii="Cambria" w:eastAsia="Cambria" w:hAnsi="Cambria" w:cs="Cambria"/>
          <w:sz w:val="20"/>
          <w:szCs w:val="20"/>
        </w:rPr>
        <w:t>m</w:t>
      </w:r>
      <w:r w:rsidR="00D92796" w:rsidRPr="00A623AB">
        <w:rPr>
          <w:rFonts w:ascii="Cambria" w:eastAsia="Cambria" w:hAnsi="Cambria" w:cs="Cambria"/>
          <w:sz w:val="20"/>
          <w:szCs w:val="20"/>
        </w:rPr>
        <w:t>.</w:t>
      </w:r>
      <w:r w:rsidRPr="00A623AB">
        <w:rPr>
          <w:rFonts w:ascii="Cambria" w:eastAsia="Cambria" w:hAnsi="Cambria" w:cs="Cambria"/>
          <w:sz w:val="20"/>
          <w:szCs w:val="20"/>
        </w:rPr>
        <w:t xml:space="preserve"> on March 8, but that the institute</w:t>
      </w:r>
      <w:r w:rsidR="00D92796" w:rsidRPr="00A623AB">
        <w:rPr>
          <w:rFonts w:ascii="Cambria" w:eastAsia="Cambria" w:hAnsi="Cambria" w:cs="Cambria"/>
          <w:sz w:val="20"/>
          <w:szCs w:val="20"/>
        </w:rPr>
        <w:t>’s</w:t>
      </w:r>
      <w:r w:rsidRPr="00A623AB">
        <w:rPr>
          <w:rFonts w:ascii="Cambria" w:eastAsia="Cambria" w:hAnsi="Cambria" w:cs="Cambria"/>
          <w:sz w:val="20"/>
          <w:szCs w:val="20"/>
        </w:rPr>
        <w:t xml:space="preserve"> authorities left her inside the ambulance until the administrative procedure required to admit her was completed, and that they requested a deposit of over ten thousand American dollars via the copy of Mr. Langton’s credit card, who was in the United Kingdom. They argue that Sarah was admitted to the intensive care unit at 9</w:t>
      </w:r>
      <w:r w:rsidR="00D92796" w:rsidRPr="00A623AB">
        <w:rPr>
          <w:rFonts w:ascii="Cambria" w:eastAsia="Cambria" w:hAnsi="Cambria" w:cs="Cambria"/>
          <w:sz w:val="20"/>
          <w:szCs w:val="20"/>
        </w:rPr>
        <w:t>.</w:t>
      </w:r>
      <w:r w:rsidRPr="00A623AB">
        <w:rPr>
          <w:rFonts w:ascii="Cambria" w:eastAsia="Cambria" w:hAnsi="Cambria" w:cs="Cambria"/>
          <w:sz w:val="20"/>
          <w:szCs w:val="20"/>
        </w:rPr>
        <w:t>00 a</w:t>
      </w:r>
      <w:r w:rsidR="00D92796" w:rsidRPr="00A623AB">
        <w:rPr>
          <w:rFonts w:ascii="Cambria" w:eastAsia="Cambria" w:hAnsi="Cambria" w:cs="Cambria"/>
          <w:sz w:val="20"/>
          <w:szCs w:val="20"/>
        </w:rPr>
        <w:t>.</w:t>
      </w:r>
      <w:r w:rsidRPr="00A623AB">
        <w:rPr>
          <w:rFonts w:ascii="Cambria" w:eastAsia="Cambria" w:hAnsi="Cambria" w:cs="Cambria"/>
          <w:sz w:val="20"/>
          <w:szCs w:val="20"/>
        </w:rPr>
        <w:t>m</w:t>
      </w:r>
      <w:r w:rsidR="00D92796" w:rsidRPr="00A623AB">
        <w:rPr>
          <w:rFonts w:ascii="Cambria" w:eastAsia="Cambria" w:hAnsi="Cambria" w:cs="Cambria"/>
          <w:sz w:val="20"/>
          <w:szCs w:val="20"/>
        </w:rPr>
        <w:t>.</w:t>
      </w:r>
      <w:r w:rsidRPr="00A623AB">
        <w:rPr>
          <w:rFonts w:ascii="Cambria" w:eastAsia="Cambria" w:hAnsi="Cambria" w:cs="Cambria"/>
          <w:sz w:val="20"/>
          <w:szCs w:val="20"/>
        </w:rPr>
        <w:t>, already in a diabetic coma, and that she later died at the institute at 11</w:t>
      </w:r>
      <w:r w:rsidR="00D92796" w:rsidRPr="00A623AB">
        <w:rPr>
          <w:rFonts w:ascii="Cambria" w:eastAsia="Cambria" w:hAnsi="Cambria" w:cs="Cambria"/>
          <w:sz w:val="20"/>
          <w:szCs w:val="20"/>
        </w:rPr>
        <w:t>.</w:t>
      </w:r>
      <w:r w:rsidRPr="00A623AB">
        <w:rPr>
          <w:rFonts w:ascii="Cambria" w:eastAsia="Cambria" w:hAnsi="Cambria" w:cs="Cambria"/>
          <w:sz w:val="20"/>
          <w:szCs w:val="20"/>
        </w:rPr>
        <w:t>45 p</w:t>
      </w:r>
      <w:r w:rsidR="00D92796" w:rsidRPr="00A623AB">
        <w:rPr>
          <w:rFonts w:ascii="Cambria" w:eastAsia="Cambria" w:hAnsi="Cambria" w:cs="Cambria"/>
          <w:sz w:val="20"/>
          <w:szCs w:val="20"/>
        </w:rPr>
        <w:t>.</w:t>
      </w:r>
      <w:r w:rsidRPr="00A623AB">
        <w:rPr>
          <w:rFonts w:ascii="Cambria" w:eastAsia="Cambria" w:hAnsi="Cambria" w:cs="Cambria"/>
          <w:sz w:val="20"/>
          <w:szCs w:val="20"/>
        </w:rPr>
        <w:t>m</w:t>
      </w:r>
      <w:r w:rsidR="00D92796" w:rsidRPr="00A623AB">
        <w:rPr>
          <w:rFonts w:ascii="Cambria" w:eastAsia="Cambria" w:hAnsi="Cambria" w:cs="Cambria"/>
          <w:sz w:val="20"/>
          <w:szCs w:val="20"/>
        </w:rPr>
        <w:t>.</w:t>
      </w:r>
      <w:r w:rsidRPr="00A623AB">
        <w:rPr>
          <w:rFonts w:ascii="Cambria" w:eastAsia="Cambria" w:hAnsi="Cambria" w:cs="Cambria"/>
          <w:sz w:val="20"/>
          <w:szCs w:val="20"/>
        </w:rPr>
        <w:t xml:space="preserve"> on March 13, 2001, due to anoxic encephalopathy and type 1 diabetes mellitus, without having regained consciousness after her admission.</w:t>
      </w:r>
    </w:p>
    <w:p w14:paraId="57E7E647" w14:textId="77777777" w:rsidR="002A6B05" w:rsidRPr="00A623AB" w:rsidRDefault="002A6B05" w:rsidP="0036484A">
      <w:pPr>
        <w:pStyle w:val="ListParagraph"/>
        <w:ind w:left="0" w:firstLine="567"/>
        <w:rPr>
          <w:color w:val="auto"/>
          <w:sz w:val="20"/>
          <w:szCs w:val="20"/>
        </w:rPr>
      </w:pPr>
    </w:p>
    <w:p w14:paraId="767A1AEA" w14:textId="35FBBA12" w:rsidR="00A16D37" w:rsidRPr="00A623AB" w:rsidRDefault="0066215E" w:rsidP="0036484A">
      <w:pPr>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rFonts w:ascii="Cambria" w:hAnsi="Cambria"/>
          <w:sz w:val="20"/>
          <w:szCs w:val="20"/>
        </w:rPr>
      </w:pPr>
      <w:r w:rsidRPr="00A623AB">
        <w:rPr>
          <w:rFonts w:ascii="Cambria" w:eastAsia="Cambria" w:hAnsi="Cambria" w:cs="Cambria"/>
          <w:sz w:val="20"/>
          <w:szCs w:val="20"/>
        </w:rPr>
        <w:t>The petitioner</w:t>
      </w:r>
      <w:r w:rsidR="00D92796" w:rsidRPr="00A623AB">
        <w:rPr>
          <w:rFonts w:ascii="Cambria" w:eastAsia="Cambria" w:hAnsi="Cambria" w:cs="Cambria"/>
          <w:sz w:val="20"/>
          <w:szCs w:val="20"/>
        </w:rPr>
        <w:t>s</w:t>
      </w:r>
      <w:r w:rsidRPr="00A623AB">
        <w:rPr>
          <w:rFonts w:ascii="Cambria" w:eastAsia="Cambria" w:hAnsi="Cambria" w:cs="Cambria"/>
          <w:sz w:val="20"/>
          <w:szCs w:val="20"/>
        </w:rPr>
        <w:t xml:space="preserve"> claim that Sarah’s parents, Terry Langton and Lyn Langton, traveled to Venezuela urgently in order to take care of their daughter, but they were not able to interact with her given her serious condition of permanent unconsciousness, which increased their suffering and sense of powerlessness. They also point out that “the Venezuelan authorities were aware of Sarah’s health condition from the moment she was prosecuted” and that Mr. Langton had told </w:t>
      </w:r>
      <w:r w:rsidR="00D92796" w:rsidRPr="00A623AB">
        <w:rPr>
          <w:rFonts w:ascii="Cambria" w:eastAsia="Cambria" w:hAnsi="Cambria" w:cs="Cambria"/>
          <w:sz w:val="20"/>
          <w:szCs w:val="20"/>
        </w:rPr>
        <w:t xml:space="preserve">the </w:t>
      </w:r>
      <w:r w:rsidRPr="00A623AB">
        <w:rPr>
          <w:rFonts w:ascii="Cambria" w:eastAsia="Cambria" w:hAnsi="Cambria" w:cs="Cambria"/>
          <w:sz w:val="20"/>
          <w:szCs w:val="20"/>
        </w:rPr>
        <w:t>INOF</w:t>
      </w:r>
      <w:r w:rsidR="00D92796" w:rsidRPr="00A623AB">
        <w:rPr>
          <w:rFonts w:ascii="Cambria" w:eastAsia="Cambria" w:hAnsi="Cambria" w:cs="Cambria"/>
          <w:sz w:val="20"/>
          <w:szCs w:val="20"/>
        </w:rPr>
        <w:t>’s</w:t>
      </w:r>
      <w:r w:rsidRPr="00A623AB">
        <w:rPr>
          <w:rFonts w:ascii="Cambria" w:eastAsia="Cambria" w:hAnsi="Cambria" w:cs="Cambria"/>
          <w:sz w:val="20"/>
          <w:szCs w:val="20"/>
        </w:rPr>
        <w:t xml:space="preserve"> authorities he was worried about his daughter’s health both due to her diabetes and because she was “suffering from some sort of mental disturbance</w:t>
      </w:r>
      <w:r w:rsidR="00D92796" w:rsidRPr="00A623AB">
        <w:rPr>
          <w:rFonts w:ascii="Cambria" w:eastAsia="Cambria" w:hAnsi="Cambria" w:cs="Cambria"/>
          <w:sz w:val="20"/>
          <w:szCs w:val="20"/>
        </w:rPr>
        <w:t>,</w:t>
      </w:r>
      <w:r w:rsidRPr="00A623AB">
        <w:rPr>
          <w:rFonts w:ascii="Cambria" w:eastAsia="Cambria" w:hAnsi="Cambria" w:cs="Cambria"/>
          <w:sz w:val="20"/>
          <w:szCs w:val="20"/>
        </w:rPr>
        <w:t>” which had been confirmed by the physicians that had previously treated her in the United Kingdom. The petitioner</w:t>
      </w:r>
      <w:r w:rsidR="00D92796" w:rsidRPr="00A623AB">
        <w:rPr>
          <w:rFonts w:ascii="Cambria" w:eastAsia="Cambria" w:hAnsi="Cambria" w:cs="Cambria"/>
          <w:sz w:val="20"/>
          <w:szCs w:val="20"/>
        </w:rPr>
        <w:t>s</w:t>
      </w:r>
      <w:r w:rsidRPr="00A623AB">
        <w:rPr>
          <w:rFonts w:ascii="Cambria" w:eastAsia="Cambria" w:hAnsi="Cambria" w:cs="Cambria"/>
          <w:sz w:val="20"/>
          <w:szCs w:val="20"/>
        </w:rPr>
        <w:t xml:space="preserve"> claim that they had not received confirmation that Sarah had undergone a psychiatric evaluation to determine her mental health condition, and that the British Embassy in Venezuela had been informed of several occasions </w:t>
      </w:r>
      <w:r w:rsidR="00D92796" w:rsidRPr="00A623AB">
        <w:rPr>
          <w:rFonts w:ascii="Cambria" w:eastAsia="Cambria" w:hAnsi="Cambria" w:cs="Cambria"/>
          <w:sz w:val="20"/>
          <w:szCs w:val="20"/>
        </w:rPr>
        <w:t>i</w:t>
      </w:r>
      <w:r w:rsidRPr="00A623AB">
        <w:rPr>
          <w:rFonts w:ascii="Cambria" w:eastAsia="Cambria" w:hAnsi="Cambria" w:cs="Cambria"/>
          <w:sz w:val="20"/>
          <w:szCs w:val="20"/>
        </w:rPr>
        <w:t>n which the alleged victim had required hospital assistance because the INOF</w:t>
      </w:r>
      <w:r w:rsidR="00D92796" w:rsidRPr="00A623AB">
        <w:rPr>
          <w:rFonts w:ascii="Cambria" w:eastAsia="Cambria" w:hAnsi="Cambria" w:cs="Cambria"/>
          <w:sz w:val="20"/>
          <w:szCs w:val="20"/>
        </w:rPr>
        <w:t>’s</w:t>
      </w:r>
      <w:r w:rsidRPr="00A623AB">
        <w:rPr>
          <w:rFonts w:ascii="Cambria" w:eastAsia="Cambria" w:hAnsi="Cambria" w:cs="Cambria"/>
          <w:sz w:val="20"/>
          <w:szCs w:val="20"/>
        </w:rPr>
        <w:t xml:space="preserve"> authorities had not provided her with her insulin dose in time. </w:t>
      </w:r>
    </w:p>
    <w:p w14:paraId="45677D24" w14:textId="77777777" w:rsidR="00A16D37" w:rsidRPr="00A623AB" w:rsidRDefault="00A16D37" w:rsidP="00A16D37">
      <w:pPr>
        <w:pStyle w:val="ListParagraph"/>
        <w:rPr>
          <w:color w:val="auto"/>
          <w:sz w:val="20"/>
          <w:szCs w:val="20"/>
        </w:rPr>
      </w:pPr>
    </w:p>
    <w:p w14:paraId="2E38AAEA" w14:textId="4000E5C6" w:rsidR="00936CFE" w:rsidRPr="00A623AB" w:rsidRDefault="0066215E" w:rsidP="002A6B05">
      <w:pPr>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ind w:left="0" w:firstLine="709"/>
        <w:jc w:val="both"/>
        <w:rPr>
          <w:rFonts w:ascii="Cambria" w:hAnsi="Cambria"/>
          <w:sz w:val="20"/>
          <w:szCs w:val="20"/>
        </w:rPr>
      </w:pPr>
      <w:r w:rsidRPr="00A623AB">
        <w:rPr>
          <w:rFonts w:ascii="Cambria" w:eastAsia="Cambria" w:hAnsi="Cambria" w:cs="Cambria"/>
          <w:sz w:val="20"/>
          <w:szCs w:val="20"/>
        </w:rPr>
        <w:t>With regard to the investigation of the facts and the criminal proceeding, the petitioner</w:t>
      </w:r>
      <w:r w:rsidR="00D92796" w:rsidRPr="00A623AB">
        <w:rPr>
          <w:rFonts w:ascii="Cambria" w:eastAsia="Cambria" w:hAnsi="Cambria" w:cs="Cambria"/>
          <w:sz w:val="20"/>
          <w:szCs w:val="20"/>
        </w:rPr>
        <w:t>s</w:t>
      </w:r>
      <w:r w:rsidRPr="00A623AB">
        <w:rPr>
          <w:rFonts w:ascii="Cambria" w:eastAsia="Cambria" w:hAnsi="Cambria" w:cs="Cambria"/>
          <w:sz w:val="20"/>
          <w:szCs w:val="20"/>
        </w:rPr>
        <w:t xml:space="preserve"> allege that on March 7, 2002, citizen Julián Isaías Rodríguez, Attorney General of the Republic, was notified o</w:t>
      </w:r>
      <w:r w:rsidR="00D92796" w:rsidRPr="00A623AB">
        <w:rPr>
          <w:rFonts w:ascii="Cambria" w:eastAsia="Cambria" w:hAnsi="Cambria" w:cs="Cambria"/>
          <w:sz w:val="20"/>
          <w:szCs w:val="20"/>
        </w:rPr>
        <w:t>f</w:t>
      </w:r>
      <w:r w:rsidRPr="00A623AB">
        <w:rPr>
          <w:rFonts w:ascii="Cambria" w:eastAsia="Cambria" w:hAnsi="Cambria" w:cs="Cambria"/>
          <w:sz w:val="20"/>
          <w:szCs w:val="20"/>
        </w:rPr>
        <w:t xml:space="preserve"> the facts that had taken place, and on April 30 of that same year, an investigation was opened in accordance with what is set forth in Article 300 of </w:t>
      </w:r>
      <w:r w:rsidR="00D92796" w:rsidRPr="00A623AB">
        <w:rPr>
          <w:rFonts w:ascii="Cambria" w:eastAsia="Cambria" w:hAnsi="Cambria" w:cs="Cambria"/>
          <w:sz w:val="20"/>
          <w:szCs w:val="20"/>
        </w:rPr>
        <w:t>Venezuela’s</w:t>
      </w:r>
      <w:r w:rsidRPr="00A623AB">
        <w:rPr>
          <w:rFonts w:ascii="Cambria" w:eastAsia="Cambria" w:hAnsi="Cambria" w:cs="Cambria"/>
          <w:sz w:val="20"/>
          <w:szCs w:val="20"/>
        </w:rPr>
        <w:t xml:space="preserve"> Code of Criminal Procedure. The petitioner</w:t>
      </w:r>
      <w:r w:rsidR="00D92796" w:rsidRPr="00A623AB">
        <w:rPr>
          <w:rFonts w:ascii="Cambria" w:eastAsia="Cambria" w:hAnsi="Cambria" w:cs="Cambria"/>
          <w:sz w:val="20"/>
          <w:szCs w:val="20"/>
        </w:rPr>
        <w:t>s</w:t>
      </w:r>
      <w:r w:rsidRPr="00A623AB">
        <w:rPr>
          <w:rFonts w:ascii="Cambria" w:eastAsia="Cambria" w:hAnsi="Cambria" w:cs="Cambria"/>
          <w:sz w:val="20"/>
          <w:szCs w:val="20"/>
        </w:rPr>
        <w:t xml:space="preserve"> point out that two years later, in 2004, the </w:t>
      </w:r>
      <w:r w:rsidR="00D92796" w:rsidRPr="00A623AB">
        <w:rPr>
          <w:rFonts w:ascii="Cambria" w:eastAsia="Cambria" w:hAnsi="Cambria" w:cs="Cambria"/>
          <w:sz w:val="20"/>
          <w:szCs w:val="20"/>
        </w:rPr>
        <w:t xml:space="preserve">Office of the </w:t>
      </w:r>
      <w:r w:rsidRPr="00A623AB">
        <w:rPr>
          <w:rFonts w:ascii="Cambria" w:eastAsia="Cambria" w:hAnsi="Cambria" w:cs="Cambria"/>
          <w:sz w:val="20"/>
          <w:szCs w:val="20"/>
        </w:rPr>
        <w:t xml:space="preserve">Attorney General notified Sarah’s father that the investigation was in its final stage and that several members of the medical staff of the Victorino Santaella General Hospital and the San Bernardino Institute had been questioned. They also claim that said communication was carried out through letters sent via the British Embassy in Venezuela. </w:t>
      </w:r>
    </w:p>
    <w:p w14:paraId="4F01AEDF" w14:textId="77777777" w:rsidR="00936CFE" w:rsidRPr="00A623AB" w:rsidRDefault="00936CFE" w:rsidP="00936CFE">
      <w:pPr>
        <w:pStyle w:val="ListParagraph"/>
        <w:rPr>
          <w:color w:val="auto"/>
          <w:sz w:val="20"/>
          <w:szCs w:val="20"/>
        </w:rPr>
      </w:pPr>
    </w:p>
    <w:p w14:paraId="0E9E6F04" w14:textId="2A6FEC81" w:rsidR="00A437B1" w:rsidRPr="00A623AB" w:rsidRDefault="0066215E" w:rsidP="002A6B05">
      <w:pPr>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ind w:left="0" w:firstLine="709"/>
        <w:jc w:val="both"/>
        <w:rPr>
          <w:rFonts w:ascii="Cambria" w:hAnsi="Cambria"/>
          <w:sz w:val="20"/>
          <w:szCs w:val="20"/>
        </w:rPr>
      </w:pPr>
      <w:r w:rsidRPr="00A623AB">
        <w:rPr>
          <w:rFonts w:ascii="Cambria" w:eastAsia="Cambria" w:hAnsi="Cambria" w:cs="Cambria"/>
          <w:sz w:val="20"/>
          <w:szCs w:val="20"/>
        </w:rPr>
        <w:t>The petitioner</w:t>
      </w:r>
      <w:r w:rsidR="00D92796" w:rsidRPr="00A623AB">
        <w:rPr>
          <w:rFonts w:ascii="Cambria" w:eastAsia="Cambria" w:hAnsi="Cambria" w:cs="Cambria"/>
          <w:sz w:val="20"/>
          <w:szCs w:val="20"/>
        </w:rPr>
        <w:t>s</w:t>
      </w:r>
      <w:r w:rsidRPr="00A623AB">
        <w:rPr>
          <w:rFonts w:ascii="Cambria" w:eastAsia="Cambria" w:hAnsi="Cambria" w:cs="Cambria"/>
          <w:sz w:val="20"/>
          <w:szCs w:val="20"/>
        </w:rPr>
        <w:t xml:space="preserve"> state that afterwards, between March and November of 2005, different persons were questioned, and that between 2005 and 2007, the physicians involved in the case were charged with</w:t>
      </w:r>
      <w:r w:rsidR="00316E19" w:rsidRPr="00A623AB">
        <w:rPr>
          <w:rFonts w:ascii="Cambria" w:eastAsia="Cambria" w:hAnsi="Cambria" w:cs="Cambria"/>
          <w:sz w:val="20"/>
          <w:szCs w:val="20"/>
        </w:rPr>
        <w:t xml:space="preserve"> negligent homicide</w:t>
      </w:r>
      <w:r w:rsidRPr="00A623AB">
        <w:rPr>
          <w:rFonts w:ascii="Cambria" w:eastAsia="Cambria" w:hAnsi="Cambria" w:cs="Cambria"/>
          <w:sz w:val="20"/>
          <w:szCs w:val="20"/>
        </w:rPr>
        <w:t xml:space="preserve"> or </w:t>
      </w:r>
      <w:r w:rsidR="00D92796" w:rsidRPr="00A623AB">
        <w:rPr>
          <w:rFonts w:ascii="Cambria" w:eastAsia="Cambria" w:hAnsi="Cambria" w:cs="Cambria"/>
          <w:sz w:val="20"/>
          <w:szCs w:val="20"/>
        </w:rPr>
        <w:t>with</w:t>
      </w:r>
      <w:r w:rsidRPr="00A623AB">
        <w:rPr>
          <w:rFonts w:ascii="Cambria" w:eastAsia="Cambria" w:hAnsi="Cambria" w:cs="Cambria"/>
          <w:sz w:val="20"/>
          <w:szCs w:val="20"/>
        </w:rPr>
        <w:t xml:space="preserve"> the crime of abandonment of a child or other incapable person. </w:t>
      </w:r>
    </w:p>
    <w:p w14:paraId="6F15A34C" w14:textId="77777777" w:rsidR="00A437B1" w:rsidRPr="00A623AB" w:rsidRDefault="00A437B1" w:rsidP="00A437B1">
      <w:pPr>
        <w:pStyle w:val="ListParagraph"/>
        <w:rPr>
          <w:color w:val="auto"/>
          <w:sz w:val="20"/>
          <w:szCs w:val="20"/>
        </w:rPr>
      </w:pPr>
    </w:p>
    <w:p w14:paraId="2C269951" w14:textId="7ED2813E" w:rsidR="002F364A" w:rsidRPr="00A623AB" w:rsidRDefault="0066215E" w:rsidP="002A6B05">
      <w:pPr>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ind w:left="0" w:firstLine="709"/>
        <w:jc w:val="both"/>
        <w:rPr>
          <w:rFonts w:ascii="Cambria" w:hAnsi="Cambria"/>
          <w:sz w:val="20"/>
          <w:szCs w:val="20"/>
        </w:rPr>
      </w:pPr>
      <w:r w:rsidRPr="00A623AB">
        <w:rPr>
          <w:rFonts w:ascii="Cambria" w:eastAsia="Cambria" w:hAnsi="Cambria" w:cs="Cambria"/>
          <w:sz w:val="20"/>
          <w:szCs w:val="20"/>
        </w:rPr>
        <w:t>The petitioner</w:t>
      </w:r>
      <w:r w:rsidR="00D92796" w:rsidRPr="00A623AB">
        <w:rPr>
          <w:rFonts w:ascii="Cambria" w:eastAsia="Cambria" w:hAnsi="Cambria" w:cs="Cambria"/>
          <w:sz w:val="20"/>
          <w:szCs w:val="20"/>
        </w:rPr>
        <w:t>s</w:t>
      </w:r>
      <w:r w:rsidRPr="00A623AB">
        <w:rPr>
          <w:rFonts w:ascii="Cambria" w:eastAsia="Cambria" w:hAnsi="Cambria" w:cs="Cambria"/>
          <w:sz w:val="20"/>
          <w:szCs w:val="20"/>
        </w:rPr>
        <w:t xml:space="preserve"> maintain that on July 8, 2008, Migdalia Coromoto Galavis Carvajal and Luis Eduardo Mota Acosta were charged with </w:t>
      </w:r>
      <w:r w:rsidR="00316E19" w:rsidRPr="00A623AB">
        <w:rPr>
          <w:rFonts w:ascii="Cambria" w:eastAsia="Cambria" w:hAnsi="Cambria" w:cs="Cambria"/>
          <w:sz w:val="20"/>
          <w:szCs w:val="20"/>
        </w:rPr>
        <w:t>negligent homicide</w:t>
      </w:r>
      <w:r w:rsidRPr="00A623AB">
        <w:rPr>
          <w:rFonts w:ascii="Cambria" w:eastAsia="Cambria" w:hAnsi="Cambria" w:cs="Cambria"/>
          <w:sz w:val="20"/>
          <w:szCs w:val="20"/>
        </w:rPr>
        <w:t xml:space="preserve">, and Marianella González de Muños and Eglee del Carmen Ascanio Cadenas were charged with omission of relief. They claim that the preliminary and merits hearings were not held until October 20, 2010, </w:t>
      </w:r>
      <w:r w:rsidR="00D92796" w:rsidRPr="00A623AB">
        <w:rPr>
          <w:rFonts w:ascii="Cambria" w:eastAsia="Cambria" w:hAnsi="Cambria" w:cs="Cambria"/>
          <w:sz w:val="20"/>
          <w:szCs w:val="20"/>
        </w:rPr>
        <w:t>over</w:t>
      </w:r>
      <w:r w:rsidRPr="00A623AB">
        <w:rPr>
          <w:rFonts w:ascii="Cambria" w:eastAsia="Cambria" w:hAnsi="Cambria" w:cs="Cambria"/>
          <w:sz w:val="20"/>
          <w:szCs w:val="20"/>
        </w:rPr>
        <w:t xml:space="preserve"> two years after the accusations, and that on October 29, 2010, the </w:t>
      </w:r>
      <w:r w:rsidR="00A30E6E" w:rsidRPr="00A623AB">
        <w:rPr>
          <w:rFonts w:ascii="Cambria" w:eastAsia="Cambria" w:hAnsi="Cambria" w:cs="Cambria"/>
          <w:sz w:val="20"/>
          <w:szCs w:val="20"/>
        </w:rPr>
        <w:t xml:space="preserve">First Instance </w:t>
      </w:r>
      <w:r w:rsidRPr="00A623AB">
        <w:rPr>
          <w:rFonts w:ascii="Cambria" w:eastAsia="Cambria" w:hAnsi="Cambria" w:cs="Cambria"/>
          <w:sz w:val="20"/>
          <w:szCs w:val="20"/>
        </w:rPr>
        <w:t xml:space="preserve">Court of Control No. 3 of the Criminal Judicial Circuit of the Judicial District of the State of Miranda ruled that the ordinary statute of limitations operated in relation to two of the accused, and that the </w:t>
      </w:r>
      <w:r w:rsidR="000D3029" w:rsidRPr="00A623AB">
        <w:rPr>
          <w:rFonts w:ascii="Cambria" w:eastAsia="Cambria" w:hAnsi="Cambria" w:cs="Cambria"/>
          <w:sz w:val="20"/>
          <w:szCs w:val="20"/>
        </w:rPr>
        <w:t>extraordinary</w:t>
      </w:r>
      <w:r w:rsidRPr="00A623AB">
        <w:rPr>
          <w:rFonts w:ascii="Cambria" w:eastAsia="Cambria" w:hAnsi="Cambria" w:cs="Cambria"/>
          <w:sz w:val="20"/>
          <w:szCs w:val="20"/>
        </w:rPr>
        <w:t xml:space="preserve"> statute of limitations operated in relation to the other two</w:t>
      </w:r>
      <w:r w:rsidR="000D3029" w:rsidRPr="00A623AB">
        <w:rPr>
          <w:rFonts w:ascii="Cambria" w:eastAsia="Cambria" w:hAnsi="Cambria" w:cs="Cambria"/>
          <w:sz w:val="20"/>
          <w:szCs w:val="20"/>
        </w:rPr>
        <w:t xml:space="preserve"> persons accused</w:t>
      </w:r>
      <w:r w:rsidRPr="00A623AB">
        <w:rPr>
          <w:rFonts w:ascii="Cambria" w:eastAsia="Cambria" w:hAnsi="Cambria" w:cs="Cambria"/>
          <w:sz w:val="20"/>
          <w:szCs w:val="20"/>
        </w:rPr>
        <w:t xml:space="preserve">, since “from March 7, 2001 (the date of the facts) until October 20, 2010 (date of the preliminary hearing), nine years, seven months and twelve days had elapsed, and the limitation had not been extended due to causes attributable to the defendants or to their defense.” As a result, the investigation ended with the acquittal of the defendants. </w:t>
      </w:r>
    </w:p>
    <w:p w14:paraId="5FD471E5" w14:textId="77777777" w:rsidR="00F25690" w:rsidRPr="00A623AB" w:rsidRDefault="00F25690" w:rsidP="00F25690">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hAnsi="Cambria"/>
          <w:sz w:val="20"/>
          <w:szCs w:val="20"/>
        </w:rPr>
      </w:pPr>
    </w:p>
    <w:p w14:paraId="7422443E" w14:textId="3BDB252C" w:rsidR="002A6B05" w:rsidRPr="00681B5F" w:rsidRDefault="0066215E" w:rsidP="00681B5F">
      <w:pPr>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ind w:left="0" w:firstLine="709"/>
        <w:jc w:val="both"/>
        <w:rPr>
          <w:rFonts w:ascii="Cambria" w:hAnsi="Cambria"/>
          <w:sz w:val="20"/>
          <w:szCs w:val="20"/>
        </w:rPr>
      </w:pPr>
      <w:r w:rsidRPr="00681B5F">
        <w:rPr>
          <w:rFonts w:ascii="Cambria" w:hAnsi="Cambria"/>
          <w:sz w:val="20"/>
          <w:szCs w:val="20"/>
        </w:rPr>
        <w:t xml:space="preserve">The </w:t>
      </w:r>
      <w:r w:rsidRPr="00681B5F">
        <w:rPr>
          <w:rFonts w:ascii="Cambria" w:eastAsia="Cambria" w:hAnsi="Cambria" w:cs="Cambria"/>
          <w:sz w:val="20"/>
          <w:szCs w:val="20"/>
        </w:rPr>
        <w:t>petitioner</w:t>
      </w:r>
      <w:r w:rsidR="000D3029" w:rsidRPr="00681B5F">
        <w:rPr>
          <w:rFonts w:ascii="Cambria" w:eastAsia="Cambria" w:hAnsi="Cambria" w:cs="Cambria"/>
          <w:sz w:val="20"/>
          <w:szCs w:val="20"/>
        </w:rPr>
        <w:t>s</w:t>
      </w:r>
      <w:r w:rsidRPr="00681B5F">
        <w:rPr>
          <w:rFonts w:ascii="Cambria" w:hAnsi="Cambria"/>
          <w:sz w:val="20"/>
          <w:szCs w:val="20"/>
        </w:rPr>
        <w:t xml:space="preserve"> pointed out that, in total, the investigation </w:t>
      </w:r>
      <w:r w:rsidR="000D3029" w:rsidRPr="00681B5F">
        <w:rPr>
          <w:rFonts w:ascii="Cambria" w:hAnsi="Cambria"/>
          <w:sz w:val="20"/>
          <w:szCs w:val="20"/>
        </w:rPr>
        <w:t>remained</w:t>
      </w:r>
      <w:r w:rsidRPr="00681B5F">
        <w:rPr>
          <w:rFonts w:ascii="Cambria" w:hAnsi="Cambria"/>
          <w:sz w:val="20"/>
          <w:szCs w:val="20"/>
        </w:rPr>
        <w:t xml:space="preserve"> open for 9 years and 7 months</w:t>
      </w:r>
      <w:r w:rsidR="000D3029" w:rsidRPr="00681B5F">
        <w:rPr>
          <w:rFonts w:ascii="Cambria" w:hAnsi="Cambria"/>
          <w:sz w:val="20"/>
          <w:szCs w:val="20"/>
        </w:rPr>
        <w:t>. T</w:t>
      </w:r>
      <w:r w:rsidRPr="00681B5F">
        <w:rPr>
          <w:rFonts w:ascii="Cambria" w:hAnsi="Cambria"/>
          <w:sz w:val="20"/>
          <w:szCs w:val="20"/>
        </w:rPr>
        <w:t xml:space="preserve">he authorities were aware of the ordinary and </w:t>
      </w:r>
      <w:r w:rsidR="000D3029" w:rsidRPr="00681B5F">
        <w:rPr>
          <w:rFonts w:ascii="Cambria" w:hAnsi="Cambria"/>
          <w:sz w:val="20"/>
          <w:szCs w:val="20"/>
        </w:rPr>
        <w:t>extraordinary</w:t>
      </w:r>
      <w:r w:rsidRPr="00681B5F">
        <w:rPr>
          <w:rFonts w:ascii="Cambria" w:hAnsi="Cambria"/>
          <w:sz w:val="20"/>
          <w:szCs w:val="20"/>
        </w:rPr>
        <w:t xml:space="preserve"> statutes of limitations, and still did not act with due diligence </w:t>
      </w:r>
      <w:r w:rsidR="000D3029" w:rsidRPr="00681B5F">
        <w:rPr>
          <w:rFonts w:ascii="Cambria" w:hAnsi="Cambria"/>
          <w:sz w:val="20"/>
          <w:szCs w:val="20"/>
        </w:rPr>
        <w:t xml:space="preserve">over </w:t>
      </w:r>
      <w:r w:rsidRPr="00681B5F">
        <w:rPr>
          <w:rFonts w:ascii="Cambria" w:hAnsi="Cambria"/>
          <w:sz w:val="20"/>
          <w:szCs w:val="20"/>
        </w:rPr>
        <w:t>the course of the investigation. During the proceedings, the petitioner</w:t>
      </w:r>
      <w:r w:rsidR="000D3029" w:rsidRPr="00681B5F">
        <w:rPr>
          <w:rFonts w:ascii="Cambria" w:hAnsi="Cambria"/>
          <w:sz w:val="20"/>
          <w:szCs w:val="20"/>
        </w:rPr>
        <w:t>s</w:t>
      </w:r>
      <w:r w:rsidRPr="00681B5F">
        <w:rPr>
          <w:rFonts w:ascii="Cambria" w:hAnsi="Cambria"/>
          <w:sz w:val="20"/>
          <w:szCs w:val="20"/>
        </w:rPr>
        <w:t xml:space="preserve"> stated that the parents of the alleged victim </w:t>
      </w:r>
      <w:r w:rsidR="000D3029" w:rsidRPr="00681B5F">
        <w:rPr>
          <w:rFonts w:ascii="Cambria" w:hAnsi="Cambria"/>
          <w:sz w:val="20"/>
          <w:szCs w:val="20"/>
        </w:rPr>
        <w:t>had</w:t>
      </w:r>
      <w:r w:rsidRPr="00681B5F">
        <w:rPr>
          <w:rFonts w:ascii="Cambria" w:hAnsi="Cambria"/>
          <w:sz w:val="20"/>
          <w:szCs w:val="20"/>
        </w:rPr>
        <w:t xml:space="preserve"> not receive</w:t>
      </w:r>
      <w:r w:rsidR="000D3029" w:rsidRPr="00681B5F">
        <w:rPr>
          <w:rFonts w:ascii="Cambria" w:hAnsi="Cambria"/>
          <w:sz w:val="20"/>
          <w:szCs w:val="20"/>
        </w:rPr>
        <w:t>d</w:t>
      </w:r>
      <w:r w:rsidRPr="00681B5F">
        <w:rPr>
          <w:rFonts w:ascii="Cambria" w:hAnsi="Cambria"/>
          <w:sz w:val="20"/>
          <w:szCs w:val="20"/>
        </w:rPr>
        <w:t xml:space="preserve"> copies of the investigation records, despite having repeatedly requested the information, and that they </w:t>
      </w:r>
      <w:r w:rsidR="000D3029" w:rsidRPr="00681B5F">
        <w:rPr>
          <w:rFonts w:ascii="Cambria" w:hAnsi="Cambria"/>
          <w:sz w:val="20"/>
          <w:szCs w:val="20"/>
        </w:rPr>
        <w:t>had been</w:t>
      </w:r>
      <w:r w:rsidRPr="00681B5F">
        <w:rPr>
          <w:rFonts w:ascii="Cambria" w:hAnsi="Cambria"/>
          <w:sz w:val="20"/>
          <w:szCs w:val="20"/>
        </w:rPr>
        <w:t xml:space="preserve"> given a copy in English only on February 1, 2011</w:t>
      </w:r>
      <w:r w:rsidR="00E26BD0" w:rsidRPr="00681B5F">
        <w:rPr>
          <w:rFonts w:ascii="Cambria" w:hAnsi="Cambria"/>
          <w:sz w:val="20"/>
          <w:szCs w:val="20"/>
        </w:rPr>
        <w:t xml:space="preserve">. </w:t>
      </w:r>
    </w:p>
    <w:p w14:paraId="61A0E77F" w14:textId="77777777" w:rsidR="002A6B05" w:rsidRPr="00A623AB" w:rsidRDefault="002A6B05" w:rsidP="002A6B05">
      <w:pPr>
        <w:pStyle w:val="ListParagraph"/>
        <w:rPr>
          <w:color w:val="auto"/>
          <w:sz w:val="20"/>
          <w:szCs w:val="20"/>
        </w:rPr>
      </w:pPr>
    </w:p>
    <w:p w14:paraId="74DDDF68" w14:textId="6EA3A05A" w:rsidR="002A6B05" w:rsidRPr="00A623AB" w:rsidRDefault="0066215E" w:rsidP="002A6B05">
      <w:pPr>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0" w:firstLine="567"/>
        <w:jc w:val="both"/>
        <w:rPr>
          <w:rFonts w:ascii="Cambria" w:hAnsi="Cambria"/>
          <w:sz w:val="20"/>
          <w:szCs w:val="20"/>
        </w:rPr>
      </w:pPr>
      <w:r w:rsidRPr="00A623AB">
        <w:rPr>
          <w:rFonts w:ascii="Cambria" w:eastAsia="Cambria" w:hAnsi="Cambria" w:cs="Cambria"/>
          <w:sz w:val="20"/>
          <w:szCs w:val="20"/>
        </w:rPr>
        <w:lastRenderedPageBreak/>
        <w:t>With regard to the merits</w:t>
      </w:r>
      <w:r w:rsidR="000D3029" w:rsidRPr="00A623AB">
        <w:rPr>
          <w:rFonts w:ascii="Cambria" w:eastAsia="Cambria" w:hAnsi="Cambria" w:cs="Cambria"/>
          <w:sz w:val="20"/>
          <w:szCs w:val="20"/>
        </w:rPr>
        <w:t xml:space="preserve"> of the case</w:t>
      </w:r>
      <w:r w:rsidRPr="00A623AB">
        <w:rPr>
          <w:rFonts w:ascii="Cambria" w:eastAsia="Cambria" w:hAnsi="Cambria" w:cs="Cambria"/>
          <w:sz w:val="20"/>
          <w:szCs w:val="20"/>
        </w:rPr>
        <w:t>, the petitioner</w:t>
      </w:r>
      <w:r w:rsidR="000D3029" w:rsidRPr="00A623AB">
        <w:rPr>
          <w:rFonts w:ascii="Cambria" w:eastAsia="Cambria" w:hAnsi="Cambria" w:cs="Cambria"/>
          <w:sz w:val="20"/>
          <w:szCs w:val="20"/>
        </w:rPr>
        <w:t>s</w:t>
      </w:r>
      <w:r w:rsidRPr="00A623AB">
        <w:rPr>
          <w:rFonts w:ascii="Cambria" w:eastAsia="Cambria" w:hAnsi="Cambria" w:cs="Cambria"/>
          <w:sz w:val="20"/>
          <w:szCs w:val="20"/>
        </w:rPr>
        <w:t xml:space="preserve"> allege a violation to the rights to life (Article 4 of the ACHR), to personal integrity (Article 5 of the ACHR), to a fair trial (Article 8 of the ACHR), and to judicial protection (Article 25 of the ACHR), all of them in relation to the general obligation to respect and guarantee rights (Article 1.1) and the obligation to adopt domestic legal effects (Article 2), to the detriment of Sarah Lyn Langton, Terry Langton and Lyn Langton.</w:t>
      </w:r>
    </w:p>
    <w:p w14:paraId="7ED084AD" w14:textId="77777777" w:rsidR="002A6B05" w:rsidRPr="00A623AB" w:rsidRDefault="002A6B05" w:rsidP="002A6B05">
      <w:pPr>
        <w:jc w:val="both"/>
        <w:rPr>
          <w:rFonts w:ascii="Cambria" w:hAnsi="Cambria"/>
          <w:sz w:val="20"/>
          <w:szCs w:val="20"/>
        </w:rPr>
      </w:pPr>
      <w:bookmarkStart w:id="14" w:name="_Toc477355344"/>
    </w:p>
    <w:p w14:paraId="207ED045" w14:textId="77777777" w:rsidR="002A6B05" w:rsidRPr="00A623AB" w:rsidRDefault="0066215E" w:rsidP="002A6B05">
      <w:pPr>
        <w:pStyle w:val="Heading2"/>
        <w:numPr>
          <w:ilvl w:val="0"/>
          <w:numId w:val="52"/>
        </w:numPr>
        <w:jc w:val="both"/>
        <w:rPr>
          <w:rFonts w:ascii="Cambria" w:hAnsi="Cambria"/>
          <w:i w:val="0"/>
          <w:sz w:val="20"/>
          <w:szCs w:val="20"/>
          <w:lang w:val="es-ES"/>
        </w:rPr>
      </w:pPr>
      <w:bookmarkStart w:id="15" w:name="_Toc217309571"/>
      <w:r w:rsidRPr="00A623AB">
        <w:rPr>
          <w:rFonts w:ascii="Cambria" w:eastAsia="Cambria" w:hAnsi="Cambria" w:cs="Cambria"/>
          <w:i w:val="0"/>
          <w:sz w:val="20"/>
          <w:szCs w:val="20"/>
          <w:bdr w:val="nil"/>
        </w:rPr>
        <w:t>Position of the State</w:t>
      </w:r>
      <w:bookmarkEnd w:id="14"/>
      <w:bookmarkEnd w:id="15"/>
    </w:p>
    <w:p w14:paraId="3C089E70" w14:textId="77777777" w:rsidR="002A6B05" w:rsidRPr="00A623AB" w:rsidRDefault="002A6B05" w:rsidP="002A6B05">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jc w:val="both"/>
        <w:rPr>
          <w:rFonts w:ascii="Cambria" w:hAnsi="Cambria"/>
          <w:sz w:val="20"/>
          <w:szCs w:val="20"/>
          <w:lang w:val="es-ES"/>
        </w:rPr>
      </w:pPr>
    </w:p>
    <w:p w14:paraId="31B31172" w14:textId="28D11300" w:rsidR="002A6B05" w:rsidRPr="00A623AB" w:rsidRDefault="0066215E" w:rsidP="002A6B05">
      <w:pPr>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630"/>
        <w:jc w:val="both"/>
        <w:rPr>
          <w:rFonts w:ascii="Cambria" w:hAnsi="Cambria"/>
          <w:sz w:val="20"/>
          <w:szCs w:val="20"/>
        </w:rPr>
      </w:pPr>
      <w:r w:rsidRPr="00A623AB">
        <w:rPr>
          <w:rFonts w:ascii="Cambria" w:eastAsia="Cambria" w:hAnsi="Cambria" w:cs="Cambria"/>
          <w:sz w:val="20"/>
          <w:szCs w:val="20"/>
        </w:rPr>
        <w:t xml:space="preserve">The State </w:t>
      </w:r>
      <w:r w:rsidR="00BA41CB" w:rsidRPr="00A623AB">
        <w:rPr>
          <w:rFonts w:ascii="Cambria" w:eastAsia="Cambria" w:hAnsi="Cambria" w:cs="Cambria"/>
          <w:sz w:val="20"/>
          <w:szCs w:val="20"/>
        </w:rPr>
        <w:t>did not submit observations</w:t>
      </w:r>
      <w:r w:rsidR="00AE1287" w:rsidRPr="00A623AB">
        <w:rPr>
          <w:rFonts w:ascii="Cambria" w:eastAsia="Cambria" w:hAnsi="Cambria" w:cs="Cambria"/>
          <w:sz w:val="20"/>
          <w:szCs w:val="20"/>
        </w:rPr>
        <w:t xml:space="preserve"> </w:t>
      </w:r>
      <w:r w:rsidRPr="00A623AB">
        <w:rPr>
          <w:rFonts w:ascii="Cambria" w:eastAsia="Cambria" w:hAnsi="Cambria" w:cs="Cambria"/>
          <w:sz w:val="20"/>
          <w:szCs w:val="20"/>
        </w:rPr>
        <w:t xml:space="preserve">regarding the merits of this petition. </w:t>
      </w:r>
    </w:p>
    <w:p w14:paraId="3DB10553" w14:textId="77777777" w:rsidR="002A6B05" w:rsidRPr="00A623AB" w:rsidRDefault="002A6B05" w:rsidP="002A6B05">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jc w:val="both"/>
        <w:rPr>
          <w:rFonts w:ascii="Cambria" w:hAnsi="Cambria"/>
          <w:sz w:val="20"/>
          <w:szCs w:val="20"/>
        </w:rPr>
      </w:pPr>
    </w:p>
    <w:p w14:paraId="4B2622DC" w14:textId="6B45DE81" w:rsidR="002A6B05" w:rsidRPr="00A623AB" w:rsidRDefault="0066215E" w:rsidP="00120626">
      <w:pPr>
        <w:pStyle w:val="Heading1"/>
        <w:numPr>
          <w:ilvl w:val="0"/>
          <w:numId w:val="65"/>
        </w:numPr>
        <w:spacing w:before="0"/>
        <w:jc w:val="both"/>
        <w:rPr>
          <w:rFonts w:ascii="Cambria" w:eastAsia="Yu Gothic Light" w:hAnsi="Cambria"/>
          <w:color w:val="auto"/>
          <w:sz w:val="20"/>
          <w:szCs w:val="20"/>
          <w:lang w:val="es-ES"/>
        </w:rPr>
      </w:pPr>
      <w:bookmarkStart w:id="16" w:name="_Toc217309572"/>
      <w:bookmarkStart w:id="17" w:name="_Toc477355360"/>
      <w:bookmarkStart w:id="18" w:name="_Toc480897202"/>
      <w:r w:rsidRPr="00A623AB">
        <w:rPr>
          <w:rFonts w:ascii="Cambria" w:eastAsia="Cambria" w:hAnsi="Cambria" w:cs="Cambria"/>
          <w:color w:val="auto"/>
          <w:sz w:val="20"/>
          <w:szCs w:val="20"/>
        </w:rPr>
        <w:t>FINDING</w:t>
      </w:r>
      <w:r w:rsidR="00C2014A" w:rsidRPr="00A623AB">
        <w:rPr>
          <w:rFonts w:ascii="Cambria" w:eastAsia="Cambria" w:hAnsi="Cambria" w:cs="Cambria"/>
          <w:color w:val="auto"/>
          <w:sz w:val="20"/>
          <w:szCs w:val="20"/>
        </w:rPr>
        <w:t>S</w:t>
      </w:r>
      <w:r w:rsidRPr="00A623AB">
        <w:rPr>
          <w:rFonts w:ascii="Cambria" w:eastAsia="Cambria" w:hAnsi="Cambria" w:cs="Cambria"/>
          <w:color w:val="auto"/>
          <w:sz w:val="20"/>
          <w:szCs w:val="20"/>
        </w:rPr>
        <w:t xml:space="preserve"> OF FACTS</w:t>
      </w:r>
      <w:bookmarkEnd w:id="16"/>
    </w:p>
    <w:p w14:paraId="1114265F" w14:textId="77777777" w:rsidR="002A6B05" w:rsidRPr="00A623AB" w:rsidRDefault="002A6B05" w:rsidP="002A6B05">
      <w:pPr>
        <w:rPr>
          <w:rFonts w:ascii="Cambria" w:hAnsi="Cambria"/>
          <w:sz w:val="20"/>
          <w:szCs w:val="20"/>
          <w:lang w:val="es-ES"/>
        </w:rPr>
      </w:pPr>
    </w:p>
    <w:p w14:paraId="4D10B2D3" w14:textId="164B8213" w:rsidR="002A6B05" w:rsidRPr="00A623AB" w:rsidRDefault="0066215E" w:rsidP="002A6B05">
      <w:pPr>
        <w:pStyle w:val="ListParagraph"/>
        <w:numPr>
          <w:ilvl w:val="0"/>
          <w:numId w:val="51"/>
        </w:numPr>
        <w:ind w:left="0" w:firstLine="567"/>
        <w:jc w:val="both"/>
        <w:rPr>
          <w:color w:val="auto"/>
          <w:sz w:val="20"/>
          <w:szCs w:val="20"/>
        </w:rPr>
      </w:pPr>
      <w:r w:rsidRPr="00A623AB">
        <w:rPr>
          <w:color w:val="auto"/>
          <w:sz w:val="20"/>
          <w:szCs w:val="20"/>
        </w:rPr>
        <w:t>The Commission recalls that, pursuant to Article 38 of its Rules of Procedure, “[t]he facts alleged in the petition, the pertinent parts of which have been transmitted to the State in question, shall be presumed to be true if the State has not provided responsive information during the maximum period set by the Commission under the provisions of Article 37 of these Rules of Procedure, as long as other evidence does not lead to a different conclusion.” In the instant case, since the State has not contested any of the facts alleged by the petitioner</w:t>
      </w:r>
      <w:r w:rsidR="000D3029" w:rsidRPr="00A623AB">
        <w:rPr>
          <w:color w:val="auto"/>
          <w:sz w:val="20"/>
          <w:szCs w:val="20"/>
        </w:rPr>
        <w:t>s</w:t>
      </w:r>
      <w:r w:rsidRPr="00A623AB">
        <w:rPr>
          <w:color w:val="auto"/>
          <w:sz w:val="20"/>
          <w:szCs w:val="20"/>
        </w:rPr>
        <w:t>, there is a presumption of truth of the facts. Likewise, the Commission proceeds to the finding</w:t>
      </w:r>
      <w:r w:rsidR="00C2014A" w:rsidRPr="00A623AB">
        <w:rPr>
          <w:color w:val="auto"/>
          <w:sz w:val="20"/>
          <w:szCs w:val="20"/>
        </w:rPr>
        <w:t>s of fact</w:t>
      </w:r>
      <w:r w:rsidRPr="00A623AB">
        <w:rPr>
          <w:color w:val="auto"/>
          <w:sz w:val="20"/>
          <w:szCs w:val="20"/>
        </w:rPr>
        <w:t xml:space="preserve"> in accordance with the information presented in the file. </w:t>
      </w:r>
    </w:p>
    <w:p w14:paraId="14A917DB" w14:textId="77777777" w:rsidR="002A6B05" w:rsidRPr="00A623AB" w:rsidRDefault="002A6B05" w:rsidP="002A6B05">
      <w:pPr>
        <w:rPr>
          <w:rFonts w:ascii="Cambria" w:hAnsi="Cambria"/>
          <w:sz w:val="20"/>
          <w:szCs w:val="20"/>
        </w:rPr>
      </w:pPr>
    </w:p>
    <w:p w14:paraId="3604DFCF" w14:textId="77777777" w:rsidR="002A6B05" w:rsidRPr="00A623AB" w:rsidRDefault="0066215E" w:rsidP="00550322">
      <w:pPr>
        <w:pStyle w:val="Heading2"/>
        <w:numPr>
          <w:ilvl w:val="0"/>
          <w:numId w:val="54"/>
        </w:numPr>
        <w:jc w:val="both"/>
        <w:rPr>
          <w:rFonts w:ascii="Cambria" w:hAnsi="Cambria"/>
          <w:i w:val="0"/>
          <w:sz w:val="20"/>
          <w:szCs w:val="20"/>
        </w:rPr>
      </w:pPr>
      <w:bookmarkStart w:id="19" w:name="_Toc217309573"/>
      <w:r w:rsidRPr="00A623AB">
        <w:rPr>
          <w:rFonts w:ascii="Cambria" w:eastAsia="Cambria" w:hAnsi="Cambria" w:cs="Cambria"/>
          <w:i w:val="0"/>
          <w:sz w:val="20"/>
          <w:szCs w:val="20"/>
          <w:bdr w:val="nil"/>
        </w:rPr>
        <w:t>Context and background: Detention conditions at the INOF and medical assistance services for persons deprived of their liberty in Venezuela</w:t>
      </w:r>
      <w:bookmarkEnd w:id="19"/>
    </w:p>
    <w:p w14:paraId="740AEB54" w14:textId="77777777" w:rsidR="002A6B05" w:rsidRPr="00A623AB" w:rsidRDefault="002A6B05" w:rsidP="002A6B05">
      <w:pPr>
        <w:rPr>
          <w:rFonts w:ascii="Cambria" w:hAnsi="Cambria"/>
          <w:i/>
          <w:sz w:val="20"/>
          <w:szCs w:val="20"/>
        </w:rPr>
      </w:pPr>
    </w:p>
    <w:p w14:paraId="61F2DB44" w14:textId="3635E36A" w:rsidR="00F25690" w:rsidRPr="00A623AB" w:rsidRDefault="0066215E" w:rsidP="00F25690">
      <w:pPr>
        <w:pStyle w:val="ListParagraph"/>
        <w:numPr>
          <w:ilvl w:val="0"/>
          <w:numId w:val="51"/>
        </w:numPr>
        <w:ind w:left="0" w:firstLine="567"/>
        <w:jc w:val="both"/>
        <w:rPr>
          <w:color w:val="auto"/>
          <w:sz w:val="20"/>
          <w:szCs w:val="20"/>
        </w:rPr>
      </w:pPr>
      <w:r w:rsidRPr="00A623AB">
        <w:rPr>
          <w:color w:val="auto"/>
          <w:sz w:val="20"/>
          <w:szCs w:val="20"/>
        </w:rPr>
        <w:t>The National Institute of Female Orientation (INOF) is the only detention facility in Venezuela that is exclusively for women; it is located in Los Teques, state of Miranda</w:t>
      </w:r>
      <w:r w:rsidR="00E26BD0" w:rsidRPr="00A623AB">
        <w:rPr>
          <w:color w:val="auto"/>
          <w:sz w:val="20"/>
          <w:szCs w:val="20"/>
        </w:rPr>
        <w:t xml:space="preserve">. </w:t>
      </w:r>
      <w:r w:rsidRPr="00A623AB">
        <w:rPr>
          <w:color w:val="auto"/>
          <w:sz w:val="20"/>
          <w:szCs w:val="20"/>
        </w:rPr>
        <w:t>Some non-governmental organizations had pointed to the lack of access to health services at the INOF prior to the death of Sarah Langton, and continued to do so thereafter.</w:t>
      </w:r>
      <w:r w:rsidRPr="00A623AB">
        <w:rPr>
          <w:color w:val="auto"/>
          <w:sz w:val="20"/>
          <w:szCs w:val="20"/>
          <w:vertAlign w:val="superscript"/>
          <w:lang w:val="es-ES"/>
        </w:rPr>
        <w:footnoteReference w:id="1"/>
      </w:r>
      <w:r w:rsidRPr="00A623AB">
        <w:rPr>
          <w:color w:val="auto"/>
          <w:sz w:val="20"/>
          <w:szCs w:val="20"/>
        </w:rPr>
        <w:t xml:space="preserve"> In its annual report of 2003, only two years after the facts of the instant case, non-governmental organization PROVEA described </w:t>
      </w:r>
      <w:r w:rsidR="00CF4157" w:rsidRPr="00A623AB">
        <w:rPr>
          <w:color w:val="auto"/>
          <w:sz w:val="20"/>
          <w:szCs w:val="20"/>
        </w:rPr>
        <w:t xml:space="preserve">a </w:t>
      </w:r>
      <w:r w:rsidRPr="00A623AB">
        <w:rPr>
          <w:color w:val="auto"/>
          <w:sz w:val="20"/>
          <w:szCs w:val="20"/>
        </w:rPr>
        <w:t>precarious</w:t>
      </w:r>
      <w:r w:rsidR="00CF4157" w:rsidRPr="00A623AB">
        <w:rPr>
          <w:color w:val="auto"/>
          <w:sz w:val="20"/>
          <w:szCs w:val="20"/>
        </w:rPr>
        <w:t xml:space="preserve"> level of</w:t>
      </w:r>
      <w:r w:rsidRPr="00A623AB">
        <w:rPr>
          <w:color w:val="auto"/>
          <w:sz w:val="20"/>
          <w:szCs w:val="20"/>
        </w:rPr>
        <w:t xml:space="preserve"> assistance in basic health services, mostly with regard to mental health: there was a lack of special programs to treat inmates with severe psychiatric disorders, especially for groups of prisoners who were in a particularly vulnerable situation.</w:t>
      </w:r>
      <w:r w:rsidRPr="00A623AB">
        <w:rPr>
          <w:color w:val="auto"/>
          <w:sz w:val="20"/>
          <w:szCs w:val="20"/>
          <w:vertAlign w:val="superscript"/>
          <w:lang w:val="es-ES"/>
        </w:rPr>
        <w:footnoteReference w:id="2"/>
      </w:r>
      <w:r w:rsidRPr="00A623AB">
        <w:rPr>
          <w:color w:val="auto"/>
          <w:sz w:val="20"/>
          <w:szCs w:val="20"/>
        </w:rPr>
        <w:t xml:space="preserve">  </w:t>
      </w:r>
    </w:p>
    <w:p w14:paraId="3CD2B351" w14:textId="77777777" w:rsidR="00F25690" w:rsidRPr="00A623AB" w:rsidRDefault="00F25690" w:rsidP="00F25690">
      <w:pPr>
        <w:pStyle w:val="ListParagraph"/>
        <w:ind w:left="567"/>
        <w:jc w:val="both"/>
        <w:rPr>
          <w:color w:val="auto"/>
          <w:sz w:val="20"/>
          <w:szCs w:val="20"/>
        </w:rPr>
      </w:pPr>
    </w:p>
    <w:p w14:paraId="7A360EAD" w14:textId="755E4D5E" w:rsidR="00852E1F" w:rsidRPr="00A623AB" w:rsidRDefault="0066215E" w:rsidP="00852E1F">
      <w:pPr>
        <w:pStyle w:val="ListParagraph"/>
        <w:numPr>
          <w:ilvl w:val="0"/>
          <w:numId w:val="51"/>
        </w:numPr>
        <w:ind w:left="0" w:firstLine="567"/>
        <w:jc w:val="both"/>
        <w:rPr>
          <w:color w:val="auto"/>
          <w:sz w:val="20"/>
          <w:szCs w:val="20"/>
        </w:rPr>
      </w:pPr>
      <w:r w:rsidRPr="00A623AB">
        <w:rPr>
          <w:color w:val="auto"/>
          <w:sz w:val="20"/>
          <w:szCs w:val="20"/>
        </w:rPr>
        <w:t>Not only were these problems happening at the INOF: the year of Sarah’s death, the United Nations Human Rights Committee had shown concern over the conditions in prisons and detention facilities in Venezuela.</w:t>
      </w:r>
      <w:r w:rsidRPr="00A623AB">
        <w:rPr>
          <w:rStyle w:val="FootnoteReference"/>
          <w:color w:val="auto"/>
          <w:sz w:val="20"/>
          <w:szCs w:val="20"/>
          <w:lang w:val="es-ES"/>
        </w:rPr>
        <w:footnoteReference w:id="3"/>
      </w:r>
      <w:r w:rsidRPr="00A623AB">
        <w:rPr>
          <w:color w:val="auto"/>
          <w:sz w:val="20"/>
          <w:szCs w:val="20"/>
        </w:rPr>
        <w:t xml:space="preserve"> Over the last few years, the Commission has repeatedly pronounced its concern over the critical situation that persons deprived of their liberty in Venezuela find themselves in,</w:t>
      </w:r>
      <w:r w:rsidRPr="00A623AB">
        <w:rPr>
          <w:rStyle w:val="FootnoteReference"/>
          <w:color w:val="auto"/>
          <w:sz w:val="20"/>
          <w:szCs w:val="20"/>
          <w:lang w:val="es-ES"/>
        </w:rPr>
        <w:footnoteReference w:id="4"/>
      </w:r>
      <w:r w:rsidRPr="00A623AB">
        <w:rPr>
          <w:color w:val="auto"/>
          <w:sz w:val="20"/>
          <w:szCs w:val="20"/>
        </w:rPr>
        <w:t xml:space="preserve"> stating that “it constitutes one of the most serious situations in the continent.”</w:t>
      </w:r>
      <w:r w:rsidRPr="00A623AB">
        <w:rPr>
          <w:rStyle w:val="FootnoteReference"/>
          <w:color w:val="auto"/>
          <w:sz w:val="20"/>
          <w:szCs w:val="20"/>
          <w:lang w:val="es-ES"/>
        </w:rPr>
        <w:footnoteReference w:id="5"/>
      </w:r>
      <w:r w:rsidRPr="00A623AB">
        <w:rPr>
          <w:color w:val="auto"/>
          <w:sz w:val="20"/>
          <w:szCs w:val="20"/>
        </w:rPr>
        <w:t xml:space="preserve"> </w:t>
      </w:r>
    </w:p>
    <w:p w14:paraId="06DE0467" w14:textId="77777777" w:rsidR="00852E1F" w:rsidRPr="00A623AB" w:rsidRDefault="00852E1F" w:rsidP="00852E1F">
      <w:pPr>
        <w:jc w:val="both"/>
        <w:rPr>
          <w:rFonts w:ascii="Cambria" w:hAnsi="Cambria"/>
          <w:sz w:val="20"/>
          <w:szCs w:val="20"/>
        </w:rPr>
      </w:pPr>
    </w:p>
    <w:p w14:paraId="0E5B9925" w14:textId="6E06A7CA" w:rsidR="00852E1F" w:rsidRPr="00A623AB" w:rsidRDefault="0066215E" w:rsidP="00852E1F">
      <w:pPr>
        <w:pStyle w:val="ListParagraph"/>
        <w:numPr>
          <w:ilvl w:val="0"/>
          <w:numId w:val="51"/>
        </w:numPr>
        <w:ind w:left="0" w:firstLine="567"/>
        <w:jc w:val="both"/>
        <w:rPr>
          <w:color w:val="auto"/>
          <w:sz w:val="20"/>
          <w:szCs w:val="20"/>
        </w:rPr>
      </w:pPr>
      <w:r w:rsidRPr="00A623AB">
        <w:rPr>
          <w:color w:val="auto"/>
          <w:sz w:val="20"/>
          <w:szCs w:val="20"/>
        </w:rPr>
        <w:t>According to the information accessed by the Commission, the situation of the INOF</w:t>
      </w:r>
      <w:r w:rsidR="00CF4157" w:rsidRPr="00A623AB">
        <w:rPr>
          <w:color w:val="auto"/>
          <w:sz w:val="20"/>
          <w:szCs w:val="20"/>
        </w:rPr>
        <w:t>’s</w:t>
      </w:r>
      <w:r w:rsidRPr="00A623AB">
        <w:rPr>
          <w:color w:val="auto"/>
          <w:sz w:val="20"/>
          <w:szCs w:val="20"/>
        </w:rPr>
        <w:t xml:space="preserve"> inmates has not improved since the time of the facts, and it is especially serious at the moment.</w:t>
      </w:r>
      <w:r w:rsidRPr="00A623AB">
        <w:rPr>
          <w:rStyle w:val="FootnoteReference"/>
          <w:color w:val="auto"/>
          <w:sz w:val="20"/>
          <w:szCs w:val="20"/>
          <w:lang w:val="es-ES"/>
        </w:rPr>
        <w:footnoteReference w:id="6"/>
      </w:r>
      <w:r w:rsidRPr="00A623AB">
        <w:rPr>
          <w:color w:val="auto"/>
          <w:sz w:val="20"/>
          <w:szCs w:val="20"/>
        </w:rPr>
        <w:t xml:space="preserve"> For example, in its last report, of 2021, the Venezuelan Observatory of Prisons warned that conditions at the INOF are of prevailing </w:t>
      </w:r>
      <w:r w:rsidRPr="00A623AB">
        <w:rPr>
          <w:color w:val="auto"/>
          <w:sz w:val="20"/>
          <w:szCs w:val="20"/>
        </w:rPr>
        <w:lastRenderedPageBreak/>
        <w:t>overcrowding and lack of access to health</w:t>
      </w:r>
      <w:r w:rsidR="00CF4157" w:rsidRPr="00A623AB">
        <w:rPr>
          <w:color w:val="auto"/>
          <w:sz w:val="20"/>
          <w:szCs w:val="20"/>
        </w:rPr>
        <w:t xml:space="preserve"> – </w:t>
      </w:r>
      <w:r w:rsidRPr="00A623AB">
        <w:rPr>
          <w:color w:val="auto"/>
          <w:sz w:val="20"/>
          <w:szCs w:val="20"/>
        </w:rPr>
        <w:t>152.</w:t>
      </w:r>
      <w:r w:rsidR="00CF4157" w:rsidRPr="00A623AB">
        <w:rPr>
          <w:color w:val="auto"/>
          <w:sz w:val="20"/>
          <w:szCs w:val="20"/>
        </w:rPr>
        <w:t>2 per cent</w:t>
      </w:r>
      <w:r w:rsidRPr="00A623AB">
        <w:rPr>
          <w:color w:val="auto"/>
          <w:sz w:val="20"/>
          <w:szCs w:val="20"/>
        </w:rPr>
        <w:t xml:space="preserve"> of the imprisoned population is located at this detention facility</w:t>
      </w:r>
      <w:r w:rsidR="00CF4157" w:rsidRPr="00A623AB">
        <w:rPr>
          <w:color w:val="auto"/>
          <w:sz w:val="20"/>
          <w:szCs w:val="20"/>
        </w:rPr>
        <w:t xml:space="preserve"> –</w:t>
      </w:r>
      <w:r w:rsidRPr="00A623AB">
        <w:rPr>
          <w:color w:val="auto"/>
          <w:sz w:val="20"/>
          <w:szCs w:val="20"/>
        </w:rPr>
        <w:t>,</w:t>
      </w:r>
      <w:r w:rsidRPr="00A623AB">
        <w:rPr>
          <w:rStyle w:val="FootnoteReference"/>
          <w:rFonts w:cs="Times New Roman"/>
          <w:color w:val="auto"/>
          <w:sz w:val="20"/>
          <w:szCs w:val="20"/>
          <w:lang w:val="es-ES"/>
        </w:rPr>
        <w:footnoteReference w:id="7"/>
      </w:r>
      <w:r w:rsidRPr="00A623AB">
        <w:rPr>
          <w:color w:val="auto"/>
          <w:sz w:val="20"/>
          <w:szCs w:val="20"/>
        </w:rPr>
        <w:t xml:space="preserve"> and that access to medical attention is only provided in some emergencies,</w:t>
      </w:r>
      <w:r w:rsidRPr="00A623AB">
        <w:rPr>
          <w:rStyle w:val="FootnoteReference"/>
          <w:rFonts w:cs="Times New Roman"/>
          <w:color w:val="auto"/>
          <w:sz w:val="20"/>
          <w:szCs w:val="20"/>
          <w:lang w:val="es-ES"/>
        </w:rPr>
        <w:footnoteReference w:id="8"/>
      </w:r>
      <w:r w:rsidRPr="00A623AB">
        <w:rPr>
          <w:color w:val="auto"/>
          <w:sz w:val="20"/>
          <w:szCs w:val="20"/>
        </w:rPr>
        <w:t xml:space="preserve"> resulting in the failure to protect th</w:t>
      </w:r>
      <w:r w:rsidR="00CF4157" w:rsidRPr="00A623AB">
        <w:rPr>
          <w:color w:val="auto"/>
          <w:sz w:val="20"/>
          <w:szCs w:val="20"/>
        </w:rPr>
        <w:t>ose</w:t>
      </w:r>
      <w:r w:rsidRPr="00A623AB">
        <w:rPr>
          <w:color w:val="auto"/>
          <w:sz w:val="20"/>
          <w:szCs w:val="20"/>
        </w:rPr>
        <w:t xml:space="preserve"> inmates who suffer from conditions that are not considered urgent, or even </w:t>
      </w:r>
      <w:r w:rsidR="00CF4157" w:rsidRPr="00A623AB">
        <w:rPr>
          <w:color w:val="auto"/>
          <w:sz w:val="20"/>
          <w:szCs w:val="20"/>
        </w:rPr>
        <w:t xml:space="preserve">in </w:t>
      </w:r>
      <w:r w:rsidRPr="00A623AB">
        <w:rPr>
          <w:color w:val="auto"/>
          <w:sz w:val="20"/>
          <w:szCs w:val="20"/>
        </w:rPr>
        <w:t>the failure to address some emergencies.</w:t>
      </w:r>
      <w:r w:rsidRPr="00A623AB">
        <w:rPr>
          <w:rStyle w:val="FootnoteReference"/>
          <w:rFonts w:cs="Times New Roman"/>
          <w:color w:val="auto"/>
          <w:sz w:val="20"/>
          <w:szCs w:val="20"/>
          <w:lang w:val="es-ES"/>
        </w:rPr>
        <w:footnoteReference w:id="9"/>
      </w:r>
    </w:p>
    <w:p w14:paraId="6B0EDCFB" w14:textId="77777777" w:rsidR="002A6B05" w:rsidRPr="00A623AB" w:rsidRDefault="002A6B05" w:rsidP="00035AA6">
      <w:pPr>
        <w:jc w:val="both"/>
        <w:rPr>
          <w:rFonts w:ascii="Cambria" w:hAnsi="Cambria"/>
          <w:sz w:val="20"/>
          <w:szCs w:val="20"/>
        </w:rPr>
      </w:pPr>
    </w:p>
    <w:p w14:paraId="34408065" w14:textId="77777777" w:rsidR="002A6B05" w:rsidRPr="00A623AB" w:rsidRDefault="0066215E" w:rsidP="00550322">
      <w:pPr>
        <w:pStyle w:val="Heading2"/>
        <w:numPr>
          <w:ilvl w:val="0"/>
          <w:numId w:val="54"/>
        </w:numPr>
        <w:jc w:val="both"/>
        <w:rPr>
          <w:rFonts w:ascii="Cambria" w:hAnsi="Cambria"/>
          <w:i w:val="0"/>
          <w:iCs w:val="0"/>
          <w:sz w:val="20"/>
          <w:szCs w:val="20"/>
        </w:rPr>
      </w:pPr>
      <w:bookmarkStart w:id="20" w:name="_Toc217309574"/>
      <w:r w:rsidRPr="00A623AB">
        <w:rPr>
          <w:rFonts w:ascii="Cambria" w:eastAsia="Cambria" w:hAnsi="Cambria" w:cs="Cambria"/>
          <w:i w:val="0"/>
          <w:iCs w:val="0"/>
          <w:sz w:val="20"/>
          <w:szCs w:val="20"/>
          <w:bdr w:val="nil"/>
        </w:rPr>
        <w:t>The physical and mental health condition of Sarah Lyn Langton during the time she was deprived of her liberty at the INOF</w:t>
      </w:r>
      <w:bookmarkEnd w:id="20"/>
    </w:p>
    <w:p w14:paraId="298A7C3B" w14:textId="77777777" w:rsidR="002A6B05" w:rsidRPr="00A623AB" w:rsidRDefault="002A6B05" w:rsidP="002A6B05">
      <w:pPr>
        <w:pStyle w:val="ListParagraph"/>
        <w:rPr>
          <w:rFonts w:cstheme="majorHAnsi"/>
          <w:bCs/>
          <w:color w:val="auto"/>
          <w:sz w:val="20"/>
          <w:szCs w:val="20"/>
        </w:rPr>
      </w:pPr>
    </w:p>
    <w:p w14:paraId="40CCBF98" w14:textId="071AC903" w:rsidR="002715A9" w:rsidRPr="00A623AB" w:rsidRDefault="0066215E" w:rsidP="00852E1F">
      <w:pPr>
        <w:pStyle w:val="ListParagraph"/>
        <w:numPr>
          <w:ilvl w:val="0"/>
          <w:numId w:val="51"/>
        </w:numPr>
        <w:ind w:left="0" w:firstLine="567"/>
        <w:jc w:val="both"/>
        <w:rPr>
          <w:rFonts w:cstheme="majorHAnsi"/>
          <w:bCs/>
          <w:color w:val="auto"/>
          <w:sz w:val="20"/>
          <w:szCs w:val="20"/>
        </w:rPr>
      </w:pPr>
      <w:r w:rsidRPr="00A623AB">
        <w:rPr>
          <w:bCs/>
          <w:color w:val="auto"/>
          <w:sz w:val="20"/>
          <w:szCs w:val="20"/>
        </w:rPr>
        <w:t xml:space="preserve">Sarah Lyn Langton, a British national, </w:t>
      </w:r>
      <w:r w:rsidR="00CF4157" w:rsidRPr="00A623AB">
        <w:rPr>
          <w:bCs/>
          <w:color w:val="auto"/>
          <w:sz w:val="20"/>
          <w:szCs w:val="20"/>
        </w:rPr>
        <w:t>had been</w:t>
      </w:r>
      <w:r w:rsidRPr="00A623AB">
        <w:rPr>
          <w:bCs/>
          <w:color w:val="auto"/>
          <w:sz w:val="20"/>
          <w:szCs w:val="20"/>
        </w:rPr>
        <w:t xml:space="preserve"> serving a 5-year conviction for drug trafficking since August 29, 2000, at the INOF, located in Los Teques, state of Miranda, Venezuela.</w:t>
      </w:r>
      <w:r w:rsidRPr="00A623AB">
        <w:rPr>
          <w:rStyle w:val="FootnoteReference"/>
          <w:rFonts w:cstheme="majorHAnsi"/>
          <w:bCs/>
          <w:color w:val="auto"/>
          <w:sz w:val="20"/>
          <w:szCs w:val="20"/>
          <w:lang w:val="es-ES"/>
        </w:rPr>
        <w:footnoteReference w:id="10"/>
      </w:r>
      <w:r w:rsidRPr="00A623AB">
        <w:rPr>
          <w:bCs/>
          <w:color w:val="auto"/>
          <w:sz w:val="20"/>
          <w:szCs w:val="20"/>
        </w:rPr>
        <w:t xml:space="preserve"> The alleged victim </w:t>
      </w:r>
      <w:r w:rsidR="00CF4157" w:rsidRPr="00A623AB">
        <w:rPr>
          <w:bCs/>
          <w:color w:val="auto"/>
          <w:sz w:val="20"/>
          <w:szCs w:val="20"/>
        </w:rPr>
        <w:t xml:space="preserve">had </w:t>
      </w:r>
      <w:r w:rsidRPr="00A623AB">
        <w:rPr>
          <w:bCs/>
          <w:color w:val="auto"/>
          <w:sz w:val="20"/>
          <w:szCs w:val="20"/>
        </w:rPr>
        <w:t xml:space="preserve">suffered type 1 diabetes mellitus since she was 4 years old, which </w:t>
      </w:r>
      <w:r w:rsidR="00CF4157" w:rsidRPr="00A623AB">
        <w:rPr>
          <w:bCs/>
          <w:color w:val="auto"/>
          <w:sz w:val="20"/>
          <w:szCs w:val="20"/>
        </w:rPr>
        <w:t xml:space="preserve">had </w:t>
      </w:r>
      <w:r w:rsidRPr="00A623AB">
        <w:rPr>
          <w:bCs/>
          <w:color w:val="auto"/>
          <w:sz w:val="20"/>
          <w:szCs w:val="20"/>
        </w:rPr>
        <w:t>made her insulin</w:t>
      </w:r>
      <w:r w:rsidR="00CF4157" w:rsidRPr="00A623AB">
        <w:rPr>
          <w:bCs/>
          <w:color w:val="auto"/>
          <w:sz w:val="20"/>
          <w:szCs w:val="20"/>
        </w:rPr>
        <w:t xml:space="preserve"> </w:t>
      </w:r>
      <w:r w:rsidRPr="00A623AB">
        <w:rPr>
          <w:bCs/>
          <w:color w:val="auto"/>
          <w:sz w:val="20"/>
          <w:szCs w:val="20"/>
        </w:rPr>
        <w:t>dependent.</w:t>
      </w:r>
      <w:r w:rsidRPr="00A623AB">
        <w:rPr>
          <w:rStyle w:val="FootnoteReference"/>
          <w:rFonts w:cstheme="majorHAnsi"/>
          <w:bCs/>
          <w:color w:val="auto"/>
          <w:sz w:val="20"/>
          <w:szCs w:val="20"/>
          <w:lang w:val="es-ES"/>
        </w:rPr>
        <w:footnoteReference w:id="11"/>
      </w:r>
      <w:r w:rsidRPr="00A623AB">
        <w:rPr>
          <w:bCs/>
          <w:color w:val="auto"/>
          <w:sz w:val="20"/>
          <w:szCs w:val="20"/>
        </w:rPr>
        <w:t xml:space="preserve"> In the years prior to the facts, the alleged victim’s diabetes had been stable thanks to an appropriate treatment.</w:t>
      </w:r>
      <w:r w:rsidRPr="00A623AB">
        <w:rPr>
          <w:rStyle w:val="FootnoteReference"/>
          <w:rFonts w:cstheme="majorHAnsi"/>
          <w:bCs/>
          <w:color w:val="auto"/>
          <w:sz w:val="20"/>
          <w:szCs w:val="20"/>
          <w:lang w:val="es-ES"/>
        </w:rPr>
        <w:footnoteReference w:id="12"/>
      </w:r>
    </w:p>
    <w:p w14:paraId="09DF1419" w14:textId="77777777" w:rsidR="00852E1F" w:rsidRPr="00A623AB" w:rsidRDefault="00852E1F" w:rsidP="00852E1F">
      <w:pPr>
        <w:jc w:val="both"/>
        <w:rPr>
          <w:rFonts w:ascii="Cambria" w:hAnsi="Cambria" w:cstheme="majorHAnsi"/>
          <w:bCs/>
          <w:sz w:val="20"/>
          <w:szCs w:val="20"/>
        </w:rPr>
      </w:pPr>
    </w:p>
    <w:p w14:paraId="4E12A972" w14:textId="77777777" w:rsidR="002715A9" w:rsidRPr="00A623AB" w:rsidRDefault="0066215E" w:rsidP="002715A9">
      <w:pPr>
        <w:pStyle w:val="ListParagraph"/>
        <w:numPr>
          <w:ilvl w:val="0"/>
          <w:numId w:val="51"/>
        </w:numPr>
        <w:ind w:left="0" w:firstLine="567"/>
        <w:jc w:val="both"/>
        <w:rPr>
          <w:rFonts w:cstheme="majorHAnsi"/>
          <w:bCs/>
          <w:color w:val="auto"/>
          <w:sz w:val="20"/>
          <w:szCs w:val="20"/>
        </w:rPr>
      </w:pPr>
      <w:r w:rsidRPr="00A623AB">
        <w:rPr>
          <w:bCs/>
          <w:color w:val="auto"/>
          <w:sz w:val="20"/>
          <w:szCs w:val="20"/>
        </w:rPr>
        <w:t>In addition to the foregoing, Sarah was suffering from deep depression and severe stress, which led her parents to believe she suffered a mental disorder.</w:t>
      </w:r>
      <w:r w:rsidRPr="00A623AB">
        <w:rPr>
          <w:rStyle w:val="FootnoteReference"/>
          <w:rFonts w:cstheme="majorHAnsi"/>
          <w:bCs/>
          <w:color w:val="auto"/>
          <w:sz w:val="20"/>
          <w:szCs w:val="20"/>
          <w:lang w:val="es-ES"/>
        </w:rPr>
        <w:footnoteReference w:id="13"/>
      </w:r>
      <w:r w:rsidRPr="00A623AB">
        <w:rPr>
          <w:bCs/>
          <w:color w:val="auto"/>
          <w:sz w:val="20"/>
          <w:szCs w:val="20"/>
        </w:rPr>
        <w:t xml:space="preserve"> The family physician states that while she was studying in London, she had overdosed on drugs on various occasions, and that by the time of her last consultation, she was taking Paroxetine, an antidepressant, and had requested to be given Diazepam to be able to relax.</w:t>
      </w:r>
      <w:r w:rsidRPr="00A623AB">
        <w:rPr>
          <w:rStyle w:val="FootnoteReference"/>
          <w:rFonts w:cstheme="majorHAnsi"/>
          <w:bCs/>
          <w:color w:val="auto"/>
          <w:sz w:val="20"/>
          <w:szCs w:val="20"/>
          <w:lang w:val="es-ES"/>
        </w:rPr>
        <w:footnoteReference w:id="14"/>
      </w:r>
      <w:r w:rsidRPr="00A623AB">
        <w:rPr>
          <w:bCs/>
          <w:color w:val="auto"/>
          <w:sz w:val="20"/>
          <w:szCs w:val="20"/>
        </w:rPr>
        <w:t xml:space="preserve"> </w:t>
      </w:r>
    </w:p>
    <w:p w14:paraId="3CFB5441" w14:textId="77777777" w:rsidR="00EA6555" w:rsidRPr="00A623AB" w:rsidRDefault="00EA6555" w:rsidP="00EA6555">
      <w:pPr>
        <w:jc w:val="both"/>
        <w:rPr>
          <w:rFonts w:ascii="Cambria" w:hAnsi="Cambria" w:cstheme="majorHAnsi"/>
          <w:bCs/>
          <w:sz w:val="20"/>
          <w:szCs w:val="20"/>
        </w:rPr>
      </w:pPr>
    </w:p>
    <w:p w14:paraId="10DC134A" w14:textId="6658F020" w:rsidR="00EB0764" w:rsidRPr="00A623AB" w:rsidRDefault="0066215E" w:rsidP="002715A9">
      <w:pPr>
        <w:pStyle w:val="ListParagraph"/>
        <w:numPr>
          <w:ilvl w:val="0"/>
          <w:numId w:val="51"/>
        </w:numPr>
        <w:ind w:left="0" w:firstLine="567"/>
        <w:jc w:val="both"/>
        <w:rPr>
          <w:rFonts w:cstheme="majorHAnsi"/>
          <w:bCs/>
          <w:color w:val="auto"/>
          <w:sz w:val="20"/>
          <w:szCs w:val="20"/>
        </w:rPr>
      </w:pPr>
      <w:r w:rsidRPr="00A623AB">
        <w:rPr>
          <w:bCs/>
          <w:color w:val="auto"/>
          <w:sz w:val="20"/>
          <w:szCs w:val="20"/>
        </w:rPr>
        <w:t>During her deprivation of liberty at the INOF</w:t>
      </w:r>
      <w:r w:rsidR="00CF4157" w:rsidRPr="00A623AB">
        <w:rPr>
          <w:bCs/>
          <w:color w:val="auto"/>
          <w:sz w:val="20"/>
          <w:szCs w:val="20"/>
        </w:rPr>
        <w:t>’s</w:t>
      </w:r>
      <w:r w:rsidRPr="00A623AB">
        <w:rPr>
          <w:bCs/>
          <w:color w:val="auto"/>
          <w:sz w:val="20"/>
          <w:szCs w:val="20"/>
        </w:rPr>
        <w:t xml:space="preserve"> facilities, the prison authorities kept Sarah’s insulin in the fridge of the prison’s main office and administered it to her whenever she requested.</w:t>
      </w:r>
      <w:r w:rsidRPr="00A623AB">
        <w:rPr>
          <w:rStyle w:val="FootnoteReference"/>
          <w:rFonts w:cstheme="majorHAnsi"/>
          <w:bCs/>
          <w:color w:val="auto"/>
          <w:sz w:val="20"/>
          <w:szCs w:val="20"/>
          <w:lang w:val="es-ES"/>
        </w:rPr>
        <w:footnoteReference w:id="15"/>
      </w:r>
      <w:r w:rsidRPr="00A623AB">
        <w:rPr>
          <w:bCs/>
          <w:color w:val="auto"/>
          <w:sz w:val="20"/>
          <w:szCs w:val="20"/>
        </w:rPr>
        <w:t xml:space="preserve"> On previous occasions, she had to be taken to the hospital because her diabetes had not been properly monitored.</w:t>
      </w:r>
      <w:r w:rsidRPr="00A623AB">
        <w:rPr>
          <w:rStyle w:val="FootnoteReference"/>
          <w:rFonts w:cstheme="majorHAnsi"/>
          <w:bCs/>
          <w:color w:val="auto"/>
          <w:sz w:val="20"/>
          <w:szCs w:val="20"/>
          <w:lang w:val="es-ES"/>
        </w:rPr>
        <w:footnoteReference w:id="16"/>
      </w:r>
      <w:r w:rsidRPr="00A623AB">
        <w:rPr>
          <w:bCs/>
          <w:color w:val="auto"/>
          <w:sz w:val="20"/>
          <w:szCs w:val="20"/>
        </w:rPr>
        <w:t xml:space="preserve"> </w:t>
      </w:r>
    </w:p>
    <w:p w14:paraId="65DCB0E8" w14:textId="77777777" w:rsidR="00EE4B9B" w:rsidRPr="00A623AB" w:rsidRDefault="00EE4B9B" w:rsidP="00EE4B9B">
      <w:pPr>
        <w:pStyle w:val="ListParagraph"/>
        <w:ind w:left="567"/>
        <w:jc w:val="both"/>
        <w:rPr>
          <w:rFonts w:cstheme="majorHAnsi"/>
          <w:bCs/>
          <w:color w:val="auto"/>
          <w:sz w:val="20"/>
          <w:szCs w:val="20"/>
        </w:rPr>
      </w:pPr>
    </w:p>
    <w:p w14:paraId="5E7BA8DE" w14:textId="0B446092" w:rsidR="009A42B2" w:rsidRPr="00A623AB" w:rsidRDefault="0066215E" w:rsidP="009A42B2">
      <w:pPr>
        <w:pStyle w:val="ListParagraph"/>
        <w:numPr>
          <w:ilvl w:val="0"/>
          <w:numId w:val="51"/>
        </w:numPr>
        <w:ind w:left="0" w:firstLine="567"/>
        <w:jc w:val="both"/>
        <w:rPr>
          <w:rFonts w:cstheme="majorHAnsi"/>
          <w:bCs/>
          <w:color w:val="auto"/>
          <w:sz w:val="20"/>
          <w:szCs w:val="20"/>
        </w:rPr>
      </w:pPr>
      <w:r w:rsidRPr="00A623AB">
        <w:rPr>
          <w:bCs/>
          <w:color w:val="auto"/>
          <w:sz w:val="20"/>
          <w:szCs w:val="20"/>
        </w:rPr>
        <w:t>The file indicates that the Venezuelan authorities were aware of the alleged victim’s health condition and how vulnerable she was due to her mental state.</w:t>
      </w:r>
      <w:r w:rsidRPr="00A623AB">
        <w:rPr>
          <w:rStyle w:val="FootnoteReference"/>
          <w:rFonts w:cstheme="majorHAnsi"/>
          <w:bCs/>
          <w:color w:val="auto"/>
          <w:sz w:val="20"/>
          <w:szCs w:val="20"/>
          <w:lang w:val="es-ES"/>
        </w:rPr>
        <w:footnoteReference w:id="17"/>
      </w:r>
      <w:r w:rsidRPr="00A623AB">
        <w:rPr>
          <w:bCs/>
          <w:color w:val="auto"/>
          <w:sz w:val="20"/>
          <w:szCs w:val="20"/>
        </w:rPr>
        <w:t xml:space="preserve"> Dr. Orlando González, </w:t>
      </w:r>
      <w:r w:rsidR="00CF4157" w:rsidRPr="00A623AB">
        <w:rPr>
          <w:bCs/>
          <w:color w:val="auto"/>
          <w:sz w:val="20"/>
          <w:szCs w:val="20"/>
        </w:rPr>
        <w:t xml:space="preserve">a member </w:t>
      </w:r>
      <w:r w:rsidRPr="00A623AB">
        <w:rPr>
          <w:bCs/>
          <w:color w:val="auto"/>
          <w:sz w:val="20"/>
          <w:szCs w:val="20"/>
        </w:rPr>
        <w:t>of</w:t>
      </w:r>
      <w:r w:rsidR="00CF4157" w:rsidRPr="00A623AB">
        <w:rPr>
          <w:bCs/>
          <w:color w:val="auto"/>
          <w:sz w:val="20"/>
          <w:szCs w:val="20"/>
        </w:rPr>
        <w:t xml:space="preserve"> the</w:t>
      </w:r>
      <w:r w:rsidRPr="00A623AB">
        <w:rPr>
          <w:bCs/>
          <w:color w:val="auto"/>
          <w:sz w:val="20"/>
          <w:szCs w:val="20"/>
        </w:rPr>
        <w:t xml:space="preserve"> INOF’s medical staff, opened the patient’s clinical record on September 1, 2000</w:t>
      </w:r>
      <w:r w:rsidR="00CF4157" w:rsidRPr="00A623AB">
        <w:rPr>
          <w:bCs/>
          <w:color w:val="auto"/>
          <w:sz w:val="20"/>
          <w:szCs w:val="20"/>
        </w:rPr>
        <w:t>. He</w:t>
      </w:r>
      <w:r w:rsidRPr="00A623AB">
        <w:rPr>
          <w:bCs/>
          <w:color w:val="auto"/>
          <w:sz w:val="20"/>
          <w:szCs w:val="20"/>
        </w:rPr>
        <w:t xml:space="preserve"> perfor</w:t>
      </w:r>
      <w:r w:rsidR="00CF4157" w:rsidRPr="00A623AB">
        <w:rPr>
          <w:bCs/>
          <w:color w:val="auto"/>
          <w:sz w:val="20"/>
          <w:szCs w:val="20"/>
        </w:rPr>
        <w:t>med</w:t>
      </w:r>
      <w:r w:rsidRPr="00A623AB">
        <w:rPr>
          <w:bCs/>
          <w:color w:val="auto"/>
          <w:sz w:val="20"/>
          <w:szCs w:val="20"/>
        </w:rPr>
        <w:t xml:space="preserve"> a medical evaluation and indicat</w:t>
      </w:r>
      <w:r w:rsidR="00CF4157" w:rsidRPr="00A623AB">
        <w:rPr>
          <w:bCs/>
          <w:color w:val="auto"/>
          <w:sz w:val="20"/>
          <w:szCs w:val="20"/>
        </w:rPr>
        <w:t>ed</w:t>
      </w:r>
      <w:r w:rsidRPr="00A623AB">
        <w:rPr>
          <w:bCs/>
          <w:color w:val="auto"/>
          <w:sz w:val="20"/>
          <w:szCs w:val="20"/>
        </w:rPr>
        <w:t xml:space="preserve"> that she suffered from type I diabetes and that she was insulin</w:t>
      </w:r>
      <w:r w:rsidR="00CF4157" w:rsidRPr="00A623AB">
        <w:rPr>
          <w:bCs/>
          <w:color w:val="auto"/>
          <w:sz w:val="20"/>
          <w:szCs w:val="20"/>
        </w:rPr>
        <w:t xml:space="preserve"> </w:t>
      </w:r>
      <w:r w:rsidRPr="00A623AB">
        <w:rPr>
          <w:bCs/>
          <w:color w:val="auto"/>
          <w:sz w:val="20"/>
          <w:szCs w:val="20"/>
        </w:rPr>
        <w:t>dependent.</w:t>
      </w:r>
      <w:r w:rsidRPr="00A623AB">
        <w:rPr>
          <w:rStyle w:val="FootnoteReference"/>
          <w:rFonts w:cstheme="majorHAnsi"/>
          <w:bCs/>
          <w:color w:val="auto"/>
          <w:sz w:val="20"/>
          <w:szCs w:val="20"/>
          <w:lang w:val="es-ES"/>
        </w:rPr>
        <w:footnoteReference w:id="18"/>
      </w:r>
      <w:r w:rsidRPr="00A623AB">
        <w:rPr>
          <w:bCs/>
          <w:color w:val="auto"/>
          <w:sz w:val="20"/>
          <w:szCs w:val="20"/>
        </w:rPr>
        <w:t xml:space="preserve"> In the alleged victim’s record, Dr. González also noted that she suffered from substance addiction.</w:t>
      </w:r>
      <w:r w:rsidRPr="00A623AB">
        <w:rPr>
          <w:rStyle w:val="FootnoteReference"/>
          <w:rFonts w:cstheme="majorHAnsi"/>
          <w:bCs/>
          <w:color w:val="auto"/>
          <w:sz w:val="20"/>
          <w:szCs w:val="20"/>
          <w:lang w:val="es-ES"/>
        </w:rPr>
        <w:footnoteReference w:id="19"/>
      </w:r>
      <w:r w:rsidRPr="00A623AB">
        <w:rPr>
          <w:bCs/>
          <w:color w:val="auto"/>
          <w:sz w:val="20"/>
          <w:szCs w:val="20"/>
        </w:rPr>
        <w:t xml:space="preserve"> Moreover, he noted down that Sarah was taking a drug used to treat anxiety and depression, named Diazepam.</w:t>
      </w:r>
      <w:r w:rsidRPr="00A623AB">
        <w:rPr>
          <w:rStyle w:val="FootnoteReference"/>
          <w:rFonts w:cstheme="majorHAnsi"/>
          <w:bCs/>
          <w:color w:val="auto"/>
          <w:sz w:val="20"/>
          <w:szCs w:val="20"/>
          <w:lang w:val="es-ES"/>
        </w:rPr>
        <w:footnoteReference w:id="20"/>
      </w:r>
      <w:r w:rsidRPr="00A623AB">
        <w:rPr>
          <w:bCs/>
          <w:color w:val="auto"/>
          <w:sz w:val="20"/>
          <w:szCs w:val="20"/>
        </w:rPr>
        <w:t xml:space="preserve">  The alleged victim was evaluated periodically by the staff physicians at the INOF; however, her last medical evaluation had been carried out on January 5, 2001.</w:t>
      </w:r>
      <w:r w:rsidRPr="00A623AB">
        <w:rPr>
          <w:rStyle w:val="FootnoteReference"/>
          <w:rFonts w:cstheme="majorHAnsi"/>
          <w:bCs/>
          <w:color w:val="auto"/>
          <w:sz w:val="20"/>
          <w:szCs w:val="20"/>
          <w:lang w:val="es-ES"/>
        </w:rPr>
        <w:footnoteReference w:id="21"/>
      </w:r>
    </w:p>
    <w:p w14:paraId="490A3EC4" w14:textId="77777777" w:rsidR="00EE4B9B" w:rsidRPr="00A623AB" w:rsidRDefault="00EE4B9B" w:rsidP="00EE4B9B">
      <w:pPr>
        <w:jc w:val="both"/>
        <w:rPr>
          <w:rFonts w:ascii="Cambria" w:hAnsi="Cambria" w:cstheme="majorHAnsi"/>
          <w:bCs/>
          <w:sz w:val="20"/>
          <w:szCs w:val="20"/>
        </w:rPr>
      </w:pPr>
    </w:p>
    <w:p w14:paraId="2916B12F" w14:textId="07A3C7F2" w:rsidR="00EE4B9B" w:rsidRPr="00A623AB" w:rsidRDefault="0066215E" w:rsidP="009A42B2">
      <w:pPr>
        <w:pStyle w:val="ListParagraph"/>
        <w:numPr>
          <w:ilvl w:val="0"/>
          <w:numId w:val="51"/>
        </w:numPr>
        <w:ind w:left="0" w:firstLine="567"/>
        <w:jc w:val="both"/>
        <w:rPr>
          <w:rFonts w:cstheme="majorHAnsi"/>
          <w:bCs/>
          <w:color w:val="auto"/>
          <w:sz w:val="20"/>
          <w:szCs w:val="20"/>
        </w:rPr>
      </w:pPr>
      <w:r w:rsidRPr="00A623AB">
        <w:rPr>
          <w:bCs/>
          <w:color w:val="auto"/>
          <w:sz w:val="20"/>
          <w:szCs w:val="20"/>
        </w:rPr>
        <w:t>Sarah’s father, Terry Langton, had also informed the Venezuelan authorities of his concern over the appropriate handling of his daughter’s condition at the penitentiary, claiming that she had no access to the correct type of insulin, and that she did not have other necessary elements for her treatment at her disposal</w:t>
      </w:r>
      <w:r w:rsidR="00CF4157" w:rsidRPr="00A623AB">
        <w:rPr>
          <w:bCs/>
          <w:color w:val="auto"/>
          <w:sz w:val="20"/>
          <w:szCs w:val="20"/>
        </w:rPr>
        <w:t>. As a result,</w:t>
      </w:r>
      <w:r w:rsidRPr="00A623AB">
        <w:rPr>
          <w:bCs/>
          <w:color w:val="auto"/>
          <w:sz w:val="20"/>
          <w:szCs w:val="20"/>
        </w:rPr>
        <w:t xml:space="preserve"> her family sent whatever they could through the British Embassy in Caracas.</w:t>
      </w:r>
      <w:r w:rsidRPr="00A623AB">
        <w:rPr>
          <w:rStyle w:val="FootnoteReference"/>
          <w:rFonts w:cstheme="majorHAnsi"/>
          <w:bCs/>
          <w:color w:val="auto"/>
          <w:sz w:val="20"/>
          <w:szCs w:val="20"/>
          <w:lang w:val="es-ES"/>
        </w:rPr>
        <w:footnoteReference w:id="22"/>
      </w:r>
      <w:r w:rsidRPr="00A623AB">
        <w:rPr>
          <w:bCs/>
          <w:color w:val="auto"/>
          <w:sz w:val="20"/>
          <w:szCs w:val="20"/>
        </w:rPr>
        <w:t xml:space="preserve"> In addition </w:t>
      </w:r>
      <w:r w:rsidRPr="00A623AB">
        <w:rPr>
          <w:bCs/>
          <w:color w:val="auto"/>
          <w:sz w:val="20"/>
          <w:szCs w:val="20"/>
        </w:rPr>
        <w:lastRenderedPageBreak/>
        <w:t>to this, it is stated in the file that the family physician, Charles Fox, had written a report on September 11, 2000, in which he warned that in prison “her diabetes would undoubtedly be a serious threat to her health and possibly to her life.”</w:t>
      </w:r>
      <w:r w:rsidRPr="00A623AB">
        <w:rPr>
          <w:rStyle w:val="FootnoteReference"/>
          <w:rFonts w:cstheme="majorHAnsi"/>
          <w:bCs/>
          <w:color w:val="auto"/>
          <w:sz w:val="20"/>
          <w:szCs w:val="20"/>
          <w:lang w:val="es-ES"/>
        </w:rPr>
        <w:footnoteReference w:id="23"/>
      </w:r>
      <w:r w:rsidRPr="00A623AB">
        <w:rPr>
          <w:bCs/>
          <w:color w:val="auto"/>
          <w:sz w:val="20"/>
          <w:szCs w:val="20"/>
        </w:rPr>
        <w:t xml:space="preserve"> S</w:t>
      </w:r>
      <w:r w:rsidR="00CF4157" w:rsidRPr="00A623AB">
        <w:rPr>
          <w:bCs/>
          <w:color w:val="auto"/>
          <w:sz w:val="20"/>
          <w:szCs w:val="20"/>
        </w:rPr>
        <w:t>aid</w:t>
      </w:r>
      <w:r w:rsidRPr="00A623AB">
        <w:rPr>
          <w:bCs/>
          <w:color w:val="auto"/>
          <w:sz w:val="20"/>
          <w:szCs w:val="20"/>
        </w:rPr>
        <w:t xml:space="preserve"> report, along with additional information on the alleged victim’s health condition, was sent to her defense attorney, Pastor Solórzano, to be submitted to the prison authorities.</w:t>
      </w:r>
      <w:r w:rsidRPr="00A623AB">
        <w:rPr>
          <w:rStyle w:val="FootnoteReference"/>
          <w:rFonts w:cstheme="majorHAnsi"/>
          <w:bCs/>
          <w:color w:val="auto"/>
          <w:sz w:val="20"/>
          <w:szCs w:val="20"/>
          <w:lang w:val="es-ES"/>
        </w:rPr>
        <w:footnoteReference w:id="24"/>
      </w:r>
      <w:r w:rsidRPr="00A623AB">
        <w:rPr>
          <w:bCs/>
          <w:color w:val="auto"/>
          <w:sz w:val="20"/>
          <w:szCs w:val="20"/>
        </w:rPr>
        <w:t xml:space="preserve"> The file also </w:t>
      </w:r>
      <w:r w:rsidR="00DC5F3C" w:rsidRPr="00A623AB">
        <w:rPr>
          <w:bCs/>
          <w:color w:val="auto"/>
          <w:sz w:val="20"/>
          <w:szCs w:val="20"/>
        </w:rPr>
        <w:t>reported</w:t>
      </w:r>
      <w:r w:rsidRPr="00A623AB">
        <w:rPr>
          <w:bCs/>
          <w:color w:val="auto"/>
          <w:sz w:val="20"/>
          <w:szCs w:val="20"/>
        </w:rPr>
        <w:t xml:space="preserve"> that on October 17, 2000, personnel from the British Embassy in Caracas </w:t>
      </w:r>
      <w:r w:rsidR="00DC5F3C" w:rsidRPr="00A623AB">
        <w:rPr>
          <w:bCs/>
          <w:color w:val="auto"/>
          <w:sz w:val="20"/>
          <w:szCs w:val="20"/>
        </w:rPr>
        <w:t xml:space="preserve">had </w:t>
      </w:r>
      <w:r w:rsidRPr="00A623AB">
        <w:rPr>
          <w:bCs/>
          <w:color w:val="auto"/>
          <w:sz w:val="20"/>
          <w:szCs w:val="20"/>
        </w:rPr>
        <w:t xml:space="preserve">visited Sarah and </w:t>
      </w:r>
      <w:r w:rsidR="00DC5F3C" w:rsidRPr="00A623AB">
        <w:rPr>
          <w:bCs/>
          <w:color w:val="auto"/>
          <w:sz w:val="20"/>
          <w:szCs w:val="20"/>
        </w:rPr>
        <w:t xml:space="preserve">had </w:t>
      </w:r>
      <w:r w:rsidRPr="00A623AB">
        <w:rPr>
          <w:bCs/>
          <w:color w:val="auto"/>
          <w:sz w:val="20"/>
          <w:szCs w:val="20"/>
        </w:rPr>
        <w:t xml:space="preserve">delivered to the INOF’s </w:t>
      </w:r>
      <w:r w:rsidR="00DC5F3C" w:rsidRPr="00A623AB">
        <w:rPr>
          <w:bCs/>
          <w:color w:val="auto"/>
          <w:sz w:val="20"/>
          <w:szCs w:val="20"/>
        </w:rPr>
        <w:t>d</w:t>
      </w:r>
      <w:r w:rsidRPr="00A623AB">
        <w:rPr>
          <w:bCs/>
          <w:color w:val="auto"/>
          <w:sz w:val="20"/>
          <w:szCs w:val="20"/>
        </w:rPr>
        <w:t xml:space="preserve">irector the Spanish version of the documents explaining her diabetes, as well as </w:t>
      </w:r>
      <w:r w:rsidR="00DC5F3C" w:rsidRPr="00A623AB">
        <w:rPr>
          <w:bCs/>
          <w:color w:val="auto"/>
          <w:sz w:val="20"/>
          <w:szCs w:val="20"/>
        </w:rPr>
        <w:t>her</w:t>
      </w:r>
      <w:r w:rsidRPr="00A623AB">
        <w:rPr>
          <w:bCs/>
          <w:color w:val="auto"/>
          <w:sz w:val="20"/>
          <w:szCs w:val="20"/>
        </w:rPr>
        <w:t xml:space="preserve"> required treatment and diet.</w:t>
      </w:r>
      <w:r w:rsidRPr="00A623AB">
        <w:rPr>
          <w:rStyle w:val="FootnoteReference"/>
          <w:rFonts w:cstheme="majorHAnsi"/>
          <w:bCs/>
          <w:color w:val="auto"/>
          <w:sz w:val="20"/>
          <w:szCs w:val="20"/>
          <w:lang w:val="es-ES"/>
        </w:rPr>
        <w:footnoteReference w:id="25"/>
      </w:r>
    </w:p>
    <w:p w14:paraId="66981297" w14:textId="77777777" w:rsidR="00E233C9" w:rsidRPr="00A623AB" w:rsidRDefault="0066215E" w:rsidP="00EE4B9B">
      <w:pPr>
        <w:pStyle w:val="ListParagraph"/>
        <w:ind w:left="567"/>
        <w:jc w:val="both"/>
        <w:rPr>
          <w:rFonts w:cstheme="majorHAnsi"/>
          <w:bCs/>
          <w:color w:val="auto"/>
          <w:sz w:val="20"/>
          <w:szCs w:val="20"/>
        </w:rPr>
      </w:pPr>
      <w:r w:rsidRPr="00A623AB">
        <w:rPr>
          <w:rFonts w:cstheme="majorHAnsi"/>
          <w:bCs/>
          <w:color w:val="auto"/>
          <w:sz w:val="20"/>
          <w:szCs w:val="20"/>
        </w:rPr>
        <w:t xml:space="preserve"> </w:t>
      </w:r>
    </w:p>
    <w:p w14:paraId="730E25BC" w14:textId="7029BE2D" w:rsidR="009A42B2" w:rsidRPr="00074F4D" w:rsidRDefault="0066215E" w:rsidP="00643323">
      <w:pPr>
        <w:pStyle w:val="ListParagraph"/>
        <w:numPr>
          <w:ilvl w:val="0"/>
          <w:numId w:val="51"/>
        </w:numPr>
        <w:ind w:left="0" w:firstLine="567"/>
        <w:jc w:val="both"/>
        <w:rPr>
          <w:rFonts w:cstheme="majorHAnsi"/>
          <w:bCs/>
          <w:color w:val="auto"/>
          <w:sz w:val="20"/>
          <w:szCs w:val="20"/>
        </w:rPr>
      </w:pPr>
      <w:r w:rsidRPr="00A623AB">
        <w:rPr>
          <w:bCs/>
          <w:color w:val="auto"/>
          <w:sz w:val="20"/>
          <w:szCs w:val="20"/>
        </w:rPr>
        <w:t>Terry Langton had also warned the authorities of her daughter’s mental health episodes.</w:t>
      </w:r>
      <w:r w:rsidRPr="00A623AB">
        <w:rPr>
          <w:rStyle w:val="FootnoteReference"/>
          <w:rFonts w:cstheme="majorHAnsi"/>
          <w:bCs/>
          <w:color w:val="auto"/>
          <w:sz w:val="20"/>
          <w:szCs w:val="20"/>
          <w:lang w:val="es-ES"/>
        </w:rPr>
        <w:footnoteReference w:id="26"/>
      </w:r>
      <w:r w:rsidRPr="00A623AB">
        <w:rPr>
          <w:bCs/>
          <w:color w:val="auto"/>
          <w:sz w:val="20"/>
          <w:szCs w:val="20"/>
        </w:rPr>
        <w:t xml:space="preserve"> The file also indicate</w:t>
      </w:r>
      <w:r w:rsidR="00DC5F3C" w:rsidRPr="00A623AB">
        <w:rPr>
          <w:bCs/>
          <w:color w:val="auto"/>
          <w:sz w:val="20"/>
          <w:szCs w:val="20"/>
        </w:rPr>
        <w:t>s</w:t>
      </w:r>
      <w:r w:rsidRPr="00A623AB">
        <w:rPr>
          <w:bCs/>
          <w:color w:val="auto"/>
          <w:sz w:val="20"/>
          <w:szCs w:val="20"/>
        </w:rPr>
        <w:t xml:space="preserve"> that Jalismar Canozo, member of the British Consulate in Venezuela, visited Sarah at the INOF on September 5, 2000, and later told Sarah’s parents that the prison authorities kept her medicine (insulin and Diazepam) and administered them whenever she so requested.</w:t>
      </w:r>
      <w:r w:rsidRPr="00A623AB">
        <w:rPr>
          <w:rStyle w:val="FootnoteReference"/>
          <w:rFonts w:cstheme="majorHAnsi"/>
          <w:bCs/>
          <w:color w:val="auto"/>
          <w:sz w:val="20"/>
          <w:szCs w:val="20"/>
          <w:lang w:val="es-ES"/>
        </w:rPr>
        <w:footnoteReference w:id="27"/>
      </w:r>
      <w:r w:rsidRPr="00A623AB">
        <w:rPr>
          <w:bCs/>
          <w:color w:val="auto"/>
          <w:sz w:val="20"/>
          <w:szCs w:val="20"/>
        </w:rPr>
        <w:t xml:space="preserve"> Moreover, he stated that he had requested the prison authorities to have a psychiatrist evaluate Sarah, given that she had attempted suicide twice some years before.</w:t>
      </w:r>
      <w:r w:rsidRPr="00A623AB">
        <w:rPr>
          <w:rStyle w:val="FootnoteReference"/>
          <w:rFonts w:cstheme="majorHAnsi"/>
          <w:bCs/>
          <w:color w:val="auto"/>
          <w:sz w:val="20"/>
          <w:szCs w:val="20"/>
          <w:lang w:val="es-ES"/>
        </w:rPr>
        <w:footnoteReference w:id="28"/>
      </w:r>
      <w:r w:rsidRPr="00A623AB">
        <w:rPr>
          <w:bCs/>
          <w:color w:val="auto"/>
          <w:sz w:val="20"/>
          <w:szCs w:val="20"/>
        </w:rPr>
        <w:t xml:space="preserve">  </w:t>
      </w:r>
    </w:p>
    <w:p w14:paraId="0C71C7DA" w14:textId="77777777" w:rsidR="00074F4D" w:rsidRPr="00074F4D" w:rsidRDefault="00074F4D" w:rsidP="00074F4D">
      <w:pPr>
        <w:jc w:val="both"/>
        <w:rPr>
          <w:rFonts w:cstheme="majorHAnsi"/>
          <w:bCs/>
          <w:sz w:val="20"/>
          <w:szCs w:val="20"/>
        </w:rPr>
      </w:pPr>
    </w:p>
    <w:p w14:paraId="00CA994F" w14:textId="77777777" w:rsidR="009A42B2" w:rsidRPr="00A623AB" w:rsidRDefault="0066215E" w:rsidP="009A42B2">
      <w:pPr>
        <w:pStyle w:val="ListParagraph"/>
        <w:numPr>
          <w:ilvl w:val="0"/>
          <w:numId w:val="51"/>
        </w:numPr>
        <w:ind w:left="0" w:firstLine="567"/>
        <w:jc w:val="both"/>
        <w:rPr>
          <w:rFonts w:cstheme="majorHAnsi"/>
          <w:bCs/>
          <w:color w:val="auto"/>
          <w:sz w:val="20"/>
          <w:szCs w:val="20"/>
        </w:rPr>
      </w:pPr>
      <w:r w:rsidRPr="00A623AB">
        <w:rPr>
          <w:bCs/>
          <w:color w:val="auto"/>
          <w:sz w:val="20"/>
          <w:szCs w:val="20"/>
        </w:rPr>
        <w:t xml:space="preserve">There is no proof in the file pointing to the fact that Sarah had received psychological assistance. </w:t>
      </w:r>
    </w:p>
    <w:p w14:paraId="7768107C" w14:textId="77777777" w:rsidR="002A6B05" w:rsidRPr="00A623AB" w:rsidRDefault="002A6B05" w:rsidP="002A6B05">
      <w:pPr>
        <w:jc w:val="both"/>
        <w:rPr>
          <w:rFonts w:ascii="Cambria" w:hAnsi="Cambria"/>
          <w:sz w:val="20"/>
          <w:szCs w:val="20"/>
        </w:rPr>
      </w:pPr>
    </w:p>
    <w:p w14:paraId="6E4D6C5E" w14:textId="77777777" w:rsidR="002A6B05" w:rsidRPr="00A623AB" w:rsidRDefault="0066215E" w:rsidP="00550322">
      <w:pPr>
        <w:pStyle w:val="Heading2"/>
        <w:numPr>
          <w:ilvl w:val="0"/>
          <w:numId w:val="54"/>
        </w:numPr>
        <w:rPr>
          <w:rFonts w:ascii="Cambria" w:hAnsi="Cambria"/>
          <w:i w:val="0"/>
          <w:iCs w:val="0"/>
          <w:sz w:val="20"/>
          <w:szCs w:val="20"/>
        </w:rPr>
      </w:pPr>
      <w:bookmarkStart w:id="21" w:name="_Toc217309575"/>
      <w:r w:rsidRPr="00A623AB">
        <w:rPr>
          <w:rFonts w:ascii="Cambria" w:eastAsia="Cambria" w:hAnsi="Cambria" w:cs="Cambria"/>
          <w:i w:val="0"/>
          <w:iCs w:val="0"/>
          <w:sz w:val="20"/>
          <w:szCs w:val="20"/>
          <w:bdr w:val="nil"/>
        </w:rPr>
        <w:t>The death of Sarah Lyn Langton at the San Bernardino Medical Institute in the city of Caracas</w:t>
      </w:r>
      <w:bookmarkEnd w:id="21"/>
    </w:p>
    <w:p w14:paraId="2B43392D" w14:textId="77777777" w:rsidR="002A6B05" w:rsidRPr="00A623AB" w:rsidRDefault="002A6B05" w:rsidP="002A6B05">
      <w:pPr>
        <w:rPr>
          <w:rFonts w:ascii="Cambria" w:hAnsi="Cambria"/>
          <w:i/>
          <w:iCs/>
          <w:sz w:val="20"/>
          <w:szCs w:val="20"/>
        </w:rPr>
      </w:pPr>
    </w:p>
    <w:p w14:paraId="4CF543E5" w14:textId="08E8CA26" w:rsidR="00012E36" w:rsidRPr="00A623AB" w:rsidRDefault="0066215E" w:rsidP="00012E36">
      <w:pPr>
        <w:pStyle w:val="ListParagraph"/>
        <w:numPr>
          <w:ilvl w:val="0"/>
          <w:numId w:val="51"/>
        </w:numPr>
        <w:ind w:left="0" w:firstLine="567"/>
        <w:jc w:val="both"/>
        <w:rPr>
          <w:rFonts w:cstheme="majorHAnsi"/>
          <w:bCs/>
          <w:color w:val="auto"/>
          <w:sz w:val="20"/>
          <w:szCs w:val="20"/>
        </w:rPr>
      </w:pPr>
      <w:r w:rsidRPr="00A623AB">
        <w:rPr>
          <w:bCs/>
          <w:color w:val="auto"/>
          <w:sz w:val="20"/>
          <w:szCs w:val="20"/>
        </w:rPr>
        <w:t>On March 6, 2001, Sarah was transferred from the INOF to the Victorino Santaella General Hospital located in Los Teques by members of the fire brigade, since she showed low blood sugar levels and there was no medical staff on duty.</w:t>
      </w:r>
      <w:r w:rsidRPr="00A623AB">
        <w:rPr>
          <w:rStyle w:val="FootnoteReference"/>
          <w:rFonts w:cstheme="majorHAnsi"/>
          <w:bCs/>
          <w:color w:val="auto"/>
          <w:sz w:val="20"/>
          <w:szCs w:val="20"/>
          <w:lang w:val="es-ES"/>
        </w:rPr>
        <w:footnoteReference w:id="29"/>
      </w:r>
      <w:r w:rsidRPr="00A623AB">
        <w:rPr>
          <w:bCs/>
          <w:color w:val="auto"/>
          <w:sz w:val="20"/>
          <w:szCs w:val="20"/>
        </w:rPr>
        <w:t xml:space="preserve"> She was discharged approximately at 9</w:t>
      </w:r>
      <w:r w:rsidR="00321B48" w:rsidRPr="00A623AB">
        <w:rPr>
          <w:bCs/>
          <w:color w:val="auto"/>
          <w:sz w:val="20"/>
          <w:szCs w:val="20"/>
        </w:rPr>
        <w:t>.</w:t>
      </w:r>
      <w:r w:rsidRPr="00A623AB">
        <w:rPr>
          <w:bCs/>
          <w:color w:val="auto"/>
          <w:sz w:val="20"/>
          <w:szCs w:val="20"/>
        </w:rPr>
        <w:t>00 p</w:t>
      </w:r>
      <w:r w:rsidR="00321B48" w:rsidRPr="00A623AB">
        <w:rPr>
          <w:bCs/>
          <w:color w:val="auto"/>
          <w:sz w:val="20"/>
          <w:szCs w:val="20"/>
        </w:rPr>
        <w:t>.</w:t>
      </w:r>
      <w:r w:rsidRPr="00A623AB">
        <w:rPr>
          <w:bCs/>
          <w:color w:val="auto"/>
          <w:sz w:val="20"/>
          <w:szCs w:val="20"/>
        </w:rPr>
        <w:t>m</w:t>
      </w:r>
      <w:r w:rsidR="00321B48" w:rsidRPr="00A623AB">
        <w:rPr>
          <w:bCs/>
          <w:color w:val="auto"/>
          <w:sz w:val="20"/>
          <w:szCs w:val="20"/>
        </w:rPr>
        <w:t>.</w:t>
      </w:r>
      <w:r w:rsidRPr="00A623AB">
        <w:rPr>
          <w:bCs/>
          <w:color w:val="auto"/>
          <w:sz w:val="20"/>
          <w:szCs w:val="20"/>
        </w:rPr>
        <w:t xml:space="preserve"> that same day, without receiving a formal diagnosis.</w:t>
      </w:r>
      <w:r w:rsidRPr="00A623AB">
        <w:rPr>
          <w:rStyle w:val="FootnoteReference"/>
          <w:rFonts w:cstheme="majorHAnsi"/>
          <w:bCs/>
          <w:color w:val="auto"/>
          <w:sz w:val="20"/>
          <w:szCs w:val="20"/>
          <w:lang w:val="es-ES"/>
        </w:rPr>
        <w:footnoteReference w:id="30"/>
      </w:r>
      <w:r w:rsidRPr="00A623AB">
        <w:rPr>
          <w:bCs/>
          <w:color w:val="auto"/>
          <w:sz w:val="20"/>
          <w:szCs w:val="20"/>
        </w:rPr>
        <w:t xml:space="preserve"> </w:t>
      </w:r>
    </w:p>
    <w:p w14:paraId="783A8C25" w14:textId="77777777" w:rsidR="00605CFA" w:rsidRPr="00A623AB" w:rsidRDefault="00605CFA" w:rsidP="00A4436D">
      <w:pPr>
        <w:jc w:val="both"/>
        <w:rPr>
          <w:rFonts w:ascii="Cambria" w:hAnsi="Cambria"/>
          <w:sz w:val="20"/>
          <w:szCs w:val="20"/>
        </w:rPr>
      </w:pPr>
    </w:p>
    <w:p w14:paraId="791F4D1E" w14:textId="2125357B" w:rsidR="005A2E8A" w:rsidRPr="00A623AB" w:rsidRDefault="0066215E" w:rsidP="00A4436D">
      <w:pPr>
        <w:pStyle w:val="ListParagraph"/>
        <w:numPr>
          <w:ilvl w:val="0"/>
          <w:numId w:val="51"/>
        </w:numPr>
        <w:ind w:left="0" w:firstLine="567"/>
        <w:jc w:val="both"/>
        <w:rPr>
          <w:color w:val="auto"/>
          <w:sz w:val="20"/>
          <w:szCs w:val="20"/>
          <w:lang w:val="es-ES"/>
        </w:rPr>
      </w:pPr>
      <w:r w:rsidRPr="00A623AB">
        <w:rPr>
          <w:color w:val="auto"/>
          <w:sz w:val="20"/>
          <w:szCs w:val="20"/>
        </w:rPr>
        <w:t xml:space="preserve">On </w:t>
      </w:r>
      <w:r w:rsidR="00424592" w:rsidRPr="00A623AB">
        <w:rPr>
          <w:color w:val="auto"/>
          <w:sz w:val="20"/>
          <w:szCs w:val="20"/>
        </w:rPr>
        <w:t>M</w:t>
      </w:r>
      <w:r w:rsidRPr="00A623AB">
        <w:rPr>
          <w:color w:val="auto"/>
          <w:sz w:val="20"/>
          <w:szCs w:val="20"/>
        </w:rPr>
        <w:t>arch 7, 2001, Sarah showed health problems.</w:t>
      </w:r>
      <w:r w:rsidRPr="00A623AB">
        <w:rPr>
          <w:rStyle w:val="FootnoteReference"/>
          <w:color w:val="auto"/>
          <w:sz w:val="20"/>
          <w:szCs w:val="20"/>
          <w:lang w:val="es-ES"/>
        </w:rPr>
        <w:footnoteReference w:id="31"/>
      </w:r>
      <w:r w:rsidRPr="00A623AB">
        <w:rPr>
          <w:color w:val="auto"/>
          <w:sz w:val="20"/>
          <w:szCs w:val="20"/>
        </w:rPr>
        <w:t xml:space="preserve"> One of her cell inmates testified that Sarah was sleeping normally until 3</w:t>
      </w:r>
      <w:r w:rsidR="00321B48" w:rsidRPr="00A623AB">
        <w:rPr>
          <w:color w:val="auto"/>
          <w:sz w:val="20"/>
          <w:szCs w:val="20"/>
        </w:rPr>
        <w:t>.</w:t>
      </w:r>
      <w:r w:rsidRPr="00A623AB">
        <w:rPr>
          <w:color w:val="auto"/>
          <w:sz w:val="20"/>
          <w:szCs w:val="20"/>
        </w:rPr>
        <w:t>40</w:t>
      </w:r>
      <w:r w:rsidR="00321B48" w:rsidRPr="00A623AB">
        <w:rPr>
          <w:color w:val="auto"/>
          <w:sz w:val="20"/>
          <w:szCs w:val="20"/>
        </w:rPr>
        <w:t xml:space="preserve"> a.m.</w:t>
      </w:r>
      <w:r w:rsidRPr="00A623AB">
        <w:rPr>
          <w:color w:val="auto"/>
          <w:sz w:val="20"/>
          <w:szCs w:val="20"/>
        </w:rPr>
        <w:t>, but that she became restless, so the inmates tried to wake her up; she was also perspiring, so they sat her up to clean her with a wet cloth.</w:t>
      </w:r>
      <w:r w:rsidRPr="00A623AB">
        <w:rPr>
          <w:rStyle w:val="FootnoteReference"/>
          <w:color w:val="auto"/>
          <w:sz w:val="20"/>
          <w:szCs w:val="20"/>
          <w:lang w:val="es-ES"/>
        </w:rPr>
        <w:footnoteReference w:id="32"/>
      </w:r>
      <w:r w:rsidRPr="00A623AB">
        <w:rPr>
          <w:color w:val="auto"/>
          <w:sz w:val="20"/>
          <w:szCs w:val="20"/>
        </w:rPr>
        <w:t xml:space="preserve"> Then, foam started </w:t>
      </w:r>
      <w:r w:rsidR="00321B48" w:rsidRPr="00A623AB">
        <w:rPr>
          <w:color w:val="auto"/>
          <w:sz w:val="20"/>
          <w:szCs w:val="20"/>
        </w:rPr>
        <w:t xml:space="preserve">to </w:t>
      </w:r>
      <w:r w:rsidRPr="00A623AB">
        <w:rPr>
          <w:color w:val="auto"/>
          <w:sz w:val="20"/>
          <w:szCs w:val="20"/>
        </w:rPr>
        <w:t>com</w:t>
      </w:r>
      <w:r w:rsidR="00321B48" w:rsidRPr="00A623AB">
        <w:rPr>
          <w:color w:val="auto"/>
          <w:sz w:val="20"/>
          <w:szCs w:val="20"/>
        </w:rPr>
        <w:t>e</w:t>
      </w:r>
      <w:r w:rsidRPr="00A623AB">
        <w:rPr>
          <w:color w:val="auto"/>
          <w:sz w:val="20"/>
          <w:szCs w:val="20"/>
        </w:rPr>
        <w:t xml:space="preserve"> out of Sarah’s mouth, and she vomited a white and foamy substance.</w:t>
      </w:r>
      <w:r w:rsidRPr="00A623AB">
        <w:rPr>
          <w:rStyle w:val="FootnoteReference"/>
          <w:color w:val="auto"/>
          <w:sz w:val="20"/>
          <w:szCs w:val="20"/>
          <w:lang w:val="es-ES"/>
        </w:rPr>
        <w:footnoteReference w:id="33"/>
      </w:r>
      <w:r w:rsidRPr="00A623AB">
        <w:rPr>
          <w:color w:val="auto"/>
          <w:sz w:val="20"/>
          <w:szCs w:val="20"/>
        </w:rPr>
        <w:t xml:space="preserve"> Her fellow inmates tried to give her a sip of water</w:t>
      </w:r>
      <w:r w:rsidR="00321B48" w:rsidRPr="00A623AB">
        <w:rPr>
          <w:color w:val="auto"/>
          <w:sz w:val="20"/>
          <w:szCs w:val="20"/>
        </w:rPr>
        <w:t>,</w:t>
      </w:r>
      <w:r w:rsidRPr="00A623AB">
        <w:rPr>
          <w:color w:val="auto"/>
          <w:sz w:val="20"/>
          <w:szCs w:val="20"/>
        </w:rPr>
        <w:t xml:space="preserve"> so that she could wash her mouth, and she seemed to relax and calm down.</w:t>
      </w:r>
      <w:r w:rsidRPr="00A623AB">
        <w:rPr>
          <w:rStyle w:val="FootnoteReference"/>
          <w:color w:val="auto"/>
          <w:sz w:val="20"/>
          <w:szCs w:val="20"/>
          <w:lang w:val="es-ES"/>
        </w:rPr>
        <w:footnoteReference w:id="34"/>
      </w:r>
      <w:r w:rsidRPr="00A623AB">
        <w:rPr>
          <w:color w:val="auto"/>
          <w:sz w:val="20"/>
          <w:szCs w:val="20"/>
        </w:rPr>
        <w:t xml:space="preserve"> One of the inmates let the guard know that Sarah was not feeling okay and that she needed her insulin.</w:t>
      </w:r>
      <w:r w:rsidRPr="00A623AB">
        <w:rPr>
          <w:rStyle w:val="FootnoteReference"/>
          <w:color w:val="auto"/>
          <w:sz w:val="20"/>
          <w:szCs w:val="20"/>
          <w:lang w:val="es-ES"/>
        </w:rPr>
        <w:footnoteReference w:id="35"/>
      </w:r>
      <w:r w:rsidRPr="00A623AB">
        <w:rPr>
          <w:color w:val="auto"/>
          <w:sz w:val="20"/>
          <w:szCs w:val="20"/>
        </w:rPr>
        <w:t xml:space="preserve"> Sarah fainted and remained unconscious.</w:t>
      </w:r>
      <w:r w:rsidRPr="00A623AB">
        <w:rPr>
          <w:rStyle w:val="FootnoteReference"/>
          <w:color w:val="auto"/>
          <w:sz w:val="20"/>
          <w:szCs w:val="20"/>
          <w:lang w:val="es-ES"/>
        </w:rPr>
        <w:footnoteReference w:id="36"/>
      </w:r>
    </w:p>
    <w:p w14:paraId="40DE6478" w14:textId="77777777" w:rsidR="005A2E8A" w:rsidRPr="00A623AB" w:rsidRDefault="005A2E8A" w:rsidP="005A2E8A">
      <w:pPr>
        <w:pStyle w:val="ListParagraph"/>
        <w:rPr>
          <w:color w:val="auto"/>
          <w:sz w:val="20"/>
          <w:szCs w:val="20"/>
          <w:lang w:val="es-ES"/>
        </w:rPr>
      </w:pPr>
    </w:p>
    <w:p w14:paraId="2EC13114" w14:textId="70E2E6B8" w:rsidR="006526C8" w:rsidRPr="00A623AB" w:rsidRDefault="0066215E" w:rsidP="00A4436D">
      <w:pPr>
        <w:pStyle w:val="ListParagraph"/>
        <w:numPr>
          <w:ilvl w:val="0"/>
          <w:numId w:val="51"/>
        </w:numPr>
        <w:ind w:left="0" w:firstLine="567"/>
        <w:jc w:val="both"/>
        <w:rPr>
          <w:color w:val="auto"/>
          <w:sz w:val="20"/>
          <w:szCs w:val="20"/>
        </w:rPr>
      </w:pPr>
      <w:r w:rsidRPr="00A623AB">
        <w:rPr>
          <w:color w:val="auto"/>
          <w:sz w:val="20"/>
          <w:szCs w:val="20"/>
        </w:rPr>
        <w:lastRenderedPageBreak/>
        <w:t>The guard proceeded to call the fire</w:t>
      </w:r>
      <w:r w:rsidR="00A315DF" w:rsidRPr="00A623AB">
        <w:rPr>
          <w:color w:val="auto"/>
          <w:sz w:val="20"/>
          <w:szCs w:val="20"/>
        </w:rPr>
        <w:t xml:space="preserve"> brigade</w:t>
      </w:r>
      <w:r w:rsidRPr="00A623AB">
        <w:rPr>
          <w:color w:val="auto"/>
          <w:sz w:val="20"/>
          <w:szCs w:val="20"/>
        </w:rPr>
        <w:t>, who, according to the statement given by one of the prisoners,</w:t>
      </w:r>
      <w:r w:rsidRPr="00A623AB">
        <w:rPr>
          <w:rStyle w:val="FootnoteReference"/>
          <w:color w:val="auto"/>
          <w:sz w:val="20"/>
          <w:szCs w:val="20"/>
          <w:lang w:val="es-ES"/>
        </w:rPr>
        <w:footnoteReference w:id="37"/>
      </w:r>
      <w:r w:rsidRPr="00A623AB">
        <w:rPr>
          <w:color w:val="auto"/>
          <w:sz w:val="20"/>
          <w:szCs w:val="20"/>
        </w:rPr>
        <w:t xml:space="preserve"> refused to take her down and demanded that the other prisoners do so.</w:t>
      </w:r>
      <w:r w:rsidRPr="00A623AB">
        <w:rPr>
          <w:rStyle w:val="FootnoteReference"/>
          <w:color w:val="auto"/>
          <w:sz w:val="20"/>
          <w:szCs w:val="20"/>
          <w:lang w:val="es-ES"/>
        </w:rPr>
        <w:footnoteReference w:id="38"/>
      </w:r>
      <w:r w:rsidRPr="00A623AB">
        <w:rPr>
          <w:color w:val="auto"/>
          <w:sz w:val="20"/>
          <w:szCs w:val="20"/>
        </w:rPr>
        <w:t xml:space="preserve"> Sarah was taken to the Victorino Santaella General Hospital in one of the fire brigade ambulances, arriving at the emergency room at 4</w:t>
      </w:r>
      <w:r w:rsidR="00A315DF" w:rsidRPr="00A623AB">
        <w:rPr>
          <w:color w:val="auto"/>
          <w:sz w:val="20"/>
          <w:szCs w:val="20"/>
        </w:rPr>
        <w:t>.</w:t>
      </w:r>
      <w:r w:rsidRPr="00A623AB">
        <w:rPr>
          <w:color w:val="auto"/>
          <w:sz w:val="20"/>
          <w:szCs w:val="20"/>
        </w:rPr>
        <w:t>55 p</w:t>
      </w:r>
      <w:r w:rsidR="00A315DF" w:rsidRPr="00A623AB">
        <w:rPr>
          <w:color w:val="auto"/>
          <w:sz w:val="20"/>
          <w:szCs w:val="20"/>
        </w:rPr>
        <w:t>.</w:t>
      </w:r>
      <w:r w:rsidRPr="00A623AB">
        <w:rPr>
          <w:color w:val="auto"/>
          <w:sz w:val="20"/>
          <w:szCs w:val="20"/>
        </w:rPr>
        <w:t>m</w:t>
      </w:r>
      <w:r w:rsidR="00A315DF" w:rsidRPr="00A623AB">
        <w:rPr>
          <w:color w:val="auto"/>
          <w:sz w:val="20"/>
          <w:szCs w:val="20"/>
        </w:rPr>
        <w:t>.</w:t>
      </w:r>
      <w:r w:rsidRPr="00A623AB">
        <w:rPr>
          <w:color w:val="auto"/>
          <w:sz w:val="20"/>
          <w:szCs w:val="20"/>
        </w:rPr>
        <w:t xml:space="preserve"> in “a critical condition, semi-unconscious, with profuse perspiration, cold skin, extremely pale, suffering hypoglycemia.”</w:t>
      </w:r>
      <w:r w:rsidRPr="00A623AB">
        <w:rPr>
          <w:rStyle w:val="FootnoteReference"/>
          <w:color w:val="auto"/>
          <w:sz w:val="20"/>
          <w:szCs w:val="20"/>
          <w:lang w:val="es-ES"/>
        </w:rPr>
        <w:footnoteReference w:id="39"/>
      </w:r>
      <w:r w:rsidRPr="00A623AB">
        <w:rPr>
          <w:color w:val="auto"/>
          <w:sz w:val="20"/>
          <w:szCs w:val="20"/>
        </w:rPr>
        <w:t xml:space="preserve"> At the hospital, Sarah was assisted by the doctors at the resuscitation area, who administered her a glucose solution, but she did not respond.</w:t>
      </w:r>
      <w:r w:rsidRPr="00A623AB">
        <w:rPr>
          <w:rStyle w:val="FootnoteReference"/>
          <w:color w:val="auto"/>
          <w:sz w:val="20"/>
          <w:szCs w:val="20"/>
          <w:lang w:val="es-ES"/>
        </w:rPr>
        <w:footnoteReference w:id="40"/>
      </w:r>
      <w:r w:rsidRPr="00A623AB">
        <w:rPr>
          <w:color w:val="auto"/>
          <w:sz w:val="20"/>
          <w:szCs w:val="20"/>
        </w:rPr>
        <w:t xml:space="preserve"> Sarah was evaluated approximately at 10</w:t>
      </w:r>
      <w:r w:rsidR="00A315DF" w:rsidRPr="00A623AB">
        <w:rPr>
          <w:color w:val="auto"/>
          <w:sz w:val="20"/>
          <w:szCs w:val="20"/>
        </w:rPr>
        <w:t>.</w:t>
      </w:r>
      <w:r w:rsidRPr="00A623AB">
        <w:rPr>
          <w:color w:val="auto"/>
          <w:sz w:val="20"/>
          <w:szCs w:val="20"/>
        </w:rPr>
        <w:t>0</w:t>
      </w:r>
      <w:r w:rsidR="00A315DF" w:rsidRPr="00A623AB">
        <w:rPr>
          <w:color w:val="auto"/>
          <w:sz w:val="20"/>
          <w:szCs w:val="20"/>
        </w:rPr>
        <w:t>0</w:t>
      </w:r>
      <w:r w:rsidR="00074F4D">
        <w:rPr>
          <w:color w:val="auto"/>
          <w:sz w:val="20"/>
          <w:szCs w:val="20"/>
        </w:rPr>
        <w:t xml:space="preserve"> </w:t>
      </w:r>
      <w:r w:rsidRPr="00A623AB">
        <w:rPr>
          <w:color w:val="auto"/>
          <w:sz w:val="20"/>
          <w:szCs w:val="20"/>
        </w:rPr>
        <w:t>p</w:t>
      </w:r>
      <w:r w:rsidR="00A315DF" w:rsidRPr="00A623AB">
        <w:rPr>
          <w:color w:val="auto"/>
          <w:sz w:val="20"/>
          <w:szCs w:val="20"/>
        </w:rPr>
        <w:t>.</w:t>
      </w:r>
      <w:r w:rsidRPr="00A623AB">
        <w:rPr>
          <w:color w:val="auto"/>
          <w:sz w:val="20"/>
          <w:szCs w:val="20"/>
        </w:rPr>
        <w:t>m</w:t>
      </w:r>
      <w:r w:rsidR="00A315DF" w:rsidRPr="00A623AB">
        <w:rPr>
          <w:color w:val="auto"/>
          <w:sz w:val="20"/>
          <w:szCs w:val="20"/>
        </w:rPr>
        <w:t>.</w:t>
      </w:r>
      <w:r w:rsidRPr="00A623AB">
        <w:rPr>
          <w:color w:val="auto"/>
          <w:sz w:val="20"/>
          <w:szCs w:val="20"/>
        </w:rPr>
        <w:t xml:space="preserve"> and showed a poor general condition, no fever, hydration, dyspnea, a score of 3 on the Coma Glasgow Scale and was unconscious</w:t>
      </w:r>
      <w:r w:rsidR="00A315DF" w:rsidRPr="00A623AB">
        <w:rPr>
          <w:color w:val="auto"/>
          <w:sz w:val="20"/>
          <w:szCs w:val="20"/>
        </w:rPr>
        <w:t>.</w:t>
      </w:r>
      <w:r w:rsidRPr="00A623AB">
        <w:rPr>
          <w:color w:val="auto"/>
          <w:sz w:val="20"/>
          <w:szCs w:val="20"/>
        </w:rPr>
        <w:t xml:space="preserve"> </w:t>
      </w:r>
      <w:r w:rsidR="00A315DF" w:rsidRPr="00A623AB">
        <w:rPr>
          <w:color w:val="auto"/>
          <w:sz w:val="20"/>
          <w:szCs w:val="20"/>
        </w:rPr>
        <w:t>T</w:t>
      </w:r>
      <w:r w:rsidRPr="00A623AB">
        <w:rPr>
          <w:color w:val="auto"/>
          <w:sz w:val="20"/>
          <w:szCs w:val="20"/>
        </w:rPr>
        <w:t xml:space="preserve">herefore, she was probably decerebrate, so the physicians ordered permanent monitoring of her levels of glycemia, electrolytes, pH and gases, as well as a CT scan of her brain, among other </w:t>
      </w:r>
      <w:r w:rsidR="00167037" w:rsidRPr="00A623AB">
        <w:rPr>
          <w:color w:val="auto"/>
          <w:sz w:val="20"/>
          <w:szCs w:val="20"/>
        </w:rPr>
        <w:t>procedure</w:t>
      </w:r>
      <w:r w:rsidRPr="00A623AB">
        <w:rPr>
          <w:color w:val="auto"/>
          <w:sz w:val="20"/>
          <w:szCs w:val="20"/>
        </w:rPr>
        <w:t>s.</w:t>
      </w:r>
      <w:r w:rsidRPr="00A623AB">
        <w:rPr>
          <w:rStyle w:val="FootnoteReference"/>
          <w:rFonts w:cstheme="majorHAnsi"/>
          <w:bCs/>
          <w:color w:val="auto"/>
          <w:sz w:val="20"/>
          <w:szCs w:val="20"/>
          <w:lang w:val="es-ES"/>
        </w:rPr>
        <w:footnoteReference w:id="41"/>
      </w:r>
      <w:r w:rsidRPr="00A623AB">
        <w:rPr>
          <w:color w:val="auto"/>
          <w:sz w:val="20"/>
          <w:szCs w:val="20"/>
        </w:rPr>
        <w:t xml:space="preserve"> Given the deterioration of the alleged victim’s condition, the physicians ordered that she be transferred to the intensive care unit, but this area was full.</w:t>
      </w:r>
      <w:r w:rsidRPr="00A623AB">
        <w:rPr>
          <w:rStyle w:val="FootnoteReference"/>
          <w:color w:val="auto"/>
          <w:sz w:val="20"/>
          <w:szCs w:val="20"/>
          <w:lang w:val="es-ES"/>
        </w:rPr>
        <w:footnoteReference w:id="42"/>
      </w:r>
      <w:r w:rsidRPr="00A623AB">
        <w:rPr>
          <w:color w:val="auto"/>
          <w:sz w:val="20"/>
          <w:szCs w:val="20"/>
        </w:rPr>
        <w:t xml:space="preserve"> Faced with this situation, Sarah’s defense attorney, Pastor Solórzano, interceded to obtain her transfer to a private center, which was authorized at 5</w:t>
      </w:r>
      <w:r w:rsidR="00DB1A76" w:rsidRPr="00A623AB">
        <w:rPr>
          <w:color w:val="auto"/>
          <w:sz w:val="20"/>
          <w:szCs w:val="20"/>
        </w:rPr>
        <w:t>.</w:t>
      </w:r>
      <w:r w:rsidRPr="00A623AB">
        <w:rPr>
          <w:color w:val="auto"/>
          <w:sz w:val="20"/>
          <w:szCs w:val="20"/>
        </w:rPr>
        <w:t>45</w:t>
      </w:r>
      <w:r w:rsidR="000D55D8">
        <w:rPr>
          <w:color w:val="auto"/>
          <w:sz w:val="20"/>
          <w:szCs w:val="20"/>
        </w:rPr>
        <w:t xml:space="preserve"> </w:t>
      </w:r>
      <w:r w:rsidRPr="00A623AB">
        <w:rPr>
          <w:color w:val="auto"/>
          <w:sz w:val="20"/>
          <w:szCs w:val="20"/>
        </w:rPr>
        <w:t>a</w:t>
      </w:r>
      <w:r w:rsidR="00DB1A76" w:rsidRPr="00A623AB">
        <w:rPr>
          <w:color w:val="auto"/>
          <w:sz w:val="20"/>
          <w:szCs w:val="20"/>
        </w:rPr>
        <w:t>.</w:t>
      </w:r>
      <w:r w:rsidRPr="00A623AB">
        <w:rPr>
          <w:color w:val="auto"/>
          <w:sz w:val="20"/>
          <w:szCs w:val="20"/>
        </w:rPr>
        <w:t>m.</w:t>
      </w:r>
      <w:r w:rsidRPr="00A623AB">
        <w:rPr>
          <w:rStyle w:val="FootnoteReference"/>
          <w:color w:val="auto"/>
          <w:sz w:val="20"/>
          <w:szCs w:val="20"/>
          <w:lang w:val="es-ES"/>
        </w:rPr>
        <w:footnoteReference w:id="43"/>
      </w:r>
      <w:r w:rsidRPr="00A623AB">
        <w:rPr>
          <w:color w:val="auto"/>
          <w:sz w:val="20"/>
          <w:szCs w:val="20"/>
        </w:rPr>
        <w:t xml:space="preserve"> </w:t>
      </w:r>
    </w:p>
    <w:p w14:paraId="44848BCE" w14:textId="77777777" w:rsidR="00EE4B9B" w:rsidRPr="00A623AB" w:rsidRDefault="00EE4B9B" w:rsidP="00EE4B9B">
      <w:pPr>
        <w:pStyle w:val="ListParagraph"/>
        <w:ind w:left="567"/>
        <w:jc w:val="both"/>
        <w:rPr>
          <w:color w:val="auto"/>
          <w:sz w:val="20"/>
          <w:szCs w:val="20"/>
        </w:rPr>
      </w:pPr>
    </w:p>
    <w:p w14:paraId="2BF438E0" w14:textId="3BD53AAA" w:rsidR="009A42B2" w:rsidRPr="00A623AB" w:rsidRDefault="0066215E" w:rsidP="00A4436D">
      <w:pPr>
        <w:pStyle w:val="ListParagraph"/>
        <w:numPr>
          <w:ilvl w:val="0"/>
          <w:numId w:val="51"/>
        </w:numPr>
        <w:ind w:left="0" w:firstLine="567"/>
        <w:jc w:val="both"/>
        <w:rPr>
          <w:color w:val="auto"/>
          <w:sz w:val="20"/>
          <w:szCs w:val="20"/>
        </w:rPr>
      </w:pPr>
      <w:r w:rsidRPr="00A623AB">
        <w:rPr>
          <w:color w:val="auto"/>
          <w:sz w:val="20"/>
          <w:szCs w:val="20"/>
        </w:rPr>
        <w:t>On arrival at the San Bernardino Institute, the center requested a guarantee of 10,000</w:t>
      </w:r>
      <w:r w:rsidR="000D55D8">
        <w:rPr>
          <w:color w:val="auto"/>
          <w:sz w:val="20"/>
          <w:szCs w:val="20"/>
        </w:rPr>
        <w:t xml:space="preserve"> </w:t>
      </w:r>
      <w:r w:rsidR="00DB1A76" w:rsidRPr="00A623AB">
        <w:rPr>
          <w:color w:val="auto"/>
          <w:sz w:val="20"/>
          <w:szCs w:val="20"/>
        </w:rPr>
        <w:t xml:space="preserve">American </w:t>
      </w:r>
      <w:r w:rsidRPr="00A623AB">
        <w:rPr>
          <w:color w:val="auto"/>
          <w:sz w:val="20"/>
          <w:szCs w:val="20"/>
        </w:rPr>
        <w:t>dollars to admit Sarah.</w:t>
      </w:r>
      <w:r w:rsidRPr="00A623AB">
        <w:rPr>
          <w:rStyle w:val="FootnoteReference"/>
          <w:color w:val="auto"/>
          <w:sz w:val="20"/>
          <w:szCs w:val="20"/>
          <w:lang w:val="es-ES"/>
        </w:rPr>
        <w:footnoteReference w:id="44"/>
      </w:r>
      <w:r w:rsidRPr="00A623AB">
        <w:rPr>
          <w:color w:val="auto"/>
          <w:sz w:val="20"/>
          <w:szCs w:val="20"/>
        </w:rPr>
        <w:t xml:space="preserve"> For some hours, Sarah remained connected to the ambulance ventilator, at the admission room, until her father could transfer the funds for her admission.</w:t>
      </w:r>
      <w:r w:rsidRPr="00A623AB">
        <w:rPr>
          <w:rStyle w:val="FootnoteReference"/>
          <w:color w:val="auto"/>
          <w:sz w:val="20"/>
          <w:szCs w:val="20"/>
          <w:lang w:val="es-ES"/>
        </w:rPr>
        <w:footnoteReference w:id="45"/>
      </w:r>
      <w:r w:rsidRPr="00A623AB">
        <w:rPr>
          <w:color w:val="auto"/>
          <w:sz w:val="20"/>
          <w:szCs w:val="20"/>
        </w:rPr>
        <w:t xml:space="preserve"> The alleged victim was admitted to the San Bernardino Institute on the morning of March 8, 2001, in a diabetic coma.</w:t>
      </w:r>
      <w:r w:rsidRPr="00A623AB">
        <w:rPr>
          <w:rStyle w:val="FootnoteReference"/>
          <w:color w:val="auto"/>
          <w:sz w:val="20"/>
          <w:szCs w:val="20"/>
          <w:lang w:val="es-ES"/>
        </w:rPr>
        <w:footnoteReference w:id="46"/>
      </w:r>
      <w:r w:rsidRPr="00A623AB">
        <w:rPr>
          <w:color w:val="auto"/>
          <w:sz w:val="20"/>
          <w:szCs w:val="20"/>
        </w:rPr>
        <w:t xml:space="preserve"> </w:t>
      </w:r>
    </w:p>
    <w:p w14:paraId="5336B773" w14:textId="77777777" w:rsidR="00EE4B9B" w:rsidRPr="00A623AB" w:rsidRDefault="00EE4B9B" w:rsidP="00EE4B9B">
      <w:pPr>
        <w:jc w:val="both"/>
        <w:rPr>
          <w:rFonts w:ascii="Cambria" w:hAnsi="Cambria"/>
          <w:sz w:val="20"/>
          <w:szCs w:val="20"/>
        </w:rPr>
      </w:pPr>
    </w:p>
    <w:p w14:paraId="75289AF4" w14:textId="2F277651" w:rsidR="009A42B2" w:rsidRPr="00A623AB" w:rsidRDefault="0066215E" w:rsidP="00A57D22">
      <w:pPr>
        <w:pStyle w:val="ListParagraph"/>
        <w:numPr>
          <w:ilvl w:val="0"/>
          <w:numId w:val="51"/>
        </w:numPr>
        <w:ind w:left="0" w:firstLine="567"/>
        <w:jc w:val="both"/>
        <w:rPr>
          <w:color w:val="auto"/>
          <w:sz w:val="20"/>
          <w:szCs w:val="20"/>
        </w:rPr>
      </w:pPr>
      <w:r w:rsidRPr="00A623AB">
        <w:rPr>
          <w:color w:val="auto"/>
          <w:sz w:val="20"/>
          <w:szCs w:val="20"/>
        </w:rPr>
        <w:t xml:space="preserve">On March 10, 2001, Dr. José David Crespo drafted a medical report on the health condition of the patient and determined that she presented metabolic encephalopathy due to hypoglycemia, acute respiratory </w:t>
      </w:r>
      <w:r w:rsidR="00DB1A76" w:rsidRPr="00A623AB">
        <w:rPr>
          <w:color w:val="auto"/>
          <w:sz w:val="20"/>
          <w:szCs w:val="20"/>
        </w:rPr>
        <w:t>failure</w:t>
      </w:r>
      <w:r w:rsidRPr="00A623AB">
        <w:rPr>
          <w:color w:val="auto"/>
          <w:sz w:val="20"/>
          <w:szCs w:val="20"/>
        </w:rPr>
        <w:t xml:space="preserve"> due to bronchoaspiration and type 1 diabetes mellitus.</w:t>
      </w:r>
      <w:r w:rsidRPr="00A623AB">
        <w:rPr>
          <w:rStyle w:val="FootnoteReference"/>
          <w:rFonts w:cstheme="majorHAnsi"/>
          <w:bCs/>
          <w:color w:val="auto"/>
          <w:sz w:val="20"/>
          <w:szCs w:val="20"/>
          <w:lang w:val="es-ES"/>
        </w:rPr>
        <w:footnoteReference w:id="47"/>
      </w:r>
      <w:r w:rsidRPr="00A623AB">
        <w:rPr>
          <w:color w:val="auto"/>
          <w:sz w:val="20"/>
          <w:szCs w:val="20"/>
        </w:rPr>
        <w:t xml:space="preserve"> </w:t>
      </w:r>
    </w:p>
    <w:p w14:paraId="31CD7D39" w14:textId="77777777" w:rsidR="00EE4B9B" w:rsidRPr="00A623AB" w:rsidRDefault="00EE4B9B" w:rsidP="00EE4B9B">
      <w:pPr>
        <w:jc w:val="both"/>
        <w:rPr>
          <w:rFonts w:ascii="Cambria" w:hAnsi="Cambria"/>
          <w:sz w:val="20"/>
          <w:szCs w:val="20"/>
        </w:rPr>
      </w:pPr>
    </w:p>
    <w:p w14:paraId="3349D3D7" w14:textId="77777777" w:rsidR="00EE4B9B" w:rsidRPr="00A623AB" w:rsidRDefault="0066215E" w:rsidP="00EE4B9B">
      <w:pPr>
        <w:pStyle w:val="ListParagraph"/>
        <w:numPr>
          <w:ilvl w:val="0"/>
          <w:numId w:val="51"/>
        </w:numPr>
        <w:ind w:left="0" w:firstLine="567"/>
        <w:jc w:val="both"/>
        <w:rPr>
          <w:color w:val="auto"/>
          <w:sz w:val="20"/>
          <w:szCs w:val="20"/>
        </w:rPr>
      </w:pPr>
      <w:r w:rsidRPr="00A623AB">
        <w:rPr>
          <w:color w:val="auto"/>
          <w:sz w:val="20"/>
          <w:szCs w:val="20"/>
        </w:rPr>
        <w:t>Sarah died on the night of March 13, 2001, at the San Bernardino Institute, at the age of 25.</w:t>
      </w:r>
      <w:r w:rsidRPr="00A623AB">
        <w:rPr>
          <w:rStyle w:val="FootnoteReference"/>
          <w:rFonts w:cstheme="majorHAnsi"/>
          <w:bCs/>
          <w:color w:val="auto"/>
          <w:sz w:val="20"/>
          <w:szCs w:val="20"/>
          <w:lang w:val="es-ES"/>
        </w:rPr>
        <w:footnoteReference w:id="48"/>
      </w:r>
      <w:r w:rsidRPr="00A623AB">
        <w:rPr>
          <w:color w:val="auto"/>
          <w:sz w:val="20"/>
          <w:szCs w:val="20"/>
        </w:rPr>
        <w:t xml:space="preserve"> According to the autopsy performed by the technical unit of the general division of forensic medicine of the judicial police, the cause of death was anoxic encephalopathy and type 1 diabetes mellitus.</w:t>
      </w:r>
      <w:r w:rsidRPr="00A623AB">
        <w:rPr>
          <w:rStyle w:val="FootnoteReference"/>
          <w:color w:val="auto"/>
          <w:sz w:val="20"/>
          <w:szCs w:val="20"/>
          <w:lang w:val="es-ES"/>
        </w:rPr>
        <w:footnoteReference w:id="49"/>
      </w:r>
      <w:r w:rsidRPr="00A623AB">
        <w:rPr>
          <w:color w:val="auto"/>
          <w:sz w:val="20"/>
          <w:szCs w:val="20"/>
        </w:rPr>
        <w:t xml:space="preserve"> </w:t>
      </w:r>
    </w:p>
    <w:p w14:paraId="3250BAAB" w14:textId="77777777" w:rsidR="00EE4B9B" w:rsidRPr="00A623AB" w:rsidRDefault="00EE4B9B" w:rsidP="00EE4B9B">
      <w:pPr>
        <w:jc w:val="both"/>
        <w:rPr>
          <w:rFonts w:ascii="Cambria" w:hAnsi="Cambria"/>
          <w:sz w:val="20"/>
          <w:szCs w:val="20"/>
        </w:rPr>
      </w:pPr>
    </w:p>
    <w:p w14:paraId="5E160A9C" w14:textId="5214F279" w:rsidR="009A42B2" w:rsidRPr="00A623AB" w:rsidRDefault="0066215E" w:rsidP="00EE4B9B">
      <w:pPr>
        <w:pStyle w:val="ListParagraph"/>
        <w:numPr>
          <w:ilvl w:val="0"/>
          <w:numId w:val="51"/>
        </w:numPr>
        <w:ind w:left="0" w:firstLine="567"/>
        <w:jc w:val="both"/>
        <w:rPr>
          <w:color w:val="auto"/>
          <w:sz w:val="20"/>
          <w:szCs w:val="20"/>
        </w:rPr>
      </w:pPr>
      <w:r w:rsidRPr="00A623AB">
        <w:rPr>
          <w:color w:val="auto"/>
          <w:sz w:val="20"/>
          <w:szCs w:val="20"/>
        </w:rPr>
        <w:t>Sarah’s parents had traveled from the United Kingdom to Venezuela when Sarah was at the San Bernardino Institute</w:t>
      </w:r>
      <w:r w:rsidR="00DB1A76" w:rsidRPr="00A623AB">
        <w:rPr>
          <w:color w:val="auto"/>
          <w:sz w:val="20"/>
          <w:szCs w:val="20"/>
        </w:rPr>
        <w:t>.</w:t>
      </w:r>
      <w:r w:rsidRPr="00A623AB">
        <w:rPr>
          <w:rStyle w:val="FootnoteReference"/>
          <w:color w:val="auto"/>
          <w:sz w:val="20"/>
          <w:szCs w:val="20"/>
          <w:lang w:val="es-ES"/>
        </w:rPr>
        <w:footnoteReference w:id="50"/>
      </w:r>
      <w:r w:rsidRPr="00A623AB">
        <w:rPr>
          <w:color w:val="auto"/>
          <w:sz w:val="20"/>
          <w:szCs w:val="20"/>
        </w:rPr>
        <w:t xml:space="preserve"> </w:t>
      </w:r>
      <w:r w:rsidR="00DB1A76" w:rsidRPr="00A623AB">
        <w:rPr>
          <w:color w:val="auto"/>
          <w:sz w:val="20"/>
          <w:szCs w:val="20"/>
        </w:rPr>
        <w:t>H</w:t>
      </w:r>
      <w:r w:rsidRPr="00A623AB">
        <w:rPr>
          <w:color w:val="auto"/>
          <w:sz w:val="20"/>
          <w:szCs w:val="20"/>
        </w:rPr>
        <w:t>owever, they were not able to communicate with her at any time, since she never regained consciousness after being admitted to the San Bernardino Institute.</w:t>
      </w:r>
      <w:r w:rsidRPr="00A623AB">
        <w:rPr>
          <w:rStyle w:val="FootnoteReference"/>
          <w:color w:val="auto"/>
          <w:sz w:val="20"/>
          <w:szCs w:val="20"/>
          <w:lang w:val="es-ES"/>
        </w:rPr>
        <w:footnoteReference w:id="51"/>
      </w:r>
    </w:p>
    <w:p w14:paraId="0EA1F05F" w14:textId="77777777" w:rsidR="00EE4B9B" w:rsidRPr="00A623AB" w:rsidRDefault="00EE4B9B" w:rsidP="00EE4B9B">
      <w:pPr>
        <w:pStyle w:val="ListParagraph"/>
        <w:rPr>
          <w:color w:val="auto"/>
          <w:sz w:val="20"/>
          <w:szCs w:val="20"/>
        </w:rPr>
      </w:pPr>
    </w:p>
    <w:p w14:paraId="758F1CFD" w14:textId="510F3940" w:rsidR="00EE4B9B" w:rsidRPr="00A623AB" w:rsidRDefault="0066215E" w:rsidP="00EE4B9B">
      <w:pPr>
        <w:pStyle w:val="ListParagraph"/>
        <w:numPr>
          <w:ilvl w:val="0"/>
          <w:numId w:val="51"/>
        </w:numPr>
        <w:ind w:left="0" w:firstLine="567"/>
        <w:jc w:val="both"/>
        <w:rPr>
          <w:color w:val="auto"/>
          <w:sz w:val="20"/>
          <w:szCs w:val="20"/>
        </w:rPr>
      </w:pPr>
      <w:r w:rsidRPr="00A623AB">
        <w:rPr>
          <w:color w:val="auto"/>
          <w:sz w:val="20"/>
          <w:szCs w:val="20"/>
        </w:rPr>
        <w:t>The case file indicates that after Sarah’s death, the Venezuelan authorities made a payment of 12,301.35</w:t>
      </w:r>
      <w:r w:rsidR="000D55D8">
        <w:rPr>
          <w:color w:val="auto"/>
          <w:sz w:val="20"/>
          <w:szCs w:val="20"/>
        </w:rPr>
        <w:t xml:space="preserve"> </w:t>
      </w:r>
      <w:r w:rsidRPr="00A623AB">
        <w:rPr>
          <w:color w:val="auto"/>
          <w:sz w:val="20"/>
          <w:szCs w:val="20"/>
        </w:rPr>
        <w:t>pounds sterling to Sarah’s parents in September 2001 for the medical expenses incurred and the repatriation of the body.</w:t>
      </w:r>
      <w:r w:rsidRPr="00A623AB">
        <w:rPr>
          <w:rStyle w:val="FootnoteReference"/>
          <w:color w:val="auto"/>
          <w:sz w:val="20"/>
          <w:szCs w:val="20"/>
          <w:lang w:val="es-ES"/>
        </w:rPr>
        <w:footnoteReference w:id="52"/>
      </w:r>
    </w:p>
    <w:p w14:paraId="0E5803C2" w14:textId="77777777" w:rsidR="00193F03" w:rsidRPr="00A623AB" w:rsidRDefault="00193F03" w:rsidP="00193F03">
      <w:pPr>
        <w:pStyle w:val="ListParagraph"/>
        <w:ind w:left="567"/>
        <w:jc w:val="both"/>
        <w:rPr>
          <w:color w:val="auto"/>
          <w:sz w:val="20"/>
          <w:szCs w:val="20"/>
        </w:rPr>
      </w:pPr>
    </w:p>
    <w:p w14:paraId="6194E80A" w14:textId="7824FA6F" w:rsidR="00473895" w:rsidRPr="00A623AB" w:rsidRDefault="0066215E" w:rsidP="00CF5B20">
      <w:pPr>
        <w:pStyle w:val="Heading2"/>
        <w:numPr>
          <w:ilvl w:val="0"/>
          <w:numId w:val="54"/>
        </w:numPr>
        <w:rPr>
          <w:rFonts w:ascii="Cambria" w:eastAsia="Cambria" w:hAnsi="Cambria" w:cs="Cambria"/>
          <w:i w:val="0"/>
          <w:iCs w:val="0"/>
          <w:sz w:val="20"/>
          <w:szCs w:val="20"/>
          <w:bdr w:val="nil"/>
        </w:rPr>
      </w:pPr>
      <w:bookmarkStart w:id="22" w:name="_Toc217309576"/>
      <w:r w:rsidRPr="00A623AB">
        <w:rPr>
          <w:rFonts w:ascii="Cambria" w:eastAsia="Cambria" w:hAnsi="Cambria" w:cs="Cambria"/>
          <w:i w:val="0"/>
          <w:iCs w:val="0"/>
          <w:sz w:val="20"/>
          <w:szCs w:val="20"/>
          <w:bdr w:val="nil"/>
        </w:rPr>
        <w:t>Situation of</w:t>
      </w:r>
      <w:r w:rsidR="00DB1A76" w:rsidRPr="00A623AB">
        <w:rPr>
          <w:rFonts w:ascii="Cambria" w:eastAsia="Cambria" w:hAnsi="Cambria" w:cs="Cambria"/>
          <w:i w:val="0"/>
          <w:iCs w:val="0"/>
          <w:sz w:val="20"/>
          <w:szCs w:val="20"/>
          <w:bdr w:val="nil"/>
        </w:rPr>
        <w:t xml:space="preserve"> the</w:t>
      </w:r>
      <w:r w:rsidRPr="00A623AB">
        <w:rPr>
          <w:rFonts w:ascii="Cambria" w:eastAsia="Cambria" w:hAnsi="Cambria" w:cs="Cambria"/>
          <w:i w:val="0"/>
          <w:iCs w:val="0"/>
          <w:sz w:val="20"/>
          <w:szCs w:val="20"/>
          <w:bdr w:val="nil"/>
        </w:rPr>
        <w:t xml:space="preserve"> INOF’s medical service on March 6 and 7, 2001</w:t>
      </w:r>
      <w:bookmarkEnd w:id="22"/>
      <w:r w:rsidRPr="00A623AB">
        <w:rPr>
          <w:rFonts w:ascii="Cambria" w:eastAsia="Cambria" w:hAnsi="Cambria" w:cs="Cambria"/>
          <w:i w:val="0"/>
          <w:iCs w:val="0"/>
          <w:sz w:val="20"/>
          <w:szCs w:val="20"/>
          <w:bdr w:val="nil"/>
        </w:rPr>
        <w:t xml:space="preserve"> </w:t>
      </w:r>
    </w:p>
    <w:p w14:paraId="2896BB2D" w14:textId="77777777" w:rsidR="00473895" w:rsidRPr="00A623AB" w:rsidRDefault="00473895" w:rsidP="00473895">
      <w:pPr>
        <w:pStyle w:val="ListParagraph"/>
        <w:ind w:left="1440"/>
        <w:jc w:val="both"/>
        <w:rPr>
          <w:b/>
          <w:bCs/>
          <w:color w:val="auto"/>
          <w:sz w:val="20"/>
          <w:szCs w:val="20"/>
        </w:rPr>
      </w:pPr>
    </w:p>
    <w:p w14:paraId="39976445" w14:textId="348CBF98" w:rsidR="00473895" w:rsidRPr="00A623AB" w:rsidRDefault="0066215E" w:rsidP="00473895">
      <w:pPr>
        <w:pStyle w:val="ListParagraph"/>
        <w:numPr>
          <w:ilvl w:val="0"/>
          <w:numId w:val="51"/>
        </w:numPr>
        <w:ind w:left="0" w:firstLine="567"/>
        <w:jc w:val="both"/>
        <w:rPr>
          <w:color w:val="auto"/>
          <w:sz w:val="20"/>
          <w:szCs w:val="20"/>
        </w:rPr>
      </w:pPr>
      <w:r w:rsidRPr="00A623AB">
        <w:rPr>
          <w:color w:val="auto"/>
          <w:sz w:val="20"/>
          <w:szCs w:val="20"/>
        </w:rPr>
        <w:lastRenderedPageBreak/>
        <w:t>Sarah required permanent monitoring due to her medical condition.</w:t>
      </w:r>
      <w:r w:rsidRPr="00A623AB">
        <w:rPr>
          <w:rStyle w:val="FootnoteReference"/>
          <w:color w:val="auto"/>
          <w:sz w:val="20"/>
          <w:szCs w:val="20"/>
          <w:lang w:val="es-ES"/>
        </w:rPr>
        <w:footnoteReference w:id="53"/>
      </w:r>
      <w:r w:rsidRPr="00A623AB">
        <w:rPr>
          <w:color w:val="auto"/>
          <w:sz w:val="20"/>
          <w:szCs w:val="20"/>
        </w:rPr>
        <w:t xml:space="preserve"> Nevertheless, on March 6 and 7, 2001, there were no doctors on duty at the INOF to assist the inmates, not even for emergencies.</w:t>
      </w:r>
      <w:r w:rsidRPr="00A623AB">
        <w:rPr>
          <w:rStyle w:val="FootnoteReference"/>
          <w:color w:val="auto"/>
          <w:sz w:val="20"/>
          <w:szCs w:val="20"/>
          <w:lang w:val="es-ES"/>
        </w:rPr>
        <w:footnoteReference w:id="54"/>
      </w:r>
      <w:r w:rsidRPr="00A623AB">
        <w:rPr>
          <w:color w:val="auto"/>
          <w:sz w:val="20"/>
          <w:szCs w:val="20"/>
        </w:rPr>
        <w:t xml:space="preserve"> In addition, according to the clinical records, it can be proved that </w:t>
      </w:r>
      <w:r w:rsidR="00321C2E" w:rsidRPr="00A623AB">
        <w:rPr>
          <w:color w:val="auto"/>
          <w:sz w:val="20"/>
          <w:szCs w:val="20"/>
        </w:rPr>
        <w:t xml:space="preserve">the </w:t>
      </w:r>
      <w:r w:rsidRPr="00A623AB">
        <w:rPr>
          <w:color w:val="auto"/>
          <w:sz w:val="20"/>
          <w:szCs w:val="20"/>
        </w:rPr>
        <w:t>INOF’s medical service s</w:t>
      </w:r>
      <w:r w:rsidR="00321C2E" w:rsidRPr="00A623AB">
        <w:rPr>
          <w:color w:val="auto"/>
          <w:sz w:val="20"/>
          <w:szCs w:val="20"/>
        </w:rPr>
        <w:t>ta</w:t>
      </w:r>
      <w:r w:rsidRPr="00A623AB">
        <w:rPr>
          <w:color w:val="auto"/>
          <w:sz w:val="20"/>
          <w:szCs w:val="20"/>
        </w:rPr>
        <w:t>ff had not conducted a medical evaluation to the alleged victim since January 5, 2001, that is, in over 60 days.</w:t>
      </w:r>
      <w:r w:rsidRPr="00A623AB">
        <w:rPr>
          <w:rStyle w:val="FootnoteReference"/>
          <w:rFonts w:cstheme="majorHAnsi"/>
          <w:bCs/>
          <w:color w:val="auto"/>
          <w:sz w:val="20"/>
          <w:szCs w:val="20"/>
          <w:lang w:val="es-ES"/>
        </w:rPr>
        <w:footnoteReference w:id="55"/>
      </w:r>
      <w:r w:rsidRPr="00A623AB">
        <w:rPr>
          <w:color w:val="auto"/>
          <w:sz w:val="20"/>
          <w:szCs w:val="20"/>
        </w:rPr>
        <w:t xml:space="preserve"> According to the Venezuelan authorities, the INOF lacked the sufficient medical staff to fill the duty shifts in order to provide a health service 24 hours a day, especially to assist inmates suffering from conditions that required immediate attention. The medical service for adults “was available until 4</w:t>
      </w:r>
      <w:r w:rsidR="00321C2E" w:rsidRPr="00A623AB">
        <w:rPr>
          <w:color w:val="auto"/>
          <w:sz w:val="20"/>
          <w:szCs w:val="20"/>
        </w:rPr>
        <w:t>.</w:t>
      </w:r>
      <w:r w:rsidRPr="00A623AB">
        <w:rPr>
          <w:color w:val="auto"/>
          <w:sz w:val="20"/>
          <w:szCs w:val="20"/>
        </w:rPr>
        <w:t>00 p</w:t>
      </w:r>
      <w:r w:rsidR="00321C2E" w:rsidRPr="00A623AB">
        <w:rPr>
          <w:color w:val="auto"/>
          <w:sz w:val="20"/>
          <w:szCs w:val="20"/>
        </w:rPr>
        <w:t>.</w:t>
      </w:r>
      <w:r w:rsidRPr="00A623AB">
        <w:rPr>
          <w:color w:val="auto"/>
          <w:sz w:val="20"/>
          <w:szCs w:val="20"/>
        </w:rPr>
        <w:t>m</w:t>
      </w:r>
      <w:r w:rsidR="00321C2E" w:rsidRPr="00A623AB">
        <w:rPr>
          <w:color w:val="auto"/>
          <w:sz w:val="20"/>
          <w:szCs w:val="20"/>
        </w:rPr>
        <w:t>.</w:t>
      </w:r>
      <w:r w:rsidRPr="00A623AB">
        <w:rPr>
          <w:color w:val="auto"/>
          <w:sz w:val="20"/>
          <w:szCs w:val="20"/>
        </w:rPr>
        <w:t xml:space="preserve">, preventing the inmate population from accessing a service of vital importance </w:t>
      </w:r>
      <w:r w:rsidR="00321C2E" w:rsidRPr="00A623AB">
        <w:rPr>
          <w:color w:val="auto"/>
          <w:sz w:val="20"/>
          <w:szCs w:val="20"/>
        </w:rPr>
        <w:t xml:space="preserve">for </w:t>
      </w:r>
      <w:r w:rsidRPr="00A623AB">
        <w:rPr>
          <w:color w:val="auto"/>
          <w:sz w:val="20"/>
          <w:szCs w:val="20"/>
        </w:rPr>
        <w:t>the rest of the day.”</w:t>
      </w:r>
      <w:r w:rsidRPr="00A623AB">
        <w:rPr>
          <w:rStyle w:val="FootnoteReference"/>
          <w:color w:val="auto"/>
          <w:sz w:val="20"/>
          <w:szCs w:val="20"/>
          <w:lang w:val="es-ES"/>
        </w:rPr>
        <w:footnoteReference w:id="56"/>
      </w:r>
      <w:r w:rsidRPr="00A623AB">
        <w:rPr>
          <w:color w:val="auto"/>
          <w:sz w:val="20"/>
          <w:szCs w:val="20"/>
        </w:rPr>
        <w:t xml:space="preserve">  </w:t>
      </w:r>
    </w:p>
    <w:p w14:paraId="7FEE8A5F" w14:textId="77777777" w:rsidR="00EE4B9B" w:rsidRPr="00A623AB" w:rsidRDefault="00EE4B9B" w:rsidP="00EE4B9B">
      <w:pPr>
        <w:pStyle w:val="ListParagraph"/>
        <w:ind w:left="567"/>
        <w:jc w:val="both"/>
        <w:rPr>
          <w:color w:val="auto"/>
          <w:sz w:val="20"/>
          <w:szCs w:val="20"/>
        </w:rPr>
      </w:pPr>
    </w:p>
    <w:p w14:paraId="7D3F6082" w14:textId="70748811" w:rsidR="00473895" w:rsidRPr="00A623AB" w:rsidRDefault="0066215E" w:rsidP="00473895">
      <w:pPr>
        <w:pStyle w:val="ListParagraph"/>
        <w:numPr>
          <w:ilvl w:val="0"/>
          <w:numId w:val="51"/>
        </w:numPr>
        <w:ind w:left="0" w:firstLine="567"/>
        <w:jc w:val="both"/>
        <w:rPr>
          <w:color w:val="auto"/>
          <w:sz w:val="20"/>
          <w:szCs w:val="20"/>
        </w:rPr>
      </w:pPr>
      <w:r w:rsidRPr="00A623AB">
        <w:rPr>
          <w:color w:val="auto"/>
          <w:sz w:val="20"/>
          <w:szCs w:val="20"/>
        </w:rPr>
        <w:t xml:space="preserve">Moreover, on March 7, Dr. Marianella González, who was the </w:t>
      </w:r>
      <w:r w:rsidR="00321C2E" w:rsidRPr="00A623AB">
        <w:rPr>
          <w:color w:val="auto"/>
          <w:sz w:val="20"/>
          <w:szCs w:val="20"/>
        </w:rPr>
        <w:t>d</w:t>
      </w:r>
      <w:r w:rsidRPr="00A623AB">
        <w:rPr>
          <w:color w:val="auto"/>
          <w:sz w:val="20"/>
          <w:szCs w:val="20"/>
        </w:rPr>
        <w:t xml:space="preserve">irector of INOF’s </w:t>
      </w:r>
      <w:r w:rsidR="00321C2E" w:rsidRPr="00A623AB">
        <w:rPr>
          <w:color w:val="auto"/>
          <w:sz w:val="20"/>
          <w:szCs w:val="20"/>
        </w:rPr>
        <w:t>m</w:t>
      </w:r>
      <w:r w:rsidRPr="00A623AB">
        <w:rPr>
          <w:color w:val="auto"/>
          <w:sz w:val="20"/>
          <w:szCs w:val="20"/>
        </w:rPr>
        <w:t xml:space="preserve">edical </w:t>
      </w:r>
      <w:r w:rsidR="00321C2E" w:rsidRPr="00A623AB">
        <w:rPr>
          <w:color w:val="auto"/>
          <w:sz w:val="20"/>
          <w:szCs w:val="20"/>
        </w:rPr>
        <w:t>s</w:t>
      </w:r>
      <w:r w:rsidRPr="00A623AB">
        <w:rPr>
          <w:color w:val="auto"/>
          <w:sz w:val="20"/>
          <w:szCs w:val="20"/>
        </w:rPr>
        <w:t>ervice and was in charge of the 1-4 p</w:t>
      </w:r>
      <w:r w:rsidR="00321C2E" w:rsidRPr="00A623AB">
        <w:rPr>
          <w:color w:val="auto"/>
          <w:sz w:val="20"/>
          <w:szCs w:val="20"/>
        </w:rPr>
        <w:t>.</w:t>
      </w:r>
      <w:r w:rsidRPr="00A623AB">
        <w:rPr>
          <w:color w:val="auto"/>
          <w:sz w:val="20"/>
          <w:szCs w:val="20"/>
        </w:rPr>
        <w:t>m</w:t>
      </w:r>
      <w:r w:rsidR="00321C2E" w:rsidRPr="00A623AB">
        <w:rPr>
          <w:color w:val="auto"/>
          <w:sz w:val="20"/>
          <w:szCs w:val="20"/>
        </w:rPr>
        <w:t>.</w:t>
      </w:r>
      <w:r w:rsidRPr="00A623AB">
        <w:rPr>
          <w:color w:val="auto"/>
          <w:sz w:val="20"/>
          <w:szCs w:val="20"/>
        </w:rPr>
        <w:t xml:space="preserve"> shift of the health service for adults, was not at the prison facilities, since she had traveled to the city of Cartagena, Colombia, to attend an event for directors of penitentiaries in Ibero-America</w:t>
      </w:r>
      <w:r w:rsidR="00321C2E" w:rsidRPr="00A623AB">
        <w:rPr>
          <w:color w:val="auto"/>
          <w:sz w:val="20"/>
          <w:szCs w:val="20"/>
        </w:rPr>
        <w:t>.</w:t>
      </w:r>
      <w:r w:rsidRPr="00A623AB">
        <w:rPr>
          <w:color w:val="auto"/>
          <w:sz w:val="20"/>
          <w:szCs w:val="20"/>
        </w:rPr>
        <w:t xml:space="preserve"> </w:t>
      </w:r>
      <w:r w:rsidR="00321C2E" w:rsidRPr="00A623AB">
        <w:rPr>
          <w:color w:val="auto"/>
          <w:sz w:val="20"/>
          <w:szCs w:val="20"/>
        </w:rPr>
        <w:t>S</w:t>
      </w:r>
      <w:r w:rsidRPr="00A623AB">
        <w:rPr>
          <w:color w:val="auto"/>
          <w:sz w:val="20"/>
          <w:szCs w:val="20"/>
        </w:rPr>
        <w:t>he had not made the necessary arrangements to avoid depriving the INOF from its medical service for adults and from the necessary supplies to assist inmates.</w:t>
      </w:r>
      <w:r w:rsidRPr="00A623AB">
        <w:rPr>
          <w:rStyle w:val="FootnoteReference"/>
          <w:color w:val="auto"/>
          <w:sz w:val="20"/>
          <w:szCs w:val="20"/>
          <w:lang w:val="es-ES"/>
        </w:rPr>
        <w:footnoteReference w:id="57"/>
      </w:r>
      <w:r w:rsidRPr="00A623AB">
        <w:rPr>
          <w:color w:val="auto"/>
          <w:sz w:val="20"/>
          <w:szCs w:val="20"/>
        </w:rPr>
        <w:t xml:space="preserve"> As for the </w:t>
      </w:r>
      <w:r w:rsidR="00321C2E" w:rsidRPr="00A623AB">
        <w:rPr>
          <w:color w:val="auto"/>
          <w:sz w:val="20"/>
          <w:szCs w:val="20"/>
        </w:rPr>
        <w:t>p</w:t>
      </w:r>
      <w:r w:rsidRPr="00A623AB">
        <w:rPr>
          <w:color w:val="auto"/>
          <w:sz w:val="20"/>
          <w:szCs w:val="20"/>
        </w:rPr>
        <w:t xml:space="preserve">rison </w:t>
      </w:r>
      <w:r w:rsidR="00321C2E" w:rsidRPr="00A623AB">
        <w:rPr>
          <w:color w:val="auto"/>
          <w:sz w:val="20"/>
          <w:szCs w:val="20"/>
        </w:rPr>
        <w:t>c</w:t>
      </w:r>
      <w:r w:rsidRPr="00A623AB">
        <w:rPr>
          <w:color w:val="auto"/>
          <w:sz w:val="20"/>
          <w:szCs w:val="20"/>
        </w:rPr>
        <w:t>hief, Eglee Ascanio, she was also at the aforementioned event and had granted Dr. González permission to leave without having made any arrangements nor verified there was medical staff available to provide medical service during her absence.</w:t>
      </w:r>
      <w:r w:rsidRPr="00A623AB">
        <w:rPr>
          <w:rStyle w:val="FootnoteReference"/>
          <w:color w:val="auto"/>
          <w:sz w:val="20"/>
          <w:szCs w:val="20"/>
          <w:lang w:val="es-ES"/>
        </w:rPr>
        <w:footnoteReference w:id="58"/>
      </w:r>
      <w:r w:rsidRPr="00A623AB">
        <w:rPr>
          <w:color w:val="auto"/>
          <w:sz w:val="20"/>
          <w:szCs w:val="20"/>
        </w:rPr>
        <w:t xml:space="preserve"> </w:t>
      </w:r>
    </w:p>
    <w:p w14:paraId="03666121" w14:textId="77777777" w:rsidR="00EE4B9B" w:rsidRPr="00A623AB" w:rsidRDefault="00EE4B9B" w:rsidP="00EE4B9B">
      <w:pPr>
        <w:jc w:val="both"/>
        <w:rPr>
          <w:rFonts w:ascii="Cambria" w:hAnsi="Cambria"/>
          <w:sz w:val="20"/>
          <w:szCs w:val="20"/>
        </w:rPr>
      </w:pPr>
    </w:p>
    <w:p w14:paraId="09A8D2E2" w14:textId="77777777" w:rsidR="002A6B05" w:rsidRPr="00A623AB" w:rsidRDefault="0066215E" w:rsidP="00473895">
      <w:pPr>
        <w:pStyle w:val="ListParagraph"/>
        <w:numPr>
          <w:ilvl w:val="0"/>
          <w:numId w:val="51"/>
        </w:numPr>
        <w:ind w:left="0" w:firstLine="567"/>
        <w:jc w:val="both"/>
        <w:rPr>
          <w:color w:val="auto"/>
          <w:sz w:val="20"/>
          <w:szCs w:val="20"/>
        </w:rPr>
      </w:pPr>
      <w:r w:rsidRPr="00A623AB">
        <w:rPr>
          <w:color w:val="auto"/>
          <w:sz w:val="20"/>
          <w:szCs w:val="20"/>
        </w:rPr>
        <w:t>The day of the facts, Dr. Luis Eduardo Mota Acosta and Dr. Migdalia Coromoto Galavis Carvajal, who were in charge of the pediatrics section of the prison, were at the INOF and were notified of a fainted inmate.</w:t>
      </w:r>
      <w:r w:rsidRPr="00A623AB">
        <w:rPr>
          <w:rStyle w:val="FootnoteReference"/>
          <w:color w:val="auto"/>
          <w:sz w:val="20"/>
          <w:szCs w:val="20"/>
          <w:lang w:val="es-ES"/>
        </w:rPr>
        <w:footnoteReference w:id="59"/>
      </w:r>
      <w:r w:rsidRPr="00A623AB">
        <w:rPr>
          <w:color w:val="auto"/>
          <w:sz w:val="20"/>
          <w:szCs w:val="20"/>
        </w:rPr>
        <w:t xml:space="preserve"> However, they did not provide any medical assistance, alleging they were not authorized to enter the adult section.</w:t>
      </w:r>
      <w:r w:rsidRPr="00A623AB">
        <w:rPr>
          <w:rStyle w:val="FootnoteReference"/>
          <w:color w:val="auto"/>
          <w:sz w:val="20"/>
          <w:szCs w:val="20"/>
          <w:lang w:val="es-ES"/>
        </w:rPr>
        <w:footnoteReference w:id="60"/>
      </w:r>
      <w:r w:rsidRPr="00A623AB">
        <w:rPr>
          <w:color w:val="auto"/>
          <w:sz w:val="20"/>
          <w:szCs w:val="20"/>
        </w:rPr>
        <w:t xml:space="preserve">  </w:t>
      </w:r>
    </w:p>
    <w:p w14:paraId="2CAEDBCE" w14:textId="77777777" w:rsidR="002829C1" w:rsidRPr="00A623AB" w:rsidRDefault="002829C1" w:rsidP="002829C1">
      <w:pPr>
        <w:pStyle w:val="ListParagraph"/>
        <w:ind w:left="567"/>
        <w:jc w:val="both"/>
        <w:rPr>
          <w:color w:val="auto"/>
          <w:sz w:val="20"/>
          <w:szCs w:val="20"/>
        </w:rPr>
      </w:pPr>
    </w:p>
    <w:p w14:paraId="4B332E0D" w14:textId="77777777" w:rsidR="002A6B05" w:rsidRPr="00A623AB" w:rsidRDefault="0066215E" w:rsidP="00550322">
      <w:pPr>
        <w:pStyle w:val="Heading2"/>
        <w:numPr>
          <w:ilvl w:val="0"/>
          <w:numId w:val="54"/>
        </w:numPr>
        <w:rPr>
          <w:rFonts w:ascii="Cambria" w:hAnsi="Cambria"/>
          <w:i w:val="0"/>
          <w:iCs w:val="0"/>
          <w:sz w:val="20"/>
          <w:szCs w:val="20"/>
        </w:rPr>
      </w:pPr>
      <w:bookmarkStart w:id="23" w:name="_Toc217309577"/>
      <w:r w:rsidRPr="00A623AB">
        <w:rPr>
          <w:rFonts w:ascii="Cambria" w:eastAsia="Cambria" w:hAnsi="Cambria" w:cs="Cambria"/>
          <w:i w:val="0"/>
          <w:iCs w:val="0"/>
          <w:sz w:val="20"/>
          <w:szCs w:val="20"/>
          <w:bdr w:val="nil"/>
        </w:rPr>
        <w:t>Investigation of the facts and domestic legal proceedings</w:t>
      </w:r>
      <w:bookmarkEnd w:id="23"/>
    </w:p>
    <w:p w14:paraId="057A75C1" w14:textId="77777777" w:rsidR="002A6B05" w:rsidRPr="00A623AB" w:rsidRDefault="002A6B05" w:rsidP="002A6B05">
      <w:pPr>
        <w:jc w:val="both"/>
        <w:rPr>
          <w:rFonts w:ascii="Cambria" w:hAnsi="Cambria"/>
          <w:b/>
          <w:sz w:val="20"/>
          <w:szCs w:val="20"/>
        </w:rPr>
      </w:pPr>
    </w:p>
    <w:p w14:paraId="46041619" w14:textId="4BF4A857" w:rsidR="009A42B2" w:rsidRPr="00A623AB" w:rsidRDefault="0066215E" w:rsidP="009A42B2">
      <w:pPr>
        <w:pStyle w:val="ListParagraph"/>
        <w:numPr>
          <w:ilvl w:val="0"/>
          <w:numId w:val="51"/>
        </w:numPr>
        <w:ind w:left="0" w:firstLine="567"/>
        <w:jc w:val="both"/>
        <w:rPr>
          <w:rFonts w:cstheme="majorHAnsi"/>
          <w:bCs/>
          <w:color w:val="auto"/>
          <w:sz w:val="20"/>
          <w:szCs w:val="20"/>
        </w:rPr>
      </w:pPr>
      <w:r w:rsidRPr="00A623AB">
        <w:rPr>
          <w:bCs/>
          <w:color w:val="auto"/>
          <w:sz w:val="20"/>
          <w:szCs w:val="20"/>
        </w:rPr>
        <w:t>The file indicates that both the British Embassy in Venezuela and Sarah’s parents requested the Venezuelan authorities to conduct a due investigation of the facts, as well as demanded information on the progress of the investigation and legal proceedings.</w:t>
      </w:r>
      <w:r w:rsidRPr="00A623AB">
        <w:rPr>
          <w:rStyle w:val="FootnoteReference"/>
          <w:rFonts w:cstheme="majorHAnsi"/>
          <w:bCs/>
          <w:color w:val="auto"/>
          <w:sz w:val="20"/>
          <w:szCs w:val="20"/>
          <w:lang w:val="es-ES"/>
        </w:rPr>
        <w:footnoteReference w:id="61"/>
      </w:r>
      <w:r w:rsidRPr="00A623AB">
        <w:rPr>
          <w:bCs/>
          <w:color w:val="auto"/>
          <w:sz w:val="20"/>
          <w:szCs w:val="20"/>
        </w:rPr>
        <w:t xml:space="preserve"> </w:t>
      </w:r>
    </w:p>
    <w:p w14:paraId="25D0A4A3" w14:textId="77777777" w:rsidR="001E54BC" w:rsidRPr="00A623AB" w:rsidRDefault="001E54BC" w:rsidP="001E54BC">
      <w:pPr>
        <w:pStyle w:val="ListParagraph"/>
        <w:ind w:left="567"/>
        <w:jc w:val="both"/>
        <w:rPr>
          <w:rFonts w:cstheme="majorHAnsi"/>
          <w:bCs/>
          <w:color w:val="auto"/>
          <w:sz w:val="20"/>
          <w:szCs w:val="20"/>
        </w:rPr>
      </w:pPr>
    </w:p>
    <w:p w14:paraId="5048B5BD" w14:textId="4DB51C3B" w:rsidR="001E54BC" w:rsidRPr="00A623AB" w:rsidRDefault="0066215E" w:rsidP="009A42B2">
      <w:pPr>
        <w:pStyle w:val="ListParagraph"/>
        <w:numPr>
          <w:ilvl w:val="0"/>
          <w:numId w:val="51"/>
        </w:numPr>
        <w:ind w:left="0" w:firstLine="567"/>
        <w:jc w:val="both"/>
        <w:rPr>
          <w:rFonts w:cstheme="majorHAnsi"/>
          <w:bCs/>
          <w:color w:val="auto"/>
          <w:sz w:val="20"/>
          <w:szCs w:val="20"/>
        </w:rPr>
      </w:pPr>
      <w:r w:rsidRPr="00A623AB">
        <w:rPr>
          <w:bCs/>
          <w:color w:val="auto"/>
          <w:sz w:val="20"/>
          <w:szCs w:val="20"/>
        </w:rPr>
        <w:t xml:space="preserve">The General Directorate of Custody and Rehabilitation of Inmates drafted a note to the Vice Minister of Citizen Security on March 11, 2001, exhibiting the main facts that took place from March 6 to March 9, and stating that “the Directorate of Auditing and Investigation of the Prison System opened an investigation with the purpose of verifying the causes of inmate Sarah Langton’s </w:t>
      </w:r>
      <w:r w:rsidR="00B905D7" w:rsidRPr="00A623AB">
        <w:rPr>
          <w:bCs/>
          <w:color w:val="auto"/>
          <w:sz w:val="20"/>
          <w:szCs w:val="20"/>
        </w:rPr>
        <w:t xml:space="preserve">serious </w:t>
      </w:r>
      <w:r w:rsidRPr="00A623AB">
        <w:rPr>
          <w:bCs/>
          <w:color w:val="auto"/>
          <w:sz w:val="20"/>
          <w:szCs w:val="20"/>
        </w:rPr>
        <w:t xml:space="preserve">clinical condition and </w:t>
      </w:r>
      <w:r w:rsidR="00321C2E" w:rsidRPr="00A623AB">
        <w:rPr>
          <w:bCs/>
          <w:color w:val="auto"/>
          <w:sz w:val="20"/>
          <w:szCs w:val="20"/>
        </w:rPr>
        <w:t>of</w:t>
      </w:r>
      <w:r w:rsidRPr="00A623AB">
        <w:rPr>
          <w:bCs/>
          <w:color w:val="auto"/>
          <w:sz w:val="20"/>
          <w:szCs w:val="20"/>
        </w:rPr>
        <w:t xml:space="preserve"> determin</w:t>
      </w:r>
      <w:r w:rsidR="00321C2E" w:rsidRPr="00A623AB">
        <w:rPr>
          <w:bCs/>
          <w:color w:val="auto"/>
          <w:sz w:val="20"/>
          <w:szCs w:val="20"/>
        </w:rPr>
        <w:t>ing</w:t>
      </w:r>
      <w:r w:rsidRPr="00A623AB">
        <w:rPr>
          <w:bCs/>
          <w:color w:val="auto"/>
          <w:sz w:val="20"/>
          <w:szCs w:val="20"/>
        </w:rPr>
        <w:t xml:space="preserve"> accountability, if applicable.”</w:t>
      </w:r>
      <w:r w:rsidRPr="00A623AB">
        <w:rPr>
          <w:rStyle w:val="FootnoteReference"/>
          <w:rFonts w:cstheme="majorHAnsi"/>
          <w:bCs/>
          <w:color w:val="auto"/>
          <w:sz w:val="20"/>
          <w:szCs w:val="20"/>
          <w:lang w:val="es-ES"/>
        </w:rPr>
        <w:footnoteReference w:id="62"/>
      </w:r>
    </w:p>
    <w:p w14:paraId="1070FA2A" w14:textId="77777777" w:rsidR="009A42B2" w:rsidRPr="00A623AB" w:rsidRDefault="0066215E" w:rsidP="001E54BC">
      <w:pPr>
        <w:jc w:val="both"/>
        <w:rPr>
          <w:rFonts w:ascii="Cambria" w:hAnsi="Cambria" w:cstheme="majorHAnsi"/>
          <w:bCs/>
          <w:sz w:val="20"/>
          <w:szCs w:val="20"/>
        </w:rPr>
      </w:pPr>
      <w:r w:rsidRPr="00A623AB">
        <w:rPr>
          <w:rFonts w:ascii="Cambria" w:hAnsi="Cambria" w:cstheme="majorHAnsi"/>
          <w:bCs/>
          <w:sz w:val="20"/>
          <w:szCs w:val="20"/>
        </w:rPr>
        <w:t xml:space="preserve"> </w:t>
      </w:r>
    </w:p>
    <w:p w14:paraId="5939E351" w14:textId="532375AF" w:rsidR="001E54BC" w:rsidRPr="00A623AB" w:rsidRDefault="0066215E" w:rsidP="009A42B2">
      <w:pPr>
        <w:pStyle w:val="ListParagraph"/>
        <w:numPr>
          <w:ilvl w:val="0"/>
          <w:numId w:val="51"/>
        </w:numPr>
        <w:ind w:left="0" w:firstLine="567"/>
        <w:jc w:val="both"/>
        <w:rPr>
          <w:color w:val="auto"/>
          <w:sz w:val="20"/>
          <w:szCs w:val="20"/>
        </w:rPr>
      </w:pPr>
      <w:r w:rsidRPr="00A623AB">
        <w:rPr>
          <w:color w:val="auto"/>
          <w:sz w:val="20"/>
          <w:szCs w:val="20"/>
        </w:rPr>
        <w:t xml:space="preserve">The Attorney General of the Republic, Julián Isaías Rodríguez, the British Consulate in Venezuela and Terry and Lyn Langton exchanged correspondence between 2002 and 2008 with regard to the facts and the progress of the investigation initiated on April 30, 2002. In his correspondence </w:t>
      </w:r>
      <w:r w:rsidR="00321C2E" w:rsidRPr="00A623AB">
        <w:rPr>
          <w:color w:val="auto"/>
          <w:sz w:val="20"/>
          <w:szCs w:val="20"/>
        </w:rPr>
        <w:t>n</w:t>
      </w:r>
      <w:r w:rsidRPr="00A623AB">
        <w:rPr>
          <w:color w:val="auto"/>
          <w:sz w:val="20"/>
          <w:szCs w:val="20"/>
        </w:rPr>
        <w:t xml:space="preserve">o. DFGR-47.746, the Attorney General stated that: i) Sarah required permanent monitoring, but that she had not been evaluated for over 60 days; ii) “the INOF’s </w:t>
      </w:r>
      <w:r w:rsidR="00321C2E" w:rsidRPr="00A623AB">
        <w:rPr>
          <w:color w:val="auto"/>
          <w:sz w:val="20"/>
          <w:szCs w:val="20"/>
        </w:rPr>
        <w:t>m</w:t>
      </w:r>
      <w:r w:rsidRPr="00A623AB">
        <w:rPr>
          <w:color w:val="auto"/>
          <w:sz w:val="20"/>
          <w:szCs w:val="20"/>
        </w:rPr>
        <w:t xml:space="preserve">edical </w:t>
      </w:r>
      <w:r w:rsidR="00321C2E" w:rsidRPr="00A623AB">
        <w:rPr>
          <w:color w:val="auto"/>
          <w:sz w:val="20"/>
          <w:szCs w:val="20"/>
        </w:rPr>
        <w:t>s</w:t>
      </w:r>
      <w:r w:rsidRPr="00A623AB">
        <w:rPr>
          <w:color w:val="auto"/>
          <w:sz w:val="20"/>
          <w:szCs w:val="20"/>
        </w:rPr>
        <w:t xml:space="preserve">ervice for adults lacked the medical staff required to fill the duty shifts,” which prevented “the inmate population from accessing a service of vital importance;” and iii) “the citizen in question did not receive the immediate assistance she required from the physicians that were at the </w:t>
      </w:r>
      <w:r w:rsidRPr="00A623AB">
        <w:rPr>
          <w:color w:val="auto"/>
          <w:sz w:val="20"/>
          <w:szCs w:val="20"/>
        </w:rPr>
        <w:lastRenderedPageBreak/>
        <w:t>INOF (pediatrics section), who were notified of the emergency that had occurred in relation to the aforementioned citizen.”</w:t>
      </w:r>
      <w:r w:rsidRPr="00A623AB">
        <w:rPr>
          <w:rStyle w:val="FootnoteReference"/>
          <w:rFonts w:cstheme="majorHAnsi"/>
          <w:bCs/>
          <w:color w:val="auto"/>
          <w:sz w:val="20"/>
          <w:szCs w:val="20"/>
          <w:lang w:val="es-ES"/>
        </w:rPr>
        <w:footnoteReference w:id="63"/>
      </w:r>
    </w:p>
    <w:p w14:paraId="1CD26DE6" w14:textId="77777777" w:rsidR="005475CF" w:rsidRPr="00A623AB" w:rsidRDefault="0066215E" w:rsidP="001E54BC">
      <w:pPr>
        <w:jc w:val="both"/>
        <w:rPr>
          <w:rFonts w:ascii="Cambria" w:hAnsi="Cambria"/>
          <w:sz w:val="20"/>
          <w:szCs w:val="20"/>
        </w:rPr>
      </w:pPr>
      <w:r w:rsidRPr="00A623AB">
        <w:rPr>
          <w:rFonts w:ascii="Cambria" w:hAnsi="Cambria"/>
          <w:sz w:val="20"/>
          <w:szCs w:val="20"/>
        </w:rPr>
        <w:t xml:space="preserve"> </w:t>
      </w:r>
    </w:p>
    <w:p w14:paraId="4FCED15E" w14:textId="3810F8AF" w:rsidR="00F332A9" w:rsidRPr="00A623AB" w:rsidRDefault="0066215E" w:rsidP="003D2A74">
      <w:pPr>
        <w:pStyle w:val="ListParagraph"/>
        <w:numPr>
          <w:ilvl w:val="0"/>
          <w:numId w:val="51"/>
        </w:numPr>
        <w:ind w:left="0" w:firstLine="567"/>
        <w:jc w:val="both"/>
        <w:rPr>
          <w:color w:val="auto"/>
          <w:sz w:val="20"/>
          <w:szCs w:val="20"/>
        </w:rPr>
      </w:pPr>
      <w:r w:rsidRPr="00A623AB">
        <w:rPr>
          <w:color w:val="auto"/>
          <w:sz w:val="20"/>
          <w:szCs w:val="20"/>
        </w:rPr>
        <w:t xml:space="preserve">On April 30, 2002, the Twenty-Eighth Prosecutor of the National Office of the Public Prosecutor with Full Jurisdiction ordered that an investigation be opened, in pursuance of Article 300 of </w:t>
      </w:r>
      <w:r w:rsidR="00C428B0" w:rsidRPr="00A623AB">
        <w:rPr>
          <w:color w:val="auto"/>
          <w:sz w:val="20"/>
          <w:szCs w:val="20"/>
        </w:rPr>
        <w:t>Venezuela’s</w:t>
      </w:r>
      <w:r w:rsidRPr="00A623AB">
        <w:rPr>
          <w:color w:val="auto"/>
          <w:sz w:val="20"/>
          <w:szCs w:val="20"/>
        </w:rPr>
        <w:t xml:space="preserve"> Code of Criminal Procedure. Between March and November of 2005, several investigative actions were carried out, including retrieving the medical records from the San Bernardino Institute and the Victorino Santaella General Hospital, and questioning some of </w:t>
      </w:r>
      <w:r w:rsidR="00C428B0" w:rsidRPr="00A623AB">
        <w:rPr>
          <w:color w:val="auto"/>
          <w:sz w:val="20"/>
          <w:szCs w:val="20"/>
        </w:rPr>
        <w:t xml:space="preserve">the </w:t>
      </w:r>
      <w:r w:rsidRPr="00A623AB">
        <w:rPr>
          <w:color w:val="auto"/>
          <w:sz w:val="20"/>
          <w:szCs w:val="20"/>
        </w:rPr>
        <w:t>INOF’s inmates and guards.</w:t>
      </w:r>
      <w:r w:rsidRPr="00A623AB">
        <w:rPr>
          <w:rStyle w:val="FootnoteReference"/>
          <w:color w:val="auto"/>
          <w:sz w:val="20"/>
          <w:szCs w:val="20"/>
          <w:lang w:val="es-ES"/>
        </w:rPr>
        <w:footnoteReference w:id="64"/>
      </w:r>
      <w:r w:rsidRPr="00A623AB">
        <w:rPr>
          <w:color w:val="auto"/>
          <w:sz w:val="20"/>
          <w:szCs w:val="20"/>
        </w:rPr>
        <w:t xml:space="preserve"> On June 20, 2006, the Attorney General informed that the criminal proceedings that had been initiated on the death of Sarah Langton were in their preliminary stage.</w:t>
      </w:r>
      <w:r w:rsidRPr="00A623AB">
        <w:rPr>
          <w:rStyle w:val="FootnoteReference"/>
          <w:color w:val="auto"/>
          <w:sz w:val="20"/>
          <w:szCs w:val="20"/>
          <w:lang w:val="es-ES"/>
        </w:rPr>
        <w:footnoteReference w:id="65"/>
      </w:r>
      <w:r w:rsidRPr="00A623AB">
        <w:rPr>
          <w:color w:val="auto"/>
          <w:sz w:val="20"/>
          <w:szCs w:val="20"/>
        </w:rPr>
        <w:t xml:space="preserve"> </w:t>
      </w:r>
    </w:p>
    <w:p w14:paraId="4C42E18F" w14:textId="77777777" w:rsidR="001E54BC" w:rsidRPr="00A623AB" w:rsidRDefault="001E54BC" w:rsidP="001E54BC">
      <w:pPr>
        <w:jc w:val="both"/>
        <w:rPr>
          <w:rFonts w:ascii="Cambria" w:hAnsi="Cambria"/>
          <w:sz w:val="20"/>
          <w:szCs w:val="20"/>
        </w:rPr>
      </w:pPr>
    </w:p>
    <w:p w14:paraId="3CD3FFB2" w14:textId="5381B891" w:rsidR="00F332A9" w:rsidRPr="00A623AB" w:rsidRDefault="0066215E" w:rsidP="003D2A74">
      <w:pPr>
        <w:pStyle w:val="ListParagraph"/>
        <w:numPr>
          <w:ilvl w:val="0"/>
          <w:numId w:val="51"/>
        </w:numPr>
        <w:ind w:left="0" w:firstLine="567"/>
        <w:jc w:val="both"/>
        <w:rPr>
          <w:color w:val="auto"/>
          <w:sz w:val="20"/>
          <w:szCs w:val="20"/>
        </w:rPr>
      </w:pPr>
      <w:r w:rsidRPr="00A623AB">
        <w:rPr>
          <w:color w:val="auto"/>
          <w:sz w:val="20"/>
          <w:szCs w:val="20"/>
        </w:rPr>
        <w:t xml:space="preserve">In 2005, Migdalia Coromoto Galvis Carvajal was charged with the crime of </w:t>
      </w:r>
      <w:r w:rsidR="00316E19" w:rsidRPr="00A623AB">
        <w:rPr>
          <w:color w:val="auto"/>
          <w:sz w:val="20"/>
          <w:szCs w:val="20"/>
        </w:rPr>
        <w:t>negligent homicide</w:t>
      </w:r>
      <w:r w:rsidRPr="00A623AB">
        <w:rPr>
          <w:color w:val="auto"/>
          <w:sz w:val="20"/>
          <w:szCs w:val="20"/>
        </w:rPr>
        <w:t>.</w:t>
      </w:r>
      <w:r w:rsidRPr="00A623AB">
        <w:rPr>
          <w:rStyle w:val="FootnoteReference"/>
          <w:color w:val="auto"/>
          <w:sz w:val="20"/>
          <w:szCs w:val="20"/>
          <w:lang w:val="es-ES"/>
        </w:rPr>
        <w:footnoteReference w:id="66"/>
      </w:r>
      <w:r w:rsidRPr="00A623AB">
        <w:rPr>
          <w:color w:val="auto"/>
          <w:sz w:val="20"/>
          <w:szCs w:val="20"/>
        </w:rPr>
        <w:t xml:space="preserve"> On May 8, 2006, Luis Mota was charged with the crime of </w:t>
      </w:r>
      <w:r w:rsidR="00316E19" w:rsidRPr="00A623AB">
        <w:rPr>
          <w:color w:val="auto"/>
          <w:sz w:val="20"/>
          <w:szCs w:val="20"/>
        </w:rPr>
        <w:t>negligent homicide</w:t>
      </w:r>
      <w:r w:rsidRPr="00A623AB">
        <w:rPr>
          <w:color w:val="auto"/>
          <w:sz w:val="20"/>
          <w:szCs w:val="20"/>
        </w:rPr>
        <w:t>.</w:t>
      </w:r>
      <w:r w:rsidRPr="00A623AB">
        <w:rPr>
          <w:rStyle w:val="FootnoteReference"/>
          <w:color w:val="auto"/>
          <w:sz w:val="20"/>
          <w:szCs w:val="20"/>
          <w:lang w:val="es-ES"/>
        </w:rPr>
        <w:footnoteReference w:id="67"/>
      </w:r>
      <w:r w:rsidRPr="00A623AB">
        <w:rPr>
          <w:color w:val="auto"/>
          <w:sz w:val="20"/>
          <w:szCs w:val="20"/>
        </w:rPr>
        <w:t xml:space="preserve"> On July 7, 2006, Marianella González was charged with the crime of </w:t>
      </w:r>
      <w:r w:rsidR="00316E19" w:rsidRPr="00A623AB">
        <w:rPr>
          <w:color w:val="auto"/>
          <w:sz w:val="20"/>
          <w:szCs w:val="20"/>
        </w:rPr>
        <w:t>negligent homicide</w:t>
      </w:r>
      <w:r w:rsidRPr="00A623AB">
        <w:rPr>
          <w:color w:val="auto"/>
          <w:sz w:val="20"/>
          <w:szCs w:val="20"/>
        </w:rPr>
        <w:t>.</w:t>
      </w:r>
      <w:r w:rsidRPr="00A623AB">
        <w:rPr>
          <w:rStyle w:val="FootnoteReference"/>
          <w:color w:val="auto"/>
          <w:sz w:val="20"/>
          <w:szCs w:val="20"/>
          <w:lang w:val="es-ES"/>
        </w:rPr>
        <w:footnoteReference w:id="68"/>
      </w:r>
      <w:r w:rsidRPr="00A623AB">
        <w:rPr>
          <w:color w:val="auto"/>
          <w:sz w:val="20"/>
          <w:szCs w:val="20"/>
        </w:rPr>
        <w:t xml:space="preserve"> On May 25, 2007, she was also charged with the crime of abandonment of a child or other incapable person.</w:t>
      </w:r>
      <w:r w:rsidRPr="00A623AB">
        <w:rPr>
          <w:rStyle w:val="FootnoteReference"/>
          <w:color w:val="auto"/>
          <w:sz w:val="20"/>
          <w:szCs w:val="20"/>
          <w:lang w:val="es-ES"/>
        </w:rPr>
        <w:footnoteReference w:id="69"/>
      </w:r>
      <w:r w:rsidRPr="00A623AB">
        <w:rPr>
          <w:color w:val="auto"/>
          <w:sz w:val="20"/>
          <w:szCs w:val="20"/>
        </w:rPr>
        <w:t xml:space="preserve">  On July 8, 2008, the prosecutors submitted </w:t>
      </w:r>
      <w:r w:rsidR="00C428B0" w:rsidRPr="00A623AB">
        <w:rPr>
          <w:color w:val="auto"/>
          <w:sz w:val="20"/>
          <w:szCs w:val="20"/>
        </w:rPr>
        <w:t>a</w:t>
      </w:r>
      <w:r w:rsidRPr="00A623AB">
        <w:rPr>
          <w:color w:val="auto"/>
          <w:sz w:val="20"/>
          <w:szCs w:val="20"/>
        </w:rPr>
        <w:t xml:space="preserve"> formal accusation of </w:t>
      </w:r>
      <w:r w:rsidR="00316E19" w:rsidRPr="00A623AB">
        <w:rPr>
          <w:color w:val="auto"/>
          <w:sz w:val="20"/>
          <w:szCs w:val="20"/>
        </w:rPr>
        <w:t xml:space="preserve">negligent homicide </w:t>
      </w:r>
      <w:r w:rsidRPr="00A623AB">
        <w:rPr>
          <w:color w:val="auto"/>
          <w:sz w:val="20"/>
          <w:szCs w:val="20"/>
        </w:rPr>
        <w:t xml:space="preserve">against Migdalia Coromoto Galavis Carvajal and Luis Eduardo Mota, and </w:t>
      </w:r>
      <w:r w:rsidR="00C428B0" w:rsidRPr="00A623AB">
        <w:rPr>
          <w:color w:val="auto"/>
          <w:sz w:val="20"/>
          <w:szCs w:val="20"/>
        </w:rPr>
        <w:t>a</w:t>
      </w:r>
      <w:r w:rsidRPr="00A623AB">
        <w:rPr>
          <w:color w:val="auto"/>
          <w:sz w:val="20"/>
          <w:szCs w:val="20"/>
        </w:rPr>
        <w:t xml:space="preserve"> formal accusation of omission of relief against Marianella González and Eglee Ascanio for the facts that</w:t>
      </w:r>
      <w:r w:rsidR="00C428B0" w:rsidRPr="00A623AB">
        <w:rPr>
          <w:color w:val="auto"/>
          <w:sz w:val="20"/>
          <w:szCs w:val="20"/>
        </w:rPr>
        <w:t xml:space="preserve"> had</w:t>
      </w:r>
      <w:r w:rsidRPr="00A623AB">
        <w:rPr>
          <w:color w:val="auto"/>
          <w:sz w:val="20"/>
          <w:szCs w:val="20"/>
        </w:rPr>
        <w:t xml:space="preserve"> t</w:t>
      </w:r>
      <w:r w:rsidR="00C428B0" w:rsidRPr="00A623AB">
        <w:rPr>
          <w:color w:val="auto"/>
          <w:sz w:val="20"/>
          <w:szCs w:val="20"/>
        </w:rPr>
        <w:t>aken</w:t>
      </w:r>
      <w:r w:rsidRPr="00A623AB">
        <w:rPr>
          <w:color w:val="auto"/>
          <w:sz w:val="20"/>
          <w:szCs w:val="20"/>
        </w:rPr>
        <w:t xml:space="preserve"> place on March 7, 2001.</w:t>
      </w:r>
      <w:r w:rsidRPr="00A623AB">
        <w:rPr>
          <w:rStyle w:val="FootnoteReference"/>
          <w:color w:val="auto"/>
          <w:sz w:val="20"/>
          <w:szCs w:val="20"/>
          <w:lang w:val="es-ES"/>
        </w:rPr>
        <w:footnoteReference w:id="70"/>
      </w:r>
      <w:r w:rsidRPr="00A623AB">
        <w:rPr>
          <w:color w:val="auto"/>
          <w:sz w:val="20"/>
          <w:szCs w:val="20"/>
        </w:rPr>
        <w:t xml:space="preserve">  </w:t>
      </w:r>
    </w:p>
    <w:p w14:paraId="2C0513DA" w14:textId="77777777" w:rsidR="001E54BC" w:rsidRPr="00A623AB" w:rsidRDefault="001E54BC" w:rsidP="001E54BC">
      <w:pPr>
        <w:jc w:val="both"/>
        <w:rPr>
          <w:rFonts w:ascii="Cambria" w:hAnsi="Cambria"/>
          <w:sz w:val="20"/>
          <w:szCs w:val="20"/>
        </w:rPr>
      </w:pPr>
    </w:p>
    <w:p w14:paraId="59D750E9" w14:textId="159BA5A3" w:rsidR="00EE4B9B" w:rsidRPr="00A623AB" w:rsidRDefault="0066215E" w:rsidP="00EE4B9B">
      <w:pPr>
        <w:pStyle w:val="ListParagraph"/>
        <w:numPr>
          <w:ilvl w:val="0"/>
          <w:numId w:val="51"/>
        </w:numPr>
        <w:ind w:left="0" w:firstLine="567"/>
        <w:jc w:val="both"/>
        <w:rPr>
          <w:color w:val="auto"/>
          <w:sz w:val="20"/>
          <w:szCs w:val="20"/>
        </w:rPr>
      </w:pPr>
      <w:r w:rsidRPr="00A623AB">
        <w:rPr>
          <w:color w:val="auto"/>
          <w:sz w:val="20"/>
          <w:szCs w:val="20"/>
        </w:rPr>
        <w:t xml:space="preserve">On October 29, 2010, the preliminary hearing was held before the </w:t>
      </w:r>
      <w:r w:rsidR="00C428B0" w:rsidRPr="00A623AB">
        <w:rPr>
          <w:color w:val="auto"/>
          <w:sz w:val="20"/>
          <w:szCs w:val="20"/>
        </w:rPr>
        <w:t xml:space="preserve">First Instance </w:t>
      </w:r>
      <w:r w:rsidRPr="00A623AB">
        <w:rPr>
          <w:color w:val="auto"/>
          <w:sz w:val="20"/>
          <w:szCs w:val="20"/>
        </w:rPr>
        <w:t xml:space="preserve">Court of Control No. 3 of the Criminal Judicial Circuit of the Judicial District of the </w:t>
      </w:r>
      <w:r w:rsidR="00C428B0" w:rsidRPr="00A623AB">
        <w:rPr>
          <w:color w:val="auto"/>
          <w:sz w:val="20"/>
          <w:szCs w:val="20"/>
        </w:rPr>
        <w:t>S</w:t>
      </w:r>
      <w:r w:rsidRPr="00A623AB">
        <w:rPr>
          <w:color w:val="auto"/>
          <w:sz w:val="20"/>
          <w:szCs w:val="20"/>
        </w:rPr>
        <w:t>tate of Miranda, in accordance to what is set forth in Article 365 of the Organic Code of Criminal Procedure of Venezuela, in order to decide on the admissibility of the formal accusations submitted on July 8, 2008.</w:t>
      </w:r>
      <w:r w:rsidRPr="00A623AB">
        <w:rPr>
          <w:rStyle w:val="FootnoteReference"/>
          <w:color w:val="auto"/>
          <w:sz w:val="20"/>
          <w:szCs w:val="20"/>
          <w:lang w:val="es-ES"/>
        </w:rPr>
        <w:footnoteReference w:id="71"/>
      </w:r>
      <w:r w:rsidRPr="00A623AB">
        <w:rPr>
          <w:color w:val="auto"/>
          <w:sz w:val="20"/>
          <w:szCs w:val="20"/>
        </w:rPr>
        <w:t xml:space="preserve"> During the hearing, the defendants’ attorneys argued that the ordinary statute of limitations operated for the action, and that the </w:t>
      </w:r>
      <w:r w:rsidR="00E5434A" w:rsidRPr="00A623AB">
        <w:rPr>
          <w:color w:val="auto"/>
          <w:sz w:val="20"/>
          <w:szCs w:val="20"/>
        </w:rPr>
        <w:t>extraordinary</w:t>
      </w:r>
      <w:r w:rsidRPr="00A623AB">
        <w:rPr>
          <w:color w:val="auto"/>
          <w:sz w:val="20"/>
          <w:szCs w:val="20"/>
        </w:rPr>
        <w:t xml:space="preserve"> statute of limitations</w:t>
      </w:r>
      <w:r w:rsidR="007E3D56" w:rsidRPr="00A623AB">
        <w:rPr>
          <w:color w:val="auto"/>
          <w:sz w:val="20"/>
          <w:szCs w:val="20"/>
        </w:rPr>
        <w:t xml:space="preserve"> </w:t>
      </w:r>
      <w:r w:rsidR="007E325E" w:rsidRPr="00A623AB">
        <w:rPr>
          <w:color w:val="auto"/>
          <w:sz w:val="20"/>
          <w:szCs w:val="20"/>
        </w:rPr>
        <w:t>also operated</w:t>
      </w:r>
      <w:r w:rsidRPr="00A623AB">
        <w:rPr>
          <w:color w:val="auto"/>
          <w:sz w:val="20"/>
          <w:szCs w:val="20"/>
        </w:rPr>
        <w:t>.</w:t>
      </w:r>
      <w:r w:rsidRPr="00A623AB">
        <w:rPr>
          <w:rStyle w:val="FootnoteReference"/>
          <w:color w:val="auto"/>
          <w:sz w:val="20"/>
          <w:szCs w:val="20"/>
          <w:lang w:val="es-ES"/>
        </w:rPr>
        <w:footnoteReference w:id="72"/>
      </w:r>
      <w:r w:rsidRPr="00A623AB">
        <w:rPr>
          <w:color w:val="auto"/>
          <w:sz w:val="20"/>
          <w:szCs w:val="20"/>
        </w:rPr>
        <w:t xml:space="preserve"> </w:t>
      </w:r>
    </w:p>
    <w:p w14:paraId="3447D5C2" w14:textId="77777777" w:rsidR="00EE4B9B" w:rsidRPr="00A623AB" w:rsidRDefault="00EE4B9B" w:rsidP="00EE4B9B">
      <w:pPr>
        <w:pStyle w:val="ListParagraph"/>
        <w:rPr>
          <w:color w:val="auto"/>
          <w:sz w:val="20"/>
          <w:szCs w:val="20"/>
        </w:rPr>
      </w:pPr>
    </w:p>
    <w:p w14:paraId="42E04885" w14:textId="07F8605B" w:rsidR="00B364AE" w:rsidRPr="00A623AB" w:rsidRDefault="0066215E" w:rsidP="00EE4B9B">
      <w:pPr>
        <w:pStyle w:val="ListParagraph"/>
        <w:numPr>
          <w:ilvl w:val="0"/>
          <w:numId w:val="51"/>
        </w:numPr>
        <w:ind w:left="0" w:firstLine="567"/>
        <w:jc w:val="both"/>
        <w:rPr>
          <w:color w:val="auto"/>
          <w:sz w:val="20"/>
          <w:szCs w:val="20"/>
        </w:rPr>
      </w:pPr>
      <w:r w:rsidRPr="00A623AB">
        <w:rPr>
          <w:color w:val="auto"/>
          <w:sz w:val="20"/>
          <w:szCs w:val="20"/>
        </w:rPr>
        <w:t xml:space="preserve">These exceptions were ruled valid by the Court, which decided that the ordinary statute of limitations operated in relation to Luis Eduardo Mota and Migdalia Galvis, given that </w:t>
      </w:r>
      <w:r w:rsidR="00E5434A" w:rsidRPr="00A623AB">
        <w:rPr>
          <w:color w:val="auto"/>
          <w:sz w:val="20"/>
          <w:szCs w:val="20"/>
        </w:rPr>
        <w:t>over</w:t>
      </w:r>
      <w:r w:rsidRPr="00A623AB">
        <w:rPr>
          <w:color w:val="auto"/>
          <w:sz w:val="20"/>
          <w:szCs w:val="20"/>
        </w:rPr>
        <w:t xml:space="preserve"> 3 years had elapsed between the perpetration of the alleged unlawful act and their first summons as defendants.</w:t>
      </w:r>
      <w:r w:rsidRPr="00A623AB">
        <w:rPr>
          <w:rStyle w:val="FootnoteReference"/>
          <w:color w:val="auto"/>
          <w:sz w:val="20"/>
          <w:szCs w:val="20"/>
          <w:lang w:val="es-ES"/>
        </w:rPr>
        <w:footnoteReference w:id="73"/>
      </w:r>
      <w:r w:rsidRPr="00A623AB">
        <w:rPr>
          <w:color w:val="auto"/>
          <w:sz w:val="20"/>
          <w:szCs w:val="20"/>
        </w:rPr>
        <w:t xml:space="preserve"> The Court also ruled that the </w:t>
      </w:r>
      <w:r w:rsidR="00E5434A" w:rsidRPr="00A623AB">
        <w:rPr>
          <w:color w:val="auto"/>
          <w:sz w:val="20"/>
          <w:szCs w:val="20"/>
        </w:rPr>
        <w:t>extraordinary</w:t>
      </w:r>
      <w:r w:rsidRPr="00A623AB">
        <w:rPr>
          <w:color w:val="auto"/>
          <w:sz w:val="20"/>
          <w:szCs w:val="20"/>
        </w:rPr>
        <w:t xml:space="preserve"> statute of limitations operated in relation to Marianella González and Eglee del Carmen Ascanio, since “from March 7, 2001 (the date of the facts) </w:t>
      </w:r>
      <w:r w:rsidR="00E5434A" w:rsidRPr="00A623AB">
        <w:rPr>
          <w:color w:val="auto"/>
          <w:sz w:val="20"/>
          <w:szCs w:val="20"/>
        </w:rPr>
        <w:t>to</w:t>
      </w:r>
      <w:r w:rsidRPr="00A623AB">
        <w:rPr>
          <w:color w:val="auto"/>
          <w:sz w:val="20"/>
          <w:szCs w:val="20"/>
        </w:rPr>
        <w:t xml:space="preserve"> October 20, 2010 (</w:t>
      </w:r>
      <w:r w:rsidR="00E5434A" w:rsidRPr="00A623AB">
        <w:rPr>
          <w:color w:val="auto"/>
          <w:sz w:val="20"/>
          <w:szCs w:val="20"/>
        </w:rPr>
        <w:t xml:space="preserve">the </w:t>
      </w:r>
      <w:r w:rsidRPr="00A623AB">
        <w:rPr>
          <w:color w:val="auto"/>
          <w:sz w:val="20"/>
          <w:szCs w:val="20"/>
        </w:rPr>
        <w:t>date of the preliminary hearing), nine (9) years, seven (7) months and twelve (12) days had elapsed, and the limitation had not been extended due to causes attributable to the defendants or to their defense.</w:t>
      </w:r>
      <w:r w:rsidR="00E5434A" w:rsidRPr="00A623AB">
        <w:rPr>
          <w:color w:val="auto"/>
          <w:sz w:val="20"/>
          <w:szCs w:val="20"/>
        </w:rPr>
        <w:t>”</w:t>
      </w:r>
      <w:r w:rsidRPr="00A623AB">
        <w:rPr>
          <w:rStyle w:val="FootnoteReference"/>
          <w:color w:val="auto"/>
          <w:sz w:val="20"/>
          <w:szCs w:val="20"/>
          <w:lang w:val="es-ES"/>
        </w:rPr>
        <w:footnoteReference w:id="74"/>
      </w:r>
      <w:r w:rsidRPr="00A623AB">
        <w:rPr>
          <w:color w:val="auto"/>
          <w:sz w:val="20"/>
          <w:szCs w:val="20"/>
        </w:rPr>
        <w:t xml:space="preserve"> Due to the application of the statute of limitations, the Court ruled the </w:t>
      </w:r>
      <w:r w:rsidR="002111B1" w:rsidRPr="00A623AB">
        <w:rPr>
          <w:color w:val="auto"/>
          <w:sz w:val="20"/>
          <w:szCs w:val="20"/>
        </w:rPr>
        <w:t>dismissal</w:t>
      </w:r>
      <w:r w:rsidR="007E3D56" w:rsidRPr="00A623AB">
        <w:rPr>
          <w:color w:val="auto"/>
          <w:sz w:val="20"/>
          <w:szCs w:val="20"/>
        </w:rPr>
        <w:t xml:space="preserve"> </w:t>
      </w:r>
      <w:r w:rsidRPr="00A623AB">
        <w:rPr>
          <w:color w:val="auto"/>
          <w:sz w:val="20"/>
          <w:szCs w:val="20"/>
        </w:rPr>
        <w:t>of all the accused.</w:t>
      </w:r>
      <w:r w:rsidRPr="00A623AB">
        <w:rPr>
          <w:rStyle w:val="FootnoteReference"/>
          <w:color w:val="auto"/>
          <w:sz w:val="20"/>
          <w:szCs w:val="20"/>
          <w:lang w:val="es-ES"/>
        </w:rPr>
        <w:footnoteReference w:id="75"/>
      </w:r>
      <w:r w:rsidRPr="00A623AB">
        <w:rPr>
          <w:color w:val="auto"/>
          <w:sz w:val="20"/>
          <w:szCs w:val="20"/>
        </w:rPr>
        <w:t xml:space="preserve"> </w:t>
      </w:r>
    </w:p>
    <w:p w14:paraId="314AF660" w14:textId="77777777" w:rsidR="002A6B05" w:rsidRPr="00A623AB" w:rsidRDefault="002A6B05" w:rsidP="002A6B05">
      <w:pPr>
        <w:rPr>
          <w:rFonts w:ascii="Cambria" w:hAnsi="Cambria"/>
          <w:sz w:val="20"/>
          <w:szCs w:val="20"/>
        </w:rPr>
      </w:pPr>
    </w:p>
    <w:p w14:paraId="23DA9579" w14:textId="77777777" w:rsidR="002A6B05" w:rsidRPr="00A623AB" w:rsidRDefault="0066215E" w:rsidP="00120626">
      <w:pPr>
        <w:pStyle w:val="Heading1"/>
        <w:numPr>
          <w:ilvl w:val="0"/>
          <w:numId w:val="65"/>
        </w:numPr>
        <w:spacing w:before="0"/>
        <w:jc w:val="both"/>
        <w:rPr>
          <w:rFonts w:ascii="Cambria" w:eastAsia="Yu Gothic Light" w:hAnsi="Cambria"/>
          <w:color w:val="auto"/>
          <w:sz w:val="20"/>
          <w:szCs w:val="20"/>
          <w:lang w:val="es-ES"/>
        </w:rPr>
      </w:pPr>
      <w:bookmarkStart w:id="24" w:name="_Toc217309578"/>
      <w:r w:rsidRPr="00A623AB">
        <w:rPr>
          <w:rFonts w:ascii="Cambria" w:eastAsia="Cambria" w:hAnsi="Cambria" w:cs="Cambria"/>
          <w:color w:val="auto"/>
          <w:sz w:val="20"/>
          <w:szCs w:val="20"/>
        </w:rPr>
        <w:t>ANALYSIS OF LAW</w:t>
      </w:r>
      <w:bookmarkEnd w:id="17"/>
      <w:bookmarkEnd w:id="18"/>
      <w:bookmarkEnd w:id="24"/>
    </w:p>
    <w:p w14:paraId="13A4F935" w14:textId="77777777" w:rsidR="002A6B05" w:rsidRPr="00A623AB" w:rsidRDefault="002A6B05" w:rsidP="002A6B05">
      <w:pPr>
        <w:jc w:val="both"/>
        <w:rPr>
          <w:rFonts w:ascii="Cambria" w:hAnsi="Cambria" w:cs="Calibri"/>
          <w:bCs/>
          <w:sz w:val="20"/>
          <w:szCs w:val="20"/>
          <w:lang w:val="es-ES"/>
        </w:rPr>
      </w:pPr>
    </w:p>
    <w:p w14:paraId="3AF92D36" w14:textId="77777777" w:rsidR="002A6B05" w:rsidRPr="00A623AB" w:rsidRDefault="0066215E" w:rsidP="00550322">
      <w:pPr>
        <w:pStyle w:val="Heading2"/>
        <w:numPr>
          <w:ilvl w:val="0"/>
          <w:numId w:val="53"/>
        </w:numPr>
        <w:jc w:val="both"/>
        <w:rPr>
          <w:rFonts w:ascii="Cambria" w:eastAsia="Cambria" w:hAnsi="Cambria" w:cs="Cambria"/>
          <w:i w:val="0"/>
          <w:iCs w:val="0"/>
          <w:sz w:val="20"/>
          <w:szCs w:val="20"/>
          <w:u w:color="000000"/>
          <w:lang w:eastAsia="es-ES"/>
        </w:rPr>
      </w:pPr>
      <w:bookmarkStart w:id="25" w:name="_Toc217309579"/>
      <w:r w:rsidRPr="00A623AB">
        <w:rPr>
          <w:rFonts w:ascii="Cambria" w:eastAsia="Cambria" w:hAnsi="Cambria" w:cs="Cambria"/>
          <w:i w:val="0"/>
          <w:iCs w:val="0"/>
          <w:sz w:val="20"/>
          <w:szCs w:val="20"/>
          <w:bdr w:val="nil"/>
        </w:rPr>
        <w:lastRenderedPageBreak/>
        <w:t>Right to life (Article 4.1)</w:t>
      </w:r>
      <w:r w:rsidR="008D1B3E" w:rsidRPr="00A623AB">
        <w:rPr>
          <w:rFonts w:ascii="Cambria" w:eastAsia="Cambria" w:hAnsi="Cambria" w:cs="Cambria"/>
          <w:i w:val="0"/>
          <w:iCs w:val="0"/>
          <w:sz w:val="20"/>
          <w:szCs w:val="20"/>
          <w:bdr w:val="nil"/>
        </w:rPr>
        <w:t>,</w:t>
      </w:r>
      <w:r w:rsidRPr="00A623AB">
        <w:rPr>
          <w:rStyle w:val="FootnoteReference"/>
          <w:rFonts w:ascii="Cambria" w:hAnsi="Cambria"/>
          <w:i w:val="0"/>
          <w:iCs w:val="0"/>
          <w:sz w:val="20"/>
          <w:szCs w:val="20"/>
          <w:lang w:val="es-ES"/>
        </w:rPr>
        <w:footnoteReference w:id="76"/>
      </w:r>
      <w:r w:rsidRPr="00A623AB">
        <w:rPr>
          <w:rFonts w:ascii="Cambria" w:eastAsia="Cambria" w:hAnsi="Cambria" w:cs="Cambria"/>
          <w:i w:val="0"/>
          <w:iCs w:val="0"/>
          <w:sz w:val="20"/>
          <w:szCs w:val="20"/>
          <w:bdr w:val="nil"/>
        </w:rPr>
        <w:t xml:space="preserve"> right to personal integrity (Articles 5.1 and 5.2)</w:t>
      </w:r>
      <w:r w:rsidR="008D1B3E" w:rsidRPr="00A623AB">
        <w:rPr>
          <w:rFonts w:ascii="Cambria" w:eastAsia="Cambria" w:hAnsi="Cambria" w:cs="Cambria"/>
          <w:i w:val="0"/>
          <w:iCs w:val="0"/>
          <w:sz w:val="20"/>
          <w:szCs w:val="20"/>
          <w:bdr w:val="nil"/>
        </w:rPr>
        <w:t>,</w:t>
      </w:r>
      <w:r w:rsidRPr="00A623AB">
        <w:rPr>
          <w:rStyle w:val="FootnoteReference"/>
          <w:rFonts w:ascii="Cambria" w:hAnsi="Cambria"/>
          <w:i w:val="0"/>
          <w:iCs w:val="0"/>
          <w:sz w:val="20"/>
          <w:szCs w:val="20"/>
          <w:lang w:val="es-ES"/>
        </w:rPr>
        <w:footnoteReference w:id="77"/>
      </w:r>
      <w:r w:rsidRPr="00A623AB">
        <w:rPr>
          <w:rFonts w:ascii="Cambria" w:eastAsia="Cambria" w:hAnsi="Cambria" w:cs="Cambria"/>
          <w:i w:val="0"/>
          <w:iCs w:val="0"/>
          <w:sz w:val="20"/>
          <w:szCs w:val="20"/>
          <w:bdr w:val="nil"/>
        </w:rPr>
        <w:t xml:space="preserve"> and right to health (Article 26)</w:t>
      </w:r>
      <w:r w:rsidR="008D1B3E" w:rsidRPr="00A623AB">
        <w:rPr>
          <w:rFonts w:ascii="Cambria" w:eastAsia="Cambria" w:hAnsi="Cambria" w:cs="Cambria"/>
          <w:i w:val="0"/>
          <w:iCs w:val="0"/>
          <w:sz w:val="20"/>
          <w:szCs w:val="20"/>
          <w:bdr w:val="nil"/>
        </w:rPr>
        <w:t>,</w:t>
      </w:r>
      <w:r w:rsidRPr="00A623AB">
        <w:rPr>
          <w:rStyle w:val="FootnoteReference"/>
          <w:rFonts w:ascii="Cambria" w:hAnsi="Cambria"/>
          <w:i w:val="0"/>
          <w:iCs w:val="0"/>
          <w:sz w:val="20"/>
          <w:szCs w:val="20"/>
          <w:lang w:val="es-ES"/>
        </w:rPr>
        <w:footnoteReference w:id="78"/>
      </w:r>
      <w:r w:rsidRPr="00A623AB">
        <w:rPr>
          <w:rFonts w:ascii="Cambria" w:eastAsia="Cambria" w:hAnsi="Cambria" w:cs="Cambria"/>
          <w:i w:val="0"/>
          <w:iCs w:val="0"/>
          <w:sz w:val="20"/>
          <w:szCs w:val="20"/>
          <w:bdr w:val="nil"/>
        </w:rPr>
        <w:t xml:space="preserve"> in relation to Articles 1.1</w:t>
      </w:r>
      <w:r w:rsidRPr="00A623AB">
        <w:rPr>
          <w:rStyle w:val="FootnoteReference"/>
          <w:rFonts w:ascii="Cambria" w:hAnsi="Cambria"/>
          <w:i w:val="0"/>
          <w:iCs w:val="0"/>
          <w:sz w:val="20"/>
          <w:szCs w:val="20"/>
          <w:lang w:val="es-ES"/>
        </w:rPr>
        <w:footnoteReference w:id="79"/>
      </w:r>
      <w:r w:rsidRPr="00A623AB">
        <w:rPr>
          <w:rFonts w:ascii="Cambria" w:eastAsia="Cambria" w:hAnsi="Cambria" w:cs="Cambria"/>
          <w:i w:val="0"/>
          <w:iCs w:val="0"/>
          <w:sz w:val="20"/>
          <w:szCs w:val="20"/>
          <w:bdr w:val="nil"/>
        </w:rPr>
        <w:t xml:space="preserve"> and 2</w:t>
      </w:r>
      <w:r w:rsidRPr="00A623AB">
        <w:rPr>
          <w:rStyle w:val="FootnoteReference"/>
          <w:rFonts w:ascii="Cambria" w:hAnsi="Cambria"/>
          <w:i w:val="0"/>
          <w:iCs w:val="0"/>
          <w:sz w:val="20"/>
          <w:szCs w:val="20"/>
          <w:lang w:val="es-ES"/>
        </w:rPr>
        <w:footnoteReference w:id="80"/>
      </w:r>
      <w:r w:rsidRPr="00A623AB">
        <w:rPr>
          <w:rFonts w:ascii="Cambria" w:eastAsia="Cambria" w:hAnsi="Cambria" w:cs="Cambria"/>
          <w:i w:val="0"/>
          <w:iCs w:val="0"/>
          <w:sz w:val="20"/>
          <w:szCs w:val="20"/>
          <w:bdr w:val="nil"/>
        </w:rPr>
        <w:t xml:space="preserve"> of the American Convention</w:t>
      </w:r>
      <w:bookmarkEnd w:id="25"/>
    </w:p>
    <w:p w14:paraId="04484AFC" w14:textId="77777777" w:rsidR="00714F11" w:rsidRPr="00A623AB" w:rsidRDefault="00714F11" w:rsidP="00913B80">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jc w:val="both"/>
        <w:rPr>
          <w:rFonts w:ascii="Cambria" w:eastAsia="Batang" w:hAnsi="Cambria"/>
          <w:sz w:val="20"/>
          <w:szCs w:val="20"/>
          <w:bdr w:val="none" w:sz="0" w:space="0" w:color="auto"/>
        </w:rPr>
      </w:pPr>
    </w:p>
    <w:p w14:paraId="64715B45" w14:textId="77777777" w:rsidR="00714F11" w:rsidRPr="00A623AB" w:rsidRDefault="0066215E" w:rsidP="00714F11">
      <w:pPr>
        <w:pStyle w:val="ListParagraph"/>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567"/>
        <w:jc w:val="both"/>
        <w:rPr>
          <w:rFonts w:eastAsia="Batang"/>
          <w:color w:val="auto"/>
          <w:sz w:val="20"/>
          <w:szCs w:val="20"/>
          <w:bdr w:val="none" w:sz="0" w:space="0" w:color="auto"/>
        </w:rPr>
      </w:pPr>
      <w:r w:rsidRPr="00A623AB">
        <w:rPr>
          <w:color w:val="auto"/>
          <w:sz w:val="20"/>
          <w:szCs w:val="20"/>
        </w:rPr>
        <w:t>The right to life is a basic human right, the full exercise whereof is a prerequisite for the enjoyment of all other human rights.</w:t>
      </w:r>
      <w:r w:rsidRPr="00A623AB">
        <w:rPr>
          <w:color w:val="auto"/>
          <w:sz w:val="20"/>
          <w:szCs w:val="20"/>
          <w:vertAlign w:val="superscript"/>
          <w:lang w:val="es-ES"/>
        </w:rPr>
        <w:footnoteReference w:id="81"/>
      </w:r>
      <w:r w:rsidRPr="00A623AB">
        <w:rPr>
          <w:color w:val="auto"/>
          <w:sz w:val="20"/>
          <w:szCs w:val="20"/>
        </w:rPr>
        <w:t xml:space="preserve"> Compliance with the duties enshrined in Article 4 of the American Convention, in relation to Article 1(1) thereof, does not only presuppose that no person can be arbitrarily deprived of their life, but also requires, pursuant to their obligation to guarantee the full and free exercise of human rights, that the States adopt any and all necessary measures to protect and preserve the right to life of the individuals under their jurisdiction.</w:t>
      </w:r>
      <w:r w:rsidRPr="00A623AB">
        <w:rPr>
          <w:color w:val="auto"/>
          <w:sz w:val="20"/>
          <w:szCs w:val="20"/>
          <w:vertAlign w:val="superscript"/>
          <w:lang w:val="es-ES"/>
        </w:rPr>
        <w:footnoteReference w:id="82"/>
      </w:r>
      <w:r w:rsidRPr="00A623AB">
        <w:rPr>
          <w:color w:val="auto"/>
          <w:sz w:val="20"/>
          <w:szCs w:val="20"/>
        </w:rPr>
        <w:t xml:space="preserve"> </w:t>
      </w:r>
    </w:p>
    <w:p w14:paraId="6BC748F8" w14:textId="77777777" w:rsidR="00F2657E" w:rsidRPr="00A623AB" w:rsidRDefault="00F2657E" w:rsidP="00F2657E">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jc w:val="both"/>
        <w:rPr>
          <w:rFonts w:ascii="Cambria" w:eastAsia="Batang" w:hAnsi="Cambria"/>
          <w:sz w:val="20"/>
          <w:szCs w:val="20"/>
          <w:bdr w:val="none" w:sz="0" w:space="0" w:color="auto"/>
        </w:rPr>
      </w:pPr>
    </w:p>
    <w:p w14:paraId="5747494E" w14:textId="54C7CD71" w:rsidR="00714F11" w:rsidRPr="00A623AB" w:rsidRDefault="0066215E" w:rsidP="00714F11">
      <w:pPr>
        <w:pStyle w:val="ListParagraph"/>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567"/>
        <w:jc w:val="both"/>
        <w:rPr>
          <w:rFonts w:eastAsia="Batang"/>
          <w:color w:val="auto"/>
          <w:sz w:val="20"/>
          <w:szCs w:val="20"/>
          <w:bdr w:val="none" w:sz="0" w:space="0" w:color="auto"/>
        </w:rPr>
      </w:pPr>
      <w:r w:rsidRPr="00A623AB">
        <w:rPr>
          <w:color w:val="auto"/>
          <w:sz w:val="20"/>
          <w:szCs w:val="20"/>
        </w:rPr>
        <w:t>These obligations are equally applicable to the right to personal integrity.</w:t>
      </w:r>
      <w:r w:rsidRPr="00A623AB">
        <w:rPr>
          <w:rStyle w:val="FootnoteReference"/>
          <w:color w:val="auto"/>
          <w:sz w:val="20"/>
          <w:szCs w:val="20"/>
          <w:lang w:val="es-ES"/>
        </w:rPr>
        <w:footnoteReference w:id="83"/>
      </w:r>
      <w:r w:rsidRPr="00A623AB">
        <w:rPr>
          <w:color w:val="auto"/>
          <w:sz w:val="20"/>
          <w:szCs w:val="20"/>
        </w:rPr>
        <w:t xml:space="preserve"> The </w:t>
      </w:r>
      <w:r w:rsidR="005C2078" w:rsidRPr="00A623AB">
        <w:rPr>
          <w:color w:val="auto"/>
          <w:sz w:val="20"/>
          <w:szCs w:val="20"/>
        </w:rPr>
        <w:t>bodies of the i</w:t>
      </w:r>
      <w:r w:rsidRPr="00A623AB">
        <w:rPr>
          <w:color w:val="auto"/>
          <w:sz w:val="20"/>
          <w:szCs w:val="20"/>
        </w:rPr>
        <w:t xml:space="preserve">nter-American </w:t>
      </w:r>
      <w:r w:rsidR="005C2078" w:rsidRPr="00A623AB">
        <w:rPr>
          <w:color w:val="auto"/>
          <w:sz w:val="20"/>
          <w:szCs w:val="20"/>
        </w:rPr>
        <w:t>s</w:t>
      </w:r>
      <w:r w:rsidRPr="00A623AB">
        <w:rPr>
          <w:color w:val="auto"/>
          <w:sz w:val="20"/>
          <w:szCs w:val="20"/>
        </w:rPr>
        <w:t>ystem have recognized that the right to personal integrity is directly and immediately linked to health care, and that the lack of adequate medical treatment may result in a violation of Article 5.1 of the Convention.</w:t>
      </w:r>
      <w:r w:rsidRPr="00A623AB">
        <w:rPr>
          <w:rStyle w:val="FootnoteReference"/>
          <w:rFonts w:cstheme="minorHAnsi"/>
          <w:color w:val="auto"/>
          <w:sz w:val="20"/>
          <w:szCs w:val="20"/>
          <w:lang w:val="es-ES"/>
        </w:rPr>
        <w:footnoteReference w:id="84"/>
      </w:r>
      <w:r w:rsidRPr="00A623AB">
        <w:rPr>
          <w:color w:val="auto"/>
          <w:sz w:val="20"/>
          <w:szCs w:val="20"/>
        </w:rPr>
        <w:t xml:space="preserve"> </w:t>
      </w:r>
      <w:r w:rsidR="006373C8" w:rsidRPr="006373C8">
        <w:rPr>
          <w:color w:val="auto"/>
          <w:sz w:val="20"/>
          <w:szCs w:val="20"/>
        </w:rPr>
        <w:t>Therefore, the protection of the right to personal integrity implies the regulation of health services at the domestic level, as well as the implementation of a series of mechanisms aimed at ensuring the effectiveness of such regulation</w:t>
      </w:r>
      <w:r w:rsidR="006373C8">
        <w:rPr>
          <w:rStyle w:val="FootnoteReference"/>
          <w:color w:val="auto"/>
          <w:sz w:val="20"/>
          <w:szCs w:val="20"/>
        </w:rPr>
        <w:footnoteReference w:id="85"/>
      </w:r>
      <w:r w:rsidR="006373C8" w:rsidRPr="006373C8">
        <w:rPr>
          <w:color w:val="auto"/>
          <w:sz w:val="20"/>
          <w:szCs w:val="20"/>
        </w:rPr>
        <w:t>.</w:t>
      </w:r>
      <w:r w:rsidR="006373C8">
        <w:rPr>
          <w:color w:val="auto"/>
          <w:sz w:val="20"/>
          <w:szCs w:val="20"/>
        </w:rPr>
        <w:t xml:space="preserve"> </w:t>
      </w:r>
      <w:r w:rsidRPr="00A623AB">
        <w:rPr>
          <w:color w:val="auto"/>
          <w:sz w:val="20"/>
          <w:szCs w:val="20"/>
        </w:rPr>
        <w:t>Likewise, they have made reference to the full justiciability and autonomy of the right to health by virtue of Article 26 of the American Convention and the obligations that derive thereof.</w:t>
      </w:r>
      <w:r w:rsidRPr="00A623AB">
        <w:rPr>
          <w:rStyle w:val="FootnoteReference"/>
          <w:rFonts w:cstheme="minorHAnsi"/>
          <w:color w:val="auto"/>
          <w:sz w:val="20"/>
          <w:szCs w:val="20"/>
          <w:lang w:val="es-ES"/>
        </w:rPr>
        <w:footnoteReference w:id="86"/>
      </w:r>
      <w:r w:rsidRPr="00A623AB">
        <w:rPr>
          <w:color w:val="auto"/>
          <w:sz w:val="20"/>
          <w:szCs w:val="20"/>
        </w:rPr>
        <w:t xml:space="preserve"> The Commission has repeatedly stated that the right to health is one of the economic and social norms mentioned in Article 26 of the Convention and that, in this regard, State Parties are under the obligation to seek the progressive development of </w:t>
      </w:r>
      <w:r w:rsidR="00A7694C" w:rsidRPr="00A623AB">
        <w:rPr>
          <w:color w:val="auto"/>
          <w:sz w:val="20"/>
          <w:szCs w:val="20"/>
        </w:rPr>
        <w:t>this</w:t>
      </w:r>
      <w:r w:rsidR="007E3D56" w:rsidRPr="00A623AB">
        <w:rPr>
          <w:color w:val="auto"/>
          <w:sz w:val="20"/>
          <w:szCs w:val="20"/>
        </w:rPr>
        <w:t xml:space="preserve"> </w:t>
      </w:r>
      <w:r w:rsidRPr="00A623AB">
        <w:rPr>
          <w:color w:val="auto"/>
          <w:sz w:val="20"/>
          <w:szCs w:val="20"/>
        </w:rPr>
        <w:t>right, and to respect, guarantee and take the necessary measures to enforce such right.</w:t>
      </w:r>
      <w:r w:rsidRPr="00A623AB">
        <w:rPr>
          <w:rStyle w:val="FootnoteReference"/>
          <w:rFonts w:cstheme="minorHAnsi"/>
          <w:color w:val="auto"/>
          <w:sz w:val="20"/>
          <w:szCs w:val="20"/>
          <w:lang w:val="es-ES"/>
        </w:rPr>
        <w:footnoteReference w:id="87"/>
      </w:r>
      <w:r w:rsidRPr="00A623AB">
        <w:rPr>
          <w:color w:val="auto"/>
          <w:sz w:val="20"/>
          <w:szCs w:val="20"/>
        </w:rPr>
        <w:t xml:space="preserve"> In cases in which the State has not guaranteed the right to health to a person deprived of their liberty, the Court has previously found that there is a violation to Articles 5.1 and 26 of the American Convention.</w:t>
      </w:r>
      <w:r w:rsidRPr="00A623AB">
        <w:rPr>
          <w:rStyle w:val="FootnoteReference"/>
          <w:rFonts w:cstheme="minorHAnsi"/>
          <w:color w:val="auto"/>
          <w:sz w:val="20"/>
          <w:szCs w:val="20"/>
          <w:lang w:val="es-ES"/>
        </w:rPr>
        <w:footnoteReference w:id="88"/>
      </w:r>
    </w:p>
    <w:p w14:paraId="64D40EE0" w14:textId="77777777" w:rsidR="00913B80" w:rsidRPr="00A623AB" w:rsidRDefault="00913B80" w:rsidP="00913B80">
      <w:pPr>
        <w:pStyle w:val="parrafos"/>
        <w:rPr>
          <w:color w:val="auto"/>
          <w:lang w:val="en-US"/>
        </w:rPr>
      </w:pPr>
    </w:p>
    <w:p w14:paraId="364B838A" w14:textId="34125C95" w:rsidR="00913B80" w:rsidRPr="00A623AB" w:rsidRDefault="0066215E" w:rsidP="00913B80">
      <w:pPr>
        <w:pStyle w:val="ListParagraph"/>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567"/>
        <w:jc w:val="both"/>
        <w:rPr>
          <w:color w:val="auto"/>
          <w:sz w:val="20"/>
          <w:szCs w:val="20"/>
        </w:rPr>
      </w:pPr>
      <w:r w:rsidRPr="00A623AB">
        <w:rPr>
          <w:color w:val="auto"/>
          <w:sz w:val="20"/>
          <w:szCs w:val="20"/>
        </w:rPr>
        <w:t>In this regard, the Court has recognized that health is a fundamental human right</w:t>
      </w:r>
      <w:r w:rsidR="005C2078" w:rsidRPr="00A623AB">
        <w:rPr>
          <w:color w:val="auto"/>
          <w:sz w:val="20"/>
          <w:szCs w:val="20"/>
        </w:rPr>
        <w:t>, which is</w:t>
      </w:r>
      <w:r w:rsidRPr="00A623AB">
        <w:rPr>
          <w:color w:val="auto"/>
          <w:sz w:val="20"/>
          <w:szCs w:val="20"/>
        </w:rPr>
        <w:t xml:space="preserve"> essential for the adequate exercise of the other human rights, and that every individual has the right to enjoy the highest attainable standard of health that allows him or her to live a full life, understanding health not only as the absence of disease or illness, but also as a state of complete physical, mental and social well-being, derived from a lifestyle that allows the individual to achieve an overall balance.</w:t>
      </w:r>
      <w:r w:rsidRPr="00A623AB">
        <w:rPr>
          <w:rStyle w:val="FootnoteReference"/>
          <w:color w:val="auto"/>
          <w:sz w:val="20"/>
          <w:szCs w:val="20"/>
        </w:rPr>
        <w:footnoteReference w:id="89"/>
      </w:r>
      <w:r w:rsidRPr="00A623AB">
        <w:rPr>
          <w:color w:val="auto"/>
          <w:sz w:val="20"/>
          <w:szCs w:val="20"/>
        </w:rPr>
        <w:t xml:space="preserve"> Both to analyze possible </w:t>
      </w:r>
      <w:r w:rsidRPr="00A623AB">
        <w:rPr>
          <w:color w:val="auto"/>
          <w:sz w:val="20"/>
          <w:szCs w:val="20"/>
        </w:rPr>
        <w:lastRenderedPageBreak/>
        <w:t>violations to the rights to life and personal integrity related to health and to determine the obligations that are autonomously demandable under the right to health protected in Article 26 of the Convention, the Commission and the Court have taken into consideration the components of availability, accessibility, acceptability and quality of medical services, indicating that said obligations must be oriented to the satisfaction of such components.</w:t>
      </w:r>
      <w:r w:rsidRPr="00A623AB">
        <w:rPr>
          <w:rStyle w:val="FootnoteReference"/>
          <w:color w:val="auto"/>
          <w:sz w:val="20"/>
          <w:szCs w:val="20"/>
        </w:rPr>
        <w:footnoteReference w:id="90"/>
      </w:r>
      <w:r w:rsidRPr="00A623AB">
        <w:rPr>
          <w:color w:val="auto"/>
          <w:sz w:val="20"/>
          <w:szCs w:val="20"/>
        </w:rPr>
        <w:t xml:space="preserve"> </w:t>
      </w:r>
    </w:p>
    <w:p w14:paraId="0A0208A6" w14:textId="77777777" w:rsidR="00866305" w:rsidRPr="00A623AB" w:rsidRDefault="00866305" w:rsidP="00866305">
      <w:pPr>
        <w:rPr>
          <w:rFonts w:ascii="Cambria" w:hAnsi="Cambria"/>
          <w:sz w:val="20"/>
          <w:szCs w:val="20"/>
        </w:rPr>
      </w:pPr>
    </w:p>
    <w:p w14:paraId="0B126EAC" w14:textId="35526650" w:rsidR="00866305" w:rsidRPr="00A623AB" w:rsidRDefault="0066215E" w:rsidP="00866305">
      <w:pPr>
        <w:pStyle w:val="ListParagraph"/>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567"/>
        <w:jc w:val="both"/>
        <w:rPr>
          <w:color w:val="auto"/>
          <w:sz w:val="20"/>
          <w:szCs w:val="20"/>
        </w:rPr>
      </w:pPr>
      <w:r w:rsidRPr="00A623AB">
        <w:rPr>
          <w:color w:val="auto"/>
          <w:sz w:val="20"/>
          <w:szCs w:val="20"/>
        </w:rPr>
        <w:t xml:space="preserve">The lack of appropriate medical care </w:t>
      </w:r>
      <w:r w:rsidR="00866818">
        <w:rPr>
          <w:color w:val="auto"/>
          <w:sz w:val="20"/>
          <w:szCs w:val="20"/>
        </w:rPr>
        <w:t>“</w:t>
      </w:r>
      <w:r w:rsidRPr="00A623AB">
        <w:rPr>
          <w:color w:val="auto"/>
          <w:sz w:val="20"/>
          <w:szCs w:val="20"/>
        </w:rPr>
        <w:t xml:space="preserve">does not satisfy the minimum material requirements of humane treatment </w:t>
      </w:r>
      <w:r w:rsidRPr="00866818">
        <w:rPr>
          <w:color w:val="auto"/>
          <w:sz w:val="20"/>
          <w:szCs w:val="20"/>
        </w:rPr>
        <w:t>due because</w:t>
      </w:r>
      <w:r w:rsidRPr="00A623AB">
        <w:rPr>
          <w:color w:val="auto"/>
          <w:sz w:val="20"/>
          <w:szCs w:val="20"/>
        </w:rPr>
        <w:t xml:space="preserve"> of a person’s nature as a human being pursuant to Article 5 of the American Convention.”</w:t>
      </w:r>
      <w:r w:rsidRPr="00A623AB">
        <w:rPr>
          <w:rStyle w:val="FootnoteReference"/>
          <w:color w:val="auto"/>
          <w:sz w:val="20"/>
          <w:szCs w:val="20"/>
          <w:lang w:val="es-ES"/>
        </w:rPr>
        <w:footnoteReference w:id="91"/>
      </w:r>
      <w:r w:rsidRPr="00A623AB">
        <w:rPr>
          <w:color w:val="auto"/>
          <w:sz w:val="20"/>
          <w:szCs w:val="20"/>
        </w:rPr>
        <w:t xml:space="preserve"> The right to personal integrity is related to the right to health, understood as an autonomous right deriving from Article 26 of the Convention, and to the detention conditions of the persons deprived of their liberty.</w:t>
      </w:r>
      <w:r w:rsidRPr="00A623AB">
        <w:rPr>
          <w:rStyle w:val="FootnoteReference"/>
          <w:color w:val="auto"/>
          <w:sz w:val="20"/>
          <w:szCs w:val="20"/>
          <w:lang w:val="es-ES"/>
        </w:rPr>
        <w:footnoteReference w:id="92"/>
      </w:r>
      <w:r w:rsidRPr="00A623AB">
        <w:rPr>
          <w:color w:val="auto"/>
          <w:sz w:val="20"/>
          <w:szCs w:val="20"/>
        </w:rPr>
        <w:t xml:space="preserve"> Thus, the Commission recalls that, taking into account the interpretation of Article 29 of the American Convention, Article 26, as seen in light of Articles 1.1 and 2 of the same instrument, gives rise to at least the following immediate and enforceable obligations: i) general obligations to respect and guarantee, ii) application of the principle of non-discrimination to economic, social and cultural rights, iii) obligations to take steps or measures to achieve the enjoyment of the rights enshrined in that article, and iv) to provide adequate and effective resources to protect those rights. The methodologies or sources of analysis that are relevant to each of these obligations shall be set forth according to the circumstances of each case.</w:t>
      </w:r>
    </w:p>
    <w:p w14:paraId="5D2C6FF5" w14:textId="77777777" w:rsidR="00714F11" w:rsidRPr="00A623AB" w:rsidRDefault="00714F11" w:rsidP="00866305">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jc w:val="both"/>
        <w:rPr>
          <w:rFonts w:ascii="Cambria" w:eastAsia="Batang" w:hAnsi="Cambria"/>
          <w:sz w:val="20"/>
          <w:szCs w:val="20"/>
          <w:bdr w:val="none" w:sz="0" w:space="0" w:color="auto"/>
        </w:rPr>
      </w:pPr>
    </w:p>
    <w:p w14:paraId="0CD0020B" w14:textId="77777777" w:rsidR="00714F11" w:rsidRPr="00A623AB" w:rsidRDefault="0066215E" w:rsidP="00550322">
      <w:pPr>
        <w:pStyle w:val="ListParagraph"/>
        <w:numPr>
          <w:ilvl w:val="0"/>
          <w:numId w:val="55"/>
        </w:numPr>
        <w:rPr>
          <w:b/>
          <w:color w:val="auto"/>
          <w:sz w:val="20"/>
          <w:szCs w:val="20"/>
        </w:rPr>
      </w:pPr>
      <w:r w:rsidRPr="00A623AB">
        <w:rPr>
          <w:b/>
          <w:bCs/>
          <w:color w:val="auto"/>
          <w:sz w:val="20"/>
          <w:szCs w:val="20"/>
        </w:rPr>
        <w:t xml:space="preserve">The State’s obligation to provide physical and mental health services to persons deprived of their liberty </w:t>
      </w:r>
    </w:p>
    <w:p w14:paraId="22EB1306" w14:textId="77777777" w:rsidR="00714F11" w:rsidRPr="00A623AB" w:rsidRDefault="00714F11" w:rsidP="00714F11">
      <w:pPr>
        <w:pStyle w:val="ListParagraph"/>
        <w:ind w:left="1080"/>
        <w:rPr>
          <w:b/>
          <w:color w:val="auto"/>
          <w:sz w:val="20"/>
          <w:szCs w:val="20"/>
        </w:rPr>
      </w:pPr>
    </w:p>
    <w:p w14:paraId="2F459B68" w14:textId="49F25A87" w:rsidR="00866305" w:rsidRPr="00A623AB" w:rsidRDefault="0066215E" w:rsidP="00866305">
      <w:pPr>
        <w:pStyle w:val="ListParagraph"/>
        <w:numPr>
          <w:ilvl w:val="0"/>
          <w:numId w:val="51"/>
        </w:numPr>
        <w:ind w:left="0" w:firstLine="567"/>
        <w:jc w:val="both"/>
        <w:rPr>
          <w:color w:val="auto"/>
          <w:sz w:val="20"/>
          <w:szCs w:val="20"/>
        </w:rPr>
      </w:pPr>
      <w:r w:rsidRPr="00A623AB">
        <w:rPr>
          <w:color w:val="auto"/>
          <w:sz w:val="20"/>
          <w:szCs w:val="20"/>
        </w:rPr>
        <w:t xml:space="preserve">The settled case law of the </w:t>
      </w:r>
      <w:r w:rsidR="00D847F7" w:rsidRPr="00A623AB">
        <w:rPr>
          <w:color w:val="auto"/>
          <w:sz w:val="20"/>
          <w:szCs w:val="20"/>
        </w:rPr>
        <w:t>i</w:t>
      </w:r>
      <w:r w:rsidRPr="00A623AB">
        <w:rPr>
          <w:color w:val="auto"/>
          <w:sz w:val="20"/>
          <w:szCs w:val="20"/>
        </w:rPr>
        <w:t xml:space="preserve">nter-American </w:t>
      </w:r>
      <w:r w:rsidR="00D847F7" w:rsidRPr="00A623AB">
        <w:rPr>
          <w:color w:val="auto"/>
          <w:sz w:val="20"/>
          <w:szCs w:val="20"/>
        </w:rPr>
        <w:t>s</w:t>
      </w:r>
      <w:r w:rsidRPr="00A623AB">
        <w:rPr>
          <w:color w:val="auto"/>
          <w:sz w:val="20"/>
          <w:szCs w:val="20"/>
        </w:rPr>
        <w:t>ystem has established that, when dealing with persons who have been deprived of their liberty, the State is in a special position of guarantor of their rights, because “a special relationship and interaction of subordination is created between the person deprived of liberty and the State, characterized by the particular intensity with which the State can regulate his or her rights and obligations, and by the inherent circumstances of imprisonment, where the prisoner is prevented from satisfying, on his own account, a series of basic needs that are essential for leading a decent life.”</w:t>
      </w:r>
      <w:r w:rsidRPr="00A623AB">
        <w:rPr>
          <w:rStyle w:val="FootnoteReference"/>
          <w:color w:val="auto"/>
          <w:sz w:val="20"/>
          <w:szCs w:val="20"/>
          <w:lang w:val="es-ES"/>
        </w:rPr>
        <w:footnoteReference w:id="93"/>
      </w:r>
      <w:r w:rsidR="008D1B3E" w:rsidRPr="00A623AB">
        <w:rPr>
          <w:color w:val="auto"/>
          <w:sz w:val="20"/>
          <w:szCs w:val="20"/>
        </w:rPr>
        <w:t xml:space="preserve"> </w:t>
      </w:r>
      <w:r w:rsidRPr="00A623AB">
        <w:rPr>
          <w:color w:val="auto"/>
          <w:sz w:val="20"/>
          <w:szCs w:val="20"/>
        </w:rPr>
        <w:t>In addition, the Court has underscored that, “whenever an individual is deprived of liberty in normal health and subsequently displays health problems, the State must provide a satisfactory and credible explanation for this situation and disprove the allegations of its responsibility with adequate probative elements.”</w:t>
      </w:r>
      <w:r w:rsidRPr="00A623AB">
        <w:rPr>
          <w:rStyle w:val="FootnoteReference"/>
          <w:color w:val="auto"/>
          <w:sz w:val="20"/>
          <w:szCs w:val="20"/>
          <w:lang w:val="es-ES"/>
        </w:rPr>
        <w:footnoteReference w:id="94"/>
      </w:r>
      <w:r w:rsidRPr="00A623AB">
        <w:rPr>
          <w:color w:val="auto"/>
          <w:sz w:val="20"/>
          <w:szCs w:val="20"/>
        </w:rPr>
        <w:t xml:space="preserve"> That is, the absence of a satisfactory explanation on the part of the State leads to the presumption of State responsibility for the injuries revealed by a person who has been in the custody of state agents.</w:t>
      </w:r>
      <w:r w:rsidRPr="00A623AB">
        <w:rPr>
          <w:rStyle w:val="FootnoteReference"/>
          <w:color w:val="auto"/>
          <w:sz w:val="20"/>
          <w:szCs w:val="20"/>
          <w:lang w:val="es-ES"/>
        </w:rPr>
        <w:footnoteReference w:id="95"/>
      </w:r>
      <w:r w:rsidRPr="00A623AB">
        <w:rPr>
          <w:color w:val="auto"/>
          <w:sz w:val="20"/>
          <w:szCs w:val="20"/>
        </w:rPr>
        <w:t xml:space="preserve"> </w:t>
      </w:r>
    </w:p>
    <w:p w14:paraId="1C67B089" w14:textId="77777777" w:rsidR="0036484A" w:rsidRPr="00A623AB" w:rsidRDefault="0036484A" w:rsidP="0036484A">
      <w:pPr>
        <w:pStyle w:val="ListParagraph"/>
        <w:ind w:left="567"/>
        <w:jc w:val="both"/>
        <w:rPr>
          <w:color w:val="auto"/>
          <w:sz w:val="20"/>
          <w:szCs w:val="20"/>
        </w:rPr>
      </w:pPr>
    </w:p>
    <w:p w14:paraId="50EC43BF" w14:textId="27E9051F" w:rsidR="000968CB" w:rsidRPr="00A623AB" w:rsidRDefault="0066215E" w:rsidP="00866305">
      <w:pPr>
        <w:pStyle w:val="ListParagraph"/>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color w:val="auto"/>
          <w:sz w:val="20"/>
          <w:szCs w:val="20"/>
        </w:rPr>
      </w:pPr>
      <w:r w:rsidRPr="00A623AB">
        <w:rPr>
          <w:bCs/>
          <w:color w:val="auto"/>
          <w:sz w:val="20"/>
          <w:szCs w:val="20"/>
        </w:rPr>
        <w:t xml:space="preserve">The State is under the obligation to safeguard the health and wellbeing of the detainees, providing, among other </w:t>
      </w:r>
      <w:r w:rsidR="00D847F7" w:rsidRPr="00A623AB">
        <w:rPr>
          <w:bCs/>
          <w:color w:val="auto"/>
          <w:sz w:val="20"/>
          <w:szCs w:val="20"/>
        </w:rPr>
        <w:t>elements</w:t>
      </w:r>
      <w:r w:rsidRPr="00A623AB">
        <w:rPr>
          <w:bCs/>
          <w:color w:val="auto"/>
          <w:sz w:val="20"/>
          <w:szCs w:val="20"/>
        </w:rPr>
        <w:t>, the medical care required</w:t>
      </w:r>
      <w:r w:rsidR="00D847F7" w:rsidRPr="00A623AB">
        <w:rPr>
          <w:bCs/>
          <w:color w:val="auto"/>
          <w:sz w:val="20"/>
          <w:szCs w:val="20"/>
        </w:rPr>
        <w:t>.</w:t>
      </w:r>
      <w:r w:rsidRPr="00A623AB">
        <w:rPr>
          <w:bCs/>
          <w:color w:val="auto"/>
          <w:sz w:val="20"/>
          <w:szCs w:val="20"/>
        </w:rPr>
        <w:t xml:space="preserve"> </w:t>
      </w:r>
      <w:r w:rsidR="00D847F7" w:rsidRPr="00A623AB">
        <w:rPr>
          <w:bCs/>
          <w:color w:val="auto"/>
          <w:sz w:val="20"/>
          <w:szCs w:val="20"/>
        </w:rPr>
        <w:t>A</w:t>
      </w:r>
      <w:r w:rsidRPr="00A623AB">
        <w:rPr>
          <w:bCs/>
          <w:color w:val="auto"/>
          <w:sz w:val="20"/>
          <w:szCs w:val="20"/>
        </w:rPr>
        <w:t>lso, it “must ensure that the manner and method of deprivation of liberty does not exceed the inevitable level of suffering inherent in detention.”</w:t>
      </w:r>
      <w:r w:rsidRPr="00A623AB">
        <w:rPr>
          <w:rStyle w:val="FootnoteReference"/>
          <w:rFonts w:cstheme="minorHAnsi"/>
          <w:bCs/>
          <w:color w:val="auto"/>
          <w:sz w:val="20"/>
          <w:szCs w:val="20"/>
          <w:lang w:val="es-ES"/>
        </w:rPr>
        <w:footnoteReference w:id="96"/>
      </w:r>
      <w:r w:rsidRPr="00A623AB">
        <w:rPr>
          <w:bCs/>
          <w:color w:val="auto"/>
          <w:sz w:val="20"/>
          <w:szCs w:val="20"/>
        </w:rPr>
        <w:t xml:space="preserve"> </w:t>
      </w:r>
    </w:p>
    <w:p w14:paraId="12EFD746" w14:textId="77777777" w:rsidR="00244B80" w:rsidRPr="00A623AB" w:rsidRDefault="00244B80" w:rsidP="00244B80">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hAnsi="Cambria"/>
          <w:sz w:val="20"/>
          <w:szCs w:val="20"/>
        </w:rPr>
      </w:pPr>
    </w:p>
    <w:p w14:paraId="16224697" w14:textId="1FE0E12B" w:rsidR="009D13A5" w:rsidRPr="00A623AB" w:rsidRDefault="0066215E" w:rsidP="00B150F5">
      <w:pPr>
        <w:pStyle w:val="ListParagraph"/>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color w:val="auto"/>
          <w:sz w:val="20"/>
          <w:szCs w:val="20"/>
        </w:rPr>
      </w:pPr>
      <w:r w:rsidRPr="00A623AB">
        <w:rPr>
          <w:bCs/>
          <w:color w:val="auto"/>
          <w:sz w:val="20"/>
          <w:szCs w:val="20"/>
        </w:rPr>
        <w:t>With regard to the detention conditions, the Court has indicated that “[r]egular medical attention must be provided, with the necessary and appropriate treatment, and by qualified medical personnel when required.”</w:t>
      </w:r>
      <w:r w:rsidRPr="00A623AB">
        <w:rPr>
          <w:rStyle w:val="FootnoteReference"/>
          <w:rFonts w:cstheme="minorHAnsi"/>
          <w:color w:val="auto"/>
          <w:sz w:val="20"/>
          <w:szCs w:val="20"/>
          <w:lang w:val="es-ES"/>
        </w:rPr>
        <w:footnoteReference w:id="97"/>
      </w:r>
      <w:r w:rsidRPr="00A623AB">
        <w:rPr>
          <w:bCs/>
          <w:color w:val="auto"/>
          <w:sz w:val="20"/>
          <w:szCs w:val="20"/>
        </w:rPr>
        <w:t xml:space="preserve"> Both the Commission and the Court have invoked the United Nations Standard Minimum Rules for the Treatment of Prisoners in order to interpret the content of the right of prisoners to decent and </w:t>
      </w:r>
      <w:r w:rsidRPr="00A623AB">
        <w:rPr>
          <w:bCs/>
          <w:color w:val="auto"/>
          <w:sz w:val="20"/>
          <w:szCs w:val="20"/>
        </w:rPr>
        <w:lastRenderedPageBreak/>
        <w:t>humane treatment.</w:t>
      </w:r>
      <w:r w:rsidRPr="00A623AB">
        <w:rPr>
          <w:rStyle w:val="FootnoteReference"/>
          <w:bCs/>
          <w:iCs/>
          <w:color w:val="auto"/>
          <w:sz w:val="20"/>
          <w:szCs w:val="20"/>
          <w:lang w:val="es-ES"/>
        </w:rPr>
        <w:footnoteReference w:id="98"/>
      </w:r>
      <w:r w:rsidRPr="00A623AB">
        <w:rPr>
          <w:bCs/>
          <w:color w:val="auto"/>
          <w:sz w:val="20"/>
          <w:szCs w:val="20"/>
        </w:rPr>
        <w:t xml:space="preserve"> In this sense, they have reiterated that, with regard to the medical services that must be provided, the aforementioned </w:t>
      </w:r>
      <w:r w:rsidR="00D847F7" w:rsidRPr="00A623AB">
        <w:rPr>
          <w:bCs/>
          <w:color w:val="auto"/>
          <w:sz w:val="20"/>
          <w:szCs w:val="20"/>
        </w:rPr>
        <w:t>r</w:t>
      </w:r>
      <w:r w:rsidRPr="00A623AB">
        <w:rPr>
          <w:bCs/>
          <w:color w:val="auto"/>
          <w:sz w:val="20"/>
          <w:szCs w:val="20"/>
        </w:rPr>
        <w:t>ules point out that “[t]he medical officer shall see and examine every prisoner as soon as possible after his admission and thereafter as necessary, with a view particularly to the discovery of physical or mental illness, and the taking of all necessary measures.”</w:t>
      </w:r>
      <w:r w:rsidRPr="00D366DA">
        <w:rPr>
          <w:color w:val="auto"/>
          <w:sz w:val="20"/>
          <w:szCs w:val="20"/>
          <w:vertAlign w:val="superscript"/>
          <w:lang w:val="es-ES"/>
        </w:rPr>
        <w:footnoteReference w:id="99"/>
      </w:r>
    </w:p>
    <w:p w14:paraId="3BFABE23" w14:textId="77777777" w:rsidR="009D13A5" w:rsidRPr="00A623AB" w:rsidRDefault="009D13A5" w:rsidP="00EA6555">
      <w:pPr>
        <w:pStyle w:val="ListParagraph"/>
        <w:ind w:left="0" w:firstLine="567"/>
        <w:rPr>
          <w:color w:val="auto"/>
          <w:sz w:val="20"/>
          <w:szCs w:val="20"/>
        </w:rPr>
      </w:pPr>
    </w:p>
    <w:p w14:paraId="1D5D0FCC" w14:textId="59BA055D" w:rsidR="000968CB" w:rsidRPr="00A623AB" w:rsidRDefault="0066215E" w:rsidP="00EA6555">
      <w:pPr>
        <w:pStyle w:val="ListParagraph"/>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rFonts w:cstheme="minorHAnsi"/>
          <w:color w:val="auto"/>
          <w:sz w:val="20"/>
          <w:szCs w:val="20"/>
        </w:rPr>
      </w:pPr>
      <w:r w:rsidRPr="00A623AB">
        <w:rPr>
          <w:color w:val="auto"/>
          <w:sz w:val="20"/>
          <w:szCs w:val="20"/>
        </w:rPr>
        <w:t>It is also relevant to recall that Principle 24 for the Protection of All Persons under Any Form of Detention or Imprisonment establishes that: “A proper medical examination shall be offered to a detained or imprisoned person as promptly as possible after his admission to the place of detention or imprisonment, and thereafter medical care and treatment shall be provided whenever necessary. This care and treatment shall be provided free of charge.”</w:t>
      </w:r>
      <w:r w:rsidRPr="00A623AB">
        <w:rPr>
          <w:color w:val="auto"/>
          <w:sz w:val="20"/>
          <w:szCs w:val="20"/>
          <w:vertAlign w:val="superscript"/>
          <w:lang w:val="es-ES"/>
        </w:rPr>
        <w:footnoteReference w:id="100"/>
      </w:r>
      <w:r w:rsidRPr="00A623AB">
        <w:rPr>
          <w:color w:val="auto"/>
          <w:sz w:val="20"/>
          <w:szCs w:val="20"/>
        </w:rPr>
        <w:t xml:space="preserve"> </w:t>
      </w:r>
    </w:p>
    <w:p w14:paraId="1633B8BD" w14:textId="77777777" w:rsidR="000968CB" w:rsidRPr="00A623AB" w:rsidRDefault="000968CB" w:rsidP="00EA6555">
      <w:pPr>
        <w:pStyle w:val="ListParagraph"/>
        <w:ind w:left="0" w:firstLine="567"/>
        <w:rPr>
          <w:color w:val="auto"/>
          <w:sz w:val="20"/>
          <w:szCs w:val="20"/>
        </w:rPr>
      </w:pPr>
    </w:p>
    <w:p w14:paraId="5942E3E7" w14:textId="77777777" w:rsidR="00531E2A" w:rsidRPr="00A623AB" w:rsidRDefault="0066215E" w:rsidP="00EA6555">
      <w:pPr>
        <w:pStyle w:val="ListParagraph"/>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rFonts w:cstheme="minorHAnsi"/>
          <w:color w:val="auto"/>
          <w:sz w:val="20"/>
          <w:szCs w:val="20"/>
        </w:rPr>
      </w:pPr>
      <w:r w:rsidRPr="00A623AB">
        <w:rPr>
          <w:color w:val="auto"/>
          <w:sz w:val="20"/>
          <w:szCs w:val="20"/>
        </w:rPr>
        <w:t>In addition to this, the Commission, in pursuance of European jurisprudence, has stated that the principle of equivalence of care must be observed.</w:t>
      </w:r>
      <w:r w:rsidRPr="00A623AB">
        <w:rPr>
          <w:rStyle w:val="FootnoteReference"/>
          <w:rFonts w:cs="Times New Roman"/>
          <w:color w:val="auto"/>
          <w:sz w:val="20"/>
          <w:szCs w:val="20"/>
          <w:lang w:val="es-ES"/>
        </w:rPr>
        <w:footnoteReference w:id="101"/>
      </w:r>
      <w:r w:rsidRPr="00A623AB">
        <w:rPr>
          <w:color w:val="auto"/>
          <w:sz w:val="20"/>
          <w:szCs w:val="20"/>
        </w:rPr>
        <w:t xml:space="preserve"> This principle sets forth that, inside the facilities of deprivation of liberty, the prison health care services provided must ensure medical treatment and nursing care in conditions comparable to those enjoyed by patients in the outside community. </w:t>
      </w:r>
      <w:r w:rsidRPr="00A623AB">
        <w:rPr>
          <w:rStyle w:val="FootnoteReference"/>
          <w:rFonts w:cs="Times New Roman"/>
          <w:color w:val="auto"/>
          <w:sz w:val="20"/>
          <w:szCs w:val="20"/>
          <w:lang w:val="es-ES"/>
        </w:rPr>
        <w:footnoteReference w:id="102"/>
      </w:r>
      <w:r w:rsidRPr="00A623AB">
        <w:rPr>
          <w:color w:val="auto"/>
          <w:sz w:val="20"/>
          <w:szCs w:val="20"/>
        </w:rPr>
        <w:t xml:space="preserve"> This principle has also been recognized by the Inter-American Court.</w:t>
      </w:r>
      <w:r w:rsidRPr="00A623AB">
        <w:rPr>
          <w:rStyle w:val="FootnoteReference"/>
          <w:rFonts w:cs="Times New Roman"/>
          <w:color w:val="auto"/>
          <w:sz w:val="20"/>
          <w:szCs w:val="20"/>
          <w:lang w:val="es-ES"/>
        </w:rPr>
        <w:footnoteReference w:id="103"/>
      </w:r>
      <w:r w:rsidRPr="00A623AB">
        <w:rPr>
          <w:color w:val="auto"/>
          <w:sz w:val="20"/>
          <w:szCs w:val="20"/>
        </w:rPr>
        <w:t xml:space="preserve"> With regard to this principle, the European Court has pointed out that the prison health care service should be able to provide medical treatment and nursing care, as well as appropriate diets, physiotherapy, rehabilitation or any other necessary special facility, in conditions comparable to those enjoyed by patients in the outside community.</w:t>
      </w:r>
      <w:r w:rsidRPr="00A623AB">
        <w:rPr>
          <w:rStyle w:val="FootnoteAnchor"/>
          <w:color w:val="auto"/>
          <w:sz w:val="20"/>
          <w:szCs w:val="20"/>
          <w:lang w:val="es-ES"/>
        </w:rPr>
        <w:footnoteReference w:id="104"/>
      </w:r>
      <w:r w:rsidRPr="00A623AB">
        <w:rPr>
          <w:color w:val="auto"/>
          <w:sz w:val="20"/>
          <w:szCs w:val="20"/>
        </w:rPr>
        <w:t xml:space="preserve"> A lack and/or deficiency in the provision of medical attention, or negligent or deficient medical treatment, is not consistent with the obligation to protect the right to life of persons deprived of liberty.</w:t>
      </w:r>
      <w:r w:rsidRPr="00A623AB">
        <w:rPr>
          <w:rStyle w:val="FootnoteAnchor"/>
          <w:rFonts w:cs="AdvPL"/>
          <w:color w:val="auto"/>
          <w:sz w:val="20"/>
          <w:szCs w:val="20"/>
          <w:lang w:val="es-ES"/>
        </w:rPr>
        <w:footnoteReference w:id="105"/>
      </w:r>
    </w:p>
    <w:p w14:paraId="762E0C6D" w14:textId="77777777" w:rsidR="00531E2A" w:rsidRPr="00A623AB" w:rsidRDefault="00531E2A" w:rsidP="00EA6555">
      <w:pPr>
        <w:pStyle w:val="ListParagraph"/>
        <w:ind w:left="0" w:firstLine="567"/>
        <w:rPr>
          <w:color w:val="auto"/>
          <w:sz w:val="20"/>
          <w:szCs w:val="20"/>
        </w:rPr>
      </w:pPr>
    </w:p>
    <w:p w14:paraId="5F9FA6EF" w14:textId="77777777" w:rsidR="00DF23DC" w:rsidRPr="00A623AB" w:rsidRDefault="0066215E" w:rsidP="00EA6555">
      <w:pPr>
        <w:pStyle w:val="ListParagraph"/>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rFonts w:cstheme="minorHAnsi"/>
          <w:color w:val="auto"/>
          <w:sz w:val="20"/>
          <w:szCs w:val="20"/>
        </w:rPr>
      </w:pPr>
      <w:r w:rsidRPr="00A623AB">
        <w:rPr>
          <w:color w:val="auto"/>
          <w:sz w:val="20"/>
          <w:szCs w:val="20"/>
        </w:rPr>
        <w:t>The obligation to provide health services to persons deprived of their liberty increases in respect of a person who suffers serious or chronic illnesses, where their health can deteriorate progressively.</w:t>
      </w:r>
      <w:r w:rsidRPr="00A623AB">
        <w:rPr>
          <w:rStyle w:val="FootnoteReference"/>
          <w:color w:val="auto"/>
          <w:sz w:val="20"/>
          <w:szCs w:val="20"/>
          <w:lang w:val="es-ES"/>
        </w:rPr>
        <w:footnoteReference w:id="106"/>
      </w:r>
      <w:r w:rsidRPr="00A623AB">
        <w:rPr>
          <w:color w:val="auto"/>
          <w:sz w:val="20"/>
          <w:szCs w:val="20"/>
        </w:rPr>
        <w:t xml:space="preserve"> The Court has recalled that “[t]his obligation may also be conditioned, accentuated or specified, according to the type of disease, particularly if it is of a terminal nature or, even if it is not terminal </w:t>
      </w:r>
      <w:r w:rsidRPr="00A623AB">
        <w:rPr>
          <w:i/>
          <w:iCs/>
          <w:color w:val="auto"/>
          <w:sz w:val="20"/>
          <w:szCs w:val="20"/>
        </w:rPr>
        <w:t>per se</w:t>
      </w:r>
      <w:r w:rsidRPr="00A623AB">
        <w:rPr>
          <w:color w:val="auto"/>
          <w:sz w:val="20"/>
          <w:szCs w:val="20"/>
        </w:rPr>
        <w:t>, if it can be complicated or aggravated either by the individual’s own circumstances, by the conditions of incarceration or by the capacity of the prison establishment or of the prison authorities to provide health care.”</w:t>
      </w:r>
      <w:r w:rsidRPr="00A623AB">
        <w:rPr>
          <w:rStyle w:val="FootnoteReference"/>
          <w:color w:val="auto"/>
          <w:sz w:val="20"/>
          <w:szCs w:val="20"/>
          <w:lang w:val="es-ES"/>
        </w:rPr>
        <w:footnoteReference w:id="107"/>
      </w:r>
      <w:r w:rsidRPr="00A623AB">
        <w:rPr>
          <w:color w:val="auto"/>
          <w:sz w:val="20"/>
          <w:szCs w:val="20"/>
        </w:rPr>
        <w:t xml:space="preserve"> </w:t>
      </w:r>
    </w:p>
    <w:p w14:paraId="0AD40A0D" w14:textId="77777777" w:rsidR="00DF23DC" w:rsidRPr="00A623AB" w:rsidRDefault="00DF23DC" w:rsidP="00EA6555">
      <w:pPr>
        <w:pStyle w:val="ListParagraph"/>
        <w:ind w:left="0" w:firstLine="567"/>
        <w:rPr>
          <w:color w:val="auto"/>
          <w:sz w:val="20"/>
          <w:szCs w:val="20"/>
        </w:rPr>
      </w:pPr>
    </w:p>
    <w:p w14:paraId="0392456E" w14:textId="77777777" w:rsidR="00115F51" w:rsidRPr="00A623AB" w:rsidRDefault="0066215E" w:rsidP="00EA6555">
      <w:pPr>
        <w:pStyle w:val="ListParagraph"/>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rFonts w:cstheme="minorHAnsi"/>
          <w:color w:val="auto"/>
          <w:sz w:val="20"/>
          <w:szCs w:val="20"/>
        </w:rPr>
      </w:pPr>
      <w:r w:rsidRPr="00A623AB">
        <w:rPr>
          <w:color w:val="auto"/>
          <w:sz w:val="20"/>
          <w:szCs w:val="20"/>
        </w:rPr>
        <w:t>The authorities must ensure that detainees receive regular and systematic monitoring of their medical condition, as required, and that treatment is aimed at curing their diseases or preventing their aggravation, rather than merely treating them on a symptomatic basis.</w:t>
      </w:r>
      <w:r w:rsidRPr="00A623AB">
        <w:rPr>
          <w:rStyle w:val="FootnoteAnchor"/>
          <w:color w:val="auto"/>
          <w:sz w:val="20"/>
          <w:szCs w:val="20"/>
          <w:lang w:val="es-ES"/>
        </w:rPr>
        <w:footnoteReference w:id="108"/>
      </w:r>
      <w:r w:rsidRPr="00A623AB">
        <w:rPr>
          <w:color w:val="auto"/>
          <w:sz w:val="20"/>
          <w:szCs w:val="20"/>
        </w:rPr>
        <w:t xml:space="preserve"> The medical care provided must also </w:t>
      </w:r>
      <w:r w:rsidRPr="00A623AB">
        <w:rPr>
          <w:color w:val="auto"/>
          <w:sz w:val="20"/>
          <w:szCs w:val="20"/>
        </w:rPr>
        <w:lastRenderedPageBreak/>
        <w:t>include psychiatric treatment for persons deprived of liberty, both for emergency situations and for regular care, either in the prison or detention center or, if this is not possible, in hospitals or health centers that offer the required service.</w:t>
      </w:r>
      <w:r w:rsidRPr="00A623AB">
        <w:rPr>
          <w:rStyle w:val="FootnoteReference"/>
          <w:color w:val="auto"/>
          <w:sz w:val="20"/>
          <w:szCs w:val="20"/>
          <w:lang w:val="es-ES"/>
        </w:rPr>
        <w:footnoteReference w:id="109"/>
      </w:r>
      <w:r w:rsidRPr="00A623AB">
        <w:rPr>
          <w:color w:val="auto"/>
          <w:sz w:val="20"/>
          <w:szCs w:val="20"/>
        </w:rPr>
        <w:t xml:space="preserve"> </w:t>
      </w:r>
    </w:p>
    <w:p w14:paraId="1D7E42FD" w14:textId="77777777" w:rsidR="00345C8C" w:rsidRPr="00A623AB" w:rsidRDefault="00345C8C" w:rsidP="009C06F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hAnsi="Cambria" w:cstheme="minorHAnsi"/>
          <w:sz w:val="20"/>
          <w:szCs w:val="20"/>
        </w:rPr>
      </w:pPr>
    </w:p>
    <w:p w14:paraId="0FDC95F7" w14:textId="77777777" w:rsidR="005B6E17" w:rsidRPr="00A623AB" w:rsidRDefault="0066215E" w:rsidP="00550322">
      <w:pPr>
        <w:pStyle w:val="ListParagraph"/>
        <w:numPr>
          <w:ilvl w:val="0"/>
          <w:numId w:val="55"/>
        </w:numPr>
        <w:rPr>
          <w:color w:val="auto"/>
          <w:sz w:val="20"/>
          <w:szCs w:val="20"/>
          <w:lang w:val="es-ES"/>
        </w:rPr>
      </w:pPr>
      <w:bookmarkStart w:id="26" w:name="_Toc528245380"/>
      <w:bookmarkStart w:id="27" w:name="_Toc75698636"/>
      <w:bookmarkStart w:id="28" w:name="_Toc75710758"/>
      <w:bookmarkStart w:id="29" w:name="_Toc75710871"/>
      <w:r w:rsidRPr="00A623AB">
        <w:rPr>
          <w:b/>
          <w:bCs/>
          <w:color w:val="auto"/>
          <w:sz w:val="20"/>
          <w:szCs w:val="20"/>
        </w:rPr>
        <w:t>Analysis of this case</w:t>
      </w:r>
      <w:bookmarkEnd w:id="26"/>
      <w:bookmarkEnd w:id="27"/>
      <w:bookmarkEnd w:id="28"/>
      <w:bookmarkEnd w:id="29"/>
    </w:p>
    <w:p w14:paraId="1C71E519" w14:textId="77777777" w:rsidR="00AF04B7" w:rsidRPr="00A623AB" w:rsidRDefault="00AF04B7" w:rsidP="00096787">
      <w:pPr>
        <w:jc w:val="both"/>
        <w:rPr>
          <w:rFonts w:ascii="Cambria" w:hAnsi="Cambria"/>
          <w:sz w:val="20"/>
          <w:szCs w:val="20"/>
          <w:lang w:val="es-ES"/>
        </w:rPr>
      </w:pPr>
    </w:p>
    <w:p w14:paraId="586EA4AE" w14:textId="7C14217A" w:rsidR="00244B80" w:rsidRPr="00717D88" w:rsidRDefault="0066215E" w:rsidP="00244B80">
      <w:pPr>
        <w:pStyle w:val="ListParagraph"/>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b/>
          <w:color w:val="auto"/>
          <w:sz w:val="20"/>
          <w:szCs w:val="20"/>
        </w:rPr>
      </w:pPr>
      <w:r w:rsidRPr="00A623AB">
        <w:rPr>
          <w:color w:val="auto"/>
          <w:sz w:val="20"/>
          <w:szCs w:val="20"/>
        </w:rPr>
        <w:t>According to the finding</w:t>
      </w:r>
      <w:r w:rsidR="00C2014A" w:rsidRPr="00A623AB">
        <w:rPr>
          <w:color w:val="auto"/>
          <w:sz w:val="20"/>
          <w:szCs w:val="20"/>
        </w:rPr>
        <w:t>s</w:t>
      </w:r>
      <w:r w:rsidRPr="00A623AB">
        <w:rPr>
          <w:color w:val="auto"/>
          <w:sz w:val="20"/>
          <w:szCs w:val="20"/>
        </w:rPr>
        <w:t xml:space="preserve"> of fact, Sarah Lyn had been deprived of her liberty at the INOF since August 29, 2000, and was serving a 5-year conviction. Prison authorities were aware that she suffered type 1 diabetes mellitus and that she was insulin</w:t>
      </w:r>
      <w:r w:rsidR="00E7661A" w:rsidRPr="00A623AB">
        <w:rPr>
          <w:color w:val="auto"/>
          <w:sz w:val="20"/>
          <w:szCs w:val="20"/>
        </w:rPr>
        <w:t xml:space="preserve"> </w:t>
      </w:r>
      <w:r w:rsidRPr="00A623AB">
        <w:rPr>
          <w:color w:val="auto"/>
          <w:sz w:val="20"/>
          <w:szCs w:val="20"/>
        </w:rPr>
        <w:t>dependent</w:t>
      </w:r>
      <w:r w:rsidR="00E26BD0" w:rsidRPr="00A623AB">
        <w:rPr>
          <w:color w:val="auto"/>
          <w:sz w:val="20"/>
          <w:szCs w:val="20"/>
        </w:rPr>
        <w:t xml:space="preserve">. </w:t>
      </w:r>
      <w:r w:rsidRPr="00A623AB">
        <w:rPr>
          <w:color w:val="auto"/>
          <w:sz w:val="20"/>
          <w:szCs w:val="20"/>
        </w:rPr>
        <w:t>The Commission shall analyze below</w:t>
      </w:r>
      <w:r w:rsidR="00E26BD0" w:rsidRPr="00A623AB">
        <w:rPr>
          <w:color w:val="auto"/>
          <w:sz w:val="20"/>
          <w:szCs w:val="20"/>
        </w:rPr>
        <w:t>,</w:t>
      </w:r>
      <w:r w:rsidRPr="00A623AB">
        <w:rPr>
          <w:color w:val="auto"/>
          <w:sz w:val="20"/>
          <w:szCs w:val="20"/>
        </w:rPr>
        <w:t xml:space="preserve"> first, whether the State complied with its international obligations while the alleged victim was deprived of her liberty at the INOF. Second, it will decide on the facts that took place on March 7, 2001. Finally, it will provide its conclusion.</w:t>
      </w:r>
      <w:r w:rsidR="006373C8" w:rsidRPr="006373C8">
        <w:t xml:space="preserve"> </w:t>
      </w:r>
      <w:r w:rsidR="006373C8" w:rsidRPr="006373C8">
        <w:rPr>
          <w:color w:val="auto"/>
          <w:sz w:val="20"/>
          <w:szCs w:val="20"/>
        </w:rPr>
        <w:t>Under the principle of non-discrimination (Article 1.1 of the Convention), this obligation is particularly relevant with respect to persons deprived of their liberty.</w:t>
      </w:r>
      <w:r w:rsidR="001758B9" w:rsidRPr="001758B9">
        <w:t xml:space="preserve"> </w:t>
      </w:r>
      <w:r w:rsidR="001758B9" w:rsidRPr="001758B9">
        <w:rPr>
          <w:color w:val="auto"/>
          <w:sz w:val="20"/>
          <w:szCs w:val="20"/>
        </w:rPr>
        <w:t>Under the principle of non-discrimination (Article 1.1 of the Convention), this obligation is particularly relevant with respect to persons deprived of their liberty</w:t>
      </w:r>
      <w:r w:rsidR="001758B9">
        <w:rPr>
          <w:rStyle w:val="FootnoteReference"/>
          <w:color w:val="auto"/>
          <w:sz w:val="20"/>
          <w:szCs w:val="20"/>
        </w:rPr>
        <w:footnoteReference w:id="110"/>
      </w:r>
      <w:r w:rsidR="001758B9" w:rsidRPr="001758B9">
        <w:rPr>
          <w:color w:val="auto"/>
          <w:sz w:val="20"/>
          <w:szCs w:val="20"/>
        </w:rPr>
        <w:t>.</w:t>
      </w:r>
    </w:p>
    <w:p w14:paraId="27B094AF" w14:textId="77777777" w:rsidR="00244B80" w:rsidRPr="00717D88" w:rsidRDefault="00244B80" w:rsidP="00244B80">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567"/>
        <w:jc w:val="both"/>
        <w:rPr>
          <w:b/>
          <w:color w:val="auto"/>
          <w:sz w:val="20"/>
          <w:szCs w:val="20"/>
        </w:rPr>
      </w:pPr>
    </w:p>
    <w:p w14:paraId="3C44BF83" w14:textId="77777777" w:rsidR="00244B80" w:rsidRPr="00A623AB" w:rsidRDefault="0066215E" w:rsidP="00550322">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ind w:left="1440"/>
        <w:jc w:val="both"/>
        <w:rPr>
          <w:b/>
          <w:color w:val="auto"/>
          <w:sz w:val="20"/>
          <w:szCs w:val="20"/>
        </w:rPr>
      </w:pPr>
      <w:r w:rsidRPr="00A623AB">
        <w:rPr>
          <w:b/>
          <w:bCs/>
          <w:color w:val="auto"/>
          <w:sz w:val="20"/>
          <w:szCs w:val="20"/>
        </w:rPr>
        <w:t xml:space="preserve">On the medical treatment received at the INOF </w:t>
      </w:r>
    </w:p>
    <w:p w14:paraId="3473D870" w14:textId="77777777" w:rsidR="00244B80" w:rsidRPr="00A623AB" w:rsidRDefault="00244B80" w:rsidP="00244B80">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567"/>
        <w:jc w:val="both"/>
        <w:rPr>
          <w:b/>
          <w:color w:val="auto"/>
          <w:sz w:val="20"/>
          <w:szCs w:val="20"/>
        </w:rPr>
      </w:pPr>
    </w:p>
    <w:p w14:paraId="5B42FDFA" w14:textId="6B86087B" w:rsidR="00AF04B7" w:rsidRPr="00A623AB" w:rsidRDefault="0066215E" w:rsidP="00DF23DC">
      <w:pPr>
        <w:pStyle w:val="ListParagraph"/>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b/>
          <w:color w:val="auto"/>
          <w:sz w:val="20"/>
          <w:szCs w:val="20"/>
        </w:rPr>
      </w:pPr>
      <w:r w:rsidRPr="00A623AB">
        <w:rPr>
          <w:color w:val="auto"/>
          <w:sz w:val="20"/>
          <w:szCs w:val="20"/>
        </w:rPr>
        <w:t xml:space="preserve">The Commission notes that, in the instant case, it has not been contested that the damage to the health and life of Sarah Langton was causally linked to the disease she suffered while she was under state custody; it was for the State to submit probative elements that demonstrate it had provided an adequate and timely treatment to the alleged victim while she was deprived of her liberty. The Commission notes that the State of Venezuela has not submitted any evidence whatsoever to prove that it had provided an adequate medical treatment to Sarah while she was detained, since it has not filed any information </w:t>
      </w:r>
      <w:r w:rsidR="00036DC8" w:rsidRPr="00A623AB">
        <w:rPr>
          <w:color w:val="auto"/>
          <w:sz w:val="20"/>
          <w:szCs w:val="20"/>
        </w:rPr>
        <w:t>in</w:t>
      </w:r>
      <w:r w:rsidR="007E3D56" w:rsidRPr="00A623AB">
        <w:rPr>
          <w:color w:val="auto"/>
          <w:sz w:val="20"/>
          <w:szCs w:val="20"/>
        </w:rPr>
        <w:t xml:space="preserve"> </w:t>
      </w:r>
      <w:r w:rsidRPr="00A623AB">
        <w:rPr>
          <w:color w:val="auto"/>
          <w:sz w:val="20"/>
          <w:szCs w:val="20"/>
        </w:rPr>
        <w:t xml:space="preserve">the instant procedure. </w:t>
      </w:r>
    </w:p>
    <w:p w14:paraId="34164FFD" w14:textId="77777777" w:rsidR="00AF04B7" w:rsidRPr="00A623AB" w:rsidRDefault="00AF04B7" w:rsidP="00AF04B7">
      <w:pPr>
        <w:pStyle w:val="ListParagraph"/>
        <w:rPr>
          <w:rFonts w:cstheme="majorHAnsi"/>
          <w:bCs/>
          <w:color w:val="auto"/>
          <w:sz w:val="20"/>
          <w:szCs w:val="20"/>
        </w:rPr>
      </w:pPr>
    </w:p>
    <w:p w14:paraId="57077387" w14:textId="77777777" w:rsidR="0028728D" w:rsidRPr="00A623AB" w:rsidRDefault="0066215E" w:rsidP="0028728D">
      <w:pPr>
        <w:pStyle w:val="ListParagraph"/>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rFonts w:cs="HelveticaNeue-Light"/>
          <w:b/>
          <w:color w:val="auto"/>
          <w:sz w:val="20"/>
          <w:szCs w:val="20"/>
        </w:rPr>
      </w:pPr>
      <w:r w:rsidRPr="00A623AB">
        <w:rPr>
          <w:bCs/>
          <w:color w:val="auto"/>
          <w:sz w:val="20"/>
          <w:szCs w:val="20"/>
        </w:rPr>
        <w:t>The Commission notes that the alleged victim suffered diabetes. The World Health Organization (WHO) has indicated that the treatment for diabetes</w:t>
      </w:r>
      <w:r w:rsidRPr="00A623AB">
        <w:rPr>
          <w:rStyle w:val="FootnoteReference"/>
          <w:color w:val="auto"/>
          <w:sz w:val="20"/>
          <w:szCs w:val="20"/>
        </w:rPr>
        <w:footnoteReference w:id="111"/>
      </w:r>
      <w:r w:rsidRPr="00A623AB">
        <w:rPr>
          <w:bCs/>
          <w:color w:val="auto"/>
          <w:sz w:val="20"/>
          <w:szCs w:val="20"/>
        </w:rPr>
        <w:t xml:space="preserve"> “consists in reducing glycemia and other known risk fa</w:t>
      </w:r>
      <w:r w:rsidR="008D1B3E" w:rsidRPr="00A623AB">
        <w:rPr>
          <w:bCs/>
          <w:color w:val="auto"/>
          <w:sz w:val="20"/>
          <w:szCs w:val="20"/>
        </w:rPr>
        <w:t>ctors that damage blood vessels</w:t>
      </w:r>
      <w:r w:rsidRPr="00A623AB">
        <w:rPr>
          <w:bCs/>
          <w:color w:val="auto"/>
          <w:sz w:val="20"/>
          <w:szCs w:val="20"/>
        </w:rPr>
        <w:t xml:space="preserve"> [...].” Among the “feasible and affordable [interventions] for developing countries,” the WHO indicates the following: i) moderate control of glycemia; ii) control of blood pressure; iii) podiatric care; iv) tests to detect retinopathy (cause of blindness); v) control of lipids in blood (regulation of cholesterol concentration); vi) detection of early signs of nephropathy related to diabetes.”</w:t>
      </w:r>
      <w:r w:rsidRPr="00A623AB">
        <w:rPr>
          <w:rStyle w:val="FootnoteReference"/>
          <w:color w:val="auto"/>
          <w:sz w:val="20"/>
          <w:szCs w:val="20"/>
          <w:lang w:val="es-MX"/>
        </w:rPr>
        <w:footnoteReference w:id="112"/>
      </w:r>
      <w:r w:rsidRPr="00A623AB">
        <w:rPr>
          <w:bCs/>
          <w:color w:val="auto"/>
          <w:sz w:val="20"/>
          <w:szCs w:val="20"/>
        </w:rPr>
        <w:t xml:space="preserve"> The WHO has given concrete recommendations to treat this disease, including physical activity and an adequate diet.</w:t>
      </w:r>
      <w:r w:rsidRPr="00A623AB">
        <w:rPr>
          <w:rStyle w:val="FootnoteReference"/>
          <w:color w:val="auto"/>
          <w:sz w:val="20"/>
          <w:szCs w:val="20"/>
          <w:lang w:val="es-MX"/>
        </w:rPr>
        <w:footnoteReference w:id="113"/>
      </w:r>
      <w:r w:rsidRPr="00A623AB">
        <w:rPr>
          <w:bCs/>
          <w:color w:val="auto"/>
          <w:sz w:val="20"/>
          <w:szCs w:val="20"/>
        </w:rPr>
        <w:t xml:space="preserve"> </w:t>
      </w:r>
    </w:p>
    <w:p w14:paraId="53E7DAFB" w14:textId="77777777" w:rsidR="0028728D" w:rsidRPr="00A623AB" w:rsidRDefault="0028728D" w:rsidP="0028728D">
      <w:pPr>
        <w:jc w:val="both"/>
        <w:rPr>
          <w:rFonts w:ascii="Cambria" w:hAnsi="Cambria" w:cstheme="majorHAnsi"/>
          <w:bCs/>
          <w:sz w:val="20"/>
          <w:szCs w:val="20"/>
        </w:rPr>
      </w:pPr>
    </w:p>
    <w:p w14:paraId="00C8C054" w14:textId="3B113399" w:rsidR="00EA6555" w:rsidRPr="00A623AB" w:rsidRDefault="0066215E" w:rsidP="0028728D">
      <w:pPr>
        <w:pStyle w:val="ListParagraph"/>
        <w:numPr>
          <w:ilvl w:val="0"/>
          <w:numId w:val="51"/>
        </w:numPr>
        <w:ind w:left="0" w:firstLine="567"/>
        <w:jc w:val="both"/>
        <w:rPr>
          <w:rFonts w:cstheme="majorHAnsi"/>
          <w:bCs/>
          <w:color w:val="auto"/>
          <w:sz w:val="20"/>
          <w:szCs w:val="20"/>
        </w:rPr>
      </w:pPr>
      <w:r w:rsidRPr="00A623AB">
        <w:rPr>
          <w:bCs/>
          <w:color w:val="auto"/>
          <w:sz w:val="20"/>
          <w:szCs w:val="20"/>
        </w:rPr>
        <w:t>In the instant case, the information available indicates that the alleged victim’s diabetes was not adequately monitored. While it is true that the prison authorities kept Sarah’s insulin and gave it to her upon request, several times before her death Sarah had to be taken to the hospital because her diabetes had not been appropriately monitored.</w:t>
      </w:r>
      <w:r w:rsidRPr="00A623AB">
        <w:rPr>
          <w:rStyle w:val="FootnoteReference"/>
          <w:rFonts w:cstheme="majorHAnsi"/>
          <w:bCs/>
          <w:color w:val="auto"/>
          <w:sz w:val="20"/>
          <w:szCs w:val="20"/>
          <w:lang w:val="es-ES"/>
        </w:rPr>
        <w:footnoteReference w:id="114"/>
      </w:r>
      <w:r w:rsidRPr="00A623AB">
        <w:rPr>
          <w:bCs/>
          <w:color w:val="auto"/>
          <w:sz w:val="20"/>
          <w:szCs w:val="20"/>
        </w:rPr>
        <w:t xml:space="preserve"> Moreover, her father had informed the Venezuelan authorities of his </w:t>
      </w:r>
      <w:r w:rsidRPr="00A623AB">
        <w:rPr>
          <w:bCs/>
          <w:color w:val="auto"/>
          <w:sz w:val="20"/>
          <w:szCs w:val="20"/>
        </w:rPr>
        <w:lastRenderedPageBreak/>
        <w:t>concern over the appropriate handling of his daughter’s condition at the penitentiary, claiming that she had no access to the correct type of insulin and that she did not have other necessary elements for her treatment at her disposal</w:t>
      </w:r>
      <w:r w:rsidR="00E7661A" w:rsidRPr="00A623AB">
        <w:rPr>
          <w:bCs/>
          <w:color w:val="auto"/>
          <w:sz w:val="20"/>
          <w:szCs w:val="20"/>
        </w:rPr>
        <w:t>.</w:t>
      </w:r>
      <w:r w:rsidRPr="00A623AB">
        <w:rPr>
          <w:bCs/>
          <w:color w:val="auto"/>
          <w:sz w:val="20"/>
          <w:szCs w:val="20"/>
        </w:rPr>
        <w:t xml:space="preserve"> </w:t>
      </w:r>
      <w:r w:rsidR="00E7661A" w:rsidRPr="00A623AB">
        <w:rPr>
          <w:bCs/>
          <w:color w:val="auto"/>
          <w:sz w:val="20"/>
          <w:szCs w:val="20"/>
        </w:rPr>
        <w:t>T</w:t>
      </w:r>
      <w:r w:rsidRPr="00A623AB">
        <w:rPr>
          <w:bCs/>
          <w:color w:val="auto"/>
          <w:sz w:val="20"/>
          <w:szCs w:val="20"/>
        </w:rPr>
        <w:t>hus, her family sent whatever they could through the British Embassy in Caracas. The family physician, Charles Fox, had expressly warned that, in prison, Sarah’s diabetes would undoubtedly be a serious threat to her health and possibly to her life.</w:t>
      </w:r>
    </w:p>
    <w:p w14:paraId="308714A2" w14:textId="77777777" w:rsidR="00AF04B7" w:rsidRPr="00A623AB" w:rsidRDefault="0066215E" w:rsidP="00EA6555">
      <w:pPr>
        <w:jc w:val="both"/>
        <w:rPr>
          <w:rFonts w:ascii="Cambria" w:hAnsi="Cambria" w:cstheme="majorHAnsi"/>
          <w:bCs/>
          <w:sz w:val="20"/>
          <w:szCs w:val="20"/>
        </w:rPr>
      </w:pPr>
      <w:r w:rsidRPr="00A623AB">
        <w:rPr>
          <w:rFonts w:ascii="Cambria" w:hAnsi="Cambria" w:cstheme="majorHAnsi"/>
          <w:bCs/>
          <w:sz w:val="20"/>
          <w:szCs w:val="20"/>
        </w:rPr>
        <w:t xml:space="preserve"> </w:t>
      </w:r>
    </w:p>
    <w:p w14:paraId="492F5495" w14:textId="08AAF5BD" w:rsidR="00EA6555" w:rsidRPr="00A623AB" w:rsidRDefault="0066215E" w:rsidP="009207C2">
      <w:pPr>
        <w:pStyle w:val="ListParagraph"/>
        <w:numPr>
          <w:ilvl w:val="0"/>
          <w:numId w:val="51"/>
        </w:numPr>
        <w:ind w:left="0" w:firstLine="567"/>
        <w:jc w:val="both"/>
        <w:rPr>
          <w:rFonts w:cstheme="majorHAnsi"/>
          <w:bCs/>
          <w:color w:val="auto"/>
          <w:sz w:val="20"/>
          <w:szCs w:val="20"/>
        </w:rPr>
      </w:pPr>
      <w:r w:rsidRPr="00A623AB">
        <w:rPr>
          <w:bCs/>
          <w:color w:val="auto"/>
          <w:sz w:val="20"/>
          <w:szCs w:val="20"/>
        </w:rPr>
        <w:t xml:space="preserve">In addition to this, and while Sarah had undergone an initial medical examination, at the time of the facts, on March 7, 2001, </w:t>
      </w:r>
      <w:r w:rsidR="00E7661A" w:rsidRPr="00A623AB">
        <w:rPr>
          <w:bCs/>
          <w:color w:val="auto"/>
          <w:sz w:val="20"/>
          <w:szCs w:val="20"/>
        </w:rPr>
        <w:t>over</w:t>
      </w:r>
      <w:r w:rsidRPr="00A623AB">
        <w:rPr>
          <w:bCs/>
          <w:color w:val="auto"/>
          <w:sz w:val="20"/>
          <w:szCs w:val="20"/>
        </w:rPr>
        <w:t xml:space="preserve"> 60 days had elapsed since her last evaluation and control of her diabetes by medical staff. According to what was stated by the Attorney General of the Republic himself, she had last been examined on January 5, 2001. Even the day before the emergency that led to Sarah’s death unleashed, on March 6, 2001, she had been transferred to the Victorino Santaella General Hospital because she showed low sugar levels</w:t>
      </w:r>
      <w:r w:rsidR="00164422" w:rsidRPr="00A623AB">
        <w:rPr>
          <w:bCs/>
          <w:color w:val="auto"/>
          <w:sz w:val="20"/>
          <w:szCs w:val="20"/>
        </w:rPr>
        <w:t>,</w:t>
      </w:r>
      <w:r w:rsidRPr="00A623AB">
        <w:rPr>
          <w:rStyle w:val="FootnoteReference"/>
          <w:rFonts w:cstheme="majorHAnsi"/>
          <w:bCs/>
          <w:color w:val="auto"/>
          <w:sz w:val="20"/>
          <w:szCs w:val="20"/>
          <w:lang w:val="es-ES"/>
        </w:rPr>
        <w:footnoteReference w:id="115"/>
      </w:r>
      <w:r w:rsidRPr="00A623AB">
        <w:rPr>
          <w:bCs/>
          <w:color w:val="auto"/>
          <w:sz w:val="20"/>
          <w:szCs w:val="20"/>
        </w:rPr>
        <w:t xml:space="preserve"> and she had been discharged without receiving a formal diagnosis. </w:t>
      </w:r>
    </w:p>
    <w:p w14:paraId="37CCB348" w14:textId="77777777" w:rsidR="00EA6555" w:rsidRPr="00A623AB" w:rsidRDefault="00EA6555" w:rsidP="00EA6555">
      <w:pPr>
        <w:jc w:val="both"/>
        <w:rPr>
          <w:rFonts w:ascii="Cambria" w:hAnsi="Cambria" w:cstheme="majorHAnsi"/>
          <w:bCs/>
          <w:sz w:val="20"/>
          <w:szCs w:val="20"/>
        </w:rPr>
      </w:pPr>
    </w:p>
    <w:p w14:paraId="4306968A" w14:textId="6F9B64CD" w:rsidR="00EA6555" w:rsidRPr="00A623AB" w:rsidRDefault="0066215E" w:rsidP="009207C2">
      <w:pPr>
        <w:pStyle w:val="ListParagraph"/>
        <w:numPr>
          <w:ilvl w:val="0"/>
          <w:numId w:val="51"/>
        </w:numPr>
        <w:ind w:left="0" w:firstLine="567"/>
        <w:jc w:val="both"/>
        <w:rPr>
          <w:rFonts w:cstheme="majorHAnsi"/>
          <w:bCs/>
          <w:color w:val="auto"/>
          <w:sz w:val="20"/>
          <w:szCs w:val="20"/>
        </w:rPr>
      </w:pPr>
      <w:r w:rsidRPr="00A623AB">
        <w:rPr>
          <w:bCs/>
          <w:color w:val="auto"/>
          <w:sz w:val="20"/>
          <w:szCs w:val="20"/>
        </w:rPr>
        <w:t xml:space="preserve">The Commission also notes that Sarah had shown deep depression and had suffered episodes of severe stress in the past, which had led her parents to think she was suffering a mental disorder. This had also been confirmed by the family physician, who explained that while she was studying in London, Sarah had overdosed on drugs on various occasions, and that by the time of her last consultation, she was taking Paroxetine, an antidepressant, and had requested to be given Diazepam. </w:t>
      </w:r>
    </w:p>
    <w:p w14:paraId="6ECA0D9D" w14:textId="77777777" w:rsidR="00EA6555" w:rsidRPr="00A623AB" w:rsidRDefault="00EA6555" w:rsidP="00EA6555">
      <w:pPr>
        <w:jc w:val="both"/>
        <w:rPr>
          <w:rFonts w:ascii="Cambria" w:hAnsi="Cambria" w:cstheme="majorHAnsi"/>
          <w:bCs/>
          <w:sz w:val="20"/>
          <w:szCs w:val="20"/>
        </w:rPr>
      </w:pPr>
    </w:p>
    <w:p w14:paraId="587925F0" w14:textId="50597752" w:rsidR="00EA6555" w:rsidRPr="00A623AB" w:rsidRDefault="0066215E" w:rsidP="00AF04B7">
      <w:pPr>
        <w:pStyle w:val="ListParagraph"/>
        <w:numPr>
          <w:ilvl w:val="0"/>
          <w:numId w:val="51"/>
        </w:numPr>
        <w:ind w:left="0" w:firstLine="567"/>
        <w:jc w:val="both"/>
        <w:rPr>
          <w:rFonts w:cstheme="majorHAnsi"/>
          <w:bCs/>
          <w:color w:val="auto"/>
          <w:sz w:val="20"/>
          <w:szCs w:val="20"/>
        </w:rPr>
      </w:pPr>
      <w:r w:rsidRPr="00A623AB">
        <w:rPr>
          <w:bCs/>
          <w:color w:val="auto"/>
          <w:sz w:val="20"/>
          <w:szCs w:val="20"/>
        </w:rPr>
        <w:t xml:space="preserve">It is laid down in the file that her father, Terry Langton, had warned the authorities of his daughter’s mental problems, and that the health care service doctor had noted down in Sarah’s medical record that she suffered substance addiction. In reason of this, a representative of the British Consulate in Venezuela had requested the prison authorities to </w:t>
      </w:r>
      <w:r w:rsidR="000431EF" w:rsidRPr="00A623AB">
        <w:rPr>
          <w:bCs/>
          <w:color w:val="auto"/>
          <w:sz w:val="20"/>
          <w:szCs w:val="20"/>
        </w:rPr>
        <w:t>have</w:t>
      </w:r>
      <w:r w:rsidRPr="00A623AB">
        <w:rPr>
          <w:bCs/>
          <w:color w:val="auto"/>
          <w:sz w:val="20"/>
          <w:szCs w:val="20"/>
        </w:rPr>
        <w:t xml:space="preserve"> a psychiatrist evaluate Sarah in prison, explaining that she had attempted suicide twice some years before. However, despite her medical history and her family’s concern over her mental state, the Commission does not observe in the file that the State provided mental health services, nor that it conducted a psychological or psychiatric evaluation of the alleged victim. </w:t>
      </w:r>
    </w:p>
    <w:p w14:paraId="3AB1433A" w14:textId="77777777" w:rsidR="00EA6555" w:rsidRPr="00A623AB" w:rsidRDefault="00EA6555" w:rsidP="00EA6555">
      <w:pPr>
        <w:jc w:val="both"/>
        <w:rPr>
          <w:rFonts w:ascii="Cambria" w:hAnsi="Cambria" w:cstheme="majorHAnsi"/>
          <w:bCs/>
          <w:sz w:val="20"/>
          <w:szCs w:val="20"/>
        </w:rPr>
      </w:pPr>
    </w:p>
    <w:p w14:paraId="3D6CD625" w14:textId="20731DC8" w:rsidR="00AF04B7" w:rsidRPr="00A623AB" w:rsidRDefault="0066215E" w:rsidP="00AF04B7">
      <w:pPr>
        <w:pStyle w:val="ListParagraph"/>
        <w:numPr>
          <w:ilvl w:val="0"/>
          <w:numId w:val="51"/>
        </w:numPr>
        <w:ind w:left="0" w:firstLine="567"/>
        <w:jc w:val="both"/>
        <w:rPr>
          <w:rFonts w:cstheme="majorHAnsi"/>
          <w:bCs/>
          <w:color w:val="auto"/>
          <w:sz w:val="20"/>
          <w:szCs w:val="20"/>
        </w:rPr>
      </w:pPr>
      <w:r w:rsidRPr="00A623AB">
        <w:rPr>
          <w:bCs/>
          <w:color w:val="auto"/>
          <w:sz w:val="20"/>
          <w:szCs w:val="20"/>
        </w:rPr>
        <w:t xml:space="preserve">In view of the above, the Commission concludes that, during the deprivation of her liberty at the INOF, Sarah had no access to the appropriate medical care that she required to control her diabetes, nor </w:t>
      </w:r>
      <w:r w:rsidR="000431EF" w:rsidRPr="00A623AB">
        <w:rPr>
          <w:bCs/>
          <w:color w:val="auto"/>
          <w:sz w:val="20"/>
          <w:szCs w:val="20"/>
        </w:rPr>
        <w:t xml:space="preserve">to </w:t>
      </w:r>
      <w:r w:rsidRPr="00A623AB">
        <w:rPr>
          <w:bCs/>
          <w:color w:val="auto"/>
          <w:sz w:val="20"/>
          <w:szCs w:val="20"/>
        </w:rPr>
        <w:t xml:space="preserve">what she required to take care of her mental health. </w:t>
      </w:r>
    </w:p>
    <w:p w14:paraId="13602DA0" w14:textId="77777777" w:rsidR="00AF04B7" w:rsidRPr="00A623AB" w:rsidRDefault="00AF04B7" w:rsidP="00AF04B7">
      <w:pPr>
        <w:jc w:val="both"/>
        <w:rPr>
          <w:rFonts w:ascii="Cambria" w:hAnsi="Cambria"/>
          <w:sz w:val="20"/>
          <w:szCs w:val="20"/>
        </w:rPr>
      </w:pPr>
    </w:p>
    <w:p w14:paraId="6BC300FB" w14:textId="77777777" w:rsidR="00207601" w:rsidRPr="00A623AB" w:rsidRDefault="0066215E" w:rsidP="00550322">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ind w:left="1440"/>
        <w:jc w:val="both"/>
        <w:rPr>
          <w:b/>
          <w:color w:val="auto"/>
          <w:sz w:val="20"/>
          <w:szCs w:val="20"/>
        </w:rPr>
      </w:pPr>
      <w:r w:rsidRPr="00A623AB">
        <w:rPr>
          <w:b/>
          <w:bCs/>
          <w:color w:val="auto"/>
          <w:sz w:val="20"/>
          <w:szCs w:val="20"/>
        </w:rPr>
        <w:t xml:space="preserve">On the facts that took place on March 7, 2001 </w:t>
      </w:r>
    </w:p>
    <w:p w14:paraId="33097D51" w14:textId="77777777" w:rsidR="00207601" w:rsidRPr="00A623AB" w:rsidRDefault="00207601" w:rsidP="00AF04B7">
      <w:pPr>
        <w:jc w:val="both"/>
        <w:rPr>
          <w:rFonts w:ascii="Cambria" w:hAnsi="Cambria"/>
          <w:sz w:val="20"/>
          <w:szCs w:val="20"/>
        </w:rPr>
      </w:pPr>
    </w:p>
    <w:p w14:paraId="0E196811" w14:textId="68553291" w:rsidR="0033269E" w:rsidRPr="00A623AB" w:rsidRDefault="0066215E" w:rsidP="0033269E">
      <w:pPr>
        <w:pStyle w:val="ListParagraph"/>
        <w:numPr>
          <w:ilvl w:val="0"/>
          <w:numId w:val="51"/>
        </w:numPr>
        <w:ind w:left="0" w:firstLine="567"/>
        <w:jc w:val="both"/>
        <w:rPr>
          <w:color w:val="auto"/>
          <w:sz w:val="20"/>
          <w:szCs w:val="20"/>
        </w:rPr>
      </w:pPr>
      <w:r w:rsidRPr="00A623AB">
        <w:rPr>
          <w:color w:val="auto"/>
          <w:sz w:val="20"/>
          <w:szCs w:val="20"/>
        </w:rPr>
        <w:t xml:space="preserve">With regard to the date of the alleged victim’s death, March 7, 2001, the Commission notes that Sarah’s health started </w:t>
      </w:r>
      <w:r w:rsidR="000431EF" w:rsidRPr="00A623AB">
        <w:rPr>
          <w:color w:val="auto"/>
          <w:sz w:val="20"/>
          <w:szCs w:val="20"/>
        </w:rPr>
        <w:t xml:space="preserve">to </w:t>
      </w:r>
      <w:r w:rsidRPr="00A623AB">
        <w:rPr>
          <w:color w:val="auto"/>
          <w:sz w:val="20"/>
          <w:szCs w:val="20"/>
        </w:rPr>
        <w:t>deteriorat</w:t>
      </w:r>
      <w:r w:rsidR="000431EF" w:rsidRPr="00A623AB">
        <w:rPr>
          <w:color w:val="auto"/>
          <w:sz w:val="20"/>
          <w:szCs w:val="20"/>
        </w:rPr>
        <w:t>e</w:t>
      </w:r>
      <w:r w:rsidRPr="00A623AB">
        <w:rPr>
          <w:color w:val="auto"/>
          <w:sz w:val="20"/>
          <w:szCs w:val="20"/>
        </w:rPr>
        <w:t xml:space="preserve"> rapidly. According to the statement given by one of her fellow inmates, the other prisoners woke Sarah up at 3</w:t>
      </w:r>
      <w:r w:rsidR="000431EF" w:rsidRPr="00A623AB">
        <w:rPr>
          <w:color w:val="auto"/>
          <w:sz w:val="20"/>
          <w:szCs w:val="20"/>
        </w:rPr>
        <w:t>.</w:t>
      </w:r>
      <w:r w:rsidRPr="00A623AB">
        <w:rPr>
          <w:color w:val="auto"/>
          <w:sz w:val="20"/>
          <w:szCs w:val="20"/>
        </w:rPr>
        <w:t>40</w:t>
      </w:r>
      <w:r w:rsidR="000431EF" w:rsidRPr="00A623AB">
        <w:rPr>
          <w:color w:val="auto"/>
          <w:sz w:val="20"/>
          <w:szCs w:val="20"/>
        </w:rPr>
        <w:t xml:space="preserve"> a.m.</w:t>
      </w:r>
      <w:r w:rsidRPr="00A623AB">
        <w:rPr>
          <w:color w:val="auto"/>
          <w:sz w:val="20"/>
          <w:szCs w:val="20"/>
        </w:rPr>
        <w:t xml:space="preserve"> because she seemed restless and presented perspiration and foamy and white vomits, so the inmates tried to help her. One of the inmates let the guard know that Sarah was not feeling okay and that she needed her insulin. However, on that day, the physician in charge of INOF’s </w:t>
      </w:r>
      <w:r w:rsidR="000431EF" w:rsidRPr="00A623AB">
        <w:rPr>
          <w:color w:val="auto"/>
          <w:sz w:val="20"/>
          <w:szCs w:val="20"/>
        </w:rPr>
        <w:t>m</w:t>
      </w:r>
      <w:r w:rsidRPr="00A623AB">
        <w:rPr>
          <w:color w:val="auto"/>
          <w:sz w:val="20"/>
          <w:szCs w:val="20"/>
        </w:rPr>
        <w:t xml:space="preserve">edical </w:t>
      </w:r>
      <w:r w:rsidR="000431EF" w:rsidRPr="00A623AB">
        <w:rPr>
          <w:color w:val="auto"/>
          <w:sz w:val="20"/>
          <w:szCs w:val="20"/>
        </w:rPr>
        <w:t>s</w:t>
      </w:r>
      <w:r w:rsidRPr="00A623AB">
        <w:rPr>
          <w:color w:val="auto"/>
          <w:sz w:val="20"/>
          <w:szCs w:val="20"/>
        </w:rPr>
        <w:t xml:space="preserve">ervice and the prison chief were not at the prison facilities, since they had traveled to an event without having made the necessary arrangements to avoid leaving </w:t>
      </w:r>
      <w:r w:rsidR="000431EF" w:rsidRPr="00A623AB">
        <w:rPr>
          <w:color w:val="auto"/>
          <w:sz w:val="20"/>
          <w:szCs w:val="20"/>
        </w:rPr>
        <w:t xml:space="preserve">the </w:t>
      </w:r>
      <w:r w:rsidRPr="00A623AB">
        <w:rPr>
          <w:color w:val="auto"/>
          <w:sz w:val="20"/>
          <w:szCs w:val="20"/>
        </w:rPr>
        <w:t>INOF’s health care service for adults unattended. In turn, even though the physicians in charge of the pediatrics section had been notified of a fainted inmate, they did not provide any medical assistance to her, under the argument that they were not authorized to enter the adult section</w:t>
      </w:r>
      <w:r w:rsidR="00E26BD0" w:rsidRPr="00A623AB">
        <w:rPr>
          <w:color w:val="auto"/>
          <w:sz w:val="20"/>
          <w:szCs w:val="20"/>
        </w:rPr>
        <w:t xml:space="preserve">. </w:t>
      </w:r>
    </w:p>
    <w:p w14:paraId="7FBA0D45" w14:textId="77777777" w:rsidR="00AF04B7" w:rsidRPr="00A623AB" w:rsidRDefault="00AF04B7" w:rsidP="009C06F8">
      <w:pPr>
        <w:rPr>
          <w:rFonts w:ascii="Cambria" w:hAnsi="Cambria"/>
          <w:sz w:val="20"/>
          <w:szCs w:val="20"/>
        </w:rPr>
      </w:pPr>
    </w:p>
    <w:p w14:paraId="1F9BF9A5" w14:textId="789B1652" w:rsidR="00073640" w:rsidRPr="00A623AB" w:rsidRDefault="0066215E" w:rsidP="0036484A">
      <w:pPr>
        <w:pStyle w:val="ListParagraph"/>
        <w:numPr>
          <w:ilvl w:val="0"/>
          <w:numId w:val="51"/>
        </w:numPr>
        <w:ind w:left="0" w:firstLine="567"/>
        <w:jc w:val="both"/>
        <w:rPr>
          <w:color w:val="auto"/>
          <w:sz w:val="20"/>
          <w:szCs w:val="20"/>
        </w:rPr>
      </w:pPr>
      <w:r w:rsidRPr="00A623AB">
        <w:rPr>
          <w:color w:val="auto"/>
          <w:sz w:val="20"/>
          <w:szCs w:val="20"/>
        </w:rPr>
        <w:t>The Commission notes that, in addition to the lack of medical attention, the fire brigade took too much time to transfer the alleged victim to the hospital; when she finally arrived</w:t>
      </w:r>
      <w:r w:rsidR="000431EF" w:rsidRPr="00A623AB">
        <w:rPr>
          <w:color w:val="auto"/>
          <w:sz w:val="20"/>
          <w:szCs w:val="20"/>
        </w:rPr>
        <w:t xml:space="preserve"> – </w:t>
      </w:r>
      <w:r w:rsidRPr="00A623AB">
        <w:rPr>
          <w:color w:val="auto"/>
          <w:sz w:val="20"/>
          <w:szCs w:val="20"/>
        </w:rPr>
        <w:t>in a critical condition and semi-unconscious</w:t>
      </w:r>
      <w:r w:rsidR="000431EF" w:rsidRPr="00A623AB">
        <w:rPr>
          <w:color w:val="auto"/>
          <w:sz w:val="20"/>
          <w:szCs w:val="20"/>
        </w:rPr>
        <w:t xml:space="preserve"> –</w:t>
      </w:r>
      <w:r w:rsidRPr="00A623AB">
        <w:rPr>
          <w:color w:val="auto"/>
          <w:sz w:val="20"/>
          <w:szCs w:val="20"/>
        </w:rPr>
        <w:t xml:space="preserve">, there was no place to admit her. Moreover, despite being a person under state custody, her parents and </w:t>
      </w:r>
      <w:r w:rsidR="007E3D56" w:rsidRPr="00A623AB">
        <w:rPr>
          <w:color w:val="auto"/>
          <w:sz w:val="20"/>
          <w:szCs w:val="20"/>
        </w:rPr>
        <w:t xml:space="preserve">her </w:t>
      </w:r>
      <w:r w:rsidR="005A460E" w:rsidRPr="00A623AB">
        <w:rPr>
          <w:color w:val="auto"/>
          <w:sz w:val="20"/>
          <w:szCs w:val="20"/>
        </w:rPr>
        <w:t xml:space="preserve">defense </w:t>
      </w:r>
      <w:r w:rsidRPr="00A623AB">
        <w:rPr>
          <w:color w:val="auto"/>
          <w:sz w:val="20"/>
          <w:szCs w:val="20"/>
        </w:rPr>
        <w:t>attorney had to take care of her transfer to a private clinic and had to cover the cost</w:t>
      </w:r>
      <w:r w:rsidR="000431EF" w:rsidRPr="00A623AB">
        <w:rPr>
          <w:color w:val="auto"/>
          <w:sz w:val="20"/>
          <w:szCs w:val="20"/>
        </w:rPr>
        <w:t>s</w:t>
      </w:r>
      <w:r w:rsidRPr="00A623AB">
        <w:rPr>
          <w:color w:val="auto"/>
          <w:sz w:val="20"/>
          <w:szCs w:val="20"/>
        </w:rPr>
        <w:t>, which caused them great anguish and took several hours, during which Sarah was kept at the admission room, connected to the ambulance ventilator; upon admission, she was already in a diabetic coma.</w:t>
      </w:r>
    </w:p>
    <w:p w14:paraId="3DC4DFDF" w14:textId="77777777" w:rsidR="00EA6555" w:rsidRPr="00A623AB" w:rsidRDefault="00EA6555" w:rsidP="00EA6555">
      <w:pPr>
        <w:jc w:val="both"/>
        <w:rPr>
          <w:rFonts w:ascii="Cambria" w:hAnsi="Cambria"/>
          <w:sz w:val="20"/>
          <w:szCs w:val="20"/>
        </w:rPr>
      </w:pPr>
    </w:p>
    <w:p w14:paraId="44CD38F1" w14:textId="14A76AF5" w:rsidR="00AF04B7" w:rsidRPr="00A623AB" w:rsidRDefault="0066215E" w:rsidP="00EA6555">
      <w:pPr>
        <w:pStyle w:val="ListParagraph"/>
        <w:numPr>
          <w:ilvl w:val="0"/>
          <w:numId w:val="51"/>
        </w:numPr>
        <w:ind w:left="0" w:firstLine="567"/>
        <w:jc w:val="both"/>
        <w:rPr>
          <w:color w:val="auto"/>
          <w:sz w:val="20"/>
          <w:szCs w:val="20"/>
        </w:rPr>
      </w:pPr>
      <w:r w:rsidRPr="00A623AB">
        <w:rPr>
          <w:color w:val="auto"/>
          <w:sz w:val="20"/>
          <w:szCs w:val="20"/>
        </w:rPr>
        <w:t xml:space="preserve">The Commission notes that the Venezuelan authorities themselves stated in their communication with Sarah’s parents that the </w:t>
      </w:r>
      <w:r w:rsidR="00E26BD0" w:rsidRPr="00A623AB">
        <w:rPr>
          <w:color w:val="auto"/>
          <w:sz w:val="20"/>
          <w:szCs w:val="20"/>
        </w:rPr>
        <w:t>reason</w:t>
      </w:r>
      <w:r w:rsidRPr="00A623AB">
        <w:rPr>
          <w:color w:val="auto"/>
          <w:sz w:val="20"/>
          <w:szCs w:val="20"/>
        </w:rPr>
        <w:t xml:space="preserve"> she did not receive medical attention was that the INOF lacked the medical staff required to fill the duty shifts that would allow them to provide the service 24 hours a </w:t>
      </w:r>
      <w:r w:rsidRPr="00A623AB">
        <w:rPr>
          <w:color w:val="auto"/>
          <w:sz w:val="20"/>
          <w:szCs w:val="20"/>
        </w:rPr>
        <w:lastRenderedPageBreak/>
        <w:t>day, especially to treat inmates with diseases that required immediate attention. They also stated that the medical service for adults “was available until 4</w:t>
      </w:r>
      <w:r w:rsidR="000431EF" w:rsidRPr="00A623AB">
        <w:rPr>
          <w:color w:val="auto"/>
          <w:sz w:val="20"/>
          <w:szCs w:val="20"/>
        </w:rPr>
        <w:t>.</w:t>
      </w:r>
      <w:r w:rsidRPr="00A623AB">
        <w:rPr>
          <w:color w:val="auto"/>
          <w:sz w:val="20"/>
          <w:szCs w:val="20"/>
        </w:rPr>
        <w:t>00 p</w:t>
      </w:r>
      <w:r w:rsidR="000431EF" w:rsidRPr="00A623AB">
        <w:rPr>
          <w:color w:val="auto"/>
          <w:sz w:val="20"/>
          <w:szCs w:val="20"/>
        </w:rPr>
        <w:t>.</w:t>
      </w:r>
      <w:r w:rsidRPr="00A623AB">
        <w:rPr>
          <w:color w:val="auto"/>
          <w:sz w:val="20"/>
          <w:szCs w:val="20"/>
        </w:rPr>
        <w:t>m</w:t>
      </w:r>
      <w:r w:rsidR="000431EF" w:rsidRPr="00A623AB">
        <w:rPr>
          <w:color w:val="auto"/>
          <w:sz w:val="20"/>
          <w:szCs w:val="20"/>
        </w:rPr>
        <w:t>.</w:t>
      </w:r>
      <w:r w:rsidRPr="00A623AB">
        <w:rPr>
          <w:color w:val="auto"/>
          <w:sz w:val="20"/>
          <w:szCs w:val="20"/>
        </w:rPr>
        <w:t xml:space="preserve">, preventing the inmate population from accessing a service of vital importance for the rest of the day.”  </w:t>
      </w:r>
    </w:p>
    <w:p w14:paraId="100E419B" w14:textId="77777777" w:rsidR="00EA6555" w:rsidRPr="00A623AB" w:rsidRDefault="00EA6555" w:rsidP="00EA6555">
      <w:pPr>
        <w:jc w:val="both"/>
        <w:rPr>
          <w:rFonts w:ascii="Cambria" w:hAnsi="Cambria"/>
          <w:sz w:val="20"/>
          <w:szCs w:val="20"/>
        </w:rPr>
      </w:pPr>
    </w:p>
    <w:p w14:paraId="0DF798CD" w14:textId="77777777" w:rsidR="00EA6555" w:rsidRPr="00A623AB" w:rsidRDefault="0066215E" w:rsidP="00EA6555">
      <w:pPr>
        <w:pStyle w:val="ListParagraph"/>
        <w:numPr>
          <w:ilvl w:val="0"/>
          <w:numId w:val="51"/>
        </w:numPr>
        <w:ind w:left="0" w:firstLine="567"/>
        <w:jc w:val="both"/>
        <w:rPr>
          <w:color w:val="auto"/>
          <w:sz w:val="20"/>
          <w:szCs w:val="20"/>
        </w:rPr>
      </w:pPr>
      <w:r w:rsidRPr="00A623AB">
        <w:rPr>
          <w:bCs/>
          <w:color w:val="auto"/>
          <w:sz w:val="20"/>
          <w:szCs w:val="20"/>
        </w:rPr>
        <w:t>As stated by the Inter-American Court, in accordance with the principle of equivalence of care, the State has the duty to guarantee that persons deprived of liberty who suffer serious, chronic or terminal illnesses, like diabetes, have access to adequate medical facilities to receive adequate specialized care and treatment, including areas, equipment and qualified staff (medical and nursing).</w:t>
      </w:r>
      <w:r w:rsidRPr="00A623AB">
        <w:rPr>
          <w:rStyle w:val="FootnoteReference"/>
          <w:rFonts w:cstheme="majorHAnsi"/>
          <w:bCs/>
          <w:color w:val="auto"/>
          <w:sz w:val="20"/>
          <w:szCs w:val="20"/>
          <w:lang w:val="es-ES"/>
        </w:rPr>
        <w:footnoteReference w:id="116"/>
      </w:r>
      <w:r w:rsidRPr="00A623AB">
        <w:rPr>
          <w:bCs/>
          <w:color w:val="auto"/>
          <w:sz w:val="20"/>
          <w:szCs w:val="20"/>
        </w:rPr>
        <w:t xml:space="preserve"> In the instant case, it is clear that the INOF’s medical service did not have the staff and medical supplies required. Nevertheless, no measures were taken to guarantee Sarah Langton’s rights to health, personal integrity and life.</w:t>
      </w:r>
    </w:p>
    <w:p w14:paraId="6EAD9A81" w14:textId="77777777" w:rsidR="00207601" w:rsidRPr="00A623AB" w:rsidRDefault="00207601" w:rsidP="00207601">
      <w:pPr>
        <w:jc w:val="both"/>
        <w:rPr>
          <w:rFonts w:ascii="Cambria" w:hAnsi="Cambria"/>
          <w:sz w:val="20"/>
          <w:szCs w:val="20"/>
        </w:rPr>
      </w:pPr>
    </w:p>
    <w:p w14:paraId="150D433F" w14:textId="77777777" w:rsidR="00207601" w:rsidRPr="00A623AB" w:rsidRDefault="0066215E" w:rsidP="00550322">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ind w:left="1440"/>
        <w:jc w:val="both"/>
        <w:rPr>
          <w:b/>
          <w:color w:val="auto"/>
          <w:sz w:val="20"/>
          <w:szCs w:val="20"/>
          <w:lang w:val="es-ES"/>
        </w:rPr>
      </w:pPr>
      <w:r w:rsidRPr="00A623AB">
        <w:rPr>
          <w:b/>
          <w:bCs/>
          <w:color w:val="auto"/>
          <w:sz w:val="20"/>
          <w:szCs w:val="20"/>
        </w:rPr>
        <w:t>Conclusion</w:t>
      </w:r>
    </w:p>
    <w:p w14:paraId="38D98F72" w14:textId="77777777" w:rsidR="00244B80" w:rsidRPr="00A623AB" w:rsidRDefault="00244B80" w:rsidP="009C06F8">
      <w:pPr>
        <w:jc w:val="both"/>
        <w:rPr>
          <w:rFonts w:ascii="Cambria" w:hAnsi="Cambria"/>
          <w:sz w:val="20"/>
          <w:szCs w:val="20"/>
          <w:lang w:val="es-ES"/>
        </w:rPr>
      </w:pPr>
    </w:p>
    <w:p w14:paraId="0D60CDCD" w14:textId="00158549" w:rsidR="00EA6555" w:rsidRPr="00A623AB" w:rsidRDefault="0066215E" w:rsidP="00EA6555">
      <w:pPr>
        <w:pStyle w:val="ListParagraph"/>
        <w:numPr>
          <w:ilvl w:val="0"/>
          <w:numId w:val="51"/>
        </w:numPr>
        <w:ind w:left="0" w:firstLine="567"/>
        <w:jc w:val="both"/>
        <w:rPr>
          <w:color w:val="auto"/>
          <w:sz w:val="20"/>
          <w:szCs w:val="20"/>
        </w:rPr>
      </w:pPr>
      <w:r w:rsidRPr="00A623AB">
        <w:rPr>
          <w:color w:val="auto"/>
          <w:sz w:val="20"/>
          <w:szCs w:val="20"/>
        </w:rPr>
        <w:t xml:space="preserve">The Commission notes that the State did not ensure that, given her health condition, Sarah received periodic and adequate medical attention aimed at treating her chronic disease, diabetes, so as to prevent her </w:t>
      </w:r>
      <w:r w:rsidR="000431EF" w:rsidRPr="00A623AB">
        <w:rPr>
          <w:color w:val="auto"/>
          <w:sz w:val="20"/>
          <w:szCs w:val="20"/>
        </w:rPr>
        <w:t xml:space="preserve">health </w:t>
      </w:r>
      <w:r w:rsidRPr="00A623AB">
        <w:rPr>
          <w:color w:val="auto"/>
          <w:sz w:val="20"/>
          <w:szCs w:val="20"/>
        </w:rPr>
        <w:t>deterioration, in spite of the concern that was repeatedly shown by her parents, family physician and British authorities. On top of this, when her state did deteriorate, there was no medical staff available to assist her during the emergency</w:t>
      </w:r>
      <w:r w:rsidR="000431EF" w:rsidRPr="00A623AB">
        <w:rPr>
          <w:color w:val="auto"/>
          <w:sz w:val="20"/>
          <w:szCs w:val="20"/>
        </w:rPr>
        <w:t>.</w:t>
      </w:r>
      <w:r w:rsidRPr="00A623AB">
        <w:rPr>
          <w:color w:val="auto"/>
          <w:sz w:val="20"/>
          <w:szCs w:val="20"/>
        </w:rPr>
        <w:t xml:space="preserve"> </w:t>
      </w:r>
      <w:r w:rsidR="000431EF" w:rsidRPr="00A623AB">
        <w:rPr>
          <w:color w:val="auto"/>
          <w:sz w:val="20"/>
          <w:szCs w:val="20"/>
        </w:rPr>
        <w:t>T</w:t>
      </w:r>
      <w:r w:rsidRPr="00A623AB">
        <w:rPr>
          <w:color w:val="auto"/>
          <w:sz w:val="20"/>
          <w:szCs w:val="20"/>
        </w:rPr>
        <w:t xml:space="preserve">herefore, valuable hours were wasted before she could be transferred and assisted at the medical institute. In addition, once Sarah arrived at the hospital, the State did not guarantee that she was looked after as immediately as her situation called for. Conversely, there was no space available at the intensive care unit, which led to the eventual death of the alleged victim. </w:t>
      </w:r>
    </w:p>
    <w:p w14:paraId="55C3EC97" w14:textId="77777777" w:rsidR="009C06F8" w:rsidRPr="00A623AB" w:rsidRDefault="009C06F8" w:rsidP="009C06F8">
      <w:pPr>
        <w:jc w:val="both"/>
        <w:rPr>
          <w:rFonts w:ascii="Cambria" w:hAnsi="Cambria"/>
          <w:sz w:val="20"/>
          <w:szCs w:val="20"/>
        </w:rPr>
      </w:pPr>
    </w:p>
    <w:p w14:paraId="585842C2" w14:textId="1F7E8CDF" w:rsidR="005B6E17" w:rsidRPr="00A623AB" w:rsidRDefault="0066215E" w:rsidP="00EA6555">
      <w:pPr>
        <w:pStyle w:val="ListParagraph"/>
        <w:numPr>
          <w:ilvl w:val="0"/>
          <w:numId w:val="51"/>
        </w:numPr>
        <w:ind w:left="0" w:firstLine="567"/>
        <w:jc w:val="both"/>
        <w:rPr>
          <w:color w:val="auto"/>
          <w:sz w:val="20"/>
          <w:szCs w:val="20"/>
        </w:rPr>
      </w:pPr>
      <w:r w:rsidRPr="00A623AB">
        <w:rPr>
          <w:color w:val="auto"/>
          <w:sz w:val="20"/>
          <w:szCs w:val="20"/>
        </w:rPr>
        <w:t xml:space="preserve">Due to the foregoing reasons, the Commission considers that the State did not comply with its international obligation to guarantee Sarah Lyn Langton’s rights to personal integrity, life and health during the period of time she remained deprived of her liberty at the INOF. Therefore, the Commission concludes that the Venezuelan State is </w:t>
      </w:r>
      <w:r w:rsidR="00F11F46" w:rsidRPr="00A623AB">
        <w:rPr>
          <w:color w:val="auto"/>
          <w:sz w:val="20"/>
          <w:szCs w:val="20"/>
        </w:rPr>
        <w:t>responsibl</w:t>
      </w:r>
      <w:r w:rsidRPr="00A623AB">
        <w:rPr>
          <w:color w:val="auto"/>
          <w:sz w:val="20"/>
          <w:szCs w:val="20"/>
        </w:rPr>
        <w:t>e for the violation of the right to life established in Article 4, the right to personal integrity established in Article 5.1, and of Article 26, all of them of the American Convention, in relation to the obligations set forth in Article 1.1 thereof, to the detriment of Sarah Lyn Langton</w:t>
      </w:r>
      <w:r w:rsidR="00E26BD0" w:rsidRPr="00A623AB">
        <w:rPr>
          <w:color w:val="auto"/>
          <w:sz w:val="20"/>
          <w:szCs w:val="20"/>
        </w:rPr>
        <w:t xml:space="preserve">. </w:t>
      </w:r>
    </w:p>
    <w:p w14:paraId="4D05E784" w14:textId="77777777" w:rsidR="002A6B05" w:rsidRPr="00A623AB" w:rsidRDefault="0066215E" w:rsidP="002A6B05">
      <w:pPr>
        <w:pStyle w:val="ListParagraph"/>
        <w:ind w:left="567"/>
        <w:jc w:val="both"/>
        <w:rPr>
          <w:color w:val="auto"/>
          <w:sz w:val="20"/>
          <w:szCs w:val="20"/>
        </w:rPr>
      </w:pPr>
      <w:r w:rsidRPr="00A623AB">
        <w:rPr>
          <w:color w:val="auto"/>
          <w:sz w:val="20"/>
          <w:szCs w:val="20"/>
        </w:rPr>
        <w:t xml:space="preserve">  </w:t>
      </w:r>
    </w:p>
    <w:p w14:paraId="768F8107" w14:textId="77777777" w:rsidR="002A6B05" w:rsidRPr="00A623AB" w:rsidRDefault="0066215E" w:rsidP="00550322">
      <w:pPr>
        <w:pStyle w:val="Heading2"/>
        <w:numPr>
          <w:ilvl w:val="0"/>
          <w:numId w:val="53"/>
        </w:numPr>
        <w:jc w:val="both"/>
        <w:rPr>
          <w:rFonts w:ascii="Cambria" w:hAnsi="Cambria"/>
          <w:i w:val="0"/>
          <w:iCs w:val="0"/>
          <w:sz w:val="20"/>
          <w:szCs w:val="20"/>
          <w:u w:val="single"/>
        </w:rPr>
      </w:pPr>
      <w:bookmarkStart w:id="30" w:name="_Toc217309580"/>
      <w:r w:rsidRPr="00A623AB">
        <w:rPr>
          <w:rFonts w:ascii="Cambria" w:eastAsia="Cambria" w:hAnsi="Cambria" w:cs="Cambria"/>
          <w:i w:val="0"/>
          <w:iCs w:val="0"/>
          <w:sz w:val="20"/>
          <w:szCs w:val="20"/>
          <w:bdr w:val="nil"/>
        </w:rPr>
        <w:t>Right to a fair trial (Article 8)</w:t>
      </w:r>
      <w:r w:rsidRPr="00A623AB">
        <w:rPr>
          <w:rStyle w:val="FootnoteReference"/>
          <w:rFonts w:ascii="Cambria" w:hAnsi="Cambria"/>
          <w:i w:val="0"/>
          <w:iCs w:val="0"/>
          <w:sz w:val="20"/>
          <w:szCs w:val="20"/>
          <w:lang w:val="es-ES"/>
        </w:rPr>
        <w:footnoteReference w:id="117"/>
      </w:r>
      <w:r w:rsidRPr="00A623AB">
        <w:rPr>
          <w:rFonts w:ascii="Cambria" w:eastAsia="Cambria" w:hAnsi="Cambria" w:cs="Cambria"/>
          <w:i w:val="0"/>
          <w:iCs w:val="0"/>
          <w:sz w:val="20"/>
          <w:szCs w:val="20"/>
          <w:bdr w:val="nil"/>
        </w:rPr>
        <w:t xml:space="preserve"> and to judicial protection (Article 25)</w:t>
      </w:r>
      <w:r w:rsidR="00164422" w:rsidRPr="00A623AB">
        <w:rPr>
          <w:rFonts w:ascii="Cambria" w:eastAsia="Cambria" w:hAnsi="Cambria" w:cs="Cambria"/>
          <w:i w:val="0"/>
          <w:iCs w:val="0"/>
          <w:sz w:val="20"/>
          <w:szCs w:val="20"/>
          <w:bdr w:val="nil"/>
        </w:rPr>
        <w:t>,</w:t>
      </w:r>
      <w:r w:rsidRPr="00A623AB">
        <w:rPr>
          <w:rStyle w:val="FootnoteReference"/>
          <w:rFonts w:ascii="Cambria" w:hAnsi="Cambria"/>
          <w:i w:val="0"/>
          <w:iCs w:val="0"/>
          <w:sz w:val="20"/>
          <w:szCs w:val="20"/>
          <w:lang w:val="es-ES"/>
        </w:rPr>
        <w:footnoteReference w:id="118"/>
      </w:r>
      <w:r w:rsidRPr="00A623AB">
        <w:rPr>
          <w:rFonts w:ascii="Cambria" w:eastAsia="Cambria" w:hAnsi="Cambria" w:cs="Cambria"/>
          <w:i w:val="0"/>
          <w:iCs w:val="0"/>
          <w:sz w:val="20"/>
          <w:szCs w:val="20"/>
          <w:bdr w:val="nil"/>
        </w:rPr>
        <w:t xml:space="preserve"> in relation to Article 1.1 of the American Convention</w:t>
      </w:r>
      <w:bookmarkEnd w:id="30"/>
    </w:p>
    <w:p w14:paraId="7A55CDB8" w14:textId="77777777" w:rsidR="002A6B05" w:rsidRPr="00A623AB" w:rsidRDefault="0066215E" w:rsidP="00550322">
      <w:pPr>
        <w:pStyle w:val="Heading3"/>
        <w:numPr>
          <w:ilvl w:val="0"/>
          <w:numId w:val="57"/>
        </w:numPr>
        <w:ind w:left="1440" w:hanging="630"/>
        <w:rPr>
          <w:rFonts w:ascii="Cambria" w:hAnsi="Cambria"/>
          <w:sz w:val="20"/>
          <w:szCs w:val="20"/>
          <w:lang w:val="es-ES"/>
        </w:rPr>
      </w:pPr>
      <w:bookmarkStart w:id="31" w:name="_Toc83852720"/>
      <w:bookmarkStart w:id="32" w:name="_Toc217309581"/>
      <w:r w:rsidRPr="00A623AB">
        <w:rPr>
          <w:rFonts w:ascii="Cambria" w:eastAsia="Cambria" w:hAnsi="Cambria" w:cs="Cambria"/>
          <w:sz w:val="20"/>
          <w:szCs w:val="20"/>
          <w:bdr w:val="nil"/>
        </w:rPr>
        <w:t>General considerations</w:t>
      </w:r>
      <w:bookmarkEnd w:id="31"/>
      <w:bookmarkEnd w:id="32"/>
    </w:p>
    <w:p w14:paraId="48C20680" w14:textId="77777777" w:rsidR="002A6B05" w:rsidRPr="00A623AB" w:rsidRDefault="002A6B05" w:rsidP="002A6B05">
      <w:pPr>
        <w:rPr>
          <w:rFonts w:ascii="Cambria" w:hAnsi="Cambria"/>
          <w:sz w:val="20"/>
          <w:szCs w:val="20"/>
          <w:lang w:val="es-ES"/>
        </w:rPr>
      </w:pPr>
    </w:p>
    <w:p w14:paraId="568043AD" w14:textId="77777777" w:rsidR="00587F9E" w:rsidRPr="00A623AB" w:rsidRDefault="0066215E" w:rsidP="00EA6555">
      <w:pPr>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567"/>
        <w:jc w:val="both"/>
        <w:rPr>
          <w:rFonts w:ascii="Cambria" w:eastAsia="Cambria" w:hAnsi="Cambria" w:cs="Cambria"/>
          <w:b/>
          <w:sz w:val="20"/>
          <w:szCs w:val="20"/>
          <w:u w:color="000000"/>
          <w:lang w:eastAsia="es-ES"/>
        </w:rPr>
      </w:pPr>
      <w:r w:rsidRPr="00A623AB">
        <w:rPr>
          <w:rFonts w:ascii="Cambria" w:eastAsia="Cambria" w:hAnsi="Cambria" w:cs="Cambria"/>
          <w:sz w:val="20"/>
          <w:szCs w:val="20"/>
          <w:u w:color="000000"/>
          <w:lang w:eastAsia="es-ES"/>
        </w:rPr>
        <w:t>The Inter-American Court has established that, “based on the protection granted by Articles 8 and 25 of the Convention, States are obliged to provide effective judicial remedies to the victims of human rights violations, which must be made available in accordance with the rules of due process of law.”</w:t>
      </w:r>
      <w:r w:rsidRPr="00A623AB">
        <w:rPr>
          <w:rFonts w:ascii="Cambria" w:eastAsia="Cambria" w:hAnsi="Cambria" w:cs="Cambria"/>
          <w:sz w:val="20"/>
          <w:szCs w:val="20"/>
          <w:u w:color="000000"/>
          <w:vertAlign w:val="superscript"/>
          <w:lang w:val="es-ES" w:eastAsia="es-ES"/>
        </w:rPr>
        <w:footnoteReference w:id="119"/>
      </w:r>
      <w:r w:rsidRPr="00A623AB">
        <w:rPr>
          <w:rFonts w:ascii="Cambria" w:eastAsia="Cambria" w:hAnsi="Cambria" w:cs="Cambria"/>
          <w:sz w:val="20"/>
          <w:szCs w:val="20"/>
          <w:u w:color="000000"/>
          <w:lang w:eastAsia="es-ES"/>
        </w:rPr>
        <w:t xml:space="preserve"> The State is obliged, once it has knowledge of a violation of human rights, in particular of the rights to life, personal integrity </w:t>
      </w:r>
      <w:r w:rsidRPr="00A623AB">
        <w:rPr>
          <w:rFonts w:ascii="Cambria" w:eastAsia="Cambria" w:hAnsi="Cambria" w:cs="Cambria"/>
          <w:sz w:val="20"/>
          <w:szCs w:val="20"/>
          <w:u w:color="000000"/>
          <w:lang w:eastAsia="es-ES"/>
        </w:rPr>
        <w:lastRenderedPageBreak/>
        <w:t>and personal liberty,</w:t>
      </w:r>
      <w:r w:rsidRPr="00A623AB">
        <w:rPr>
          <w:rFonts w:ascii="Cambria" w:eastAsia="Cambria" w:hAnsi="Cambria" w:cs="Cambria"/>
          <w:sz w:val="20"/>
          <w:szCs w:val="20"/>
          <w:u w:color="000000"/>
          <w:vertAlign w:val="superscript"/>
          <w:lang w:val="es-ES" w:eastAsia="es-ES"/>
        </w:rPr>
        <w:footnoteReference w:id="120"/>
      </w:r>
      <w:r w:rsidRPr="00A623AB">
        <w:rPr>
          <w:rFonts w:ascii="Cambria" w:eastAsia="Cambria" w:hAnsi="Cambria" w:cs="Cambria"/>
          <w:sz w:val="20"/>
          <w:szCs w:val="20"/>
          <w:u w:color="000000"/>
          <w:lang w:eastAsia="es-ES"/>
        </w:rPr>
        <w:t xml:space="preserve"> to initiate </w:t>
      </w:r>
      <w:r w:rsidRPr="00A623AB">
        <w:rPr>
          <w:rFonts w:ascii="Cambria" w:eastAsia="Cambria" w:hAnsi="Cambria" w:cs="Cambria"/>
          <w:i/>
          <w:iCs/>
          <w:sz w:val="20"/>
          <w:szCs w:val="20"/>
          <w:u w:color="000000"/>
          <w:lang w:eastAsia="es-ES"/>
        </w:rPr>
        <w:t>ex officio</w:t>
      </w:r>
      <w:r w:rsidRPr="00A623AB">
        <w:rPr>
          <w:rFonts w:ascii="Cambria" w:eastAsia="Cambria" w:hAnsi="Cambria" w:cs="Cambria"/>
          <w:sz w:val="20"/>
          <w:szCs w:val="20"/>
          <w:u w:color="000000"/>
          <w:lang w:eastAsia="es-ES"/>
        </w:rPr>
        <w:t xml:space="preserve"> and immediately, a genuine, impartial and effective investigation,</w:t>
      </w:r>
      <w:r w:rsidRPr="00A623AB">
        <w:rPr>
          <w:rFonts w:ascii="Cambria" w:eastAsia="Cambria" w:hAnsi="Cambria" w:cs="Cambria"/>
          <w:sz w:val="20"/>
          <w:szCs w:val="20"/>
          <w:u w:color="000000"/>
          <w:vertAlign w:val="superscript"/>
          <w:lang w:val="es-ES" w:eastAsia="es-ES"/>
        </w:rPr>
        <w:footnoteReference w:id="121"/>
      </w:r>
      <w:r w:rsidRPr="00A623AB">
        <w:rPr>
          <w:rFonts w:ascii="Cambria" w:eastAsia="Cambria" w:hAnsi="Cambria" w:cs="Cambria"/>
          <w:sz w:val="20"/>
          <w:szCs w:val="20"/>
          <w:u w:color="000000"/>
          <w:lang w:eastAsia="es-ES"/>
        </w:rPr>
        <w:t xml:space="preserve"> which must be carried out within a reasonable time.</w:t>
      </w:r>
      <w:r w:rsidRPr="00A623AB">
        <w:rPr>
          <w:rFonts w:ascii="Cambria" w:eastAsia="Cambria" w:hAnsi="Cambria" w:cs="Cambria"/>
          <w:sz w:val="20"/>
          <w:szCs w:val="20"/>
          <w:u w:color="000000"/>
          <w:vertAlign w:val="superscript"/>
          <w:lang w:val="es-ES" w:eastAsia="es-ES"/>
        </w:rPr>
        <w:footnoteReference w:id="122"/>
      </w:r>
    </w:p>
    <w:p w14:paraId="11B12243" w14:textId="77777777" w:rsidR="00EA6555" w:rsidRPr="00A623AB" w:rsidRDefault="00EA6555" w:rsidP="00EA6555">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jc w:val="both"/>
        <w:rPr>
          <w:rFonts w:ascii="Cambria" w:eastAsia="Cambria" w:hAnsi="Cambria" w:cs="Cambria"/>
          <w:b/>
          <w:sz w:val="20"/>
          <w:szCs w:val="20"/>
          <w:u w:color="000000"/>
          <w:lang w:eastAsia="es-ES"/>
        </w:rPr>
      </w:pPr>
    </w:p>
    <w:p w14:paraId="537C12B8" w14:textId="7CDB3E4E" w:rsidR="002A6B05" w:rsidRPr="00A623AB" w:rsidRDefault="0066215E" w:rsidP="00DC3634">
      <w:pPr>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567"/>
        <w:jc w:val="both"/>
        <w:rPr>
          <w:rFonts w:ascii="Cambria" w:eastAsia="Cambria" w:hAnsi="Cambria" w:cs="Cambria"/>
          <w:b/>
          <w:sz w:val="20"/>
          <w:szCs w:val="20"/>
          <w:u w:color="000000"/>
          <w:lang w:eastAsia="es-ES"/>
        </w:rPr>
      </w:pPr>
      <w:r w:rsidRPr="00A623AB">
        <w:rPr>
          <w:rFonts w:ascii="Cambria" w:eastAsia="Cambria" w:hAnsi="Cambria" w:cs="Cambria"/>
          <w:sz w:val="20"/>
          <w:szCs w:val="20"/>
          <w:u w:color="000000"/>
          <w:lang w:eastAsia="es-ES"/>
        </w:rPr>
        <w:t xml:space="preserve">This implies the right of victims and their families to have state authorities initiate proceedings against the alleged perpetrators of these crimes; and if applicable, to impose the pertinent penalties, and to </w:t>
      </w:r>
      <w:r w:rsidR="0013554C" w:rsidRPr="00A623AB">
        <w:rPr>
          <w:rFonts w:ascii="Cambria" w:eastAsia="Cambria" w:hAnsi="Cambria" w:cs="Cambria"/>
          <w:sz w:val="20"/>
          <w:szCs w:val="20"/>
          <w:u w:color="000000"/>
          <w:lang w:eastAsia="es-ES"/>
        </w:rPr>
        <w:t>repair</w:t>
      </w:r>
      <w:r w:rsidR="007E3D56" w:rsidRPr="00A623AB">
        <w:rPr>
          <w:rFonts w:ascii="Cambria" w:eastAsia="Cambria" w:hAnsi="Cambria" w:cs="Cambria"/>
          <w:sz w:val="20"/>
          <w:szCs w:val="20"/>
          <w:u w:color="000000"/>
          <w:lang w:eastAsia="es-ES"/>
        </w:rPr>
        <w:t xml:space="preserve"> </w:t>
      </w:r>
      <w:r w:rsidRPr="00A623AB">
        <w:rPr>
          <w:rFonts w:ascii="Cambria" w:eastAsia="Cambria" w:hAnsi="Cambria" w:cs="Cambria"/>
          <w:sz w:val="20"/>
          <w:szCs w:val="20"/>
          <w:u w:color="000000"/>
          <w:lang w:eastAsia="es-ES"/>
        </w:rPr>
        <w:t>the damages and losses suffered.</w:t>
      </w:r>
      <w:r w:rsidRPr="00A623AB">
        <w:rPr>
          <w:rFonts w:ascii="Cambria" w:eastAsia="Cambria" w:hAnsi="Cambria" w:cs="Cambria"/>
          <w:sz w:val="20"/>
          <w:szCs w:val="20"/>
          <w:u w:color="000000"/>
          <w:vertAlign w:val="superscript"/>
          <w:lang w:val="es-ES" w:eastAsia="es-ES"/>
        </w:rPr>
        <w:footnoteReference w:id="123"/>
      </w:r>
      <w:r w:rsidRPr="00A623AB">
        <w:rPr>
          <w:rFonts w:ascii="Cambria" w:eastAsia="Cambria" w:hAnsi="Cambria" w:cs="Cambria"/>
          <w:sz w:val="20"/>
          <w:szCs w:val="20"/>
          <w:u w:color="000000"/>
          <w:lang w:eastAsia="es-ES"/>
        </w:rPr>
        <w:t xml:space="preserve"> While the duty to investigate is an obligation of means and not of results which the State has the legal obligation to undertake, it must not be considered as a mere formality preordained to be ineffective</w:t>
      </w:r>
      <w:r w:rsidRPr="00A623AB">
        <w:rPr>
          <w:rFonts w:ascii="Cambria" w:hAnsi="Cambria"/>
          <w:sz w:val="20"/>
          <w:szCs w:val="20"/>
          <w:vertAlign w:val="superscript"/>
          <w:lang w:val="es-ES"/>
        </w:rPr>
        <w:footnoteReference w:id="124"/>
      </w:r>
      <w:r w:rsidRPr="00A623AB">
        <w:rPr>
          <w:rFonts w:ascii="Cambria" w:eastAsia="Cambria" w:hAnsi="Cambria" w:cs="Cambria"/>
          <w:sz w:val="20"/>
          <w:szCs w:val="20"/>
          <w:u w:color="000000"/>
          <w:lang w:eastAsia="es-ES"/>
        </w:rPr>
        <w:t xml:space="preserve"> or as the mere management of personal interests that rests exclusively on the victims’ procedural initiative or on the contribution of probative elements by private individuals.</w:t>
      </w:r>
      <w:r w:rsidRPr="00A623AB">
        <w:rPr>
          <w:rFonts w:ascii="Cambria" w:hAnsi="Cambria"/>
          <w:sz w:val="20"/>
          <w:szCs w:val="20"/>
          <w:vertAlign w:val="superscript"/>
          <w:lang w:val="es-ES"/>
        </w:rPr>
        <w:footnoteReference w:id="125"/>
      </w:r>
      <w:r w:rsidRPr="00A623AB">
        <w:rPr>
          <w:rFonts w:ascii="Cambria" w:eastAsia="Cambria" w:hAnsi="Cambria" w:cs="Cambria"/>
          <w:sz w:val="20"/>
          <w:szCs w:val="20"/>
          <w:u w:color="000000"/>
          <w:lang w:eastAsia="es-ES"/>
        </w:rPr>
        <w:t xml:space="preserve"> </w:t>
      </w:r>
    </w:p>
    <w:p w14:paraId="59E70764" w14:textId="77777777" w:rsidR="002A6B05" w:rsidRPr="00A623AB" w:rsidRDefault="002A6B05" w:rsidP="002A6B05">
      <w:pPr>
        <w:pStyle w:val="ListParagraph"/>
        <w:ind w:left="0" w:firstLine="567"/>
        <w:rPr>
          <w:color w:val="auto"/>
          <w:sz w:val="20"/>
          <w:szCs w:val="20"/>
        </w:rPr>
      </w:pPr>
    </w:p>
    <w:p w14:paraId="0F136C69" w14:textId="77777777" w:rsidR="002A6B05" w:rsidRPr="00A623AB" w:rsidRDefault="0066215E" w:rsidP="00EA6555">
      <w:pPr>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567"/>
        <w:jc w:val="both"/>
        <w:rPr>
          <w:rFonts w:ascii="Cambria" w:eastAsia="Cambria" w:hAnsi="Cambria" w:cs="Cambria"/>
          <w:b/>
          <w:sz w:val="20"/>
          <w:szCs w:val="20"/>
          <w:u w:color="000000"/>
          <w:lang w:eastAsia="es-ES"/>
        </w:rPr>
      </w:pPr>
      <w:r w:rsidRPr="00A623AB">
        <w:rPr>
          <w:rFonts w:ascii="Cambria" w:eastAsia="Cambria" w:hAnsi="Cambria" w:cs="Cambria"/>
          <w:sz w:val="20"/>
          <w:szCs w:val="20"/>
          <w:u w:color="000000"/>
        </w:rPr>
        <w:t>In this sense, the Court has indicated that the duty to investigate with due diligence implies that the investigations must be carried out utilizing all available legal means and be oriented toward determining the truth.</w:t>
      </w:r>
      <w:r w:rsidRPr="00A623AB">
        <w:rPr>
          <w:rFonts w:ascii="Cambria" w:hAnsi="Cambria"/>
          <w:sz w:val="20"/>
          <w:szCs w:val="20"/>
          <w:u w:color="000000"/>
          <w:vertAlign w:val="superscript"/>
          <w:lang w:val="es-ES"/>
        </w:rPr>
        <w:footnoteReference w:id="126"/>
      </w:r>
      <w:r w:rsidRPr="00A623AB">
        <w:rPr>
          <w:rFonts w:ascii="Cambria" w:eastAsia="Cambria" w:hAnsi="Cambria" w:cs="Cambria"/>
          <w:sz w:val="20"/>
          <w:szCs w:val="20"/>
          <w:u w:color="000000"/>
        </w:rPr>
        <w:t xml:space="preserve"> Likewise, the Commission has pointed out that the investigation “must provide results or responses to the end that they were intended to serve, which is to prevent consolidation of an unjust situation.”</w:t>
      </w:r>
      <w:r w:rsidRPr="00A623AB">
        <w:rPr>
          <w:rStyle w:val="FootnoteReference"/>
          <w:rFonts w:ascii="Cambria" w:hAnsi="Cambria"/>
          <w:sz w:val="20"/>
          <w:szCs w:val="20"/>
          <w:lang w:val="es-ES"/>
        </w:rPr>
        <w:footnoteReference w:id="127"/>
      </w:r>
    </w:p>
    <w:p w14:paraId="7732ACE4" w14:textId="77777777" w:rsidR="00BD72FF" w:rsidRPr="00A623AB" w:rsidRDefault="00BD72FF" w:rsidP="00BD72FF">
      <w:pPr>
        <w:pStyle w:val="ListParagraph"/>
        <w:rPr>
          <w:b/>
          <w:color w:val="auto"/>
          <w:sz w:val="20"/>
          <w:szCs w:val="20"/>
        </w:rPr>
      </w:pPr>
    </w:p>
    <w:p w14:paraId="6E1FA23C" w14:textId="77777777" w:rsidR="00BD72FF" w:rsidRPr="00A623AB" w:rsidRDefault="0066215E" w:rsidP="00BD72FF">
      <w:pPr>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567"/>
        <w:jc w:val="both"/>
        <w:rPr>
          <w:rFonts w:ascii="Cambria" w:hAnsi="Cambria"/>
          <w:sz w:val="20"/>
          <w:szCs w:val="20"/>
        </w:rPr>
      </w:pPr>
      <w:r w:rsidRPr="00A623AB">
        <w:rPr>
          <w:rFonts w:ascii="Cambria" w:eastAsia="Cambria" w:hAnsi="Cambria" w:cs="Cambria"/>
          <w:sz w:val="20"/>
          <w:szCs w:val="20"/>
        </w:rPr>
        <w:t>The fact that no one has been convicted in the case or that, despite the efforts made, it was impossible to establish the facts does not constitute a failure to fulfil the obligation to investigate. However, in order to establish in a convincing and credible manner that this result was not the product of a mechanical implementation of certain procedural formalities without the State genuinely seeking the truth, the State must show that it carried out an immediate, exhaustive and impartial investigation.</w:t>
      </w:r>
      <w:r w:rsidRPr="00A623AB">
        <w:rPr>
          <w:rStyle w:val="FootnoteReference"/>
          <w:rFonts w:ascii="Cambria" w:hAnsi="Cambria"/>
          <w:sz w:val="20"/>
          <w:szCs w:val="20"/>
          <w:lang w:val="es-ES"/>
        </w:rPr>
        <w:footnoteReference w:id="128"/>
      </w:r>
    </w:p>
    <w:p w14:paraId="4E9FB7EE" w14:textId="77777777" w:rsidR="00BD72FF" w:rsidRPr="00A623AB" w:rsidRDefault="00BD72FF" w:rsidP="00BD72FF">
      <w:pPr>
        <w:pStyle w:val="BodyTextIndent"/>
        <w:ind w:firstLine="0"/>
        <w:rPr>
          <w:rFonts w:ascii="Cambria" w:hAnsi="Cambria"/>
          <w:color w:val="auto"/>
          <w:sz w:val="20"/>
          <w:szCs w:val="20"/>
          <w:lang w:val="en-US"/>
        </w:rPr>
      </w:pPr>
    </w:p>
    <w:p w14:paraId="60600119" w14:textId="77777777" w:rsidR="00BD72FF" w:rsidRPr="00A623AB" w:rsidRDefault="0066215E" w:rsidP="00BD72FF">
      <w:pPr>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567"/>
        <w:jc w:val="both"/>
        <w:rPr>
          <w:rFonts w:ascii="Cambria" w:hAnsi="Cambria" w:cs="Verdana"/>
          <w:bCs/>
          <w:sz w:val="20"/>
          <w:szCs w:val="20"/>
        </w:rPr>
      </w:pPr>
      <w:r w:rsidRPr="00A623AB">
        <w:rPr>
          <w:rFonts w:ascii="Cambria" w:eastAsia="Cambria" w:hAnsi="Cambria" w:cs="Cambria"/>
          <w:sz w:val="20"/>
          <w:szCs w:val="20"/>
        </w:rPr>
        <w:t xml:space="preserve">Especially relevant is </w:t>
      </w:r>
      <w:r w:rsidRPr="00A623AB">
        <w:rPr>
          <w:rFonts w:ascii="Cambria" w:eastAsia="Cambria" w:hAnsi="Cambria" w:cs="Cambria"/>
          <w:i/>
          <w:iCs/>
          <w:sz w:val="20"/>
          <w:szCs w:val="20"/>
        </w:rPr>
        <w:t xml:space="preserve">Mendoza </w:t>
      </w:r>
      <w:r w:rsidRPr="00A623AB">
        <w:rPr>
          <w:rFonts w:ascii="Cambria" w:eastAsia="Cambria" w:hAnsi="Cambria" w:cs="Cambria"/>
          <w:sz w:val="20"/>
          <w:szCs w:val="20"/>
        </w:rPr>
        <w:t>et al.</w:t>
      </w:r>
      <w:r w:rsidRPr="00A623AB">
        <w:rPr>
          <w:rFonts w:ascii="Cambria" w:eastAsia="Cambria" w:hAnsi="Cambria" w:cs="Cambria"/>
          <w:i/>
          <w:iCs/>
          <w:sz w:val="20"/>
          <w:szCs w:val="20"/>
        </w:rPr>
        <w:t xml:space="preserve"> v. Argentina,</w:t>
      </w:r>
      <w:r w:rsidRPr="00A623AB">
        <w:rPr>
          <w:rFonts w:ascii="Cambria" w:eastAsia="Cambria" w:hAnsi="Cambria" w:cs="Cambria"/>
          <w:sz w:val="20"/>
          <w:szCs w:val="20"/>
        </w:rPr>
        <w:t xml:space="preserve"> since in it, the Court acknowledged the death of a person who was under state custody. The Court indicated that “the State authorities had the obligation to follow up on a logical line of investigation designed to determine the possible responsibilities of the prison staff for the death of Ricardo Videla, since the omissions related to his detention conditions and/or his state of depression could have contributed to this act.” The Court highlighted that the State had “the obligation to disprove the possibility of the responsibility of its agents, taking into account the measures that they should have adopted in order to safeguard the rights of a person in its custody [...], and to collect the evidence that this entailed.”</w:t>
      </w:r>
      <w:r w:rsidRPr="00A623AB">
        <w:rPr>
          <w:rStyle w:val="FootnoteReference"/>
          <w:rFonts w:ascii="Cambria" w:hAnsi="Cambria"/>
          <w:sz w:val="20"/>
          <w:szCs w:val="20"/>
          <w:lang w:val="es-ES"/>
        </w:rPr>
        <w:footnoteReference w:id="129"/>
      </w:r>
    </w:p>
    <w:p w14:paraId="5E16FB8A" w14:textId="77777777" w:rsidR="00744A80" w:rsidRPr="00A623AB" w:rsidRDefault="00744A80" w:rsidP="00BD72FF">
      <w:pPr>
        <w:rPr>
          <w:rFonts w:ascii="Cambria" w:hAnsi="Cambria"/>
          <w:sz w:val="20"/>
          <w:szCs w:val="20"/>
        </w:rPr>
      </w:pPr>
    </w:p>
    <w:p w14:paraId="32BCC6B5" w14:textId="1B80F8CD" w:rsidR="00BD72FF" w:rsidRPr="00A623AB" w:rsidRDefault="0066215E" w:rsidP="00BD72FF">
      <w:pPr>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567"/>
        <w:jc w:val="both"/>
        <w:rPr>
          <w:rFonts w:ascii="Cambria" w:hAnsi="Cambria"/>
          <w:sz w:val="20"/>
          <w:szCs w:val="20"/>
        </w:rPr>
      </w:pPr>
      <w:r w:rsidRPr="00A623AB">
        <w:rPr>
          <w:rFonts w:ascii="Cambria" w:eastAsia="Cambria" w:hAnsi="Cambria" w:cs="Cambria"/>
          <w:sz w:val="20"/>
          <w:szCs w:val="20"/>
        </w:rPr>
        <w:t xml:space="preserve">Finally, as for the reasonable time enshrined in Article 8.1 of the ACHR, the jurisprudence of both the Commission and the Court of the </w:t>
      </w:r>
      <w:r w:rsidR="00F11F46" w:rsidRPr="00A623AB">
        <w:rPr>
          <w:rFonts w:ascii="Cambria" w:eastAsia="Cambria" w:hAnsi="Cambria" w:cs="Cambria"/>
          <w:sz w:val="20"/>
          <w:szCs w:val="20"/>
        </w:rPr>
        <w:t>i</w:t>
      </w:r>
      <w:r w:rsidRPr="00A623AB">
        <w:rPr>
          <w:rFonts w:ascii="Cambria" w:eastAsia="Cambria" w:hAnsi="Cambria" w:cs="Cambria"/>
          <w:sz w:val="20"/>
          <w:szCs w:val="20"/>
        </w:rPr>
        <w:t xml:space="preserve">nter-American </w:t>
      </w:r>
      <w:r w:rsidR="00F11F46" w:rsidRPr="00A623AB">
        <w:rPr>
          <w:rFonts w:ascii="Cambria" w:eastAsia="Cambria" w:hAnsi="Cambria" w:cs="Cambria"/>
          <w:sz w:val="20"/>
          <w:szCs w:val="20"/>
        </w:rPr>
        <w:t>s</w:t>
      </w:r>
      <w:r w:rsidRPr="00A623AB">
        <w:rPr>
          <w:rFonts w:ascii="Cambria" w:eastAsia="Cambria" w:hAnsi="Cambria" w:cs="Cambria"/>
          <w:sz w:val="20"/>
          <w:szCs w:val="20"/>
        </w:rPr>
        <w:t xml:space="preserve">ystem has repeatedly indicated that it must be </w:t>
      </w:r>
      <w:r w:rsidRPr="00A623AB">
        <w:rPr>
          <w:rFonts w:ascii="Cambria" w:eastAsia="Cambria" w:hAnsi="Cambria" w:cs="Cambria"/>
          <w:sz w:val="20"/>
          <w:szCs w:val="20"/>
        </w:rPr>
        <w:lastRenderedPageBreak/>
        <w:t>assessed according to each particular case, taking into account four key aspects to determine the fairness of such term: (i) the complexity of the matter, (ii) the procedural activities carried out by the interested party, (iii) the conduct of judicial authorities, and (iv) the impairment to the legal situation of the individual involved in the proceeding.</w:t>
      </w:r>
      <w:r w:rsidRPr="00A623AB">
        <w:rPr>
          <w:rStyle w:val="FootnoteReference"/>
          <w:rFonts w:ascii="Cambria" w:hAnsi="Cambria"/>
          <w:sz w:val="20"/>
          <w:szCs w:val="20"/>
          <w:lang w:val="es-ES"/>
        </w:rPr>
        <w:footnoteReference w:id="130"/>
      </w:r>
      <w:r w:rsidRPr="00A623AB">
        <w:rPr>
          <w:rFonts w:ascii="Cambria" w:eastAsia="Cambria" w:hAnsi="Cambria" w:cs="Cambria"/>
          <w:sz w:val="20"/>
          <w:szCs w:val="20"/>
        </w:rPr>
        <w:t xml:space="preserve"> The reasonability of the time period must be analyzed with regard to the total duration of the criminal process.</w:t>
      </w:r>
      <w:r w:rsidRPr="00A623AB">
        <w:rPr>
          <w:rStyle w:val="FootnoteReference"/>
          <w:rFonts w:ascii="Cambria" w:hAnsi="Cambria"/>
          <w:sz w:val="20"/>
          <w:szCs w:val="20"/>
          <w:lang w:val="es-ES"/>
        </w:rPr>
        <w:footnoteReference w:id="131"/>
      </w:r>
    </w:p>
    <w:p w14:paraId="0F1FE4F9" w14:textId="77777777" w:rsidR="00207601" w:rsidRPr="00A623AB" w:rsidRDefault="00207601" w:rsidP="00207601">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jc w:val="both"/>
        <w:rPr>
          <w:rFonts w:ascii="Cambria" w:hAnsi="Cambria"/>
          <w:sz w:val="20"/>
          <w:szCs w:val="20"/>
        </w:rPr>
      </w:pPr>
    </w:p>
    <w:p w14:paraId="559FE86A" w14:textId="77777777" w:rsidR="002A6B05" w:rsidRPr="00A623AB" w:rsidRDefault="0066215E" w:rsidP="00207601">
      <w:pPr>
        <w:pStyle w:val="Heading3"/>
        <w:ind w:left="1440" w:hanging="810"/>
        <w:rPr>
          <w:rFonts w:ascii="Cambria" w:hAnsi="Cambria"/>
          <w:sz w:val="20"/>
          <w:szCs w:val="20"/>
          <w:lang w:val="es-ES"/>
        </w:rPr>
      </w:pPr>
      <w:bookmarkStart w:id="33" w:name="_Toc83852721"/>
      <w:bookmarkStart w:id="34" w:name="_Toc217309582"/>
      <w:r w:rsidRPr="00A623AB">
        <w:rPr>
          <w:rFonts w:ascii="Cambria" w:eastAsia="Cambria" w:hAnsi="Cambria" w:cs="Cambria"/>
          <w:sz w:val="20"/>
          <w:szCs w:val="20"/>
          <w:bdr w:val="nil"/>
        </w:rPr>
        <w:t xml:space="preserve">2. </w:t>
      </w:r>
      <w:bookmarkStart w:id="35" w:name="_Toc528245383"/>
      <w:bookmarkStart w:id="36" w:name="_Toc75698640"/>
      <w:bookmarkStart w:id="37" w:name="_Toc75710762"/>
      <w:bookmarkStart w:id="38" w:name="_Toc75710875"/>
      <w:r w:rsidRPr="00A623AB">
        <w:rPr>
          <w:rFonts w:ascii="Cambria" w:eastAsia="Cambria" w:hAnsi="Cambria" w:cs="Cambria"/>
          <w:sz w:val="20"/>
          <w:szCs w:val="20"/>
          <w:bdr w:val="nil"/>
        </w:rPr>
        <w:t xml:space="preserve"> Analysis of this case</w:t>
      </w:r>
      <w:bookmarkEnd w:id="33"/>
      <w:bookmarkEnd w:id="35"/>
      <w:bookmarkEnd w:id="36"/>
      <w:bookmarkEnd w:id="37"/>
      <w:bookmarkEnd w:id="38"/>
      <w:bookmarkEnd w:id="34"/>
    </w:p>
    <w:p w14:paraId="72A4210B" w14:textId="77777777" w:rsidR="006373B9" w:rsidRPr="00A623AB" w:rsidRDefault="006373B9" w:rsidP="00D31FA1">
      <w:pPr>
        <w:jc w:val="both"/>
        <w:rPr>
          <w:rFonts w:ascii="Cambria" w:hAnsi="Cambria"/>
          <w:sz w:val="20"/>
          <w:szCs w:val="20"/>
          <w:lang w:val="es-ES"/>
        </w:rPr>
      </w:pPr>
    </w:p>
    <w:p w14:paraId="1D948A79" w14:textId="1434591D" w:rsidR="006373B9" w:rsidRDefault="0066215E" w:rsidP="006373B9">
      <w:pPr>
        <w:pStyle w:val="ListParagraph"/>
        <w:numPr>
          <w:ilvl w:val="0"/>
          <w:numId w:val="51"/>
        </w:numPr>
        <w:ind w:left="0" w:firstLine="567"/>
        <w:jc w:val="both"/>
        <w:rPr>
          <w:color w:val="auto"/>
          <w:sz w:val="20"/>
          <w:szCs w:val="20"/>
        </w:rPr>
      </w:pPr>
      <w:r w:rsidRPr="00A623AB">
        <w:rPr>
          <w:color w:val="auto"/>
          <w:sz w:val="20"/>
          <w:szCs w:val="20"/>
        </w:rPr>
        <w:t xml:space="preserve">The Commission notes that the investigation was not opened </w:t>
      </w:r>
      <w:r w:rsidRPr="00A623AB">
        <w:rPr>
          <w:i/>
          <w:color w:val="auto"/>
          <w:sz w:val="20"/>
          <w:szCs w:val="20"/>
        </w:rPr>
        <w:t>ex officio</w:t>
      </w:r>
      <w:r w:rsidRPr="00A623AB">
        <w:rPr>
          <w:color w:val="auto"/>
          <w:sz w:val="20"/>
          <w:szCs w:val="20"/>
        </w:rPr>
        <w:t>. The file indicates that both the British Embassy in Venezuela and Sarah’s parents had requested the Venezuelan authorities to conduct a due investigation of the facts, as well as demanding information on the progress of the investigation and legal proceedings</w:t>
      </w:r>
      <w:r w:rsidR="00E26BD0" w:rsidRPr="00A623AB">
        <w:rPr>
          <w:color w:val="auto"/>
          <w:sz w:val="20"/>
          <w:szCs w:val="20"/>
        </w:rPr>
        <w:t xml:space="preserve">. </w:t>
      </w:r>
      <w:r w:rsidRPr="00A623AB">
        <w:rPr>
          <w:color w:val="auto"/>
          <w:sz w:val="20"/>
          <w:szCs w:val="20"/>
        </w:rPr>
        <w:t xml:space="preserve">Moreover, the Attorney General of the Republic, Julián Isaías Rodríguez, the British Consulate in Venezuela and Terry and Lyn Langton exchanged correspondence between 2002 and 2008 with regard to the facts. </w:t>
      </w:r>
    </w:p>
    <w:p w14:paraId="374B7039" w14:textId="77777777" w:rsidR="003A0E46" w:rsidRPr="003A0E46" w:rsidRDefault="003A0E46" w:rsidP="003A0E46">
      <w:pPr>
        <w:jc w:val="both"/>
        <w:rPr>
          <w:sz w:val="20"/>
          <w:szCs w:val="20"/>
        </w:rPr>
      </w:pPr>
    </w:p>
    <w:p w14:paraId="669117F3" w14:textId="0EF1D249" w:rsidR="00D31FA1" w:rsidRPr="00A623AB" w:rsidRDefault="0066215E" w:rsidP="00D31FA1">
      <w:pPr>
        <w:pStyle w:val="ListParagraph"/>
        <w:numPr>
          <w:ilvl w:val="0"/>
          <w:numId w:val="51"/>
        </w:numPr>
        <w:ind w:left="0" w:firstLine="567"/>
        <w:jc w:val="both"/>
        <w:rPr>
          <w:color w:val="auto"/>
          <w:sz w:val="20"/>
          <w:szCs w:val="20"/>
        </w:rPr>
      </w:pPr>
      <w:r w:rsidRPr="00A623AB">
        <w:rPr>
          <w:color w:val="auto"/>
          <w:sz w:val="20"/>
          <w:szCs w:val="20"/>
        </w:rPr>
        <w:t>Given that the State of Venezuela has not submitted any information on the stat</w:t>
      </w:r>
      <w:r w:rsidR="00B7085C" w:rsidRPr="00A623AB">
        <w:rPr>
          <w:color w:val="auto"/>
          <w:sz w:val="20"/>
          <w:szCs w:val="20"/>
        </w:rPr>
        <w:t>e</w:t>
      </w:r>
      <w:r w:rsidRPr="00A623AB">
        <w:rPr>
          <w:color w:val="auto"/>
          <w:sz w:val="20"/>
          <w:szCs w:val="20"/>
        </w:rPr>
        <w:t xml:space="preserve"> of the investigation or criminal proceedings, or with regard to the diligence carried out, the Commission does not have information that proves that the State complied with its obligation of due diligence in the investigations. This is in spite of the fact that the death of the alleged victim had occurred as a result of actions or oversights by the medical and prison staff while she was under their custody. </w:t>
      </w:r>
    </w:p>
    <w:p w14:paraId="6750B6DE" w14:textId="77777777" w:rsidR="006373B9" w:rsidRPr="00A623AB" w:rsidRDefault="006373B9" w:rsidP="006373B9">
      <w:pPr>
        <w:jc w:val="both"/>
        <w:rPr>
          <w:rFonts w:ascii="Cambria" w:hAnsi="Cambria"/>
          <w:sz w:val="20"/>
          <w:szCs w:val="20"/>
        </w:rPr>
      </w:pPr>
    </w:p>
    <w:p w14:paraId="1E844A94" w14:textId="46C19DF4" w:rsidR="00D31FA1" w:rsidRPr="00A623AB" w:rsidRDefault="0066215E" w:rsidP="00D31FA1">
      <w:pPr>
        <w:pStyle w:val="ListParagraph"/>
        <w:numPr>
          <w:ilvl w:val="0"/>
          <w:numId w:val="51"/>
        </w:numPr>
        <w:ind w:left="0" w:firstLine="567"/>
        <w:jc w:val="both"/>
        <w:rPr>
          <w:color w:val="auto"/>
          <w:sz w:val="20"/>
          <w:szCs w:val="20"/>
        </w:rPr>
      </w:pPr>
      <w:r w:rsidRPr="00A623AB">
        <w:rPr>
          <w:color w:val="auto"/>
          <w:sz w:val="20"/>
          <w:szCs w:val="20"/>
        </w:rPr>
        <w:t xml:space="preserve">With regard to the reasonableness of the time for the investigation, and as regards the complexity of the case, the Commission warns that the instant case was not </w:t>
      </w:r>
      <w:r w:rsidR="00E26BD0" w:rsidRPr="00A623AB">
        <w:rPr>
          <w:color w:val="auto"/>
          <w:sz w:val="20"/>
          <w:szCs w:val="20"/>
        </w:rPr>
        <w:t>overly complex</w:t>
      </w:r>
      <w:r w:rsidRPr="00A623AB">
        <w:rPr>
          <w:color w:val="auto"/>
          <w:sz w:val="20"/>
          <w:szCs w:val="20"/>
        </w:rPr>
        <w:t>, since it was a single victim, deprived of her liberty, and she had been under state custody the whole time. In addition to this, the possible responsible agents had been fully identified from the beginning, given that the facts had occurred in a specific place and time</w:t>
      </w:r>
      <w:r w:rsidR="00E26BD0" w:rsidRPr="00A623AB">
        <w:rPr>
          <w:color w:val="auto"/>
          <w:sz w:val="20"/>
          <w:szCs w:val="20"/>
        </w:rPr>
        <w:t xml:space="preserve">. </w:t>
      </w:r>
    </w:p>
    <w:p w14:paraId="542DC0C5" w14:textId="77777777" w:rsidR="00D31FA1" w:rsidRPr="00A623AB" w:rsidRDefault="00D31FA1" w:rsidP="00D31FA1">
      <w:pPr>
        <w:pStyle w:val="ListParagraph"/>
        <w:rPr>
          <w:color w:val="auto"/>
          <w:sz w:val="20"/>
          <w:szCs w:val="20"/>
        </w:rPr>
      </w:pPr>
    </w:p>
    <w:p w14:paraId="7A491776" w14:textId="206472CC" w:rsidR="008E778C" w:rsidRPr="00A623AB" w:rsidRDefault="0066215E" w:rsidP="00D31FA1">
      <w:pPr>
        <w:pStyle w:val="ListParagraph"/>
        <w:numPr>
          <w:ilvl w:val="0"/>
          <w:numId w:val="51"/>
        </w:numPr>
        <w:ind w:left="0" w:firstLine="567"/>
        <w:jc w:val="both"/>
        <w:rPr>
          <w:color w:val="auto"/>
          <w:sz w:val="20"/>
          <w:szCs w:val="20"/>
        </w:rPr>
      </w:pPr>
      <w:r w:rsidRPr="00A623AB">
        <w:rPr>
          <w:color w:val="auto"/>
          <w:sz w:val="20"/>
          <w:szCs w:val="20"/>
        </w:rPr>
        <w:t>As for the actions of the authorities, the Commission notes that there were significant delays in several stages of the proce</w:t>
      </w:r>
      <w:r w:rsidR="00B7085C" w:rsidRPr="00A623AB">
        <w:rPr>
          <w:color w:val="auto"/>
          <w:sz w:val="20"/>
          <w:szCs w:val="20"/>
        </w:rPr>
        <w:t>edings</w:t>
      </w:r>
      <w:r w:rsidRPr="00A623AB">
        <w:rPr>
          <w:color w:val="auto"/>
          <w:sz w:val="20"/>
          <w:szCs w:val="20"/>
        </w:rPr>
        <w:t xml:space="preserve">. In a correspondence from July 2004, the Attorney General himself had stated that an initial investigation had shown that Sarah required permanent monitoring, but that she had not been evaluated for over 60 days; “the INOF’s </w:t>
      </w:r>
      <w:r w:rsidR="00B7085C" w:rsidRPr="00A623AB">
        <w:rPr>
          <w:color w:val="auto"/>
          <w:sz w:val="20"/>
          <w:szCs w:val="20"/>
        </w:rPr>
        <w:t>m</w:t>
      </w:r>
      <w:r w:rsidRPr="00A623AB">
        <w:rPr>
          <w:color w:val="auto"/>
          <w:sz w:val="20"/>
          <w:szCs w:val="20"/>
        </w:rPr>
        <w:t xml:space="preserve">edical </w:t>
      </w:r>
      <w:r w:rsidR="00B7085C" w:rsidRPr="00A623AB">
        <w:rPr>
          <w:color w:val="auto"/>
          <w:sz w:val="20"/>
          <w:szCs w:val="20"/>
        </w:rPr>
        <w:t>s</w:t>
      </w:r>
      <w:r w:rsidRPr="00A623AB">
        <w:rPr>
          <w:color w:val="auto"/>
          <w:sz w:val="20"/>
          <w:szCs w:val="20"/>
        </w:rPr>
        <w:t>ervice for adults lacked the medical staff required to fill the duty shifts,” which prevented “the inmate population from accessing a service of vital importance”; and “the citizen in question did not receive the immediate assistance she required from the physicians that were at the INOF (pediatrics section), who were notified of the emergency that had occurred in relation to the aforementioned citizen.”</w:t>
      </w:r>
      <w:r w:rsidRPr="00A623AB">
        <w:rPr>
          <w:rStyle w:val="FootnoteReference"/>
          <w:rFonts w:cstheme="majorHAnsi"/>
          <w:bCs/>
          <w:color w:val="auto"/>
          <w:sz w:val="20"/>
          <w:szCs w:val="20"/>
          <w:lang w:val="es-ES"/>
        </w:rPr>
        <w:footnoteReference w:id="132"/>
      </w:r>
      <w:r w:rsidRPr="00A623AB">
        <w:rPr>
          <w:color w:val="auto"/>
          <w:sz w:val="20"/>
          <w:szCs w:val="20"/>
        </w:rPr>
        <w:t xml:space="preserve"> Nevertheless, 4 years had elapsed from that moment until the </w:t>
      </w:r>
      <w:r w:rsidR="008D518E" w:rsidRPr="00A623AB">
        <w:rPr>
          <w:color w:val="auto"/>
          <w:sz w:val="20"/>
          <w:szCs w:val="20"/>
        </w:rPr>
        <w:t>prosecutor</w:t>
      </w:r>
      <w:r w:rsidR="007E3D56" w:rsidRPr="00A623AB">
        <w:rPr>
          <w:color w:val="auto"/>
          <w:sz w:val="20"/>
          <w:szCs w:val="20"/>
        </w:rPr>
        <w:t xml:space="preserve"> </w:t>
      </w:r>
      <w:r w:rsidRPr="00A623AB">
        <w:rPr>
          <w:color w:val="auto"/>
          <w:sz w:val="20"/>
          <w:szCs w:val="20"/>
        </w:rPr>
        <w:t>submitted a formal accusation. Therefore, 7 years elapsed until the formal accusation was submitted, and more than 9 years</w:t>
      </w:r>
      <w:r w:rsidR="00B7085C" w:rsidRPr="00A623AB">
        <w:rPr>
          <w:color w:val="auto"/>
          <w:sz w:val="20"/>
          <w:szCs w:val="20"/>
        </w:rPr>
        <w:t xml:space="preserve"> passed</w:t>
      </w:r>
      <w:r w:rsidRPr="00A623AB">
        <w:rPr>
          <w:color w:val="auto"/>
          <w:sz w:val="20"/>
          <w:szCs w:val="20"/>
        </w:rPr>
        <w:t xml:space="preserve"> until the preliminary hearing was held.</w:t>
      </w:r>
    </w:p>
    <w:p w14:paraId="6115F829" w14:textId="77777777" w:rsidR="00D31FA1" w:rsidRPr="00A623AB" w:rsidRDefault="00D31FA1" w:rsidP="00D31FA1">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567"/>
        <w:jc w:val="both"/>
        <w:rPr>
          <w:rFonts w:ascii="Cambria" w:hAnsi="Cambria"/>
          <w:b/>
          <w:sz w:val="20"/>
          <w:szCs w:val="20"/>
        </w:rPr>
      </w:pPr>
    </w:p>
    <w:p w14:paraId="22DE251F" w14:textId="516AE904" w:rsidR="008E778C" w:rsidRPr="00A623AB" w:rsidRDefault="0066215E" w:rsidP="008E778C">
      <w:pPr>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567"/>
        <w:jc w:val="both"/>
        <w:rPr>
          <w:rFonts w:ascii="Cambria" w:eastAsia="Cambria" w:hAnsi="Cambria" w:cs="Cambria"/>
          <w:sz w:val="20"/>
          <w:szCs w:val="20"/>
          <w:u w:color="000000"/>
          <w:lang w:eastAsia="es-ES"/>
        </w:rPr>
      </w:pPr>
      <w:r w:rsidRPr="00A623AB">
        <w:rPr>
          <w:rFonts w:ascii="Cambria" w:eastAsia="Cambria" w:hAnsi="Cambria" w:cs="Cambria"/>
          <w:sz w:val="20"/>
          <w:szCs w:val="20"/>
        </w:rPr>
        <w:t xml:space="preserve">The evaluation of the procedural activity included in the file shows that Sarah’s parents and the British authorities sent numerous communications to the Venezuelan authorities, including to the </w:t>
      </w:r>
      <w:r w:rsidR="00B7085C" w:rsidRPr="00A623AB">
        <w:rPr>
          <w:rFonts w:ascii="Cambria" w:eastAsia="Cambria" w:hAnsi="Cambria" w:cs="Cambria"/>
          <w:sz w:val="20"/>
          <w:szCs w:val="20"/>
        </w:rPr>
        <w:t xml:space="preserve">Office of the </w:t>
      </w:r>
      <w:r w:rsidRPr="00A623AB">
        <w:rPr>
          <w:rFonts w:ascii="Cambria" w:eastAsia="Cambria" w:hAnsi="Cambria" w:cs="Cambria"/>
          <w:sz w:val="20"/>
          <w:szCs w:val="20"/>
        </w:rPr>
        <w:t>Public Prosecutor, and that they were represented by their attorney the whole time</w:t>
      </w:r>
      <w:r w:rsidR="00E26BD0" w:rsidRPr="00A623AB">
        <w:rPr>
          <w:rFonts w:ascii="Cambria" w:eastAsia="Cambria" w:hAnsi="Cambria" w:cs="Cambria"/>
          <w:sz w:val="20"/>
          <w:szCs w:val="20"/>
        </w:rPr>
        <w:t xml:space="preserve">. </w:t>
      </w:r>
    </w:p>
    <w:p w14:paraId="3F42E323" w14:textId="77777777" w:rsidR="00EA6555" w:rsidRPr="00A623AB" w:rsidRDefault="00EA6555" w:rsidP="00EA6555">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jc w:val="both"/>
        <w:rPr>
          <w:rFonts w:ascii="Cambria" w:eastAsia="Cambria" w:hAnsi="Cambria" w:cs="Cambria"/>
          <w:sz w:val="20"/>
          <w:szCs w:val="20"/>
          <w:u w:color="000000"/>
          <w:lang w:eastAsia="es-ES"/>
        </w:rPr>
      </w:pPr>
    </w:p>
    <w:p w14:paraId="04109D7F" w14:textId="3A6BA65F" w:rsidR="00D31FA1" w:rsidRPr="00A623AB" w:rsidRDefault="0066215E" w:rsidP="00D31FA1">
      <w:pPr>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567"/>
        <w:jc w:val="both"/>
        <w:rPr>
          <w:rFonts w:ascii="Cambria" w:eastAsia="Cambria" w:hAnsi="Cambria" w:cs="Cambria"/>
          <w:sz w:val="20"/>
          <w:szCs w:val="20"/>
          <w:u w:color="000000"/>
          <w:lang w:eastAsia="es-ES"/>
        </w:rPr>
      </w:pPr>
      <w:r w:rsidRPr="00A623AB">
        <w:rPr>
          <w:rFonts w:ascii="Cambria" w:eastAsia="Cambria" w:hAnsi="Cambria" w:cs="Cambria"/>
          <w:sz w:val="20"/>
          <w:szCs w:val="20"/>
          <w:u w:color="000000"/>
          <w:lang w:eastAsia="es-ES"/>
        </w:rPr>
        <w:t xml:space="preserve">Lastly, with regard to the effects caused to the legal situation of the person involved in the proceedings, the Commission notes that the passing of time had a significantly serious impact, not only because of the distress caused to Sarah’s parents, but also because it resulted in the application of the statute of limitations and the dismissal of the procedure. The IACHR notes that when the statute of limitations was applied, the delays and lack of due diligence on the part of the authorities were not taken into consideration, </w:t>
      </w:r>
      <w:r w:rsidRPr="00A623AB">
        <w:rPr>
          <w:rFonts w:ascii="Cambria" w:eastAsia="Cambria" w:hAnsi="Cambria" w:cs="Cambria"/>
          <w:sz w:val="20"/>
          <w:szCs w:val="20"/>
          <w:u w:color="000000"/>
          <w:lang w:eastAsia="es-ES"/>
        </w:rPr>
        <w:lastRenderedPageBreak/>
        <w:t xml:space="preserve">which is the </w:t>
      </w:r>
      <w:r w:rsidR="00E26BD0" w:rsidRPr="00A623AB">
        <w:rPr>
          <w:rFonts w:ascii="Cambria" w:eastAsia="Cambria" w:hAnsi="Cambria" w:cs="Cambria"/>
          <w:sz w:val="20"/>
          <w:szCs w:val="20"/>
          <w:u w:color="000000"/>
          <w:lang w:eastAsia="es-ES"/>
        </w:rPr>
        <w:t>reason</w:t>
      </w:r>
      <w:r w:rsidRPr="00A623AB">
        <w:rPr>
          <w:rFonts w:ascii="Cambria" w:eastAsia="Cambria" w:hAnsi="Cambria" w:cs="Cambria"/>
          <w:sz w:val="20"/>
          <w:szCs w:val="20"/>
          <w:u w:color="000000"/>
          <w:lang w:eastAsia="es-ES"/>
        </w:rPr>
        <w:t xml:space="preserve"> the statute of limitations operated in the first place; thus, its application was the consequence of the unreasonable time taken to carry out the investigation and the criminal proceedings.</w:t>
      </w:r>
    </w:p>
    <w:p w14:paraId="0C76B435" w14:textId="77777777" w:rsidR="00D31FA1" w:rsidRPr="00A623AB" w:rsidRDefault="00D31FA1" w:rsidP="00D31FA1">
      <w:pPr>
        <w:pStyle w:val="ListParagraph"/>
        <w:rPr>
          <w:color w:val="auto"/>
          <w:sz w:val="20"/>
          <w:szCs w:val="20"/>
        </w:rPr>
      </w:pPr>
    </w:p>
    <w:p w14:paraId="40EC0908" w14:textId="637734D8" w:rsidR="007B22CD" w:rsidRPr="00A623AB" w:rsidRDefault="0066215E" w:rsidP="00EA6555">
      <w:pPr>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567"/>
        <w:jc w:val="both"/>
        <w:rPr>
          <w:rFonts w:ascii="Cambria" w:hAnsi="Cambria"/>
          <w:b/>
          <w:sz w:val="20"/>
          <w:szCs w:val="20"/>
        </w:rPr>
      </w:pPr>
      <w:r w:rsidRPr="00A623AB">
        <w:rPr>
          <w:rFonts w:ascii="Cambria" w:eastAsia="Cambria" w:hAnsi="Cambria" w:cs="Cambria"/>
          <w:sz w:val="20"/>
          <w:szCs w:val="20"/>
        </w:rPr>
        <w:t xml:space="preserve">Due to the foregoing considerations, the Commission concludes that the State did not comply with its obligation to guarantee the victims of the instant case the access to an adequate remedy within a reasonable time, which resulted in the application of the statute of limitations by the Venezuelan authorities, and </w:t>
      </w:r>
      <w:r w:rsidR="00B7085C" w:rsidRPr="00A623AB">
        <w:rPr>
          <w:rFonts w:ascii="Cambria" w:eastAsia="Cambria" w:hAnsi="Cambria" w:cs="Cambria"/>
          <w:sz w:val="20"/>
          <w:szCs w:val="20"/>
        </w:rPr>
        <w:t>i</w:t>
      </w:r>
      <w:r w:rsidRPr="00A623AB">
        <w:rPr>
          <w:rFonts w:ascii="Cambria" w:eastAsia="Cambria" w:hAnsi="Cambria" w:cs="Cambria"/>
          <w:sz w:val="20"/>
          <w:szCs w:val="20"/>
        </w:rPr>
        <w:t xml:space="preserve">n the failure to determine the individual responsibility of the persons involved in Sarah’s death. </w:t>
      </w:r>
    </w:p>
    <w:p w14:paraId="3A233F17" w14:textId="77777777" w:rsidR="00B35D9C" w:rsidRPr="00A623AB" w:rsidRDefault="00B35D9C" w:rsidP="005418C0">
      <w:pPr>
        <w:jc w:val="both"/>
        <w:rPr>
          <w:rFonts w:ascii="Cambria" w:hAnsi="Cambria"/>
          <w:sz w:val="20"/>
          <w:szCs w:val="20"/>
        </w:rPr>
      </w:pPr>
    </w:p>
    <w:p w14:paraId="75381E42" w14:textId="77777777" w:rsidR="002A6B05" w:rsidRPr="00A623AB" w:rsidRDefault="0066215E" w:rsidP="00EA6555">
      <w:pPr>
        <w:pStyle w:val="ListParagraph"/>
        <w:numPr>
          <w:ilvl w:val="0"/>
          <w:numId w:val="51"/>
        </w:numPr>
        <w:ind w:left="0" w:firstLine="567"/>
        <w:jc w:val="both"/>
        <w:rPr>
          <w:color w:val="auto"/>
          <w:sz w:val="20"/>
          <w:szCs w:val="20"/>
        </w:rPr>
      </w:pPr>
      <w:r w:rsidRPr="00A623AB">
        <w:rPr>
          <w:color w:val="auto"/>
          <w:sz w:val="20"/>
          <w:szCs w:val="20"/>
        </w:rPr>
        <w:t xml:space="preserve">By virtue of the above, the Commission concludes that the State did not provide the victims with an effective remedy to clarify the facts and to establish the corresponding responsibilities, thus infringing the rights enshrined in Articles 8.1, 8.2 and 25.1 of the American Convention, in relation to Article 1.1 thereof, to the detriment of Terry Langton and Lyn Langton. </w:t>
      </w:r>
    </w:p>
    <w:p w14:paraId="04EDC011" w14:textId="77777777" w:rsidR="006C41EE" w:rsidRPr="00A623AB" w:rsidRDefault="006C41EE" w:rsidP="006C41EE">
      <w:pPr>
        <w:jc w:val="both"/>
        <w:rPr>
          <w:rFonts w:ascii="Cambria" w:hAnsi="Cambria"/>
          <w:sz w:val="20"/>
          <w:szCs w:val="20"/>
        </w:rPr>
      </w:pPr>
    </w:p>
    <w:p w14:paraId="2FEE09D8" w14:textId="77777777" w:rsidR="006C41EE" w:rsidRPr="00A623AB" w:rsidRDefault="0066215E" w:rsidP="00550322">
      <w:pPr>
        <w:pStyle w:val="Heading2"/>
        <w:numPr>
          <w:ilvl w:val="0"/>
          <w:numId w:val="53"/>
        </w:numPr>
        <w:jc w:val="both"/>
        <w:rPr>
          <w:rFonts w:ascii="Cambria" w:hAnsi="Cambria"/>
          <w:i w:val="0"/>
          <w:iCs w:val="0"/>
          <w:sz w:val="20"/>
          <w:szCs w:val="20"/>
        </w:rPr>
      </w:pPr>
      <w:bookmarkStart w:id="39" w:name="_Toc217309583"/>
      <w:r w:rsidRPr="00A623AB">
        <w:rPr>
          <w:rFonts w:ascii="Cambria" w:eastAsia="Cambria" w:hAnsi="Cambria" w:cs="Cambria"/>
          <w:i w:val="0"/>
          <w:iCs w:val="0"/>
          <w:sz w:val="20"/>
          <w:szCs w:val="20"/>
          <w:bdr w:val="nil"/>
        </w:rPr>
        <w:t>Right to personal integrity (Article 5.1),</w:t>
      </w:r>
      <w:r w:rsidRPr="00A623AB">
        <w:rPr>
          <w:rStyle w:val="FootnoteReference"/>
          <w:rFonts w:ascii="Cambria" w:hAnsi="Cambria"/>
          <w:i w:val="0"/>
          <w:iCs w:val="0"/>
          <w:sz w:val="20"/>
          <w:szCs w:val="20"/>
          <w:lang w:val="es-ES"/>
        </w:rPr>
        <w:footnoteReference w:id="133"/>
      </w:r>
      <w:r w:rsidRPr="00A623AB">
        <w:rPr>
          <w:rFonts w:ascii="Cambria" w:eastAsia="Cambria" w:hAnsi="Cambria" w:cs="Cambria"/>
          <w:i w:val="0"/>
          <w:iCs w:val="0"/>
          <w:sz w:val="20"/>
          <w:szCs w:val="20"/>
          <w:bdr w:val="nil"/>
        </w:rPr>
        <w:t xml:space="preserve"> in relation to Article 1.1</w:t>
      </w:r>
      <w:r w:rsidRPr="00A623AB">
        <w:rPr>
          <w:rStyle w:val="FootnoteReference"/>
          <w:rFonts w:ascii="Cambria" w:hAnsi="Cambria"/>
          <w:i w:val="0"/>
          <w:iCs w:val="0"/>
          <w:sz w:val="20"/>
          <w:szCs w:val="20"/>
          <w:lang w:val="es-ES"/>
        </w:rPr>
        <w:footnoteReference w:id="134"/>
      </w:r>
      <w:r w:rsidRPr="00A623AB">
        <w:rPr>
          <w:rFonts w:ascii="Cambria" w:eastAsia="Cambria" w:hAnsi="Cambria" w:cs="Cambria"/>
          <w:i w:val="0"/>
          <w:iCs w:val="0"/>
          <w:sz w:val="20"/>
          <w:szCs w:val="20"/>
          <w:bdr w:val="nil"/>
        </w:rPr>
        <w:t xml:space="preserve"> of the American Convention, of Terry Langton and Lyn Langton</w:t>
      </w:r>
      <w:bookmarkEnd w:id="39"/>
    </w:p>
    <w:p w14:paraId="59FC69C0" w14:textId="77777777" w:rsidR="006C41EE" w:rsidRPr="00A623AB" w:rsidRDefault="006C41EE" w:rsidP="006C41EE">
      <w:pPr>
        <w:rPr>
          <w:rFonts w:ascii="Cambria" w:hAnsi="Cambria"/>
          <w:sz w:val="20"/>
          <w:szCs w:val="20"/>
        </w:rPr>
      </w:pPr>
    </w:p>
    <w:p w14:paraId="4371D320" w14:textId="0A25A08B" w:rsidR="00DC3634" w:rsidRPr="00A623AB" w:rsidRDefault="0066215E" w:rsidP="00EA6555">
      <w:pPr>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9360"/>
        </w:tabs>
        <w:ind w:left="0" w:firstLine="426"/>
        <w:jc w:val="both"/>
        <w:rPr>
          <w:rFonts w:ascii="Cambria" w:hAnsi="Cambria"/>
          <w:bCs/>
          <w:sz w:val="20"/>
          <w:szCs w:val="20"/>
        </w:rPr>
      </w:pPr>
      <w:r w:rsidRPr="00A623AB">
        <w:rPr>
          <w:rFonts w:ascii="Cambria" w:eastAsia="Cambria" w:hAnsi="Cambria" w:cs="Cambria"/>
          <w:bCs/>
          <w:sz w:val="20"/>
          <w:szCs w:val="20"/>
        </w:rPr>
        <w:t>With re</w:t>
      </w:r>
      <w:r w:rsidR="00B7085C" w:rsidRPr="00A623AB">
        <w:rPr>
          <w:rFonts w:ascii="Cambria" w:eastAsia="Cambria" w:hAnsi="Cambria" w:cs="Cambria"/>
          <w:bCs/>
          <w:sz w:val="20"/>
          <w:szCs w:val="20"/>
        </w:rPr>
        <w:t>gard</w:t>
      </w:r>
      <w:r w:rsidRPr="00A623AB">
        <w:rPr>
          <w:rFonts w:ascii="Cambria" w:eastAsia="Cambria" w:hAnsi="Cambria" w:cs="Cambria"/>
          <w:bCs/>
          <w:sz w:val="20"/>
          <w:szCs w:val="20"/>
        </w:rPr>
        <w:t xml:space="preserve"> to the families of the victims of certain human rights violations, the Commission and the Inter-American Court have indicated that they may be considered victims as well.</w:t>
      </w:r>
      <w:r w:rsidRPr="00A623AB">
        <w:rPr>
          <w:rFonts w:ascii="Cambria" w:hAnsi="Cambria"/>
          <w:bCs/>
          <w:sz w:val="20"/>
          <w:szCs w:val="20"/>
          <w:vertAlign w:val="superscript"/>
          <w:lang w:val="es-ES"/>
        </w:rPr>
        <w:footnoteReference w:id="135"/>
      </w:r>
      <w:r w:rsidRPr="00A623AB">
        <w:rPr>
          <w:rFonts w:ascii="Cambria" w:eastAsia="Cambria" w:hAnsi="Cambria" w:cs="Cambria"/>
          <w:bCs/>
          <w:sz w:val="20"/>
          <w:szCs w:val="20"/>
        </w:rPr>
        <w:t xml:space="preserve"> In this regard, the Court has stated that they may be affected in their mental and moral integrity as a result of the particular situations suffered by the victims, as well as the subsequent actions or omissions of national authorities in the face of these facts.</w:t>
      </w:r>
      <w:r w:rsidRPr="00A623AB">
        <w:rPr>
          <w:rFonts w:ascii="Cambria" w:hAnsi="Cambria"/>
          <w:bCs/>
          <w:sz w:val="20"/>
          <w:szCs w:val="20"/>
          <w:vertAlign w:val="superscript"/>
          <w:lang w:val="es-ES"/>
        </w:rPr>
        <w:footnoteReference w:id="136"/>
      </w:r>
      <w:r w:rsidRPr="00A623AB">
        <w:rPr>
          <w:rFonts w:ascii="Cambria" w:eastAsia="Cambria" w:hAnsi="Cambria" w:cs="Cambria"/>
          <w:bCs/>
          <w:sz w:val="20"/>
          <w:szCs w:val="20"/>
        </w:rPr>
        <w:t xml:space="preserve"> </w:t>
      </w:r>
    </w:p>
    <w:p w14:paraId="00BD4D71" w14:textId="77777777" w:rsidR="0036484A" w:rsidRPr="00A623AB" w:rsidRDefault="0036484A" w:rsidP="0036484A">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9360"/>
        </w:tabs>
        <w:ind w:left="426"/>
        <w:jc w:val="both"/>
        <w:rPr>
          <w:rFonts w:ascii="Cambria" w:hAnsi="Cambria"/>
          <w:bCs/>
          <w:sz w:val="20"/>
          <w:szCs w:val="20"/>
        </w:rPr>
      </w:pPr>
    </w:p>
    <w:p w14:paraId="7950A138" w14:textId="69234926" w:rsidR="00F46077" w:rsidRPr="00A623AB" w:rsidRDefault="0066215E" w:rsidP="00EA6555">
      <w:pPr>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9360"/>
        </w:tabs>
        <w:ind w:left="0" w:firstLine="426"/>
        <w:jc w:val="both"/>
        <w:rPr>
          <w:rFonts w:ascii="Cambria" w:hAnsi="Cambria"/>
          <w:bCs/>
          <w:sz w:val="20"/>
          <w:szCs w:val="20"/>
        </w:rPr>
      </w:pPr>
      <w:r w:rsidRPr="00A623AB">
        <w:rPr>
          <w:rFonts w:ascii="Cambria" w:eastAsia="Cambria" w:hAnsi="Cambria" w:cs="Cambria"/>
          <w:bCs/>
          <w:sz w:val="20"/>
          <w:szCs w:val="20"/>
        </w:rPr>
        <w:t>In the instant case, the Commission considers that the Venezuelan authorities did not provide Sarah Lyn Langton with the adequate health care services during the time she was deprived of her liberty at the INOF, and especially when her health condition deteriorated between March 7 and 13, 2001, which resulted in her death. Moreover, it was established that Sarah’s parents experienced anguish and concern all throughout these months, since they knew their daughter was not receiving proper medical care. In addition, they had to manage their daughter’s transfer from the hospital to a private institute and do all the paperwork required to guarantee the payment. All this process had a special impact on the family because they were in the United Kingdom, and in the end, they had to travel to Venezuela only to see their daughter in a critical state. The Commission also notes that Terry and Lyn Langton were not able to talk nor say goodbye to their daughter, given that she did not regain consciousness after they arrived in Venezuela.</w:t>
      </w:r>
    </w:p>
    <w:p w14:paraId="2545D1E4" w14:textId="77777777" w:rsidR="00EA6555" w:rsidRPr="00A623AB" w:rsidRDefault="00EA6555" w:rsidP="00EA6555">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9360"/>
        </w:tabs>
        <w:ind w:firstLine="567"/>
        <w:jc w:val="both"/>
        <w:rPr>
          <w:rFonts w:ascii="Cambria" w:hAnsi="Cambria"/>
          <w:bCs/>
          <w:sz w:val="20"/>
          <w:szCs w:val="20"/>
        </w:rPr>
      </w:pPr>
    </w:p>
    <w:p w14:paraId="0291D01A" w14:textId="09E69C86" w:rsidR="00F46077" w:rsidRPr="00A623AB" w:rsidRDefault="0066215E" w:rsidP="00EA6555">
      <w:pPr>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9360"/>
        </w:tabs>
        <w:ind w:left="0" w:firstLine="567"/>
        <w:jc w:val="both"/>
        <w:rPr>
          <w:rFonts w:ascii="Cambria" w:hAnsi="Cambria"/>
          <w:sz w:val="20"/>
          <w:szCs w:val="20"/>
        </w:rPr>
      </w:pPr>
      <w:r w:rsidRPr="00A623AB">
        <w:rPr>
          <w:rFonts w:ascii="Cambria" w:eastAsia="Cambria" w:hAnsi="Cambria" w:cs="Cambria"/>
          <w:sz w:val="20"/>
          <w:szCs w:val="20"/>
        </w:rPr>
        <w:t xml:space="preserve">On top of these circumstances, which constitute a source of suffering and powerlessness in and of their own, the Commission notes that in the instant case there was no investigation carried out with due diligence and within a reasonable time, which resulted in the </w:t>
      </w:r>
      <w:r w:rsidR="00C50AC9" w:rsidRPr="00A623AB">
        <w:rPr>
          <w:rFonts w:ascii="Cambria" w:eastAsia="Cambria" w:hAnsi="Cambria" w:cs="Cambria"/>
          <w:sz w:val="20"/>
          <w:szCs w:val="20"/>
        </w:rPr>
        <w:t>dismissal</w:t>
      </w:r>
      <w:r w:rsidR="007E3D56" w:rsidRPr="00A623AB">
        <w:rPr>
          <w:rFonts w:ascii="Cambria" w:eastAsia="Cambria" w:hAnsi="Cambria" w:cs="Cambria"/>
          <w:sz w:val="20"/>
          <w:szCs w:val="20"/>
        </w:rPr>
        <w:t xml:space="preserve"> </w:t>
      </w:r>
      <w:r w:rsidRPr="00A623AB">
        <w:rPr>
          <w:rFonts w:ascii="Cambria" w:eastAsia="Cambria" w:hAnsi="Cambria" w:cs="Cambria"/>
          <w:sz w:val="20"/>
          <w:szCs w:val="20"/>
        </w:rPr>
        <w:t xml:space="preserve">of all the allegedly responsible persons due to the </w:t>
      </w:r>
      <w:r w:rsidR="007A30D9" w:rsidRPr="00A623AB">
        <w:rPr>
          <w:rFonts w:ascii="Cambria" w:eastAsia="Cambria" w:hAnsi="Cambria" w:cs="Cambria"/>
          <w:sz w:val="20"/>
          <w:szCs w:val="20"/>
        </w:rPr>
        <w:t xml:space="preserve">application of the </w:t>
      </w:r>
      <w:r w:rsidRPr="00A623AB">
        <w:rPr>
          <w:rFonts w:ascii="Cambria" w:eastAsia="Cambria" w:hAnsi="Cambria" w:cs="Cambria"/>
          <w:sz w:val="20"/>
          <w:szCs w:val="20"/>
        </w:rPr>
        <w:t xml:space="preserve">statute of limitations. In such circumstances, the Court has indicated that the absence of an investigation “constitutes a source of additional suffering and anguish for victims and their next of kin, who have the right to know the truth of what happened. This right to the truth requires a procedural determination of the most complete historical truth possible, including the determination of patterns of collective action and of all those who, in </w:t>
      </w:r>
      <w:r w:rsidR="00E26BD0" w:rsidRPr="00A623AB">
        <w:rPr>
          <w:rFonts w:ascii="Cambria" w:eastAsia="Cambria" w:hAnsi="Cambria" w:cs="Cambria"/>
          <w:sz w:val="20"/>
          <w:szCs w:val="20"/>
        </w:rPr>
        <w:t>diverse ways</w:t>
      </w:r>
      <w:r w:rsidRPr="00A623AB">
        <w:rPr>
          <w:rFonts w:ascii="Cambria" w:eastAsia="Cambria" w:hAnsi="Cambria" w:cs="Cambria"/>
          <w:sz w:val="20"/>
          <w:szCs w:val="20"/>
        </w:rPr>
        <w:t xml:space="preserve">, took part in said violations, as well as their corresponding </w:t>
      </w:r>
      <w:r w:rsidRPr="00A623AB">
        <w:rPr>
          <w:rFonts w:ascii="Cambria" w:eastAsia="Cambria" w:hAnsi="Cambria" w:cs="Cambria"/>
          <w:sz w:val="20"/>
          <w:szCs w:val="20"/>
        </w:rPr>
        <w:lastRenderedPageBreak/>
        <w:t>responsibilities.”</w:t>
      </w:r>
      <w:r w:rsidRPr="00A623AB">
        <w:rPr>
          <w:rFonts w:ascii="Cambria" w:hAnsi="Cambria"/>
          <w:sz w:val="20"/>
          <w:szCs w:val="20"/>
          <w:vertAlign w:val="superscript"/>
          <w:lang w:val="es-ES"/>
        </w:rPr>
        <w:footnoteReference w:id="137"/>
      </w:r>
      <w:r w:rsidRPr="00A623AB">
        <w:rPr>
          <w:rFonts w:ascii="Cambria" w:eastAsia="Cambria" w:hAnsi="Cambria" w:cs="Cambria"/>
          <w:sz w:val="20"/>
          <w:szCs w:val="20"/>
        </w:rPr>
        <w:t xml:space="preserve"> Thus, the Commission notes that the pain and suffering of Sarah’s parents was increased by the lack of a response on the part of the legal bodies. </w:t>
      </w:r>
    </w:p>
    <w:p w14:paraId="2EE938BB" w14:textId="77777777" w:rsidR="00F46077" w:rsidRPr="00A623AB" w:rsidRDefault="00F46077" w:rsidP="00EA6555">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9360"/>
        </w:tabs>
        <w:ind w:firstLine="567"/>
        <w:jc w:val="both"/>
        <w:rPr>
          <w:rFonts w:ascii="Cambria" w:hAnsi="Cambria"/>
          <w:b/>
          <w:sz w:val="20"/>
          <w:szCs w:val="20"/>
        </w:rPr>
      </w:pPr>
    </w:p>
    <w:p w14:paraId="5639481A" w14:textId="7842D5B8" w:rsidR="002A6B05" w:rsidRPr="00517C44" w:rsidRDefault="0066215E" w:rsidP="00517C44">
      <w:pPr>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9360"/>
        </w:tabs>
        <w:ind w:left="0" w:firstLine="567"/>
        <w:jc w:val="both"/>
        <w:rPr>
          <w:rFonts w:ascii="Cambria" w:hAnsi="Cambria"/>
          <w:b/>
          <w:sz w:val="20"/>
          <w:szCs w:val="20"/>
        </w:rPr>
      </w:pPr>
      <w:r w:rsidRPr="00A623AB">
        <w:rPr>
          <w:rFonts w:ascii="Cambria" w:eastAsia="Cambria" w:hAnsi="Cambria" w:cs="Cambria"/>
          <w:sz w:val="20"/>
          <w:szCs w:val="20"/>
        </w:rPr>
        <w:t xml:space="preserve">In accordance with the foregoing, the Commission considers that the loss of their daughter to the circumstances described in this report, as well as the lack of truth and justice, caused suffering and anguish to Terry and Lyn Langton, violating their right to mental and moral integrity protected in Article 5.1 of the American Convention, in relation to the obligations set forth in Article 1.1 thereof. </w:t>
      </w:r>
    </w:p>
    <w:p w14:paraId="39C5A399" w14:textId="77777777" w:rsidR="00517C44" w:rsidRPr="00823451" w:rsidRDefault="00517C44" w:rsidP="00517C44">
      <w:pPr>
        <w:ind w:left="567"/>
        <w:jc w:val="both"/>
        <w:rPr>
          <w:rFonts w:ascii="Cambria" w:eastAsia="Cambria" w:hAnsi="Cambria" w:cs="Cambria"/>
          <w:color w:val="000000"/>
          <w:sz w:val="20"/>
          <w:szCs w:val="20"/>
          <w:u w:color="000000"/>
          <w:lang w:eastAsia="es-ES"/>
        </w:rPr>
      </w:pPr>
    </w:p>
    <w:p w14:paraId="6E21EDDC" w14:textId="77777777" w:rsidR="00517C44" w:rsidRPr="00A2019C" w:rsidRDefault="00517C44" w:rsidP="00120626">
      <w:pPr>
        <w:pStyle w:val="Heading1"/>
        <w:numPr>
          <w:ilvl w:val="0"/>
          <w:numId w:val="65"/>
        </w:numPr>
        <w:spacing w:before="0"/>
        <w:jc w:val="both"/>
        <w:rPr>
          <w:rFonts w:ascii="Cambria" w:eastAsia="Malgun Gothic" w:hAnsi="Cambria" w:cs="Times New Roman"/>
          <w:color w:val="000000"/>
          <w:sz w:val="20"/>
          <w:szCs w:val="20"/>
          <w:lang w:val="es-CO"/>
        </w:rPr>
      </w:pPr>
      <w:bookmarkStart w:id="40" w:name="_Toc209103755"/>
      <w:bookmarkStart w:id="41" w:name="_Toc217309584"/>
      <w:r w:rsidRPr="00A2019C">
        <w:rPr>
          <w:rFonts w:ascii="Cambria" w:eastAsia="Cambria" w:hAnsi="Cambria" w:cs="Cambria"/>
          <w:color w:val="auto"/>
          <w:sz w:val="20"/>
          <w:szCs w:val="20"/>
        </w:rPr>
        <w:t>REPORT</w:t>
      </w:r>
      <w:r w:rsidRPr="00A2019C">
        <w:rPr>
          <w:rFonts w:ascii="Cambria" w:eastAsia="Malgun Gothic" w:hAnsi="Cambria" w:cs="Times New Roman"/>
          <w:color w:val="000000"/>
          <w:sz w:val="20"/>
          <w:szCs w:val="20"/>
        </w:rPr>
        <w:t xml:space="preserve"> 389/21 AND COMPLIANCE INFORMATION</w:t>
      </w:r>
      <w:bookmarkEnd w:id="40"/>
      <w:bookmarkEnd w:id="41"/>
    </w:p>
    <w:p w14:paraId="26AF037D" w14:textId="77777777" w:rsidR="00517C44" w:rsidRPr="00A2019C" w:rsidRDefault="00517C44" w:rsidP="00517C44">
      <w:pPr>
        <w:rPr>
          <w:lang w:val="es-CO"/>
        </w:rPr>
      </w:pPr>
    </w:p>
    <w:p w14:paraId="2325A1E9" w14:textId="2AEBE439" w:rsidR="00517C44" w:rsidRPr="00A2019C" w:rsidRDefault="00517C44" w:rsidP="00517C44">
      <w:pPr>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9360"/>
        </w:tabs>
        <w:ind w:left="0" w:firstLine="567"/>
        <w:jc w:val="both"/>
        <w:rPr>
          <w:rFonts w:ascii="Cambria" w:hAnsi="Cambria"/>
          <w:sz w:val="20"/>
          <w:szCs w:val="20"/>
          <w:lang w:val="es-CO"/>
        </w:rPr>
      </w:pPr>
      <w:r w:rsidRPr="00A2019C">
        <w:rPr>
          <w:rFonts w:ascii="Cambria" w:eastAsia="Cambria" w:hAnsi="Cambria" w:cs="Cambria"/>
          <w:sz w:val="20"/>
          <w:szCs w:val="20"/>
        </w:rPr>
        <w:t>T</w:t>
      </w:r>
      <w:r w:rsidRPr="00A2019C">
        <w:rPr>
          <w:rFonts w:ascii="Cambria" w:hAnsi="Cambria"/>
          <w:sz w:val="20"/>
          <w:szCs w:val="20"/>
        </w:rPr>
        <w:t>he Commission adopted Merits Report No. 389/21 on December 10, 2021, and transmitted it to the State on March 9, 2022. On that same date, the Commission notified the petitioner of the approval of the report and asked it to report its position on submitting the case to the Inter-American Court of Human Rights. In that report, the Commission recommended:</w:t>
      </w:r>
    </w:p>
    <w:p w14:paraId="75C136C4" w14:textId="77777777" w:rsidR="00517C44" w:rsidRPr="00A2019C" w:rsidRDefault="00517C44" w:rsidP="00517C44">
      <w:pPr>
        <w:tabs>
          <w:tab w:val="left" w:pos="720"/>
          <w:tab w:val="left" w:pos="1440"/>
          <w:tab w:val="left" w:pos="9360"/>
        </w:tabs>
        <w:ind w:left="567"/>
        <w:jc w:val="both"/>
        <w:rPr>
          <w:rFonts w:ascii="Cambria" w:hAnsi="Cambria"/>
          <w:sz w:val="20"/>
          <w:szCs w:val="20"/>
          <w:lang w:val="es-CO"/>
        </w:rPr>
      </w:pPr>
    </w:p>
    <w:p w14:paraId="105EF637" w14:textId="77777777" w:rsidR="00517C44" w:rsidRPr="00A2019C" w:rsidRDefault="00517C44" w:rsidP="00517C44">
      <w:pPr>
        <w:numPr>
          <w:ilvl w:val="0"/>
          <w:numId w:val="60"/>
        </w:numPr>
        <w:jc w:val="both"/>
        <w:rPr>
          <w:rFonts w:ascii="Cambria" w:eastAsia="Times New Roman" w:hAnsi="Cambria" w:cs="Tahoma"/>
          <w:color w:val="000000"/>
          <w:sz w:val="20"/>
          <w:szCs w:val="20"/>
          <w:u w:color="000000"/>
          <w:lang w:eastAsia="es-ES"/>
        </w:rPr>
      </w:pPr>
      <w:r w:rsidRPr="00A2019C">
        <w:rPr>
          <w:rFonts w:ascii="Cambria" w:eastAsia="Times New Roman" w:hAnsi="Cambria" w:cs="Tahoma"/>
          <w:color w:val="000000"/>
          <w:sz w:val="20"/>
          <w:szCs w:val="20"/>
          <w:u w:color="000000"/>
          <w:lang w:eastAsia="es-ES"/>
        </w:rPr>
        <w:t xml:space="preserve">To make full reparation for the human rights violations declared in this report, both in their material and non-material aspects. The State must adopt measures of economic compensation and satisfaction. </w:t>
      </w:r>
    </w:p>
    <w:p w14:paraId="26185CF2" w14:textId="77777777" w:rsidR="00517C44" w:rsidRPr="00A2019C" w:rsidRDefault="00517C44" w:rsidP="00517C44">
      <w:pPr>
        <w:ind w:left="1425"/>
        <w:jc w:val="both"/>
        <w:rPr>
          <w:rFonts w:ascii="Cambria" w:eastAsia="Times New Roman" w:hAnsi="Cambria" w:cs="Tahoma"/>
          <w:color w:val="000000"/>
          <w:sz w:val="20"/>
          <w:szCs w:val="20"/>
          <w:u w:color="000000"/>
          <w:lang w:eastAsia="es-ES"/>
        </w:rPr>
      </w:pPr>
    </w:p>
    <w:p w14:paraId="0FB275E6" w14:textId="77777777" w:rsidR="00517C44" w:rsidRPr="00A2019C" w:rsidRDefault="00517C44" w:rsidP="00517C44">
      <w:pPr>
        <w:numPr>
          <w:ilvl w:val="0"/>
          <w:numId w:val="60"/>
        </w:numPr>
        <w:jc w:val="both"/>
        <w:rPr>
          <w:rFonts w:ascii="Cambria" w:eastAsia="Times New Roman" w:hAnsi="Cambria" w:cs="Tahoma"/>
          <w:color w:val="000000"/>
          <w:sz w:val="20"/>
          <w:szCs w:val="20"/>
          <w:u w:color="000000"/>
          <w:lang w:eastAsia="es-ES"/>
        </w:rPr>
      </w:pPr>
      <w:r w:rsidRPr="00A2019C">
        <w:rPr>
          <w:rFonts w:ascii="Cambria" w:eastAsia="Times New Roman" w:hAnsi="Cambria" w:cs="Tahoma"/>
          <w:color w:val="000000"/>
          <w:sz w:val="20"/>
          <w:szCs w:val="20"/>
          <w:u w:color="000000"/>
          <w:lang w:eastAsia="es-ES"/>
        </w:rPr>
        <w:t>Arrange</w:t>
      </w:r>
      <w:r w:rsidRPr="00A2019C">
        <w:rPr>
          <w:rFonts w:ascii="Cambria" w:eastAsia="Cambria" w:hAnsi="Cambria" w:cs="Cambria"/>
          <w:color w:val="000000"/>
          <w:sz w:val="20"/>
          <w:szCs w:val="20"/>
          <w:u w:color="000000"/>
          <w:lang w:eastAsia="es-ES"/>
        </w:rPr>
        <w:t xml:space="preserve"> for the necessary physical and mental health care measures for the rehabilitation of Sarah Lyn Langton's relatives, if it is their will and in a concerted manner.</w:t>
      </w:r>
    </w:p>
    <w:p w14:paraId="4C61C50E" w14:textId="1AB7F42B" w:rsidR="00517C44" w:rsidRPr="00A2019C" w:rsidRDefault="00517C44" w:rsidP="00517C44">
      <w:pPr>
        <w:ind w:left="1425"/>
        <w:jc w:val="both"/>
        <w:rPr>
          <w:rFonts w:ascii="Cambria" w:eastAsia="Times New Roman" w:hAnsi="Cambria" w:cs="Tahoma"/>
          <w:color w:val="000000"/>
          <w:sz w:val="20"/>
          <w:szCs w:val="20"/>
          <w:u w:color="000000"/>
          <w:lang w:eastAsia="es-ES"/>
        </w:rPr>
      </w:pPr>
    </w:p>
    <w:p w14:paraId="5DD19562" w14:textId="77777777" w:rsidR="00517C44" w:rsidRPr="00A2019C" w:rsidRDefault="00517C44" w:rsidP="00517C44">
      <w:pPr>
        <w:numPr>
          <w:ilvl w:val="0"/>
          <w:numId w:val="60"/>
        </w:numPr>
        <w:jc w:val="both"/>
        <w:rPr>
          <w:rFonts w:ascii="Cambria" w:eastAsia="Times New Roman" w:hAnsi="Cambria" w:cs="Tahoma"/>
          <w:color w:val="000000"/>
          <w:sz w:val="20"/>
          <w:szCs w:val="20"/>
          <w:u w:color="000000"/>
          <w:lang w:eastAsia="es-ES"/>
        </w:rPr>
      </w:pPr>
      <w:r w:rsidRPr="00A2019C">
        <w:rPr>
          <w:rFonts w:ascii="Cambria" w:eastAsia="Times New Roman" w:hAnsi="Cambria" w:cs="Tahoma"/>
          <w:color w:val="000000"/>
          <w:sz w:val="20"/>
          <w:szCs w:val="20"/>
          <w:u w:color="000000"/>
          <w:lang w:eastAsia="es-ES"/>
        </w:rPr>
        <w:t>Adopt the necessary measures to effectively investigate the facts of this case and punish, within a reasonable time, the justice operators whose conduct has resulted in the excessive delay in the processing of the criminal proceedings and the consequent lack of access to justice for the victims;</w:t>
      </w:r>
    </w:p>
    <w:p w14:paraId="4C5CAEA3" w14:textId="77777777" w:rsidR="00517C44" w:rsidRPr="00A2019C" w:rsidRDefault="00517C44" w:rsidP="00517C44">
      <w:pPr>
        <w:ind w:left="1425"/>
        <w:jc w:val="both"/>
        <w:rPr>
          <w:rFonts w:ascii="Cambria" w:eastAsia="Times New Roman" w:hAnsi="Cambria" w:cs="Tahoma"/>
          <w:color w:val="000000"/>
          <w:sz w:val="20"/>
          <w:szCs w:val="20"/>
          <w:u w:color="000000"/>
          <w:lang w:eastAsia="es-ES"/>
        </w:rPr>
      </w:pPr>
    </w:p>
    <w:p w14:paraId="1AA47B7C" w14:textId="77777777" w:rsidR="00517C44" w:rsidRPr="00A2019C" w:rsidRDefault="00517C44" w:rsidP="00517C44">
      <w:pPr>
        <w:numPr>
          <w:ilvl w:val="0"/>
          <w:numId w:val="60"/>
        </w:numPr>
        <w:jc w:val="both"/>
        <w:rPr>
          <w:rFonts w:ascii="Cambria" w:eastAsia="Times New Roman" w:hAnsi="Cambria" w:cs="Tahoma"/>
          <w:color w:val="000000"/>
          <w:sz w:val="20"/>
          <w:szCs w:val="20"/>
          <w:u w:color="000000"/>
          <w:lang w:eastAsia="es-ES"/>
        </w:rPr>
      </w:pPr>
      <w:r w:rsidRPr="00A2019C">
        <w:rPr>
          <w:rFonts w:ascii="Cambria" w:eastAsia="Times New Roman" w:hAnsi="Cambria" w:cs="Tahoma"/>
          <w:color w:val="000000"/>
          <w:sz w:val="20"/>
          <w:szCs w:val="20"/>
          <w:u w:color="000000"/>
          <w:lang w:eastAsia="es-ES"/>
        </w:rPr>
        <w:t>Establish mechanisms for non-repetition that include all the necessary measures to ensure the availability, accessibility, quality, and acceptability of access to permanent health services for persons deprived of liberty in the INOF, from a gender perspective, especially the following:</w:t>
      </w:r>
    </w:p>
    <w:p w14:paraId="3321F67A" w14:textId="77777777" w:rsidR="00517C44" w:rsidRPr="00A2019C" w:rsidRDefault="00517C44" w:rsidP="00517C44">
      <w:pPr>
        <w:ind w:left="720"/>
        <w:rPr>
          <w:rFonts w:ascii="Cambria" w:eastAsia="Times New Roman" w:hAnsi="Cambria" w:cs="Tahoma"/>
          <w:color w:val="000000"/>
          <w:sz w:val="20"/>
          <w:szCs w:val="20"/>
          <w:u w:color="000000"/>
          <w:lang w:eastAsia="es-ES"/>
        </w:rPr>
      </w:pPr>
    </w:p>
    <w:p w14:paraId="38F9632A" w14:textId="77777777" w:rsidR="00517C44" w:rsidRPr="00A2019C" w:rsidRDefault="00517C44" w:rsidP="00517C44">
      <w:pPr>
        <w:numPr>
          <w:ilvl w:val="0"/>
          <w:numId w:val="58"/>
        </w:numPr>
        <w:jc w:val="both"/>
        <w:rPr>
          <w:rFonts w:ascii="Cambria" w:eastAsia="Times New Roman" w:hAnsi="Cambria" w:cs="Tahoma"/>
          <w:color w:val="000000"/>
          <w:sz w:val="20"/>
          <w:szCs w:val="20"/>
          <w:u w:color="000000"/>
          <w:lang w:eastAsia="es-ES"/>
        </w:rPr>
      </w:pPr>
      <w:r w:rsidRPr="00A2019C">
        <w:rPr>
          <w:rFonts w:ascii="Cambria" w:eastAsia="Times New Roman" w:hAnsi="Cambria" w:cs="Tahoma"/>
          <w:color w:val="000000"/>
          <w:sz w:val="20"/>
          <w:szCs w:val="20"/>
          <w:u w:color="000000"/>
          <w:lang w:eastAsia="es-ES"/>
        </w:rPr>
        <w:t>Supervise the provision of mental health and chronic disease medical services at INOF;</w:t>
      </w:r>
    </w:p>
    <w:p w14:paraId="525E089D" w14:textId="77777777" w:rsidR="00517C44" w:rsidRPr="00A2019C" w:rsidRDefault="00517C44" w:rsidP="00517C44">
      <w:pPr>
        <w:numPr>
          <w:ilvl w:val="0"/>
          <w:numId w:val="58"/>
        </w:numPr>
        <w:jc w:val="both"/>
        <w:rPr>
          <w:rFonts w:ascii="Cambria" w:eastAsia="Times New Roman" w:hAnsi="Cambria" w:cs="Tahoma"/>
          <w:color w:val="000000"/>
          <w:sz w:val="20"/>
          <w:szCs w:val="20"/>
          <w:u w:color="000000"/>
          <w:lang w:eastAsia="es-ES"/>
        </w:rPr>
      </w:pPr>
      <w:r w:rsidRPr="00A2019C">
        <w:rPr>
          <w:rFonts w:ascii="Cambria" w:eastAsia="Times New Roman" w:hAnsi="Cambria" w:cs="Tahoma"/>
          <w:color w:val="000000"/>
          <w:sz w:val="20"/>
          <w:szCs w:val="20"/>
          <w:u w:color="000000"/>
          <w:lang w:eastAsia="es-ES"/>
        </w:rPr>
        <w:t>Develop emergency protocols for the care of medical emergencies at the INOF.</w:t>
      </w:r>
    </w:p>
    <w:p w14:paraId="7C7D5E60" w14:textId="77777777" w:rsidR="00517C44" w:rsidRPr="00A2019C" w:rsidRDefault="00517C44" w:rsidP="00517C44">
      <w:pPr>
        <w:numPr>
          <w:ilvl w:val="0"/>
          <w:numId w:val="58"/>
        </w:numPr>
        <w:jc w:val="both"/>
        <w:rPr>
          <w:rFonts w:ascii="Cambria" w:eastAsia="Times New Roman" w:hAnsi="Cambria" w:cs="Tahoma"/>
          <w:color w:val="000000"/>
          <w:sz w:val="20"/>
          <w:szCs w:val="20"/>
          <w:u w:color="000000"/>
          <w:lang w:eastAsia="es-ES"/>
        </w:rPr>
      </w:pPr>
      <w:r w:rsidRPr="00A2019C">
        <w:rPr>
          <w:rFonts w:ascii="Cambria" w:eastAsia="Times New Roman" w:hAnsi="Cambria" w:cs="Tahoma"/>
          <w:color w:val="000000"/>
          <w:sz w:val="20"/>
          <w:szCs w:val="20"/>
          <w:u w:color="000000"/>
          <w:lang w:eastAsia="es-ES"/>
        </w:rPr>
        <w:t xml:space="preserve">Ensure the availability of medical personnel in the INOF medical service, including on-call personnel, and guarantee immediate transfer to external centers when the situation warrants it. </w:t>
      </w:r>
    </w:p>
    <w:p w14:paraId="709A85ED" w14:textId="77777777" w:rsidR="00517C44" w:rsidRPr="00A2019C" w:rsidRDefault="00517C44" w:rsidP="00517C44">
      <w:pPr>
        <w:tabs>
          <w:tab w:val="left" w:pos="720"/>
          <w:tab w:val="left" w:pos="1440"/>
          <w:tab w:val="left" w:pos="9360"/>
        </w:tabs>
        <w:ind w:left="567"/>
        <w:jc w:val="both"/>
        <w:rPr>
          <w:rFonts w:ascii="Cambria" w:hAnsi="Cambria"/>
          <w:sz w:val="20"/>
          <w:szCs w:val="20"/>
        </w:rPr>
      </w:pPr>
    </w:p>
    <w:p w14:paraId="7310DB71" w14:textId="77777777" w:rsidR="00517C44" w:rsidRPr="00823451" w:rsidRDefault="00517C44" w:rsidP="00517C44">
      <w:pPr>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9360"/>
        </w:tabs>
        <w:ind w:left="0" w:firstLine="567"/>
        <w:jc w:val="both"/>
        <w:rPr>
          <w:rFonts w:ascii="Cambria" w:hAnsi="Cambria"/>
          <w:sz w:val="20"/>
          <w:szCs w:val="20"/>
        </w:rPr>
      </w:pPr>
      <w:r w:rsidRPr="00A2019C">
        <w:rPr>
          <w:rFonts w:ascii="Cambria" w:hAnsi="Cambria"/>
          <w:sz w:val="20"/>
          <w:szCs w:val="20"/>
        </w:rPr>
        <w:t>On April 22, 2022, the petitioner informed the Commission that the victims did not want their case to be submitted to the Inter-American Court of Human Rights and that they expressed their desire for the IACHR to follow up on compliance with the recommendations. On June 9, 2022, the Commission notified the parties of its d</w:t>
      </w:r>
      <w:r w:rsidRPr="00823451">
        <w:rPr>
          <w:rFonts w:ascii="Cambria" w:hAnsi="Cambria"/>
          <w:sz w:val="20"/>
          <w:szCs w:val="20"/>
        </w:rPr>
        <w:t xml:space="preserve">ecision not to send the case to the Court, in consideration of the petitioner's expressed will. To date, the Commission has not received a response from the State of Venezuela with respect to compliance with Report No. 389/21. In this regard, the Commission understands that the State has not complied with any of the recommendations.  </w:t>
      </w:r>
    </w:p>
    <w:p w14:paraId="68BF721D" w14:textId="77777777" w:rsidR="00517C44" w:rsidRPr="00823451" w:rsidRDefault="00517C44" w:rsidP="00517C44">
      <w:pPr>
        <w:tabs>
          <w:tab w:val="left" w:pos="720"/>
          <w:tab w:val="left" w:pos="1440"/>
          <w:tab w:val="left" w:pos="9360"/>
        </w:tabs>
        <w:jc w:val="both"/>
        <w:rPr>
          <w:rFonts w:ascii="Cambria" w:hAnsi="Cambria"/>
          <w:sz w:val="20"/>
          <w:szCs w:val="20"/>
        </w:rPr>
      </w:pPr>
    </w:p>
    <w:p w14:paraId="1389AA50" w14:textId="77777777" w:rsidR="00517C44" w:rsidRPr="00823451" w:rsidRDefault="00517C44" w:rsidP="00120626">
      <w:pPr>
        <w:pStyle w:val="Heading1"/>
        <w:numPr>
          <w:ilvl w:val="0"/>
          <w:numId w:val="65"/>
        </w:numPr>
        <w:spacing w:before="0"/>
        <w:jc w:val="both"/>
        <w:rPr>
          <w:rFonts w:ascii="Cambria" w:eastAsia="Malgun Gothic" w:hAnsi="Cambria" w:cs="Times New Roman"/>
          <w:color w:val="auto"/>
          <w:sz w:val="20"/>
          <w:szCs w:val="20"/>
        </w:rPr>
      </w:pPr>
      <w:bookmarkStart w:id="42" w:name="_Toc209103756"/>
      <w:bookmarkStart w:id="43" w:name="_Toc217309585"/>
      <w:r w:rsidRPr="00823451">
        <w:rPr>
          <w:rFonts w:ascii="Cambria" w:eastAsia="Cambria" w:hAnsi="Cambria" w:cs="Cambria"/>
          <w:color w:val="auto"/>
          <w:sz w:val="20"/>
          <w:szCs w:val="20"/>
        </w:rPr>
        <w:t>SUBSEQUENT</w:t>
      </w:r>
      <w:r w:rsidRPr="00823451">
        <w:rPr>
          <w:rFonts w:ascii="Cambria" w:eastAsia="Malgun Gothic" w:hAnsi="Cambria" w:cs="Times New Roman"/>
          <w:color w:val="auto"/>
          <w:sz w:val="20"/>
          <w:szCs w:val="20"/>
        </w:rPr>
        <w:t xml:space="preserve"> PROCEEDINGS TO REPORT No. 42/25 AND INFORMATION ON COMPLIANCE</w:t>
      </w:r>
      <w:bookmarkEnd w:id="42"/>
      <w:bookmarkEnd w:id="43"/>
    </w:p>
    <w:p w14:paraId="2357887F" w14:textId="77777777" w:rsidR="00517C44" w:rsidRPr="00823451" w:rsidRDefault="00517C44" w:rsidP="00517C44">
      <w:pPr>
        <w:ind w:left="720"/>
        <w:jc w:val="both"/>
        <w:rPr>
          <w:rFonts w:ascii="Cambria" w:eastAsia="Times New Roman" w:hAnsi="Cambria"/>
          <w:color w:val="000000"/>
          <w:sz w:val="20"/>
          <w:szCs w:val="20"/>
          <w:u w:color="000000"/>
          <w:lang w:eastAsia="es-ES"/>
        </w:rPr>
      </w:pPr>
    </w:p>
    <w:p w14:paraId="701C23E9" w14:textId="54245096" w:rsidR="00517C44" w:rsidRPr="00823451" w:rsidRDefault="00517C44" w:rsidP="00517C44">
      <w:pPr>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9360"/>
        </w:tabs>
        <w:ind w:left="0" w:firstLine="567"/>
        <w:jc w:val="both"/>
        <w:rPr>
          <w:rFonts w:ascii="Cambria" w:hAnsi="Cambria" w:cs="Verdana"/>
          <w:sz w:val="20"/>
          <w:szCs w:val="20"/>
          <w:lang w:bidi="en-US"/>
        </w:rPr>
      </w:pPr>
      <w:r w:rsidRPr="00823451">
        <w:rPr>
          <w:rFonts w:ascii="Cambria" w:hAnsi="Cambria"/>
          <w:sz w:val="20"/>
          <w:szCs w:val="20"/>
        </w:rPr>
        <w:t>On</w:t>
      </w:r>
      <w:r w:rsidRPr="00823451">
        <w:rPr>
          <w:rFonts w:ascii="Cambria" w:hAnsi="Cambria" w:cs="Verdana"/>
          <w:sz w:val="20"/>
          <w:szCs w:val="20"/>
          <w:lang w:bidi="en-US"/>
        </w:rPr>
        <w:t xml:space="preserve"> March 27, 2025, </w:t>
      </w:r>
      <w:r w:rsidRPr="00823451">
        <w:rPr>
          <w:rFonts w:ascii="Cambria" w:hAnsi="Cambria"/>
          <w:sz w:val="20"/>
          <w:szCs w:val="20"/>
        </w:rPr>
        <w:t>the</w:t>
      </w:r>
      <w:r w:rsidRPr="00823451">
        <w:rPr>
          <w:rFonts w:ascii="Cambria" w:hAnsi="Cambria" w:cs="Verdana"/>
          <w:sz w:val="20"/>
          <w:szCs w:val="20"/>
          <w:lang w:bidi="en-US"/>
        </w:rPr>
        <w:t xml:space="preserve"> Commission adopted </w:t>
      </w:r>
      <w:r w:rsidRPr="00823451">
        <w:rPr>
          <w:rFonts w:ascii="Cambria" w:hAnsi="Cambria"/>
          <w:color w:val="000000"/>
          <w:sz w:val="20"/>
          <w:szCs w:val="20"/>
        </w:rPr>
        <w:t>Merits Report</w:t>
      </w:r>
      <w:r w:rsidR="00B525F0" w:rsidRPr="00823451">
        <w:rPr>
          <w:rFonts w:ascii="Cambria" w:hAnsi="Cambria"/>
          <w:color w:val="000000"/>
          <w:sz w:val="20"/>
          <w:szCs w:val="20"/>
        </w:rPr>
        <w:t xml:space="preserve"> (Final)</w:t>
      </w:r>
      <w:r w:rsidRPr="00823451">
        <w:rPr>
          <w:rFonts w:ascii="Cambria" w:hAnsi="Cambria"/>
          <w:color w:val="000000"/>
          <w:sz w:val="20"/>
          <w:szCs w:val="20"/>
        </w:rPr>
        <w:t xml:space="preserve"> No. 42/25, which includes paragraphs 1 to </w:t>
      </w:r>
      <w:r w:rsidR="00B525F0" w:rsidRPr="00823451">
        <w:rPr>
          <w:rFonts w:ascii="Cambria" w:hAnsi="Cambria"/>
          <w:color w:val="000000"/>
          <w:sz w:val="20"/>
          <w:szCs w:val="20"/>
        </w:rPr>
        <w:t>90</w:t>
      </w:r>
      <w:r w:rsidRPr="00823451">
        <w:rPr>
          <w:rFonts w:ascii="Cambria" w:hAnsi="Cambria"/>
          <w:color w:val="000000"/>
          <w:sz w:val="20"/>
          <w:szCs w:val="20"/>
        </w:rPr>
        <w:t xml:space="preserve"> </w:t>
      </w:r>
      <w:r w:rsidRPr="00823451">
        <w:rPr>
          <w:rFonts w:ascii="Cambria" w:hAnsi="Cambria"/>
          <w:i/>
          <w:iCs/>
          <w:color w:val="000000"/>
          <w:sz w:val="20"/>
          <w:szCs w:val="20"/>
        </w:rPr>
        <w:t>above</w:t>
      </w:r>
      <w:r w:rsidRPr="00823451">
        <w:rPr>
          <w:rFonts w:ascii="Cambria" w:hAnsi="Cambria"/>
          <w:color w:val="000000"/>
          <w:sz w:val="20"/>
          <w:szCs w:val="20"/>
        </w:rPr>
        <w:t>, and issued its final conclusions and recommendations to the State. On April 25 of the same year</w:t>
      </w:r>
      <w:r w:rsidRPr="00823451">
        <w:rPr>
          <w:rFonts w:ascii="Cambria" w:hAnsi="Cambria" w:cs="Verdana"/>
          <w:sz w:val="20"/>
          <w:szCs w:val="20"/>
          <w:lang w:bidi="en-US"/>
        </w:rPr>
        <w:t xml:space="preserve">, it transmitted it to the State and to the petitioner, giving them a period of one month to inform the IACHR of the measures adopted to comply with its recommendations. On June 24, 2025, the petitioner reported that they contacted Sarah Langton's parents, who confirmed that they had not received any communication or </w:t>
      </w:r>
      <w:r w:rsidRPr="00823451">
        <w:rPr>
          <w:rFonts w:ascii="Cambria" w:hAnsi="Cambria" w:cs="Verdana"/>
          <w:sz w:val="20"/>
          <w:szCs w:val="20"/>
          <w:lang w:bidi="en-US"/>
        </w:rPr>
        <w:lastRenderedPageBreak/>
        <w:t xml:space="preserve">progress from the Venezuelan State, </w:t>
      </w:r>
      <w:r w:rsidR="00A2019C" w:rsidRPr="00823451">
        <w:rPr>
          <w:rFonts w:ascii="Cambria" w:hAnsi="Cambria" w:cs="Verdana"/>
          <w:sz w:val="20"/>
          <w:szCs w:val="20"/>
          <w:lang w:bidi="en-US"/>
        </w:rPr>
        <w:t>and</w:t>
      </w:r>
      <w:r w:rsidRPr="00823451">
        <w:rPr>
          <w:rFonts w:ascii="Cambria" w:hAnsi="Cambria" w:cs="Verdana"/>
          <w:sz w:val="20"/>
          <w:szCs w:val="20"/>
          <w:lang w:bidi="en-US"/>
        </w:rPr>
        <w:t xml:space="preserve"> that they as representatives had not received any State communication either. In addition, the petitioner indicated that they have communicated with members of Venezuelan civil society, who also confirm that the State has not complied with the recommendations of the IACHR's report on the merits. Therefore, they indicated that they consider that the violations of the Langton case continue to take place today and occur systematically in detention centers in Venezuela.</w:t>
      </w:r>
    </w:p>
    <w:p w14:paraId="029A8F32" w14:textId="77777777" w:rsidR="00517C44" w:rsidRPr="00823451" w:rsidRDefault="00517C44" w:rsidP="00517C44">
      <w:pPr>
        <w:tabs>
          <w:tab w:val="left" w:pos="1530"/>
        </w:tabs>
        <w:ind w:left="630"/>
        <w:jc w:val="both"/>
        <w:rPr>
          <w:rFonts w:ascii="Cambria" w:hAnsi="Cambria" w:cs="Verdana"/>
          <w:sz w:val="20"/>
          <w:szCs w:val="20"/>
          <w:lang w:bidi="en-US"/>
        </w:rPr>
      </w:pPr>
    </w:p>
    <w:p w14:paraId="7E7413DA" w14:textId="77777777" w:rsidR="00517C44" w:rsidRPr="00823451" w:rsidRDefault="00517C44" w:rsidP="00517C44">
      <w:pPr>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9360"/>
        </w:tabs>
        <w:ind w:left="0" w:firstLine="567"/>
        <w:jc w:val="both"/>
        <w:rPr>
          <w:rFonts w:ascii="Cambria" w:hAnsi="Cambria" w:cs="Verdana"/>
          <w:sz w:val="20"/>
          <w:szCs w:val="20"/>
          <w:lang w:bidi="en-US"/>
        </w:rPr>
      </w:pPr>
      <w:r w:rsidRPr="00823451">
        <w:rPr>
          <w:rFonts w:ascii="Cambria" w:hAnsi="Cambria"/>
          <w:sz w:val="20"/>
          <w:szCs w:val="20"/>
        </w:rPr>
        <w:t>To</w:t>
      </w:r>
      <w:r w:rsidRPr="00823451">
        <w:rPr>
          <w:rFonts w:ascii="Cambria" w:hAnsi="Cambria" w:cs="Verdana"/>
          <w:sz w:val="20"/>
          <w:szCs w:val="20"/>
          <w:lang w:bidi="en-US"/>
        </w:rPr>
        <w:t xml:space="preserve"> date, the Commission has not received a response from the Venezuelan State with respect to Report No. 42/25.</w:t>
      </w:r>
    </w:p>
    <w:p w14:paraId="462A9639" w14:textId="77777777" w:rsidR="00517C44" w:rsidRPr="00823451" w:rsidRDefault="00517C44" w:rsidP="00517C44">
      <w:pPr>
        <w:rPr>
          <w:b/>
          <w:bCs/>
        </w:rPr>
      </w:pPr>
    </w:p>
    <w:p w14:paraId="6AD1D535" w14:textId="77777777" w:rsidR="00517C44" w:rsidRPr="00823451" w:rsidRDefault="00517C44" w:rsidP="00120626">
      <w:pPr>
        <w:pStyle w:val="Heading1"/>
        <w:numPr>
          <w:ilvl w:val="0"/>
          <w:numId w:val="65"/>
        </w:numPr>
        <w:spacing w:before="0"/>
        <w:jc w:val="both"/>
        <w:rPr>
          <w:rFonts w:ascii="Cambria" w:eastAsia="Malgun Gothic" w:hAnsi="Cambria" w:cs="Times New Roman"/>
          <w:color w:val="auto"/>
          <w:sz w:val="20"/>
          <w:szCs w:val="20"/>
          <w:lang w:val="es-CO"/>
        </w:rPr>
      </w:pPr>
      <w:bookmarkStart w:id="44" w:name="_Toc209103757"/>
      <w:bookmarkStart w:id="45" w:name="_Toc217309586"/>
      <w:r w:rsidRPr="00823451">
        <w:rPr>
          <w:rFonts w:ascii="Cambria" w:eastAsia="Cambria" w:hAnsi="Cambria" w:cs="Cambria"/>
          <w:color w:val="auto"/>
          <w:sz w:val="20"/>
          <w:szCs w:val="20"/>
        </w:rPr>
        <w:t>CONCLUSIONS</w:t>
      </w:r>
      <w:r w:rsidRPr="00823451">
        <w:rPr>
          <w:rFonts w:ascii="Cambria" w:eastAsia="Malgun Gothic" w:hAnsi="Cambria" w:cs="Times New Roman"/>
          <w:color w:val="auto"/>
          <w:sz w:val="20"/>
          <w:szCs w:val="20"/>
        </w:rPr>
        <w:t xml:space="preserve"> AND FINAL RECOMMENDATIONS</w:t>
      </w:r>
      <w:bookmarkEnd w:id="44"/>
      <w:bookmarkEnd w:id="45"/>
    </w:p>
    <w:p w14:paraId="0EED3D8E" w14:textId="77777777" w:rsidR="00517C44" w:rsidRPr="00823451" w:rsidRDefault="00517C44" w:rsidP="00517C44">
      <w:pPr>
        <w:ind w:left="720"/>
        <w:jc w:val="both"/>
        <w:rPr>
          <w:rFonts w:ascii="Cambria" w:eastAsia="Times New Roman" w:hAnsi="Cambria"/>
          <w:sz w:val="20"/>
          <w:szCs w:val="20"/>
          <w:lang w:val="es-CO"/>
        </w:rPr>
      </w:pPr>
    </w:p>
    <w:p w14:paraId="3E5F2842" w14:textId="77777777" w:rsidR="00517C44" w:rsidRPr="00823451" w:rsidRDefault="00517C44" w:rsidP="00517C44">
      <w:pPr>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9360"/>
        </w:tabs>
        <w:ind w:left="0" w:firstLine="567"/>
        <w:jc w:val="both"/>
        <w:rPr>
          <w:rFonts w:ascii="Cambria" w:hAnsi="Cambria"/>
          <w:color w:val="000000"/>
          <w:sz w:val="20"/>
          <w:szCs w:val="20"/>
        </w:rPr>
      </w:pPr>
      <w:r w:rsidRPr="00823451">
        <w:rPr>
          <w:rFonts w:ascii="Cambria" w:hAnsi="Cambria"/>
          <w:color w:val="000000"/>
          <w:sz w:val="20"/>
          <w:szCs w:val="20"/>
        </w:rPr>
        <w:t xml:space="preserve">The Inter-American Commission concludes that the State is responsible for the violation of Articles 4(1) (life), 5(1) and 5(2 (humane treatment), and 26 (health) of the American Convention on Human Rights, in relation to the obligations established in </w:t>
      </w:r>
      <w:r w:rsidRPr="00823451">
        <w:rPr>
          <w:rFonts w:ascii="Cambria" w:hAnsi="Cambria"/>
          <w:sz w:val="20"/>
          <w:szCs w:val="20"/>
        </w:rPr>
        <w:t xml:space="preserve">Articles 1(1) and 2 of the </w:t>
      </w:r>
      <w:r w:rsidRPr="00823451">
        <w:rPr>
          <w:rFonts w:ascii="Cambria" w:hAnsi="Cambria"/>
          <w:color w:val="000000"/>
          <w:sz w:val="20"/>
          <w:szCs w:val="20"/>
        </w:rPr>
        <w:t xml:space="preserve">same instrument, to the detriment of Sarah Lyn Langton. The State is also responsible for the violation of Articles 5(1 (humane treatment), 8 (right to a fair trial), and 25(1) (judicial protection) of the American Convention on Human Rights, in relation to the obligations established in </w:t>
      </w:r>
      <w:r w:rsidRPr="00823451">
        <w:rPr>
          <w:rFonts w:ascii="Cambria" w:hAnsi="Cambria"/>
          <w:sz w:val="20"/>
          <w:szCs w:val="20"/>
        </w:rPr>
        <w:t>Article 1.</w:t>
      </w:r>
      <w:r w:rsidRPr="00823451">
        <w:rPr>
          <w:rFonts w:ascii="Cambria" w:hAnsi="Cambria"/>
          <w:color w:val="000000"/>
          <w:sz w:val="20"/>
          <w:szCs w:val="20"/>
        </w:rPr>
        <w:t>1 of the same instrument to the detriment of Terry Langton and Lyn Langton, in the terms explained throughout this report.</w:t>
      </w:r>
    </w:p>
    <w:p w14:paraId="6398443E" w14:textId="77777777" w:rsidR="00517C44" w:rsidRPr="00823451" w:rsidRDefault="00517C44" w:rsidP="00517C44">
      <w:pPr>
        <w:tabs>
          <w:tab w:val="left" w:pos="720"/>
          <w:tab w:val="left" w:pos="1440"/>
        </w:tabs>
        <w:ind w:left="567"/>
        <w:jc w:val="both"/>
        <w:rPr>
          <w:rFonts w:ascii="Cambria" w:hAnsi="Cambria"/>
          <w:color w:val="000000"/>
          <w:sz w:val="20"/>
          <w:szCs w:val="20"/>
        </w:rPr>
      </w:pPr>
    </w:p>
    <w:p w14:paraId="637ED750" w14:textId="77777777" w:rsidR="00517C44" w:rsidRPr="00823451" w:rsidRDefault="00517C44" w:rsidP="00517C44">
      <w:pPr>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9360"/>
        </w:tabs>
        <w:ind w:left="0" w:firstLine="567"/>
        <w:jc w:val="both"/>
        <w:rPr>
          <w:rFonts w:ascii="Cambria" w:hAnsi="Cambria"/>
          <w:color w:val="000000"/>
          <w:sz w:val="20"/>
          <w:szCs w:val="20"/>
        </w:rPr>
      </w:pPr>
      <w:r w:rsidRPr="00823451">
        <w:rPr>
          <w:rFonts w:ascii="Cambria" w:hAnsi="Cambria"/>
          <w:color w:val="000000"/>
          <w:sz w:val="20"/>
          <w:szCs w:val="20"/>
        </w:rPr>
        <w:t xml:space="preserve">Based on the analysis and conclusions of this report, </w:t>
      </w:r>
    </w:p>
    <w:p w14:paraId="1416FB45" w14:textId="77777777" w:rsidR="00517C44" w:rsidRPr="00823451" w:rsidRDefault="00517C44" w:rsidP="00517C44">
      <w:pPr>
        <w:rPr>
          <w:rFonts w:ascii="Cambria" w:hAnsi="Cambria"/>
          <w:b/>
          <w:sz w:val="20"/>
          <w:szCs w:val="20"/>
        </w:rPr>
      </w:pPr>
    </w:p>
    <w:p w14:paraId="50B24C6C" w14:textId="77777777" w:rsidR="00517C44" w:rsidRPr="00823451" w:rsidRDefault="00517C44" w:rsidP="00517C44">
      <w:pPr>
        <w:tabs>
          <w:tab w:val="left" w:pos="720"/>
          <w:tab w:val="left" w:pos="1440"/>
        </w:tabs>
        <w:ind w:left="630"/>
        <w:jc w:val="center"/>
        <w:rPr>
          <w:rFonts w:ascii="Cambria" w:hAnsi="Cambria"/>
          <w:b/>
          <w:sz w:val="20"/>
          <w:szCs w:val="20"/>
        </w:rPr>
      </w:pPr>
      <w:r w:rsidRPr="00823451">
        <w:rPr>
          <w:rFonts w:ascii="Cambria" w:hAnsi="Cambria"/>
          <w:b/>
          <w:sz w:val="20"/>
          <w:szCs w:val="20"/>
        </w:rPr>
        <w:t>THE INTER-AMERICAN COMMISSION ON HUMAN RIGHTS</w:t>
      </w:r>
    </w:p>
    <w:p w14:paraId="632ABA93" w14:textId="77777777" w:rsidR="00517C44" w:rsidRPr="00823451" w:rsidRDefault="00517C44" w:rsidP="00517C44">
      <w:pPr>
        <w:tabs>
          <w:tab w:val="left" w:pos="720"/>
          <w:tab w:val="left" w:pos="1440"/>
        </w:tabs>
        <w:ind w:left="630"/>
        <w:jc w:val="center"/>
        <w:rPr>
          <w:rFonts w:ascii="Cambria" w:hAnsi="Cambria" w:cs="Verdana"/>
          <w:sz w:val="20"/>
          <w:szCs w:val="20"/>
        </w:rPr>
      </w:pPr>
      <w:r w:rsidRPr="00823451">
        <w:rPr>
          <w:rFonts w:ascii="Cambria" w:hAnsi="Cambria"/>
          <w:b/>
          <w:sz w:val="20"/>
          <w:szCs w:val="20"/>
        </w:rPr>
        <w:t>REITERATES TO THE STATE OF VENEZUELA,</w:t>
      </w:r>
    </w:p>
    <w:p w14:paraId="79449674" w14:textId="77777777" w:rsidR="00517C44" w:rsidRPr="00823451" w:rsidRDefault="00517C44" w:rsidP="00517C44">
      <w:pPr>
        <w:jc w:val="center"/>
        <w:rPr>
          <w:rFonts w:ascii="Cambria" w:eastAsia="Times New Roman" w:hAnsi="Cambria"/>
          <w:color w:val="666666"/>
          <w:sz w:val="20"/>
          <w:szCs w:val="20"/>
        </w:rPr>
      </w:pPr>
    </w:p>
    <w:p w14:paraId="574CE669" w14:textId="77777777" w:rsidR="00517C44" w:rsidRPr="00823451" w:rsidRDefault="00517C44" w:rsidP="00517C44">
      <w:pPr>
        <w:numPr>
          <w:ilvl w:val="0"/>
          <w:numId w:val="56"/>
        </w:numPr>
        <w:jc w:val="both"/>
        <w:rPr>
          <w:rFonts w:ascii="Cambria" w:eastAsia="Times New Roman" w:hAnsi="Cambria" w:cs="Tahoma"/>
          <w:color w:val="000000"/>
          <w:sz w:val="20"/>
          <w:szCs w:val="20"/>
          <w:u w:color="000000"/>
          <w:lang w:eastAsia="es-ES"/>
        </w:rPr>
      </w:pPr>
      <w:r w:rsidRPr="00823451">
        <w:rPr>
          <w:rFonts w:ascii="Cambria" w:eastAsia="Times New Roman" w:hAnsi="Cambria" w:cs="Tahoma"/>
          <w:color w:val="000000"/>
          <w:sz w:val="20"/>
          <w:szCs w:val="20"/>
          <w:u w:color="000000"/>
          <w:lang w:eastAsia="es-ES"/>
        </w:rPr>
        <w:t xml:space="preserve">To make full reparation for the human rights violations declared in this report, both in their material and non-material aspects. The State must adopt measures of economic compensation and satisfaction. </w:t>
      </w:r>
    </w:p>
    <w:p w14:paraId="3C30372A" w14:textId="77777777" w:rsidR="00517C44" w:rsidRPr="00823451" w:rsidRDefault="00517C44" w:rsidP="00517C44">
      <w:pPr>
        <w:ind w:left="1425"/>
        <w:jc w:val="both"/>
        <w:rPr>
          <w:rFonts w:ascii="Cambria" w:eastAsia="Times New Roman" w:hAnsi="Cambria" w:cs="Tahoma"/>
          <w:color w:val="000000"/>
          <w:sz w:val="20"/>
          <w:szCs w:val="20"/>
          <w:u w:color="000000"/>
          <w:lang w:eastAsia="es-ES"/>
        </w:rPr>
      </w:pPr>
    </w:p>
    <w:p w14:paraId="20C12B1D" w14:textId="77777777" w:rsidR="00517C44" w:rsidRPr="00823451" w:rsidRDefault="00517C44" w:rsidP="00517C44">
      <w:pPr>
        <w:numPr>
          <w:ilvl w:val="0"/>
          <w:numId w:val="56"/>
        </w:numPr>
        <w:jc w:val="both"/>
        <w:rPr>
          <w:rFonts w:ascii="Cambria" w:eastAsia="Times New Roman" w:hAnsi="Cambria" w:cs="Tahoma"/>
          <w:color w:val="000000"/>
          <w:sz w:val="20"/>
          <w:szCs w:val="20"/>
          <w:u w:color="000000"/>
          <w:lang w:eastAsia="es-ES"/>
        </w:rPr>
      </w:pPr>
      <w:r w:rsidRPr="00823451">
        <w:rPr>
          <w:rFonts w:ascii="Cambria" w:eastAsia="Times New Roman" w:hAnsi="Cambria" w:cs="Tahoma"/>
          <w:color w:val="000000"/>
          <w:sz w:val="20"/>
          <w:szCs w:val="20"/>
          <w:u w:color="000000"/>
          <w:lang w:eastAsia="es-ES"/>
        </w:rPr>
        <w:t>Arrange</w:t>
      </w:r>
      <w:r w:rsidRPr="00823451">
        <w:rPr>
          <w:rFonts w:ascii="Cambria" w:eastAsia="Cambria" w:hAnsi="Cambria" w:cs="Cambria"/>
          <w:color w:val="000000"/>
          <w:sz w:val="20"/>
          <w:szCs w:val="20"/>
          <w:u w:color="000000"/>
          <w:lang w:eastAsia="es-ES"/>
        </w:rPr>
        <w:t xml:space="preserve"> for the necessary physical and mental health care measures for the rehabilitation of Sarah Lyn Langton's relatives, if it is their will and in a concerted manner.</w:t>
      </w:r>
    </w:p>
    <w:p w14:paraId="2D9FBDBF" w14:textId="77777777" w:rsidR="00517C44" w:rsidRPr="00823451" w:rsidRDefault="00517C44" w:rsidP="00517C44">
      <w:pPr>
        <w:ind w:left="1425"/>
        <w:jc w:val="both"/>
        <w:rPr>
          <w:rFonts w:ascii="Cambria" w:eastAsia="Times New Roman" w:hAnsi="Cambria" w:cs="Tahoma"/>
          <w:color w:val="000000"/>
          <w:sz w:val="20"/>
          <w:szCs w:val="20"/>
          <w:u w:color="000000"/>
          <w:lang w:eastAsia="es-ES"/>
        </w:rPr>
      </w:pPr>
      <w:r w:rsidRPr="00823451">
        <w:rPr>
          <w:rFonts w:ascii="Cambria" w:eastAsia="Times New Roman" w:hAnsi="Cambria" w:cs="Tahoma"/>
          <w:color w:val="000000"/>
          <w:sz w:val="20"/>
          <w:szCs w:val="20"/>
          <w:u w:color="000000"/>
          <w:lang w:eastAsia="es-ES"/>
        </w:rPr>
        <w:t xml:space="preserve"> </w:t>
      </w:r>
    </w:p>
    <w:p w14:paraId="643F036E" w14:textId="77777777" w:rsidR="00517C44" w:rsidRPr="00823451" w:rsidRDefault="00517C44" w:rsidP="00517C44">
      <w:pPr>
        <w:numPr>
          <w:ilvl w:val="0"/>
          <w:numId w:val="56"/>
        </w:numPr>
        <w:jc w:val="both"/>
        <w:rPr>
          <w:rFonts w:ascii="Cambria" w:eastAsia="Times New Roman" w:hAnsi="Cambria" w:cs="Tahoma"/>
          <w:color w:val="000000"/>
          <w:sz w:val="20"/>
          <w:szCs w:val="20"/>
          <w:u w:color="000000"/>
          <w:lang w:eastAsia="es-ES"/>
        </w:rPr>
      </w:pPr>
      <w:r w:rsidRPr="00823451">
        <w:rPr>
          <w:rFonts w:ascii="Cambria" w:eastAsia="Times New Roman" w:hAnsi="Cambria" w:cs="Tahoma"/>
          <w:color w:val="000000"/>
          <w:sz w:val="20"/>
          <w:szCs w:val="20"/>
          <w:u w:color="000000"/>
          <w:lang w:eastAsia="es-ES"/>
        </w:rPr>
        <w:t>Adopt the necessary measures to effectively investigate the facts of this case and punish, within a reasonable time, the justice operators whose conduct has resulted in the excessive delay in the processing of the criminal proceedings and the consequent lack of access to justice for the victims;</w:t>
      </w:r>
    </w:p>
    <w:p w14:paraId="607371E5" w14:textId="77777777" w:rsidR="00517C44" w:rsidRPr="00823451" w:rsidRDefault="00517C44" w:rsidP="00517C44">
      <w:pPr>
        <w:ind w:left="1425"/>
        <w:jc w:val="both"/>
        <w:rPr>
          <w:rFonts w:ascii="Cambria" w:eastAsia="Times New Roman" w:hAnsi="Cambria" w:cs="Tahoma"/>
          <w:color w:val="000000"/>
          <w:sz w:val="20"/>
          <w:szCs w:val="20"/>
          <w:u w:color="000000"/>
          <w:lang w:eastAsia="es-ES"/>
        </w:rPr>
      </w:pPr>
    </w:p>
    <w:p w14:paraId="47E53D5A" w14:textId="77777777" w:rsidR="00517C44" w:rsidRPr="00823451" w:rsidRDefault="00517C44" w:rsidP="00517C44">
      <w:pPr>
        <w:numPr>
          <w:ilvl w:val="0"/>
          <w:numId w:val="56"/>
        </w:numPr>
        <w:jc w:val="both"/>
        <w:rPr>
          <w:rFonts w:ascii="Cambria" w:eastAsia="Times New Roman" w:hAnsi="Cambria" w:cs="Tahoma"/>
          <w:color w:val="000000"/>
          <w:sz w:val="20"/>
          <w:szCs w:val="20"/>
          <w:u w:color="000000"/>
          <w:lang w:eastAsia="es-ES"/>
        </w:rPr>
      </w:pPr>
      <w:r w:rsidRPr="00823451">
        <w:rPr>
          <w:rFonts w:ascii="Cambria" w:eastAsia="Times New Roman" w:hAnsi="Cambria" w:cs="Tahoma"/>
          <w:color w:val="000000"/>
          <w:sz w:val="20"/>
          <w:szCs w:val="20"/>
          <w:u w:color="000000"/>
          <w:lang w:eastAsia="es-ES"/>
        </w:rPr>
        <w:t>Establish mechanisms for non-repetition that include all the necessary measures to ensure the availability, accessibility, quality, and acceptability of access to permanent health services for persons deprived of liberty in the INOF, from a gender perspective, especially the following:</w:t>
      </w:r>
    </w:p>
    <w:p w14:paraId="406F7365" w14:textId="77777777" w:rsidR="00517C44" w:rsidRPr="00823451" w:rsidRDefault="00517C44" w:rsidP="00517C44">
      <w:pPr>
        <w:ind w:left="720"/>
        <w:rPr>
          <w:rFonts w:ascii="Cambria" w:eastAsia="Times New Roman" w:hAnsi="Cambria" w:cs="Tahoma"/>
          <w:color w:val="000000"/>
          <w:sz w:val="20"/>
          <w:szCs w:val="20"/>
          <w:u w:color="000000"/>
          <w:lang w:eastAsia="es-ES"/>
        </w:rPr>
      </w:pPr>
    </w:p>
    <w:p w14:paraId="0EAAD165" w14:textId="77777777" w:rsidR="00517C44" w:rsidRPr="00823451" w:rsidRDefault="00517C44" w:rsidP="00517C44">
      <w:pPr>
        <w:numPr>
          <w:ilvl w:val="0"/>
          <w:numId w:val="61"/>
        </w:numPr>
        <w:jc w:val="both"/>
        <w:rPr>
          <w:rFonts w:ascii="Cambria" w:eastAsia="Times New Roman" w:hAnsi="Cambria" w:cs="Tahoma"/>
          <w:color w:val="000000"/>
          <w:sz w:val="20"/>
          <w:szCs w:val="20"/>
          <w:u w:color="000000"/>
          <w:lang w:eastAsia="es-ES"/>
        </w:rPr>
      </w:pPr>
      <w:r w:rsidRPr="00823451">
        <w:rPr>
          <w:rFonts w:ascii="Cambria" w:eastAsia="Times New Roman" w:hAnsi="Cambria" w:cs="Tahoma"/>
          <w:color w:val="000000"/>
          <w:sz w:val="20"/>
          <w:szCs w:val="20"/>
          <w:u w:color="000000"/>
          <w:lang w:eastAsia="es-ES"/>
        </w:rPr>
        <w:t>Supervise the provision of mental health and chronic disease medical services at INOF;</w:t>
      </w:r>
    </w:p>
    <w:p w14:paraId="4A2FD227" w14:textId="77777777" w:rsidR="00517C44" w:rsidRPr="00823451" w:rsidRDefault="00517C44" w:rsidP="00517C44">
      <w:pPr>
        <w:numPr>
          <w:ilvl w:val="0"/>
          <w:numId w:val="61"/>
        </w:numPr>
        <w:jc w:val="both"/>
        <w:rPr>
          <w:rFonts w:ascii="Cambria" w:eastAsia="Times New Roman" w:hAnsi="Cambria" w:cs="Tahoma"/>
          <w:color w:val="000000"/>
          <w:sz w:val="20"/>
          <w:szCs w:val="20"/>
          <w:u w:color="000000"/>
          <w:lang w:eastAsia="es-ES"/>
        </w:rPr>
      </w:pPr>
      <w:r w:rsidRPr="00823451">
        <w:rPr>
          <w:rFonts w:ascii="Cambria" w:eastAsia="Times New Roman" w:hAnsi="Cambria" w:cs="Tahoma"/>
          <w:color w:val="000000"/>
          <w:sz w:val="20"/>
          <w:szCs w:val="20"/>
          <w:u w:color="000000"/>
          <w:lang w:eastAsia="es-ES"/>
        </w:rPr>
        <w:t>Develop emergency protocols for the care of medical emergencies at the INOF.</w:t>
      </w:r>
    </w:p>
    <w:p w14:paraId="279E006E" w14:textId="77777777" w:rsidR="00517C44" w:rsidRPr="00823451" w:rsidRDefault="00517C44" w:rsidP="00517C44">
      <w:pPr>
        <w:numPr>
          <w:ilvl w:val="0"/>
          <w:numId w:val="61"/>
        </w:numPr>
        <w:jc w:val="both"/>
        <w:rPr>
          <w:rFonts w:ascii="Cambria" w:eastAsia="Times New Roman" w:hAnsi="Cambria" w:cs="Tahoma"/>
          <w:color w:val="000000"/>
          <w:sz w:val="20"/>
          <w:szCs w:val="20"/>
          <w:u w:color="000000"/>
          <w:lang w:eastAsia="es-ES"/>
        </w:rPr>
      </w:pPr>
      <w:r w:rsidRPr="00823451">
        <w:rPr>
          <w:rFonts w:ascii="Cambria" w:eastAsia="Times New Roman" w:hAnsi="Cambria" w:cs="Tahoma"/>
          <w:color w:val="000000"/>
          <w:sz w:val="20"/>
          <w:szCs w:val="20"/>
          <w:u w:color="000000"/>
          <w:lang w:eastAsia="es-ES"/>
        </w:rPr>
        <w:t xml:space="preserve">Ensure the availability of medical personnel in the INOF medical service, including on-call personnel, and guarantee immediate transfer to external centers when the situation warrants it. </w:t>
      </w:r>
    </w:p>
    <w:p w14:paraId="738342C4" w14:textId="77777777" w:rsidR="00517C44" w:rsidRPr="00823451" w:rsidRDefault="00517C44" w:rsidP="00517C44">
      <w:pPr>
        <w:ind w:left="1785"/>
        <w:jc w:val="both"/>
        <w:rPr>
          <w:rFonts w:ascii="Cambria" w:eastAsia="Times New Roman" w:hAnsi="Cambria" w:cs="Tahoma"/>
          <w:b/>
          <w:bCs/>
          <w:color w:val="000000"/>
          <w:sz w:val="20"/>
          <w:szCs w:val="20"/>
          <w:u w:color="000000"/>
          <w:lang w:eastAsia="es-ES"/>
        </w:rPr>
      </w:pPr>
    </w:p>
    <w:p w14:paraId="0DA54BFF" w14:textId="77777777" w:rsidR="00517C44" w:rsidRPr="00823451" w:rsidRDefault="00517C44" w:rsidP="00120626">
      <w:pPr>
        <w:pStyle w:val="Heading1"/>
        <w:numPr>
          <w:ilvl w:val="0"/>
          <w:numId w:val="65"/>
        </w:numPr>
        <w:spacing w:before="0"/>
        <w:jc w:val="both"/>
        <w:rPr>
          <w:rFonts w:ascii="Cambria" w:eastAsia="Malgun Gothic" w:hAnsi="Cambria" w:cs="Times New Roman"/>
          <w:color w:val="000000"/>
          <w:sz w:val="20"/>
          <w:szCs w:val="20"/>
          <w:lang w:val="es-CO"/>
        </w:rPr>
      </w:pPr>
      <w:bookmarkStart w:id="46" w:name="_Toc217309587"/>
      <w:bookmarkStart w:id="47" w:name="_Toc209103758"/>
      <w:r w:rsidRPr="00823451">
        <w:rPr>
          <w:rFonts w:ascii="Cambria" w:eastAsia="Cambria" w:hAnsi="Cambria" w:cs="Cambria"/>
          <w:color w:val="auto"/>
          <w:sz w:val="20"/>
          <w:szCs w:val="20"/>
        </w:rPr>
        <w:t>PUBLICATION</w:t>
      </w:r>
      <w:bookmarkEnd w:id="46"/>
      <w:r w:rsidRPr="00823451">
        <w:rPr>
          <w:rFonts w:ascii="Cambria" w:eastAsia="Malgun Gothic" w:hAnsi="Cambria" w:cs="Times New Roman"/>
          <w:color w:val="000000"/>
          <w:sz w:val="20"/>
          <w:szCs w:val="20"/>
        </w:rPr>
        <w:t xml:space="preserve"> </w:t>
      </w:r>
      <w:bookmarkEnd w:id="47"/>
    </w:p>
    <w:p w14:paraId="1961339B" w14:textId="77777777" w:rsidR="00517C44" w:rsidRPr="00823451" w:rsidRDefault="00517C44" w:rsidP="00517C44">
      <w:pPr>
        <w:ind w:firstLine="630"/>
        <w:rPr>
          <w:rFonts w:ascii="Cambria" w:hAnsi="Cambria"/>
          <w:b/>
          <w:bCs/>
          <w:sz w:val="20"/>
          <w:szCs w:val="20"/>
          <w:lang w:val="es-CO"/>
        </w:rPr>
      </w:pPr>
    </w:p>
    <w:p w14:paraId="7E68C0A0" w14:textId="08AB1C77" w:rsidR="002A6B05" w:rsidRPr="00823451" w:rsidRDefault="00517C44" w:rsidP="00C43809">
      <w:pPr>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440"/>
          <w:tab w:val="left" w:pos="9360"/>
        </w:tabs>
        <w:ind w:left="0" w:firstLine="567"/>
        <w:jc w:val="both"/>
        <w:rPr>
          <w:rFonts w:ascii="Cambria" w:hAnsi="Cambria"/>
          <w:color w:val="000000"/>
          <w:sz w:val="20"/>
          <w:szCs w:val="20"/>
        </w:rPr>
      </w:pPr>
      <w:r w:rsidRPr="00823451">
        <w:rPr>
          <w:rFonts w:ascii="Cambria" w:hAnsi="Cambria"/>
          <w:color w:val="000000"/>
          <w:sz w:val="20"/>
          <w:szCs w:val="20"/>
        </w:rPr>
        <w:t>In accordance with the foregoing and in accordance with the provisions of Article 51(3) of the American Convention, the Inter-American Commission on Human Rights decides to publish this report and include it in its Annual Report to the General Assembly of the Organization of American States. The Inter-American Commission, in accordance with the norms established in the instruments that regulate its mandate, will continue to evaluate whether the State of Venezuela provides full reparations to the victims in accordance with the provisions of the recommendations indicated above, until it determines that they have been fully complied with.</w:t>
      </w:r>
    </w:p>
    <w:p w14:paraId="149E7164" w14:textId="086E5B2A" w:rsidR="00823451" w:rsidRPr="00823451" w:rsidRDefault="00823451" w:rsidP="00823451">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440"/>
          <w:tab w:val="left" w:pos="9360"/>
        </w:tabs>
        <w:jc w:val="both"/>
        <w:rPr>
          <w:rFonts w:ascii="Cambria" w:hAnsi="Cambria"/>
          <w:color w:val="000000"/>
          <w:sz w:val="20"/>
          <w:szCs w:val="20"/>
        </w:rPr>
      </w:pPr>
      <w:r>
        <w:rPr>
          <w:rFonts w:ascii="Cambria" w:hAnsi="Cambria"/>
          <w:color w:val="000000"/>
          <w:sz w:val="20"/>
          <w:szCs w:val="20"/>
        </w:rPr>
        <w:lastRenderedPageBreak/>
        <w:tab/>
      </w:r>
      <w:r w:rsidRPr="00823451">
        <w:rPr>
          <w:rFonts w:ascii="Cambria" w:hAnsi="Cambria"/>
          <w:color w:val="000000"/>
          <w:sz w:val="20"/>
          <w:szCs w:val="20"/>
        </w:rPr>
        <w:t>Approved by the Inter-American Commission on Human Rights on December 19, 2025. (Signed): José Luis Caballero Ochoa, President, Andrea Pochak, First Vice President; Roberta Clarke; Carlos Bernal Pulido and Gloria De Mees, Members of the Commission.</w:t>
      </w:r>
    </w:p>
    <w:p w14:paraId="5855E6C2" w14:textId="4610B031" w:rsidR="00823451" w:rsidRPr="00C43809" w:rsidRDefault="00823451" w:rsidP="00823451">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440"/>
          <w:tab w:val="left" w:pos="9360"/>
        </w:tabs>
        <w:ind w:left="1170"/>
        <w:jc w:val="both"/>
        <w:rPr>
          <w:rFonts w:ascii="Cambria" w:hAnsi="Cambria"/>
          <w:color w:val="000000"/>
          <w:sz w:val="20"/>
          <w:szCs w:val="20"/>
          <w:highlight w:val="yellow"/>
        </w:rPr>
      </w:pPr>
    </w:p>
    <w:sectPr w:rsidR="00823451" w:rsidRPr="00C43809" w:rsidSect="002A6B05">
      <w:headerReference w:type="even" r:id="rId13"/>
      <w:headerReference w:type="default" r:id="rId14"/>
      <w:footerReference w:type="default" r:id="rId15"/>
      <w:headerReference w:type="first" r:id="rId16"/>
      <w:footerReference w:type="first" r:id="rId17"/>
      <w:pgSz w:w="12240" w:h="15840"/>
      <w:pgMar w:top="1440" w:right="1440" w:bottom="1260" w:left="144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987F6" w14:textId="77777777" w:rsidR="007717B0" w:rsidRDefault="007717B0">
      <w:r>
        <w:separator/>
      </w:r>
    </w:p>
  </w:endnote>
  <w:endnote w:type="continuationSeparator" w:id="0">
    <w:p w14:paraId="65DFB828" w14:textId="77777777" w:rsidR="007717B0" w:rsidRDefault="00771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MS ??">
    <w:altName w:val="Yu Gothic"/>
    <w:panose1 w:val="00000000000000000000"/>
    <w:charset w:val="80"/>
    <w:family w:val="auto"/>
    <w:notTrueType/>
    <w:pitch w:val="variable"/>
    <w:sig w:usb0="00000001" w:usb1="08070000" w:usb2="00000010" w:usb3="00000000" w:csb0="00020000" w:csb1="00000000"/>
  </w:font>
  <w:font w:name="MS ????">
    <w:panose1 w:val="00000000000000000000"/>
    <w:charset w:val="80"/>
    <w:family w:val="auto"/>
    <w:notTrueType/>
    <w:pitch w:val="variable"/>
    <w:sig w:usb0="00000001" w:usb1="08070000" w:usb2="00000010" w:usb3="00000000" w:csb0="00020000" w:csb1="00000000"/>
  </w:font>
  <w:font w:name="Helvetica">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Times">
    <w:altName w:val="Times New Roman"/>
    <w:panose1 w:val="02020603050405020304"/>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dvPL">
    <w:panose1 w:val="00000000000000000000"/>
    <w:charset w:val="00"/>
    <w:family w:val="roman"/>
    <w:notTrueType/>
    <w:pitch w:val="default"/>
    <w:sig w:usb0="00000003" w:usb1="00000000" w:usb2="00000000" w:usb3="00000000" w:csb0="00000001" w:csb1="00000000"/>
  </w:font>
  <w:font w:name="HelveticaNeue-Light">
    <w:charset w:val="00"/>
    <w:family w:val="auto"/>
    <w:pitch w:val="variable"/>
    <w:sig w:usb0="A00002FF" w:usb1="5000205B" w:usb2="00000002" w:usb3="00000000" w:csb0="000000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5294112"/>
      <w:docPartObj>
        <w:docPartGallery w:val="Page Numbers (Bottom of Page)"/>
        <w:docPartUnique/>
      </w:docPartObj>
    </w:sdtPr>
    <w:sdtEndPr>
      <w:rPr>
        <w:noProof/>
        <w:sz w:val="16"/>
        <w:szCs w:val="22"/>
      </w:rPr>
    </w:sdtEndPr>
    <w:sdtContent>
      <w:p w14:paraId="3E2DEB2F" w14:textId="233A0506" w:rsidR="006373C8" w:rsidRPr="00934A2C" w:rsidRDefault="006373C8">
        <w:pPr>
          <w:pStyle w:val="Footer"/>
          <w:jc w:val="center"/>
          <w:rPr>
            <w:sz w:val="16"/>
            <w:szCs w:val="22"/>
          </w:rPr>
        </w:pPr>
        <w:r w:rsidRPr="00934A2C">
          <w:rPr>
            <w:sz w:val="16"/>
            <w:szCs w:val="22"/>
          </w:rPr>
          <w:fldChar w:fldCharType="begin"/>
        </w:r>
        <w:r w:rsidRPr="00934A2C">
          <w:rPr>
            <w:sz w:val="16"/>
            <w:szCs w:val="22"/>
          </w:rPr>
          <w:instrText xml:space="preserve"> PAGE   \* MERGEFORMAT </w:instrText>
        </w:r>
        <w:r w:rsidRPr="00934A2C">
          <w:rPr>
            <w:sz w:val="16"/>
            <w:szCs w:val="22"/>
          </w:rPr>
          <w:fldChar w:fldCharType="separate"/>
        </w:r>
        <w:r>
          <w:rPr>
            <w:noProof/>
            <w:sz w:val="16"/>
            <w:szCs w:val="22"/>
          </w:rPr>
          <w:t>7</w:t>
        </w:r>
        <w:r w:rsidRPr="00934A2C">
          <w:rPr>
            <w:noProof/>
            <w:sz w:val="16"/>
            <w:szCs w:val="22"/>
          </w:rPr>
          <w:fldChar w:fldCharType="end"/>
        </w:r>
      </w:p>
    </w:sdtContent>
  </w:sdt>
  <w:p w14:paraId="02A43934" w14:textId="77777777" w:rsidR="006373C8" w:rsidRDefault="006373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FF124" w14:textId="77777777" w:rsidR="006373C8" w:rsidRPr="00934A2C" w:rsidRDefault="006373C8">
    <w:pPr>
      <w:pStyle w:val="Footer"/>
      <w:jc w:val="center"/>
      <w:rPr>
        <w:sz w:val="16"/>
        <w:szCs w:val="22"/>
      </w:rPr>
    </w:pPr>
  </w:p>
  <w:p w14:paraId="3FF2B357" w14:textId="77777777" w:rsidR="006373C8" w:rsidRDefault="006373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C88081" w14:textId="77777777" w:rsidR="007717B0" w:rsidRDefault="007717B0" w:rsidP="002A6B05">
      <w:r>
        <w:separator/>
      </w:r>
    </w:p>
  </w:footnote>
  <w:footnote w:type="continuationSeparator" w:id="0">
    <w:p w14:paraId="1E16F8FF" w14:textId="77777777" w:rsidR="007717B0" w:rsidRDefault="007717B0" w:rsidP="002A6B05">
      <w:r>
        <w:continuationSeparator/>
      </w:r>
    </w:p>
  </w:footnote>
  <w:footnote w:id="1">
    <w:p w14:paraId="7232F4E8" w14:textId="5173E0CF" w:rsidR="006373C8" w:rsidRPr="00F968D6" w:rsidRDefault="006373C8" w:rsidP="00D8110A">
      <w:pPr>
        <w:pStyle w:val="FootnoteText"/>
        <w:jc w:val="both"/>
        <w:rPr>
          <w:rFonts w:ascii="Cambria" w:hAnsi="Cambria"/>
          <w:color w:val="000000" w:themeColor="text1"/>
          <w:sz w:val="16"/>
          <w:szCs w:val="16"/>
          <w:lang w:val="es-ES"/>
        </w:rPr>
      </w:pPr>
      <w:r w:rsidRPr="0028728D">
        <w:rPr>
          <w:rStyle w:val="FootnoteReference"/>
          <w:rFonts w:ascii="Cambria" w:hAnsi="Cambria"/>
          <w:color w:val="000000" w:themeColor="text1"/>
          <w:sz w:val="16"/>
          <w:szCs w:val="16"/>
          <w:lang w:val="es-ES"/>
        </w:rPr>
        <w:footnoteRef/>
      </w:r>
      <w:r w:rsidRPr="00F968D6">
        <w:rPr>
          <w:rFonts w:ascii="Cambria" w:eastAsia="Cambria" w:hAnsi="Cambria" w:cs="Cambria"/>
          <w:sz w:val="16"/>
          <w:szCs w:val="16"/>
          <w:lang w:val="es-ES"/>
        </w:rPr>
        <w:t xml:space="preserve"> PROVEA. Annual Report 2002-2003. Derechos de las personas detenidas y encarceladas, p. 409, available at: </w:t>
      </w:r>
      <w:hyperlink r:id="rId1" w:history="1">
        <w:r w:rsidRPr="00F968D6">
          <w:rPr>
            <w:rFonts w:ascii="Cambria" w:eastAsia="Cambria" w:hAnsi="Cambria" w:cs="Cambria"/>
            <w:sz w:val="16"/>
            <w:szCs w:val="16"/>
            <w:u w:val="single"/>
            <w:lang w:val="es-ES"/>
          </w:rPr>
          <w:t>https://provea.org/wp-content/uploads/009_derecho_de_las_personas_detenidas_y_encarceladas-1.pdf</w:t>
        </w:r>
      </w:hyperlink>
      <w:r w:rsidRPr="00F968D6">
        <w:rPr>
          <w:rFonts w:ascii="Cambria" w:eastAsia="Cambria" w:hAnsi="Cambria" w:cs="Cambria"/>
          <w:sz w:val="16"/>
          <w:szCs w:val="16"/>
          <w:lang w:val="es-ES"/>
        </w:rPr>
        <w:t xml:space="preserve"> </w:t>
      </w:r>
    </w:p>
  </w:footnote>
  <w:footnote w:id="2">
    <w:p w14:paraId="27EA55D4" w14:textId="1C3117CB" w:rsidR="006373C8" w:rsidRPr="00F968D6" w:rsidRDefault="006373C8" w:rsidP="00D8110A">
      <w:pPr>
        <w:pStyle w:val="FootnoteText"/>
        <w:jc w:val="both"/>
        <w:rPr>
          <w:rFonts w:ascii="Cambria" w:hAnsi="Cambria"/>
          <w:color w:val="000000" w:themeColor="text1"/>
          <w:sz w:val="16"/>
          <w:szCs w:val="16"/>
          <w:lang w:val="es-ES"/>
        </w:rPr>
      </w:pPr>
      <w:r w:rsidRPr="0028728D">
        <w:rPr>
          <w:rStyle w:val="FootnoteReference"/>
          <w:rFonts w:ascii="Cambria" w:hAnsi="Cambria"/>
          <w:color w:val="000000" w:themeColor="text1"/>
          <w:sz w:val="16"/>
          <w:szCs w:val="16"/>
          <w:lang w:val="es-ES"/>
        </w:rPr>
        <w:footnoteRef/>
      </w:r>
      <w:r w:rsidRPr="00F968D6">
        <w:rPr>
          <w:rFonts w:ascii="Cambria" w:eastAsia="Cambria" w:hAnsi="Cambria" w:cs="Cambria"/>
          <w:sz w:val="16"/>
          <w:szCs w:val="16"/>
          <w:lang w:val="es-ES"/>
        </w:rPr>
        <w:t xml:space="preserve"> PROVEA. Annual Report 2002-2003. Derechos de las personas detenidas y encarceladas, p. 409, available at: </w:t>
      </w:r>
      <w:hyperlink r:id="rId2" w:history="1">
        <w:r w:rsidRPr="00F968D6">
          <w:rPr>
            <w:rFonts w:ascii="Cambria" w:eastAsia="Cambria" w:hAnsi="Cambria" w:cs="Cambria"/>
            <w:sz w:val="16"/>
            <w:szCs w:val="16"/>
            <w:u w:val="single"/>
            <w:lang w:val="es-ES"/>
          </w:rPr>
          <w:t>https://provea.org/wp-content/uploads/009_derecho_de_las_personas_detenidas_y_encarceladas-1.pdf</w:t>
        </w:r>
      </w:hyperlink>
      <w:r w:rsidRPr="00F968D6">
        <w:rPr>
          <w:rFonts w:ascii="Cambria" w:eastAsia="Cambria" w:hAnsi="Cambria" w:cs="Cambria"/>
          <w:sz w:val="16"/>
          <w:szCs w:val="16"/>
          <w:lang w:val="es-ES"/>
        </w:rPr>
        <w:t xml:space="preserve"> </w:t>
      </w:r>
    </w:p>
  </w:footnote>
  <w:footnote w:id="3">
    <w:p w14:paraId="63EB6F12" w14:textId="77777777" w:rsidR="006373C8" w:rsidRPr="00AE4542" w:rsidRDefault="006373C8" w:rsidP="00D8110A">
      <w:pPr>
        <w:pStyle w:val="FootnoteText"/>
        <w:jc w:val="both"/>
        <w:rPr>
          <w:rFonts w:ascii="Cambria" w:hAnsi="Cambria"/>
          <w:color w:val="000000" w:themeColor="text1"/>
          <w:sz w:val="16"/>
          <w:szCs w:val="16"/>
        </w:rPr>
      </w:pPr>
      <w:r w:rsidRPr="0028728D">
        <w:rPr>
          <w:rStyle w:val="FootnoteReference"/>
          <w:rFonts w:ascii="Cambria" w:hAnsi="Cambria"/>
          <w:color w:val="000000" w:themeColor="text1"/>
          <w:sz w:val="16"/>
          <w:szCs w:val="16"/>
          <w:lang w:val="es-ES"/>
        </w:rPr>
        <w:footnoteRef/>
      </w:r>
      <w:r>
        <w:rPr>
          <w:rFonts w:ascii="Cambria" w:eastAsia="Cambria" w:hAnsi="Cambria" w:cs="Cambria"/>
          <w:sz w:val="16"/>
          <w:szCs w:val="16"/>
        </w:rPr>
        <w:t xml:space="preserve"> Human Rights Committee, Concluding Observations of the Human Rights Committee, April 26, 2001, CCPR/CO/71/VEN, para. </w:t>
      </w:r>
      <w:r w:rsidRPr="00AE4542">
        <w:rPr>
          <w:rFonts w:ascii="Cambria" w:eastAsia="Cambria" w:hAnsi="Cambria" w:cs="Cambria"/>
          <w:sz w:val="16"/>
          <w:szCs w:val="16"/>
        </w:rPr>
        <w:t>11.0</w:t>
      </w:r>
    </w:p>
  </w:footnote>
  <w:footnote w:id="4">
    <w:p w14:paraId="5A10E333" w14:textId="77777777" w:rsidR="006373C8" w:rsidRPr="00E936C8" w:rsidRDefault="006373C8" w:rsidP="00D8110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mbria" w:eastAsiaTheme="minorEastAsia" w:hAnsi="Cambria"/>
          <w:color w:val="000000" w:themeColor="text1"/>
          <w:sz w:val="16"/>
          <w:szCs w:val="16"/>
          <w:bdr w:val="none" w:sz="0" w:space="0" w:color="auto"/>
          <w:lang w:eastAsia="ko-KR"/>
        </w:rPr>
      </w:pPr>
      <w:r w:rsidRPr="0028728D">
        <w:rPr>
          <w:rStyle w:val="FootnoteReference"/>
          <w:rFonts w:ascii="Cambria" w:hAnsi="Cambria"/>
          <w:color w:val="000000" w:themeColor="text1"/>
          <w:sz w:val="16"/>
          <w:szCs w:val="16"/>
          <w:lang w:val="es-ES"/>
        </w:rPr>
        <w:footnoteRef/>
      </w:r>
      <w:r w:rsidRPr="00AE4542">
        <w:rPr>
          <w:rFonts w:ascii="Cambria" w:eastAsia="Cambria" w:hAnsi="Cambria" w:cs="Cambria"/>
          <w:color w:val="000000"/>
          <w:sz w:val="16"/>
          <w:szCs w:val="16"/>
        </w:rPr>
        <w:t xml:space="preserve"> IACHR, Annual Reports 2019 (paras. 123-133), 2018 (paras. 171-182), 2017 (paras. 388-399), 2016 (paras. 202-212), 2015 (paras. 319-328), 2014 (paras. 606-614), 2013 (paras. 697-705), 2012 (paras. 535-549), 2011 (paras. 510-521), 2010 (paras. 700-707), 2009 (paras. 510-512), 2008 (paras. 424-436), 2007 (paras. 303-3011), 2006 (paras. 190-204), 2005 (paras. 316-322) and 2004 (paras. </w:t>
      </w:r>
      <w:r>
        <w:rPr>
          <w:rFonts w:ascii="Cambria" w:eastAsia="Cambria" w:hAnsi="Cambria" w:cs="Cambria"/>
          <w:color w:val="000000"/>
          <w:sz w:val="16"/>
          <w:szCs w:val="16"/>
        </w:rPr>
        <w:t>258-260).</w:t>
      </w:r>
    </w:p>
  </w:footnote>
  <w:footnote w:id="5">
    <w:p w14:paraId="54E8F750" w14:textId="77777777" w:rsidR="006373C8" w:rsidRPr="00E936C8" w:rsidRDefault="006373C8" w:rsidP="00D8110A">
      <w:pPr>
        <w:pStyle w:val="FootnoteText"/>
        <w:jc w:val="both"/>
        <w:rPr>
          <w:rFonts w:ascii="Cambria" w:hAnsi="Cambria"/>
          <w:color w:val="000000" w:themeColor="text1"/>
          <w:sz w:val="16"/>
          <w:szCs w:val="16"/>
        </w:rPr>
      </w:pPr>
      <w:r w:rsidRPr="0028728D">
        <w:rPr>
          <w:rStyle w:val="FootnoteReference"/>
          <w:rFonts w:ascii="Cambria" w:hAnsi="Cambria"/>
          <w:color w:val="000000" w:themeColor="text1"/>
          <w:sz w:val="16"/>
          <w:szCs w:val="16"/>
          <w:lang w:val="es-ES"/>
        </w:rPr>
        <w:footnoteRef/>
      </w:r>
      <w:r>
        <w:rPr>
          <w:rFonts w:ascii="Cambria" w:eastAsia="Cambria" w:hAnsi="Cambria" w:cs="Cambria"/>
          <w:sz w:val="16"/>
          <w:szCs w:val="16"/>
        </w:rPr>
        <w:t xml:space="preserve"> IACHR, Country Report: Democratic Institutions, the Rule of Law and Human Rights in Venezuela. Approved on December 31, 2017.</w:t>
      </w:r>
    </w:p>
  </w:footnote>
  <w:footnote w:id="6">
    <w:p w14:paraId="0864A576" w14:textId="77777777" w:rsidR="006373C8" w:rsidRPr="00E936C8" w:rsidRDefault="006373C8" w:rsidP="00D8110A">
      <w:pPr>
        <w:pStyle w:val="FootnoteText"/>
        <w:jc w:val="both"/>
        <w:rPr>
          <w:rFonts w:ascii="Cambria" w:hAnsi="Cambria"/>
          <w:color w:val="000000" w:themeColor="text1"/>
          <w:sz w:val="16"/>
          <w:szCs w:val="16"/>
        </w:rPr>
      </w:pPr>
      <w:r w:rsidRPr="0028728D">
        <w:rPr>
          <w:rStyle w:val="FootnoteReference"/>
          <w:rFonts w:ascii="Cambria" w:hAnsi="Cambria"/>
          <w:color w:val="000000" w:themeColor="text1"/>
          <w:sz w:val="16"/>
          <w:szCs w:val="16"/>
          <w:lang w:val="es-ES"/>
        </w:rPr>
        <w:footnoteRef/>
      </w:r>
      <w:r>
        <w:rPr>
          <w:rFonts w:ascii="Cambria" w:eastAsia="Cambria" w:hAnsi="Cambria" w:cs="Cambria"/>
          <w:sz w:val="16"/>
          <w:szCs w:val="16"/>
        </w:rPr>
        <w:t xml:space="preserve"> Annex 26. Public information related to the current situation at the INOF. </w:t>
      </w:r>
      <w:r w:rsidRPr="00E936C8">
        <w:rPr>
          <w:rFonts w:ascii="Cambria" w:eastAsia="Cambria" w:hAnsi="Cambria" w:cs="Cambria"/>
          <w:sz w:val="16"/>
          <w:szCs w:val="16"/>
          <w:lang w:val="es-AR"/>
        </w:rPr>
        <w:t xml:space="preserve">Una ventana a la libertad. “Presas del INOF solo reciben un tobo de agua cada 15 días.” September 14, 2021. Available at: </w:t>
      </w:r>
      <w:hyperlink r:id="rId3" w:history="1">
        <w:r w:rsidRPr="00E936C8">
          <w:rPr>
            <w:rFonts w:ascii="Cambria" w:eastAsia="Cambria" w:hAnsi="Cambria" w:cs="Cambria"/>
            <w:sz w:val="16"/>
            <w:szCs w:val="16"/>
            <w:u w:val="single"/>
            <w:lang w:val="es-AR"/>
          </w:rPr>
          <w:t>https://unaventanaalalibertad.org/alertas/presas-del-inof-solo-reciben-un-tobo-de-agua-cada-15-dias/</w:t>
        </w:r>
      </w:hyperlink>
      <w:r w:rsidRPr="00E936C8">
        <w:rPr>
          <w:rFonts w:ascii="Cambria" w:eastAsia="Cambria" w:hAnsi="Cambria" w:cs="Cambria"/>
          <w:sz w:val="16"/>
          <w:szCs w:val="16"/>
          <w:lang w:val="es-AR"/>
        </w:rPr>
        <w:t xml:space="preserve">;  “Presas del INOF inician huelga al grito de ‘hambre y libertad.” January 14, 2021. Available at: </w:t>
      </w:r>
      <w:hyperlink r:id="rId4" w:history="1">
        <w:r w:rsidRPr="00E936C8">
          <w:rPr>
            <w:rFonts w:ascii="Cambria" w:eastAsia="Cambria" w:hAnsi="Cambria" w:cs="Cambria"/>
            <w:sz w:val="16"/>
            <w:szCs w:val="16"/>
            <w:u w:val="single"/>
            <w:lang w:val="es-AR"/>
          </w:rPr>
          <w:t>https://unaventanaalalibertad.org/alertas/presas-del-inof-inician-huelga-al-grito-de-hambre-y-libertad/</w:t>
        </w:r>
      </w:hyperlink>
      <w:r w:rsidRPr="00E936C8">
        <w:rPr>
          <w:rFonts w:ascii="Cambria" w:eastAsia="Cambria" w:hAnsi="Cambria" w:cs="Cambria"/>
          <w:sz w:val="16"/>
          <w:szCs w:val="16"/>
          <w:lang w:val="es-AR"/>
        </w:rPr>
        <w:t xml:space="preserve">; “Presa del INOF con cáncer de seno no ha recibido atención médica.” October 16, 2020. Available at: </w:t>
      </w:r>
      <w:hyperlink r:id="rId5" w:history="1">
        <w:r w:rsidRPr="00E936C8">
          <w:rPr>
            <w:rFonts w:ascii="Cambria" w:eastAsia="Cambria" w:hAnsi="Cambria" w:cs="Cambria"/>
            <w:sz w:val="16"/>
            <w:szCs w:val="16"/>
            <w:u w:val="single"/>
            <w:lang w:val="es-AR"/>
          </w:rPr>
          <w:t>https://unaventanaalalibertad.org/alertas/presa-del-inof-con-cancer-de-seno-no-ha-recibido-atencion-medica/</w:t>
        </w:r>
      </w:hyperlink>
      <w:r w:rsidRPr="00E936C8">
        <w:rPr>
          <w:rFonts w:ascii="Cambria" w:eastAsia="Cambria" w:hAnsi="Cambria" w:cs="Cambria"/>
          <w:sz w:val="16"/>
          <w:szCs w:val="16"/>
          <w:lang w:val="es-AR"/>
        </w:rPr>
        <w:t xml:space="preserve">; “Presas del INOF no son atendidas por dolencias médicas.” September 17, 2020. Available at: </w:t>
      </w:r>
      <w:hyperlink r:id="rId6" w:history="1">
        <w:r w:rsidRPr="00E936C8">
          <w:rPr>
            <w:rFonts w:ascii="Cambria" w:eastAsia="Cambria" w:hAnsi="Cambria" w:cs="Cambria"/>
            <w:sz w:val="16"/>
            <w:szCs w:val="16"/>
            <w:u w:val="single"/>
            <w:lang w:val="es-AR"/>
          </w:rPr>
          <w:t>https://unaventanaalalibertad.org/alertas/presas-del-inof-no-son-atendidas-por-dolencias-medicas/</w:t>
        </w:r>
      </w:hyperlink>
      <w:r w:rsidRPr="00E936C8">
        <w:rPr>
          <w:rFonts w:ascii="Cambria" w:eastAsia="Cambria" w:hAnsi="Cambria" w:cs="Cambria"/>
          <w:sz w:val="16"/>
          <w:szCs w:val="16"/>
          <w:lang w:val="es-AR"/>
        </w:rPr>
        <w:t xml:space="preserve">; and “Miranda: Denuncian maltrato a internas del INOF en celda de castigo.” </w:t>
      </w:r>
      <w:r>
        <w:rPr>
          <w:rFonts w:ascii="Cambria" w:eastAsia="Cambria" w:hAnsi="Cambria" w:cs="Cambria"/>
          <w:sz w:val="16"/>
          <w:szCs w:val="16"/>
        </w:rPr>
        <w:t xml:space="preserve">June 30, 2020. Available at: </w:t>
      </w:r>
      <w:hyperlink r:id="rId7" w:history="1">
        <w:r>
          <w:rPr>
            <w:rFonts w:ascii="Cambria" w:eastAsia="Cambria" w:hAnsi="Cambria" w:cs="Cambria"/>
            <w:sz w:val="16"/>
            <w:szCs w:val="16"/>
            <w:u w:val="single"/>
          </w:rPr>
          <w:t>https://unaventanaalalibertad.org/alertas/miranda-denuncian-maltrato-a-internas-del-inof-en-celda-de-castigo/</w:t>
        </w:r>
      </w:hyperlink>
      <w:r>
        <w:rPr>
          <w:rFonts w:ascii="Cambria" w:eastAsia="Cambria" w:hAnsi="Cambria" w:cs="Cambria"/>
          <w:sz w:val="16"/>
          <w:szCs w:val="16"/>
        </w:rPr>
        <w:t>.</w:t>
      </w:r>
    </w:p>
  </w:footnote>
  <w:footnote w:id="7">
    <w:p w14:paraId="182C5AD7" w14:textId="77777777" w:rsidR="006373C8" w:rsidRPr="00E936C8" w:rsidRDefault="006373C8" w:rsidP="00D8110A">
      <w:pPr>
        <w:pStyle w:val="FootnoteText"/>
        <w:jc w:val="both"/>
        <w:rPr>
          <w:rFonts w:ascii="Cambria" w:hAnsi="Cambria" w:cs="Times New Roman"/>
          <w:color w:val="000000" w:themeColor="text1"/>
          <w:sz w:val="16"/>
          <w:szCs w:val="16"/>
        </w:rPr>
      </w:pPr>
      <w:r w:rsidRPr="0028728D">
        <w:rPr>
          <w:rStyle w:val="FootnoteReference"/>
          <w:rFonts w:ascii="Cambria" w:hAnsi="Cambria" w:cs="Times New Roman"/>
          <w:color w:val="000000" w:themeColor="text1"/>
          <w:sz w:val="16"/>
          <w:szCs w:val="16"/>
          <w:lang w:val="es-ES"/>
        </w:rPr>
        <w:footnoteRef/>
      </w:r>
      <w:r w:rsidRPr="00E936C8">
        <w:rPr>
          <w:rFonts w:ascii="Cambria" w:eastAsia="Cambria" w:hAnsi="Cambria" w:cs="Cambria"/>
          <w:sz w:val="16"/>
          <w:szCs w:val="16"/>
          <w:lang w:val="es-AR"/>
        </w:rPr>
        <w:t xml:space="preserve"> Venezuelan Observatory of Prisons. Mujeres Privadas de Libertad en Venezuela – Las voces detrás de las rejas. </w:t>
      </w:r>
      <w:r>
        <w:rPr>
          <w:rFonts w:ascii="Cambria" w:eastAsia="Cambria" w:hAnsi="Cambria" w:cs="Cambria"/>
          <w:sz w:val="16"/>
          <w:szCs w:val="16"/>
        </w:rPr>
        <w:t xml:space="preserve">2021, p. 10, available at: </w:t>
      </w:r>
      <w:hyperlink r:id="rId8" w:anchor="flipbook-df_6531/9/" w:history="1">
        <w:r>
          <w:rPr>
            <w:rFonts w:ascii="Cambria" w:eastAsia="Cambria" w:hAnsi="Cambria" w:cs="Cambria"/>
            <w:sz w:val="16"/>
            <w:szCs w:val="16"/>
            <w:u w:val="single"/>
          </w:rPr>
          <w:t>https://oveprisiones.com/informes/#flipbook-df_6531/9/</w:t>
        </w:r>
      </w:hyperlink>
      <w:r>
        <w:rPr>
          <w:rFonts w:ascii="Cambria" w:eastAsia="Cambria" w:hAnsi="Cambria" w:cs="Cambria"/>
          <w:sz w:val="16"/>
          <w:szCs w:val="16"/>
        </w:rPr>
        <w:t xml:space="preserve">. </w:t>
      </w:r>
    </w:p>
  </w:footnote>
  <w:footnote w:id="8">
    <w:p w14:paraId="78A59BB4" w14:textId="77777777" w:rsidR="006373C8" w:rsidRPr="0028728D" w:rsidRDefault="006373C8" w:rsidP="00D8110A">
      <w:pPr>
        <w:pStyle w:val="FootnoteText"/>
        <w:jc w:val="both"/>
        <w:rPr>
          <w:rFonts w:ascii="Cambria" w:hAnsi="Cambria" w:cs="Times New Roman"/>
          <w:color w:val="000000" w:themeColor="text1"/>
          <w:sz w:val="16"/>
          <w:szCs w:val="16"/>
          <w:lang w:val="es-ES"/>
        </w:rPr>
      </w:pPr>
      <w:r w:rsidRPr="0028728D">
        <w:rPr>
          <w:rStyle w:val="FootnoteReference"/>
          <w:rFonts w:ascii="Cambria" w:hAnsi="Cambria" w:cs="Times New Roman"/>
          <w:color w:val="000000" w:themeColor="text1"/>
          <w:sz w:val="16"/>
          <w:szCs w:val="16"/>
          <w:lang w:val="es-ES"/>
        </w:rPr>
        <w:footnoteRef/>
      </w:r>
      <w:r>
        <w:rPr>
          <w:rFonts w:ascii="Cambria" w:eastAsia="Cambria" w:hAnsi="Cambria" w:cs="Cambria"/>
          <w:sz w:val="16"/>
          <w:szCs w:val="16"/>
        </w:rPr>
        <w:t xml:space="preserve"> Venezuelan Observatory of Prisons. </w:t>
      </w:r>
      <w:r w:rsidRPr="00E936C8">
        <w:rPr>
          <w:rFonts w:ascii="Cambria" w:eastAsia="Cambria" w:hAnsi="Cambria" w:cs="Cambria"/>
          <w:sz w:val="16"/>
          <w:szCs w:val="16"/>
          <w:lang w:val="es-AR"/>
        </w:rPr>
        <w:t xml:space="preserve">Mujeres Privadas de Libertad en Venezuela – Las voces detrás de las rejas. 2021, p. 47. </w:t>
      </w:r>
    </w:p>
  </w:footnote>
  <w:footnote w:id="9">
    <w:p w14:paraId="0453520A" w14:textId="77777777" w:rsidR="006373C8" w:rsidRPr="00E936C8" w:rsidRDefault="006373C8" w:rsidP="00D8110A">
      <w:pPr>
        <w:pStyle w:val="FootnoteText"/>
        <w:jc w:val="both"/>
        <w:rPr>
          <w:rFonts w:ascii="Cambria" w:hAnsi="Cambria" w:cs="Times New Roman"/>
          <w:color w:val="000000" w:themeColor="text1"/>
          <w:sz w:val="16"/>
          <w:szCs w:val="16"/>
        </w:rPr>
      </w:pPr>
      <w:r w:rsidRPr="0028728D">
        <w:rPr>
          <w:rStyle w:val="FootnoteReference"/>
          <w:rFonts w:ascii="Cambria" w:hAnsi="Cambria" w:cs="Times New Roman"/>
          <w:color w:val="000000" w:themeColor="text1"/>
          <w:sz w:val="16"/>
          <w:szCs w:val="16"/>
          <w:lang w:val="es-ES"/>
        </w:rPr>
        <w:footnoteRef/>
      </w:r>
      <w:r w:rsidRPr="00E936C8">
        <w:rPr>
          <w:rFonts w:ascii="Cambria" w:eastAsia="Cambria" w:hAnsi="Cambria" w:cs="Cambria"/>
          <w:sz w:val="16"/>
          <w:szCs w:val="16"/>
          <w:lang w:val="es-AR"/>
        </w:rPr>
        <w:t xml:space="preserve"> Venezuelan Observatory of Prisons. Mujeres Privadas de Libertad en Venezuela – Las voces detrás de las rejas. </w:t>
      </w:r>
      <w:r>
        <w:rPr>
          <w:rFonts w:ascii="Cambria" w:eastAsia="Cambria" w:hAnsi="Cambria" w:cs="Cambria"/>
          <w:sz w:val="16"/>
          <w:szCs w:val="16"/>
        </w:rPr>
        <w:t xml:space="preserve">2021, p. 47. </w:t>
      </w:r>
    </w:p>
  </w:footnote>
  <w:footnote w:id="10">
    <w:p w14:paraId="0B7EF0AD" w14:textId="0288C15F" w:rsidR="006373C8" w:rsidRPr="00E936C8" w:rsidRDefault="006373C8" w:rsidP="00D8110A">
      <w:pPr>
        <w:pStyle w:val="FootnoteText"/>
        <w:jc w:val="both"/>
        <w:rPr>
          <w:rFonts w:ascii="Cambria" w:hAnsi="Cambria"/>
          <w:color w:val="000000" w:themeColor="text1"/>
          <w:sz w:val="16"/>
          <w:szCs w:val="16"/>
        </w:rPr>
      </w:pPr>
      <w:r w:rsidRPr="0028728D">
        <w:rPr>
          <w:rStyle w:val="FootnoteReference"/>
          <w:rFonts w:ascii="Cambria" w:hAnsi="Cambria"/>
          <w:color w:val="000000" w:themeColor="text1"/>
          <w:sz w:val="16"/>
          <w:szCs w:val="16"/>
          <w:lang w:val="es-ES"/>
        </w:rPr>
        <w:footnoteRef/>
      </w:r>
      <w:r>
        <w:rPr>
          <w:rFonts w:ascii="Cambria" w:eastAsia="Cambria" w:hAnsi="Cambria" w:cs="Cambria"/>
          <w:sz w:val="16"/>
          <w:szCs w:val="16"/>
        </w:rPr>
        <w:t xml:space="preserve"> Annex 1. </w:t>
      </w:r>
      <w:r w:rsidRPr="00A623AB">
        <w:rPr>
          <w:rFonts w:ascii="Cambria" w:eastAsia="Cambria" w:hAnsi="Cambria" w:cs="Cambria"/>
          <w:sz w:val="16"/>
          <w:szCs w:val="16"/>
        </w:rPr>
        <w:t>Judgement of the First Instance Court of Control No. 3</w:t>
      </w:r>
      <w:r>
        <w:rPr>
          <w:rFonts w:ascii="Cambria" w:eastAsia="Cambria" w:hAnsi="Cambria" w:cs="Cambria"/>
          <w:sz w:val="16"/>
          <w:szCs w:val="16"/>
        </w:rPr>
        <w:t>, October 29, 2010. Annex 1 to the petition.</w:t>
      </w:r>
    </w:p>
  </w:footnote>
  <w:footnote w:id="11">
    <w:p w14:paraId="1FE3C250" w14:textId="28AFB45F" w:rsidR="006373C8" w:rsidRPr="00E936C8" w:rsidRDefault="006373C8" w:rsidP="00D8110A">
      <w:pPr>
        <w:pStyle w:val="FootnoteText"/>
        <w:jc w:val="both"/>
        <w:rPr>
          <w:rFonts w:ascii="Cambria" w:hAnsi="Cambria"/>
          <w:color w:val="000000" w:themeColor="text1"/>
          <w:sz w:val="16"/>
          <w:szCs w:val="16"/>
        </w:rPr>
      </w:pPr>
      <w:r w:rsidRPr="0028728D">
        <w:rPr>
          <w:rStyle w:val="FootnoteReference"/>
          <w:rFonts w:ascii="Cambria" w:hAnsi="Cambria"/>
          <w:color w:val="000000" w:themeColor="text1"/>
          <w:sz w:val="16"/>
          <w:szCs w:val="16"/>
          <w:lang w:val="es-ES"/>
        </w:rPr>
        <w:footnoteRef/>
      </w:r>
      <w:r>
        <w:rPr>
          <w:rFonts w:ascii="Cambria" w:eastAsia="Cambria" w:hAnsi="Cambria" w:cs="Cambria"/>
          <w:sz w:val="16"/>
          <w:szCs w:val="16"/>
        </w:rPr>
        <w:t xml:space="preserve"> Annex 1. </w:t>
      </w:r>
      <w:r w:rsidRPr="00A623AB">
        <w:rPr>
          <w:rFonts w:ascii="Cambria" w:eastAsia="Cambria" w:hAnsi="Cambria" w:cs="Cambria"/>
          <w:sz w:val="16"/>
          <w:szCs w:val="16"/>
        </w:rPr>
        <w:t>Judgement of the First Instance Court of Control No. 3</w:t>
      </w:r>
      <w:r>
        <w:rPr>
          <w:rFonts w:ascii="Cambria" w:eastAsia="Cambria" w:hAnsi="Cambria" w:cs="Cambria"/>
          <w:sz w:val="16"/>
          <w:szCs w:val="16"/>
        </w:rPr>
        <w:t>, October 29, 2010. Annex 1 to the petition.</w:t>
      </w:r>
    </w:p>
  </w:footnote>
  <w:footnote w:id="12">
    <w:p w14:paraId="7FA24A01" w14:textId="77777777" w:rsidR="006373C8" w:rsidRPr="00E936C8" w:rsidRDefault="006373C8" w:rsidP="00D8110A">
      <w:pPr>
        <w:pStyle w:val="FootnoteText"/>
        <w:jc w:val="both"/>
        <w:rPr>
          <w:rFonts w:ascii="Cambria" w:hAnsi="Cambria"/>
          <w:color w:val="000000" w:themeColor="text1"/>
          <w:sz w:val="16"/>
          <w:szCs w:val="16"/>
        </w:rPr>
      </w:pPr>
      <w:r w:rsidRPr="0028728D">
        <w:rPr>
          <w:rStyle w:val="FootnoteReference"/>
          <w:rFonts w:ascii="Cambria" w:hAnsi="Cambria"/>
          <w:color w:val="000000" w:themeColor="text1"/>
          <w:sz w:val="16"/>
          <w:szCs w:val="16"/>
          <w:lang w:val="es-ES"/>
        </w:rPr>
        <w:footnoteRef/>
      </w:r>
      <w:r>
        <w:rPr>
          <w:rFonts w:ascii="Cambria" w:eastAsia="Cambria" w:hAnsi="Cambria" w:cs="Cambria"/>
          <w:sz w:val="16"/>
          <w:szCs w:val="16"/>
        </w:rPr>
        <w:t xml:space="preserve"> Annex 8. Medical reports and communications referring to the physical and mental condition of Sarah Langton in the year 2000. Annex 8(a) to the petition.</w:t>
      </w:r>
    </w:p>
  </w:footnote>
  <w:footnote w:id="13">
    <w:p w14:paraId="0FFE0B7E" w14:textId="77777777" w:rsidR="006373C8" w:rsidRPr="00E936C8" w:rsidRDefault="006373C8" w:rsidP="00D8110A">
      <w:pPr>
        <w:pStyle w:val="FootnoteText"/>
        <w:jc w:val="both"/>
        <w:rPr>
          <w:rFonts w:ascii="Cambria" w:hAnsi="Cambria"/>
          <w:color w:val="000000" w:themeColor="text1"/>
          <w:sz w:val="16"/>
          <w:szCs w:val="16"/>
        </w:rPr>
      </w:pPr>
      <w:r w:rsidRPr="0028728D">
        <w:rPr>
          <w:rStyle w:val="FootnoteReference"/>
          <w:rFonts w:ascii="Cambria" w:hAnsi="Cambria"/>
          <w:color w:val="000000" w:themeColor="text1"/>
          <w:sz w:val="16"/>
          <w:szCs w:val="16"/>
          <w:lang w:val="es-ES"/>
        </w:rPr>
        <w:footnoteRef/>
      </w:r>
      <w:r>
        <w:rPr>
          <w:rFonts w:ascii="Cambria" w:eastAsia="Cambria" w:hAnsi="Cambria" w:cs="Cambria"/>
          <w:sz w:val="16"/>
          <w:szCs w:val="16"/>
        </w:rPr>
        <w:t xml:space="preserve"> Annex 8. Medical reports and communications referring to the physical and mental condition of Sarah Langton in the year 2000. Annex 8(a) to the petition.</w:t>
      </w:r>
    </w:p>
  </w:footnote>
  <w:footnote w:id="14">
    <w:p w14:paraId="200B8F75" w14:textId="77777777" w:rsidR="006373C8" w:rsidRPr="00E936C8" w:rsidRDefault="006373C8" w:rsidP="00D8110A">
      <w:pPr>
        <w:pStyle w:val="FootnoteText"/>
        <w:jc w:val="both"/>
        <w:rPr>
          <w:rFonts w:ascii="Cambria" w:hAnsi="Cambria"/>
          <w:color w:val="000000" w:themeColor="text1"/>
          <w:sz w:val="16"/>
          <w:szCs w:val="16"/>
        </w:rPr>
      </w:pPr>
      <w:r w:rsidRPr="0028728D">
        <w:rPr>
          <w:rStyle w:val="FootnoteReference"/>
          <w:rFonts w:ascii="Cambria" w:hAnsi="Cambria"/>
          <w:color w:val="000000" w:themeColor="text1"/>
          <w:sz w:val="16"/>
          <w:szCs w:val="16"/>
          <w:lang w:val="es-ES"/>
        </w:rPr>
        <w:footnoteRef/>
      </w:r>
      <w:r>
        <w:rPr>
          <w:rFonts w:ascii="Cambria" w:eastAsia="Cambria" w:hAnsi="Cambria" w:cs="Cambria"/>
          <w:sz w:val="16"/>
          <w:szCs w:val="16"/>
        </w:rPr>
        <w:t xml:space="preserve"> Annex 8. Medical reports and communications referring to the physical and mental condition of Sarah Langton in the year 2000. Annex 8(a) to the petition.</w:t>
      </w:r>
    </w:p>
  </w:footnote>
  <w:footnote w:id="15">
    <w:p w14:paraId="768B3532" w14:textId="77777777" w:rsidR="006373C8" w:rsidRPr="00E936C8" w:rsidRDefault="006373C8" w:rsidP="00D8110A">
      <w:pPr>
        <w:pStyle w:val="FootnoteText"/>
        <w:jc w:val="both"/>
        <w:rPr>
          <w:rFonts w:ascii="Cambria" w:hAnsi="Cambria"/>
          <w:color w:val="000000" w:themeColor="text1"/>
          <w:sz w:val="16"/>
          <w:szCs w:val="16"/>
        </w:rPr>
      </w:pPr>
      <w:r w:rsidRPr="0028728D">
        <w:rPr>
          <w:rStyle w:val="FootnoteReference"/>
          <w:rFonts w:ascii="Cambria" w:hAnsi="Cambria"/>
          <w:color w:val="000000" w:themeColor="text1"/>
          <w:sz w:val="16"/>
          <w:szCs w:val="16"/>
          <w:lang w:val="es-ES"/>
        </w:rPr>
        <w:footnoteRef/>
      </w:r>
      <w:r>
        <w:rPr>
          <w:rFonts w:ascii="Cambria" w:eastAsia="Cambria" w:hAnsi="Cambria" w:cs="Cambria"/>
          <w:sz w:val="16"/>
          <w:szCs w:val="16"/>
        </w:rPr>
        <w:t xml:space="preserve"> Annex 11. Letter from Terry Langton to the Chargé d'affaires of the Venezuelan Embassy in the United Kingdom, February 21, 2001. Annex 12 to the brief on observations.</w:t>
      </w:r>
    </w:p>
  </w:footnote>
  <w:footnote w:id="16">
    <w:p w14:paraId="5584BA1F" w14:textId="77777777" w:rsidR="006373C8" w:rsidRPr="00E936C8" w:rsidRDefault="006373C8" w:rsidP="00D8110A">
      <w:pPr>
        <w:pStyle w:val="FootnoteText"/>
        <w:jc w:val="both"/>
        <w:rPr>
          <w:rFonts w:ascii="Cambria" w:hAnsi="Cambria"/>
          <w:color w:val="000000" w:themeColor="text1"/>
          <w:sz w:val="16"/>
          <w:szCs w:val="16"/>
        </w:rPr>
      </w:pPr>
      <w:r w:rsidRPr="0028728D">
        <w:rPr>
          <w:rStyle w:val="FootnoteReference"/>
          <w:rFonts w:ascii="Cambria" w:hAnsi="Cambria"/>
          <w:color w:val="000000" w:themeColor="text1"/>
          <w:sz w:val="16"/>
          <w:szCs w:val="16"/>
          <w:lang w:val="es-ES"/>
        </w:rPr>
        <w:footnoteRef/>
      </w:r>
      <w:r>
        <w:rPr>
          <w:rFonts w:ascii="Cambria" w:eastAsia="Cambria" w:hAnsi="Cambria" w:cs="Cambria"/>
          <w:sz w:val="16"/>
          <w:szCs w:val="16"/>
        </w:rPr>
        <w:t xml:space="preserve"> Annex 11. Letter from Terry Langton to the Chargé d'affaires of the Venezuelan Embassy in the United Kingdom, February 21, 2001. Annex 12 to the brief on observations.</w:t>
      </w:r>
    </w:p>
  </w:footnote>
  <w:footnote w:id="17">
    <w:p w14:paraId="5FE513F2" w14:textId="77777777" w:rsidR="006373C8" w:rsidRPr="00E936C8" w:rsidRDefault="006373C8" w:rsidP="00D8110A">
      <w:pPr>
        <w:pStyle w:val="FootnoteText"/>
        <w:jc w:val="both"/>
        <w:rPr>
          <w:rFonts w:ascii="Cambria" w:hAnsi="Cambria"/>
          <w:color w:val="000000" w:themeColor="text1"/>
          <w:sz w:val="16"/>
          <w:szCs w:val="16"/>
        </w:rPr>
      </w:pPr>
      <w:r w:rsidRPr="0028728D">
        <w:rPr>
          <w:rStyle w:val="FootnoteReference"/>
          <w:rFonts w:ascii="Cambria" w:hAnsi="Cambria"/>
          <w:color w:val="000000" w:themeColor="text1"/>
          <w:sz w:val="16"/>
          <w:szCs w:val="16"/>
          <w:lang w:val="es-ES"/>
        </w:rPr>
        <w:footnoteRef/>
      </w:r>
      <w:r>
        <w:rPr>
          <w:rFonts w:ascii="Cambria" w:eastAsia="Cambria" w:hAnsi="Cambria" w:cs="Cambria"/>
          <w:sz w:val="16"/>
          <w:szCs w:val="16"/>
        </w:rPr>
        <w:t xml:space="preserve"> Annex 5. Correspondence between the Langton family and Venezuelan authorities. Annex 5(c) to the petition.</w:t>
      </w:r>
    </w:p>
  </w:footnote>
  <w:footnote w:id="18">
    <w:p w14:paraId="723B1F33" w14:textId="77777777" w:rsidR="006373C8" w:rsidRPr="00E936C8" w:rsidRDefault="006373C8" w:rsidP="00D8110A">
      <w:pPr>
        <w:pStyle w:val="FootnoteText"/>
        <w:jc w:val="both"/>
        <w:rPr>
          <w:rFonts w:ascii="Cambria" w:hAnsi="Cambria"/>
          <w:color w:val="000000" w:themeColor="text1"/>
          <w:sz w:val="16"/>
          <w:szCs w:val="16"/>
        </w:rPr>
      </w:pPr>
      <w:r w:rsidRPr="0028728D">
        <w:rPr>
          <w:rStyle w:val="FootnoteReference"/>
          <w:rFonts w:ascii="Cambria" w:hAnsi="Cambria"/>
          <w:color w:val="000000" w:themeColor="text1"/>
          <w:sz w:val="16"/>
          <w:szCs w:val="16"/>
          <w:lang w:val="es-ES"/>
        </w:rPr>
        <w:footnoteRef/>
      </w:r>
      <w:r>
        <w:rPr>
          <w:rFonts w:ascii="Cambria" w:eastAsia="Cambria" w:hAnsi="Cambria" w:cs="Cambria"/>
          <w:sz w:val="16"/>
          <w:szCs w:val="16"/>
        </w:rPr>
        <w:t xml:space="preserve"> Annex 5. Correspondence between the Langton family and Venezuelan authorities. Annex 5(c) to the petition.</w:t>
      </w:r>
    </w:p>
  </w:footnote>
  <w:footnote w:id="19">
    <w:p w14:paraId="6128E422" w14:textId="77777777" w:rsidR="006373C8" w:rsidRPr="00E936C8" w:rsidRDefault="006373C8" w:rsidP="00D8110A">
      <w:pPr>
        <w:pStyle w:val="FootnoteText"/>
        <w:jc w:val="both"/>
        <w:rPr>
          <w:rFonts w:ascii="Cambria" w:hAnsi="Cambria"/>
          <w:color w:val="000000" w:themeColor="text1"/>
          <w:sz w:val="16"/>
          <w:szCs w:val="16"/>
        </w:rPr>
      </w:pPr>
      <w:r w:rsidRPr="0028728D">
        <w:rPr>
          <w:rStyle w:val="FootnoteReference"/>
          <w:rFonts w:ascii="Cambria" w:hAnsi="Cambria"/>
          <w:color w:val="000000" w:themeColor="text1"/>
          <w:sz w:val="16"/>
          <w:szCs w:val="16"/>
          <w:lang w:val="es-ES"/>
        </w:rPr>
        <w:footnoteRef/>
      </w:r>
      <w:r>
        <w:rPr>
          <w:rFonts w:ascii="Cambria" w:eastAsia="Cambria" w:hAnsi="Cambria" w:cs="Cambria"/>
          <w:sz w:val="16"/>
          <w:szCs w:val="16"/>
        </w:rPr>
        <w:t xml:space="preserve"> Annex 5. Correspondence between the Langton family and Venezuelan authorities. Annex 5(c) to the petition.</w:t>
      </w:r>
    </w:p>
  </w:footnote>
  <w:footnote w:id="20">
    <w:p w14:paraId="78C4C8E3" w14:textId="77777777" w:rsidR="006373C8" w:rsidRPr="00E936C8" w:rsidRDefault="006373C8" w:rsidP="00D8110A">
      <w:pPr>
        <w:pStyle w:val="FootnoteText"/>
        <w:jc w:val="both"/>
        <w:rPr>
          <w:rFonts w:ascii="Cambria" w:hAnsi="Cambria"/>
          <w:color w:val="000000" w:themeColor="text1"/>
          <w:sz w:val="16"/>
          <w:szCs w:val="16"/>
        </w:rPr>
      </w:pPr>
      <w:r w:rsidRPr="0028728D">
        <w:rPr>
          <w:rStyle w:val="FootnoteReference"/>
          <w:rFonts w:ascii="Cambria" w:hAnsi="Cambria"/>
          <w:color w:val="000000" w:themeColor="text1"/>
          <w:sz w:val="16"/>
          <w:szCs w:val="16"/>
          <w:lang w:val="es-ES"/>
        </w:rPr>
        <w:footnoteRef/>
      </w:r>
      <w:r>
        <w:rPr>
          <w:rFonts w:ascii="Cambria" w:eastAsia="Cambria" w:hAnsi="Cambria" w:cs="Cambria"/>
          <w:sz w:val="16"/>
          <w:szCs w:val="16"/>
        </w:rPr>
        <w:t xml:space="preserve"> Annex 5. Correspondence between the Langton family and Venezuelan authorities. Annex 5(c) to the petition.</w:t>
      </w:r>
    </w:p>
  </w:footnote>
  <w:footnote w:id="21">
    <w:p w14:paraId="305B92D1" w14:textId="77777777" w:rsidR="006373C8" w:rsidRPr="00E936C8" w:rsidRDefault="006373C8" w:rsidP="00D8110A">
      <w:pPr>
        <w:pStyle w:val="FootnoteText"/>
        <w:jc w:val="both"/>
        <w:rPr>
          <w:rFonts w:ascii="Cambria" w:hAnsi="Cambria"/>
          <w:color w:val="000000" w:themeColor="text1"/>
          <w:sz w:val="16"/>
          <w:szCs w:val="16"/>
        </w:rPr>
      </w:pPr>
      <w:r w:rsidRPr="0028728D">
        <w:rPr>
          <w:rStyle w:val="FootnoteReference"/>
          <w:rFonts w:ascii="Cambria" w:hAnsi="Cambria"/>
          <w:color w:val="000000" w:themeColor="text1"/>
          <w:sz w:val="16"/>
          <w:szCs w:val="16"/>
          <w:lang w:val="es-ES"/>
        </w:rPr>
        <w:footnoteRef/>
      </w:r>
      <w:r>
        <w:rPr>
          <w:rFonts w:ascii="Cambria" w:eastAsia="Cambria" w:hAnsi="Cambria" w:cs="Cambria"/>
          <w:sz w:val="16"/>
          <w:szCs w:val="16"/>
        </w:rPr>
        <w:t xml:space="preserve"> Annex 5. Correspondence between the Langton family and Venezuelan authorities. Annex 5(c) to the petition.</w:t>
      </w:r>
    </w:p>
  </w:footnote>
  <w:footnote w:id="22">
    <w:p w14:paraId="441C3A8F" w14:textId="77777777" w:rsidR="006373C8" w:rsidRPr="00E936C8" w:rsidRDefault="006373C8" w:rsidP="00D8110A">
      <w:pPr>
        <w:pStyle w:val="FootnoteText"/>
        <w:jc w:val="both"/>
        <w:rPr>
          <w:rFonts w:ascii="Cambria" w:hAnsi="Cambria"/>
          <w:color w:val="000000" w:themeColor="text1"/>
          <w:sz w:val="16"/>
          <w:szCs w:val="16"/>
        </w:rPr>
      </w:pPr>
      <w:r w:rsidRPr="0028728D">
        <w:rPr>
          <w:rStyle w:val="FootnoteReference"/>
          <w:rFonts w:ascii="Cambria" w:hAnsi="Cambria"/>
          <w:color w:val="000000" w:themeColor="text1"/>
          <w:sz w:val="16"/>
          <w:szCs w:val="16"/>
          <w:lang w:val="es-ES"/>
        </w:rPr>
        <w:footnoteRef/>
      </w:r>
      <w:r>
        <w:rPr>
          <w:rFonts w:ascii="Cambria" w:eastAsia="Cambria" w:hAnsi="Cambria" w:cs="Cambria"/>
          <w:sz w:val="16"/>
          <w:szCs w:val="16"/>
        </w:rPr>
        <w:t xml:space="preserve"> Annex 11. Letter from Terry Langton to the Chargé d'affaires of the Venezuelan Embassy in the United Kingdom, February 21, 2001. Annex 12 to the brief on observations.</w:t>
      </w:r>
    </w:p>
  </w:footnote>
  <w:footnote w:id="23">
    <w:p w14:paraId="09FF699A" w14:textId="77777777" w:rsidR="006373C8" w:rsidRPr="00E936C8" w:rsidRDefault="006373C8" w:rsidP="00D8110A">
      <w:pPr>
        <w:pStyle w:val="FootnoteText"/>
        <w:jc w:val="both"/>
        <w:rPr>
          <w:rFonts w:ascii="Cambria" w:hAnsi="Cambria"/>
          <w:color w:val="000000" w:themeColor="text1"/>
          <w:sz w:val="16"/>
          <w:szCs w:val="16"/>
        </w:rPr>
      </w:pPr>
      <w:r w:rsidRPr="0028728D">
        <w:rPr>
          <w:rStyle w:val="FootnoteReference"/>
          <w:rFonts w:ascii="Cambria" w:hAnsi="Cambria"/>
          <w:color w:val="000000" w:themeColor="text1"/>
          <w:sz w:val="16"/>
          <w:szCs w:val="16"/>
          <w:lang w:val="es-ES"/>
        </w:rPr>
        <w:footnoteRef/>
      </w:r>
      <w:r>
        <w:rPr>
          <w:rFonts w:ascii="Cambria" w:eastAsia="Cambria" w:hAnsi="Cambria" w:cs="Cambria"/>
          <w:sz w:val="16"/>
          <w:szCs w:val="16"/>
        </w:rPr>
        <w:t xml:space="preserve"> Annex 8. Medical reports and communications referring to the physical and mental condition of Sarah Langton in the year 2000. Annex 8(c) to the petition.</w:t>
      </w:r>
    </w:p>
  </w:footnote>
  <w:footnote w:id="24">
    <w:p w14:paraId="2682F0C5" w14:textId="77777777" w:rsidR="006373C8" w:rsidRPr="00E936C8" w:rsidRDefault="006373C8" w:rsidP="00D8110A">
      <w:pPr>
        <w:pStyle w:val="FootnoteText"/>
        <w:jc w:val="both"/>
        <w:rPr>
          <w:rFonts w:ascii="Cambria" w:hAnsi="Cambria"/>
          <w:color w:val="000000" w:themeColor="text1"/>
          <w:sz w:val="16"/>
          <w:szCs w:val="16"/>
        </w:rPr>
      </w:pPr>
      <w:r w:rsidRPr="0028728D">
        <w:rPr>
          <w:rStyle w:val="FootnoteReference"/>
          <w:rFonts w:ascii="Cambria" w:hAnsi="Cambria"/>
          <w:color w:val="000000" w:themeColor="text1"/>
          <w:sz w:val="16"/>
          <w:szCs w:val="16"/>
          <w:lang w:val="es-ES"/>
        </w:rPr>
        <w:footnoteRef/>
      </w:r>
      <w:r>
        <w:rPr>
          <w:rFonts w:ascii="Cambria" w:eastAsia="Cambria" w:hAnsi="Cambria" w:cs="Cambria"/>
          <w:sz w:val="16"/>
          <w:szCs w:val="16"/>
        </w:rPr>
        <w:t xml:space="preserve"> Annex 8. Medical reports and communications referring to the physical and mental condition of Sarah Langton in the year 2000. Annex 8(d) to the petition.</w:t>
      </w:r>
    </w:p>
  </w:footnote>
  <w:footnote w:id="25">
    <w:p w14:paraId="085B7569" w14:textId="77777777" w:rsidR="006373C8" w:rsidRPr="00E936C8" w:rsidRDefault="006373C8" w:rsidP="00D8110A">
      <w:pPr>
        <w:pStyle w:val="FootnoteText"/>
        <w:jc w:val="both"/>
        <w:rPr>
          <w:rFonts w:ascii="Cambria" w:hAnsi="Cambria"/>
          <w:color w:val="000000" w:themeColor="text1"/>
          <w:sz w:val="16"/>
          <w:szCs w:val="16"/>
        </w:rPr>
      </w:pPr>
      <w:r w:rsidRPr="0028728D">
        <w:rPr>
          <w:rStyle w:val="FootnoteReference"/>
          <w:rFonts w:ascii="Cambria" w:hAnsi="Cambria"/>
          <w:color w:val="000000" w:themeColor="text1"/>
          <w:sz w:val="16"/>
          <w:szCs w:val="16"/>
          <w:lang w:val="es-ES"/>
        </w:rPr>
        <w:footnoteRef/>
      </w:r>
      <w:r>
        <w:rPr>
          <w:rFonts w:ascii="Cambria" w:eastAsia="Cambria" w:hAnsi="Cambria" w:cs="Cambria"/>
          <w:sz w:val="16"/>
          <w:szCs w:val="16"/>
        </w:rPr>
        <w:t xml:space="preserve"> Annex 8. Medical reports and communications referring to the physical and mental condition of Sarah Langton in the year 2000. Annex 8(e) to the petition.</w:t>
      </w:r>
    </w:p>
  </w:footnote>
  <w:footnote w:id="26">
    <w:p w14:paraId="37B3E754" w14:textId="77777777" w:rsidR="006373C8" w:rsidRPr="00E936C8" w:rsidRDefault="006373C8" w:rsidP="00D8110A">
      <w:pPr>
        <w:pStyle w:val="FootnoteText"/>
        <w:jc w:val="both"/>
        <w:rPr>
          <w:rFonts w:ascii="Cambria" w:hAnsi="Cambria"/>
          <w:color w:val="000000" w:themeColor="text1"/>
          <w:sz w:val="16"/>
          <w:szCs w:val="16"/>
        </w:rPr>
      </w:pPr>
      <w:r w:rsidRPr="0028728D">
        <w:rPr>
          <w:rStyle w:val="FootnoteReference"/>
          <w:rFonts w:ascii="Cambria" w:hAnsi="Cambria"/>
          <w:color w:val="000000" w:themeColor="text1"/>
          <w:sz w:val="16"/>
          <w:szCs w:val="16"/>
          <w:lang w:val="es-ES"/>
        </w:rPr>
        <w:footnoteRef/>
      </w:r>
      <w:r>
        <w:rPr>
          <w:rFonts w:ascii="Cambria" w:eastAsia="Cambria" w:hAnsi="Cambria" w:cs="Cambria"/>
          <w:sz w:val="16"/>
          <w:szCs w:val="16"/>
        </w:rPr>
        <w:t xml:space="preserve"> Annex 8. Medical reports and communications referring to the physical and mental condition of Sarah Langton in the year 2000. Annex 8(b) to the petition.</w:t>
      </w:r>
    </w:p>
  </w:footnote>
  <w:footnote w:id="27">
    <w:p w14:paraId="0BBE6579" w14:textId="29B63479" w:rsidR="006373C8" w:rsidRPr="00E936C8" w:rsidRDefault="006373C8" w:rsidP="00D8110A">
      <w:pPr>
        <w:pStyle w:val="FootnoteText"/>
        <w:jc w:val="both"/>
        <w:rPr>
          <w:rFonts w:ascii="Cambria" w:hAnsi="Cambria"/>
          <w:color w:val="000000" w:themeColor="text1"/>
          <w:sz w:val="16"/>
          <w:szCs w:val="16"/>
        </w:rPr>
      </w:pPr>
      <w:r w:rsidRPr="0028728D">
        <w:rPr>
          <w:rStyle w:val="FootnoteReference"/>
          <w:rFonts w:ascii="Cambria" w:hAnsi="Cambria"/>
          <w:color w:val="000000" w:themeColor="text1"/>
          <w:sz w:val="16"/>
          <w:szCs w:val="16"/>
          <w:lang w:val="es-ES"/>
        </w:rPr>
        <w:footnoteRef/>
      </w:r>
      <w:r>
        <w:rPr>
          <w:rFonts w:ascii="Cambria" w:eastAsia="Cambria" w:hAnsi="Cambria" w:cs="Cambria"/>
          <w:sz w:val="16"/>
          <w:szCs w:val="16"/>
        </w:rPr>
        <w:t xml:space="preserve"> Annex 25. Mail from the Consular Department of the Foreign and Commonwealth Office of September 7, 2000. Annex 11 to the brief on observations. </w:t>
      </w:r>
    </w:p>
  </w:footnote>
  <w:footnote w:id="28">
    <w:p w14:paraId="22479246" w14:textId="1F49A4F9" w:rsidR="006373C8" w:rsidRPr="00E936C8" w:rsidRDefault="006373C8" w:rsidP="00D8110A">
      <w:pPr>
        <w:pStyle w:val="FootnoteText"/>
        <w:jc w:val="both"/>
        <w:rPr>
          <w:rFonts w:ascii="Cambria" w:hAnsi="Cambria"/>
          <w:color w:val="000000" w:themeColor="text1"/>
          <w:sz w:val="16"/>
          <w:szCs w:val="16"/>
        </w:rPr>
      </w:pPr>
      <w:r w:rsidRPr="0028728D">
        <w:rPr>
          <w:rStyle w:val="FootnoteReference"/>
          <w:rFonts w:ascii="Cambria" w:hAnsi="Cambria"/>
          <w:color w:val="000000" w:themeColor="text1"/>
          <w:sz w:val="16"/>
          <w:szCs w:val="16"/>
          <w:lang w:val="es-ES"/>
        </w:rPr>
        <w:footnoteRef/>
      </w:r>
      <w:r>
        <w:rPr>
          <w:rFonts w:ascii="Cambria" w:eastAsia="Cambria" w:hAnsi="Cambria" w:cs="Cambria"/>
          <w:sz w:val="16"/>
          <w:szCs w:val="16"/>
        </w:rPr>
        <w:t xml:space="preserve"> Annex 25. Mail from the Consular Department of the Foreign and Commonwealth Office of September 7, 2000. Annex 11 to the brief on observations. </w:t>
      </w:r>
    </w:p>
  </w:footnote>
  <w:footnote w:id="29">
    <w:p w14:paraId="2EC34D90" w14:textId="77777777" w:rsidR="006373C8" w:rsidRPr="00E936C8" w:rsidRDefault="006373C8" w:rsidP="00D8110A">
      <w:pPr>
        <w:pStyle w:val="FootnoteText"/>
        <w:jc w:val="both"/>
        <w:rPr>
          <w:rFonts w:ascii="Cambria" w:hAnsi="Cambria"/>
          <w:color w:val="000000" w:themeColor="text1"/>
          <w:sz w:val="16"/>
          <w:szCs w:val="16"/>
        </w:rPr>
      </w:pPr>
      <w:r w:rsidRPr="0028728D">
        <w:rPr>
          <w:rStyle w:val="FootnoteReference"/>
          <w:rFonts w:ascii="Cambria" w:hAnsi="Cambria"/>
          <w:color w:val="000000" w:themeColor="text1"/>
          <w:sz w:val="16"/>
          <w:szCs w:val="16"/>
          <w:lang w:val="es-ES"/>
        </w:rPr>
        <w:footnoteRef/>
      </w:r>
      <w:r>
        <w:rPr>
          <w:rFonts w:ascii="Cambria" w:eastAsia="Cambria" w:hAnsi="Cambria" w:cs="Cambria"/>
          <w:sz w:val="16"/>
          <w:szCs w:val="16"/>
        </w:rPr>
        <w:t xml:space="preserve"> Annex 5. Correspondence between the Langton family and Venezuelan authorities. Annex 5(c) to the petition.</w:t>
      </w:r>
    </w:p>
  </w:footnote>
  <w:footnote w:id="30">
    <w:p w14:paraId="158367C1" w14:textId="77777777" w:rsidR="006373C8" w:rsidRPr="00E936C8" w:rsidRDefault="006373C8" w:rsidP="00D8110A">
      <w:pPr>
        <w:pStyle w:val="FootnoteText"/>
        <w:jc w:val="both"/>
        <w:rPr>
          <w:rFonts w:ascii="Cambria" w:hAnsi="Cambria"/>
          <w:color w:val="000000" w:themeColor="text1"/>
          <w:sz w:val="16"/>
          <w:szCs w:val="16"/>
        </w:rPr>
      </w:pPr>
      <w:r w:rsidRPr="0028728D">
        <w:rPr>
          <w:rStyle w:val="FootnoteReference"/>
          <w:rFonts w:ascii="Cambria" w:hAnsi="Cambria"/>
          <w:color w:val="000000" w:themeColor="text1"/>
          <w:sz w:val="16"/>
          <w:szCs w:val="16"/>
          <w:lang w:val="es-ES"/>
        </w:rPr>
        <w:footnoteRef/>
      </w:r>
      <w:r>
        <w:rPr>
          <w:rFonts w:ascii="Cambria" w:eastAsia="Cambria" w:hAnsi="Cambria" w:cs="Cambria"/>
          <w:sz w:val="16"/>
          <w:szCs w:val="16"/>
        </w:rPr>
        <w:t xml:space="preserve"> Annex 5. Correspondence between the Langton family and Venezuelan authorities. Annex 5(c) to the petition.</w:t>
      </w:r>
    </w:p>
  </w:footnote>
  <w:footnote w:id="31">
    <w:p w14:paraId="6D3013CE" w14:textId="1E4FB3B6" w:rsidR="006373C8" w:rsidRPr="00E936C8" w:rsidRDefault="006373C8" w:rsidP="00D8110A">
      <w:pPr>
        <w:pStyle w:val="FootnoteText"/>
        <w:jc w:val="both"/>
        <w:rPr>
          <w:rFonts w:ascii="Cambria" w:hAnsi="Cambria"/>
          <w:color w:val="000000" w:themeColor="text1"/>
          <w:sz w:val="16"/>
          <w:szCs w:val="16"/>
        </w:rPr>
      </w:pPr>
      <w:r w:rsidRPr="0028728D">
        <w:rPr>
          <w:rStyle w:val="FootnoteReference"/>
          <w:rFonts w:ascii="Cambria" w:hAnsi="Cambria"/>
          <w:color w:val="000000" w:themeColor="text1"/>
          <w:sz w:val="16"/>
          <w:szCs w:val="16"/>
          <w:lang w:val="es-ES"/>
        </w:rPr>
        <w:footnoteRef/>
      </w:r>
      <w:r>
        <w:rPr>
          <w:rFonts w:ascii="Cambria" w:eastAsia="Cambria" w:hAnsi="Cambria" w:cs="Cambria"/>
          <w:sz w:val="16"/>
          <w:szCs w:val="16"/>
        </w:rPr>
        <w:t xml:space="preserve"> Annex 1. Judgement of the First Instance Court of Control No. 3, October 29, 2010. Annex 1 to the petition. </w:t>
      </w:r>
    </w:p>
  </w:footnote>
  <w:footnote w:id="32">
    <w:p w14:paraId="6874A49E" w14:textId="77777777" w:rsidR="006373C8" w:rsidRPr="00E936C8" w:rsidRDefault="006373C8" w:rsidP="00D8110A">
      <w:pPr>
        <w:pStyle w:val="FootnoteText"/>
        <w:jc w:val="both"/>
        <w:rPr>
          <w:rFonts w:ascii="Cambria" w:hAnsi="Cambria"/>
          <w:color w:val="000000" w:themeColor="text1"/>
          <w:sz w:val="16"/>
          <w:szCs w:val="16"/>
        </w:rPr>
      </w:pPr>
      <w:r w:rsidRPr="0028728D">
        <w:rPr>
          <w:rStyle w:val="FootnoteReference"/>
          <w:rFonts w:ascii="Cambria" w:hAnsi="Cambria"/>
          <w:color w:val="000000" w:themeColor="text1"/>
          <w:sz w:val="16"/>
          <w:szCs w:val="16"/>
          <w:lang w:val="es-ES"/>
        </w:rPr>
        <w:footnoteRef/>
      </w:r>
      <w:r>
        <w:rPr>
          <w:rFonts w:ascii="Cambria" w:eastAsia="Cambria" w:hAnsi="Cambria" w:cs="Cambria"/>
          <w:sz w:val="16"/>
          <w:szCs w:val="16"/>
        </w:rPr>
        <w:t xml:space="preserve"> Annex 4. Communication from the Consular Department of the Foreign and Commonwealth Office of the United Kingdom of July 12, 2002. Annex 4 to the petition.</w:t>
      </w:r>
    </w:p>
  </w:footnote>
  <w:footnote w:id="33">
    <w:p w14:paraId="5DDC390F" w14:textId="77777777" w:rsidR="006373C8" w:rsidRPr="00E936C8" w:rsidRDefault="006373C8" w:rsidP="00D8110A">
      <w:pPr>
        <w:pStyle w:val="FootnoteText"/>
        <w:jc w:val="both"/>
        <w:rPr>
          <w:rFonts w:ascii="Cambria" w:hAnsi="Cambria"/>
          <w:color w:val="000000" w:themeColor="text1"/>
          <w:sz w:val="16"/>
          <w:szCs w:val="16"/>
        </w:rPr>
      </w:pPr>
      <w:r w:rsidRPr="0028728D">
        <w:rPr>
          <w:rStyle w:val="FootnoteReference"/>
          <w:rFonts w:ascii="Cambria" w:hAnsi="Cambria"/>
          <w:color w:val="000000" w:themeColor="text1"/>
          <w:sz w:val="16"/>
          <w:szCs w:val="16"/>
          <w:lang w:val="es-ES"/>
        </w:rPr>
        <w:footnoteRef/>
      </w:r>
      <w:r>
        <w:rPr>
          <w:rFonts w:ascii="Cambria" w:eastAsia="Cambria" w:hAnsi="Cambria" w:cs="Cambria"/>
          <w:sz w:val="16"/>
          <w:szCs w:val="16"/>
        </w:rPr>
        <w:t xml:space="preserve"> Annex 4. Communication from the Consular Department of the Foreign and Commonwealth Office of the United Kingdom of July 12, 2002. Annex 4 to the petition.</w:t>
      </w:r>
    </w:p>
  </w:footnote>
  <w:footnote w:id="34">
    <w:p w14:paraId="6485D15C" w14:textId="77777777" w:rsidR="006373C8" w:rsidRPr="00E936C8" w:rsidRDefault="006373C8" w:rsidP="00D8110A">
      <w:pPr>
        <w:pStyle w:val="FootnoteText"/>
        <w:jc w:val="both"/>
        <w:rPr>
          <w:rFonts w:ascii="Cambria" w:hAnsi="Cambria"/>
          <w:color w:val="000000" w:themeColor="text1"/>
          <w:sz w:val="16"/>
          <w:szCs w:val="16"/>
        </w:rPr>
      </w:pPr>
      <w:r w:rsidRPr="0028728D">
        <w:rPr>
          <w:rStyle w:val="FootnoteReference"/>
          <w:rFonts w:ascii="Cambria" w:hAnsi="Cambria"/>
          <w:color w:val="000000" w:themeColor="text1"/>
          <w:sz w:val="16"/>
          <w:szCs w:val="16"/>
          <w:lang w:val="es-ES"/>
        </w:rPr>
        <w:footnoteRef/>
      </w:r>
      <w:r>
        <w:rPr>
          <w:rFonts w:ascii="Cambria" w:eastAsia="Cambria" w:hAnsi="Cambria" w:cs="Cambria"/>
          <w:sz w:val="16"/>
          <w:szCs w:val="16"/>
        </w:rPr>
        <w:t xml:space="preserve"> Annex 4. Communication from the Consular Department of the Foreign and Commonwealth Office of the United Kingdom of July 12, 2002. Annex 4 to the petition.</w:t>
      </w:r>
    </w:p>
  </w:footnote>
  <w:footnote w:id="35">
    <w:p w14:paraId="7CBD9940" w14:textId="7C60314B" w:rsidR="006373C8" w:rsidRPr="00E936C8" w:rsidRDefault="006373C8" w:rsidP="00D8110A">
      <w:pPr>
        <w:pStyle w:val="FootnoteText"/>
        <w:jc w:val="both"/>
        <w:rPr>
          <w:rFonts w:ascii="Cambria" w:hAnsi="Cambria"/>
          <w:color w:val="000000" w:themeColor="text1"/>
          <w:sz w:val="16"/>
          <w:szCs w:val="16"/>
        </w:rPr>
      </w:pPr>
      <w:r w:rsidRPr="0028728D">
        <w:rPr>
          <w:rStyle w:val="FootnoteReference"/>
          <w:rFonts w:ascii="Cambria" w:hAnsi="Cambria"/>
          <w:color w:val="000000" w:themeColor="text1"/>
          <w:sz w:val="16"/>
          <w:szCs w:val="16"/>
          <w:lang w:val="es-ES"/>
        </w:rPr>
        <w:footnoteRef/>
      </w:r>
      <w:r>
        <w:rPr>
          <w:rFonts w:ascii="Cambria" w:eastAsia="Cambria" w:hAnsi="Cambria" w:cs="Cambria"/>
          <w:sz w:val="16"/>
          <w:szCs w:val="16"/>
        </w:rPr>
        <w:t xml:space="preserve"> Annex 1. Judgement of the First Instance Court of Control No. 3, October 29, 2010. Annex 1 to the petition. </w:t>
      </w:r>
    </w:p>
  </w:footnote>
  <w:footnote w:id="36">
    <w:p w14:paraId="10AD1C7F" w14:textId="5F7E0111" w:rsidR="006373C8" w:rsidRPr="00E936C8" w:rsidRDefault="006373C8" w:rsidP="00D8110A">
      <w:pPr>
        <w:pStyle w:val="FootnoteText"/>
        <w:jc w:val="both"/>
        <w:rPr>
          <w:rFonts w:ascii="Cambria" w:hAnsi="Cambria"/>
          <w:color w:val="000000" w:themeColor="text1"/>
          <w:sz w:val="16"/>
          <w:szCs w:val="16"/>
        </w:rPr>
      </w:pPr>
      <w:r w:rsidRPr="0028728D">
        <w:rPr>
          <w:rStyle w:val="FootnoteReference"/>
          <w:rFonts w:ascii="Cambria" w:hAnsi="Cambria"/>
          <w:color w:val="000000" w:themeColor="text1"/>
          <w:sz w:val="16"/>
          <w:szCs w:val="16"/>
          <w:lang w:val="es-ES"/>
        </w:rPr>
        <w:footnoteRef/>
      </w:r>
      <w:r>
        <w:rPr>
          <w:rFonts w:ascii="Cambria" w:eastAsia="Cambria" w:hAnsi="Cambria" w:cs="Cambria"/>
          <w:sz w:val="16"/>
          <w:szCs w:val="16"/>
        </w:rPr>
        <w:t xml:space="preserve"> Annex 1. Judgement of the First Instance Court of Control No. 3, October 29, 2010. Annex 1 to the petition. </w:t>
      </w:r>
    </w:p>
  </w:footnote>
  <w:footnote w:id="37">
    <w:p w14:paraId="5C2AEB82" w14:textId="17C4A9D2" w:rsidR="006373C8" w:rsidRPr="00E936C8" w:rsidRDefault="006373C8" w:rsidP="00D8110A">
      <w:pPr>
        <w:pStyle w:val="FootnoteText"/>
        <w:jc w:val="both"/>
        <w:rPr>
          <w:rFonts w:ascii="Cambria" w:hAnsi="Cambria"/>
          <w:color w:val="000000" w:themeColor="text1"/>
          <w:sz w:val="16"/>
          <w:szCs w:val="16"/>
        </w:rPr>
      </w:pPr>
      <w:r w:rsidRPr="0028728D">
        <w:rPr>
          <w:rStyle w:val="FootnoteReference"/>
          <w:rFonts w:ascii="Cambria" w:hAnsi="Cambria"/>
          <w:color w:val="000000" w:themeColor="text1"/>
          <w:sz w:val="16"/>
          <w:szCs w:val="16"/>
          <w:lang w:val="es-ES"/>
        </w:rPr>
        <w:footnoteRef/>
      </w:r>
      <w:r>
        <w:rPr>
          <w:rFonts w:ascii="Cambria" w:eastAsia="Cambria" w:hAnsi="Cambria" w:cs="Cambria"/>
          <w:sz w:val="16"/>
          <w:szCs w:val="16"/>
        </w:rPr>
        <w:t xml:space="preserve"> Annex 1. Judgement of the First Instance Court of Control No. 3, October 29, 2010. Annex 1 to the petition. </w:t>
      </w:r>
    </w:p>
  </w:footnote>
  <w:footnote w:id="38">
    <w:p w14:paraId="7599BCFB" w14:textId="12DFF608" w:rsidR="006373C8" w:rsidRPr="00E936C8" w:rsidRDefault="006373C8" w:rsidP="00D8110A">
      <w:pPr>
        <w:pStyle w:val="FootnoteText"/>
        <w:jc w:val="both"/>
        <w:rPr>
          <w:rFonts w:ascii="Cambria" w:hAnsi="Cambria"/>
          <w:color w:val="000000" w:themeColor="text1"/>
          <w:sz w:val="16"/>
          <w:szCs w:val="16"/>
        </w:rPr>
      </w:pPr>
      <w:r w:rsidRPr="0028728D">
        <w:rPr>
          <w:rStyle w:val="FootnoteReference"/>
          <w:rFonts w:ascii="Cambria" w:hAnsi="Cambria"/>
          <w:color w:val="000000" w:themeColor="text1"/>
          <w:sz w:val="16"/>
          <w:szCs w:val="16"/>
          <w:lang w:val="es-ES"/>
        </w:rPr>
        <w:footnoteRef/>
      </w:r>
      <w:r>
        <w:rPr>
          <w:rFonts w:ascii="Cambria" w:eastAsia="Cambria" w:hAnsi="Cambria" w:cs="Cambria"/>
          <w:sz w:val="16"/>
          <w:szCs w:val="16"/>
        </w:rPr>
        <w:t xml:space="preserve"> Annex 1. Judgement of the First Instance Court of Control No. 3, October 29, 2010. Annex 1 to the petition. </w:t>
      </w:r>
    </w:p>
  </w:footnote>
  <w:footnote w:id="39">
    <w:p w14:paraId="25F3D276" w14:textId="094E2C64" w:rsidR="006373C8" w:rsidRPr="00E936C8" w:rsidRDefault="006373C8" w:rsidP="00D8110A">
      <w:pPr>
        <w:pStyle w:val="FootnoteText"/>
        <w:jc w:val="both"/>
        <w:rPr>
          <w:rFonts w:ascii="Cambria" w:hAnsi="Cambria"/>
          <w:color w:val="000000" w:themeColor="text1"/>
          <w:sz w:val="16"/>
          <w:szCs w:val="16"/>
        </w:rPr>
      </w:pPr>
      <w:r w:rsidRPr="0028728D">
        <w:rPr>
          <w:rStyle w:val="FootnoteReference"/>
          <w:rFonts w:ascii="Cambria" w:hAnsi="Cambria"/>
          <w:color w:val="000000" w:themeColor="text1"/>
          <w:sz w:val="16"/>
          <w:szCs w:val="16"/>
          <w:lang w:val="es-ES"/>
        </w:rPr>
        <w:footnoteRef/>
      </w:r>
      <w:r>
        <w:rPr>
          <w:rFonts w:ascii="Cambria" w:eastAsia="Cambria" w:hAnsi="Cambria" w:cs="Cambria"/>
          <w:sz w:val="16"/>
          <w:szCs w:val="16"/>
        </w:rPr>
        <w:t xml:space="preserve"> Annex 1. Judgement of the First Instance Court of Control No. 3, October 29, 2010. Annex 1 to the petition. </w:t>
      </w:r>
    </w:p>
  </w:footnote>
  <w:footnote w:id="40">
    <w:p w14:paraId="15DDB44A" w14:textId="4CA51E79" w:rsidR="006373C8" w:rsidRPr="00E936C8" w:rsidRDefault="006373C8" w:rsidP="00D8110A">
      <w:pPr>
        <w:pStyle w:val="FootnoteText"/>
        <w:jc w:val="both"/>
        <w:rPr>
          <w:rFonts w:ascii="Cambria" w:hAnsi="Cambria"/>
          <w:color w:val="000000" w:themeColor="text1"/>
          <w:sz w:val="16"/>
          <w:szCs w:val="16"/>
        </w:rPr>
      </w:pPr>
      <w:r w:rsidRPr="0028728D">
        <w:rPr>
          <w:rStyle w:val="FootnoteReference"/>
          <w:rFonts w:ascii="Cambria" w:hAnsi="Cambria"/>
          <w:color w:val="000000" w:themeColor="text1"/>
          <w:sz w:val="16"/>
          <w:szCs w:val="16"/>
          <w:lang w:val="es-ES"/>
        </w:rPr>
        <w:footnoteRef/>
      </w:r>
      <w:r>
        <w:rPr>
          <w:rFonts w:ascii="Cambria" w:eastAsia="Cambria" w:hAnsi="Cambria" w:cs="Cambria"/>
          <w:sz w:val="16"/>
          <w:szCs w:val="16"/>
        </w:rPr>
        <w:t xml:space="preserve"> Annex 1. Judgement of the First Instance Court of Control No. 3, October 29, 2010. Annex 1 to the petition. </w:t>
      </w:r>
    </w:p>
  </w:footnote>
  <w:footnote w:id="41">
    <w:p w14:paraId="755A2FEE" w14:textId="77777777" w:rsidR="006373C8" w:rsidRPr="00E936C8" w:rsidRDefault="006373C8" w:rsidP="00D8110A">
      <w:pPr>
        <w:pStyle w:val="FootnoteText"/>
        <w:jc w:val="both"/>
        <w:rPr>
          <w:rFonts w:ascii="Cambria" w:hAnsi="Cambria"/>
          <w:color w:val="000000" w:themeColor="text1"/>
          <w:sz w:val="16"/>
          <w:szCs w:val="16"/>
        </w:rPr>
      </w:pPr>
      <w:r w:rsidRPr="0028728D">
        <w:rPr>
          <w:rStyle w:val="FootnoteReference"/>
          <w:rFonts w:ascii="Cambria" w:hAnsi="Cambria"/>
          <w:color w:val="000000" w:themeColor="text1"/>
          <w:sz w:val="16"/>
          <w:szCs w:val="16"/>
          <w:lang w:val="es-ES"/>
        </w:rPr>
        <w:footnoteRef/>
      </w:r>
      <w:r>
        <w:rPr>
          <w:rFonts w:ascii="Cambria" w:eastAsia="Cambria" w:hAnsi="Cambria" w:cs="Cambria"/>
          <w:sz w:val="16"/>
          <w:szCs w:val="16"/>
        </w:rPr>
        <w:t xml:space="preserve"> Annex 5. Correspondence between the Langton family and Venezuelan authorities. Annex 5(c) to the petition.</w:t>
      </w:r>
    </w:p>
  </w:footnote>
  <w:footnote w:id="42">
    <w:p w14:paraId="1FEDAE61" w14:textId="2C63ABAE" w:rsidR="006373C8" w:rsidRPr="00E936C8" w:rsidRDefault="006373C8" w:rsidP="00D8110A">
      <w:pPr>
        <w:pStyle w:val="FootnoteText"/>
        <w:jc w:val="both"/>
        <w:rPr>
          <w:rFonts w:ascii="Cambria" w:hAnsi="Cambria"/>
          <w:color w:val="000000" w:themeColor="text1"/>
          <w:sz w:val="16"/>
          <w:szCs w:val="16"/>
        </w:rPr>
      </w:pPr>
      <w:r w:rsidRPr="0028728D">
        <w:rPr>
          <w:rStyle w:val="FootnoteReference"/>
          <w:rFonts w:ascii="Cambria" w:hAnsi="Cambria"/>
          <w:color w:val="000000" w:themeColor="text1"/>
          <w:sz w:val="16"/>
          <w:szCs w:val="16"/>
          <w:lang w:val="es-ES"/>
        </w:rPr>
        <w:footnoteRef/>
      </w:r>
      <w:r>
        <w:rPr>
          <w:rFonts w:ascii="Cambria" w:eastAsia="Cambria" w:hAnsi="Cambria" w:cs="Cambria"/>
          <w:sz w:val="16"/>
          <w:szCs w:val="16"/>
        </w:rPr>
        <w:t xml:space="preserve"> Annex 1. Judgement of the First Instance Court of Control No. 3, October 29, 2010. Annex 1 to the petition. </w:t>
      </w:r>
    </w:p>
  </w:footnote>
  <w:footnote w:id="43">
    <w:p w14:paraId="7C478EE2" w14:textId="1B423528" w:rsidR="006373C8" w:rsidRPr="00E936C8" w:rsidRDefault="006373C8" w:rsidP="00D8110A">
      <w:pPr>
        <w:pStyle w:val="FootnoteText"/>
        <w:jc w:val="both"/>
        <w:rPr>
          <w:rFonts w:ascii="Cambria" w:hAnsi="Cambria"/>
          <w:color w:val="000000" w:themeColor="text1"/>
          <w:sz w:val="16"/>
          <w:szCs w:val="16"/>
        </w:rPr>
      </w:pPr>
      <w:r w:rsidRPr="0028728D">
        <w:rPr>
          <w:rStyle w:val="FootnoteReference"/>
          <w:rFonts w:ascii="Cambria" w:hAnsi="Cambria"/>
          <w:color w:val="000000" w:themeColor="text1"/>
          <w:sz w:val="16"/>
          <w:szCs w:val="16"/>
          <w:lang w:val="es-ES"/>
        </w:rPr>
        <w:footnoteRef/>
      </w:r>
      <w:r>
        <w:rPr>
          <w:rFonts w:ascii="Cambria" w:eastAsia="Cambria" w:hAnsi="Cambria" w:cs="Cambria"/>
          <w:sz w:val="16"/>
          <w:szCs w:val="16"/>
        </w:rPr>
        <w:t xml:space="preserve"> Annex 1. Judgement of the First Instance Court of Control No. 3, October 29, 2010. Annex 1 to the petition. </w:t>
      </w:r>
    </w:p>
  </w:footnote>
  <w:footnote w:id="44">
    <w:p w14:paraId="60417786" w14:textId="367C5D6D" w:rsidR="006373C8" w:rsidRPr="00E936C8" w:rsidRDefault="006373C8" w:rsidP="00D8110A">
      <w:pPr>
        <w:pStyle w:val="FootnoteText"/>
        <w:jc w:val="both"/>
        <w:rPr>
          <w:rFonts w:ascii="Cambria" w:hAnsi="Cambria"/>
          <w:color w:val="000000" w:themeColor="text1"/>
          <w:sz w:val="16"/>
          <w:szCs w:val="16"/>
        </w:rPr>
      </w:pPr>
      <w:r w:rsidRPr="0028728D">
        <w:rPr>
          <w:rStyle w:val="FootnoteReference"/>
          <w:rFonts w:ascii="Cambria" w:hAnsi="Cambria"/>
          <w:color w:val="000000" w:themeColor="text1"/>
          <w:sz w:val="16"/>
          <w:szCs w:val="16"/>
          <w:lang w:val="es-ES"/>
        </w:rPr>
        <w:footnoteRef/>
      </w:r>
      <w:r>
        <w:rPr>
          <w:rFonts w:ascii="Cambria" w:eastAsia="Cambria" w:hAnsi="Cambria" w:cs="Cambria"/>
          <w:sz w:val="16"/>
          <w:szCs w:val="16"/>
        </w:rPr>
        <w:t xml:space="preserve"> Annex 2. Briefing note issued by the General Directorate of Custody and Rehabilitation of Inmates and filed to the Vice Minister of Citizen Security on March 11, 2001. Annex 2 to the petition. </w:t>
      </w:r>
    </w:p>
  </w:footnote>
  <w:footnote w:id="45">
    <w:p w14:paraId="4A934099" w14:textId="5045BB12" w:rsidR="006373C8" w:rsidRPr="00E936C8" w:rsidRDefault="006373C8" w:rsidP="00D8110A">
      <w:pPr>
        <w:pStyle w:val="FootnoteText"/>
        <w:jc w:val="both"/>
        <w:rPr>
          <w:rFonts w:ascii="Cambria" w:hAnsi="Cambria"/>
          <w:color w:val="000000" w:themeColor="text1"/>
          <w:sz w:val="16"/>
          <w:szCs w:val="16"/>
        </w:rPr>
      </w:pPr>
      <w:r w:rsidRPr="0028728D">
        <w:rPr>
          <w:rStyle w:val="FootnoteReference"/>
          <w:rFonts w:ascii="Cambria" w:hAnsi="Cambria"/>
          <w:color w:val="000000" w:themeColor="text1"/>
          <w:sz w:val="16"/>
          <w:szCs w:val="16"/>
          <w:lang w:val="es-ES"/>
        </w:rPr>
        <w:footnoteRef/>
      </w:r>
      <w:r>
        <w:rPr>
          <w:rFonts w:ascii="Cambria" w:eastAsia="Cambria" w:hAnsi="Cambria" w:cs="Cambria"/>
          <w:sz w:val="16"/>
          <w:szCs w:val="16"/>
        </w:rPr>
        <w:t xml:space="preserve"> Annex 3. Terry Langton’s statements of March 15, 2001, and March 21, 2001. Annex 3 to the petition.</w:t>
      </w:r>
    </w:p>
  </w:footnote>
  <w:footnote w:id="46">
    <w:p w14:paraId="0E21FD29" w14:textId="5730CB4F" w:rsidR="006373C8" w:rsidRPr="00E936C8" w:rsidRDefault="006373C8" w:rsidP="00D8110A">
      <w:pPr>
        <w:pStyle w:val="FootnoteText"/>
        <w:jc w:val="both"/>
        <w:rPr>
          <w:rFonts w:ascii="Cambria" w:hAnsi="Cambria"/>
          <w:color w:val="000000" w:themeColor="text1"/>
          <w:sz w:val="16"/>
          <w:szCs w:val="16"/>
        </w:rPr>
      </w:pPr>
      <w:r w:rsidRPr="0028728D">
        <w:rPr>
          <w:rStyle w:val="FootnoteReference"/>
          <w:rFonts w:ascii="Cambria" w:hAnsi="Cambria"/>
          <w:color w:val="000000" w:themeColor="text1"/>
          <w:sz w:val="16"/>
          <w:szCs w:val="16"/>
          <w:lang w:val="es-ES"/>
        </w:rPr>
        <w:footnoteRef/>
      </w:r>
      <w:r>
        <w:rPr>
          <w:rFonts w:ascii="Cambria" w:eastAsia="Cambria" w:hAnsi="Cambria" w:cs="Cambria"/>
          <w:sz w:val="16"/>
          <w:szCs w:val="16"/>
        </w:rPr>
        <w:t xml:space="preserve"> Annex 1. Judgement of the First Instance Court of Control No. 3, October 29, 2010. Annex 1 to the petition; Annex 3. Terry Langton’s statements of March 15, 2001, and March 21, 2001. Annex 3 to the petition.</w:t>
      </w:r>
    </w:p>
  </w:footnote>
  <w:footnote w:id="47">
    <w:p w14:paraId="48F9BDA0" w14:textId="77777777" w:rsidR="006373C8" w:rsidRPr="00E936C8" w:rsidRDefault="006373C8" w:rsidP="00D8110A">
      <w:pPr>
        <w:pStyle w:val="FootnoteText"/>
        <w:jc w:val="both"/>
        <w:rPr>
          <w:rFonts w:ascii="Cambria" w:hAnsi="Cambria"/>
          <w:color w:val="000000" w:themeColor="text1"/>
          <w:sz w:val="16"/>
          <w:szCs w:val="16"/>
        </w:rPr>
      </w:pPr>
      <w:r w:rsidRPr="0028728D">
        <w:rPr>
          <w:rStyle w:val="FootnoteReference"/>
          <w:rFonts w:ascii="Cambria" w:hAnsi="Cambria"/>
          <w:color w:val="000000" w:themeColor="text1"/>
          <w:sz w:val="16"/>
          <w:szCs w:val="16"/>
          <w:lang w:val="es-ES"/>
        </w:rPr>
        <w:footnoteRef/>
      </w:r>
      <w:r>
        <w:rPr>
          <w:rFonts w:ascii="Cambria" w:eastAsia="Cambria" w:hAnsi="Cambria" w:cs="Cambria"/>
          <w:sz w:val="16"/>
          <w:szCs w:val="16"/>
        </w:rPr>
        <w:t xml:space="preserve"> Annex 5. Correspondence between the Langton family and Venezuelan authorities. Annex 5(c) to the petition.</w:t>
      </w:r>
    </w:p>
  </w:footnote>
  <w:footnote w:id="48">
    <w:p w14:paraId="2FEC71A7" w14:textId="77777777" w:rsidR="006373C8" w:rsidRPr="00E936C8" w:rsidRDefault="006373C8" w:rsidP="00D8110A">
      <w:pPr>
        <w:pStyle w:val="FootnoteText"/>
        <w:jc w:val="both"/>
        <w:rPr>
          <w:rFonts w:ascii="Cambria" w:hAnsi="Cambria"/>
          <w:color w:val="000000" w:themeColor="text1"/>
          <w:sz w:val="16"/>
          <w:szCs w:val="16"/>
        </w:rPr>
      </w:pPr>
      <w:r w:rsidRPr="0028728D">
        <w:rPr>
          <w:rStyle w:val="FootnoteReference"/>
          <w:rFonts w:ascii="Cambria" w:hAnsi="Cambria"/>
          <w:color w:val="000000" w:themeColor="text1"/>
          <w:sz w:val="16"/>
          <w:szCs w:val="16"/>
          <w:lang w:val="es-ES"/>
        </w:rPr>
        <w:footnoteRef/>
      </w:r>
      <w:r>
        <w:rPr>
          <w:rFonts w:ascii="Cambria" w:eastAsia="Cambria" w:hAnsi="Cambria" w:cs="Cambria"/>
          <w:sz w:val="16"/>
          <w:szCs w:val="16"/>
        </w:rPr>
        <w:t xml:space="preserve"> Annex 5. Correspondence between the Langton family and Venezuelan authorities. Annex 5(c) to the petition; Annex 17. Death certificate of Sarah Lyn Langton. Annex 19 to the brief on observations. </w:t>
      </w:r>
    </w:p>
  </w:footnote>
  <w:footnote w:id="49">
    <w:p w14:paraId="1CD0D4EF" w14:textId="77777777" w:rsidR="006373C8" w:rsidRPr="00E936C8" w:rsidRDefault="006373C8" w:rsidP="00D8110A">
      <w:pPr>
        <w:pStyle w:val="FootnoteText"/>
        <w:jc w:val="both"/>
        <w:rPr>
          <w:rFonts w:ascii="Cambria" w:hAnsi="Cambria"/>
          <w:color w:val="000000" w:themeColor="text1"/>
          <w:sz w:val="16"/>
          <w:szCs w:val="16"/>
        </w:rPr>
      </w:pPr>
      <w:r w:rsidRPr="0028728D">
        <w:rPr>
          <w:rStyle w:val="FootnoteReference"/>
          <w:rFonts w:ascii="Cambria" w:hAnsi="Cambria"/>
          <w:color w:val="000000" w:themeColor="text1"/>
          <w:sz w:val="16"/>
          <w:szCs w:val="16"/>
          <w:lang w:val="es-ES"/>
        </w:rPr>
        <w:footnoteRef/>
      </w:r>
      <w:r>
        <w:rPr>
          <w:rFonts w:ascii="Cambria" w:eastAsia="Cambria" w:hAnsi="Cambria" w:cs="Cambria"/>
          <w:sz w:val="16"/>
          <w:szCs w:val="16"/>
        </w:rPr>
        <w:t xml:space="preserve"> Annex 18. Autopsy No. 97900 of Sarah Lyn Langton, April 20, 2001. Annex 21 to the brief on observations. </w:t>
      </w:r>
    </w:p>
  </w:footnote>
  <w:footnote w:id="50">
    <w:p w14:paraId="12859052" w14:textId="65342080" w:rsidR="006373C8" w:rsidRPr="00E936C8" w:rsidRDefault="006373C8" w:rsidP="00D8110A">
      <w:pPr>
        <w:pStyle w:val="FootnoteText"/>
        <w:jc w:val="both"/>
        <w:rPr>
          <w:rFonts w:ascii="Cambria" w:hAnsi="Cambria"/>
          <w:color w:val="000000" w:themeColor="text1"/>
          <w:sz w:val="16"/>
          <w:szCs w:val="16"/>
        </w:rPr>
      </w:pPr>
      <w:r w:rsidRPr="0028728D">
        <w:rPr>
          <w:rStyle w:val="FootnoteReference"/>
          <w:rFonts w:ascii="Cambria" w:hAnsi="Cambria"/>
          <w:color w:val="000000" w:themeColor="text1"/>
          <w:sz w:val="16"/>
          <w:szCs w:val="16"/>
          <w:lang w:val="es-ES"/>
        </w:rPr>
        <w:footnoteRef/>
      </w:r>
      <w:r>
        <w:rPr>
          <w:rFonts w:ascii="Cambria" w:eastAsia="Cambria" w:hAnsi="Cambria" w:cs="Cambria"/>
          <w:sz w:val="16"/>
          <w:szCs w:val="16"/>
        </w:rPr>
        <w:t xml:space="preserve"> Annex 14. Mail from Sharon Campbell, staff member of the British Embassy in Venezuela, of March 9, 2001. Annex 16 to the brief on observations; Annex 3. Terry Langton’s statements of March 15, 2001, and March 21, 2001. Annex 3 to the petition.</w:t>
      </w:r>
    </w:p>
  </w:footnote>
  <w:footnote w:id="51">
    <w:p w14:paraId="28FE55CF" w14:textId="26CFFE8F" w:rsidR="006373C8" w:rsidRPr="00E936C8" w:rsidRDefault="006373C8" w:rsidP="00D8110A">
      <w:pPr>
        <w:pStyle w:val="FootnoteText"/>
        <w:jc w:val="both"/>
        <w:rPr>
          <w:rFonts w:ascii="Cambria" w:hAnsi="Cambria"/>
          <w:color w:val="000000" w:themeColor="text1"/>
          <w:sz w:val="16"/>
          <w:szCs w:val="16"/>
        </w:rPr>
      </w:pPr>
      <w:r w:rsidRPr="0028728D">
        <w:rPr>
          <w:rStyle w:val="FootnoteReference"/>
          <w:rFonts w:ascii="Cambria" w:hAnsi="Cambria"/>
          <w:color w:val="000000" w:themeColor="text1"/>
          <w:sz w:val="16"/>
          <w:szCs w:val="16"/>
          <w:lang w:val="es-ES"/>
        </w:rPr>
        <w:footnoteRef/>
      </w:r>
      <w:r>
        <w:rPr>
          <w:rFonts w:ascii="Cambria" w:eastAsia="Cambria" w:hAnsi="Cambria" w:cs="Cambria"/>
          <w:sz w:val="16"/>
          <w:szCs w:val="16"/>
        </w:rPr>
        <w:t xml:space="preserve"> Annex 3. Terry Langton’s statements of March 15, 2001, and March 21, 2001. Annex 3 to the petition.</w:t>
      </w:r>
    </w:p>
  </w:footnote>
  <w:footnote w:id="52">
    <w:p w14:paraId="402EACA2" w14:textId="77777777" w:rsidR="006373C8" w:rsidRPr="00E936C8" w:rsidRDefault="006373C8" w:rsidP="00D8110A">
      <w:pPr>
        <w:pStyle w:val="FootnoteText"/>
        <w:jc w:val="both"/>
        <w:rPr>
          <w:rFonts w:ascii="Cambria" w:hAnsi="Cambria"/>
          <w:color w:val="000000" w:themeColor="text1"/>
          <w:sz w:val="16"/>
          <w:szCs w:val="16"/>
        </w:rPr>
      </w:pPr>
      <w:r w:rsidRPr="0028728D">
        <w:rPr>
          <w:rStyle w:val="FootnoteReference"/>
          <w:rFonts w:ascii="Cambria" w:hAnsi="Cambria"/>
          <w:color w:val="000000" w:themeColor="text1"/>
          <w:sz w:val="16"/>
          <w:szCs w:val="16"/>
          <w:lang w:val="es-ES"/>
        </w:rPr>
        <w:footnoteRef/>
      </w:r>
      <w:r>
        <w:rPr>
          <w:rFonts w:ascii="Cambria" w:eastAsia="Cambria" w:hAnsi="Cambria" w:cs="Cambria"/>
          <w:sz w:val="16"/>
          <w:szCs w:val="16"/>
        </w:rPr>
        <w:t xml:space="preserve"> Annex 23. Written statement by Terry Langton and Lyn Langton of April 30, 2020. Annex 25 to the brief on observations.</w:t>
      </w:r>
    </w:p>
  </w:footnote>
  <w:footnote w:id="53">
    <w:p w14:paraId="59A192CC" w14:textId="413F9D8E" w:rsidR="006373C8" w:rsidRPr="00E936C8" w:rsidRDefault="006373C8" w:rsidP="00D8110A">
      <w:pPr>
        <w:pStyle w:val="FootnoteText"/>
        <w:jc w:val="both"/>
        <w:rPr>
          <w:rFonts w:ascii="Cambria" w:hAnsi="Cambria"/>
          <w:color w:val="000000" w:themeColor="text1"/>
          <w:sz w:val="16"/>
          <w:szCs w:val="16"/>
        </w:rPr>
      </w:pPr>
      <w:r w:rsidRPr="0028728D">
        <w:rPr>
          <w:rStyle w:val="FootnoteReference"/>
          <w:rFonts w:ascii="Cambria" w:hAnsi="Cambria"/>
          <w:color w:val="000000" w:themeColor="text1"/>
          <w:sz w:val="16"/>
          <w:szCs w:val="16"/>
          <w:lang w:val="es-ES"/>
        </w:rPr>
        <w:footnoteRef/>
      </w:r>
      <w:r>
        <w:rPr>
          <w:rFonts w:ascii="Cambria" w:eastAsia="Cambria" w:hAnsi="Cambria" w:cs="Cambria"/>
          <w:sz w:val="16"/>
          <w:szCs w:val="16"/>
        </w:rPr>
        <w:t xml:space="preserve"> Annex 5. Correspondence between the Langton family and Venezuelan authorities. Annex 5(c) to the petition. </w:t>
      </w:r>
    </w:p>
  </w:footnote>
  <w:footnote w:id="54">
    <w:p w14:paraId="2689950C" w14:textId="5B80F210" w:rsidR="006373C8" w:rsidRPr="00E936C8" w:rsidRDefault="006373C8" w:rsidP="00D8110A">
      <w:pPr>
        <w:pStyle w:val="FootnoteText"/>
        <w:jc w:val="both"/>
        <w:rPr>
          <w:rFonts w:ascii="Cambria" w:hAnsi="Cambria"/>
          <w:color w:val="000000" w:themeColor="text1"/>
          <w:sz w:val="16"/>
          <w:szCs w:val="16"/>
        </w:rPr>
      </w:pPr>
      <w:r w:rsidRPr="0028728D">
        <w:rPr>
          <w:rStyle w:val="FootnoteReference"/>
          <w:rFonts w:ascii="Cambria" w:hAnsi="Cambria"/>
          <w:color w:val="000000" w:themeColor="text1"/>
          <w:sz w:val="16"/>
          <w:szCs w:val="16"/>
          <w:lang w:val="es-ES"/>
        </w:rPr>
        <w:footnoteRef/>
      </w:r>
      <w:r>
        <w:rPr>
          <w:rFonts w:ascii="Cambria" w:eastAsia="Cambria" w:hAnsi="Cambria" w:cs="Cambria"/>
          <w:sz w:val="16"/>
          <w:szCs w:val="16"/>
        </w:rPr>
        <w:t xml:space="preserve"> Annex 1. </w:t>
      </w:r>
      <w:r w:rsidRPr="00A623AB">
        <w:rPr>
          <w:rFonts w:ascii="Cambria" w:eastAsia="Cambria" w:hAnsi="Cambria" w:cs="Cambria"/>
          <w:sz w:val="16"/>
          <w:szCs w:val="16"/>
        </w:rPr>
        <w:t>Judgement of the First Instance Court of Control No. 3</w:t>
      </w:r>
      <w:r>
        <w:rPr>
          <w:rFonts w:ascii="Cambria" w:eastAsia="Cambria" w:hAnsi="Cambria" w:cs="Cambria"/>
          <w:sz w:val="16"/>
          <w:szCs w:val="16"/>
        </w:rPr>
        <w:t xml:space="preserve">, October 29, 2010. Annex 1 to the petition; Annex 5. Correspondence between the Langton family and Venezuelan authorities. Annex 5(c) to the petition. </w:t>
      </w:r>
    </w:p>
  </w:footnote>
  <w:footnote w:id="55">
    <w:p w14:paraId="0727A748" w14:textId="77777777" w:rsidR="006373C8" w:rsidRPr="00E936C8" w:rsidRDefault="006373C8" w:rsidP="00D8110A">
      <w:pPr>
        <w:pStyle w:val="FootnoteText"/>
        <w:jc w:val="both"/>
        <w:rPr>
          <w:rFonts w:ascii="Cambria" w:hAnsi="Cambria"/>
          <w:color w:val="000000" w:themeColor="text1"/>
          <w:sz w:val="16"/>
          <w:szCs w:val="16"/>
        </w:rPr>
      </w:pPr>
      <w:r w:rsidRPr="0028728D">
        <w:rPr>
          <w:rStyle w:val="FootnoteReference"/>
          <w:rFonts w:ascii="Cambria" w:hAnsi="Cambria"/>
          <w:color w:val="000000" w:themeColor="text1"/>
          <w:sz w:val="16"/>
          <w:szCs w:val="16"/>
          <w:lang w:val="es-ES"/>
        </w:rPr>
        <w:footnoteRef/>
      </w:r>
      <w:r>
        <w:rPr>
          <w:rFonts w:ascii="Cambria" w:eastAsia="Cambria" w:hAnsi="Cambria" w:cs="Cambria"/>
          <w:sz w:val="16"/>
          <w:szCs w:val="16"/>
        </w:rPr>
        <w:t xml:space="preserve"> Annex 5. Correspondence between the Langton family and Venezuelan authorities. Annex 5(c) to the petition.</w:t>
      </w:r>
    </w:p>
  </w:footnote>
  <w:footnote w:id="56">
    <w:p w14:paraId="1749384B" w14:textId="4DA0E9F1" w:rsidR="006373C8" w:rsidRPr="00E936C8" w:rsidRDefault="006373C8" w:rsidP="00D8110A">
      <w:pPr>
        <w:pStyle w:val="FootnoteText"/>
        <w:jc w:val="both"/>
        <w:rPr>
          <w:rFonts w:ascii="Cambria" w:hAnsi="Cambria"/>
          <w:color w:val="000000" w:themeColor="text1"/>
          <w:sz w:val="16"/>
          <w:szCs w:val="16"/>
        </w:rPr>
      </w:pPr>
      <w:r w:rsidRPr="0028728D">
        <w:rPr>
          <w:rStyle w:val="FootnoteReference"/>
          <w:rFonts w:ascii="Cambria" w:hAnsi="Cambria"/>
          <w:color w:val="000000" w:themeColor="text1"/>
          <w:sz w:val="16"/>
          <w:szCs w:val="16"/>
          <w:lang w:val="es-ES"/>
        </w:rPr>
        <w:footnoteRef/>
      </w:r>
      <w:r>
        <w:rPr>
          <w:rFonts w:ascii="Cambria" w:eastAsia="Cambria" w:hAnsi="Cambria" w:cs="Cambria"/>
          <w:sz w:val="16"/>
          <w:szCs w:val="16"/>
        </w:rPr>
        <w:t xml:space="preserve"> Annex 5. Correspondence between the Langton family and Venezuelan authorities. Annex 5(c) to the petition. </w:t>
      </w:r>
    </w:p>
  </w:footnote>
  <w:footnote w:id="57">
    <w:p w14:paraId="6F01657E" w14:textId="38C8D9C2" w:rsidR="006373C8" w:rsidRPr="00E936C8" w:rsidRDefault="006373C8" w:rsidP="00D8110A">
      <w:pPr>
        <w:pStyle w:val="FootnoteText"/>
        <w:jc w:val="both"/>
        <w:rPr>
          <w:rFonts w:ascii="Cambria" w:hAnsi="Cambria"/>
          <w:color w:val="000000" w:themeColor="text1"/>
          <w:sz w:val="16"/>
          <w:szCs w:val="16"/>
        </w:rPr>
      </w:pPr>
      <w:r w:rsidRPr="0028728D">
        <w:rPr>
          <w:rStyle w:val="FootnoteReference"/>
          <w:rFonts w:ascii="Cambria" w:hAnsi="Cambria"/>
          <w:color w:val="000000" w:themeColor="text1"/>
          <w:sz w:val="16"/>
          <w:szCs w:val="16"/>
          <w:lang w:val="es-ES"/>
        </w:rPr>
        <w:footnoteRef/>
      </w:r>
      <w:r>
        <w:rPr>
          <w:rFonts w:ascii="Cambria" w:eastAsia="Cambria" w:hAnsi="Cambria" w:cs="Cambria"/>
          <w:sz w:val="16"/>
          <w:szCs w:val="16"/>
        </w:rPr>
        <w:t xml:space="preserve"> Annex 1. </w:t>
      </w:r>
      <w:r w:rsidRPr="00A623AB">
        <w:rPr>
          <w:rFonts w:ascii="Cambria" w:eastAsia="Cambria" w:hAnsi="Cambria" w:cs="Cambria"/>
          <w:sz w:val="16"/>
          <w:szCs w:val="16"/>
        </w:rPr>
        <w:t>Judgement of the First Instance Court of Control No. 3</w:t>
      </w:r>
      <w:r>
        <w:rPr>
          <w:rFonts w:ascii="Cambria" w:eastAsia="Cambria" w:hAnsi="Cambria" w:cs="Cambria"/>
          <w:sz w:val="16"/>
          <w:szCs w:val="16"/>
        </w:rPr>
        <w:t xml:space="preserve">, October 29, 2010. Annex 1 to the petition. </w:t>
      </w:r>
    </w:p>
  </w:footnote>
  <w:footnote w:id="58">
    <w:p w14:paraId="239F8138" w14:textId="56338247" w:rsidR="006373C8" w:rsidRPr="00E936C8" w:rsidRDefault="006373C8" w:rsidP="00D8110A">
      <w:pPr>
        <w:pStyle w:val="FootnoteText"/>
        <w:jc w:val="both"/>
        <w:rPr>
          <w:rFonts w:ascii="Cambria" w:hAnsi="Cambria"/>
          <w:color w:val="000000" w:themeColor="text1"/>
          <w:sz w:val="16"/>
          <w:szCs w:val="16"/>
        </w:rPr>
      </w:pPr>
      <w:r w:rsidRPr="0028728D">
        <w:rPr>
          <w:rStyle w:val="FootnoteReference"/>
          <w:rFonts w:ascii="Cambria" w:hAnsi="Cambria"/>
          <w:color w:val="000000" w:themeColor="text1"/>
          <w:sz w:val="16"/>
          <w:szCs w:val="16"/>
          <w:lang w:val="es-ES"/>
        </w:rPr>
        <w:footnoteRef/>
      </w:r>
      <w:r>
        <w:rPr>
          <w:rFonts w:ascii="Cambria" w:eastAsia="Cambria" w:hAnsi="Cambria" w:cs="Cambria"/>
          <w:sz w:val="16"/>
          <w:szCs w:val="16"/>
        </w:rPr>
        <w:t xml:space="preserve"> Annex 5. Correspondence between the Langton family and Venezuelan authorities. Annex 5(c) to the petition. </w:t>
      </w:r>
    </w:p>
  </w:footnote>
  <w:footnote w:id="59">
    <w:p w14:paraId="392D114B" w14:textId="69DDEE2A" w:rsidR="006373C8" w:rsidRPr="00E936C8" w:rsidRDefault="006373C8" w:rsidP="00D8110A">
      <w:pPr>
        <w:pStyle w:val="FootnoteText"/>
        <w:jc w:val="both"/>
        <w:rPr>
          <w:rFonts w:ascii="Cambria" w:hAnsi="Cambria"/>
          <w:color w:val="000000" w:themeColor="text1"/>
          <w:sz w:val="16"/>
          <w:szCs w:val="16"/>
        </w:rPr>
      </w:pPr>
      <w:r w:rsidRPr="0028728D">
        <w:rPr>
          <w:rStyle w:val="FootnoteReference"/>
          <w:rFonts w:ascii="Cambria" w:hAnsi="Cambria"/>
          <w:color w:val="000000" w:themeColor="text1"/>
          <w:sz w:val="16"/>
          <w:szCs w:val="16"/>
          <w:lang w:val="es-ES"/>
        </w:rPr>
        <w:footnoteRef/>
      </w:r>
      <w:r>
        <w:rPr>
          <w:rFonts w:ascii="Cambria" w:eastAsia="Cambria" w:hAnsi="Cambria" w:cs="Cambria"/>
          <w:sz w:val="16"/>
          <w:szCs w:val="16"/>
        </w:rPr>
        <w:t xml:space="preserve"> Annex 1. </w:t>
      </w:r>
      <w:r w:rsidRPr="00A623AB">
        <w:rPr>
          <w:rFonts w:ascii="Cambria" w:eastAsia="Cambria" w:hAnsi="Cambria" w:cs="Cambria"/>
          <w:sz w:val="16"/>
          <w:szCs w:val="16"/>
        </w:rPr>
        <w:t>Judgement of the First Instance Court of Control No. 3</w:t>
      </w:r>
      <w:r>
        <w:rPr>
          <w:rFonts w:ascii="Cambria" w:eastAsia="Cambria" w:hAnsi="Cambria" w:cs="Cambria"/>
          <w:sz w:val="16"/>
          <w:szCs w:val="16"/>
        </w:rPr>
        <w:t xml:space="preserve">, October 29, 2010. Annex 1 to the petition. </w:t>
      </w:r>
    </w:p>
  </w:footnote>
  <w:footnote w:id="60">
    <w:p w14:paraId="10FD3CD2" w14:textId="6869EBCD" w:rsidR="006373C8" w:rsidRPr="00E936C8" w:rsidRDefault="006373C8" w:rsidP="00D8110A">
      <w:pPr>
        <w:pStyle w:val="FootnoteText"/>
        <w:jc w:val="both"/>
        <w:rPr>
          <w:rFonts w:ascii="Cambria" w:hAnsi="Cambria"/>
          <w:color w:val="000000" w:themeColor="text1"/>
          <w:sz w:val="16"/>
          <w:szCs w:val="16"/>
        </w:rPr>
      </w:pPr>
      <w:r w:rsidRPr="0028728D">
        <w:rPr>
          <w:rStyle w:val="FootnoteReference"/>
          <w:rFonts w:ascii="Cambria" w:hAnsi="Cambria"/>
          <w:color w:val="000000" w:themeColor="text1"/>
          <w:sz w:val="16"/>
          <w:szCs w:val="16"/>
          <w:lang w:val="es-ES"/>
        </w:rPr>
        <w:footnoteRef/>
      </w:r>
      <w:r>
        <w:rPr>
          <w:rFonts w:ascii="Cambria" w:eastAsia="Cambria" w:hAnsi="Cambria" w:cs="Cambria"/>
          <w:sz w:val="16"/>
          <w:szCs w:val="16"/>
        </w:rPr>
        <w:t xml:space="preserve"> Annex 1. </w:t>
      </w:r>
      <w:r w:rsidRPr="00A623AB">
        <w:rPr>
          <w:rFonts w:ascii="Cambria" w:eastAsia="Cambria" w:hAnsi="Cambria" w:cs="Cambria"/>
          <w:sz w:val="16"/>
          <w:szCs w:val="16"/>
        </w:rPr>
        <w:t>Judgement of the First Instance Court of Control No. 3</w:t>
      </w:r>
      <w:r>
        <w:rPr>
          <w:rFonts w:ascii="Cambria" w:eastAsia="Cambria" w:hAnsi="Cambria" w:cs="Cambria"/>
          <w:sz w:val="16"/>
          <w:szCs w:val="16"/>
        </w:rPr>
        <w:t xml:space="preserve">, October 29, 2010. Annex 1 to the petition. </w:t>
      </w:r>
    </w:p>
  </w:footnote>
  <w:footnote w:id="61">
    <w:p w14:paraId="5E12FE35" w14:textId="333D9DAA" w:rsidR="006373C8" w:rsidRPr="00E936C8" w:rsidRDefault="006373C8" w:rsidP="00D8110A">
      <w:pPr>
        <w:pStyle w:val="FootnoteText"/>
        <w:jc w:val="both"/>
        <w:rPr>
          <w:rFonts w:ascii="Cambria" w:hAnsi="Cambria"/>
          <w:color w:val="000000" w:themeColor="text1"/>
          <w:sz w:val="16"/>
          <w:szCs w:val="16"/>
        </w:rPr>
      </w:pPr>
      <w:r w:rsidRPr="0028728D">
        <w:rPr>
          <w:rStyle w:val="FootnoteReference"/>
          <w:rFonts w:ascii="Cambria" w:hAnsi="Cambria"/>
          <w:color w:val="000000" w:themeColor="text1"/>
          <w:sz w:val="16"/>
          <w:szCs w:val="16"/>
          <w:lang w:val="es-ES"/>
        </w:rPr>
        <w:footnoteRef/>
      </w:r>
      <w:r>
        <w:rPr>
          <w:rFonts w:ascii="Cambria" w:eastAsia="Cambria" w:hAnsi="Cambria" w:cs="Cambria"/>
          <w:sz w:val="16"/>
          <w:szCs w:val="16"/>
        </w:rPr>
        <w:t xml:space="preserve"> Annex 5. Correspondence between the Langton family and Venezuelan authorities. Annex 5(a)-5(n) to the petition; Annex 7. Official letter no. 1803-02 of the First Instance Criminal Court of Execution No. 1, July 19, 2002, and attached pages. Annex 7 to the petition; Annex 13. Mail from the British Ambassador to Caracas of March 9, 2011. Annex 15 to the brief on observations; Annex 20. Letter from the British Embassy in Venezuela to the General Director of Custody and Rehabilitation of Inmates, January 3, 2002. Annex 23 to the brief on observations.</w:t>
      </w:r>
    </w:p>
  </w:footnote>
  <w:footnote w:id="62">
    <w:p w14:paraId="19AF20C1" w14:textId="21DD5C94" w:rsidR="006373C8" w:rsidRPr="00E936C8" w:rsidRDefault="006373C8" w:rsidP="00D8110A">
      <w:pPr>
        <w:pStyle w:val="FootnoteText"/>
        <w:jc w:val="both"/>
        <w:rPr>
          <w:rFonts w:ascii="Cambria" w:hAnsi="Cambria"/>
          <w:color w:val="000000" w:themeColor="text1"/>
          <w:sz w:val="16"/>
          <w:szCs w:val="16"/>
        </w:rPr>
      </w:pPr>
      <w:r w:rsidRPr="0028728D">
        <w:rPr>
          <w:rStyle w:val="FootnoteReference"/>
          <w:rFonts w:ascii="Cambria" w:hAnsi="Cambria"/>
          <w:color w:val="000000" w:themeColor="text1"/>
          <w:sz w:val="16"/>
          <w:szCs w:val="16"/>
          <w:lang w:val="es-ES"/>
        </w:rPr>
        <w:footnoteRef/>
      </w:r>
      <w:r>
        <w:rPr>
          <w:rFonts w:ascii="Cambria" w:eastAsia="Cambria" w:hAnsi="Cambria" w:cs="Cambria"/>
          <w:sz w:val="16"/>
          <w:szCs w:val="16"/>
        </w:rPr>
        <w:t xml:space="preserve"> Annex 2. Briefing note issued by the General Directorate of Custody and Rehabilitation of Inmates and filed to the Vice Minister of Citizen Security on March 11, 2001. Annex 2 to the petition.</w:t>
      </w:r>
    </w:p>
  </w:footnote>
  <w:footnote w:id="63">
    <w:p w14:paraId="6E885C5C" w14:textId="77777777" w:rsidR="006373C8" w:rsidRPr="00E936C8" w:rsidRDefault="006373C8" w:rsidP="00D8110A">
      <w:pPr>
        <w:pStyle w:val="FootnoteText"/>
        <w:jc w:val="both"/>
        <w:rPr>
          <w:rFonts w:ascii="Cambria" w:hAnsi="Cambria"/>
          <w:color w:val="000000" w:themeColor="text1"/>
          <w:sz w:val="16"/>
          <w:szCs w:val="16"/>
        </w:rPr>
      </w:pPr>
      <w:r w:rsidRPr="0028728D">
        <w:rPr>
          <w:rStyle w:val="FootnoteReference"/>
          <w:rFonts w:ascii="Cambria" w:hAnsi="Cambria"/>
          <w:color w:val="000000" w:themeColor="text1"/>
          <w:sz w:val="16"/>
          <w:szCs w:val="16"/>
          <w:lang w:val="es-ES"/>
        </w:rPr>
        <w:footnoteRef/>
      </w:r>
      <w:r>
        <w:rPr>
          <w:rFonts w:ascii="Cambria" w:eastAsia="Cambria" w:hAnsi="Cambria" w:cs="Cambria"/>
          <w:sz w:val="16"/>
          <w:szCs w:val="16"/>
        </w:rPr>
        <w:t xml:space="preserve"> Annex 5. Correspondence between the Langton family and Venezuelan authorities. Annex 5(c) to the petition.</w:t>
      </w:r>
    </w:p>
  </w:footnote>
  <w:footnote w:id="64">
    <w:p w14:paraId="004C23DF" w14:textId="54FECF2C" w:rsidR="006373C8" w:rsidRPr="00E936C8" w:rsidRDefault="006373C8" w:rsidP="00D8110A">
      <w:pPr>
        <w:pStyle w:val="FootnoteText"/>
        <w:jc w:val="both"/>
        <w:rPr>
          <w:rFonts w:ascii="Cambria" w:hAnsi="Cambria"/>
          <w:color w:val="000000" w:themeColor="text1"/>
          <w:sz w:val="16"/>
          <w:szCs w:val="16"/>
        </w:rPr>
      </w:pPr>
      <w:r w:rsidRPr="0028728D">
        <w:rPr>
          <w:rStyle w:val="FootnoteReference"/>
          <w:rFonts w:ascii="Cambria" w:hAnsi="Cambria"/>
          <w:color w:val="000000" w:themeColor="text1"/>
          <w:sz w:val="16"/>
          <w:szCs w:val="16"/>
          <w:lang w:val="es-ES"/>
        </w:rPr>
        <w:footnoteRef/>
      </w:r>
      <w:r>
        <w:rPr>
          <w:rFonts w:ascii="Cambria" w:eastAsia="Cambria" w:hAnsi="Cambria" w:cs="Cambria"/>
          <w:sz w:val="16"/>
          <w:szCs w:val="16"/>
        </w:rPr>
        <w:t xml:space="preserve"> Annex 1. Judgement of the First Instance Court of Control No. 3, October 29, 2010. Annex 1 to the petition; Annex 5. Correspondence between the Langton family and Venezuelan authorities. Annex 5(a)-5(n) to the petition. </w:t>
      </w:r>
    </w:p>
  </w:footnote>
  <w:footnote w:id="65">
    <w:p w14:paraId="0408CB9A" w14:textId="4ECC7392" w:rsidR="006373C8" w:rsidRPr="00E936C8" w:rsidRDefault="006373C8" w:rsidP="00D8110A">
      <w:pPr>
        <w:pStyle w:val="FootnoteText"/>
        <w:jc w:val="both"/>
        <w:rPr>
          <w:rFonts w:ascii="Cambria" w:hAnsi="Cambria"/>
          <w:color w:val="000000" w:themeColor="text1"/>
          <w:sz w:val="16"/>
          <w:szCs w:val="16"/>
        </w:rPr>
      </w:pPr>
      <w:r w:rsidRPr="0028728D">
        <w:rPr>
          <w:rStyle w:val="FootnoteReference"/>
          <w:rFonts w:ascii="Cambria" w:hAnsi="Cambria"/>
          <w:color w:val="000000" w:themeColor="text1"/>
          <w:sz w:val="16"/>
          <w:szCs w:val="16"/>
          <w:lang w:val="es-ES"/>
        </w:rPr>
        <w:footnoteRef/>
      </w:r>
      <w:r>
        <w:rPr>
          <w:rFonts w:ascii="Cambria" w:eastAsia="Cambria" w:hAnsi="Cambria" w:cs="Cambria"/>
          <w:sz w:val="16"/>
          <w:szCs w:val="16"/>
        </w:rPr>
        <w:t xml:space="preserve"> Annex 5. Correspondence between the Langton family and Venezuelan authorities. Annex 5(k) to the petition. </w:t>
      </w:r>
    </w:p>
  </w:footnote>
  <w:footnote w:id="66">
    <w:p w14:paraId="60777F27" w14:textId="34D2D32B" w:rsidR="006373C8" w:rsidRPr="00A623AB" w:rsidRDefault="006373C8" w:rsidP="00D8110A">
      <w:pPr>
        <w:pStyle w:val="FootnoteText"/>
        <w:jc w:val="both"/>
        <w:rPr>
          <w:rFonts w:ascii="Cambria" w:hAnsi="Cambria"/>
          <w:color w:val="000000" w:themeColor="text1"/>
          <w:sz w:val="16"/>
          <w:szCs w:val="16"/>
        </w:rPr>
      </w:pPr>
      <w:r w:rsidRPr="0028728D">
        <w:rPr>
          <w:rStyle w:val="FootnoteReference"/>
          <w:rFonts w:ascii="Cambria" w:hAnsi="Cambria"/>
          <w:color w:val="000000" w:themeColor="text1"/>
          <w:sz w:val="16"/>
          <w:szCs w:val="16"/>
          <w:lang w:val="es-ES"/>
        </w:rPr>
        <w:footnoteRef/>
      </w:r>
      <w:r>
        <w:rPr>
          <w:rFonts w:ascii="Cambria" w:eastAsia="Cambria" w:hAnsi="Cambria" w:cs="Cambria"/>
          <w:sz w:val="16"/>
          <w:szCs w:val="16"/>
        </w:rPr>
        <w:t xml:space="preserve"> Annex 1. </w:t>
      </w:r>
      <w:r w:rsidRPr="00A623AB">
        <w:rPr>
          <w:rFonts w:ascii="Cambria" w:eastAsia="Cambria" w:hAnsi="Cambria" w:cs="Cambria"/>
          <w:sz w:val="16"/>
          <w:szCs w:val="16"/>
        </w:rPr>
        <w:t xml:space="preserve">Judgement of the First Instance Court of Control No. 3, October 29, 2010. Annex 1 to the petition. </w:t>
      </w:r>
    </w:p>
  </w:footnote>
  <w:footnote w:id="67">
    <w:p w14:paraId="6355E9D2" w14:textId="16D3CBE2" w:rsidR="006373C8" w:rsidRPr="00A623AB" w:rsidRDefault="006373C8" w:rsidP="00D8110A">
      <w:pPr>
        <w:pStyle w:val="FootnoteText"/>
        <w:jc w:val="both"/>
        <w:rPr>
          <w:rFonts w:ascii="Cambria" w:hAnsi="Cambria"/>
          <w:color w:val="000000" w:themeColor="text1"/>
          <w:sz w:val="16"/>
          <w:szCs w:val="16"/>
        </w:rPr>
      </w:pPr>
      <w:r w:rsidRPr="00A623AB">
        <w:rPr>
          <w:rStyle w:val="FootnoteReference"/>
          <w:rFonts w:ascii="Cambria" w:hAnsi="Cambria"/>
          <w:color w:val="000000" w:themeColor="text1"/>
          <w:sz w:val="16"/>
          <w:szCs w:val="16"/>
          <w:lang w:val="es-ES"/>
        </w:rPr>
        <w:footnoteRef/>
      </w:r>
      <w:r w:rsidRPr="00A623AB">
        <w:rPr>
          <w:rFonts w:ascii="Cambria" w:eastAsia="Cambria" w:hAnsi="Cambria" w:cs="Cambria"/>
          <w:sz w:val="16"/>
          <w:szCs w:val="16"/>
        </w:rPr>
        <w:t xml:space="preserve"> Annex 1. Judgement of the First Instance Court of Control No. 3, October 29, 2010. Annex 1 to the petition. </w:t>
      </w:r>
    </w:p>
  </w:footnote>
  <w:footnote w:id="68">
    <w:p w14:paraId="71F81180" w14:textId="009AB774" w:rsidR="006373C8" w:rsidRPr="00A623AB" w:rsidRDefault="006373C8" w:rsidP="00D8110A">
      <w:pPr>
        <w:pStyle w:val="FootnoteText"/>
        <w:jc w:val="both"/>
        <w:rPr>
          <w:rFonts w:ascii="Cambria" w:hAnsi="Cambria"/>
          <w:color w:val="000000" w:themeColor="text1"/>
          <w:sz w:val="16"/>
          <w:szCs w:val="16"/>
        </w:rPr>
      </w:pPr>
      <w:r w:rsidRPr="00A623AB">
        <w:rPr>
          <w:rStyle w:val="FootnoteReference"/>
          <w:rFonts w:ascii="Cambria" w:hAnsi="Cambria"/>
          <w:color w:val="000000" w:themeColor="text1"/>
          <w:sz w:val="16"/>
          <w:szCs w:val="16"/>
          <w:lang w:val="es-ES"/>
        </w:rPr>
        <w:footnoteRef/>
      </w:r>
      <w:r w:rsidRPr="00A623AB">
        <w:rPr>
          <w:rFonts w:ascii="Cambria" w:eastAsia="Cambria" w:hAnsi="Cambria" w:cs="Cambria"/>
          <w:sz w:val="16"/>
          <w:szCs w:val="16"/>
        </w:rPr>
        <w:t xml:space="preserve"> Annex 1. Judgement of the First Instance Court of Control No. 3, October 29, 2010. Annex 1 to the petition. </w:t>
      </w:r>
    </w:p>
  </w:footnote>
  <w:footnote w:id="69">
    <w:p w14:paraId="54C45123" w14:textId="28490920" w:rsidR="006373C8" w:rsidRPr="00A623AB" w:rsidRDefault="006373C8" w:rsidP="00D8110A">
      <w:pPr>
        <w:pStyle w:val="FootnoteText"/>
        <w:jc w:val="both"/>
        <w:rPr>
          <w:rFonts w:ascii="Cambria" w:hAnsi="Cambria"/>
          <w:color w:val="000000" w:themeColor="text1"/>
          <w:sz w:val="16"/>
          <w:szCs w:val="16"/>
        </w:rPr>
      </w:pPr>
      <w:r w:rsidRPr="00A623AB">
        <w:rPr>
          <w:rStyle w:val="FootnoteReference"/>
          <w:rFonts w:ascii="Cambria" w:hAnsi="Cambria"/>
          <w:color w:val="000000" w:themeColor="text1"/>
          <w:sz w:val="16"/>
          <w:szCs w:val="16"/>
          <w:lang w:val="es-ES"/>
        </w:rPr>
        <w:footnoteRef/>
      </w:r>
      <w:r w:rsidRPr="00A623AB">
        <w:rPr>
          <w:rFonts w:ascii="Cambria" w:eastAsia="Cambria" w:hAnsi="Cambria" w:cs="Cambria"/>
          <w:sz w:val="16"/>
          <w:szCs w:val="16"/>
        </w:rPr>
        <w:t xml:space="preserve"> Annex 1. Judgement of the First Instance Court of Control No. 3, October 29, 2010. Annex 1 to the petition. </w:t>
      </w:r>
    </w:p>
  </w:footnote>
  <w:footnote w:id="70">
    <w:p w14:paraId="0A698C73" w14:textId="4F3FB43A" w:rsidR="006373C8" w:rsidRPr="00A623AB" w:rsidRDefault="006373C8" w:rsidP="00D8110A">
      <w:pPr>
        <w:pStyle w:val="FootnoteText"/>
        <w:jc w:val="both"/>
        <w:rPr>
          <w:rFonts w:ascii="Cambria" w:hAnsi="Cambria"/>
          <w:color w:val="000000" w:themeColor="text1"/>
          <w:sz w:val="16"/>
          <w:szCs w:val="16"/>
        </w:rPr>
      </w:pPr>
      <w:r w:rsidRPr="00A623AB">
        <w:rPr>
          <w:rStyle w:val="FootnoteReference"/>
          <w:rFonts w:ascii="Cambria" w:hAnsi="Cambria"/>
          <w:color w:val="000000" w:themeColor="text1"/>
          <w:sz w:val="16"/>
          <w:szCs w:val="16"/>
          <w:lang w:val="es-ES"/>
        </w:rPr>
        <w:footnoteRef/>
      </w:r>
      <w:r w:rsidRPr="00A623AB">
        <w:rPr>
          <w:rFonts w:ascii="Cambria" w:eastAsia="Cambria" w:hAnsi="Cambria" w:cs="Cambria"/>
          <w:sz w:val="16"/>
          <w:szCs w:val="16"/>
        </w:rPr>
        <w:t xml:space="preserve"> Annex 1. Judgement of the First Instance Court of Control No. 3, October 29, 2010. Annex 1 to the petition. </w:t>
      </w:r>
    </w:p>
  </w:footnote>
  <w:footnote w:id="71">
    <w:p w14:paraId="0E3DDE5D" w14:textId="3141D400" w:rsidR="006373C8" w:rsidRPr="00A623AB" w:rsidRDefault="006373C8" w:rsidP="00D8110A">
      <w:pPr>
        <w:pStyle w:val="FootnoteText"/>
        <w:jc w:val="both"/>
        <w:rPr>
          <w:rFonts w:ascii="Cambria" w:hAnsi="Cambria"/>
          <w:color w:val="000000" w:themeColor="text1"/>
          <w:sz w:val="16"/>
          <w:szCs w:val="16"/>
        </w:rPr>
      </w:pPr>
      <w:r w:rsidRPr="00A623AB">
        <w:rPr>
          <w:rStyle w:val="FootnoteReference"/>
          <w:rFonts w:ascii="Cambria" w:hAnsi="Cambria"/>
          <w:color w:val="000000" w:themeColor="text1"/>
          <w:sz w:val="16"/>
          <w:szCs w:val="16"/>
          <w:lang w:val="es-ES"/>
        </w:rPr>
        <w:footnoteRef/>
      </w:r>
      <w:r w:rsidRPr="00A623AB">
        <w:rPr>
          <w:rFonts w:ascii="Cambria" w:eastAsia="Cambria" w:hAnsi="Cambria" w:cs="Cambria"/>
          <w:sz w:val="16"/>
          <w:szCs w:val="16"/>
        </w:rPr>
        <w:t xml:space="preserve"> Annex 1. Judgement of the First Instance Court of Control No. 3, October 29, 2010. Annex 1 to the petition. </w:t>
      </w:r>
    </w:p>
  </w:footnote>
  <w:footnote w:id="72">
    <w:p w14:paraId="76884D4E" w14:textId="45B7DB84" w:rsidR="006373C8" w:rsidRPr="00A623AB" w:rsidRDefault="006373C8" w:rsidP="00D8110A">
      <w:pPr>
        <w:pStyle w:val="FootnoteText"/>
        <w:jc w:val="both"/>
        <w:rPr>
          <w:rFonts w:ascii="Cambria" w:hAnsi="Cambria"/>
          <w:color w:val="000000" w:themeColor="text1"/>
          <w:sz w:val="16"/>
          <w:szCs w:val="16"/>
        </w:rPr>
      </w:pPr>
      <w:r w:rsidRPr="00A623AB">
        <w:rPr>
          <w:rStyle w:val="FootnoteReference"/>
          <w:rFonts w:ascii="Cambria" w:hAnsi="Cambria"/>
          <w:color w:val="000000" w:themeColor="text1"/>
          <w:sz w:val="16"/>
          <w:szCs w:val="16"/>
          <w:lang w:val="es-ES"/>
        </w:rPr>
        <w:footnoteRef/>
      </w:r>
      <w:r w:rsidRPr="00A623AB">
        <w:rPr>
          <w:rFonts w:ascii="Cambria" w:eastAsia="Cambria" w:hAnsi="Cambria" w:cs="Cambria"/>
          <w:sz w:val="16"/>
          <w:szCs w:val="16"/>
        </w:rPr>
        <w:t xml:space="preserve"> Annex 1. Judgement of the First Instance Court of Control No. 3, October 29, 2010. Annex 1 to the petition. </w:t>
      </w:r>
    </w:p>
  </w:footnote>
  <w:footnote w:id="73">
    <w:p w14:paraId="660A9A07" w14:textId="2BF5D8EE" w:rsidR="006373C8" w:rsidRPr="00A623AB" w:rsidRDefault="006373C8" w:rsidP="00D8110A">
      <w:pPr>
        <w:pStyle w:val="FootnoteText"/>
        <w:jc w:val="both"/>
        <w:rPr>
          <w:rFonts w:ascii="Cambria" w:hAnsi="Cambria"/>
          <w:color w:val="000000" w:themeColor="text1"/>
          <w:sz w:val="16"/>
          <w:szCs w:val="16"/>
        </w:rPr>
      </w:pPr>
      <w:r w:rsidRPr="00A623AB">
        <w:rPr>
          <w:rStyle w:val="FootnoteReference"/>
          <w:rFonts w:ascii="Cambria" w:hAnsi="Cambria"/>
          <w:color w:val="000000" w:themeColor="text1"/>
          <w:sz w:val="16"/>
          <w:szCs w:val="16"/>
          <w:lang w:val="es-ES"/>
        </w:rPr>
        <w:footnoteRef/>
      </w:r>
      <w:r w:rsidRPr="00A623AB">
        <w:rPr>
          <w:rFonts w:ascii="Cambria" w:eastAsia="Cambria" w:hAnsi="Cambria" w:cs="Cambria"/>
          <w:sz w:val="16"/>
          <w:szCs w:val="16"/>
        </w:rPr>
        <w:t xml:space="preserve"> Annex 1. Judgement of the First Instance Court of Control No. 3, October 29, 2010. Annex 1 to the petition. </w:t>
      </w:r>
    </w:p>
  </w:footnote>
  <w:footnote w:id="74">
    <w:p w14:paraId="3FC3DF93" w14:textId="5936E584" w:rsidR="006373C8" w:rsidRPr="00A623AB" w:rsidRDefault="006373C8" w:rsidP="00D8110A">
      <w:pPr>
        <w:pStyle w:val="FootnoteText"/>
        <w:jc w:val="both"/>
        <w:rPr>
          <w:rFonts w:ascii="Cambria" w:hAnsi="Cambria"/>
          <w:color w:val="000000" w:themeColor="text1"/>
          <w:sz w:val="16"/>
          <w:szCs w:val="16"/>
        </w:rPr>
      </w:pPr>
      <w:r w:rsidRPr="00A623AB">
        <w:rPr>
          <w:rStyle w:val="FootnoteReference"/>
          <w:rFonts w:ascii="Cambria" w:hAnsi="Cambria"/>
          <w:color w:val="000000" w:themeColor="text1"/>
          <w:sz w:val="16"/>
          <w:szCs w:val="16"/>
          <w:lang w:val="es-ES"/>
        </w:rPr>
        <w:footnoteRef/>
      </w:r>
      <w:r w:rsidRPr="00A623AB">
        <w:rPr>
          <w:rFonts w:ascii="Cambria" w:eastAsia="Cambria" w:hAnsi="Cambria" w:cs="Cambria"/>
          <w:sz w:val="16"/>
          <w:szCs w:val="16"/>
        </w:rPr>
        <w:t xml:space="preserve"> Annex 1. Judgement of the First Instance Court of Control No. 3, October 29, 2010. Annex 1 to the petition. </w:t>
      </w:r>
    </w:p>
  </w:footnote>
  <w:footnote w:id="75">
    <w:p w14:paraId="5864ECDB" w14:textId="40B3F244" w:rsidR="006373C8" w:rsidRPr="00E936C8" w:rsidRDefault="006373C8" w:rsidP="00D8110A">
      <w:pPr>
        <w:pStyle w:val="FootnoteText"/>
        <w:jc w:val="both"/>
        <w:rPr>
          <w:rFonts w:ascii="Cambria" w:hAnsi="Cambria"/>
          <w:color w:val="000000" w:themeColor="text1"/>
          <w:sz w:val="16"/>
          <w:szCs w:val="16"/>
        </w:rPr>
      </w:pPr>
      <w:r w:rsidRPr="00A623AB">
        <w:rPr>
          <w:rStyle w:val="FootnoteReference"/>
          <w:rFonts w:ascii="Cambria" w:hAnsi="Cambria"/>
          <w:color w:val="000000" w:themeColor="text1"/>
          <w:sz w:val="16"/>
          <w:szCs w:val="16"/>
          <w:lang w:val="es-ES"/>
        </w:rPr>
        <w:footnoteRef/>
      </w:r>
      <w:r w:rsidRPr="00A623AB">
        <w:rPr>
          <w:rFonts w:ascii="Cambria" w:eastAsia="Cambria" w:hAnsi="Cambria" w:cs="Cambria"/>
          <w:sz w:val="16"/>
          <w:szCs w:val="16"/>
        </w:rPr>
        <w:t xml:space="preserve"> Annex 1. Judgement of the First Instance Court of Control No. 3, October 29, 2010. Annex 1 to the petition</w:t>
      </w:r>
      <w:r>
        <w:rPr>
          <w:rFonts w:ascii="Cambria" w:eastAsia="Cambria" w:hAnsi="Cambria" w:cs="Cambria"/>
          <w:sz w:val="16"/>
          <w:szCs w:val="16"/>
        </w:rPr>
        <w:t xml:space="preserve">. </w:t>
      </w:r>
    </w:p>
  </w:footnote>
  <w:footnote w:id="76">
    <w:p w14:paraId="32DF8153" w14:textId="77777777" w:rsidR="006373C8" w:rsidRPr="00E936C8" w:rsidRDefault="006373C8" w:rsidP="00D8110A">
      <w:pPr>
        <w:pStyle w:val="FootnoteText"/>
        <w:jc w:val="both"/>
        <w:rPr>
          <w:rFonts w:ascii="Cambria" w:hAnsi="Cambria"/>
          <w:color w:val="000000" w:themeColor="text1"/>
          <w:sz w:val="16"/>
          <w:szCs w:val="16"/>
        </w:rPr>
      </w:pPr>
      <w:r w:rsidRPr="0028728D">
        <w:rPr>
          <w:rStyle w:val="FootnoteReference"/>
          <w:rFonts w:ascii="Cambria" w:hAnsi="Cambria"/>
          <w:color w:val="000000" w:themeColor="text1"/>
          <w:sz w:val="16"/>
          <w:szCs w:val="16"/>
          <w:lang w:val="es-ES"/>
        </w:rPr>
        <w:footnoteRef/>
      </w:r>
      <w:r>
        <w:rPr>
          <w:rFonts w:ascii="Cambria" w:eastAsia="Cambria" w:hAnsi="Cambria" w:cs="Cambria"/>
          <w:sz w:val="16"/>
          <w:szCs w:val="16"/>
        </w:rPr>
        <w:t xml:space="preserve"> Article 4.1 provides: “Every person has the right to have his life respected. This right shall be protected by law and, in general, from the moment of conception. No one shall be arbitrarily deprived of his life.”</w:t>
      </w:r>
    </w:p>
  </w:footnote>
  <w:footnote w:id="77">
    <w:p w14:paraId="437118FB" w14:textId="77777777" w:rsidR="006373C8" w:rsidRPr="00E936C8" w:rsidRDefault="006373C8" w:rsidP="00D8110A">
      <w:pPr>
        <w:shd w:val="clear" w:color="auto" w:fill="FFFFFF"/>
        <w:tabs>
          <w:tab w:val="num" w:pos="720"/>
          <w:tab w:val="left" w:pos="1440"/>
          <w:tab w:val="num" w:pos="2040"/>
        </w:tabs>
        <w:jc w:val="both"/>
        <w:rPr>
          <w:rFonts w:ascii="Cambria" w:hAnsi="Cambria"/>
          <w:color w:val="000000" w:themeColor="text1"/>
          <w:sz w:val="16"/>
          <w:szCs w:val="16"/>
        </w:rPr>
      </w:pPr>
      <w:r w:rsidRPr="0028728D">
        <w:rPr>
          <w:rStyle w:val="FootnoteReference"/>
          <w:rFonts w:ascii="Cambria" w:hAnsi="Cambria"/>
          <w:color w:val="000000" w:themeColor="text1"/>
          <w:sz w:val="16"/>
          <w:szCs w:val="16"/>
          <w:lang w:val="es-ES"/>
        </w:rPr>
        <w:footnoteRef/>
      </w:r>
      <w:r>
        <w:rPr>
          <w:rFonts w:ascii="Cambria" w:eastAsia="Cambria" w:hAnsi="Cambria" w:cs="Cambria"/>
          <w:color w:val="000000"/>
          <w:sz w:val="16"/>
          <w:szCs w:val="16"/>
        </w:rPr>
        <w:t xml:space="preserve"> Article 5 provides: “1. Every person has the right to have his physical, mental, and moral integrity respected. 2. No one shall be subjected to torture or to cruel, inhuman, or degrading punishment or treatment. All persons deprived of their liberty shall be treated with respect for the inherent dignity of the human person.”</w:t>
      </w:r>
    </w:p>
  </w:footnote>
  <w:footnote w:id="78">
    <w:p w14:paraId="64D82821" w14:textId="3F768D15" w:rsidR="006373C8" w:rsidRPr="00E936C8" w:rsidRDefault="006373C8" w:rsidP="00D8110A">
      <w:pPr>
        <w:pStyle w:val="FootnoteText"/>
        <w:jc w:val="both"/>
        <w:rPr>
          <w:rFonts w:ascii="Cambria" w:hAnsi="Cambria"/>
          <w:color w:val="000000" w:themeColor="text1"/>
          <w:sz w:val="16"/>
          <w:szCs w:val="16"/>
        </w:rPr>
      </w:pPr>
      <w:r w:rsidRPr="0028728D">
        <w:rPr>
          <w:rStyle w:val="FootnoteReference"/>
          <w:rFonts w:ascii="Cambria" w:hAnsi="Cambria"/>
          <w:color w:val="000000" w:themeColor="text1"/>
          <w:sz w:val="16"/>
          <w:szCs w:val="16"/>
          <w:lang w:val="es-ES"/>
        </w:rPr>
        <w:footnoteRef/>
      </w:r>
      <w:r>
        <w:rPr>
          <w:rFonts w:ascii="Cambria" w:eastAsia="Cambria" w:hAnsi="Cambria" w:cs="Cambria"/>
          <w:sz w:val="16"/>
          <w:szCs w:val="16"/>
        </w:rPr>
        <w:t xml:space="preserve"> Article 26 provides: “The State Parties undertake to adopt measures, both internally and through international cooperation, especially those of an economic and technical nature, with a view to achieving progressively, by legislation or other appropriate means, the full realization of the rights implicit in the economic, social, educational, scientific, and cultural standards set forth in the Charter of the Organization of American States as amended by the Protocol of Buenos Aires.”</w:t>
      </w:r>
    </w:p>
  </w:footnote>
  <w:footnote w:id="79">
    <w:p w14:paraId="538856C0" w14:textId="420F2703" w:rsidR="006373C8" w:rsidRPr="00E936C8" w:rsidRDefault="006373C8" w:rsidP="00D8110A">
      <w:pPr>
        <w:shd w:val="clear" w:color="auto" w:fill="FFFFFF"/>
        <w:tabs>
          <w:tab w:val="num" w:pos="720"/>
          <w:tab w:val="left" w:pos="1440"/>
          <w:tab w:val="num" w:pos="2040"/>
        </w:tabs>
        <w:jc w:val="both"/>
        <w:rPr>
          <w:rFonts w:ascii="Cambria" w:hAnsi="Cambria"/>
          <w:color w:val="000000" w:themeColor="text1"/>
          <w:sz w:val="16"/>
          <w:szCs w:val="16"/>
        </w:rPr>
      </w:pPr>
      <w:r w:rsidRPr="0028728D">
        <w:rPr>
          <w:rStyle w:val="FootnoteReference"/>
          <w:rFonts w:ascii="Cambria" w:hAnsi="Cambria"/>
          <w:color w:val="000000" w:themeColor="text1"/>
          <w:sz w:val="16"/>
          <w:szCs w:val="16"/>
          <w:lang w:val="es-ES"/>
        </w:rPr>
        <w:footnoteRef/>
      </w:r>
      <w:r>
        <w:rPr>
          <w:rFonts w:ascii="Cambria" w:eastAsia="Cambria" w:hAnsi="Cambria" w:cs="Cambria"/>
          <w:color w:val="000000"/>
          <w:sz w:val="16"/>
          <w:szCs w:val="16"/>
        </w:rPr>
        <w:t xml:space="preserve"> Article 1.1 provides: “1. The State Parties [...] undertake to respect the rights and freedoms recognized herein and to ensure to all persons subject to their jurisdiction the free and full exercise of those rights and freedoms, without any discrimination [...].”</w:t>
      </w:r>
    </w:p>
  </w:footnote>
  <w:footnote w:id="80">
    <w:p w14:paraId="3074D8A5" w14:textId="5A586366" w:rsidR="006373C8" w:rsidRPr="00E936C8" w:rsidRDefault="006373C8" w:rsidP="00D8110A">
      <w:pPr>
        <w:pStyle w:val="FootnoteText"/>
        <w:jc w:val="both"/>
        <w:rPr>
          <w:rFonts w:ascii="Cambria" w:hAnsi="Cambria"/>
          <w:sz w:val="16"/>
          <w:szCs w:val="16"/>
        </w:rPr>
      </w:pPr>
      <w:r w:rsidRPr="0028728D">
        <w:rPr>
          <w:rStyle w:val="FootnoteReference"/>
          <w:rFonts w:ascii="Cambria" w:hAnsi="Cambria"/>
          <w:sz w:val="16"/>
          <w:szCs w:val="16"/>
          <w:lang w:val="es-ES"/>
        </w:rPr>
        <w:footnoteRef/>
      </w:r>
      <w:r>
        <w:rPr>
          <w:rFonts w:ascii="Cambria" w:eastAsia="Cambria" w:hAnsi="Cambria" w:cs="Cambria"/>
          <w:sz w:val="16"/>
          <w:szCs w:val="16"/>
        </w:rPr>
        <w:t xml:space="preserve"> Article 2 provides: “Where the exercise of any of the rights or freedoms referred to in Article 1 is not already ensured by legislative or other provisions, the State Parties undertake to adopt, in accordance with their constitutional processes and the provisions of this Convention, such legislative or other measures as may be necessary to give effect to those rights or freedoms.”</w:t>
      </w:r>
    </w:p>
  </w:footnote>
  <w:footnote w:id="81">
    <w:p w14:paraId="0DA80411" w14:textId="42089F36" w:rsidR="006373C8" w:rsidRPr="0028728D" w:rsidRDefault="006373C8" w:rsidP="00D8110A">
      <w:pPr>
        <w:pStyle w:val="FootnoteText"/>
        <w:tabs>
          <w:tab w:val="left" w:pos="720"/>
          <w:tab w:val="left" w:pos="900"/>
          <w:tab w:val="left" w:pos="1080"/>
        </w:tabs>
        <w:jc w:val="both"/>
        <w:rPr>
          <w:rFonts w:ascii="Cambria" w:hAnsi="Cambria"/>
          <w:color w:val="000000" w:themeColor="text1"/>
          <w:sz w:val="16"/>
          <w:szCs w:val="16"/>
          <w:lang w:val="es-ES"/>
        </w:rPr>
      </w:pPr>
      <w:r w:rsidRPr="0028728D">
        <w:rPr>
          <w:rStyle w:val="FootnoteReference"/>
          <w:rFonts w:ascii="Cambria" w:hAnsi="Cambria"/>
          <w:color w:val="000000" w:themeColor="text1"/>
          <w:sz w:val="16"/>
          <w:szCs w:val="16"/>
          <w:lang w:val="es-ES"/>
        </w:rPr>
        <w:footnoteRef/>
      </w:r>
      <w:r>
        <w:rPr>
          <w:rFonts w:ascii="Cambria" w:eastAsia="Cambria" w:hAnsi="Cambria" w:cs="Cambria"/>
          <w:sz w:val="16"/>
          <w:szCs w:val="16"/>
        </w:rPr>
        <w:t xml:space="preserve"> IACHR, Report No. 117/18. Case 12,829. Merits. </w:t>
      </w:r>
      <w:r w:rsidRPr="00E936C8">
        <w:rPr>
          <w:rFonts w:ascii="Cambria" w:eastAsia="Cambria" w:hAnsi="Cambria" w:cs="Cambria"/>
          <w:sz w:val="16"/>
          <w:szCs w:val="16"/>
          <w:lang w:val="es-AR"/>
        </w:rPr>
        <w:t xml:space="preserve">Olimpiades González </w:t>
      </w:r>
      <w:r w:rsidRPr="007A6E43">
        <w:rPr>
          <w:rFonts w:ascii="Cambria" w:eastAsia="Cambria" w:hAnsi="Cambria" w:cs="Cambria"/>
          <w:i/>
          <w:sz w:val="16"/>
          <w:szCs w:val="16"/>
          <w:lang w:val="es-AR"/>
        </w:rPr>
        <w:t>et al.</w:t>
      </w:r>
      <w:r w:rsidRPr="00E936C8">
        <w:rPr>
          <w:rFonts w:ascii="Cambria" w:eastAsia="Cambria" w:hAnsi="Cambria" w:cs="Cambria"/>
          <w:sz w:val="16"/>
          <w:szCs w:val="16"/>
          <w:lang w:val="es-AR"/>
        </w:rPr>
        <w:t xml:space="preserve"> Venezuela. </w:t>
      </w:r>
      <w:r w:rsidRPr="00AE4542">
        <w:rPr>
          <w:rFonts w:ascii="Cambria" w:eastAsia="Cambria" w:hAnsi="Cambria" w:cs="Cambria"/>
          <w:sz w:val="16"/>
          <w:szCs w:val="16"/>
        </w:rPr>
        <w:t xml:space="preserve">October 5, 2018, para. 97; IACHR, Case 12,270. Report No. 2/15. Merits. Johan Alexis Ortiz Hernández. </w:t>
      </w:r>
      <w:r w:rsidRPr="00E936C8">
        <w:rPr>
          <w:rFonts w:ascii="Cambria" w:eastAsia="Cambria" w:hAnsi="Cambria" w:cs="Cambria"/>
          <w:sz w:val="16"/>
          <w:szCs w:val="16"/>
          <w:lang w:val="es-AR"/>
        </w:rPr>
        <w:t>Venezuela. January 29, 2015, para. 185.</w:t>
      </w:r>
    </w:p>
  </w:footnote>
  <w:footnote w:id="82">
    <w:p w14:paraId="01B0B6A7" w14:textId="0C45DA4E" w:rsidR="006373C8" w:rsidRPr="00E936C8" w:rsidRDefault="006373C8" w:rsidP="00D8110A">
      <w:pPr>
        <w:pStyle w:val="FootnoteText"/>
        <w:tabs>
          <w:tab w:val="left" w:pos="720"/>
          <w:tab w:val="left" w:pos="900"/>
          <w:tab w:val="left" w:pos="1080"/>
        </w:tabs>
        <w:jc w:val="both"/>
        <w:rPr>
          <w:rFonts w:ascii="Cambria" w:hAnsi="Cambria"/>
          <w:color w:val="000000" w:themeColor="text1"/>
          <w:sz w:val="16"/>
          <w:szCs w:val="16"/>
        </w:rPr>
      </w:pPr>
      <w:r w:rsidRPr="0028728D">
        <w:rPr>
          <w:rStyle w:val="FootnoteReference"/>
          <w:rFonts w:ascii="Cambria" w:hAnsi="Cambria"/>
          <w:color w:val="000000" w:themeColor="text1"/>
          <w:sz w:val="16"/>
          <w:szCs w:val="16"/>
          <w:lang w:val="es-ES"/>
        </w:rPr>
        <w:footnoteRef/>
      </w:r>
      <w:r w:rsidRPr="00E936C8">
        <w:rPr>
          <w:rFonts w:ascii="Cambria" w:eastAsia="Cambria" w:hAnsi="Cambria" w:cs="Cambria"/>
          <w:sz w:val="16"/>
          <w:szCs w:val="16"/>
          <w:lang w:val="es-AR"/>
        </w:rPr>
        <w:t xml:space="preserve"> IAHR Court, Zambrano Vélez </w:t>
      </w:r>
      <w:r w:rsidRPr="007A6E43">
        <w:rPr>
          <w:rFonts w:ascii="Cambria" w:eastAsia="Cambria" w:hAnsi="Cambria" w:cs="Cambria"/>
          <w:i/>
          <w:sz w:val="16"/>
          <w:szCs w:val="16"/>
          <w:lang w:val="es-AR"/>
        </w:rPr>
        <w:t>et al.</w:t>
      </w:r>
      <w:r w:rsidRPr="00E936C8">
        <w:rPr>
          <w:rFonts w:ascii="Cambria" w:eastAsia="Cambria" w:hAnsi="Cambria" w:cs="Cambria"/>
          <w:sz w:val="16"/>
          <w:szCs w:val="16"/>
          <w:lang w:val="es-AR"/>
        </w:rPr>
        <w:t xml:space="preserve"> v. Ecuador. </w:t>
      </w:r>
      <w:r>
        <w:rPr>
          <w:rFonts w:ascii="Cambria" w:eastAsia="Cambria" w:hAnsi="Cambria" w:cs="Cambria"/>
          <w:sz w:val="16"/>
          <w:szCs w:val="16"/>
        </w:rPr>
        <w:t xml:space="preserve">Merits, reparations and costs. Judgement of July 4, 2007. Series C No. 166, para. 80. </w:t>
      </w:r>
    </w:p>
  </w:footnote>
  <w:footnote w:id="83">
    <w:p w14:paraId="735BDA2A" w14:textId="6F5E3D62" w:rsidR="006373C8" w:rsidRPr="00E936C8" w:rsidRDefault="006373C8" w:rsidP="00D8110A">
      <w:pPr>
        <w:pStyle w:val="FootnoteText"/>
        <w:jc w:val="both"/>
        <w:rPr>
          <w:rFonts w:ascii="Cambria" w:hAnsi="Cambria"/>
          <w:color w:val="000000" w:themeColor="text1"/>
          <w:sz w:val="16"/>
          <w:szCs w:val="16"/>
        </w:rPr>
      </w:pPr>
      <w:r w:rsidRPr="0028728D">
        <w:rPr>
          <w:rStyle w:val="FootnoteReference"/>
          <w:rFonts w:ascii="Cambria" w:hAnsi="Cambria"/>
          <w:color w:val="000000" w:themeColor="text1"/>
          <w:sz w:val="16"/>
          <w:szCs w:val="16"/>
          <w:lang w:val="es-ES"/>
        </w:rPr>
        <w:footnoteRef/>
      </w:r>
      <w:r>
        <w:rPr>
          <w:rFonts w:ascii="Cambria" w:eastAsia="Cambria" w:hAnsi="Cambria" w:cs="Cambria"/>
          <w:sz w:val="16"/>
          <w:szCs w:val="16"/>
        </w:rPr>
        <w:t xml:space="preserve"> IACHR, Case 12,738. Report No. 64/18. Merits. Opario Lemoth Morris </w:t>
      </w:r>
      <w:r w:rsidRPr="007A6E43">
        <w:rPr>
          <w:rFonts w:ascii="Cambria" w:eastAsia="Cambria" w:hAnsi="Cambria" w:cs="Cambria"/>
          <w:i/>
          <w:sz w:val="16"/>
          <w:szCs w:val="16"/>
        </w:rPr>
        <w:t>et al.</w:t>
      </w:r>
      <w:r>
        <w:rPr>
          <w:rFonts w:ascii="Cambria" w:eastAsia="Cambria" w:hAnsi="Cambria" w:cs="Cambria"/>
          <w:sz w:val="16"/>
          <w:szCs w:val="16"/>
        </w:rPr>
        <w:t xml:space="preserve"> (Miskito divers). Honduras. May 8, 2018, para. 188.</w:t>
      </w:r>
    </w:p>
  </w:footnote>
  <w:footnote w:id="84">
    <w:p w14:paraId="25CD71A0" w14:textId="4C154F00" w:rsidR="006373C8" w:rsidRPr="006373C8" w:rsidRDefault="006373C8" w:rsidP="00D8110A">
      <w:pPr>
        <w:pStyle w:val="FootnoteText"/>
        <w:jc w:val="both"/>
        <w:rPr>
          <w:rFonts w:ascii="Cambria" w:eastAsia="Cambria" w:hAnsi="Cambria" w:cs="Cambria"/>
          <w:sz w:val="16"/>
          <w:szCs w:val="16"/>
        </w:rPr>
      </w:pPr>
      <w:r w:rsidRPr="0028728D">
        <w:rPr>
          <w:rStyle w:val="FootnoteReference"/>
          <w:rFonts w:ascii="Cambria" w:hAnsi="Cambria" w:cs="Times New Roman"/>
          <w:color w:val="000000" w:themeColor="text1"/>
          <w:sz w:val="16"/>
          <w:szCs w:val="16"/>
          <w:lang w:val="es-ES"/>
        </w:rPr>
        <w:footnoteRef/>
      </w:r>
      <w:r>
        <w:rPr>
          <w:rFonts w:ascii="Cambria" w:eastAsia="Cambria" w:hAnsi="Cambria" w:cs="Cambria"/>
          <w:sz w:val="16"/>
          <w:szCs w:val="16"/>
        </w:rPr>
        <w:t xml:space="preserve"> IACHR, Report on the Merits No. 380/20. Case 13,193. Thomas Scott Cochran. Costa Rica. December 15, 2020, para. 96; See also IAHR Court, Gonzales Lluy </w:t>
      </w:r>
      <w:r w:rsidRPr="007A6E43">
        <w:rPr>
          <w:rFonts w:ascii="Cambria" w:eastAsia="Cambria" w:hAnsi="Cambria" w:cs="Cambria"/>
          <w:i/>
          <w:sz w:val="16"/>
          <w:szCs w:val="16"/>
        </w:rPr>
        <w:t>et al.</w:t>
      </w:r>
      <w:r>
        <w:rPr>
          <w:rFonts w:ascii="Cambria" w:eastAsia="Cambria" w:hAnsi="Cambria" w:cs="Cambria"/>
          <w:sz w:val="16"/>
          <w:szCs w:val="16"/>
        </w:rPr>
        <w:t xml:space="preserve"> v. Ecuador. Preliminary objections, merits, reparations and costs. Judgement of September 1, 2015. Series C No. 298, para. 171.</w:t>
      </w:r>
    </w:p>
  </w:footnote>
  <w:footnote w:id="85">
    <w:p w14:paraId="10213AB3" w14:textId="01601044" w:rsidR="006373C8" w:rsidRPr="00717D88" w:rsidRDefault="006373C8" w:rsidP="006373C8">
      <w:pPr>
        <w:pStyle w:val="FootnoteText"/>
        <w:jc w:val="both"/>
      </w:pPr>
      <w:r w:rsidRPr="006373C8">
        <w:rPr>
          <w:rFonts w:ascii="Cambria" w:eastAsia="Cambria" w:hAnsi="Cambria" w:cs="Cambria"/>
          <w:sz w:val="16"/>
          <w:szCs w:val="16"/>
          <w:vertAlign w:val="superscript"/>
        </w:rPr>
        <w:footnoteRef/>
      </w:r>
      <w:r w:rsidRPr="006373C8">
        <w:rPr>
          <w:rFonts w:ascii="Cambria" w:eastAsia="Cambria" w:hAnsi="Cambria" w:cs="Cambria"/>
          <w:sz w:val="16"/>
          <w:szCs w:val="16"/>
        </w:rPr>
        <w:t xml:space="preserve"> </w:t>
      </w:r>
      <w:r>
        <w:rPr>
          <w:rFonts w:ascii="Cambria" w:eastAsia="Cambria" w:hAnsi="Cambria" w:cs="Cambria"/>
          <w:sz w:val="16"/>
          <w:szCs w:val="16"/>
        </w:rPr>
        <w:t xml:space="preserve">IAHR Court, </w:t>
      </w:r>
      <w:r w:rsidRPr="006373C8">
        <w:rPr>
          <w:rFonts w:ascii="Cambria" w:eastAsia="Cambria" w:hAnsi="Cambria" w:cs="Cambria"/>
          <w:sz w:val="16"/>
          <w:szCs w:val="16"/>
        </w:rPr>
        <w:t>Case of Chinchilla Sandoval et al. v. Guatemala. Case of Chinchilla Sandoval et al. v. Guatemala. Preliminary Objection, Merits, Reparations and Costs. Judgment of February 29, 2016. Series C No. 312, para. 170.</w:t>
      </w:r>
    </w:p>
  </w:footnote>
  <w:footnote w:id="86">
    <w:p w14:paraId="558CD4F9" w14:textId="47D94F0F" w:rsidR="006373C8" w:rsidRPr="00E936C8" w:rsidRDefault="006373C8" w:rsidP="00D8110A">
      <w:pPr>
        <w:pStyle w:val="FootnoteText"/>
        <w:jc w:val="both"/>
        <w:rPr>
          <w:rFonts w:ascii="Cambria" w:hAnsi="Cambria" w:cs="Times New Roman"/>
          <w:color w:val="000000" w:themeColor="text1"/>
          <w:sz w:val="16"/>
          <w:szCs w:val="16"/>
        </w:rPr>
      </w:pPr>
      <w:r w:rsidRPr="0028728D">
        <w:rPr>
          <w:rStyle w:val="FootnoteReference"/>
          <w:rFonts w:ascii="Cambria" w:hAnsi="Cambria" w:cs="Times New Roman"/>
          <w:color w:val="000000" w:themeColor="text1"/>
          <w:sz w:val="16"/>
          <w:szCs w:val="16"/>
          <w:lang w:val="es-ES"/>
        </w:rPr>
        <w:footnoteRef/>
      </w:r>
      <w:r>
        <w:rPr>
          <w:rFonts w:ascii="Cambria" w:eastAsia="Cambria" w:hAnsi="Cambria" w:cs="Cambria"/>
          <w:sz w:val="16"/>
          <w:szCs w:val="16"/>
        </w:rPr>
        <w:t xml:space="preserve"> IACHR, Report on the Merits No. 380/20. Case 13.193. Thomas Scott Cochran. </w:t>
      </w:r>
      <w:r w:rsidRPr="00717D88">
        <w:rPr>
          <w:rFonts w:ascii="Cambria" w:eastAsia="Cambria" w:hAnsi="Cambria" w:cs="Cambria"/>
          <w:sz w:val="16"/>
          <w:szCs w:val="16"/>
          <w:lang w:val="es-US"/>
        </w:rPr>
        <w:t xml:space="preserve">Costa Rica. December 15, 2020, para. 96; IAHR Court, Poblete Vilches </w:t>
      </w:r>
      <w:r w:rsidRPr="00717D88">
        <w:rPr>
          <w:rFonts w:ascii="Cambria" w:eastAsia="Cambria" w:hAnsi="Cambria" w:cs="Cambria"/>
          <w:i/>
          <w:sz w:val="16"/>
          <w:szCs w:val="16"/>
          <w:lang w:val="es-US"/>
        </w:rPr>
        <w:t>et al.</w:t>
      </w:r>
      <w:r w:rsidRPr="00717D88">
        <w:rPr>
          <w:rFonts w:ascii="Cambria" w:eastAsia="Cambria" w:hAnsi="Cambria" w:cs="Cambria"/>
          <w:sz w:val="16"/>
          <w:szCs w:val="16"/>
          <w:lang w:val="es-US"/>
        </w:rPr>
        <w:t xml:space="preserve"> v. Chile. </w:t>
      </w:r>
      <w:r>
        <w:rPr>
          <w:rFonts w:ascii="Cambria" w:eastAsia="Cambria" w:hAnsi="Cambria" w:cs="Cambria"/>
          <w:sz w:val="16"/>
          <w:szCs w:val="16"/>
        </w:rPr>
        <w:t xml:space="preserve">Merits, reparations and costs. Judgement of March 8, 2018. Series C No. 349, paras. </w:t>
      </w:r>
      <w:r w:rsidRPr="00717D88">
        <w:rPr>
          <w:rFonts w:ascii="Cambria" w:eastAsia="Cambria" w:hAnsi="Cambria" w:cs="Cambria"/>
          <w:sz w:val="16"/>
          <w:szCs w:val="16"/>
          <w:lang w:val="fr-CA"/>
        </w:rPr>
        <w:t xml:space="preserve">100 et seq.; IAHR Court, Cuscul Piraval </w:t>
      </w:r>
      <w:r w:rsidRPr="00717D88">
        <w:rPr>
          <w:rFonts w:ascii="Cambria" w:eastAsia="Cambria" w:hAnsi="Cambria" w:cs="Cambria"/>
          <w:i/>
          <w:sz w:val="16"/>
          <w:szCs w:val="16"/>
          <w:lang w:val="fr-CA"/>
        </w:rPr>
        <w:t>et al.</w:t>
      </w:r>
      <w:r w:rsidRPr="00717D88">
        <w:rPr>
          <w:rFonts w:ascii="Cambria" w:eastAsia="Cambria" w:hAnsi="Cambria" w:cs="Cambria"/>
          <w:sz w:val="16"/>
          <w:szCs w:val="16"/>
          <w:lang w:val="fr-CA"/>
        </w:rPr>
        <w:t xml:space="preserve"> v. Guatemala. </w:t>
      </w:r>
      <w:r>
        <w:rPr>
          <w:rFonts w:ascii="Cambria" w:eastAsia="Cambria" w:hAnsi="Cambria" w:cs="Cambria"/>
          <w:sz w:val="16"/>
          <w:szCs w:val="16"/>
        </w:rPr>
        <w:t xml:space="preserve">Preliminary objections, merits, reparations and costs. Judgement of August 23, 2018. Series C No. 359, paras. 98 </w:t>
      </w:r>
      <w:r w:rsidRPr="00D847F7">
        <w:rPr>
          <w:rFonts w:ascii="Cambria" w:eastAsia="Cambria" w:hAnsi="Cambria" w:cs="Cambria"/>
          <w:i/>
          <w:iCs/>
          <w:sz w:val="16"/>
          <w:szCs w:val="16"/>
        </w:rPr>
        <w:t>et seq.</w:t>
      </w:r>
    </w:p>
  </w:footnote>
  <w:footnote w:id="87">
    <w:p w14:paraId="16D34A19" w14:textId="780DDB1C" w:rsidR="006373C8" w:rsidRPr="00E936C8" w:rsidRDefault="006373C8" w:rsidP="00D8110A">
      <w:pPr>
        <w:pStyle w:val="FootnoteText"/>
        <w:jc w:val="both"/>
        <w:rPr>
          <w:rFonts w:ascii="Cambria" w:hAnsi="Cambria"/>
          <w:color w:val="000000" w:themeColor="text1"/>
          <w:sz w:val="16"/>
          <w:szCs w:val="16"/>
        </w:rPr>
      </w:pPr>
      <w:r w:rsidRPr="0028728D">
        <w:rPr>
          <w:rStyle w:val="FootnoteReference"/>
          <w:rFonts w:ascii="Cambria" w:hAnsi="Cambria" w:cs="Times New Roman"/>
          <w:color w:val="000000" w:themeColor="text1"/>
          <w:sz w:val="16"/>
          <w:szCs w:val="16"/>
          <w:lang w:val="es-ES"/>
        </w:rPr>
        <w:footnoteRef/>
      </w:r>
      <w:r>
        <w:rPr>
          <w:rFonts w:ascii="Cambria" w:eastAsia="Cambria" w:hAnsi="Cambria" w:cs="Cambria"/>
          <w:sz w:val="16"/>
          <w:szCs w:val="16"/>
        </w:rPr>
        <w:t xml:space="preserve"> IACHR, Report on the Merits No. 236/19. Case 13,002. Cristina Britez Arce and family. Argentina. December 6, 2019, para. 64.</w:t>
      </w:r>
    </w:p>
  </w:footnote>
  <w:footnote w:id="88">
    <w:p w14:paraId="42CE5B4D" w14:textId="69C6948F" w:rsidR="006373C8" w:rsidRPr="00E936C8" w:rsidRDefault="006373C8" w:rsidP="00D8110A">
      <w:pPr>
        <w:pStyle w:val="FootnoteText"/>
        <w:jc w:val="both"/>
        <w:rPr>
          <w:rFonts w:ascii="Cambria" w:hAnsi="Cambria"/>
          <w:color w:val="000000" w:themeColor="text1"/>
          <w:sz w:val="16"/>
          <w:szCs w:val="16"/>
        </w:rPr>
      </w:pPr>
      <w:r w:rsidRPr="0028728D">
        <w:rPr>
          <w:rStyle w:val="FootnoteReference"/>
          <w:rFonts w:ascii="Cambria" w:hAnsi="Cambria"/>
          <w:color w:val="000000" w:themeColor="text1"/>
          <w:sz w:val="16"/>
          <w:szCs w:val="16"/>
          <w:lang w:val="es-ES"/>
        </w:rPr>
        <w:footnoteRef/>
      </w:r>
      <w:r>
        <w:rPr>
          <w:rFonts w:ascii="Cambria" w:eastAsia="Cambria" w:hAnsi="Cambria" w:cs="Cambria"/>
          <w:sz w:val="16"/>
          <w:szCs w:val="16"/>
        </w:rPr>
        <w:t xml:space="preserve"> IAHR Court, Hernández v. Argentina. Preliminary objections, merits, reparations and costs. Judgement of November 22, 2019. Series C No. 395, para. 96. </w:t>
      </w:r>
    </w:p>
  </w:footnote>
  <w:footnote w:id="89">
    <w:p w14:paraId="019177FC" w14:textId="115A41C3" w:rsidR="006373C8" w:rsidRPr="00E936C8" w:rsidRDefault="006373C8" w:rsidP="00913B80">
      <w:pPr>
        <w:pStyle w:val="FootnoteText"/>
        <w:rPr>
          <w:rFonts w:ascii="Cambria" w:hAnsi="Cambria"/>
          <w:color w:val="auto"/>
          <w:sz w:val="16"/>
          <w:szCs w:val="16"/>
        </w:rPr>
      </w:pPr>
      <w:r w:rsidRPr="0028728D">
        <w:rPr>
          <w:rStyle w:val="FootnoteReference"/>
          <w:rFonts w:ascii="Cambria" w:hAnsi="Cambria"/>
          <w:color w:val="auto"/>
          <w:sz w:val="16"/>
          <w:szCs w:val="16"/>
        </w:rPr>
        <w:footnoteRef/>
      </w:r>
      <w:r>
        <w:rPr>
          <w:rFonts w:ascii="Cambria" w:eastAsia="Cambria" w:hAnsi="Cambria" w:cs="Cambria"/>
          <w:color w:val="auto"/>
          <w:sz w:val="16"/>
          <w:szCs w:val="16"/>
        </w:rPr>
        <w:t xml:space="preserve"> IAHR Court, Cuscul Piraval </w:t>
      </w:r>
      <w:r w:rsidRPr="007A6E43">
        <w:rPr>
          <w:rFonts w:ascii="Cambria" w:eastAsia="Cambria" w:hAnsi="Cambria" w:cs="Cambria"/>
          <w:i/>
          <w:color w:val="auto"/>
          <w:sz w:val="16"/>
          <w:szCs w:val="16"/>
        </w:rPr>
        <w:t>et al.</w:t>
      </w:r>
      <w:r>
        <w:rPr>
          <w:rFonts w:ascii="Cambria" w:eastAsia="Cambria" w:hAnsi="Cambria" w:cs="Cambria"/>
          <w:color w:val="auto"/>
          <w:sz w:val="16"/>
          <w:szCs w:val="16"/>
        </w:rPr>
        <w:t xml:space="preserve"> v.</w:t>
      </w:r>
      <w:r>
        <w:rPr>
          <w:rFonts w:ascii="Cambria" w:eastAsia="Cambria" w:hAnsi="Cambria" w:cs="Cambria"/>
          <w:i/>
          <w:iCs/>
          <w:color w:val="auto"/>
          <w:sz w:val="16"/>
          <w:szCs w:val="16"/>
        </w:rPr>
        <w:t xml:space="preserve"> </w:t>
      </w:r>
      <w:r w:rsidRPr="008D1B3E">
        <w:rPr>
          <w:rFonts w:ascii="Cambria" w:eastAsia="Cambria" w:hAnsi="Cambria" w:cs="Cambria"/>
          <w:iCs/>
          <w:color w:val="auto"/>
          <w:sz w:val="16"/>
          <w:szCs w:val="16"/>
        </w:rPr>
        <w:t>Guatemala</w:t>
      </w:r>
      <w:r>
        <w:rPr>
          <w:rFonts w:ascii="Cambria" w:eastAsia="Cambria" w:hAnsi="Cambria" w:cs="Cambria"/>
          <w:i/>
          <w:iCs/>
          <w:color w:val="auto"/>
          <w:sz w:val="16"/>
          <w:szCs w:val="16"/>
        </w:rPr>
        <w:t>.</w:t>
      </w:r>
      <w:r>
        <w:rPr>
          <w:rFonts w:ascii="Cambria" w:eastAsia="Cambria" w:hAnsi="Cambria" w:cs="Cambria"/>
          <w:color w:val="auto"/>
          <w:sz w:val="16"/>
          <w:szCs w:val="16"/>
        </w:rPr>
        <w:t xml:space="preserve"> Preliminary objections, merits, reparations and costs. Judgement of August 23, 2018. Series C No. 359, para. 105.</w:t>
      </w:r>
    </w:p>
  </w:footnote>
  <w:footnote w:id="90">
    <w:p w14:paraId="44B4BE50" w14:textId="24CB0078" w:rsidR="006373C8" w:rsidRPr="00E936C8" w:rsidRDefault="006373C8" w:rsidP="00913B80">
      <w:pPr>
        <w:pStyle w:val="FootnoteText"/>
        <w:rPr>
          <w:rFonts w:ascii="Cambria" w:hAnsi="Cambria"/>
          <w:color w:val="auto"/>
          <w:sz w:val="16"/>
          <w:szCs w:val="16"/>
        </w:rPr>
      </w:pPr>
      <w:r w:rsidRPr="0028728D">
        <w:rPr>
          <w:rStyle w:val="FootnoteReference"/>
          <w:rFonts w:ascii="Cambria" w:hAnsi="Cambria"/>
          <w:color w:val="auto"/>
          <w:sz w:val="16"/>
          <w:szCs w:val="16"/>
        </w:rPr>
        <w:footnoteRef/>
      </w:r>
      <w:r>
        <w:rPr>
          <w:rFonts w:ascii="Cambria" w:eastAsia="Cambria" w:hAnsi="Cambria" w:cs="Cambria"/>
          <w:color w:val="auto"/>
          <w:sz w:val="16"/>
          <w:szCs w:val="16"/>
        </w:rPr>
        <w:t xml:space="preserve"> IAHR Court, Suárez Peralta v. Ecuador.</w:t>
      </w:r>
      <w:r>
        <w:rPr>
          <w:rFonts w:ascii="Cambria" w:eastAsia="Cambria" w:hAnsi="Cambria" w:cs="Cambria"/>
          <w:i/>
          <w:iCs/>
          <w:color w:val="auto"/>
          <w:sz w:val="16"/>
          <w:szCs w:val="16"/>
        </w:rPr>
        <w:t xml:space="preserve"> </w:t>
      </w:r>
      <w:r>
        <w:rPr>
          <w:rFonts w:ascii="Cambria" w:eastAsia="Cambria" w:hAnsi="Cambria" w:cs="Cambria"/>
          <w:color w:val="auto"/>
          <w:sz w:val="16"/>
          <w:szCs w:val="16"/>
        </w:rPr>
        <w:t>Preliminary objections, merits, reparations and costs. Judgement of May 21, 2013. Series C No. 261.</w:t>
      </w:r>
    </w:p>
  </w:footnote>
  <w:footnote w:id="91">
    <w:p w14:paraId="64F5CCA4" w14:textId="0ECB06C1" w:rsidR="006373C8" w:rsidRPr="00E936C8" w:rsidRDefault="006373C8" w:rsidP="00866305">
      <w:pPr>
        <w:pStyle w:val="FootnoteText"/>
        <w:rPr>
          <w:rFonts w:ascii="Cambria" w:hAnsi="Cambria"/>
          <w:color w:val="auto"/>
          <w:sz w:val="16"/>
          <w:szCs w:val="16"/>
        </w:rPr>
      </w:pPr>
      <w:r w:rsidRPr="0028728D">
        <w:rPr>
          <w:rStyle w:val="FootnoteReference"/>
          <w:rFonts w:ascii="Cambria" w:hAnsi="Cambria"/>
          <w:color w:val="auto"/>
          <w:sz w:val="16"/>
          <w:szCs w:val="16"/>
        </w:rPr>
        <w:footnoteRef/>
      </w:r>
      <w:r w:rsidRPr="00AE4542">
        <w:rPr>
          <w:rFonts w:ascii="Cambria" w:eastAsia="Cambria" w:hAnsi="Cambria" w:cs="Cambria"/>
          <w:color w:val="auto"/>
          <w:sz w:val="16"/>
          <w:szCs w:val="16"/>
        </w:rPr>
        <w:t xml:space="preserve"> IAHR Court, Vera Vera </w:t>
      </w:r>
      <w:r w:rsidRPr="00AE4542">
        <w:rPr>
          <w:rFonts w:ascii="Cambria" w:eastAsia="Cambria" w:hAnsi="Cambria" w:cs="Cambria"/>
          <w:i/>
          <w:color w:val="auto"/>
          <w:sz w:val="16"/>
          <w:szCs w:val="16"/>
        </w:rPr>
        <w:t>et al.</w:t>
      </w:r>
      <w:r w:rsidRPr="00AE4542">
        <w:rPr>
          <w:rFonts w:ascii="Cambria" w:eastAsia="Cambria" w:hAnsi="Cambria" w:cs="Cambria"/>
          <w:color w:val="auto"/>
          <w:sz w:val="16"/>
          <w:szCs w:val="16"/>
        </w:rPr>
        <w:t xml:space="preserve"> v. Ecuador. </w:t>
      </w:r>
      <w:r>
        <w:rPr>
          <w:rFonts w:ascii="Cambria" w:eastAsia="Cambria" w:hAnsi="Cambria" w:cs="Cambria"/>
          <w:color w:val="auto"/>
          <w:sz w:val="16"/>
          <w:szCs w:val="16"/>
        </w:rPr>
        <w:t xml:space="preserve">Preliminary objections, merits, reparations and costs. Judgement of May 19, 2011. Series C No. 226, para. 44. </w:t>
      </w:r>
    </w:p>
  </w:footnote>
  <w:footnote w:id="92">
    <w:p w14:paraId="44B8A31E" w14:textId="21D4B168" w:rsidR="006373C8" w:rsidRPr="00E936C8" w:rsidRDefault="006373C8" w:rsidP="00866305">
      <w:pPr>
        <w:pStyle w:val="FootnoteText"/>
        <w:rPr>
          <w:rFonts w:ascii="Cambria" w:hAnsi="Cambria"/>
          <w:color w:val="auto"/>
          <w:sz w:val="16"/>
          <w:szCs w:val="16"/>
        </w:rPr>
      </w:pPr>
      <w:r w:rsidRPr="0028728D">
        <w:rPr>
          <w:rStyle w:val="FootnoteReference"/>
          <w:rFonts w:ascii="Cambria" w:hAnsi="Cambria"/>
          <w:color w:val="auto"/>
          <w:sz w:val="16"/>
          <w:szCs w:val="16"/>
        </w:rPr>
        <w:footnoteRef/>
      </w:r>
      <w:r>
        <w:rPr>
          <w:rFonts w:ascii="Cambria" w:eastAsia="Cambria" w:hAnsi="Cambria" w:cs="Cambria"/>
          <w:color w:val="auto"/>
          <w:sz w:val="16"/>
          <w:szCs w:val="16"/>
        </w:rPr>
        <w:t xml:space="preserve"> IAHR Court, Hernández v. Argentina. Preliminary objections, merits, reparations and costs. Judgement of November 22, 2019. Series C No. 395.</w:t>
      </w:r>
    </w:p>
  </w:footnote>
  <w:footnote w:id="93">
    <w:p w14:paraId="7A56932E" w14:textId="77777777" w:rsidR="006373C8" w:rsidRPr="00E936C8" w:rsidRDefault="006373C8" w:rsidP="00D8110A">
      <w:pPr>
        <w:pStyle w:val="FootnoteText"/>
        <w:jc w:val="both"/>
        <w:rPr>
          <w:rFonts w:ascii="Cambria" w:hAnsi="Cambria"/>
          <w:color w:val="000000" w:themeColor="text1"/>
          <w:sz w:val="16"/>
          <w:szCs w:val="16"/>
        </w:rPr>
      </w:pPr>
      <w:r w:rsidRPr="0028728D">
        <w:rPr>
          <w:rStyle w:val="FootnoteReference"/>
          <w:rFonts w:ascii="Cambria" w:hAnsi="Cambria"/>
          <w:color w:val="000000" w:themeColor="text1"/>
          <w:sz w:val="16"/>
          <w:szCs w:val="16"/>
          <w:lang w:val="es-ES"/>
        </w:rPr>
        <w:footnoteRef/>
      </w:r>
      <w:r>
        <w:rPr>
          <w:rFonts w:ascii="Cambria" w:eastAsia="Cambria" w:hAnsi="Cambria" w:cs="Cambria"/>
          <w:sz w:val="16"/>
          <w:szCs w:val="16"/>
        </w:rPr>
        <w:t xml:space="preserve"> IAHR Court, Case of the “Juvenile Reeducation Institute” v. Paraguay. Judgement of September 2, 2004, para. 152; Mendoza v. Argentina. Judgement of May 14, 2013, para. 188; see also Caesar v. Trinidad and Tobago. Judgement of March 11, 2005, para. 97; Fermín Ramírez v. Guatemala. Judgement of June 20, 2005, para. 118.</w:t>
      </w:r>
    </w:p>
  </w:footnote>
  <w:footnote w:id="94">
    <w:p w14:paraId="66595162" w14:textId="77777777" w:rsidR="006373C8" w:rsidRPr="00E936C8" w:rsidRDefault="006373C8" w:rsidP="00866305">
      <w:pPr>
        <w:pStyle w:val="FootnoteText"/>
        <w:rPr>
          <w:rFonts w:ascii="Cambria" w:hAnsi="Cambria"/>
          <w:color w:val="auto"/>
          <w:sz w:val="16"/>
          <w:szCs w:val="16"/>
        </w:rPr>
      </w:pPr>
      <w:r w:rsidRPr="0028728D">
        <w:rPr>
          <w:rStyle w:val="FootnoteReference"/>
          <w:rFonts w:ascii="Cambria" w:hAnsi="Cambria"/>
          <w:color w:val="auto"/>
          <w:sz w:val="16"/>
          <w:szCs w:val="16"/>
        </w:rPr>
        <w:footnoteRef/>
      </w:r>
      <w:r>
        <w:rPr>
          <w:rFonts w:ascii="Cambria" w:eastAsia="Cambria" w:hAnsi="Cambria" w:cs="Cambria"/>
          <w:color w:val="auto"/>
          <w:sz w:val="16"/>
          <w:szCs w:val="16"/>
        </w:rPr>
        <w:t xml:space="preserve"> IAHR Court, Mendoza v. Argentina. Judgement of May 14, 2013, para. 203. </w:t>
      </w:r>
    </w:p>
  </w:footnote>
  <w:footnote w:id="95">
    <w:p w14:paraId="0B93F83E" w14:textId="43F009D2" w:rsidR="006373C8" w:rsidRPr="00A623AB" w:rsidRDefault="006373C8" w:rsidP="00866305">
      <w:pPr>
        <w:pStyle w:val="FootnoteText"/>
        <w:rPr>
          <w:rFonts w:ascii="Cambria" w:hAnsi="Cambria"/>
          <w:color w:val="auto"/>
          <w:sz w:val="16"/>
          <w:szCs w:val="16"/>
        </w:rPr>
      </w:pPr>
      <w:r w:rsidRPr="0028728D">
        <w:rPr>
          <w:rStyle w:val="FootnoteReference"/>
          <w:rFonts w:ascii="Cambria" w:hAnsi="Cambria"/>
          <w:color w:val="auto"/>
          <w:sz w:val="16"/>
          <w:szCs w:val="16"/>
        </w:rPr>
        <w:footnoteRef/>
      </w:r>
      <w:r>
        <w:rPr>
          <w:rFonts w:ascii="Cambria" w:eastAsia="Cambria" w:hAnsi="Cambria" w:cs="Cambria"/>
          <w:color w:val="auto"/>
          <w:sz w:val="16"/>
          <w:szCs w:val="16"/>
        </w:rPr>
        <w:t xml:space="preserve"> IAHR Court, Mendoza v. Argentina. Judgement of May 14, 2013, para. 203. IACHR, Report No. 119/18. </w:t>
      </w:r>
      <w:r w:rsidRPr="00AE4542">
        <w:rPr>
          <w:rFonts w:ascii="Cambria" w:eastAsia="Cambria" w:hAnsi="Cambria" w:cs="Cambria"/>
          <w:color w:val="auto"/>
          <w:sz w:val="16"/>
          <w:szCs w:val="16"/>
        </w:rPr>
        <w:t xml:space="preserve">Case 12,814. Merits. Orlando Edgardo Olivares Muñoz </w:t>
      </w:r>
      <w:r w:rsidRPr="00AE4542">
        <w:rPr>
          <w:rFonts w:ascii="Cambria" w:eastAsia="Cambria" w:hAnsi="Cambria" w:cs="Cambria"/>
          <w:i/>
          <w:color w:val="auto"/>
          <w:sz w:val="16"/>
          <w:szCs w:val="16"/>
        </w:rPr>
        <w:t>et al.</w:t>
      </w:r>
      <w:r w:rsidRPr="00AE4542">
        <w:rPr>
          <w:rFonts w:ascii="Cambria" w:eastAsia="Cambria" w:hAnsi="Cambria" w:cs="Cambria"/>
          <w:color w:val="auto"/>
          <w:sz w:val="16"/>
          <w:szCs w:val="16"/>
        </w:rPr>
        <w:t xml:space="preserve"> (Deaths at the Vista Hermosa Prison). Venezuela. October 5, 2018, para. </w:t>
      </w:r>
      <w:r w:rsidRPr="00A623AB">
        <w:rPr>
          <w:rFonts w:ascii="Cambria" w:eastAsia="Cambria" w:hAnsi="Cambria" w:cs="Cambria"/>
          <w:color w:val="auto"/>
          <w:sz w:val="16"/>
          <w:szCs w:val="16"/>
        </w:rPr>
        <w:t>65.</w:t>
      </w:r>
    </w:p>
  </w:footnote>
  <w:footnote w:id="96">
    <w:p w14:paraId="46A71B9E" w14:textId="2BCF689C" w:rsidR="006373C8" w:rsidRPr="00E936C8" w:rsidRDefault="006373C8" w:rsidP="00D8110A">
      <w:pPr>
        <w:pStyle w:val="FootnoteText"/>
        <w:jc w:val="both"/>
        <w:rPr>
          <w:rFonts w:ascii="Cambria" w:hAnsi="Cambria"/>
          <w:color w:val="000000" w:themeColor="text1"/>
          <w:sz w:val="16"/>
          <w:szCs w:val="16"/>
        </w:rPr>
      </w:pPr>
      <w:r w:rsidRPr="0028728D">
        <w:rPr>
          <w:rStyle w:val="FootnoteReference"/>
          <w:rFonts w:ascii="Cambria" w:hAnsi="Cambria"/>
          <w:color w:val="000000" w:themeColor="text1"/>
          <w:sz w:val="16"/>
          <w:szCs w:val="16"/>
          <w:lang w:val="es-ES"/>
        </w:rPr>
        <w:footnoteRef/>
      </w:r>
      <w:r w:rsidRPr="00A623AB">
        <w:rPr>
          <w:rFonts w:ascii="Cambria" w:eastAsia="Cambria" w:hAnsi="Cambria" w:cs="Cambria"/>
          <w:sz w:val="16"/>
          <w:szCs w:val="16"/>
        </w:rPr>
        <w:t xml:space="preserve"> IAHR Court, Díaz Peña v. Venezuela. </w:t>
      </w:r>
      <w:r>
        <w:rPr>
          <w:rFonts w:ascii="Cambria" w:eastAsia="Cambria" w:hAnsi="Cambria" w:cs="Cambria"/>
          <w:sz w:val="16"/>
          <w:szCs w:val="16"/>
        </w:rPr>
        <w:t>Preliminary objections, merits, reparations and costs. Judgement of June 26, 2012. Series C No. 244, para. 135; J. v. Peru. Preliminary objections, merits, reparations and costs. Judgement of November 27, 2013, para. 372.</w:t>
      </w:r>
    </w:p>
  </w:footnote>
  <w:footnote w:id="97">
    <w:p w14:paraId="13DB65FA" w14:textId="27AF0BC3" w:rsidR="006373C8" w:rsidRPr="00E936C8" w:rsidRDefault="006373C8" w:rsidP="00D8110A">
      <w:pPr>
        <w:pStyle w:val="FootnoteText"/>
        <w:jc w:val="both"/>
        <w:rPr>
          <w:rFonts w:ascii="Cambria" w:hAnsi="Cambria"/>
          <w:color w:val="000000" w:themeColor="text1"/>
          <w:sz w:val="16"/>
          <w:szCs w:val="16"/>
        </w:rPr>
      </w:pPr>
      <w:r w:rsidRPr="0028728D">
        <w:rPr>
          <w:rStyle w:val="FootnoteReference"/>
          <w:rFonts w:ascii="Cambria" w:hAnsi="Cambria"/>
          <w:color w:val="000000" w:themeColor="text1"/>
          <w:sz w:val="16"/>
          <w:szCs w:val="16"/>
          <w:lang w:val="es-ES"/>
        </w:rPr>
        <w:footnoteRef/>
      </w:r>
      <w:r w:rsidRPr="00AE4542">
        <w:rPr>
          <w:rFonts w:ascii="Cambria" w:eastAsia="Cambria" w:hAnsi="Cambria" w:cs="Cambria"/>
          <w:sz w:val="16"/>
          <w:szCs w:val="16"/>
        </w:rPr>
        <w:t xml:space="preserve"> IAHR Court, Pacheco Teruel </w:t>
      </w:r>
      <w:r w:rsidRPr="00AE4542">
        <w:rPr>
          <w:rFonts w:ascii="Cambria" w:eastAsia="Cambria" w:hAnsi="Cambria" w:cs="Cambria"/>
          <w:i/>
          <w:sz w:val="16"/>
          <w:szCs w:val="16"/>
        </w:rPr>
        <w:t>et al.</w:t>
      </w:r>
      <w:r w:rsidRPr="00AE4542">
        <w:rPr>
          <w:rFonts w:ascii="Cambria" w:eastAsia="Cambria" w:hAnsi="Cambria" w:cs="Cambria"/>
          <w:sz w:val="16"/>
          <w:szCs w:val="16"/>
        </w:rPr>
        <w:t xml:space="preserve"> v. Honduras. </w:t>
      </w:r>
      <w:r>
        <w:rPr>
          <w:rFonts w:ascii="Cambria" w:eastAsia="Cambria" w:hAnsi="Cambria" w:cs="Cambria"/>
          <w:sz w:val="16"/>
          <w:szCs w:val="16"/>
        </w:rPr>
        <w:t>Merits, reparations and costs. Judgement of April 27, 2012. Series C No. 241, para. 67.</w:t>
      </w:r>
    </w:p>
  </w:footnote>
  <w:footnote w:id="98">
    <w:p w14:paraId="62E3D8AC" w14:textId="68D5C00B" w:rsidR="006373C8" w:rsidRPr="00AE4542" w:rsidRDefault="006373C8" w:rsidP="008A4A41">
      <w:pPr>
        <w:pStyle w:val="FootnoteText"/>
        <w:jc w:val="both"/>
        <w:rPr>
          <w:rFonts w:ascii="Cambria" w:hAnsi="Cambria"/>
          <w:color w:val="000000" w:themeColor="text1"/>
          <w:sz w:val="16"/>
          <w:szCs w:val="16"/>
        </w:rPr>
      </w:pPr>
      <w:r w:rsidRPr="0028728D">
        <w:rPr>
          <w:rStyle w:val="FootnoteReference"/>
          <w:rFonts w:ascii="Cambria" w:hAnsi="Cambria"/>
          <w:color w:val="000000" w:themeColor="text1"/>
          <w:sz w:val="16"/>
          <w:szCs w:val="16"/>
          <w:lang w:val="es-ES"/>
        </w:rPr>
        <w:footnoteRef/>
      </w:r>
      <w:r w:rsidRPr="00AE4542">
        <w:rPr>
          <w:rFonts w:ascii="Cambria" w:eastAsia="Cambria" w:hAnsi="Cambria" w:cs="Cambria"/>
          <w:sz w:val="16"/>
          <w:szCs w:val="16"/>
        </w:rPr>
        <w:t xml:space="preserve"> IAHR Court, Vera Vera </w:t>
      </w:r>
      <w:r w:rsidRPr="00AE4542">
        <w:rPr>
          <w:rFonts w:ascii="Cambria" w:eastAsia="Cambria" w:hAnsi="Cambria" w:cs="Cambria"/>
          <w:i/>
          <w:sz w:val="16"/>
          <w:szCs w:val="16"/>
        </w:rPr>
        <w:t>et al.</w:t>
      </w:r>
      <w:r w:rsidRPr="00AE4542">
        <w:rPr>
          <w:rFonts w:ascii="Cambria" w:eastAsia="Cambria" w:hAnsi="Cambria" w:cs="Cambria"/>
          <w:sz w:val="16"/>
          <w:szCs w:val="16"/>
        </w:rPr>
        <w:t xml:space="preserve"> v. Ecuador. </w:t>
      </w:r>
      <w:r>
        <w:rPr>
          <w:rFonts w:ascii="Cambria" w:eastAsia="Cambria" w:hAnsi="Cambria" w:cs="Cambria"/>
          <w:sz w:val="16"/>
          <w:szCs w:val="16"/>
        </w:rPr>
        <w:t xml:space="preserve">Preliminary objections, merits, reparations and costs. Judgement of May 19, 2011. Series C No. 226, para. 50; IAHR Court, Mendoza </w:t>
      </w:r>
      <w:r w:rsidRPr="00D847F7">
        <w:rPr>
          <w:rFonts w:ascii="Cambria" w:eastAsia="Cambria" w:hAnsi="Cambria" w:cs="Cambria"/>
          <w:i/>
          <w:iCs/>
          <w:sz w:val="16"/>
          <w:szCs w:val="16"/>
        </w:rPr>
        <w:t>et al</w:t>
      </w:r>
      <w:r>
        <w:rPr>
          <w:rFonts w:ascii="Cambria" w:eastAsia="Cambria" w:hAnsi="Cambria" w:cs="Cambria"/>
          <w:sz w:val="16"/>
          <w:szCs w:val="16"/>
        </w:rPr>
        <w:t xml:space="preserve"> v. Argentina. Preliminary objections, merits and reparations. Judgement of May 14, 2013. Series C No. 260, para. </w:t>
      </w:r>
      <w:r w:rsidRPr="00AE4542">
        <w:rPr>
          <w:rFonts w:ascii="Cambria" w:eastAsia="Cambria" w:hAnsi="Cambria" w:cs="Cambria"/>
          <w:sz w:val="16"/>
          <w:szCs w:val="16"/>
        </w:rPr>
        <w:t xml:space="preserve">189; IACHR, Report No. 7/14. Case 12,739. Merits. María Inés Chinchilla Sandoval </w:t>
      </w:r>
      <w:r w:rsidRPr="00AE4542">
        <w:rPr>
          <w:rFonts w:ascii="Cambria" w:eastAsia="Cambria" w:hAnsi="Cambria" w:cs="Cambria"/>
          <w:i/>
          <w:sz w:val="16"/>
          <w:szCs w:val="16"/>
        </w:rPr>
        <w:t>et al.</w:t>
      </w:r>
      <w:r w:rsidRPr="00AE4542">
        <w:rPr>
          <w:rFonts w:ascii="Cambria" w:eastAsia="Cambria" w:hAnsi="Cambria" w:cs="Cambria"/>
          <w:sz w:val="16"/>
          <w:szCs w:val="16"/>
        </w:rPr>
        <w:t xml:space="preserve"> Guatemala. April 2, 2014, para. 127.</w:t>
      </w:r>
    </w:p>
  </w:footnote>
  <w:footnote w:id="99">
    <w:p w14:paraId="59FC28CE" w14:textId="23D9B18D" w:rsidR="006373C8" w:rsidRPr="00E936C8" w:rsidRDefault="006373C8" w:rsidP="008A4A41">
      <w:pPr>
        <w:pStyle w:val="FootnoteText"/>
        <w:jc w:val="both"/>
        <w:rPr>
          <w:rFonts w:ascii="Cambria" w:hAnsi="Cambria"/>
          <w:color w:val="000000" w:themeColor="text1"/>
          <w:sz w:val="16"/>
          <w:szCs w:val="16"/>
        </w:rPr>
      </w:pPr>
      <w:r w:rsidRPr="0028728D">
        <w:rPr>
          <w:rStyle w:val="FootnoteReference"/>
          <w:rFonts w:ascii="Cambria" w:hAnsi="Cambria"/>
          <w:color w:val="000000" w:themeColor="text1"/>
          <w:sz w:val="16"/>
          <w:szCs w:val="16"/>
          <w:lang w:val="es-ES"/>
        </w:rPr>
        <w:footnoteRef/>
      </w:r>
      <w:r w:rsidRPr="00AE4542">
        <w:rPr>
          <w:rFonts w:ascii="Cambria" w:eastAsia="Cambria" w:hAnsi="Cambria" w:cs="Cambria"/>
          <w:sz w:val="16"/>
          <w:szCs w:val="16"/>
        </w:rPr>
        <w:t xml:space="preserve"> </w:t>
      </w:r>
      <w:r w:rsidRPr="00AE4542">
        <w:rPr>
          <w:rFonts w:ascii="Cambria" w:eastAsia="Cambria" w:hAnsi="Cambria" w:cs="Cambria"/>
          <w:sz w:val="16"/>
          <w:szCs w:val="16"/>
          <w:shd w:val="clear" w:color="auto" w:fill="FFFFFF"/>
        </w:rPr>
        <w:t xml:space="preserve">IAHR Court, Vera Vera </w:t>
      </w:r>
      <w:r w:rsidRPr="00AE4542">
        <w:rPr>
          <w:rFonts w:ascii="Cambria" w:eastAsia="Cambria" w:hAnsi="Cambria" w:cs="Cambria"/>
          <w:i/>
          <w:sz w:val="16"/>
          <w:szCs w:val="16"/>
          <w:shd w:val="clear" w:color="auto" w:fill="FFFFFF"/>
        </w:rPr>
        <w:t>et al.</w:t>
      </w:r>
      <w:r w:rsidRPr="00AE4542">
        <w:rPr>
          <w:rFonts w:ascii="Cambria" w:eastAsia="Cambria" w:hAnsi="Cambria" w:cs="Cambria"/>
          <w:sz w:val="16"/>
          <w:szCs w:val="16"/>
          <w:shd w:val="clear" w:color="auto" w:fill="FFFFFF"/>
        </w:rPr>
        <w:t xml:space="preserve"> v. Ecuador. </w:t>
      </w:r>
      <w:r>
        <w:rPr>
          <w:rFonts w:ascii="Cambria" w:eastAsia="Cambria" w:hAnsi="Cambria" w:cs="Cambria"/>
          <w:sz w:val="16"/>
          <w:szCs w:val="16"/>
          <w:shd w:val="clear" w:color="auto" w:fill="FFFFFF"/>
        </w:rPr>
        <w:t>Preliminary objections, merits, reparations and costs. Judgement of May 19, 2011. Series C No. 226, para. 50.</w:t>
      </w:r>
    </w:p>
  </w:footnote>
  <w:footnote w:id="100">
    <w:p w14:paraId="39B65D60" w14:textId="72565A53" w:rsidR="006373C8" w:rsidRPr="00E936C8" w:rsidRDefault="006373C8" w:rsidP="008A4A41">
      <w:pPr>
        <w:pStyle w:val="FootnoteText"/>
        <w:jc w:val="both"/>
        <w:rPr>
          <w:rFonts w:ascii="Cambria" w:hAnsi="Cambria"/>
          <w:color w:val="000000" w:themeColor="text1"/>
          <w:sz w:val="16"/>
          <w:szCs w:val="16"/>
        </w:rPr>
      </w:pPr>
      <w:r w:rsidRPr="0028728D">
        <w:rPr>
          <w:rStyle w:val="FootnoteReference"/>
          <w:rFonts w:ascii="Cambria" w:hAnsi="Cambria"/>
          <w:color w:val="000000" w:themeColor="text1"/>
          <w:sz w:val="16"/>
          <w:szCs w:val="16"/>
          <w:lang w:val="es-ES"/>
        </w:rPr>
        <w:footnoteRef/>
      </w:r>
      <w:r w:rsidRPr="00AE4542">
        <w:rPr>
          <w:rFonts w:ascii="Cambria" w:eastAsia="Cambria" w:hAnsi="Cambria" w:cs="Cambria"/>
          <w:sz w:val="16"/>
          <w:szCs w:val="16"/>
        </w:rPr>
        <w:t xml:space="preserve"> </w:t>
      </w:r>
      <w:r w:rsidRPr="00AE4542">
        <w:rPr>
          <w:rFonts w:ascii="Cambria" w:eastAsia="Cambria" w:hAnsi="Cambria" w:cs="Cambria"/>
          <w:sz w:val="16"/>
          <w:szCs w:val="16"/>
          <w:shd w:val="clear" w:color="auto" w:fill="FFFFFF"/>
        </w:rPr>
        <w:t xml:space="preserve">IAHR Court, Vera Vera </w:t>
      </w:r>
      <w:r w:rsidRPr="00AE4542">
        <w:rPr>
          <w:rFonts w:ascii="Cambria" w:eastAsia="Cambria" w:hAnsi="Cambria" w:cs="Cambria"/>
          <w:i/>
          <w:sz w:val="16"/>
          <w:szCs w:val="16"/>
          <w:shd w:val="clear" w:color="auto" w:fill="FFFFFF"/>
        </w:rPr>
        <w:t>et al.</w:t>
      </w:r>
      <w:r w:rsidRPr="00AE4542">
        <w:rPr>
          <w:rFonts w:ascii="Cambria" w:eastAsia="Cambria" w:hAnsi="Cambria" w:cs="Cambria"/>
          <w:sz w:val="16"/>
          <w:szCs w:val="16"/>
          <w:shd w:val="clear" w:color="auto" w:fill="FFFFFF"/>
        </w:rPr>
        <w:t xml:space="preserve"> v. Ecuador. </w:t>
      </w:r>
      <w:r>
        <w:rPr>
          <w:rFonts w:ascii="Cambria" w:eastAsia="Cambria" w:hAnsi="Cambria" w:cs="Cambria"/>
          <w:sz w:val="16"/>
          <w:szCs w:val="16"/>
          <w:shd w:val="clear" w:color="auto" w:fill="FFFFFF"/>
        </w:rPr>
        <w:t>Preliminary objections, merits, reparations and costs. Judgement of May 19, 2011. Series C No. 226, para. 51.</w:t>
      </w:r>
    </w:p>
  </w:footnote>
  <w:footnote w:id="101">
    <w:p w14:paraId="2428ECFD" w14:textId="6A7237D2" w:rsidR="006373C8" w:rsidRPr="00E936C8" w:rsidRDefault="006373C8" w:rsidP="005251FB">
      <w:pPr>
        <w:pStyle w:val="FootnoteText"/>
        <w:jc w:val="both"/>
        <w:rPr>
          <w:rFonts w:ascii="Cambria" w:hAnsi="Cambria" w:cs="Times New Roman"/>
          <w:color w:val="000000" w:themeColor="text1"/>
          <w:sz w:val="16"/>
          <w:szCs w:val="16"/>
        </w:rPr>
      </w:pPr>
      <w:r w:rsidRPr="0028728D">
        <w:rPr>
          <w:rStyle w:val="FootnoteReference"/>
          <w:rFonts w:ascii="Cambria" w:hAnsi="Cambria" w:cs="Times New Roman"/>
          <w:color w:val="000000" w:themeColor="text1"/>
          <w:sz w:val="16"/>
          <w:szCs w:val="16"/>
          <w:lang w:val="es-ES"/>
        </w:rPr>
        <w:footnoteRef/>
      </w:r>
      <w:r>
        <w:rPr>
          <w:rFonts w:ascii="Cambria" w:eastAsia="Cambria" w:hAnsi="Cambria" w:cs="Cambria"/>
          <w:sz w:val="16"/>
          <w:szCs w:val="16"/>
        </w:rPr>
        <w:t xml:space="preserve"> IACHR, Report on the Merits No. 380/20. Case 13,193. Thomas Scott Cochran. Costa Rica. December 15, 2020, para. 97; European Committee for the Prevention of Torture and Inhumane or Degrading Treatment or Punishment, 3rd General Report covering the period of January 1 to December 31, 1992. Ref.: CPT/Inf (93) 12, published on June 4, 1993, para. 38.</w:t>
      </w:r>
    </w:p>
  </w:footnote>
  <w:footnote w:id="102">
    <w:p w14:paraId="511879D4" w14:textId="5B3D56D6" w:rsidR="006373C8" w:rsidRPr="00E936C8" w:rsidRDefault="006373C8" w:rsidP="005251FB">
      <w:pPr>
        <w:pStyle w:val="FootnoteText"/>
        <w:jc w:val="both"/>
        <w:rPr>
          <w:rFonts w:ascii="Cambria" w:hAnsi="Cambria" w:cs="Times New Roman"/>
          <w:color w:val="000000" w:themeColor="text1"/>
          <w:sz w:val="16"/>
          <w:szCs w:val="16"/>
        </w:rPr>
      </w:pPr>
      <w:r w:rsidRPr="0028728D">
        <w:rPr>
          <w:rStyle w:val="FootnoteReference"/>
          <w:rFonts w:ascii="Cambria" w:hAnsi="Cambria" w:cs="Times New Roman"/>
          <w:color w:val="000000" w:themeColor="text1"/>
          <w:sz w:val="16"/>
          <w:szCs w:val="16"/>
          <w:lang w:val="es-ES"/>
        </w:rPr>
        <w:footnoteRef/>
      </w:r>
      <w:r>
        <w:rPr>
          <w:rFonts w:ascii="Cambria" w:eastAsia="Cambria" w:hAnsi="Cambria" w:cs="Cambria"/>
          <w:sz w:val="16"/>
          <w:szCs w:val="16"/>
        </w:rPr>
        <w:t xml:space="preserve"> IACHR, Report on the Merits No. 380/20. Case 13.193. Thomas Scott Cochran. Costa Rica. December 15, 2020, para. 97; IACHR, Report No. 7/14. Case 12,739. Report on the Merits. </w:t>
      </w:r>
      <w:r w:rsidRPr="00E936C8">
        <w:rPr>
          <w:rFonts w:ascii="Cambria" w:eastAsia="Cambria" w:hAnsi="Cambria" w:cs="Cambria"/>
          <w:sz w:val="16"/>
          <w:szCs w:val="16"/>
          <w:lang w:val="es-AR"/>
        </w:rPr>
        <w:t xml:space="preserve">María Inés Chinchilla Sandoval </w:t>
      </w:r>
      <w:r w:rsidRPr="007A6E43">
        <w:rPr>
          <w:rFonts w:ascii="Cambria" w:eastAsia="Cambria" w:hAnsi="Cambria" w:cs="Cambria"/>
          <w:i/>
          <w:sz w:val="16"/>
          <w:szCs w:val="16"/>
          <w:lang w:val="es-AR"/>
        </w:rPr>
        <w:t>et al.</w:t>
      </w:r>
      <w:r w:rsidRPr="00E936C8">
        <w:rPr>
          <w:rFonts w:ascii="Cambria" w:eastAsia="Cambria" w:hAnsi="Cambria" w:cs="Cambria"/>
          <w:sz w:val="16"/>
          <w:szCs w:val="16"/>
          <w:lang w:val="es-AR"/>
        </w:rPr>
        <w:t xml:space="preserve"> Guatemala. OEA/Ser.L/V/II.150. </w:t>
      </w:r>
      <w:r>
        <w:rPr>
          <w:rFonts w:ascii="Cambria" w:eastAsia="Cambria" w:hAnsi="Cambria" w:cs="Cambria"/>
          <w:sz w:val="16"/>
          <w:szCs w:val="16"/>
        </w:rPr>
        <w:t xml:space="preserve">Doc. 11. April 2, 2014. </w:t>
      </w:r>
    </w:p>
  </w:footnote>
  <w:footnote w:id="103">
    <w:p w14:paraId="3306A4A4" w14:textId="4B5B9D25" w:rsidR="006373C8" w:rsidRPr="00E936C8" w:rsidRDefault="006373C8" w:rsidP="005251FB">
      <w:pPr>
        <w:pStyle w:val="FootnoteText"/>
        <w:jc w:val="both"/>
        <w:rPr>
          <w:rFonts w:ascii="Cambria" w:hAnsi="Cambria" w:cs="Times New Roman"/>
          <w:color w:val="000000" w:themeColor="text1"/>
          <w:sz w:val="16"/>
          <w:szCs w:val="16"/>
        </w:rPr>
      </w:pPr>
      <w:r w:rsidRPr="0028728D">
        <w:rPr>
          <w:rStyle w:val="FootnoteReference"/>
          <w:rFonts w:ascii="Cambria" w:hAnsi="Cambria" w:cs="Times New Roman"/>
          <w:color w:val="000000" w:themeColor="text1"/>
          <w:sz w:val="16"/>
          <w:szCs w:val="16"/>
          <w:lang w:val="es-ES"/>
        </w:rPr>
        <w:footnoteRef/>
      </w:r>
      <w:r>
        <w:rPr>
          <w:rFonts w:ascii="Cambria" w:eastAsia="Cambria" w:hAnsi="Cambria" w:cs="Cambria"/>
          <w:sz w:val="16"/>
          <w:szCs w:val="16"/>
        </w:rPr>
        <w:t xml:space="preserve"> IAHR Court, Chinchilla Sandoval </w:t>
      </w:r>
      <w:r w:rsidRPr="007A6E43">
        <w:rPr>
          <w:rFonts w:ascii="Cambria" w:eastAsia="Cambria" w:hAnsi="Cambria" w:cs="Cambria"/>
          <w:i/>
          <w:sz w:val="16"/>
          <w:szCs w:val="16"/>
        </w:rPr>
        <w:t>et al.</w:t>
      </w:r>
      <w:r>
        <w:rPr>
          <w:rFonts w:ascii="Cambria" w:eastAsia="Cambria" w:hAnsi="Cambria" w:cs="Cambria"/>
          <w:sz w:val="16"/>
          <w:szCs w:val="16"/>
        </w:rPr>
        <w:t xml:space="preserve"> v. Guatemala. Preliminary objections, merits, reparations and costs. Judgement of February 29, 2016. Series C No. 312, paras. 189 and 216. </w:t>
      </w:r>
    </w:p>
  </w:footnote>
  <w:footnote w:id="104">
    <w:p w14:paraId="20E6ED43" w14:textId="11F1EF67" w:rsidR="006373C8" w:rsidRPr="00E936C8" w:rsidRDefault="006373C8" w:rsidP="005251FB">
      <w:pPr>
        <w:pStyle w:val="FootnoteText"/>
        <w:jc w:val="both"/>
        <w:rPr>
          <w:rFonts w:ascii="Cambria" w:hAnsi="Cambria"/>
          <w:color w:val="000000" w:themeColor="text1"/>
          <w:sz w:val="16"/>
          <w:szCs w:val="16"/>
        </w:rPr>
      </w:pPr>
      <w:r w:rsidRPr="0028728D">
        <w:rPr>
          <w:rStyle w:val="FootnoteReference"/>
          <w:rFonts w:ascii="Cambria" w:hAnsi="Cambria"/>
          <w:color w:val="000000" w:themeColor="text1"/>
          <w:sz w:val="16"/>
          <w:szCs w:val="16"/>
          <w:lang w:val="es-ES"/>
        </w:rPr>
        <w:footnoteRef/>
      </w:r>
      <w:r>
        <w:rPr>
          <w:rFonts w:ascii="Cambria" w:eastAsia="Cambria" w:hAnsi="Cambria" w:cs="Cambria"/>
          <w:sz w:val="16"/>
          <w:szCs w:val="16"/>
        </w:rPr>
        <w:t xml:space="preserve"> IAHR Court, Chinchilla Sandoval </w:t>
      </w:r>
      <w:r w:rsidRPr="007A6E43">
        <w:rPr>
          <w:rFonts w:ascii="Cambria" w:eastAsia="Cambria" w:hAnsi="Cambria" w:cs="Cambria"/>
          <w:i/>
          <w:sz w:val="16"/>
          <w:szCs w:val="16"/>
        </w:rPr>
        <w:t>et al.</w:t>
      </w:r>
      <w:r>
        <w:rPr>
          <w:rFonts w:ascii="Cambria" w:eastAsia="Cambria" w:hAnsi="Cambria" w:cs="Cambria"/>
          <w:sz w:val="16"/>
          <w:szCs w:val="16"/>
        </w:rPr>
        <w:t xml:space="preserve"> v. Guatemala. Preliminary objections, merits, reparations and costs. Judgement of February 29, 2016. Series C No. 312, para. 189. European Committee for the Prevention of Torture and Inhumane or Degrading Treatment or Punishment, 3rd General Report covering the period of January 1 to December 31, 1992. Ref.: CPT/Inf (93) 12, published on June 4, 1993, para. 38. </w:t>
      </w:r>
    </w:p>
  </w:footnote>
  <w:footnote w:id="105">
    <w:p w14:paraId="5628FA55" w14:textId="2ADC2B53" w:rsidR="006373C8" w:rsidRPr="00E936C8" w:rsidRDefault="006373C8" w:rsidP="005251FB">
      <w:pPr>
        <w:jc w:val="both"/>
        <w:rPr>
          <w:rFonts w:ascii="Cambria" w:hAnsi="Cambria"/>
          <w:color w:val="000000" w:themeColor="text1"/>
          <w:sz w:val="16"/>
          <w:szCs w:val="16"/>
        </w:rPr>
      </w:pPr>
      <w:r w:rsidRPr="0028728D">
        <w:rPr>
          <w:rStyle w:val="FootnoteReference"/>
          <w:rFonts w:ascii="Cambria" w:eastAsia="Times" w:hAnsi="Cambria"/>
          <w:color w:val="000000" w:themeColor="text1"/>
          <w:sz w:val="16"/>
          <w:szCs w:val="16"/>
          <w:lang w:val="es-ES" w:eastAsia="x-none"/>
        </w:rPr>
        <w:footnoteRef/>
      </w:r>
      <w:r>
        <w:rPr>
          <w:rFonts w:ascii="Cambria" w:eastAsia="Cambria" w:hAnsi="Cambria" w:cs="Cambria"/>
          <w:color w:val="000000"/>
          <w:sz w:val="16"/>
          <w:szCs w:val="16"/>
        </w:rPr>
        <w:t xml:space="preserve"> IAHR Court, Chinchilla Sandoval </w:t>
      </w:r>
      <w:r w:rsidRPr="007A6E43">
        <w:rPr>
          <w:rFonts w:ascii="Cambria" w:eastAsia="Cambria" w:hAnsi="Cambria" w:cs="Cambria"/>
          <w:i/>
          <w:color w:val="000000"/>
          <w:sz w:val="16"/>
          <w:szCs w:val="16"/>
        </w:rPr>
        <w:t>et al.</w:t>
      </w:r>
      <w:r>
        <w:rPr>
          <w:rFonts w:ascii="Cambria" w:eastAsia="Cambria" w:hAnsi="Cambria" w:cs="Cambria"/>
          <w:color w:val="000000"/>
          <w:sz w:val="16"/>
          <w:szCs w:val="16"/>
        </w:rPr>
        <w:t xml:space="preserve"> v. Guatemala. Preliminary objections, merits, reparations and costs. Judgement of February 29, 2016. Series C No. 312, para. 189; ECHR, Tarariyeva v. Russia. Application No. 4353/03. Judgement of December 14, 2006, para. 87; ECHR, Sarban v. Moldova. Application No. 3456/05. Judgement of October 4, 2005. Final, January 4, 2006, paras. 75 and 76. ECHR, Paladi v. Moldova. Application No. 39806/05. Judgement of March 10, 2009.</w:t>
      </w:r>
    </w:p>
  </w:footnote>
  <w:footnote w:id="106">
    <w:p w14:paraId="7D18644B" w14:textId="08272973" w:rsidR="006373C8" w:rsidRPr="00E936C8" w:rsidRDefault="006373C8" w:rsidP="005251FB">
      <w:pPr>
        <w:pStyle w:val="FootnoteText"/>
        <w:jc w:val="both"/>
        <w:rPr>
          <w:rFonts w:ascii="Cambria" w:hAnsi="Cambria"/>
          <w:color w:val="000000" w:themeColor="text1"/>
          <w:sz w:val="16"/>
          <w:szCs w:val="16"/>
        </w:rPr>
      </w:pPr>
      <w:r w:rsidRPr="0028728D">
        <w:rPr>
          <w:rStyle w:val="FootnoteReference"/>
          <w:rFonts w:ascii="Cambria" w:hAnsi="Cambria"/>
          <w:color w:val="000000" w:themeColor="text1"/>
          <w:sz w:val="16"/>
          <w:szCs w:val="16"/>
          <w:lang w:val="es-ES"/>
        </w:rPr>
        <w:footnoteRef/>
      </w:r>
      <w:r>
        <w:rPr>
          <w:rFonts w:ascii="Cambria" w:eastAsia="Cambria" w:hAnsi="Cambria" w:cs="Cambria"/>
          <w:sz w:val="16"/>
          <w:szCs w:val="16"/>
        </w:rPr>
        <w:t xml:space="preserve"> IAHR Court, Chinchilla Sandoval </w:t>
      </w:r>
      <w:r w:rsidRPr="007A6E43">
        <w:rPr>
          <w:rFonts w:ascii="Cambria" w:eastAsia="Cambria" w:hAnsi="Cambria" w:cs="Cambria"/>
          <w:i/>
          <w:sz w:val="16"/>
          <w:szCs w:val="16"/>
        </w:rPr>
        <w:t>et al.</w:t>
      </w:r>
      <w:r>
        <w:rPr>
          <w:rFonts w:ascii="Cambria" w:eastAsia="Cambria" w:hAnsi="Cambria" w:cs="Cambria"/>
          <w:sz w:val="16"/>
          <w:szCs w:val="16"/>
        </w:rPr>
        <w:t xml:space="preserve"> v. Guatemala. Preliminary objections, merits, reparations and costs. Judgement of February 29, 2016. Series C No. 312, para. 188. </w:t>
      </w:r>
    </w:p>
  </w:footnote>
  <w:footnote w:id="107">
    <w:p w14:paraId="2BCC9426" w14:textId="33CB2E91" w:rsidR="006373C8" w:rsidRPr="00E936C8" w:rsidRDefault="006373C8" w:rsidP="005251FB">
      <w:pPr>
        <w:pStyle w:val="FootnoteText"/>
        <w:jc w:val="both"/>
        <w:rPr>
          <w:rFonts w:ascii="Cambria" w:hAnsi="Cambria"/>
          <w:color w:val="000000" w:themeColor="text1"/>
          <w:sz w:val="16"/>
          <w:szCs w:val="16"/>
        </w:rPr>
      </w:pPr>
      <w:r w:rsidRPr="0028728D">
        <w:rPr>
          <w:rStyle w:val="FootnoteReference"/>
          <w:rFonts w:ascii="Cambria" w:hAnsi="Cambria"/>
          <w:color w:val="000000" w:themeColor="text1"/>
          <w:sz w:val="16"/>
          <w:szCs w:val="16"/>
          <w:lang w:val="es-ES"/>
        </w:rPr>
        <w:footnoteRef/>
      </w:r>
      <w:r>
        <w:rPr>
          <w:rFonts w:ascii="Cambria" w:eastAsia="Cambria" w:hAnsi="Cambria" w:cs="Cambria"/>
          <w:sz w:val="16"/>
          <w:szCs w:val="16"/>
        </w:rPr>
        <w:t xml:space="preserve"> IAHR Court, Chinchilla Sandoval </w:t>
      </w:r>
      <w:r w:rsidRPr="007A6E43">
        <w:rPr>
          <w:rFonts w:ascii="Cambria" w:eastAsia="Cambria" w:hAnsi="Cambria" w:cs="Cambria"/>
          <w:i/>
          <w:sz w:val="16"/>
          <w:szCs w:val="16"/>
        </w:rPr>
        <w:t>et al.</w:t>
      </w:r>
      <w:r>
        <w:rPr>
          <w:rFonts w:ascii="Cambria" w:eastAsia="Cambria" w:hAnsi="Cambria" w:cs="Cambria"/>
          <w:sz w:val="16"/>
          <w:szCs w:val="16"/>
        </w:rPr>
        <w:t xml:space="preserve"> v. Guatemala. Preliminary objections, merits, reparations and costs. Judgement of February 29, 2016. Series C No. 312, para. 188. </w:t>
      </w:r>
    </w:p>
  </w:footnote>
  <w:footnote w:id="108">
    <w:p w14:paraId="625C35DE" w14:textId="6F5B8B4A" w:rsidR="006373C8" w:rsidRPr="00E936C8" w:rsidRDefault="006373C8" w:rsidP="005251FB">
      <w:pPr>
        <w:pStyle w:val="FootnoteText"/>
        <w:jc w:val="both"/>
        <w:rPr>
          <w:rFonts w:ascii="Cambria" w:hAnsi="Cambria"/>
          <w:color w:val="000000" w:themeColor="text1"/>
          <w:sz w:val="16"/>
          <w:szCs w:val="16"/>
        </w:rPr>
      </w:pPr>
      <w:r w:rsidRPr="0028728D">
        <w:rPr>
          <w:rStyle w:val="FootnoteReference"/>
          <w:rFonts w:ascii="Cambria" w:hAnsi="Cambria"/>
          <w:color w:val="000000" w:themeColor="text1"/>
          <w:sz w:val="16"/>
          <w:szCs w:val="16"/>
          <w:lang w:val="es-ES"/>
        </w:rPr>
        <w:footnoteRef/>
      </w:r>
      <w:r>
        <w:rPr>
          <w:rFonts w:ascii="Cambria" w:eastAsia="Cambria" w:hAnsi="Cambria" w:cs="Cambria"/>
          <w:sz w:val="16"/>
          <w:szCs w:val="16"/>
        </w:rPr>
        <w:t xml:space="preserve"> IAHR Court, Chinchilla Sandoval </w:t>
      </w:r>
      <w:r w:rsidRPr="007A6E43">
        <w:rPr>
          <w:rFonts w:ascii="Cambria" w:eastAsia="Cambria" w:hAnsi="Cambria" w:cs="Cambria"/>
          <w:i/>
          <w:sz w:val="16"/>
          <w:szCs w:val="16"/>
        </w:rPr>
        <w:t>et al.</w:t>
      </w:r>
      <w:r>
        <w:rPr>
          <w:rFonts w:ascii="Cambria" w:eastAsia="Cambria" w:hAnsi="Cambria" w:cs="Cambria"/>
          <w:sz w:val="16"/>
          <w:szCs w:val="16"/>
        </w:rPr>
        <w:t xml:space="preserve"> v. Guatemala. Preliminary objections, merits, reparations and costs. Judgement of February 29, 2016. Series C No. 312, para. 189. </w:t>
      </w:r>
    </w:p>
  </w:footnote>
  <w:footnote w:id="109">
    <w:p w14:paraId="068B6B1B" w14:textId="403AF5D8" w:rsidR="006373C8" w:rsidRPr="00E936C8" w:rsidRDefault="006373C8" w:rsidP="00D8110A">
      <w:pPr>
        <w:pStyle w:val="FootnoteText"/>
        <w:jc w:val="both"/>
        <w:rPr>
          <w:rFonts w:ascii="Cambria" w:hAnsi="Cambria"/>
          <w:color w:val="000000" w:themeColor="text1"/>
          <w:sz w:val="16"/>
          <w:szCs w:val="16"/>
        </w:rPr>
      </w:pPr>
      <w:r w:rsidRPr="0028728D">
        <w:rPr>
          <w:rStyle w:val="FootnoteReference"/>
          <w:rFonts w:ascii="Cambria" w:hAnsi="Cambria"/>
          <w:color w:val="000000" w:themeColor="text1"/>
          <w:sz w:val="16"/>
          <w:szCs w:val="16"/>
          <w:lang w:val="es-ES"/>
        </w:rPr>
        <w:footnoteRef/>
      </w:r>
      <w:r>
        <w:rPr>
          <w:rFonts w:ascii="Cambria" w:eastAsia="Cambria" w:hAnsi="Cambria" w:cs="Cambria"/>
          <w:sz w:val="16"/>
          <w:szCs w:val="16"/>
        </w:rPr>
        <w:t xml:space="preserve"> IAHR Court, Hernández v. Argentina. Preliminary objections, merits, reparations and costs. Judgement of November 22, 2019. Series C No. 395, para. 88. </w:t>
      </w:r>
    </w:p>
  </w:footnote>
  <w:footnote w:id="110">
    <w:p w14:paraId="2B554201" w14:textId="57C471A1" w:rsidR="001758B9" w:rsidRPr="00717D88" w:rsidRDefault="001758B9" w:rsidP="001758B9">
      <w:pPr>
        <w:pStyle w:val="FootnoteText"/>
        <w:jc w:val="both"/>
      </w:pPr>
      <w:r w:rsidRPr="001758B9">
        <w:rPr>
          <w:rFonts w:ascii="Cambria" w:eastAsia="Cambria" w:hAnsi="Cambria" w:cs="Cambria"/>
          <w:sz w:val="16"/>
          <w:szCs w:val="16"/>
          <w:vertAlign w:val="superscript"/>
        </w:rPr>
        <w:footnoteRef/>
      </w:r>
      <w:r w:rsidRPr="001758B9">
        <w:rPr>
          <w:rFonts w:ascii="Cambria" w:eastAsia="Cambria" w:hAnsi="Cambria" w:cs="Cambria"/>
          <w:sz w:val="16"/>
          <w:szCs w:val="16"/>
        </w:rPr>
        <w:t xml:space="preserve"> I/A Court H.R., Case of Chinchilla Sandoval et al. v. Guatemala. Case of Chinchilla Sandoval et al. v. Guatemala. Preliminary Objection, Merits, Reparations and Costs. Judgment of February 29, 2016. Series C No. 312, para. 188.</w:t>
      </w:r>
    </w:p>
  </w:footnote>
  <w:footnote w:id="111">
    <w:p w14:paraId="2D989C0A" w14:textId="3B2BA288" w:rsidR="006373C8" w:rsidRPr="0028728D" w:rsidRDefault="006373C8" w:rsidP="001758B9">
      <w:pPr>
        <w:pStyle w:val="FootnoteText"/>
        <w:spacing w:after="120"/>
        <w:jc w:val="both"/>
        <w:rPr>
          <w:rFonts w:ascii="Cambria" w:hAnsi="Cambria"/>
          <w:sz w:val="16"/>
          <w:szCs w:val="16"/>
        </w:rPr>
      </w:pPr>
      <w:r w:rsidRPr="0028728D">
        <w:rPr>
          <w:rStyle w:val="FootnoteReference"/>
          <w:rFonts w:ascii="Cambria" w:hAnsi="Cambria"/>
          <w:sz w:val="16"/>
          <w:szCs w:val="16"/>
        </w:rPr>
        <w:footnoteRef/>
      </w:r>
      <w:r>
        <w:rPr>
          <w:rFonts w:ascii="Cambria" w:eastAsia="Cambria" w:hAnsi="Cambria" w:cs="Cambria"/>
          <w:sz w:val="16"/>
          <w:szCs w:val="16"/>
        </w:rPr>
        <w:t xml:space="preserve"> It has indicated</w:t>
      </w:r>
      <w:r>
        <w:rPr>
          <w:rFonts w:ascii="Cambria" w:eastAsia="Cambria" w:hAnsi="Cambria" w:cs="Cambria"/>
          <w:sz w:val="16"/>
          <w:szCs w:val="16"/>
          <w:shd w:val="clear" w:color="auto" w:fill="FFFFFF"/>
        </w:rPr>
        <w:t xml:space="preserve"> that it is a chronic disease that emerges when the pancreas does not produce enough insulin or when the organism does not use the insulin produced effectively.</w:t>
      </w:r>
      <w:r>
        <w:rPr>
          <w:rFonts w:ascii="Cambria" w:eastAsia="Cambria" w:hAnsi="Cambria" w:cs="Cambria"/>
          <w:sz w:val="16"/>
          <w:szCs w:val="16"/>
        </w:rPr>
        <w:t xml:space="preserve"> World Health Organization, </w:t>
      </w:r>
      <w:r>
        <w:rPr>
          <w:rFonts w:ascii="Cambria" w:eastAsia="Cambria" w:hAnsi="Cambria" w:cs="Cambria"/>
          <w:i/>
          <w:iCs/>
          <w:sz w:val="16"/>
          <w:szCs w:val="16"/>
        </w:rPr>
        <w:t xml:space="preserve">Diet, Nutrition and the Prevention of Chronic Diseases. Report of a Joint WHO/FAO Expert Consultation. </w:t>
      </w:r>
      <w:r>
        <w:rPr>
          <w:rFonts w:ascii="Cambria" w:eastAsia="Cambria" w:hAnsi="Cambria" w:cs="Cambria"/>
          <w:sz w:val="16"/>
          <w:szCs w:val="16"/>
        </w:rPr>
        <w:t xml:space="preserve">WHO, Technical Report Series 916. Geneva 2003, p. 79. Available at: </w:t>
      </w:r>
      <w:hyperlink r:id="rId9" w:history="1">
        <w:r>
          <w:rPr>
            <w:rFonts w:ascii="Cambria" w:eastAsia="Cambria" w:hAnsi="Cambria" w:cs="Cambria"/>
            <w:color w:val="auto"/>
            <w:sz w:val="16"/>
            <w:szCs w:val="16"/>
            <w:u w:val="single"/>
          </w:rPr>
          <w:t>http://www.who.int/nutrition/publications/obesity/WHO_TRS_916_spa.pdf</w:t>
        </w:r>
      </w:hyperlink>
    </w:p>
  </w:footnote>
  <w:footnote w:id="112">
    <w:p w14:paraId="52A6EC12" w14:textId="6D6DF313" w:rsidR="006373C8" w:rsidRPr="0028728D" w:rsidRDefault="006373C8" w:rsidP="0028728D">
      <w:pPr>
        <w:pStyle w:val="FootnoteText"/>
        <w:spacing w:after="120"/>
        <w:ind w:firstLine="720"/>
        <w:jc w:val="both"/>
        <w:rPr>
          <w:rFonts w:ascii="Cambria" w:hAnsi="Cambria"/>
          <w:sz w:val="16"/>
          <w:szCs w:val="16"/>
        </w:rPr>
      </w:pPr>
      <w:r w:rsidRPr="0028728D">
        <w:rPr>
          <w:rStyle w:val="FootnoteReference"/>
          <w:rFonts w:ascii="Cambria" w:hAnsi="Cambria"/>
          <w:sz w:val="16"/>
          <w:szCs w:val="16"/>
        </w:rPr>
        <w:footnoteRef/>
      </w:r>
      <w:r>
        <w:rPr>
          <w:rFonts w:ascii="Cambria" w:eastAsia="Cambria" w:hAnsi="Cambria" w:cs="Cambria"/>
          <w:sz w:val="16"/>
          <w:szCs w:val="16"/>
        </w:rPr>
        <w:t xml:space="preserve"> World Health Organization, </w:t>
      </w:r>
      <w:r>
        <w:rPr>
          <w:rFonts w:ascii="Cambria" w:eastAsia="Cambria" w:hAnsi="Cambria" w:cs="Cambria"/>
          <w:i/>
          <w:iCs/>
          <w:sz w:val="16"/>
          <w:szCs w:val="16"/>
        </w:rPr>
        <w:t xml:space="preserve">Diet, Nutrition and the Prevention of Chronic Diseases. Report of a Joint WHO/FAO Expert Consultation. </w:t>
      </w:r>
      <w:r>
        <w:rPr>
          <w:rFonts w:ascii="Cambria" w:eastAsia="Cambria" w:hAnsi="Cambria" w:cs="Cambria"/>
          <w:sz w:val="16"/>
          <w:szCs w:val="16"/>
        </w:rPr>
        <w:t xml:space="preserve">WHO, Technical Report Series 916. Geneva 2003, p. 79. Available at: </w:t>
      </w:r>
      <w:hyperlink r:id="rId10" w:history="1">
        <w:r>
          <w:rPr>
            <w:rFonts w:ascii="Cambria" w:eastAsia="Cambria" w:hAnsi="Cambria" w:cs="Cambria"/>
            <w:color w:val="auto"/>
            <w:sz w:val="16"/>
            <w:szCs w:val="16"/>
            <w:u w:val="single"/>
          </w:rPr>
          <w:t>http://www.who.int/nutrition/publications/obesity/WHO_TRS_916_spa.pdf</w:t>
        </w:r>
      </w:hyperlink>
    </w:p>
  </w:footnote>
  <w:footnote w:id="113">
    <w:p w14:paraId="68BB5078" w14:textId="35B814E3" w:rsidR="006373C8" w:rsidRPr="00981BF7" w:rsidRDefault="006373C8" w:rsidP="0028728D">
      <w:pPr>
        <w:pStyle w:val="FootnoteText"/>
        <w:spacing w:after="120"/>
        <w:ind w:firstLine="720"/>
        <w:jc w:val="both"/>
        <w:rPr>
          <w:rFonts w:ascii="Cambria" w:hAnsi="Cambria"/>
          <w:sz w:val="16"/>
          <w:szCs w:val="16"/>
        </w:rPr>
      </w:pPr>
      <w:r w:rsidRPr="0028728D">
        <w:rPr>
          <w:rStyle w:val="FootnoteReference"/>
          <w:rFonts w:ascii="Cambria" w:hAnsi="Cambria"/>
          <w:sz w:val="16"/>
          <w:szCs w:val="16"/>
        </w:rPr>
        <w:footnoteRef/>
      </w:r>
      <w:r>
        <w:rPr>
          <w:rFonts w:ascii="Cambria" w:eastAsia="Cambria" w:hAnsi="Cambria" w:cs="Cambria"/>
          <w:sz w:val="16"/>
          <w:szCs w:val="16"/>
        </w:rPr>
        <w:t xml:space="preserve"> Among the recommendations made by the WHO for people with diabetes are: i) practicing an endurance activity at moderate or greater level of intensity (e.g. brisk walking) for one hour or more per day on most days per week; ii) ensuring that saturated fat intake does not exceed 10% of total energy and for high-risk groups, fat intake should be &lt;7% of total energy; iii) achieving adequate intakes of NSP through regular consumption of whole grain cereals, legumes, fruits and vegetables.  A minimum daily intake of 20 g is recommended.</w:t>
      </w:r>
      <w:r>
        <w:rPr>
          <w:rFonts w:ascii="Cambria" w:eastAsia="Cambria" w:hAnsi="Cambria" w:cs="Cambria"/>
          <w:sz w:val="16"/>
          <w:szCs w:val="16"/>
          <w:vertAlign w:val="superscript"/>
        </w:rPr>
        <w:t xml:space="preserve"> </w:t>
      </w:r>
      <w:r>
        <w:rPr>
          <w:rFonts w:ascii="Cambria" w:eastAsia="Cambria" w:hAnsi="Cambria" w:cs="Cambria"/>
          <w:sz w:val="16"/>
          <w:szCs w:val="16"/>
        </w:rPr>
        <w:t xml:space="preserve">World Health Organization, </w:t>
      </w:r>
      <w:r>
        <w:rPr>
          <w:rFonts w:ascii="Cambria" w:eastAsia="Cambria" w:hAnsi="Cambria" w:cs="Cambria"/>
          <w:i/>
          <w:iCs/>
          <w:sz w:val="16"/>
          <w:szCs w:val="16"/>
        </w:rPr>
        <w:t xml:space="preserve">Diet, Nutrition and the Prevention of Chronic Diseases. Report of a Joint WHO/FAO Expert Consultation. </w:t>
      </w:r>
      <w:r>
        <w:rPr>
          <w:rFonts w:ascii="Cambria" w:eastAsia="Cambria" w:hAnsi="Cambria" w:cs="Cambria"/>
          <w:sz w:val="16"/>
          <w:szCs w:val="16"/>
        </w:rPr>
        <w:t xml:space="preserve">WHO, Technical Report Series 916. Geneva 2003, p. 84. </w:t>
      </w:r>
    </w:p>
  </w:footnote>
  <w:footnote w:id="114">
    <w:p w14:paraId="750AF4F1" w14:textId="77777777" w:rsidR="006373C8" w:rsidRPr="00E936C8" w:rsidRDefault="006373C8" w:rsidP="00D8110A">
      <w:pPr>
        <w:pStyle w:val="FootnoteText"/>
        <w:jc w:val="both"/>
        <w:rPr>
          <w:rFonts w:ascii="Cambria" w:hAnsi="Cambria"/>
          <w:color w:val="000000" w:themeColor="text1"/>
          <w:sz w:val="16"/>
          <w:szCs w:val="16"/>
        </w:rPr>
      </w:pPr>
      <w:r w:rsidRPr="0028728D">
        <w:rPr>
          <w:rStyle w:val="FootnoteReference"/>
          <w:rFonts w:ascii="Cambria" w:hAnsi="Cambria"/>
          <w:color w:val="000000" w:themeColor="text1"/>
          <w:sz w:val="16"/>
          <w:szCs w:val="16"/>
          <w:lang w:val="es-ES"/>
        </w:rPr>
        <w:footnoteRef/>
      </w:r>
      <w:r>
        <w:rPr>
          <w:rFonts w:ascii="Cambria" w:eastAsia="Cambria" w:hAnsi="Cambria" w:cs="Cambria"/>
          <w:sz w:val="16"/>
          <w:szCs w:val="16"/>
        </w:rPr>
        <w:t xml:space="preserve"> Annex 11. Letter from Terry Langton to the Chargé d'affaires of the Venezuelan Embassy in the United Kingdom, February 21, 2001. Annex 12 to the brief on observations.</w:t>
      </w:r>
    </w:p>
  </w:footnote>
  <w:footnote w:id="115">
    <w:p w14:paraId="4063AA3A" w14:textId="77777777" w:rsidR="006373C8" w:rsidRPr="00E936C8" w:rsidRDefault="006373C8" w:rsidP="00D8110A">
      <w:pPr>
        <w:pStyle w:val="FootnoteText"/>
        <w:jc w:val="both"/>
        <w:rPr>
          <w:rFonts w:ascii="Cambria" w:hAnsi="Cambria"/>
          <w:color w:val="000000" w:themeColor="text1"/>
          <w:sz w:val="16"/>
          <w:szCs w:val="16"/>
        </w:rPr>
      </w:pPr>
      <w:r w:rsidRPr="0028728D">
        <w:rPr>
          <w:rStyle w:val="FootnoteReference"/>
          <w:rFonts w:ascii="Cambria" w:hAnsi="Cambria"/>
          <w:color w:val="000000" w:themeColor="text1"/>
          <w:sz w:val="16"/>
          <w:szCs w:val="16"/>
          <w:lang w:val="es-ES"/>
        </w:rPr>
        <w:footnoteRef/>
      </w:r>
      <w:r>
        <w:rPr>
          <w:rFonts w:ascii="Cambria" w:eastAsia="Cambria" w:hAnsi="Cambria" w:cs="Cambria"/>
          <w:sz w:val="16"/>
          <w:szCs w:val="16"/>
        </w:rPr>
        <w:t xml:space="preserve"> Annex 5. Correspondence between the Langton family and Venezuelan authorities. Annex 5(c) to the petition.</w:t>
      </w:r>
    </w:p>
  </w:footnote>
  <w:footnote w:id="116">
    <w:p w14:paraId="4A864378" w14:textId="262C1CE3" w:rsidR="006373C8" w:rsidRPr="00E936C8" w:rsidRDefault="006373C8" w:rsidP="00D8110A">
      <w:pPr>
        <w:pStyle w:val="FootnoteText"/>
        <w:jc w:val="both"/>
        <w:rPr>
          <w:rFonts w:ascii="Cambria" w:hAnsi="Cambria"/>
          <w:color w:val="000000" w:themeColor="text1"/>
          <w:sz w:val="16"/>
          <w:szCs w:val="16"/>
        </w:rPr>
      </w:pPr>
      <w:r w:rsidRPr="0028728D">
        <w:rPr>
          <w:rStyle w:val="FootnoteReference"/>
          <w:rFonts w:ascii="Cambria" w:hAnsi="Cambria"/>
          <w:color w:val="000000" w:themeColor="text1"/>
          <w:sz w:val="16"/>
          <w:szCs w:val="16"/>
          <w:lang w:val="es-ES"/>
        </w:rPr>
        <w:footnoteRef/>
      </w:r>
      <w:r>
        <w:rPr>
          <w:rFonts w:ascii="Cambria" w:eastAsia="Cambria" w:hAnsi="Cambria" w:cs="Cambria"/>
          <w:sz w:val="16"/>
          <w:szCs w:val="16"/>
        </w:rPr>
        <w:t xml:space="preserve"> IAHR Court, Chinchilla Sandoval </w:t>
      </w:r>
      <w:r w:rsidRPr="007A6E43">
        <w:rPr>
          <w:rFonts w:ascii="Cambria" w:eastAsia="Cambria" w:hAnsi="Cambria" w:cs="Cambria"/>
          <w:i/>
          <w:sz w:val="16"/>
          <w:szCs w:val="16"/>
        </w:rPr>
        <w:t>et al.</w:t>
      </w:r>
      <w:r>
        <w:rPr>
          <w:rFonts w:ascii="Cambria" w:eastAsia="Cambria" w:hAnsi="Cambria" w:cs="Cambria"/>
          <w:sz w:val="16"/>
          <w:szCs w:val="16"/>
        </w:rPr>
        <w:t xml:space="preserve"> v. Guatemala. Preliminary objections, merits, reparations and costs. Judgement of February 29, 2016. Series C No. 312, para. 184. </w:t>
      </w:r>
    </w:p>
  </w:footnote>
  <w:footnote w:id="117">
    <w:p w14:paraId="1BD7289D" w14:textId="77777777" w:rsidR="006373C8" w:rsidRPr="00E936C8" w:rsidRDefault="006373C8" w:rsidP="00D8110A">
      <w:pPr>
        <w:shd w:val="clear" w:color="auto" w:fill="FFFFFF"/>
        <w:tabs>
          <w:tab w:val="num" w:pos="720"/>
          <w:tab w:val="left" w:pos="1440"/>
          <w:tab w:val="num" w:pos="2040"/>
        </w:tabs>
        <w:jc w:val="both"/>
        <w:rPr>
          <w:rFonts w:ascii="Cambria" w:hAnsi="Cambria"/>
          <w:color w:val="000000" w:themeColor="text1"/>
          <w:sz w:val="16"/>
          <w:szCs w:val="16"/>
        </w:rPr>
      </w:pPr>
      <w:r w:rsidRPr="0028728D">
        <w:rPr>
          <w:rStyle w:val="FootnoteReference"/>
          <w:rFonts w:ascii="Cambria" w:hAnsi="Cambria"/>
          <w:color w:val="000000" w:themeColor="text1"/>
          <w:sz w:val="16"/>
          <w:szCs w:val="16"/>
          <w:lang w:val="es-ES"/>
        </w:rPr>
        <w:footnoteRef/>
      </w:r>
      <w:r>
        <w:rPr>
          <w:rFonts w:ascii="Cambria" w:eastAsia="Cambria" w:hAnsi="Cambria" w:cs="Cambria"/>
          <w:color w:val="000000"/>
          <w:sz w:val="16"/>
          <w:szCs w:val="16"/>
        </w:rPr>
        <w:t xml:space="preserve"> Article 8.1 of the American Convention provides that: “1. Every person has the right to a hearing, with due guarantees and within a reasonable time, by a competent, independent, and impartial tribunal, previously established by law, in the substantiation of any accusation of a criminal nature made against him or for the determination of his rights and obligations of a civil, labor, fiscal, or any other nature.”</w:t>
      </w:r>
    </w:p>
  </w:footnote>
  <w:footnote w:id="118">
    <w:p w14:paraId="283DD698" w14:textId="77777777" w:rsidR="006373C8" w:rsidRPr="00E936C8" w:rsidRDefault="006373C8" w:rsidP="00D8110A">
      <w:pPr>
        <w:shd w:val="clear" w:color="auto" w:fill="FFFFFF"/>
        <w:tabs>
          <w:tab w:val="num" w:pos="720"/>
          <w:tab w:val="left" w:pos="1440"/>
          <w:tab w:val="num" w:pos="2040"/>
        </w:tabs>
        <w:jc w:val="both"/>
        <w:rPr>
          <w:rFonts w:ascii="Cambria" w:hAnsi="Cambria"/>
          <w:color w:val="000000" w:themeColor="text1"/>
          <w:sz w:val="16"/>
          <w:szCs w:val="16"/>
        </w:rPr>
      </w:pPr>
      <w:r w:rsidRPr="0028728D">
        <w:rPr>
          <w:rStyle w:val="FootnoteReference"/>
          <w:rFonts w:ascii="Cambria" w:hAnsi="Cambria"/>
          <w:color w:val="000000" w:themeColor="text1"/>
          <w:sz w:val="16"/>
          <w:szCs w:val="16"/>
          <w:lang w:val="es-ES"/>
        </w:rPr>
        <w:footnoteRef/>
      </w:r>
      <w:r>
        <w:rPr>
          <w:rFonts w:ascii="Cambria" w:eastAsia="Cambria" w:hAnsi="Cambria" w:cs="Cambria"/>
          <w:color w:val="000000"/>
          <w:sz w:val="16"/>
          <w:szCs w:val="16"/>
        </w:rPr>
        <w:t xml:space="preserve"> Article 25 of the American Convention establishes the following: “1. Everyone has the right to simple and prompt recourse, or any other effective recourse, to a competent court or tribunal for protection against acts that violate his fundamental rights recognized by the constitution or laws of the state concerned or by this Convention, even though such violation may have been committed by persons acting in the course of their official duties.”</w:t>
      </w:r>
    </w:p>
  </w:footnote>
  <w:footnote w:id="119">
    <w:p w14:paraId="675E4A9A" w14:textId="09ADF173" w:rsidR="006373C8" w:rsidRPr="00E936C8" w:rsidRDefault="006373C8" w:rsidP="00D8110A">
      <w:pPr>
        <w:tabs>
          <w:tab w:val="left" w:pos="360"/>
          <w:tab w:val="left" w:pos="900"/>
          <w:tab w:val="left" w:pos="1080"/>
        </w:tabs>
        <w:jc w:val="both"/>
        <w:rPr>
          <w:rFonts w:ascii="Cambria" w:eastAsia="Cambria" w:hAnsi="Cambria" w:cs="Cambria"/>
          <w:color w:val="000000" w:themeColor="text1"/>
          <w:sz w:val="16"/>
          <w:szCs w:val="16"/>
        </w:rPr>
      </w:pPr>
      <w:r w:rsidRPr="0028728D">
        <w:rPr>
          <w:rFonts w:ascii="Cambria" w:hAnsi="Cambria"/>
          <w:color w:val="000000" w:themeColor="text1"/>
          <w:sz w:val="16"/>
          <w:szCs w:val="16"/>
          <w:vertAlign w:val="superscript"/>
          <w:lang w:val="es-ES"/>
        </w:rPr>
        <w:footnoteRef/>
      </w:r>
      <w:r>
        <w:rPr>
          <w:rFonts w:ascii="Cambria" w:eastAsia="Cambria" w:hAnsi="Cambria" w:cs="Cambria"/>
          <w:color w:val="000000"/>
          <w:sz w:val="16"/>
          <w:szCs w:val="16"/>
        </w:rPr>
        <w:t xml:space="preserve"> IACHR, Report No. 118/18. Case 12,890. Merits. </w:t>
      </w:r>
      <w:r w:rsidRPr="00AE4542">
        <w:rPr>
          <w:rFonts w:ascii="Cambria" w:eastAsia="Cambria" w:hAnsi="Cambria" w:cs="Cambria"/>
          <w:color w:val="000000"/>
          <w:sz w:val="16"/>
          <w:szCs w:val="16"/>
        </w:rPr>
        <w:t xml:space="preserve">José Gregorio Mota Abarullo </w:t>
      </w:r>
      <w:r w:rsidRPr="00AE4542">
        <w:rPr>
          <w:rFonts w:ascii="Cambria" w:eastAsia="Cambria" w:hAnsi="Cambria" w:cs="Cambria"/>
          <w:i/>
          <w:color w:val="000000"/>
          <w:sz w:val="16"/>
          <w:szCs w:val="16"/>
        </w:rPr>
        <w:t>et al.</w:t>
      </w:r>
      <w:r w:rsidRPr="00AE4542">
        <w:rPr>
          <w:rFonts w:ascii="Cambria" w:eastAsia="Cambria" w:hAnsi="Cambria" w:cs="Cambria"/>
          <w:color w:val="000000"/>
          <w:sz w:val="16"/>
          <w:szCs w:val="16"/>
        </w:rPr>
        <w:t xml:space="preserve"> </w:t>
      </w:r>
      <w:r>
        <w:rPr>
          <w:rFonts w:ascii="Cambria" w:eastAsia="Cambria" w:hAnsi="Cambria" w:cs="Cambria"/>
          <w:color w:val="000000"/>
          <w:sz w:val="16"/>
          <w:szCs w:val="16"/>
        </w:rPr>
        <w:t xml:space="preserve">(Deaths at the San Félix Prison). Venezuela. October 5, 2018, para. 80; IAHR Court, Cantoral Huamaní and García Santa Cruz. Judgement of July 10, 2007, para. 124; IAHR Court, La Rochela Massacre. Judgement of May 11, 2007, para. 145; IAHR Court, Miguel Castro-Castro Prison. Judgement of November 25, 2006, para. 381; and IAHR Court, Case of the Dismissed Congressional Employees (Aguado Alfaro </w:t>
      </w:r>
      <w:r w:rsidRPr="007A6E43">
        <w:rPr>
          <w:rFonts w:ascii="Cambria" w:eastAsia="Cambria" w:hAnsi="Cambria" w:cs="Cambria"/>
          <w:i/>
          <w:color w:val="000000"/>
          <w:sz w:val="16"/>
          <w:szCs w:val="16"/>
        </w:rPr>
        <w:t>et al.</w:t>
      </w:r>
      <w:r>
        <w:rPr>
          <w:rFonts w:ascii="Cambria" w:eastAsia="Cambria" w:hAnsi="Cambria" w:cs="Cambria"/>
          <w:color w:val="000000"/>
          <w:sz w:val="16"/>
          <w:szCs w:val="16"/>
        </w:rPr>
        <w:t>). Judgement of November 24, 2006, para. 106.</w:t>
      </w:r>
    </w:p>
  </w:footnote>
  <w:footnote w:id="120">
    <w:p w14:paraId="2760D76E" w14:textId="77777777" w:rsidR="006373C8" w:rsidRPr="00AE4542" w:rsidRDefault="006373C8" w:rsidP="00D8110A">
      <w:pPr>
        <w:tabs>
          <w:tab w:val="left" w:pos="360"/>
          <w:tab w:val="left" w:pos="720"/>
          <w:tab w:val="left" w:pos="900"/>
          <w:tab w:val="left" w:pos="1080"/>
        </w:tabs>
        <w:jc w:val="both"/>
        <w:rPr>
          <w:rFonts w:ascii="Cambria" w:eastAsia="Cambria" w:hAnsi="Cambria" w:cs="Cambria"/>
          <w:color w:val="000000" w:themeColor="text1"/>
          <w:sz w:val="16"/>
          <w:szCs w:val="16"/>
        </w:rPr>
      </w:pPr>
      <w:r w:rsidRPr="0028728D">
        <w:rPr>
          <w:rFonts w:ascii="Cambria" w:hAnsi="Cambria"/>
          <w:color w:val="000000" w:themeColor="text1"/>
          <w:sz w:val="16"/>
          <w:szCs w:val="16"/>
          <w:vertAlign w:val="superscript"/>
          <w:lang w:val="es-ES"/>
        </w:rPr>
        <w:footnoteRef/>
      </w:r>
      <w:r>
        <w:rPr>
          <w:rFonts w:ascii="Cambria" w:eastAsia="Cambria" w:hAnsi="Cambria" w:cs="Cambria"/>
          <w:color w:val="000000"/>
          <w:sz w:val="16"/>
          <w:szCs w:val="16"/>
        </w:rPr>
        <w:t xml:space="preserve"> IACHR, Report No. 118/18. Case 12.890. Merits. </w:t>
      </w:r>
      <w:r w:rsidRPr="00AE4542">
        <w:rPr>
          <w:rFonts w:ascii="Cambria" w:eastAsia="Cambria" w:hAnsi="Cambria" w:cs="Cambria"/>
          <w:color w:val="000000"/>
          <w:sz w:val="16"/>
          <w:szCs w:val="16"/>
        </w:rPr>
        <w:t xml:space="preserve">José Gregorio Mota Abarullo </w:t>
      </w:r>
      <w:r w:rsidRPr="00AE4542">
        <w:rPr>
          <w:rFonts w:ascii="Cambria" w:eastAsia="Cambria" w:hAnsi="Cambria" w:cs="Cambria"/>
          <w:i/>
          <w:color w:val="000000"/>
          <w:sz w:val="16"/>
          <w:szCs w:val="16"/>
        </w:rPr>
        <w:t>et al.</w:t>
      </w:r>
      <w:r w:rsidRPr="00AE4542">
        <w:rPr>
          <w:rFonts w:ascii="Cambria" w:eastAsia="Cambria" w:hAnsi="Cambria" w:cs="Cambria"/>
          <w:color w:val="000000"/>
          <w:sz w:val="16"/>
          <w:szCs w:val="16"/>
        </w:rPr>
        <w:t xml:space="preserve"> </w:t>
      </w:r>
      <w:r>
        <w:rPr>
          <w:rFonts w:ascii="Cambria" w:eastAsia="Cambria" w:hAnsi="Cambria" w:cs="Cambria"/>
          <w:color w:val="000000"/>
          <w:sz w:val="16"/>
          <w:szCs w:val="16"/>
        </w:rPr>
        <w:t xml:space="preserve">(Deaths at the San Félix Prison). Venezuela. October 5, 2018, para. 81; IAHR Court, Cantoral Huamaní and García Santa Cruz. Judgement of July 10, 2007, para. </w:t>
      </w:r>
      <w:r w:rsidRPr="00AE4542">
        <w:rPr>
          <w:rFonts w:ascii="Cambria" w:eastAsia="Cambria" w:hAnsi="Cambria" w:cs="Cambria"/>
          <w:color w:val="000000"/>
          <w:sz w:val="16"/>
          <w:szCs w:val="16"/>
        </w:rPr>
        <w:t>100.</w:t>
      </w:r>
    </w:p>
  </w:footnote>
  <w:footnote w:id="121">
    <w:p w14:paraId="49355680" w14:textId="77777777" w:rsidR="006373C8" w:rsidRPr="00AE4542" w:rsidRDefault="006373C8" w:rsidP="00D8110A">
      <w:pPr>
        <w:tabs>
          <w:tab w:val="left" w:pos="360"/>
          <w:tab w:val="left" w:pos="720"/>
          <w:tab w:val="left" w:pos="900"/>
          <w:tab w:val="left" w:pos="1080"/>
        </w:tabs>
        <w:jc w:val="both"/>
        <w:rPr>
          <w:rFonts w:ascii="Cambria" w:eastAsia="Cambria" w:hAnsi="Cambria" w:cs="Cambria"/>
          <w:color w:val="000000" w:themeColor="text1"/>
          <w:sz w:val="16"/>
          <w:szCs w:val="16"/>
        </w:rPr>
      </w:pPr>
      <w:r w:rsidRPr="0028728D">
        <w:rPr>
          <w:rFonts w:ascii="Cambria" w:hAnsi="Cambria"/>
          <w:color w:val="000000" w:themeColor="text1"/>
          <w:sz w:val="16"/>
          <w:szCs w:val="16"/>
          <w:vertAlign w:val="superscript"/>
          <w:lang w:val="es-ES"/>
        </w:rPr>
        <w:footnoteRef/>
      </w:r>
      <w:r w:rsidRPr="00AE4542">
        <w:rPr>
          <w:rFonts w:ascii="Cambria" w:eastAsia="Cambria" w:hAnsi="Cambria" w:cs="Cambria"/>
          <w:color w:val="000000"/>
          <w:sz w:val="16"/>
          <w:szCs w:val="16"/>
        </w:rPr>
        <w:t xml:space="preserve"> IACHR, Report No. 118/18. Case 12.890. Merits. José Gregorio Mota Abarullo </w:t>
      </w:r>
      <w:r w:rsidRPr="00AE4542">
        <w:rPr>
          <w:rFonts w:ascii="Cambria" w:eastAsia="Cambria" w:hAnsi="Cambria" w:cs="Cambria"/>
          <w:i/>
          <w:color w:val="000000"/>
          <w:sz w:val="16"/>
          <w:szCs w:val="16"/>
        </w:rPr>
        <w:t>et al.</w:t>
      </w:r>
      <w:r w:rsidRPr="00AE4542">
        <w:rPr>
          <w:rFonts w:ascii="Cambria" w:eastAsia="Cambria" w:hAnsi="Cambria" w:cs="Cambria"/>
          <w:color w:val="000000"/>
          <w:sz w:val="16"/>
          <w:szCs w:val="16"/>
        </w:rPr>
        <w:t xml:space="preserve"> </w:t>
      </w:r>
      <w:r>
        <w:rPr>
          <w:rFonts w:ascii="Cambria" w:eastAsia="Cambria" w:hAnsi="Cambria" w:cs="Cambria"/>
          <w:color w:val="000000"/>
          <w:sz w:val="16"/>
          <w:szCs w:val="16"/>
        </w:rPr>
        <w:t xml:space="preserve">(Deaths at the San Félix Prison). Venezuela. October 5, 2018, para. 81; IAHR Court, García Prieto </w:t>
      </w:r>
      <w:r w:rsidRPr="007A6E43">
        <w:rPr>
          <w:rFonts w:ascii="Cambria" w:eastAsia="Cambria" w:hAnsi="Cambria" w:cs="Cambria"/>
          <w:i/>
          <w:color w:val="000000"/>
          <w:sz w:val="16"/>
          <w:szCs w:val="16"/>
        </w:rPr>
        <w:t>et al.</w:t>
      </w:r>
      <w:r>
        <w:rPr>
          <w:rFonts w:ascii="Cambria" w:eastAsia="Cambria" w:hAnsi="Cambria" w:cs="Cambria"/>
          <w:color w:val="000000"/>
          <w:sz w:val="16"/>
          <w:szCs w:val="16"/>
        </w:rPr>
        <w:t xml:space="preserve"> Judgement of November 20, 2007, para. 101; Gómez-Paquiyauri Brothers. Judgement of July 8, 2004, para. 146; Cantoral Huamaní and García Santa Cruz. Judgement of July 10, 2007, para. </w:t>
      </w:r>
      <w:r w:rsidRPr="00AE4542">
        <w:rPr>
          <w:rFonts w:ascii="Cambria" w:eastAsia="Cambria" w:hAnsi="Cambria" w:cs="Cambria"/>
          <w:color w:val="000000"/>
          <w:sz w:val="16"/>
          <w:szCs w:val="16"/>
        </w:rPr>
        <w:t xml:space="preserve">130. </w:t>
      </w:r>
    </w:p>
  </w:footnote>
  <w:footnote w:id="122">
    <w:p w14:paraId="1E44478A" w14:textId="77777777" w:rsidR="006373C8" w:rsidRPr="00E936C8" w:rsidRDefault="006373C8" w:rsidP="00D8110A">
      <w:pPr>
        <w:tabs>
          <w:tab w:val="left" w:pos="360"/>
          <w:tab w:val="left" w:pos="900"/>
          <w:tab w:val="left" w:pos="1080"/>
        </w:tabs>
        <w:jc w:val="both"/>
        <w:rPr>
          <w:rFonts w:ascii="Cambria" w:eastAsia="Cambria" w:hAnsi="Cambria" w:cs="Cambria"/>
          <w:color w:val="000000" w:themeColor="text1"/>
          <w:sz w:val="16"/>
          <w:szCs w:val="16"/>
        </w:rPr>
      </w:pPr>
      <w:r w:rsidRPr="0028728D">
        <w:rPr>
          <w:rFonts w:ascii="Cambria" w:hAnsi="Cambria"/>
          <w:color w:val="000000" w:themeColor="text1"/>
          <w:sz w:val="16"/>
          <w:szCs w:val="16"/>
          <w:vertAlign w:val="superscript"/>
          <w:lang w:val="es-ES"/>
        </w:rPr>
        <w:footnoteRef/>
      </w:r>
      <w:r w:rsidRPr="00AE4542">
        <w:rPr>
          <w:rFonts w:ascii="Cambria" w:eastAsia="Cambria" w:hAnsi="Cambria" w:cs="Cambria"/>
          <w:color w:val="000000"/>
          <w:sz w:val="16"/>
          <w:szCs w:val="16"/>
        </w:rPr>
        <w:t xml:space="preserve"> IACHR, Report No. 118/18. Case 12.890. Merits. José Gregorio Mota Abarullo </w:t>
      </w:r>
      <w:r w:rsidRPr="00AE4542">
        <w:rPr>
          <w:rFonts w:ascii="Cambria" w:eastAsia="Cambria" w:hAnsi="Cambria" w:cs="Cambria"/>
          <w:i/>
          <w:color w:val="000000"/>
          <w:sz w:val="16"/>
          <w:szCs w:val="16"/>
        </w:rPr>
        <w:t>et al.</w:t>
      </w:r>
      <w:r w:rsidRPr="00AE4542">
        <w:rPr>
          <w:rFonts w:ascii="Cambria" w:eastAsia="Cambria" w:hAnsi="Cambria" w:cs="Cambria"/>
          <w:color w:val="000000"/>
          <w:sz w:val="16"/>
          <w:szCs w:val="16"/>
        </w:rPr>
        <w:t xml:space="preserve"> </w:t>
      </w:r>
      <w:r>
        <w:rPr>
          <w:rFonts w:ascii="Cambria" w:eastAsia="Cambria" w:hAnsi="Cambria" w:cs="Cambria"/>
          <w:color w:val="000000"/>
          <w:sz w:val="16"/>
          <w:szCs w:val="16"/>
        </w:rPr>
        <w:t>(Deaths at the San Félix Prison). Venezuela. October 5, 2018, para. 81; IAHR Court, Bulacio v. Argentina. Judgement of September 18, 2003, para. 114; La Rochela Massacre. Judgement of May 11, 2007, para. 146; Miguel Castro-Castro Prison. Judgement of November 25, 2006, para. 382.</w:t>
      </w:r>
    </w:p>
  </w:footnote>
  <w:footnote w:id="123">
    <w:p w14:paraId="3C794735" w14:textId="47C2DE71" w:rsidR="006373C8" w:rsidRPr="00E936C8" w:rsidRDefault="006373C8" w:rsidP="00D8110A">
      <w:pPr>
        <w:tabs>
          <w:tab w:val="left" w:pos="360"/>
          <w:tab w:val="left" w:pos="720"/>
          <w:tab w:val="left" w:pos="900"/>
          <w:tab w:val="left" w:pos="1080"/>
        </w:tabs>
        <w:jc w:val="both"/>
        <w:rPr>
          <w:rFonts w:ascii="Cambria" w:eastAsia="Cambria" w:hAnsi="Cambria" w:cs="Cambria"/>
          <w:color w:val="000000" w:themeColor="text1"/>
          <w:sz w:val="16"/>
          <w:szCs w:val="16"/>
        </w:rPr>
      </w:pPr>
      <w:r w:rsidRPr="0028728D">
        <w:rPr>
          <w:rFonts w:ascii="Cambria" w:hAnsi="Cambria"/>
          <w:color w:val="000000" w:themeColor="text1"/>
          <w:sz w:val="16"/>
          <w:szCs w:val="16"/>
          <w:vertAlign w:val="superscript"/>
          <w:lang w:val="es-ES"/>
        </w:rPr>
        <w:footnoteRef/>
      </w:r>
      <w:r>
        <w:rPr>
          <w:rFonts w:ascii="Cambria" w:eastAsia="Cambria" w:hAnsi="Cambria" w:cs="Cambria"/>
          <w:color w:val="000000"/>
          <w:sz w:val="16"/>
          <w:szCs w:val="16"/>
        </w:rPr>
        <w:t xml:space="preserve"> IACHR, Report No. 118/18. </w:t>
      </w:r>
      <w:r w:rsidRPr="00AE4542">
        <w:rPr>
          <w:rFonts w:ascii="Cambria" w:eastAsia="Cambria" w:hAnsi="Cambria" w:cs="Cambria"/>
          <w:color w:val="000000"/>
          <w:sz w:val="16"/>
          <w:szCs w:val="16"/>
        </w:rPr>
        <w:t xml:space="preserve">Case 12,890. Merits. José Gregorio Mota Abarullo </w:t>
      </w:r>
      <w:r w:rsidRPr="00AE4542">
        <w:rPr>
          <w:rFonts w:ascii="Cambria" w:eastAsia="Cambria" w:hAnsi="Cambria" w:cs="Cambria"/>
          <w:i/>
          <w:color w:val="000000"/>
          <w:sz w:val="16"/>
          <w:szCs w:val="16"/>
        </w:rPr>
        <w:t>et al.</w:t>
      </w:r>
      <w:r w:rsidRPr="00AE4542">
        <w:rPr>
          <w:rFonts w:ascii="Cambria" w:eastAsia="Cambria" w:hAnsi="Cambria" w:cs="Cambria"/>
          <w:color w:val="000000"/>
          <w:sz w:val="16"/>
          <w:szCs w:val="16"/>
        </w:rPr>
        <w:t xml:space="preserve"> </w:t>
      </w:r>
      <w:r>
        <w:rPr>
          <w:rFonts w:ascii="Cambria" w:eastAsia="Cambria" w:hAnsi="Cambria" w:cs="Cambria"/>
          <w:color w:val="000000"/>
          <w:sz w:val="16"/>
          <w:szCs w:val="16"/>
        </w:rPr>
        <w:t xml:space="preserve">(Deaths at the San Félix Prison). Venezuela. October 5, 2018, para. 81; IAHR Court, García Prieto </w:t>
      </w:r>
      <w:r w:rsidRPr="007A6E43">
        <w:rPr>
          <w:rFonts w:ascii="Cambria" w:eastAsia="Cambria" w:hAnsi="Cambria" w:cs="Cambria"/>
          <w:i/>
          <w:color w:val="000000"/>
          <w:sz w:val="16"/>
          <w:szCs w:val="16"/>
        </w:rPr>
        <w:t>et al.</w:t>
      </w:r>
      <w:r>
        <w:rPr>
          <w:rFonts w:ascii="Cambria" w:eastAsia="Cambria" w:hAnsi="Cambria" w:cs="Cambria"/>
          <w:color w:val="000000"/>
          <w:sz w:val="16"/>
          <w:szCs w:val="16"/>
        </w:rPr>
        <w:t xml:space="preserve"> Judgement of November 20, 2007, para. 103; Bulacio v. Argentina. Judgement of September 18, 2003, para. 114; and Miguel Castro-Castro Prison. Judgement of November 25, 2006, para. 382.</w:t>
      </w:r>
    </w:p>
  </w:footnote>
  <w:footnote w:id="124">
    <w:p w14:paraId="13ADA070" w14:textId="3ABED9AC" w:rsidR="006373C8" w:rsidRPr="00AE4542" w:rsidRDefault="006373C8" w:rsidP="00D8110A">
      <w:pPr>
        <w:pStyle w:val="FootnoteText"/>
        <w:tabs>
          <w:tab w:val="left" w:pos="360"/>
          <w:tab w:val="left" w:pos="900"/>
          <w:tab w:val="left" w:pos="1080"/>
        </w:tabs>
        <w:jc w:val="both"/>
        <w:rPr>
          <w:rFonts w:ascii="Cambria" w:hAnsi="Cambria"/>
          <w:color w:val="000000" w:themeColor="text1"/>
          <w:sz w:val="16"/>
          <w:szCs w:val="16"/>
        </w:rPr>
      </w:pPr>
      <w:r w:rsidRPr="0028728D">
        <w:rPr>
          <w:rStyle w:val="FootnoteReference"/>
          <w:rFonts w:ascii="Cambria" w:hAnsi="Cambria"/>
          <w:color w:val="000000" w:themeColor="text1"/>
          <w:sz w:val="16"/>
          <w:szCs w:val="16"/>
          <w:lang w:val="es-ES"/>
        </w:rPr>
        <w:footnoteRef/>
      </w:r>
      <w:r>
        <w:rPr>
          <w:rFonts w:ascii="Cambria" w:eastAsia="Cambria" w:hAnsi="Cambria" w:cs="Cambria"/>
          <w:sz w:val="16"/>
          <w:szCs w:val="16"/>
        </w:rPr>
        <w:t xml:space="preserve"> IACHR, Report No. 118/18. </w:t>
      </w:r>
      <w:r w:rsidRPr="00AE4542">
        <w:rPr>
          <w:rFonts w:ascii="Cambria" w:eastAsia="Cambria" w:hAnsi="Cambria" w:cs="Cambria"/>
          <w:sz w:val="16"/>
          <w:szCs w:val="16"/>
        </w:rPr>
        <w:t xml:space="preserve">Case 12,890. Merits. José Gregorio Mota Abarullo </w:t>
      </w:r>
      <w:r w:rsidRPr="00AE4542">
        <w:rPr>
          <w:rFonts w:ascii="Cambria" w:eastAsia="Cambria" w:hAnsi="Cambria" w:cs="Cambria"/>
          <w:i/>
          <w:sz w:val="16"/>
          <w:szCs w:val="16"/>
        </w:rPr>
        <w:t>et al.</w:t>
      </w:r>
      <w:r w:rsidRPr="00AE4542">
        <w:rPr>
          <w:rFonts w:ascii="Cambria" w:eastAsia="Cambria" w:hAnsi="Cambria" w:cs="Cambria"/>
          <w:sz w:val="16"/>
          <w:szCs w:val="16"/>
        </w:rPr>
        <w:t xml:space="preserve"> (Deaths at the San Félix Prison). </w:t>
      </w:r>
      <w:r w:rsidRPr="00A623AB">
        <w:rPr>
          <w:rFonts w:ascii="Cambria" w:eastAsia="Cambria" w:hAnsi="Cambria" w:cs="Cambria"/>
          <w:sz w:val="16"/>
          <w:szCs w:val="16"/>
          <w:lang w:val="es-AR"/>
        </w:rPr>
        <w:t xml:space="preserve">Venezuela. October 5, 2018, para. 82; IAHR Court, Velásquez Rodríguez v. Honduras. </w:t>
      </w:r>
      <w:r w:rsidRPr="00AE4542">
        <w:rPr>
          <w:rFonts w:ascii="Cambria" w:eastAsia="Cambria" w:hAnsi="Cambria" w:cs="Cambria"/>
          <w:sz w:val="16"/>
          <w:szCs w:val="16"/>
          <w:lang w:val="es-US"/>
        </w:rPr>
        <w:t xml:space="preserve">Judgement of July 29, 1988, para. </w:t>
      </w:r>
      <w:r>
        <w:rPr>
          <w:rFonts w:ascii="Cambria" w:eastAsia="Cambria" w:hAnsi="Cambria" w:cs="Cambria"/>
          <w:sz w:val="16"/>
          <w:szCs w:val="16"/>
        </w:rPr>
        <w:t xml:space="preserve">177; Cantoral Huamaní and García Santa Cruz. Judgement of July 10, 2007, para. 131; Zambrano Vélez </w:t>
      </w:r>
      <w:r w:rsidRPr="007A6E43">
        <w:rPr>
          <w:rFonts w:ascii="Cambria" w:eastAsia="Cambria" w:hAnsi="Cambria" w:cs="Cambria"/>
          <w:i/>
          <w:sz w:val="16"/>
          <w:szCs w:val="16"/>
        </w:rPr>
        <w:t>et al.</w:t>
      </w:r>
      <w:r>
        <w:rPr>
          <w:rFonts w:ascii="Cambria" w:eastAsia="Cambria" w:hAnsi="Cambria" w:cs="Cambria"/>
          <w:sz w:val="16"/>
          <w:szCs w:val="16"/>
        </w:rPr>
        <w:t xml:space="preserve"> Judgement of July 4, 2007, para. </w:t>
      </w:r>
      <w:r w:rsidRPr="00AE4542">
        <w:rPr>
          <w:rFonts w:ascii="Cambria" w:eastAsia="Cambria" w:hAnsi="Cambria" w:cs="Cambria"/>
          <w:sz w:val="16"/>
          <w:szCs w:val="16"/>
        </w:rPr>
        <w:t xml:space="preserve">120. </w:t>
      </w:r>
    </w:p>
  </w:footnote>
  <w:footnote w:id="125">
    <w:p w14:paraId="06F0968C" w14:textId="1D45ACFD" w:rsidR="006373C8" w:rsidRPr="00E936C8" w:rsidRDefault="006373C8" w:rsidP="00D8110A">
      <w:pPr>
        <w:tabs>
          <w:tab w:val="left" w:pos="360"/>
          <w:tab w:val="left" w:pos="720"/>
          <w:tab w:val="left" w:pos="900"/>
          <w:tab w:val="left" w:pos="1080"/>
        </w:tabs>
        <w:jc w:val="both"/>
        <w:rPr>
          <w:rFonts w:ascii="Cambria" w:hAnsi="Cambria"/>
          <w:color w:val="000000" w:themeColor="text1"/>
          <w:sz w:val="16"/>
          <w:szCs w:val="16"/>
        </w:rPr>
      </w:pPr>
      <w:r w:rsidRPr="0028728D">
        <w:rPr>
          <w:rStyle w:val="FootnoteReference"/>
          <w:rFonts w:ascii="Cambria" w:hAnsi="Cambria"/>
          <w:color w:val="000000" w:themeColor="text1"/>
          <w:sz w:val="16"/>
          <w:szCs w:val="16"/>
          <w:lang w:val="es-ES"/>
        </w:rPr>
        <w:footnoteRef/>
      </w:r>
      <w:r w:rsidRPr="00AE4542">
        <w:rPr>
          <w:rFonts w:ascii="Cambria" w:eastAsia="Cambria" w:hAnsi="Cambria" w:cs="Cambria"/>
          <w:color w:val="000000"/>
          <w:sz w:val="16"/>
          <w:szCs w:val="16"/>
        </w:rPr>
        <w:t xml:space="preserve"> IACHR, Report No. 118/18. Case 12,890. Merits. José Gregorio Mota Abarullo </w:t>
      </w:r>
      <w:r w:rsidRPr="00AE4542">
        <w:rPr>
          <w:rFonts w:ascii="Cambria" w:eastAsia="Cambria" w:hAnsi="Cambria" w:cs="Cambria"/>
          <w:i/>
          <w:color w:val="000000"/>
          <w:sz w:val="16"/>
          <w:szCs w:val="16"/>
        </w:rPr>
        <w:t>et al.</w:t>
      </w:r>
      <w:r w:rsidRPr="00AE4542">
        <w:rPr>
          <w:rFonts w:ascii="Cambria" w:eastAsia="Cambria" w:hAnsi="Cambria" w:cs="Cambria"/>
          <w:color w:val="000000"/>
          <w:sz w:val="16"/>
          <w:szCs w:val="16"/>
        </w:rPr>
        <w:t xml:space="preserve"> </w:t>
      </w:r>
      <w:r>
        <w:rPr>
          <w:rFonts w:ascii="Cambria" w:eastAsia="Cambria" w:hAnsi="Cambria" w:cs="Cambria"/>
          <w:color w:val="000000"/>
          <w:sz w:val="16"/>
          <w:szCs w:val="16"/>
        </w:rPr>
        <w:t xml:space="preserve">(Deaths at the San Félix Prison). Venezuela. October 5, 2018, para. 82; IAHR Court, Velásquez Rodríguez. Judgement of July 29, 1988, para. 177; Zambrano Vélez </w:t>
      </w:r>
      <w:r w:rsidRPr="007A6E43">
        <w:rPr>
          <w:rFonts w:ascii="Cambria" w:eastAsia="Cambria" w:hAnsi="Cambria" w:cs="Cambria"/>
          <w:i/>
          <w:color w:val="000000"/>
          <w:sz w:val="16"/>
          <w:szCs w:val="16"/>
        </w:rPr>
        <w:t>et al.</w:t>
      </w:r>
      <w:r>
        <w:rPr>
          <w:rFonts w:ascii="Cambria" w:eastAsia="Cambria" w:hAnsi="Cambria" w:cs="Cambria"/>
          <w:color w:val="000000"/>
          <w:sz w:val="16"/>
          <w:szCs w:val="16"/>
        </w:rPr>
        <w:t xml:space="preserve"> Judgement of July 4, 2007, para. 120.</w:t>
      </w:r>
    </w:p>
  </w:footnote>
  <w:footnote w:id="126">
    <w:p w14:paraId="56CC32A1" w14:textId="3F883C1F" w:rsidR="006373C8" w:rsidRPr="00E936C8" w:rsidRDefault="006373C8" w:rsidP="00D8110A">
      <w:pPr>
        <w:tabs>
          <w:tab w:val="left" w:pos="360"/>
          <w:tab w:val="left" w:pos="720"/>
          <w:tab w:val="left" w:pos="900"/>
          <w:tab w:val="left" w:pos="1080"/>
        </w:tabs>
        <w:jc w:val="both"/>
        <w:rPr>
          <w:rFonts w:ascii="Cambria" w:eastAsia="Cambria" w:hAnsi="Cambria" w:cs="Cambria"/>
          <w:color w:val="000000" w:themeColor="text1"/>
          <w:sz w:val="16"/>
          <w:szCs w:val="16"/>
        </w:rPr>
      </w:pPr>
      <w:r w:rsidRPr="0028728D">
        <w:rPr>
          <w:rFonts w:ascii="Cambria" w:hAnsi="Cambria"/>
          <w:color w:val="000000" w:themeColor="text1"/>
          <w:sz w:val="16"/>
          <w:szCs w:val="16"/>
          <w:vertAlign w:val="superscript"/>
          <w:lang w:val="es-ES"/>
        </w:rPr>
        <w:footnoteRef/>
      </w:r>
      <w:r>
        <w:rPr>
          <w:rFonts w:ascii="Cambria" w:eastAsia="Cambria" w:hAnsi="Cambria" w:cs="Cambria"/>
          <w:color w:val="000000"/>
          <w:sz w:val="16"/>
          <w:szCs w:val="16"/>
        </w:rPr>
        <w:t xml:space="preserve"> IACHR, Report No. 118/18. </w:t>
      </w:r>
      <w:r w:rsidRPr="00A623AB">
        <w:rPr>
          <w:rFonts w:ascii="Cambria" w:eastAsia="Cambria" w:hAnsi="Cambria" w:cs="Cambria"/>
          <w:color w:val="000000"/>
          <w:sz w:val="16"/>
          <w:szCs w:val="16"/>
        </w:rPr>
        <w:t xml:space="preserve">Case 12,890. </w:t>
      </w:r>
      <w:r w:rsidRPr="00AE4542">
        <w:rPr>
          <w:rFonts w:ascii="Cambria" w:eastAsia="Cambria" w:hAnsi="Cambria" w:cs="Cambria"/>
          <w:color w:val="000000"/>
          <w:sz w:val="16"/>
          <w:szCs w:val="16"/>
        </w:rPr>
        <w:t xml:space="preserve">Merits. José Gregorio Mota Abarullo </w:t>
      </w:r>
      <w:r w:rsidRPr="00AE4542">
        <w:rPr>
          <w:rFonts w:ascii="Cambria" w:eastAsia="Cambria" w:hAnsi="Cambria" w:cs="Cambria"/>
          <w:i/>
          <w:color w:val="000000"/>
          <w:sz w:val="16"/>
          <w:szCs w:val="16"/>
        </w:rPr>
        <w:t>et al.</w:t>
      </w:r>
      <w:r w:rsidRPr="00AE4542">
        <w:rPr>
          <w:rFonts w:ascii="Cambria" w:eastAsia="Cambria" w:hAnsi="Cambria" w:cs="Cambria"/>
          <w:color w:val="000000"/>
          <w:sz w:val="16"/>
          <w:szCs w:val="16"/>
        </w:rPr>
        <w:t xml:space="preserve"> </w:t>
      </w:r>
      <w:r>
        <w:rPr>
          <w:rFonts w:ascii="Cambria" w:eastAsia="Cambria" w:hAnsi="Cambria" w:cs="Cambria"/>
          <w:color w:val="000000"/>
          <w:sz w:val="16"/>
          <w:szCs w:val="16"/>
        </w:rPr>
        <w:t xml:space="preserve">(Deaths at the San Félix Prison). Venezuela. October 5, 2018, para. 83; IAHR Court, García Prieto </w:t>
      </w:r>
      <w:r w:rsidRPr="007A6E43">
        <w:rPr>
          <w:rFonts w:ascii="Cambria" w:eastAsia="Cambria" w:hAnsi="Cambria" w:cs="Cambria"/>
          <w:i/>
          <w:color w:val="000000"/>
          <w:sz w:val="16"/>
          <w:szCs w:val="16"/>
        </w:rPr>
        <w:t>et al.</w:t>
      </w:r>
      <w:r>
        <w:rPr>
          <w:rFonts w:ascii="Cambria" w:eastAsia="Cambria" w:hAnsi="Cambria" w:cs="Cambria"/>
          <w:color w:val="000000"/>
          <w:sz w:val="16"/>
          <w:szCs w:val="16"/>
        </w:rPr>
        <w:t xml:space="preserve"> Judgement of November 20, 2007, para. 101.  </w:t>
      </w:r>
    </w:p>
  </w:footnote>
  <w:footnote w:id="127">
    <w:p w14:paraId="72BF260C" w14:textId="40FF5358" w:rsidR="006373C8" w:rsidRPr="00E936C8" w:rsidRDefault="006373C8" w:rsidP="00D8110A">
      <w:pPr>
        <w:pStyle w:val="FootnoteText"/>
        <w:jc w:val="both"/>
        <w:rPr>
          <w:rFonts w:ascii="Cambria" w:hAnsi="Cambria"/>
          <w:color w:val="000000" w:themeColor="text1"/>
          <w:sz w:val="16"/>
          <w:szCs w:val="16"/>
        </w:rPr>
      </w:pPr>
      <w:r w:rsidRPr="0028728D">
        <w:rPr>
          <w:rStyle w:val="FootnoteReference"/>
          <w:rFonts w:ascii="Cambria" w:hAnsi="Cambria"/>
          <w:color w:val="000000" w:themeColor="text1"/>
          <w:sz w:val="16"/>
          <w:szCs w:val="16"/>
          <w:lang w:val="es-ES"/>
        </w:rPr>
        <w:footnoteRef/>
      </w:r>
      <w:r>
        <w:rPr>
          <w:rFonts w:ascii="Cambria" w:eastAsia="Cambria" w:hAnsi="Cambria" w:cs="Cambria"/>
          <w:sz w:val="16"/>
          <w:szCs w:val="16"/>
        </w:rPr>
        <w:t xml:space="preserve"> IACHR, Report No. 53/13. Case 12,864. Iván Teleguz v. United States. Judgement of July 15, 2013, para. 102. </w:t>
      </w:r>
    </w:p>
  </w:footnote>
  <w:footnote w:id="128">
    <w:p w14:paraId="32B99A63" w14:textId="7340916B" w:rsidR="006373C8" w:rsidRPr="00AE4542" w:rsidRDefault="006373C8" w:rsidP="00AE4542">
      <w:pPr>
        <w:pStyle w:val="FootnoteText"/>
        <w:shd w:val="clear" w:color="auto" w:fill="FFFFFF"/>
        <w:spacing w:after="120"/>
        <w:jc w:val="both"/>
        <w:rPr>
          <w:sz w:val="18"/>
          <w:szCs w:val="18"/>
          <w:lang w:val="pt-BR"/>
        </w:rPr>
      </w:pPr>
      <w:r w:rsidRPr="003A0E46">
        <w:rPr>
          <w:rStyle w:val="FootnoteReference"/>
          <w:rFonts w:ascii="Cambria" w:hAnsi="Cambria"/>
          <w:sz w:val="16"/>
          <w:szCs w:val="16"/>
        </w:rPr>
        <w:footnoteRef/>
      </w:r>
      <w:r>
        <w:rPr>
          <w:sz w:val="18"/>
          <w:szCs w:val="18"/>
        </w:rPr>
        <w:t xml:space="preserve"> </w:t>
      </w:r>
      <w:r w:rsidRPr="00AE4542">
        <w:rPr>
          <w:rFonts w:ascii="Cambria" w:eastAsia="Cambria" w:hAnsi="Cambria" w:cs="Cambria"/>
          <w:sz w:val="16"/>
          <w:szCs w:val="16"/>
          <w:lang w:eastAsia="en-US"/>
        </w:rPr>
        <w:t xml:space="preserve">IACHR, Annual Report 1997. Report No. 55/97. Case 11,137 (Juan Carlos Abella </w:t>
      </w:r>
      <w:r w:rsidRPr="00AE4542">
        <w:rPr>
          <w:rFonts w:ascii="Cambria" w:eastAsia="Cambria" w:hAnsi="Cambria" w:cs="Cambria"/>
          <w:i/>
          <w:sz w:val="16"/>
          <w:szCs w:val="16"/>
          <w:lang w:eastAsia="en-US"/>
        </w:rPr>
        <w:t>et al.</w:t>
      </w:r>
      <w:r w:rsidRPr="00AE4542">
        <w:rPr>
          <w:rFonts w:ascii="Cambria" w:eastAsia="Cambria" w:hAnsi="Cambria" w:cs="Cambria"/>
          <w:sz w:val="16"/>
          <w:szCs w:val="16"/>
          <w:lang w:eastAsia="en-US"/>
        </w:rPr>
        <w:t xml:space="preserve">). Argentina, para 412. On the same topic, see also: IACHR, Annual Report 1997. </w:t>
      </w:r>
      <w:r w:rsidRPr="00AE4542">
        <w:rPr>
          <w:rFonts w:ascii="Cambria" w:eastAsia="Cambria" w:hAnsi="Cambria" w:cs="Cambria"/>
          <w:sz w:val="16"/>
          <w:szCs w:val="16"/>
          <w:lang w:val="pt-BR" w:eastAsia="en-US"/>
        </w:rPr>
        <w:t>Report No. 52/97. Case 11,218 (Arges Sequeira Mangas). Nicaragua, paras. 96 and 97.</w:t>
      </w:r>
    </w:p>
  </w:footnote>
  <w:footnote w:id="129">
    <w:p w14:paraId="1564A5C7" w14:textId="6A9F79B3" w:rsidR="006373C8" w:rsidRPr="00981BF7" w:rsidRDefault="006373C8" w:rsidP="008C20C0">
      <w:pPr>
        <w:pStyle w:val="FootnoteText"/>
        <w:spacing w:after="120"/>
        <w:jc w:val="both"/>
      </w:pPr>
      <w:r w:rsidRPr="003A0E46">
        <w:rPr>
          <w:rStyle w:val="FootnoteReference"/>
          <w:rFonts w:ascii="Cambria" w:hAnsi="Cambria"/>
          <w:sz w:val="16"/>
          <w:szCs w:val="16"/>
        </w:rPr>
        <w:footnoteRef/>
      </w:r>
      <w:r w:rsidRPr="00AE4542">
        <w:rPr>
          <w:sz w:val="18"/>
          <w:szCs w:val="18"/>
          <w:lang w:val="pt-BR"/>
        </w:rPr>
        <w:t xml:space="preserve"> </w:t>
      </w:r>
      <w:r w:rsidRPr="00AE4542">
        <w:rPr>
          <w:rFonts w:ascii="Cambria" w:eastAsia="Cambria" w:hAnsi="Cambria" w:cs="Cambria"/>
          <w:sz w:val="16"/>
          <w:szCs w:val="16"/>
          <w:lang w:val="pt-BR" w:eastAsia="en-US"/>
        </w:rPr>
        <w:t xml:space="preserve">IAHR Court, Mendoza </w:t>
      </w:r>
      <w:r w:rsidRPr="00AE4542">
        <w:rPr>
          <w:rFonts w:ascii="Cambria" w:eastAsia="Cambria" w:hAnsi="Cambria" w:cs="Cambria"/>
          <w:i/>
          <w:iCs/>
          <w:sz w:val="16"/>
          <w:szCs w:val="16"/>
          <w:lang w:val="pt-BR" w:eastAsia="en-US"/>
        </w:rPr>
        <w:t>et al.</w:t>
      </w:r>
      <w:r w:rsidRPr="00AE4542">
        <w:rPr>
          <w:rFonts w:ascii="Cambria" w:eastAsia="Cambria" w:hAnsi="Cambria" w:cs="Cambria"/>
          <w:sz w:val="16"/>
          <w:szCs w:val="16"/>
          <w:lang w:val="pt-BR" w:eastAsia="en-US"/>
        </w:rPr>
        <w:t xml:space="preserve"> v. Argentina. </w:t>
      </w:r>
      <w:r w:rsidRPr="00ED0250">
        <w:rPr>
          <w:rFonts w:ascii="Cambria" w:eastAsia="Cambria" w:hAnsi="Cambria" w:cs="Cambria"/>
          <w:sz w:val="16"/>
          <w:szCs w:val="16"/>
          <w:lang w:eastAsia="en-US"/>
        </w:rPr>
        <w:t>Preliminary objections, merits and reparations. Judgement of May 14, 2013, Series C No. 260, para. 223.</w:t>
      </w:r>
    </w:p>
  </w:footnote>
  <w:footnote w:id="130">
    <w:p w14:paraId="513886A7" w14:textId="0389B64D" w:rsidR="006373C8" w:rsidRPr="00E936C8" w:rsidRDefault="006373C8" w:rsidP="00D8110A">
      <w:pPr>
        <w:pStyle w:val="FootnoteText"/>
        <w:jc w:val="both"/>
        <w:rPr>
          <w:rFonts w:ascii="Cambria" w:hAnsi="Cambria"/>
          <w:color w:val="000000" w:themeColor="text1"/>
          <w:sz w:val="16"/>
          <w:szCs w:val="16"/>
        </w:rPr>
      </w:pPr>
      <w:r w:rsidRPr="0028728D">
        <w:rPr>
          <w:rStyle w:val="FootnoteReference"/>
          <w:rFonts w:ascii="Cambria" w:hAnsi="Cambria"/>
          <w:color w:val="000000" w:themeColor="text1"/>
          <w:sz w:val="16"/>
          <w:szCs w:val="16"/>
          <w:lang w:val="es-ES"/>
        </w:rPr>
        <w:footnoteRef/>
      </w:r>
      <w:r>
        <w:rPr>
          <w:rFonts w:ascii="Cambria" w:eastAsia="Cambria" w:hAnsi="Cambria" w:cs="Cambria"/>
          <w:sz w:val="16"/>
          <w:szCs w:val="16"/>
        </w:rPr>
        <w:t xml:space="preserve"> </w:t>
      </w:r>
      <w:r>
        <w:rPr>
          <w:rFonts w:ascii="Cambria" w:eastAsia="Cambria" w:hAnsi="Cambria" w:cs="Cambria"/>
          <w:sz w:val="16"/>
          <w:szCs w:val="16"/>
          <w:shd w:val="clear" w:color="auto" w:fill="FFFFFF"/>
        </w:rPr>
        <w:t xml:space="preserve">IAHR Court. Moya Solís v. Peru. Preliminary objections, merits, reparations and costs. Judgement of June 3, 2021. Series C No. 425, para. 98; </w:t>
      </w:r>
      <w:r>
        <w:rPr>
          <w:rFonts w:ascii="Cambria" w:eastAsia="Cambria" w:hAnsi="Cambria" w:cs="Cambria"/>
          <w:sz w:val="16"/>
          <w:szCs w:val="16"/>
        </w:rPr>
        <w:t xml:space="preserve">Anzualdo Castro v. Peru. </w:t>
      </w:r>
      <w:r>
        <w:rPr>
          <w:rFonts w:ascii="Cambria" w:eastAsia="Cambria" w:hAnsi="Cambria" w:cs="Cambria"/>
          <w:sz w:val="16"/>
          <w:szCs w:val="16"/>
          <w:shd w:val="clear" w:color="auto" w:fill="FFFFFF"/>
        </w:rPr>
        <w:t>Preliminary objections, merits, reparations and costs</w:t>
      </w:r>
      <w:r>
        <w:rPr>
          <w:rFonts w:ascii="Cambria" w:eastAsia="Cambria" w:hAnsi="Cambria" w:cs="Cambria"/>
          <w:sz w:val="16"/>
          <w:szCs w:val="16"/>
        </w:rPr>
        <w:t>. Judgement of September 22, 2009. Series C No. 202, para. 156; and IACHR, Vicente Aníbal Grijalva Bueno. Ecuador. Report on the Merits. Case 12,405. December 7, 2018; para. 87.</w:t>
      </w:r>
    </w:p>
  </w:footnote>
  <w:footnote w:id="131">
    <w:p w14:paraId="009299D3" w14:textId="3E3132B5" w:rsidR="006373C8" w:rsidRPr="00E936C8" w:rsidRDefault="006373C8" w:rsidP="00D8110A">
      <w:pPr>
        <w:pStyle w:val="FootnoteText"/>
        <w:jc w:val="both"/>
        <w:rPr>
          <w:rFonts w:ascii="Cambria" w:hAnsi="Cambria"/>
          <w:color w:val="000000" w:themeColor="text1"/>
          <w:sz w:val="16"/>
          <w:szCs w:val="16"/>
        </w:rPr>
      </w:pPr>
      <w:r w:rsidRPr="0028728D">
        <w:rPr>
          <w:rStyle w:val="FootnoteReference"/>
          <w:rFonts w:ascii="Cambria" w:hAnsi="Cambria"/>
          <w:color w:val="000000" w:themeColor="text1"/>
          <w:sz w:val="16"/>
          <w:szCs w:val="16"/>
          <w:lang w:val="es-ES"/>
        </w:rPr>
        <w:footnoteRef/>
      </w:r>
      <w:r>
        <w:rPr>
          <w:rFonts w:ascii="Cambria" w:eastAsia="Cambria" w:hAnsi="Cambria" w:cs="Cambria"/>
          <w:sz w:val="16"/>
          <w:szCs w:val="16"/>
        </w:rPr>
        <w:t xml:space="preserve"> IACHR, Report No. 77/02. </w:t>
      </w:r>
      <w:r w:rsidRPr="00AE4542">
        <w:rPr>
          <w:rFonts w:ascii="Cambria" w:eastAsia="Cambria" w:hAnsi="Cambria" w:cs="Cambria"/>
          <w:sz w:val="16"/>
          <w:szCs w:val="16"/>
          <w:lang w:val="pt-BR"/>
        </w:rPr>
        <w:t xml:space="preserve">Case 11.506. Merits. Waldemar Gerónimo Pinheiro and José Víctor dos Santos. </w:t>
      </w:r>
      <w:r w:rsidRPr="00AE4542">
        <w:rPr>
          <w:rFonts w:ascii="Cambria" w:eastAsia="Cambria" w:hAnsi="Cambria" w:cs="Cambria"/>
          <w:sz w:val="16"/>
          <w:szCs w:val="16"/>
        </w:rPr>
        <w:t xml:space="preserve">Paraguay. December 27, 2002, para. 76; IACHR, Vicente Aníbal Grijalva Bueno. </w:t>
      </w:r>
      <w:r>
        <w:rPr>
          <w:rFonts w:ascii="Cambria" w:eastAsia="Cambria" w:hAnsi="Cambria" w:cs="Cambria"/>
          <w:sz w:val="16"/>
          <w:szCs w:val="16"/>
        </w:rPr>
        <w:t xml:space="preserve">Ecuador. Report on the Merits. Case 12,405. December 7, 2018; para. 87. </w:t>
      </w:r>
    </w:p>
  </w:footnote>
  <w:footnote w:id="132">
    <w:p w14:paraId="1323EF60" w14:textId="77777777" w:rsidR="006373C8" w:rsidRPr="00E936C8" w:rsidRDefault="006373C8" w:rsidP="00D8110A">
      <w:pPr>
        <w:pStyle w:val="FootnoteText"/>
        <w:jc w:val="both"/>
        <w:rPr>
          <w:rFonts w:ascii="Cambria" w:hAnsi="Cambria"/>
          <w:color w:val="000000" w:themeColor="text1"/>
          <w:sz w:val="16"/>
          <w:szCs w:val="16"/>
        </w:rPr>
      </w:pPr>
      <w:r w:rsidRPr="0028728D">
        <w:rPr>
          <w:rStyle w:val="FootnoteReference"/>
          <w:rFonts w:ascii="Cambria" w:hAnsi="Cambria"/>
          <w:color w:val="000000" w:themeColor="text1"/>
          <w:sz w:val="16"/>
          <w:szCs w:val="16"/>
          <w:lang w:val="es-ES"/>
        </w:rPr>
        <w:footnoteRef/>
      </w:r>
      <w:r>
        <w:rPr>
          <w:rFonts w:ascii="Cambria" w:eastAsia="Cambria" w:hAnsi="Cambria" w:cs="Cambria"/>
          <w:sz w:val="16"/>
          <w:szCs w:val="16"/>
        </w:rPr>
        <w:t xml:space="preserve"> Annex 5. Correspondence between the Langton family and Venezuelan authorities. Annex 5(c) to the petition.</w:t>
      </w:r>
    </w:p>
  </w:footnote>
  <w:footnote w:id="133">
    <w:p w14:paraId="64A2E06F" w14:textId="77777777" w:rsidR="006373C8" w:rsidRPr="00E936C8" w:rsidRDefault="006373C8" w:rsidP="00D8110A">
      <w:pPr>
        <w:shd w:val="clear" w:color="auto" w:fill="FFFFFF"/>
        <w:tabs>
          <w:tab w:val="num" w:pos="720"/>
          <w:tab w:val="left" w:pos="1440"/>
          <w:tab w:val="num" w:pos="2040"/>
        </w:tabs>
        <w:jc w:val="both"/>
        <w:rPr>
          <w:rFonts w:ascii="Cambria" w:hAnsi="Cambria"/>
          <w:color w:val="000000" w:themeColor="text1"/>
          <w:sz w:val="16"/>
          <w:szCs w:val="16"/>
        </w:rPr>
      </w:pPr>
      <w:r w:rsidRPr="0028728D">
        <w:rPr>
          <w:rStyle w:val="FootnoteReference"/>
          <w:rFonts w:ascii="Cambria" w:hAnsi="Cambria"/>
          <w:color w:val="000000" w:themeColor="text1"/>
          <w:sz w:val="16"/>
          <w:szCs w:val="16"/>
          <w:lang w:val="es-ES"/>
        </w:rPr>
        <w:footnoteRef/>
      </w:r>
      <w:r>
        <w:rPr>
          <w:rFonts w:ascii="Cambria" w:eastAsia="Cambria" w:hAnsi="Cambria" w:cs="Cambria"/>
          <w:color w:val="000000"/>
          <w:sz w:val="16"/>
          <w:szCs w:val="16"/>
        </w:rPr>
        <w:t xml:space="preserve"> Article 5 provides: “1. Every person has the right to have his physical, mental, and moral integrity respected. […] 4. Accused persons shall, save in exceptional circumstances, be segregated from convicted persons, and shall be subject to separate treatment appropriate to their status as unconvicted persons. 5. Minors while subject to criminal proceedings shall be separated from adults and brought before specialized tribunals, as speedily as possible, so that they may be treated in accordance with their status as minors. 6. Punishments consisting of deprivation of liberty shall have as an essential aim the reform and social readaptation of the prisoners.”</w:t>
      </w:r>
    </w:p>
  </w:footnote>
  <w:footnote w:id="134">
    <w:p w14:paraId="5788EE42" w14:textId="2165C9AF" w:rsidR="006373C8" w:rsidRPr="00E936C8" w:rsidRDefault="006373C8" w:rsidP="00D8110A">
      <w:pPr>
        <w:shd w:val="clear" w:color="auto" w:fill="FFFFFF"/>
        <w:tabs>
          <w:tab w:val="num" w:pos="720"/>
          <w:tab w:val="left" w:pos="1440"/>
          <w:tab w:val="num" w:pos="2040"/>
        </w:tabs>
        <w:jc w:val="both"/>
        <w:rPr>
          <w:rFonts w:ascii="Cambria" w:hAnsi="Cambria"/>
          <w:color w:val="000000" w:themeColor="text1"/>
          <w:sz w:val="16"/>
          <w:szCs w:val="16"/>
        </w:rPr>
      </w:pPr>
      <w:r w:rsidRPr="0028728D">
        <w:rPr>
          <w:rStyle w:val="FootnoteReference"/>
          <w:rFonts w:ascii="Cambria" w:hAnsi="Cambria"/>
          <w:color w:val="000000" w:themeColor="text1"/>
          <w:sz w:val="16"/>
          <w:szCs w:val="16"/>
          <w:lang w:val="es-ES"/>
        </w:rPr>
        <w:footnoteRef/>
      </w:r>
      <w:r>
        <w:rPr>
          <w:rFonts w:ascii="Cambria" w:eastAsia="Cambria" w:hAnsi="Cambria" w:cs="Cambria"/>
          <w:color w:val="000000"/>
          <w:sz w:val="16"/>
          <w:szCs w:val="16"/>
        </w:rPr>
        <w:t xml:space="preserve"> Article 1.1 provides: “1. The State Parties [...] undertake to respect the rights and freedoms recognized herein and to ensure to all persons subject to their jurisdiction the free and full exercise of those rights and freedoms, without any discrimination [...].”</w:t>
      </w:r>
    </w:p>
  </w:footnote>
  <w:footnote w:id="135">
    <w:p w14:paraId="3B2939BC" w14:textId="536B904F" w:rsidR="006373C8" w:rsidRPr="00AE4542" w:rsidRDefault="006373C8" w:rsidP="00D8110A">
      <w:pPr>
        <w:tabs>
          <w:tab w:val="left" w:pos="900"/>
          <w:tab w:val="left" w:pos="1080"/>
        </w:tabs>
        <w:jc w:val="both"/>
        <w:rPr>
          <w:rFonts w:ascii="Cambria" w:hAnsi="Cambria"/>
          <w:color w:val="000000" w:themeColor="text1"/>
          <w:sz w:val="16"/>
          <w:szCs w:val="16"/>
        </w:rPr>
      </w:pPr>
      <w:r w:rsidRPr="0028728D">
        <w:rPr>
          <w:rStyle w:val="FootnoteReference"/>
          <w:rFonts w:ascii="Cambria" w:hAnsi="Cambria" w:cs="Arial"/>
          <w:color w:val="000000" w:themeColor="text1"/>
          <w:sz w:val="16"/>
          <w:szCs w:val="16"/>
          <w:lang w:val="es-ES"/>
        </w:rPr>
        <w:footnoteRef/>
      </w:r>
      <w:r w:rsidRPr="00AE4542">
        <w:rPr>
          <w:rFonts w:ascii="Cambria" w:eastAsia="Cambria" w:hAnsi="Cambria" w:cs="Cambria"/>
          <w:color w:val="000000"/>
          <w:sz w:val="16"/>
          <w:szCs w:val="16"/>
          <w:lang w:val="pt-BR"/>
        </w:rPr>
        <w:t xml:space="preserve"> IAHR Court, Cantoral Huamaní and García Santa Cruz v. Peru. </w:t>
      </w:r>
      <w:r>
        <w:rPr>
          <w:rFonts w:ascii="Cambria" w:eastAsia="Cambria" w:hAnsi="Cambria" w:cs="Cambria"/>
          <w:sz w:val="16"/>
          <w:szCs w:val="16"/>
        </w:rPr>
        <w:t>Preliminary objections, merits, reparations and costs</w:t>
      </w:r>
      <w:r>
        <w:rPr>
          <w:rFonts w:ascii="Cambria" w:eastAsia="Cambria" w:hAnsi="Cambria" w:cs="Cambria"/>
          <w:color w:val="000000"/>
          <w:sz w:val="16"/>
          <w:szCs w:val="16"/>
        </w:rPr>
        <w:t xml:space="preserve">. Judgement of July 10, 2007. Series C No. 167, para. 112; and Bueno Alves v. Argentina. Merits, reparations and costs. Judgement of May 11, 2007. Series C No. 164, para. 102. See also IACHR, Report No. 58/12. Case 12.606. Merits. Landaeta Mejías Brothers. </w:t>
      </w:r>
      <w:r w:rsidRPr="00AE4542">
        <w:rPr>
          <w:rFonts w:ascii="Cambria" w:eastAsia="Cambria" w:hAnsi="Cambria" w:cs="Cambria"/>
          <w:color w:val="000000"/>
          <w:sz w:val="16"/>
          <w:szCs w:val="16"/>
        </w:rPr>
        <w:t xml:space="preserve">Venezuela. March 21, 2012, para. 256. </w:t>
      </w:r>
    </w:p>
  </w:footnote>
  <w:footnote w:id="136">
    <w:p w14:paraId="3798C062" w14:textId="5FFECE11" w:rsidR="006373C8" w:rsidRPr="0028728D" w:rsidRDefault="006373C8" w:rsidP="00D8110A">
      <w:pPr>
        <w:tabs>
          <w:tab w:val="left" w:pos="900"/>
          <w:tab w:val="left" w:pos="1080"/>
        </w:tabs>
        <w:jc w:val="both"/>
        <w:rPr>
          <w:rFonts w:ascii="Cambria" w:hAnsi="Cambria"/>
          <w:color w:val="000000" w:themeColor="text1"/>
          <w:sz w:val="16"/>
          <w:szCs w:val="16"/>
          <w:lang w:val="es-ES"/>
        </w:rPr>
      </w:pPr>
      <w:r w:rsidRPr="0028728D">
        <w:rPr>
          <w:rStyle w:val="FootnoteReference"/>
          <w:rFonts w:ascii="Cambria" w:hAnsi="Cambria" w:cs="Arial"/>
          <w:color w:val="000000" w:themeColor="text1"/>
          <w:sz w:val="16"/>
          <w:szCs w:val="16"/>
          <w:lang w:val="es-ES"/>
        </w:rPr>
        <w:footnoteRef/>
      </w:r>
      <w:r w:rsidRPr="00AE4542">
        <w:rPr>
          <w:rFonts w:ascii="Cambria" w:eastAsia="Cambria" w:hAnsi="Cambria" w:cs="Cambria"/>
          <w:color w:val="000000"/>
          <w:sz w:val="16"/>
          <w:szCs w:val="16"/>
        </w:rPr>
        <w:t xml:space="preserve"> IAHR Court, Cantoral Huamaní and García Santa Cruz v. Peru. </w:t>
      </w:r>
      <w:r>
        <w:rPr>
          <w:rFonts w:ascii="Cambria" w:eastAsia="Cambria" w:hAnsi="Cambria" w:cs="Cambria"/>
          <w:sz w:val="16"/>
          <w:szCs w:val="16"/>
        </w:rPr>
        <w:t>Preliminary objections, merits, reparations and costs</w:t>
      </w:r>
      <w:r>
        <w:rPr>
          <w:rFonts w:ascii="Cambria" w:eastAsia="Cambria" w:hAnsi="Cambria" w:cs="Cambria"/>
          <w:color w:val="000000"/>
          <w:sz w:val="16"/>
          <w:szCs w:val="16"/>
        </w:rPr>
        <w:t xml:space="preserve">. Judgement of July 10, 2007. Series C No. 167, para. 112; Vargas Areco v. Paraguay. Judgement of September 26, 2006. Series C No. 155, para. 96; and IACHR, Report No. 118/18. Case 12,890. Merits. José Gregorio Mota Abarullo </w:t>
      </w:r>
      <w:r w:rsidRPr="007A6E43">
        <w:rPr>
          <w:rFonts w:ascii="Cambria" w:eastAsia="Cambria" w:hAnsi="Cambria" w:cs="Cambria"/>
          <w:i/>
          <w:color w:val="000000"/>
          <w:sz w:val="16"/>
          <w:szCs w:val="16"/>
        </w:rPr>
        <w:t>et al.</w:t>
      </w:r>
      <w:r>
        <w:rPr>
          <w:rFonts w:ascii="Cambria" w:eastAsia="Cambria" w:hAnsi="Cambria" w:cs="Cambria"/>
          <w:color w:val="000000"/>
          <w:sz w:val="16"/>
          <w:szCs w:val="16"/>
        </w:rPr>
        <w:t xml:space="preserve"> (Deaths at the San Félix Prison). </w:t>
      </w:r>
      <w:r w:rsidRPr="00E936C8">
        <w:rPr>
          <w:rFonts w:ascii="Cambria" w:eastAsia="Cambria" w:hAnsi="Cambria" w:cs="Cambria"/>
          <w:color w:val="000000"/>
          <w:sz w:val="16"/>
          <w:szCs w:val="16"/>
          <w:lang w:val="es-AR"/>
        </w:rPr>
        <w:t>Venezuela. October 5, 2018, para. 93.</w:t>
      </w:r>
    </w:p>
  </w:footnote>
  <w:footnote w:id="137">
    <w:p w14:paraId="7A193655" w14:textId="6FC4A92C" w:rsidR="006373C8" w:rsidRPr="0028728D" w:rsidRDefault="006373C8" w:rsidP="00D8110A">
      <w:pPr>
        <w:pStyle w:val="FootnoteText"/>
        <w:tabs>
          <w:tab w:val="left" w:pos="720"/>
          <w:tab w:val="left" w:pos="900"/>
          <w:tab w:val="left" w:pos="1080"/>
        </w:tabs>
        <w:jc w:val="both"/>
        <w:rPr>
          <w:rFonts w:ascii="Cambria" w:hAnsi="Cambria"/>
          <w:color w:val="000000" w:themeColor="text1"/>
          <w:sz w:val="16"/>
          <w:szCs w:val="16"/>
          <w:lang w:val="es-ES"/>
        </w:rPr>
      </w:pPr>
      <w:r w:rsidRPr="0028728D">
        <w:rPr>
          <w:rStyle w:val="FootnoteReference"/>
          <w:rFonts w:ascii="Cambria" w:hAnsi="Cambria"/>
          <w:color w:val="000000" w:themeColor="text1"/>
          <w:sz w:val="16"/>
          <w:szCs w:val="16"/>
          <w:lang w:val="es-ES"/>
        </w:rPr>
        <w:footnoteRef/>
      </w:r>
      <w:r w:rsidRPr="00E936C8">
        <w:rPr>
          <w:rFonts w:ascii="Cambria" w:eastAsia="Cambria" w:hAnsi="Cambria" w:cs="Cambria"/>
          <w:sz w:val="16"/>
          <w:szCs w:val="16"/>
          <w:lang w:val="es-AR"/>
        </w:rPr>
        <w:t xml:space="preserve"> IAHR Court, Valle Jaramillo </w:t>
      </w:r>
      <w:r w:rsidRPr="007A6E43">
        <w:rPr>
          <w:rFonts w:ascii="Cambria" w:eastAsia="Cambria" w:hAnsi="Cambria" w:cs="Cambria"/>
          <w:i/>
          <w:sz w:val="16"/>
          <w:szCs w:val="16"/>
          <w:lang w:val="es-AR"/>
        </w:rPr>
        <w:t>et al.</w:t>
      </w:r>
      <w:r w:rsidRPr="00E936C8">
        <w:rPr>
          <w:rFonts w:ascii="Cambria" w:eastAsia="Cambria" w:hAnsi="Cambria" w:cs="Cambria"/>
          <w:sz w:val="16"/>
          <w:szCs w:val="16"/>
          <w:lang w:val="es-AR"/>
        </w:rPr>
        <w:t xml:space="preserve"> v. Colombia. </w:t>
      </w:r>
      <w:r>
        <w:rPr>
          <w:rFonts w:ascii="Cambria" w:eastAsia="Cambria" w:hAnsi="Cambria" w:cs="Cambria"/>
          <w:sz w:val="16"/>
          <w:szCs w:val="16"/>
        </w:rPr>
        <w:t xml:space="preserve">Merits, reparations and costs. Judgement of November 27, 2008. Series C No. 192, para. 102; La Rochela Massacre v. Colombia. Merits, reparations and costs. Judgement of May 11, 2007, Series C No. 163, para. 195; and Heliodoro Portugal v. Panama. </w:t>
      </w:r>
      <w:hyperlink r:id="rId11" w:history="1">
        <w:r w:rsidRPr="007A30D9">
          <w:rPr>
            <w:rFonts w:ascii="Cambria" w:eastAsia="Cambria" w:hAnsi="Cambria" w:cs="Cambria"/>
            <w:sz w:val="16"/>
            <w:szCs w:val="16"/>
          </w:rPr>
          <w:t xml:space="preserve"> </w:t>
        </w:r>
        <w:r>
          <w:rPr>
            <w:rFonts w:ascii="Cambria" w:eastAsia="Cambria" w:hAnsi="Cambria" w:cs="Cambria"/>
            <w:sz w:val="16"/>
            <w:szCs w:val="16"/>
          </w:rPr>
          <w:t>Preliminary objections, merits, reparations and costs. Judgement of August 12, 2008. Series C No. 186</w:t>
        </w:r>
      </w:hyperlink>
      <w:r>
        <w:rPr>
          <w:rFonts w:ascii="Cambria" w:eastAsia="Cambria" w:hAnsi="Cambria" w:cs="Cambria"/>
          <w:sz w:val="16"/>
          <w:szCs w:val="16"/>
        </w:rPr>
        <w:t>, para. 146.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CC5F8" w14:textId="77777777" w:rsidR="006373C8" w:rsidRDefault="006373C8" w:rsidP="002A6B05">
    <w:pPr>
      <w:pStyle w:val="Header"/>
      <w:framePr w:wrap="around" w:vAnchor="text" w:hAnchor="margin" w:xAlign="center" w:y="1"/>
      <w:rPr>
        <w:rStyle w:val="PageNumber"/>
        <w:rFonts w:eastAsia="Trebuchet MS"/>
      </w:rPr>
    </w:pPr>
    <w:r>
      <w:rPr>
        <w:rStyle w:val="PageNumber"/>
        <w:rFonts w:eastAsia="Trebuchet MS"/>
      </w:rPr>
      <w:fldChar w:fldCharType="begin"/>
    </w:r>
    <w:r>
      <w:rPr>
        <w:rStyle w:val="PageNumber"/>
        <w:rFonts w:eastAsia="Trebuchet MS"/>
      </w:rPr>
      <w:instrText xml:space="preserve">PAGE  </w:instrText>
    </w:r>
    <w:r>
      <w:rPr>
        <w:rStyle w:val="PageNumber"/>
        <w:rFonts w:eastAsia="Trebuchet MS"/>
      </w:rPr>
      <w:fldChar w:fldCharType="end"/>
    </w:r>
  </w:p>
  <w:p w14:paraId="46F3A6EA" w14:textId="77777777" w:rsidR="006373C8" w:rsidRDefault="006373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01529" w14:textId="77777777" w:rsidR="006373C8" w:rsidRDefault="006373C8" w:rsidP="002A6B05">
    <w:pPr>
      <w:pStyle w:val="Header"/>
      <w:tabs>
        <w:tab w:val="clear" w:pos="4320"/>
        <w:tab w:val="clear" w:pos="8640"/>
      </w:tabs>
      <w:jc w:val="center"/>
      <w:rPr>
        <w:sz w:val="22"/>
        <w:szCs w:val="22"/>
      </w:rPr>
    </w:pPr>
    <w:r>
      <w:rPr>
        <w:noProof/>
        <w:sz w:val="22"/>
        <w:szCs w:val="22"/>
      </w:rPr>
      <w:drawing>
        <wp:inline distT="0" distB="0" distL="0" distR="0" wp14:anchorId="22250CAF" wp14:editId="02646587">
          <wp:extent cx="1972237" cy="10201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5556858" name="Picture 1" descr="C:\Users\mfontana\Documents\Eva Fontana\GRAFICA CIDH\cartas\logos\cidh-peq.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972237" cy="102012"/>
                  </a:xfrm>
                  <a:prstGeom prst="rect">
                    <a:avLst/>
                  </a:prstGeom>
                  <a:noFill/>
                  <a:ln>
                    <a:noFill/>
                  </a:ln>
                </pic:spPr>
              </pic:pic>
            </a:graphicData>
          </a:graphic>
        </wp:inline>
      </w:drawing>
    </w:r>
  </w:p>
  <w:p w14:paraId="001876D4" w14:textId="77777777" w:rsidR="006373C8" w:rsidRPr="00EC7D62" w:rsidRDefault="006373C8" w:rsidP="002A6B05">
    <w:pPr>
      <w:pStyle w:val="Header"/>
      <w:tabs>
        <w:tab w:val="clear" w:pos="4320"/>
        <w:tab w:val="clear" w:pos="8640"/>
      </w:tabs>
      <w:jc w:val="center"/>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27B3D" w14:textId="49548D63" w:rsidR="006373C8" w:rsidRPr="00EC7D62" w:rsidRDefault="006373C8" w:rsidP="002A6B05">
    <w:pPr>
      <w:pStyle w:val="Header"/>
      <w:tabs>
        <w:tab w:val="clear" w:pos="4320"/>
        <w:tab w:val="clear" w:pos="8640"/>
      </w:tabs>
      <w:jc w:val="center"/>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504CE"/>
    <w:multiLevelType w:val="hybridMultilevel"/>
    <w:tmpl w:val="2978452C"/>
    <w:lvl w:ilvl="0" w:tplc="8A12503A">
      <w:start w:val="1"/>
      <w:numFmt w:val="bullet"/>
      <w:lvlText w:val="-"/>
      <w:lvlJc w:val="left"/>
      <w:pPr>
        <w:ind w:left="927" w:hanging="360"/>
      </w:pPr>
      <w:rPr>
        <w:rFonts w:ascii="Cambria" w:eastAsia="Cambria" w:hAnsi="Cambria" w:cs="Cambria" w:hint="default"/>
      </w:rPr>
    </w:lvl>
    <w:lvl w:ilvl="1" w:tplc="1676F3BE" w:tentative="1">
      <w:start w:val="1"/>
      <w:numFmt w:val="bullet"/>
      <w:lvlText w:val="o"/>
      <w:lvlJc w:val="left"/>
      <w:pPr>
        <w:ind w:left="1647" w:hanging="360"/>
      </w:pPr>
      <w:rPr>
        <w:rFonts w:ascii="Courier New" w:hAnsi="Courier New" w:cs="Courier New" w:hint="default"/>
      </w:rPr>
    </w:lvl>
    <w:lvl w:ilvl="2" w:tplc="42C85CA6" w:tentative="1">
      <w:start w:val="1"/>
      <w:numFmt w:val="bullet"/>
      <w:lvlText w:val=""/>
      <w:lvlJc w:val="left"/>
      <w:pPr>
        <w:ind w:left="2367" w:hanging="360"/>
      </w:pPr>
      <w:rPr>
        <w:rFonts w:ascii="Wingdings" w:hAnsi="Wingdings" w:hint="default"/>
      </w:rPr>
    </w:lvl>
    <w:lvl w:ilvl="3" w:tplc="D72C6748" w:tentative="1">
      <w:start w:val="1"/>
      <w:numFmt w:val="bullet"/>
      <w:lvlText w:val=""/>
      <w:lvlJc w:val="left"/>
      <w:pPr>
        <w:ind w:left="3087" w:hanging="360"/>
      </w:pPr>
      <w:rPr>
        <w:rFonts w:ascii="Symbol" w:hAnsi="Symbol" w:hint="default"/>
      </w:rPr>
    </w:lvl>
    <w:lvl w:ilvl="4" w:tplc="D2CEAE10" w:tentative="1">
      <w:start w:val="1"/>
      <w:numFmt w:val="bullet"/>
      <w:lvlText w:val="o"/>
      <w:lvlJc w:val="left"/>
      <w:pPr>
        <w:ind w:left="3807" w:hanging="360"/>
      </w:pPr>
      <w:rPr>
        <w:rFonts w:ascii="Courier New" w:hAnsi="Courier New" w:cs="Courier New" w:hint="default"/>
      </w:rPr>
    </w:lvl>
    <w:lvl w:ilvl="5" w:tplc="0AC203C8" w:tentative="1">
      <w:start w:val="1"/>
      <w:numFmt w:val="bullet"/>
      <w:lvlText w:val=""/>
      <w:lvlJc w:val="left"/>
      <w:pPr>
        <w:ind w:left="4527" w:hanging="360"/>
      </w:pPr>
      <w:rPr>
        <w:rFonts w:ascii="Wingdings" w:hAnsi="Wingdings" w:hint="default"/>
      </w:rPr>
    </w:lvl>
    <w:lvl w:ilvl="6" w:tplc="7BC24164" w:tentative="1">
      <w:start w:val="1"/>
      <w:numFmt w:val="bullet"/>
      <w:lvlText w:val=""/>
      <w:lvlJc w:val="left"/>
      <w:pPr>
        <w:ind w:left="5247" w:hanging="360"/>
      </w:pPr>
      <w:rPr>
        <w:rFonts w:ascii="Symbol" w:hAnsi="Symbol" w:hint="default"/>
      </w:rPr>
    </w:lvl>
    <w:lvl w:ilvl="7" w:tplc="FF32E14E" w:tentative="1">
      <w:start w:val="1"/>
      <w:numFmt w:val="bullet"/>
      <w:lvlText w:val="o"/>
      <w:lvlJc w:val="left"/>
      <w:pPr>
        <w:ind w:left="5967" w:hanging="360"/>
      </w:pPr>
      <w:rPr>
        <w:rFonts w:ascii="Courier New" w:hAnsi="Courier New" w:cs="Courier New" w:hint="default"/>
      </w:rPr>
    </w:lvl>
    <w:lvl w:ilvl="8" w:tplc="E842E4C6" w:tentative="1">
      <w:start w:val="1"/>
      <w:numFmt w:val="bullet"/>
      <w:lvlText w:val=""/>
      <w:lvlJc w:val="left"/>
      <w:pPr>
        <w:ind w:left="6687" w:hanging="360"/>
      </w:pPr>
      <w:rPr>
        <w:rFonts w:ascii="Wingdings" w:hAnsi="Wingdings" w:hint="default"/>
      </w:rPr>
    </w:lvl>
  </w:abstractNum>
  <w:abstractNum w:abstractNumId="1" w15:restartNumberingAfterBreak="0">
    <w:nsid w:val="020E13D5"/>
    <w:multiLevelType w:val="hybridMultilevel"/>
    <w:tmpl w:val="DB8E95C6"/>
    <w:lvl w:ilvl="0" w:tplc="CECCF246">
      <w:start w:val="1"/>
      <w:numFmt w:val="upperLetter"/>
      <w:lvlText w:val="%1."/>
      <w:lvlJc w:val="left"/>
      <w:pPr>
        <w:ind w:left="1440" w:hanging="720"/>
      </w:pPr>
      <w:rPr>
        <w:rFonts w:hint="default"/>
      </w:rPr>
    </w:lvl>
    <w:lvl w:ilvl="1" w:tplc="0444083C" w:tentative="1">
      <w:start w:val="1"/>
      <w:numFmt w:val="lowerLetter"/>
      <w:lvlText w:val="%2."/>
      <w:lvlJc w:val="left"/>
      <w:pPr>
        <w:ind w:left="1800" w:hanging="360"/>
      </w:pPr>
    </w:lvl>
    <w:lvl w:ilvl="2" w:tplc="38E642DA" w:tentative="1">
      <w:start w:val="1"/>
      <w:numFmt w:val="lowerRoman"/>
      <w:lvlText w:val="%3."/>
      <w:lvlJc w:val="right"/>
      <w:pPr>
        <w:ind w:left="2520" w:hanging="180"/>
      </w:pPr>
    </w:lvl>
    <w:lvl w:ilvl="3" w:tplc="05FCECEE" w:tentative="1">
      <w:start w:val="1"/>
      <w:numFmt w:val="decimal"/>
      <w:lvlText w:val="%4."/>
      <w:lvlJc w:val="left"/>
      <w:pPr>
        <w:ind w:left="3240" w:hanging="360"/>
      </w:pPr>
    </w:lvl>
    <w:lvl w:ilvl="4" w:tplc="E4BA40B4" w:tentative="1">
      <w:start w:val="1"/>
      <w:numFmt w:val="lowerLetter"/>
      <w:lvlText w:val="%5."/>
      <w:lvlJc w:val="left"/>
      <w:pPr>
        <w:ind w:left="3960" w:hanging="360"/>
      </w:pPr>
    </w:lvl>
    <w:lvl w:ilvl="5" w:tplc="B59CC6DA" w:tentative="1">
      <w:start w:val="1"/>
      <w:numFmt w:val="lowerRoman"/>
      <w:lvlText w:val="%6."/>
      <w:lvlJc w:val="right"/>
      <w:pPr>
        <w:ind w:left="4680" w:hanging="180"/>
      </w:pPr>
    </w:lvl>
    <w:lvl w:ilvl="6" w:tplc="0D245F52" w:tentative="1">
      <w:start w:val="1"/>
      <w:numFmt w:val="decimal"/>
      <w:lvlText w:val="%7."/>
      <w:lvlJc w:val="left"/>
      <w:pPr>
        <w:ind w:left="5400" w:hanging="360"/>
      </w:pPr>
    </w:lvl>
    <w:lvl w:ilvl="7" w:tplc="33780F0E" w:tentative="1">
      <w:start w:val="1"/>
      <w:numFmt w:val="lowerLetter"/>
      <w:lvlText w:val="%8."/>
      <w:lvlJc w:val="left"/>
      <w:pPr>
        <w:ind w:left="6120" w:hanging="360"/>
      </w:pPr>
    </w:lvl>
    <w:lvl w:ilvl="8" w:tplc="E34444B6" w:tentative="1">
      <w:start w:val="1"/>
      <w:numFmt w:val="lowerRoman"/>
      <w:lvlText w:val="%9."/>
      <w:lvlJc w:val="right"/>
      <w:pPr>
        <w:ind w:left="6840" w:hanging="180"/>
      </w:pPr>
    </w:lvl>
  </w:abstractNum>
  <w:abstractNum w:abstractNumId="2" w15:restartNumberingAfterBreak="0">
    <w:nsid w:val="05996D6D"/>
    <w:multiLevelType w:val="multilevel"/>
    <w:tmpl w:val="37C4B254"/>
    <w:styleLink w:val="List16"/>
    <w:lvl w:ilvl="0">
      <w:start w:val="1"/>
      <w:numFmt w:val="decimal"/>
      <w:lvlText w:val="%1."/>
      <w:lvlJc w:val="left"/>
      <w:pPr>
        <w:tabs>
          <w:tab w:val="num" w:pos="690"/>
        </w:tabs>
        <w:ind w:left="690" w:hanging="330"/>
      </w:pPr>
      <w:rPr>
        <w:rFonts w:ascii="Calibri" w:eastAsia="Calibri" w:hAnsi="Calibri" w:cs="Calibri"/>
        <w:b/>
        <w:bCs/>
        <w:color w:val="000000"/>
        <w:position w:val="0"/>
        <w:sz w:val="22"/>
        <w:szCs w:val="22"/>
        <w:u w:val="single" w:color="000000"/>
        <w:lang w:val="es-ES_tradnl"/>
      </w:rPr>
    </w:lvl>
    <w:lvl w:ilvl="1">
      <w:start w:val="1"/>
      <w:numFmt w:val="decimal"/>
      <w:lvlText w:val="%1.%2."/>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val="single" w:color="000000"/>
        <w:lang w:val="es-ES_tradnl"/>
      </w:rPr>
    </w:lvl>
  </w:abstractNum>
  <w:abstractNum w:abstractNumId="3" w15:restartNumberingAfterBreak="0">
    <w:nsid w:val="06080900"/>
    <w:multiLevelType w:val="multilevel"/>
    <w:tmpl w:val="6724711E"/>
    <w:styleLink w:val="List36"/>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 w15:restartNumberingAfterBreak="0">
    <w:nsid w:val="0A481FED"/>
    <w:multiLevelType w:val="multilevel"/>
    <w:tmpl w:val="4C060580"/>
    <w:styleLink w:val="List2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 w15:restartNumberingAfterBreak="0">
    <w:nsid w:val="0E0C22D1"/>
    <w:multiLevelType w:val="multilevel"/>
    <w:tmpl w:val="C8D88BBA"/>
    <w:styleLink w:val="List1"/>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6" w15:restartNumberingAfterBreak="0">
    <w:nsid w:val="12BA2819"/>
    <w:multiLevelType w:val="multilevel"/>
    <w:tmpl w:val="DE3EA646"/>
    <w:styleLink w:val="List41"/>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7" w15:restartNumberingAfterBreak="0">
    <w:nsid w:val="13125243"/>
    <w:multiLevelType w:val="hybridMultilevel"/>
    <w:tmpl w:val="F8903562"/>
    <w:lvl w:ilvl="0" w:tplc="FFFFFFFF">
      <w:start w:val="1"/>
      <w:numFmt w:val="lowerLetter"/>
      <w:lvlText w:val="%1)"/>
      <w:lvlJc w:val="left"/>
      <w:pPr>
        <w:ind w:left="1785" w:hanging="360"/>
      </w:pPr>
      <w:rPr>
        <w:rFonts w:hint="default"/>
        <w:sz w:val="20"/>
        <w:szCs w:val="20"/>
      </w:rPr>
    </w:lvl>
    <w:lvl w:ilvl="1" w:tplc="FFFFFFFF" w:tentative="1">
      <w:start w:val="1"/>
      <w:numFmt w:val="lowerLetter"/>
      <w:lvlText w:val="%2."/>
      <w:lvlJc w:val="left"/>
      <w:pPr>
        <w:ind w:left="2505" w:hanging="360"/>
      </w:pPr>
    </w:lvl>
    <w:lvl w:ilvl="2" w:tplc="FFFFFFFF" w:tentative="1">
      <w:start w:val="1"/>
      <w:numFmt w:val="lowerRoman"/>
      <w:lvlText w:val="%3."/>
      <w:lvlJc w:val="right"/>
      <w:pPr>
        <w:ind w:left="3225" w:hanging="180"/>
      </w:pPr>
    </w:lvl>
    <w:lvl w:ilvl="3" w:tplc="FFFFFFFF" w:tentative="1">
      <w:start w:val="1"/>
      <w:numFmt w:val="decimal"/>
      <w:lvlText w:val="%4."/>
      <w:lvlJc w:val="left"/>
      <w:pPr>
        <w:ind w:left="3945" w:hanging="360"/>
      </w:pPr>
    </w:lvl>
    <w:lvl w:ilvl="4" w:tplc="FFFFFFFF" w:tentative="1">
      <w:start w:val="1"/>
      <w:numFmt w:val="lowerLetter"/>
      <w:lvlText w:val="%5."/>
      <w:lvlJc w:val="left"/>
      <w:pPr>
        <w:ind w:left="4665" w:hanging="360"/>
      </w:pPr>
    </w:lvl>
    <w:lvl w:ilvl="5" w:tplc="FFFFFFFF" w:tentative="1">
      <w:start w:val="1"/>
      <w:numFmt w:val="lowerRoman"/>
      <w:lvlText w:val="%6."/>
      <w:lvlJc w:val="right"/>
      <w:pPr>
        <w:ind w:left="5385" w:hanging="180"/>
      </w:pPr>
    </w:lvl>
    <w:lvl w:ilvl="6" w:tplc="FFFFFFFF" w:tentative="1">
      <w:start w:val="1"/>
      <w:numFmt w:val="decimal"/>
      <w:lvlText w:val="%7."/>
      <w:lvlJc w:val="left"/>
      <w:pPr>
        <w:ind w:left="6105" w:hanging="360"/>
      </w:pPr>
    </w:lvl>
    <w:lvl w:ilvl="7" w:tplc="FFFFFFFF" w:tentative="1">
      <w:start w:val="1"/>
      <w:numFmt w:val="lowerLetter"/>
      <w:lvlText w:val="%8."/>
      <w:lvlJc w:val="left"/>
      <w:pPr>
        <w:ind w:left="6825" w:hanging="360"/>
      </w:pPr>
    </w:lvl>
    <w:lvl w:ilvl="8" w:tplc="FFFFFFFF" w:tentative="1">
      <w:start w:val="1"/>
      <w:numFmt w:val="lowerRoman"/>
      <w:lvlText w:val="%9."/>
      <w:lvlJc w:val="right"/>
      <w:pPr>
        <w:ind w:left="7545" w:hanging="180"/>
      </w:pPr>
    </w:lvl>
  </w:abstractNum>
  <w:abstractNum w:abstractNumId="8" w15:restartNumberingAfterBreak="0">
    <w:nsid w:val="140127D8"/>
    <w:multiLevelType w:val="hybridMultilevel"/>
    <w:tmpl w:val="D98C889A"/>
    <w:lvl w:ilvl="0" w:tplc="45C4F108">
      <w:start w:val="1"/>
      <w:numFmt w:val="upperLetter"/>
      <w:lvlText w:val="%1."/>
      <w:lvlJc w:val="left"/>
      <w:pPr>
        <w:ind w:left="720" w:hanging="360"/>
      </w:pPr>
      <w:rPr>
        <w:rFonts w:hint="default"/>
        <w:b/>
        <w:bCs/>
      </w:rPr>
    </w:lvl>
    <w:lvl w:ilvl="1" w:tplc="7EE80482" w:tentative="1">
      <w:start w:val="1"/>
      <w:numFmt w:val="lowerLetter"/>
      <w:lvlText w:val="%2."/>
      <w:lvlJc w:val="left"/>
      <w:pPr>
        <w:ind w:left="1440" w:hanging="360"/>
      </w:pPr>
    </w:lvl>
    <w:lvl w:ilvl="2" w:tplc="5296C0D4" w:tentative="1">
      <w:start w:val="1"/>
      <w:numFmt w:val="lowerRoman"/>
      <w:lvlText w:val="%3."/>
      <w:lvlJc w:val="right"/>
      <w:pPr>
        <w:ind w:left="2160" w:hanging="180"/>
      </w:pPr>
    </w:lvl>
    <w:lvl w:ilvl="3" w:tplc="054EBE06" w:tentative="1">
      <w:start w:val="1"/>
      <w:numFmt w:val="decimal"/>
      <w:lvlText w:val="%4."/>
      <w:lvlJc w:val="left"/>
      <w:pPr>
        <w:ind w:left="2880" w:hanging="360"/>
      </w:pPr>
    </w:lvl>
    <w:lvl w:ilvl="4" w:tplc="8EB06844" w:tentative="1">
      <w:start w:val="1"/>
      <w:numFmt w:val="lowerLetter"/>
      <w:lvlText w:val="%5."/>
      <w:lvlJc w:val="left"/>
      <w:pPr>
        <w:ind w:left="3600" w:hanging="360"/>
      </w:pPr>
    </w:lvl>
    <w:lvl w:ilvl="5" w:tplc="89DAE8CA" w:tentative="1">
      <w:start w:val="1"/>
      <w:numFmt w:val="lowerRoman"/>
      <w:lvlText w:val="%6."/>
      <w:lvlJc w:val="right"/>
      <w:pPr>
        <w:ind w:left="4320" w:hanging="180"/>
      </w:pPr>
    </w:lvl>
    <w:lvl w:ilvl="6" w:tplc="0FA225F0" w:tentative="1">
      <w:start w:val="1"/>
      <w:numFmt w:val="decimal"/>
      <w:lvlText w:val="%7."/>
      <w:lvlJc w:val="left"/>
      <w:pPr>
        <w:ind w:left="5040" w:hanging="360"/>
      </w:pPr>
    </w:lvl>
    <w:lvl w:ilvl="7" w:tplc="C46AC976" w:tentative="1">
      <w:start w:val="1"/>
      <w:numFmt w:val="lowerLetter"/>
      <w:lvlText w:val="%8."/>
      <w:lvlJc w:val="left"/>
      <w:pPr>
        <w:ind w:left="5760" w:hanging="360"/>
      </w:pPr>
    </w:lvl>
    <w:lvl w:ilvl="8" w:tplc="3C365D5A" w:tentative="1">
      <w:start w:val="1"/>
      <w:numFmt w:val="lowerRoman"/>
      <w:lvlText w:val="%9."/>
      <w:lvlJc w:val="right"/>
      <w:pPr>
        <w:ind w:left="6480" w:hanging="180"/>
      </w:pPr>
    </w:lvl>
  </w:abstractNum>
  <w:abstractNum w:abstractNumId="9" w15:restartNumberingAfterBreak="0">
    <w:nsid w:val="1CB44B54"/>
    <w:multiLevelType w:val="multilevel"/>
    <w:tmpl w:val="10C6C0C6"/>
    <w:styleLink w:val="List11"/>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rebuchet MS" w:eastAsia="Trebuchet MS" w:hAnsi="Trebuchet MS" w:cs="Trebuchet M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0" w15:restartNumberingAfterBreak="0">
    <w:nsid w:val="1CC26445"/>
    <w:multiLevelType w:val="multilevel"/>
    <w:tmpl w:val="F8FA56EE"/>
    <w:styleLink w:val="List15"/>
    <w:lvl w:ilvl="0">
      <w:start w:val="2"/>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decimal"/>
      <w:lvlText w:val="%1.%2."/>
      <w:lvlJc w:val="left"/>
      <w:pPr>
        <w:tabs>
          <w:tab w:val="num" w:pos="690"/>
        </w:tabs>
        <w:ind w:left="690" w:hanging="330"/>
      </w:pPr>
      <w:rPr>
        <w:rFonts w:ascii="Calibri" w:eastAsia="Calibri" w:hAnsi="Calibri" w:cs="Calibri"/>
        <w:b/>
        <w:bCs/>
        <w:color w:val="000000"/>
        <w:position w:val="0"/>
        <w:sz w:val="22"/>
        <w:szCs w:val="22"/>
        <w:u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color="000000"/>
        <w:lang w:val="es-ES_tradnl"/>
      </w:rPr>
    </w:lvl>
  </w:abstractNum>
  <w:abstractNum w:abstractNumId="11" w15:restartNumberingAfterBreak="0">
    <w:nsid w:val="1DE80067"/>
    <w:multiLevelType w:val="multilevel"/>
    <w:tmpl w:val="3FC4BF5E"/>
    <w:styleLink w:val="List14"/>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2" w15:restartNumberingAfterBreak="0">
    <w:nsid w:val="1E932978"/>
    <w:multiLevelType w:val="multilevel"/>
    <w:tmpl w:val="E8F2423E"/>
    <w:styleLink w:val="List23"/>
    <w:lvl w:ilvl="0">
      <w:start w:val="6"/>
      <w:numFmt w:val="decimal"/>
      <w:lvlText w:val="%1."/>
      <w:lvlJc w:val="left"/>
      <w:pPr>
        <w:tabs>
          <w:tab w:val="num" w:pos="360"/>
        </w:tabs>
        <w:ind w:left="36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3" w15:restartNumberingAfterBreak="0">
    <w:nsid w:val="1EC80E00"/>
    <w:multiLevelType w:val="hybridMultilevel"/>
    <w:tmpl w:val="E1A403EC"/>
    <w:lvl w:ilvl="0" w:tplc="CE74DD9A">
      <w:start w:val="1"/>
      <w:numFmt w:val="upperRoman"/>
      <w:lvlText w:val="%1."/>
      <w:lvlJc w:val="left"/>
      <w:pPr>
        <w:ind w:left="1080" w:hanging="720"/>
      </w:pPr>
      <w:rPr>
        <w:rFonts w:eastAsia="Cambria" w:cs="Cambr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0B1FF7"/>
    <w:multiLevelType w:val="multilevel"/>
    <w:tmpl w:val="788E63B4"/>
    <w:styleLink w:val="List19"/>
    <w:lvl w:ilvl="0">
      <w:start w:val="2"/>
      <w:numFmt w:val="upperLetter"/>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15" w15:restartNumberingAfterBreak="0">
    <w:nsid w:val="1F7A4C80"/>
    <w:multiLevelType w:val="multilevel"/>
    <w:tmpl w:val="3886B7F0"/>
    <w:styleLink w:val="List4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6" w15:restartNumberingAfterBreak="0">
    <w:nsid w:val="204F3D13"/>
    <w:multiLevelType w:val="hybridMultilevel"/>
    <w:tmpl w:val="4F409B36"/>
    <w:lvl w:ilvl="0" w:tplc="74C299E8">
      <w:start w:val="1"/>
      <w:numFmt w:val="decimal"/>
      <w:lvlText w:val="%1."/>
      <w:lvlJc w:val="left"/>
      <w:pPr>
        <w:ind w:left="927" w:hanging="360"/>
      </w:pPr>
      <w:rPr>
        <w:rFonts w:hint="default"/>
      </w:rPr>
    </w:lvl>
    <w:lvl w:ilvl="1" w:tplc="026416B0" w:tentative="1">
      <w:start w:val="1"/>
      <w:numFmt w:val="lowerLetter"/>
      <w:lvlText w:val="%2."/>
      <w:lvlJc w:val="left"/>
      <w:pPr>
        <w:ind w:left="1647" w:hanging="360"/>
      </w:pPr>
    </w:lvl>
    <w:lvl w:ilvl="2" w:tplc="C6AE8902" w:tentative="1">
      <w:start w:val="1"/>
      <w:numFmt w:val="lowerRoman"/>
      <w:lvlText w:val="%3."/>
      <w:lvlJc w:val="right"/>
      <w:pPr>
        <w:ind w:left="2367" w:hanging="180"/>
      </w:pPr>
    </w:lvl>
    <w:lvl w:ilvl="3" w:tplc="97DE86FE" w:tentative="1">
      <w:start w:val="1"/>
      <w:numFmt w:val="decimal"/>
      <w:lvlText w:val="%4."/>
      <w:lvlJc w:val="left"/>
      <w:pPr>
        <w:ind w:left="3087" w:hanging="360"/>
      </w:pPr>
    </w:lvl>
    <w:lvl w:ilvl="4" w:tplc="458C5BEA" w:tentative="1">
      <w:start w:val="1"/>
      <w:numFmt w:val="lowerLetter"/>
      <w:lvlText w:val="%5."/>
      <w:lvlJc w:val="left"/>
      <w:pPr>
        <w:ind w:left="3807" w:hanging="360"/>
      </w:pPr>
    </w:lvl>
    <w:lvl w:ilvl="5" w:tplc="A7A03CDC" w:tentative="1">
      <w:start w:val="1"/>
      <w:numFmt w:val="lowerRoman"/>
      <w:lvlText w:val="%6."/>
      <w:lvlJc w:val="right"/>
      <w:pPr>
        <w:ind w:left="4527" w:hanging="180"/>
      </w:pPr>
    </w:lvl>
    <w:lvl w:ilvl="6" w:tplc="0DB2BAF8" w:tentative="1">
      <w:start w:val="1"/>
      <w:numFmt w:val="decimal"/>
      <w:lvlText w:val="%7."/>
      <w:lvlJc w:val="left"/>
      <w:pPr>
        <w:ind w:left="5247" w:hanging="360"/>
      </w:pPr>
    </w:lvl>
    <w:lvl w:ilvl="7" w:tplc="63B48154" w:tentative="1">
      <w:start w:val="1"/>
      <w:numFmt w:val="lowerLetter"/>
      <w:lvlText w:val="%8."/>
      <w:lvlJc w:val="left"/>
      <w:pPr>
        <w:ind w:left="5967" w:hanging="360"/>
      </w:pPr>
    </w:lvl>
    <w:lvl w:ilvl="8" w:tplc="F32446C6" w:tentative="1">
      <w:start w:val="1"/>
      <w:numFmt w:val="lowerRoman"/>
      <w:lvlText w:val="%9."/>
      <w:lvlJc w:val="right"/>
      <w:pPr>
        <w:ind w:left="6687" w:hanging="180"/>
      </w:pPr>
    </w:lvl>
  </w:abstractNum>
  <w:abstractNum w:abstractNumId="17" w15:restartNumberingAfterBreak="0">
    <w:nsid w:val="2252647F"/>
    <w:multiLevelType w:val="multilevel"/>
    <w:tmpl w:val="BB5E788C"/>
    <w:styleLink w:val="List4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8" w15:restartNumberingAfterBreak="0">
    <w:nsid w:val="227B0583"/>
    <w:multiLevelType w:val="multilevel"/>
    <w:tmpl w:val="A344CEF6"/>
    <w:styleLink w:val="List9"/>
    <w:lvl w:ilvl="0">
      <w:start w:val="1"/>
      <w:numFmt w:val="upperLetter"/>
      <w:lvlText w:val="%1."/>
      <w:lvlJc w:val="left"/>
      <w:pPr>
        <w:tabs>
          <w:tab w:val="num" w:pos="1080"/>
        </w:tabs>
        <w:ind w:left="1080" w:hanging="72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19" w15:restartNumberingAfterBreak="0">
    <w:nsid w:val="271929A4"/>
    <w:multiLevelType w:val="multilevel"/>
    <w:tmpl w:val="67BE493C"/>
    <w:styleLink w:val="List43"/>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0" w15:restartNumberingAfterBreak="0">
    <w:nsid w:val="274D5C2C"/>
    <w:multiLevelType w:val="multilevel"/>
    <w:tmpl w:val="CA4E8B5A"/>
    <w:styleLink w:val="List46"/>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1" w15:restartNumberingAfterBreak="0">
    <w:nsid w:val="2BCE4512"/>
    <w:multiLevelType w:val="multilevel"/>
    <w:tmpl w:val="140087A8"/>
    <w:styleLink w:val="List3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2" w15:restartNumberingAfterBreak="0">
    <w:nsid w:val="2C89495E"/>
    <w:multiLevelType w:val="multilevel"/>
    <w:tmpl w:val="DF9876EC"/>
    <w:styleLink w:val="List1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3" w15:restartNumberingAfterBreak="0">
    <w:nsid w:val="2CF32696"/>
    <w:multiLevelType w:val="hybridMultilevel"/>
    <w:tmpl w:val="F8903562"/>
    <w:lvl w:ilvl="0" w:tplc="89DC26CA">
      <w:start w:val="1"/>
      <w:numFmt w:val="lowerLetter"/>
      <w:lvlText w:val="%1)"/>
      <w:lvlJc w:val="left"/>
      <w:pPr>
        <w:ind w:left="1785" w:hanging="360"/>
      </w:pPr>
      <w:rPr>
        <w:rFonts w:hint="default"/>
        <w:sz w:val="20"/>
        <w:szCs w:val="20"/>
      </w:rPr>
    </w:lvl>
    <w:lvl w:ilvl="1" w:tplc="A1748D38" w:tentative="1">
      <w:start w:val="1"/>
      <w:numFmt w:val="lowerLetter"/>
      <w:lvlText w:val="%2."/>
      <w:lvlJc w:val="left"/>
      <w:pPr>
        <w:ind w:left="2505" w:hanging="360"/>
      </w:pPr>
    </w:lvl>
    <w:lvl w:ilvl="2" w:tplc="09A8C772" w:tentative="1">
      <w:start w:val="1"/>
      <w:numFmt w:val="lowerRoman"/>
      <w:lvlText w:val="%3."/>
      <w:lvlJc w:val="right"/>
      <w:pPr>
        <w:ind w:left="3225" w:hanging="180"/>
      </w:pPr>
    </w:lvl>
    <w:lvl w:ilvl="3" w:tplc="07D244E0" w:tentative="1">
      <w:start w:val="1"/>
      <w:numFmt w:val="decimal"/>
      <w:lvlText w:val="%4."/>
      <w:lvlJc w:val="left"/>
      <w:pPr>
        <w:ind w:left="3945" w:hanging="360"/>
      </w:pPr>
    </w:lvl>
    <w:lvl w:ilvl="4" w:tplc="DAF0A296" w:tentative="1">
      <w:start w:val="1"/>
      <w:numFmt w:val="lowerLetter"/>
      <w:lvlText w:val="%5."/>
      <w:lvlJc w:val="left"/>
      <w:pPr>
        <w:ind w:left="4665" w:hanging="360"/>
      </w:pPr>
    </w:lvl>
    <w:lvl w:ilvl="5" w:tplc="D090DC12" w:tentative="1">
      <w:start w:val="1"/>
      <w:numFmt w:val="lowerRoman"/>
      <w:lvlText w:val="%6."/>
      <w:lvlJc w:val="right"/>
      <w:pPr>
        <w:ind w:left="5385" w:hanging="180"/>
      </w:pPr>
    </w:lvl>
    <w:lvl w:ilvl="6" w:tplc="2F52E5B6" w:tentative="1">
      <w:start w:val="1"/>
      <w:numFmt w:val="decimal"/>
      <w:lvlText w:val="%7."/>
      <w:lvlJc w:val="left"/>
      <w:pPr>
        <w:ind w:left="6105" w:hanging="360"/>
      </w:pPr>
    </w:lvl>
    <w:lvl w:ilvl="7" w:tplc="168099B0" w:tentative="1">
      <w:start w:val="1"/>
      <w:numFmt w:val="lowerLetter"/>
      <w:lvlText w:val="%8."/>
      <w:lvlJc w:val="left"/>
      <w:pPr>
        <w:ind w:left="6825" w:hanging="360"/>
      </w:pPr>
    </w:lvl>
    <w:lvl w:ilvl="8" w:tplc="89D65896" w:tentative="1">
      <w:start w:val="1"/>
      <w:numFmt w:val="lowerRoman"/>
      <w:lvlText w:val="%9."/>
      <w:lvlJc w:val="right"/>
      <w:pPr>
        <w:ind w:left="7545" w:hanging="180"/>
      </w:pPr>
    </w:lvl>
  </w:abstractNum>
  <w:abstractNum w:abstractNumId="24" w15:restartNumberingAfterBreak="0">
    <w:nsid w:val="2D5856E2"/>
    <w:multiLevelType w:val="multilevel"/>
    <w:tmpl w:val="CA84D204"/>
    <w:styleLink w:val="List33"/>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5" w15:restartNumberingAfterBreak="0">
    <w:nsid w:val="329F3307"/>
    <w:multiLevelType w:val="multilevel"/>
    <w:tmpl w:val="A7887534"/>
    <w:styleLink w:val="List7"/>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26" w15:restartNumberingAfterBreak="0">
    <w:nsid w:val="33D07097"/>
    <w:multiLevelType w:val="multilevel"/>
    <w:tmpl w:val="D0E0C7B8"/>
    <w:styleLink w:val="List1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7" w15:restartNumberingAfterBreak="0">
    <w:nsid w:val="34031D1B"/>
    <w:multiLevelType w:val="multilevel"/>
    <w:tmpl w:val="E5488B9E"/>
    <w:styleLink w:val="List22"/>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rebuchet MS" w:eastAsia="Trebuchet MS" w:hAnsi="Trebuchet MS" w:cs="Trebuchet M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8" w15:restartNumberingAfterBreak="0">
    <w:nsid w:val="34276F4B"/>
    <w:multiLevelType w:val="multilevel"/>
    <w:tmpl w:val="4FF24EAA"/>
    <w:styleLink w:val="List47"/>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9" w15:restartNumberingAfterBreak="0">
    <w:nsid w:val="38776F36"/>
    <w:multiLevelType w:val="multilevel"/>
    <w:tmpl w:val="86862554"/>
    <w:styleLink w:val="List2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0" w15:restartNumberingAfterBreak="0">
    <w:nsid w:val="39F534D0"/>
    <w:multiLevelType w:val="multilevel"/>
    <w:tmpl w:val="9F6C6C32"/>
    <w:styleLink w:val="List10"/>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31" w15:restartNumberingAfterBreak="0">
    <w:nsid w:val="3ACB3728"/>
    <w:multiLevelType w:val="multilevel"/>
    <w:tmpl w:val="024A16C2"/>
    <w:styleLink w:val="List0"/>
    <w:lvl w:ilvl="0">
      <w:start w:val="1"/>
      <w:numFmt w:val="upperRoman"/>
      <w:lvlText w:val="%1."/>
      <w:lvlJc w:val="left"/>
      <w:pPr>
        <w:tabs>
          <w:tab w:val="num" w:pos="1080"/>
        </w:tabs>
        <w:ind w:left="1080" w:hanging="72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32" w15:restartNumberingAfterBreak="0">
    <w:nsid w:val="3BEF0D0D"/>
    <w:multiLevelType w:val="hybridMultilevel"/>
    <w:tmpl w:val="D71E487E"/>
    <w:lvl w:ilvl="0" w:tplc="46708936">
      <w:start w:val="1"/>
      <w:numFmt w:val="decimal"/>
      <w:lvlText w:val="%1."/>
      <w:lvlJc w:val="left"/>
      <w:pPr>
        <w:ind w:left="1080" w:hanging="360"/>
      </w:pPr>
      <w:rPr>
        <w:rFonts w:hint="default"/>
        <w:b/>
        <w:bCs/>
      </w:rPr>
    </w:lvl>
    <w:lvl w:ilvl="1" w:tplc="6284D342" w:tentative="1">
      <w:start w:val="1"/>
      <w:numFmt w:val="lowerLetter"/>
      <w:lvlText w:val="%2."/>
      <w:lvlJc w:val="left"/>
      <w:pPr>
        <w:ind w:left="1800" w:hanging="360"/>
      </w:pPr>
    </w:lvl>
    <w:lvl w:ilvl="2" w:tplc="1E46D6CE" w:tentative="1">
      <w:start w:val="1"/>
      <w:numFmt w:val="lowerRoman"/>
      <w:lvlText w:val="%3."/>
      <w:lvlJc w:val="right"/>
      <w:pPr>
        <w:ind w:left="2520" w:hanging="180"/>
      </w:pPr>
    </w:lvl>
    <w:lvl w:ilvl="3" w:tplc="5FCEEB60" w:tentative="1">
      <w:start w:val="1"/>
      <w:numFmt w:val="decimal"/>
      <w:lvlText w:val="%4."/>
      <w:lvlJc w:val="left"/>
      <w:pPr>
        <w:ind w:left="3240" w:hanging="360"/>
      </w:pPr>
    </w:lvl>
    <w:lvl w:ilvl="4" w:tplc="49A6B9C0" w:tentative="1">
      <w:start w:val="1"/>
      <w:numFmt w:val="lowerLetter"/>
      <w:lvlText w:val="%5."/>
      <w:lvlJc w:val="left"/>
      <w:pPr>
        <w:ind w:left="3960" w:hanging="360"/>
      </w:pPr>
    </w:lvl>
    <w:lvl w:ilvl="5" w:tplc="90C2CD78" w:tentative="1">
      <w:start w:val="1"/>
      <w:numFmt w:val="lowerRoman"/>
      <w:lvlText w:val="%6."/>
      <w:lvlJc w:val="right"/>
      <w:pPr>
        <w:ind w:left="4680" w:hanging="180"/>
      </w:pPr>
    </w:lvl>
    <w:lvl w:ilvl="6" w:tplc="2F60C9E0" w:tentative="1">
      <w:start w:val="1"/>
      <w:numFmt w:val="decimal"/>
      <w:lvlText w:val="%7."/>
      <w:lvlJc w:val="left"/>
      <w:pPr>
        <w:ind w:left="5400" w:hanging="360"/>
      </w:pPr>
    </w:lvl>
    <w:lvl w:ilvl="7" w:tplc="51B62158" w:tentative="1">
      <w:start w:val="1"/>
      <w:numFmt w:val="lowerLetter"/>
      <w:lvlText w:val="%8."/>
      <w:lvlJc w:val="left"/>
      <w:pPr>
        <w:ind w:left="6120" w:hanging="360"/>
      </w:pPr>
    </w:lvl>
    <w:lvl w:ilvl="8" w:tplc="7E027F06" w:tentative="1">
      <w:start w:val="1"/>
      <w:numFmt w:val="lowerRoman"/>
      <w:lvlText w:val="%9."/>
      <w:lvlJc w:val="right"/>
      <w:pPr>
        <w:ind w:left="6840" w:hanging="180"/>
      </w:pPr>
    </w:lvl>
  </w:abstractNum>
  <w:abstractNum w:abstractNumId="33" w15:restartNumberingAfterBreak="0">
    <w:nsid w:val="3C430424"/>
    <w:multiLevelType w:val="hybridMultilevel"/>
    <w:tmpl w:val="28EC4CF0"/>
    <w:lvl w:ilvl="0" w:tplc="620275A6">
      <w:start w:val="1"/>
      <w:numFmt w:val="upperLetter"/>
      <w:lvlText w:val="%1."/>
      <w:lvlJc w:val="left"/>
      <w:pPr>
        <w:ind w:left="1440" w:hanging="720"/>
      </w:pPr>
      <w:rPr>
        <w:rFonts w:hint="default"/>
      </w:rPr>
    </w:lvl>
    <w:lvl w:ilvl="1" w:tplc="C696FB78" w:tentative="1">
      <w:start w:val="1"/>
      <w:numFmt w:val="lowerLetter"/>
      <w:lvlText w:val="%2."/>
      <w:lvlJc w:val="left"/>
      <w:pPr>
        <w:ind w:left="1800" w:hanging="360"/>
      </w:pPr>
    </w:lvl>
    <w:lvl w:ilvl="2" w:tplc="C93EC906" w:tentative="1">
      <w:start w:val="1"/>
      <w:numFmt w:val="lowerRoman"/>
      <w:lvlText w:val="%3."/>
      <w:lvlJc w:val="right"/>
      <w:pPr>
        <w:ind w:left="2520" w:hanging="180"/>
      </w:pPr>
    </w:lvl>
    <w:lvl w:ilvl="3" w:tplc="A3DE25DE" w:tentative="1">
      <w:start w:val="1"/>
      <w:numFmt w:val="decimal"/>
      <w:lvlText w:val="%4."/>
      <w:lvlJc w:val="left"/>
      <w:pPr>
        <w:ind w:left="3240" w:hanging="360"/>
      </w:pPr>
    </w:lvl>
    <w:lvl w:ilvl="4" w:tplc="1ADA9356" w:tentative="1">
      <w:start w:val="1"/>
      <w:numFmt w:val="lowerLetter"/>
      <w:lvlText w:val="%5."/>
      <w:lvlJc w:val="left"/>
      <w:pPr>
        <w:ind w:left="3960" w:hanging="360"/>
      </w:pPr>
    </w:lvl>
    <w:lvl w:ilvl="5" w:tplc="F50EC38A" w:tentative="1">
      <w:start w:val="1"/>
      <w:numFmt w:val="lowerRoman"/>
      <w:lvlText w:val="%6."/>
      <w:lvlJc w:val="right"/>
      <w:pPr>
        <w:ind w:left="4680" w:hanging="180"/>
      </w:pPr>
    </w:lvl>
    <w:lvl w:ilvl="6" w:tplc="2E3899C0" w:tentative="1">
      <w:start w:val="1"/>
      <w:numFmt w:val="decimal"/>
      <w:lvlText w:val="%7."/>
      <w:lvlJc w:val="left"/>
      <w:pPr>
        <w:ind w:left="5400" w:hanging="360"/>
      </w:pPr>
    </w:lvl>
    <w:lvl w:ilvl="7" w:tplc="050E3BC8" w:tentative="1">
      <w:start w:val="1"/>
      <w:numFmt w:val="lowerLetter"/>
      <w:lvlText w:val="%8."/>
      <w:lvlJc w:val="left"/>
      <w:pPr>
        <w:ind w:left="6120" w:hanging="360"/>
      </w:pPr>
    </w:lvl>
    <w:lvl w:ilvl="8" w:tplc="ED5C9D5E" w:tentative="1">
      <w:start w:val="1"/>
      <w:numFmt w:val="lowerRoman"/>
      <w:lvlText w:val="%9."/>
      <w:lvlJc w:val="right"/>
      <w:pPr>
        <w:ind w:left="6840" w:hanging="180"/>
      </w:pPr>
    </w:lvl>
  </w:abstractNum>
  <w:abstractNum w:abstractNumId="34" w15:restartNumberingAfterBreak="0">
    <w:nsid w:val="40AB1693"/>
    <w:multiLevelType w:val="multilevel"/>
    <w:tmpl w:val="93E42B6E"/>
    <w:styleLink w:val="List3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5" w15:restartNumberingAfterBreak="0">
    <w:nsid w:val="4138436A"/>
    <w:multiLevelType w:val="hybridMultilevel"/>
    <w:tmpl w:val="1C5C3C54"/>
    <w:lvl w:ilvl="0" w:tplc="FFFFFFFF">
      <w:start w:val="1"/>
      <w:numFmt w:val="decimal"/>
      <w:lvlText w:val="%1."/>
      <w:lvlJc w:val="left"/>
      <w:pPr>
        <w:ind w:left="1425" w:hanging="705"/>
      </w:pPr>
      <w:rPr>
        <w:rFonts w:ascii="Cambria" w:eastAsia="Times New Roman" w:hAnsi="Cambria" w:cs="Tahoma"/>
        <w:sz w:val="20"/>
        <w:szCs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6" w15:restartNumberingAfterBreak="0">
    <w:nsid w:val="42DF19D7"/>
    <w:multiLevelType w:val="multilevel"/>
    <w:tmpl w:val="E7265BB0"/>
    <w:styleLink w:val="List51"/>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7" w15:restartNumberingAfterBreak="0">
    <w:nsid w:val="431F2FA9"/>
    <w:multiLevelType w:val="multilevel"/>
    <w:tmpl w:val="7D50E14C"/>
    <w:styleLink w:val="List2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8" w15:restartNumberingAfterBreak="0">
    <w:nsid w:val="444006B9"/>
    <w:multiLevelType w:val="multilevel"/>
    <w:tmpl w:val="1090D1D4"/>
    <w:styleLink w:val="List3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bullet"/>
      <w:lvlText w:val="•"/>
      <w:lvlJc w:val="left"/>
      <w:pPr>
        <w:tabs>
          <w:tab w:val="num" w:pos="1740"/>
        </w:tabs>
        <w:ind w:left="1740" w:hanging="66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9" w15:restartNumberingAfterBreak="0">
    <w:nsid w:val="46685386"/>
    <w:multiLevelType w:val="multilevel"/>
    <w:tmpl w:val="340C02A0"/>
    <w:styleLink w:val="List12"/>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0" w15:restartNumberingAfterBreak="0">
    <w:nsid w:val="489949EB"/>
    <w:multiLevelType w:val="multilevel"/>
    <w:tmpl w:val="3844DD14"/>
    <w:styleLink w:val="List5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1" w15:restartNumberingAfterBreak="0">
    <w:nsid w:val="492723E7"/>
    <w:multiLevelType w:val="multilevel"/>
    <w:tmpl w:val="0CF8CC36"/>
    <w:styleLink w:val="List21"/>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2" w15:restartNumberingAfterBreak="0">
    <w:nsid w:val="4C7B4261"/>
    <w:multiLevelType w:val="multilevel"/>
    <w:tmpl w:val="BA48D7F6"/>
    <w:styleLink w:val="List34"/>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770"/>
        </w:tabs>
        <w:ind w:left="177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495"/>
        </w:tabs>
        <w:ind w:left="249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3210"/>
        </w:tabs>
        <w:ind w:left="321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930"/>
        </w:tabs>
        <w:ind w:left="393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655"/>
        </w:tabs>
        <w:ind w:left="465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370"/>
        </w:tabs>
        <w:ind w:left="537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6090"/>
        </w:tabs>
        <w:ind w:left="609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815"/>
        </w:tabs>
        <w:ind w:left="6815" w:hanging="271"/>
      </w:pPr>
      <w:rPr>
        <w:rFonts w:ascii="Calibri" w:eastAsia="Calibri" w:hAnsi="Calibri" w:cs="Calibri"/>
        <w:b/>
        <w:bCs/>
        <w:color w:val="000000"/>
        <w:position w:val="0"/>
        <w:sz w:val="22"/>
        <w:szCs w:val="22"/>
        <w:u w:val="single" w:color="000000"/>
        <w:lang w:val="es-ES_tradnl"/>
      </w:rPr>
    </w:lvl>
  </w:abstractNum>
  <w:abstractNum w:abstractNumId="43" w15:restartNumberingAfterBreak="0">
    <w:nsid w:val="4CF77151"/>
    <w:multiLevelType w:val="multilevel"/>
    <w:tmpl w:val="CEEAA058"/>
    <w:styleLink w:val="List42"/>
    <w:lvl w:ilvl="0">
      <w:start w:val="1"/>
      <w:numFmt w:val="decimal"/>
      <w:lvlText w:val="%1."/>
      <w:lvlJc w:val="left"/>
      <w:pPr>
        <w:tabs>
          <w:tab w:val="num" w:pos="690"/>
        </w:tabs>
        <w:ind w:left="690" w:hanging="330"/>
      </w:pPr>
      <w:rPr>
        <w:rFonts w:ascii="Calibri" w:eastAsia="Calibri" w:hAnsi="Calibri" w:cs="Calibri"/>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abstractNum w:abstractNumId="44" w15:restartNumberingAfterBreak="0">
    <w:nsid w:val="4FB46B4D"/>
    <w:multiLevelType w:val="multilevel"/>
    <w:tmpl w:val="85382D78"/>
    <w:styleLink w:val="List4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5" w15:restartNumberingAfterBreak="0">
    <w:nsid w:val="50521DA1"/>
    <w:multiLevelType w:val="multilevel"/>
    <w:tmpl w:val="06207D7E"/>
    <w:styleLink w:val="List44"/>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6" w15:restartNumberingAfterBreak="0">
    <w:nsid w:val="54533009"/>
    <w:multiLevelType w:val="multilevel"/>
    <w:tmpl w:val="E592B904"/>
    <w:styleLink w:val="List52"/>
    <w:lvl w:ilvl="0">
      <w:start w:val="3"/>
      <w:numFmt w:val="upperRoman"/>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7" w15:restartNumberingAfterBreak="0">
    <w:nsid w:val="5A681F10"/>
    <w:multiLevelType w:val="hybridMultilevel"/>
    <w:tmpl w:val="1C5C3C54"/>
    <w:lvl w:ilvl="0" w:tplc="3E440F18">
      <w:start w:val="1"/>
      <w:numFmt w:val="decimal"/>
      <w:lvlText w:val="%1."/>
      <w:lvlJc w:val="left"/>
      <w:pPr>
        <w:ind w:left="1425" w:hanging="705"/>
      </w:pPr>
      <w:rPr>
        <w:rFonts w:ascii="Cambria" w:eastAsia="Times New Roman" w:hAnsi="Cambria" w:cs="Tahoma"/>
        <w:sz w:val="20"/>
        <w:szCs w:val="20"/>
      </w:rPr>
    </w:lvl>
    <w:lvl w:ilvl="1" w:tplc="499A0266" w:tentative="1">
      <w:start w:val="1"/>
      <w:numFmt w:val="lowerLetter"/>
      <w:lvlText w:val="%2."/>
      <w:lvlJc w:val="left"/>
      <w:pPr>
        <w:ind w:left="1800" w:hanging="360"/>
      </w:pPr>
    </w:lvl>
    <w:lvl w:ilvl="2" w:tplc="42146E44" w:tentative="1">
      <w:start w:val="1"/>
      <w:numFmt w:val="lowerRoman"/>
      <w:lvlText w:val="%3."/>
      <w:lvlJc w:val="right"/>
      <w:pPr>
        <w:ind w:left="2520" w:hanging="180"/>
      </w:pPr>
    </w:lvl>
    <w:lvl w:ilvl="3" w:tplc="8BB29A80" w:tentative="1">
      <w:start w:val="1"/>
      <w:numFmt w:val="decimal"/>
      <w:lvlText w:val="%4."/>
      <w:lvlJc w:val="left"/>
      <w:pPr>
        <w:ind w:left="3240" w:hanging="360"/>
      </w:pPr>
    </w:lvl>
    <w:lvl w:ilvl="4" w:tplc="C7C68DFE" w:tentative="1">
      <w:start w:val="1"/>
      <w:numFmt w:val="lowerLetter"/>
      <w:lvlText w:val="%5."/>
      <w:lvlJc w:val="left"/>
      <w:pPr>
        <w:ind w:left="3960" w:hanging="360"/>
      </w:pPr>
    </w:lvl>
    <w:lvl w:ilvl="5" w:tplc="D8A013CC" w:tentative="1">
      <w:start w:val="1"/>
      <w:numFmt w:val="lowerRoman"/>
      <w:lvlText w:val="%6."/>
      <w:lvlJc w:val="right"/>
      <w:pPr>
        <w:ind w:left="4680" w:hanging="180"/>
      </w:pPr>
    </w:lvl>
    <w:lvl w:ilvl="6" w:tplc="E2CC366E" w:tentative="1">
      <w:start w:val="1"/>
      <w:numFmt w:val="decimal"/>
      <w:lvlText w:val="%7."/>
      <w:lvlJc w:val="left"/>
      <w:pPr>
        <w:ind w:left="5400" w:hanging="360"/>
      </w:pPr>
    </w:lvl>
    <w:lvl w:ilvl="7" w:tplc="9A9022AC" w:tentative="1">
      <w:start w:val="1"/>
      <w:numFmt w:val="lowerLetter"/>
      <w:lvlText w:val="%8."/>
      <w:lvlJc w:val="left"/>
      <w:pPr>
        <w:ind w:left="6120" w:hanging="360"/>
      </w:pPr>
    </w:lvl>
    <w:lvl w:ilvl="8" w:tplc="8DE87B8A" w:tentative="1">
      <w:start w:val="1"/>
      <w:numFmt w:val="lowerRoman"/>
      <w:lvlText w:val="%9."/>
      <w:lvlJc w:val="right"/>
      <w:pPr>
        <w:ind w:left="6840" w:hanging="180"/>
      </w:pPr>
    </w:lvl>
  </w:abstractNum>
  <w:abstractNum w:abstractNumId="48" w15:restartNumberingAfterBreak="0">
    <w:nsid w:val="5A931108"/>
    <w:multiLevelType w:val="multilevel"/>
    <w:tmpl w:val="901AD374"/>
    <w:styleLink w:val="List24"/>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abstractNum w:abstractNumId="49" w15:restartNumberingAfterBreak="0">
    <w:nsid w:val="5D7D4B9D"/>
    <w:multiLevelType w:val="hybridMultilevel"/>
    <w:tmpl w:val="1DEC6828"/>
    <w:lvl w:ilvl="0" w:tplc="C7A6AC46">
      <w:start w:val="1"/>
      <w:numFmt w:val="decimal"/>
      <w:lvlText w:val="%1."/>
      <w:lvlJc w:val="left"/>
      <w:pPr>
        <w:ind w:left="1170" w:hanging="360"/>
      </w:pPr>
      <w:rPr>
        <w:rFonts w:ascii="Cambria" w:hAnsi="Cambria" w:hint="default"/>
        <w:b w:val="0"/>
        <w:color w:val="000000" w:themeColor="text1"/>
        <w:sz w:val="20"/>
        <w:szCs w:val="20"/>
      </w:rPr>
    </w:lvl>
    <w:lvl w:ilvl="1" w:tplc="87183456">
      <w:start w:val="1"/>
      <w:numFmt w:val="lowerLetter"/>
      <w:lvlText w:val="%2."/>
      <w:lvlJc w:val="left"/>
      <w:pPr>
        <w:ind w:left="1440" w:hanging="360"/>
      </w:pPr>
    </w:lvl>
    <w:lvl w:ilvl="2" w:tplc="49C21B38" w:tentative="1">
      <w:start w:val="1"/>
      <w:numFmt w:val="lowerRoman"/>
      <w:lvlText w:val="%3."/>
      <w:lvlJc w:val="right"/>
      <w:pPr>
        <w:ind w:left="2160" w:hanging="180"/>
      </w:pPr>
    </w:lvl>
    <w:lvl w:ilvl="3" w:tplc="B88A13DA" w:tentative="1">
      <w:start w:val="1"/>
      <w:numFmt w:val="decimal"/>
      <w:lvlText w:val="%4."/>
      <w:lvlJc w:val="left"/>
      <w:pPr>
        <w:ind w:left="2880" w:hanging="360"/>
      </w:pPr>
    </w:lvl>
    <w:lvl w:ilvl="4" w:tplc="F1BC6D74" w:tentative="1">
      <w:start w:val="1"/>
      <w:numFmt w:val="lowerLetter"/>
      <w:lvlText w:val="%5."/>
      <w:lvlJc w:val="left"/>
      <w:pPr>
        <w:ind w:left="3600" w:hanging="360"/>
      </w:pPr>
    </w:lvl>
    <w:lvl w:ilvl="5" w:tplc="68B45218" w:tentative="1">
      <w:start w:val="1"/>
      <w:numFmt w:val="lowerRoman"/>
      <w:lvlText w:val="%6."/>
      <w:lvlJc w:val="right"/>
      <w:pPr>
        <w:ind w:left="4320" w:hanging="180"/>
      </w:pPr>
    </w:lvl>
    <w:lvl w:ilvl="6" w:tplc="E44CDAD0" w:tentative="1">
      <w:start w:val="1"/>
      <w:numFmt w:val="decimal"/>
      <w:lvlText w:val="%7."/>
      <w:lvlJc w:val="left"/>
      <w:pPr>
        <w:ind w:left="5040" w:hanging="360"/>
      </w:pPr>
    </w:lvl>
    <w:lvl w:ilvl="7" w:tplc="F8C0824E" w:tentative="1">
      <w:start w:val="1"/>
      <w:numFmt w:val="lowerLetter"/>
      <w:lvlText w:val="%8."/>
      <w:lvlJc w:val="left"/>
      <w:pPr>
        <w:ind w:left="5760" w:hanging="360"/>
      </w:pPr>
    </w:lvl>
    <w:lvl w:ilvl="8" w:tplc="6B3C50F0" w:tentative="1">
      <w:start w:val="1"/>
      <w:numFmt w:val="lowerRoman"/>
      <w:lvlText w:val="%9."/>
      <w:lvlJc w:val="right"/>
      <w:pPr>
        <w:ind w:left="6480" w:hanging="180"/>
      </w:pPr>
    </w:lvl>
  </w:abstractNum>
  <w:abstractNum w:abstractNumId="50" w15:restartNumberingAfterBreak="0">
    <w:nsid w:val="61291D94"/>
    <w:multiLevelType w:val="multilevel"/>
    <w:tmpl w:val="6C22F246"/>
    <w:styleLink w:val="List2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1" w15:restartNumberingAfterBreak="0">
    <w:nsid w:val="66260CBE"/>
    <w:multiLevelType w:val="multilevel"/>
    <w:tmpl w:val="1D885D8E"/>
    <w:styleLink w:val="List8"/>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52" w15:restartNumberingAfterBreak="0">
    <w:nsid w:val="6A074BF8"/>
    <w:multiLevelType w:val="multilevel"/>
    <w:tmpl w:val="E1B8E896"/>
    <w:styleLink w:val="List13"/>
    <w:lvl w:ilvl="0">
      <w:start w:val="1"/>
      <w:numFmt w:val="upperRoman"/>
      <w:lvlText w:val="%1."/>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1">
      <w:start w:val="2"/>
      <w:numFmt w:val="decimal"/>
      <w:lvlText w:val="%1.%2."/>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val="single" w:color="000000"/>
        <w:lang w:val="es-ES_tradnl"/>
      </w:rPr>
    </w:lvl>
  </w:abstractNum>
  <w:abstractNum w:abstractNumId="53" w15:restartNumberingAfterBreak="0">
    <w:nsid w:val="6EC377F7"/>
    <w:multiLevelType w:val="multilevel"/>
    <w:tmpl w:val="46768850"/>
    <w:styleLink w:val="List20"/>
    <w:lvl w:ilvl="0">
      <w:start w:val="2"/>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4" w15:restartNumberingAfterBreak="0">
    <w:nsid w:val="70786ED7"/>
    <w:multiLevelType w:val="hybridMultilevel"/>
    <w:tmpl w:val="F54C1E42"/>
    <w:lvl w:ilvl="0" w:tplc="4B0EDB44">
      <w:start w:val="1"/>
      <w:numFmt w:val="upperRoman"/>
      <w:lvlText w:val="%1."/>
      <w:lvlJc w:val="left"/>
      <w:pPr>
        <w:ind w:left="720" w:hanging="360"/>
      </w:pPr>
      <w:rPr>
        <w:rFonts w:hint="default"/>
        <w:lang w:val="es-VE"/>
      </w:rPr>
    </w:lvl>
    <w:lvl w:ilvl="1" w:tplc="4A7A934E">
      <w:start w:val="4"/>
      <w:numFmt w:val="upperRoman"/>
      <w:lvlText w:val="%2."/>
      <w:lvlJc w:val="right"/>
      <w:pPr>
        <w:ind w:left="1440" w:hanging="360"/>
      </w:pPr>
      <w:rPr>
        <w:rFonts w:hint="default"/>
      </w:rPr>
    </w:lvl>
    <w:lvl w:ilvl="2" w:tplc="910AAA6E" w:tentative="1">
      <w:start w:val="1"/>
      <w:numFmt w:val="lowerRoman"/>
      <w:lvlText w:val="%3."/>
      <w:lvlJc w:val="right"/>
      <w:pPr>
        <w:ind w:left="2160" w:hanging="180"/>
      </w:pPr>
    </w:lvl>
    <w:lvl w:ilvl="3" w:tplc="B450CD82" w:tentative="1">
      <w:start w:val="1"/>
      <w:numFmt w:val="decimal"/>
      <w:lvlText w:val="%4."/>
      <w:lvlJc w:val="left"/>
      <w:pPr>
        <w:ind w:left="2880" w:hanging="360"/>
      </w:pPr>
    </w:lvl>
    <w:lvl w:ilvl="4" w:tplc="98044A72" w:tentative="1">
      <w:start w:val="1"/>
      <w:numFmt w:val="lowerLetter"/>
      <w:lvlText w:val="%5."/>
      <w:lvlJc w:val="left"/>
      <w:pPr>
        <w:ind w:left="3600" w:hanging="360"/>
      </w:pPr>
    </w:lvl>
    <w:lvl w:ilvl="5" w:tplc="548C15D8" w:tentative="1">
      <w:start w:val="1"/>
      <w:numFmt w:val="lowerRoman"/>
      <w:lvlText w:val="%6."/>
      <w:lvlJc w:val="right"/>
      <w:pPr>
        <w:ind w:left="4320" w:hanging="180"/>
      </w:pPr>
    </w:lvl>
    <w:lvl w:ilvl="6" w:tplc="5AD6433A" w:tentative="1">
      <w:start w:val="1"/>
      <w:numFmt w:val="decimal"/>
      <w:lvlText w:val="%7."/>
      <w:lvlJc w:val="left"/>
      <w:pPr>
        <w:ind w:left="5040" w:hanging="360"/>
      </w:pPr>
    </w:lvl>
    <w:lvl w:ilvl="7" w:tplc="7E90D4B6" w:tentative="1">
      <w:start w:val="1"/>
      <w:numFmt w:val="lowerLetter"/>
      <w:lvlText w:val="%8."/>
      <w:lvlJc w:val="left"/>
      <w:pPr>
        <w:ind w:left="5760" w:hanging="360"/>
      </w:pPr>
    </w:lvl>
    <w:lvl w:ilvl="8" w:tplc="D09EB8C8" w:tentative="1">
      <w:start w:val="1"/>
      <w:numFmt w:val="lowerRoman"/>
      <w:lvlText w:val="%9."/>
      <w:lvlJc w:val="right"/>
      <w:pPr>
        <w:ind w:left="6480" w:hanging="180"/>
      </w:pPr>
    </w:lvl>
  </w:abstractNum>
  <w:abstractNum w:abstractNumId="55" w15:restartNumberingAfterBreak="0">
    <w:nsid w:val="78C26FCF"/>
    <w:multiLevelType w:val="multilevel"/>
    <w:tmpl w:val="2FCAD168"/>
    <w:styleLink w:val="List31"/>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6" w15:restartNumberingAfterBreak="0">
    <w:nsid w:val="78D002EC"/>
    <w:multiLevelType w:val="multilevel"/>
    <w:tmpl w:val="83CCC372"/>
    <w:styleLink w:val="List6"/>
    <w:lvl w:ilvl="0">
      <w:start w:val="1"/>
      <w:numFmt w:val="bullet"/>
      <w:lvlText w:val="•"/>
      <w:lvlJc w:val="left"/>
      <w:pPr>
        <w:tabs>
          <w:tab w:val="num" w:pos="720"/>
        </w:tabs>
        <w:ind w:left="720" w:hanging="360"/>
      </w:pPr>
      <w:rPr>
        <w:rFonts w:ascii="Trebuchet MS" w:eastAsia="Trebuchet MS" w:hAnsi="Trebuchet MS" w:cs="Trebuchet MS"/>
        <w:b/>
        <w:bC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b/>
        <w:bCs/>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b/>
        <w:bCs/>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b/>
        <w:bCs/>
        <w:color w:val="000000"/>
        <w:position w:val="0"/>
        <w:sz w:val="22"/>
        <w:szCs w:val="22"/>
        <w:u w:color="000000"/>
        <w:lang w:val="es-ES_tradnl"/>
      </w:rPr>
    </w:lvl>
  </w:abstractNum>
  <w:abstractNum w:abstractNumId="57" w15:restartNumberingAfterBreak="0">
    <w:nsid w:val="79D11DEC"/>
    <w:multiLevelType w:val="multilevel"/>
    <w:tmpl w:val="CA907696"/>
    <w:styleLink w:val="List3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8" w15:restartNumberingAfterBreak="0">
    <w:nsid w:val="7C2D1397"/>
    <w:multiLevelType w:val="multilevel"/>
    <w:tmpl w:val="0D6A0264"/>
    <w:styleLink w:val="List3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9" w15:restartNumberingAfterBreak="0">
    <w:nsid w:val="7C5B116A"/>
    <w:multiLevelType w:val="multilevel"/>
    <w:tmpl w:val="6C927F16"/>
    <w:styleLink w:val="List32"/>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0" w15:restartNumberingAfterBreak="0">
    <w:nsid w:val="7EAB4C36"/>
    <w:multiLevelType w:val="multilevel"/>
    <w:tmpl w:val="DBBC6382"/>
    <w:styleLink w:val="List26"/>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1" w15:restartNumberingAfterBreak="0">
    <w:nsid w:val="7F215946"/>
    <w:multiLevelType w:val="multilevel"/>
    <w:tmpl w:val="15D01EAA"/>
    <w:styleLink w:val="List48"/>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num w:numId="1" w16cid:durableId="357004031">
    <w:abstractNumId w:val="5"/>
  </w:num>
  <w:num w:numId="2" w16cid:durableId="1290163094">
    <w:abstractNumId w:val="6"/>
  </w:num>
  <w:num w:numId="3" w16cid:durableId="1156338486">
    <w:abstractNumId w:val="56"/>
  </w:num>
  <w:num w:numId="4" w16cid:durableId="1157302967">
    <w:abstractNumId w:val="25"/>
  </w:num>
  <w:num w:numId="5" w16cid:durableId="380979149">
    <w:abstractNumId w:val="51"/>
  </w:num>
  <w:num w:numId="6" w16cid:durableId="1748841794">
    <w:abstractNumId w:val="30"/>
  </w:num>
  <w:num w:numId="7" w16cid:durableId="1326783795">
    <w:abstractNumId w:val="9"/>
  </w:num>
  <w:num w:numId="8" w16cid:durableId="1135832064">
    <w:abstractNumId w:val="21"/>
  </w:num>
  <w:num w:numId="9" w16cid:durableId="601105078">
    <w:abstractNumId w:val="46"/>
  </w:num>
  <w:num w:numId="10" w16cid:durableId="1942446301">
    <w:abstractNumId w:val="2"/>
  </w:num>
  <w:num w:numId="11" w16cid:durableId="1396977743">
    <w:abstractNumId w:val="42"/>
  </w:num>
  <w:num w:numId="12" w16cid:durableId="2027827087">
    <w:abstractNumId w:val="43"/>
  </w:num>
  <w:num w:numId="13" w16cid:durableId="378944682">
    <w:abstractNumId w:val="48"/>
  </w:num>
  <w:num w:numId="14" w16cid:durableId="614796128">
    <w:abstractNumId w:val="3"/>
  </w:num>
  <w:num w:numId="15" w16cid:durableId="1360080752">
    <w:abstractNumId w:val="4"/>
  </w:num>
  <w:num w:numId="16" w16cid:durableId="77555207">
    <w:abstractNumId w:val="10"/>
  </w:num>
  <w:num w:numId="17" w16cid:durableId="128668005">
    <w:abstractNumId w:val="11"/>
  </w:num>
  <w:num w:numId="18" w16cid:durableId="1219704294">
    <w:abstractNumId w:val="12"/>
  </w:num>
  <w:num w:numId="19" w16cid:durableId="827091470">
    <w:abstractNumId w:val="14"/>
  </w:num>
  <w:num w:numId="20" w16cid:durableId="1689520800">
    <w:abstractNumId w:val="15"/>
  </w:num>
  <w:num w:numId="21" w16cid:durableId="595097362">
    <w:abstractNumId w:val="17"/>
  </w:num>
  <w:num w:numId="22" w16cid:durableId="977220506">
    <w:abstractNumId w:val="18"/>
  </w:num>
  <w:num w:numId="23" w16cid:durableId="631792357">
    <w:abstractNumId w:val="19"/>
  </w:num>
  <w:num w:numId="24" w16cid:durableId="119954728">
    <w:abstractNumId w:val="20"/>
  </w:num>
  <w:num w:numId="25" w16cid:durableId="1878420869">
    <w:abstractNumId w:val="22"/>
  </w:num>
  <w:num w:numId="26" w16cid:durableId="495340596">
    <w:abstractNumId w:val="24"/>
  </w:num>
  <w:num w:numId="27" w16cid:durableId="1337344804">
    <w:abstractNumId w:val="26"/>
  </w:num>
  <w:num w:numId="28" w16cid:durableId="1821192025">
    <w:abstractNumId w:val="27"/>
  </w:num>
  <w:num w:numId="29" w16cid:durableId="1567062049">
    <w:abstractNumId w:val="28"/>
  </w:num>
  <w:num w:numId="30" w16cid:durableId="1082874685">
    <w:abstractNumId w:val="29"/>
  </w:num>
  <w:num w:numId="31" w16cid:durableId="745414746">
    <w:abstractNumId w:val="31"/>
  </w:num>
  <w:num w:numId="32" w16cid:durableId="1212884239">
    <w:abstractNumId w:val="34"/>
  </w:num>
  <w:num w:numId="33" w16cid:durableId="1837185366">
    <w:abstractNumId w:val="36"/>
  </w:num>
  <w:num w:numId="34" w16cid:durableId="1880775407">
    <w:abstractNumId w:val="37"/>
  </w:num>
  <w:num w:numId="35" w16cid:durableId="700132114">
    <w:abstractNumId w:val="38"/>
  </w:num>
  <w:num w:numId="36" w16cid:durableId="1972898837">
    <w:abstractNumId w:val="39"/>
  </w:num>
  <w:num w:numId="37" w16cid:durableId="685399140">
    <w:abstractNumId w:val="40"/>
  </w:num>
  <w:num w:numId="38" w16cid:durableId="1273710968">
    <w:abstractNumId w:val="41"/>
  </w:num>
  <w:num w:numId="39" w16cid:durableId="733699933">
    <w:abstractNumId w:val="44"/>
  </w:num>
  <w:num w:numId="40" w16cid:durableId="946352231">
    <w:abstractNumId w:val="45"/>
  </w:num>
  <w:num w:numId="41" w16cid:durableId="500588934">
    <w:abstractNumId w:val="50"/>
  </w:num>
  <w:num w:numId="42" w16cid:durableId="652560095">
    <w:abstractNumId w:val="52"/>
  </w:num>
  <w:num w:numId="43" w16cid:durableId="633372550">
    <w:abstractNumId w:val="53"/>
  </w:num>
  <w:num w:numId="44" w16cid:durableId="623120806">
    <w:abstractNumId w:val="55"/>
  </w:num>
  <w:num w:numId="45" w16cid:durableId="71704554">
    <w:abstractNumId w:val="57"/>
  </w:num>
  <w:num w:numId="46" w16cid:durableId="1567033423">
    <w:abstractNumId w:val="58"/>
  </w:num>
  <w:num w:numId="47" w16cid:durableId="1925917411">
    <w:abstractNumId w:val="59"/>
  </w:num>
  <w:num w:numId="48" w16cid:durableId="1238327309">
    <w:abstractNumId w:val="60"/>
  </w:num>
  <w:num w:numId="49" w16cid:durableId="225461020">
    <w:abstractNumId w:val="61"/>
  </w:num>
  <w:num w:numId="50" w16cid:durableId="830372992">
    <w:abstractNumId w:val="54"/>
  </w:num>
  <w:num w:numId="51" w16cid:durableId="526599771">
    <w:abstractNumId w:val="49"/>
  </w:num>
  <w:num w:numId="52" w16cid:durableId="785269879">
    <w:abstractNumId w:val="33"/>
  </w:num>
  <w:num w:numId="53" w16cid:durableId="1491141274">
    <w:abstractNumId w:val="8"/>
  </w:num>
  <w:num w:numId="54" w16cid:durableId="1396902119">
    <w:abstractNumId w:val="1"/>
  </w:num>
  <w:num w:numId="55" w16cid:durableId="133446081">
    <w:abstractNumId w:val="32"/>
  </w:num>
  <w:num w:numId="56" w16cid:durableId="1325891301">
    <w:abstractNumId w:val="47"/>
  </w:num>
  <w:num w:numId="57" w16cid:durableId="997152207">
    <w:abstractNumId w:val="16"/>
  </w:num>
  <w:num w:numId="58" w16cid:durableId="1961261005">
    <w:abstractNumId w:val="23"/>
  </w:num>
  <w:num w:numId="59" w16cid:durableId="690958022">
    <w:abstractNumId w:val="0"/>
  </w:num>
  <w:num w:numId="60" w16cid:durableId="2114082128">
    <w:abstractNumId w:val="35"/>
  </w:num>
  <w:num w:numId="61" w16cid:durableId="510337132">
    <w:abstractNumId w:val="7"/>
  </w:num>
  <w:num w:numId="62" w16cid:durableId="1275864783">
    <w:abstractNumId w:val="54"/>
  </w:num>
  <w:num w:numId="63" w16cid:durableId="1366254319">
    <w:abstractNumId w:val="54"/>
  </w:num>
  <w:num w:numId="64" w16cid:durableId="577248381">
    <w:abstractNumId w:val="54"/>
  </w:num>
  <w:num w:numId="65" w16cid:durableId="2110656772">
    <w:abstractNumId w:val="13"/>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6B05"/>
    <w:rsid w:val="00000805"/>
    <w:rsid w:val="00000E79"/>
    <w:rsid w:val="00002D60"/>
    <w:rsid w:val="00007F8F"/>
    <w:rsid w:val="00012E36"/>
    <w:rsid w:val="000214DC"/>
    <w:rsid w:val="00024CE4"/>
    <w:rsid w:val="00032B6C"/>
    <w:rsid w:val="00035AA6"/>
    <w:rsid w:val="00036DC8"/>
    <w:rsid w:val="000410E4"/>
    <w:rsid w:val="000431EF"/>
    <w:rsid w:val="0007198E"/>
    <w:rsid w:val="00073640"/>
    <w:rsid w:val="00074F4D"/>
    <w:rsid w:val="00081450"/>
    <w:rsid w:val="00096787"/>
    <w:rsid w:val="000968CB"/>
    <w:rsid w:val="00096F62"/>
    <w:rsid w:val="000A4248"/>
    <w:rsid w:val="000B5086"/>
    <w:rsid w:val="000B5D85"/>
    <w:rsid w:val="000D3029"/>
    <w:rsid w:val="000D55D8"/>
    <w:rsid w:val="000D7C5F"/>
    <w:rsid w:val="000E0376"/>
    <w:rsid w:val="000E1C22"/>
    <w:rsid w:val="000E6559"/>
    <w:rsid w:val="000E7B4F"/>
    <w:rsid w:val="000F0DC4"/>
    <w:rsid w:val="000F174B"/>
    <w:rsid w:val="00115F51"/>
    <w:rsid w:val="00120626"/>
    <w:rsid w:val="0012444E"/>
    <w:rsid w:val="0013554C"/>
    <w:rsid w:val="00144FC0"/>
    <w:rsid w:val="0014609B"/>
    <w:rsid w:val="00164422"/>
    <w:rsid w:val="00167037"/>
    <w:rsid w:val="00167A34"/>
    <w:rsid w:val="001758B9"/>
    <w:rsid w:val="001849BE"/>
    <w:rsid w:val="00193F03"/>
    <w:rsid w:val="001A0724"/>
    <w:rsid w:val="001A1C63"/>
    <w:rsid w:val="001A1FD6"/>
    <w:rsid w:val="001A3C33"/>
    <w:rsid w:val="001C2AEB"/>
    <w:rsid w:val="001C690B"/>
    <w:rsid w:val="001D6567"/>
    <w:rsid w:val="001E1A92"/>
    <w:rsid w:val="001E54BC"/>
    <w:rsid w:val="001F6E1B"/>
    <w:rsid w:val="001F742A"/>
    <w:rsid w:val="0020730E"/>
    <w:rsid w:val="00207601"/>
    <w:rsid w:val="002111B1"/>
    <w:rsid w:val="002278E9"/>
    <w:rsid w:val="002409D7"/>
    <w:rsid w:val="00244B80"/>
    <w:rsid w:val="00252A1A"/>
    <w:rsid w:val="00256DC4"/>
    <w:rsid w:val="002715A9"/>
    <w:rsid w:val="0027491A"/>
    <w:rsid w:val="002829C1"/>
    <w:rsid w:val="0028556A"/>
    <w:rsid w:val="0028728D"/>
    <w:rsid w:val="0029100F"/>
    <w:rsid w:val="0029113A"/>
    <w:rsid w:val="00296F06"/>
    <w:rsid w:val="002A0697"/>
    <w:rsid w:val="002A6B05"/>
    <w:rsid w:val="002C5A22"/>
    <w:rsid w:val="002E7437"/>
    <w:rsid w:val="002F364A"/>
    <w:rsid w:val="003122C3"/>
    <w:rsid w:val="0031249B"/>
    <w:rsid w:val="00316E19"/>
    <w:rsid w:val="00320B25"/>
    <w:rsid w:val="00321B48"/>
    <w:rsid w:val="00321C2E"/>
    <w:rsid w:val="00323049"/>
    <w:rsid w:val="00324064"/>
    <w:rsid w:val="0032473D"/>
    <w:rsid w:val="0033269E"/>
    <w:rsid w:val="0033555E"/>
    <w:rsid w:val="003459A7"/>
    <w:rsid w:val="00345C8C"/>
    <w:rsid w:val="0036484A"/>
    <w:rsid w:val="00377668"/>
    <w:rsid w:val="0039204B"/>
    <w:rsid w:val="00393649"/>
    <w:rsid w:val="003A0E46"/>
    <w:rsid w:val="003C5334"/>
    <w:rsid w:val="003D2A74"/>
    <w:rsid w:val="003E1217"/>
    <w:rsid w:val="00412B02"/>
    <w:rsid w:val="00414C7A"/>
    <w:rsid w:val="004228A6"/>
    <w:rsid w:val="00424592"/>
    <w:rsid w:val="00426564"/>
    <w:rsid w:val="00426FD3"/>
    <w:rsid w:val="0043666C"/>
    <w:rsid w:val="00466396"/>
    <w:rsid w:val="00473895"/>
    <w:rsid w:val="00497CC7"/>
    <w:rsid w:val="004A5E4B"/>
    <w:rsid w:val="004B13B8"/>
    <w:rsid w:val="004B7EB6"/>
    <w:rsid w:val="004C405D"/>
    <w:rsid w:val="004C5EEE"/>
    <w:rsid w:val="004D2433"/>
    <w:rsid w:val="005078DB"/>
    <w:rsid w:val="005144B1"/>
    <w:rsid w:val="00517C44"/>
    <w:rsid w:val="005202CD"/>
    <w:rsid w:val="005251FB"/>
    <w:rsid w:val="0052612C"/>
    <w:rsid w:val="005304B2"/>
    <w:rsid w:val="00531E2A"/>
    <w:rsid w:val="00534047"/>
    <w:rsid w:val="005356AD"/>
    <w:rsid w:val="005418C0"/>
    <w:rsid w:val="005475CF"/>
    <w:rsid w:val="00550322"/>
    <w:rsid w:val="00556634"/>
    <w:rsid w:val="00557DBC"/>
    <w:rsid w:val="005668C5"/>
    <w:rsid w:val="005717C9"/>
    <w:rsid w:val="00584347"/>
    <w:rsid w:val="00587F9E"/>
    <w:rsid w:val="005A2E8A"/>
    <w:rsid w:val="005A3412"/>
    <w:rsid w:val="005A460E"/>
    <w:rsid w:val="005B6E17"/>
    <w:rsid w:val="005C2078"/>
    <w:rsid w:val="005C5B85"/>
    <w:rsid w:val="006050BD"/>
    <w:rsid w:val="00605CFA"/>
    <w:rsid w:val="0061092E"/>
    <w:rsid w:val="006143B4"/>
    <w:rsid w:val="006327D7"/>
    <w:rsid w:val="006373B9"/>
    <w:rsid w:val="006373C8"/>
    <w:rsid w:val="00643323"/>
    <w:rsid w:val="006526C8"/>
    <w:rsid w:val="0066215E"/>
    <w:rsid w:val="00681B5F"/>
    <w:rsid w:val="00686404"/>
    <w:rsid w:val="006918A1"/>
    <w:rsid w:val="006974CC"/>
    <w:rsid w:val="006A0010"/>
    <w:rsid w:val="006A1FA2"/>
    <w:rsid w:val="006B06CA"/>
    <w:rsid w:val="006C0A77"/>
    <w:rsid w:val="006C19F3"/>
    <w:rsid w:val="006C41EE"/>
    <w:rsid w:val="006C57B8"/>
    <w:rsid w:val="006D136E"/>
    <w:rsid w:val="006D5AB1"/>
    <w:rsid w:val="006E27F4"/>
    <w:rsid w:val="006E6974"/>
    <w:rsid w:val="006E7340"/>
    <w:rsid w:val="006E7C5B"/>
    <w:rsid w:val="006F76A1"/>
    <w:rsid w:val="006F7CB4"/>
    <w:rsid w:val="00702E57"/>
    <w:rsid w:val="0071424C"/>
    <w:rsid w:val="00714F11"/>
    <w:rsid w:val="00715452"/>
    <w:rsid w:val="00716ECF"/>
    <w:rsid w:val="00717D88"/>
    <w:rsid w:val="007227F9"/>
    <w:rsid w:val="00727F6F"/>
    <w:rsid w:val="00733323"/>
    <w:rsid w:val="007361B0"/>
    <w:rsid w:val="00744A80"/>
    <w:rsid w:val="0075255F"/>
    <w:rsid w:val="0075684F"/>
    <w:rsid w:val="00764325"/>
    <w:rsid w:val="007717B0"/>
    <w:rsid w:val="00780551"/>
    <w:rsid w:val="00783024"/>
    <w:rsid w:val="00790221"/>
    <w:rsid w:val="00790E24"/>
    <w:rsid w:val="007929A7"/>
    <w:rsid w:val="007948F5"/>
    <w:rsid w:val="007A267C"/>
    <w:rsid w:val="007A30D9"/>
    <w:rsid w:val="007A379A"/>
    <w:rsid w:val="007A69A5"/>
    <w:rsid w:val="007A6E43"/>
    <w:rsid w:val="007B22CD"/>
    <w:rsid w:val="007C39A6"/>
    <w:rsid w:val="007C7460"/>
    <w:rsid w:val="007C756A"/>
    <w:rsid w:val="007C7828"/>
    <w:rsid w:val="007D12F4"/>
    <w:rsid w:val="007E325E"/>
    <w:rsid w:val="007E3D56"/>
    <w:rsid w:val="007F7945"/>
    <w:rsid w:val="00801C7D"/>
    <w:rsid w:val="00814531"/>
    <w:rsid w:val="00823451"/>
    <w:rsid w:val="0084043E"/>
    <w:rsid w:val="00852E1F"/>
    <w:rsid w:val="00860ACA"/>
    <w:rsid w:val="00866305"/>
    <w:rsid w:val="00866818"/>
    <w:rsid w:val="0089741E"/>
    <w:rsid w:val="008A4A41"/>
    <w:rsid w:val="008B2475"/>
    <w:rsid w:val="008C20C0"/>
    <w:rsid w:val="008C68E2"/>
    <w:rsid w:val="008D1B3E"/>
    <w:rsid w:val="008D518E"/>
    <w:rsid w:val="008D67C8"/>
    <w:rsid w:val="008E0F38"/>
    <w:rsid w:val="008E3C65"/>
    <w:rsid w:val="008E4E61"/>
    <w:rsid w:val="008E778C"/>
    <w:rsid w:val="00906427"/>
    <w:rsid w:val="00913B80"/>
    <w:rsid w:val="009207C2"/>
    <w:rsid w:val="00934A2C"/>
    <w:rsid w:val="00934D6C"/>
    <w:rsid w:val="00936CFE"/>
    <w:rsid w:val="00941FFC"/>
    <w:rsid w:val="00942B64"/>
    <w:rsid w:val="00944A2D"/>
    <w:rsid w:val="00962B35"/>
    <w:rsid w:val="00964C65"/>
    <w:rsid w:val="00967F96"/>
    <w:rsid w:val="00981274"/>
    <w:rsid w:val="00981BF7"/>
    <w:rsid w:val="009A42B2"/>
    <w:rsid w:val="009A48AD"/>
    <w:rsid w:val="009A63E3"/>
    <w:rsid w:val="009C06F8"/>
    <w:rsid w:val="009D002B"/>
    <w:rsid w:val="009D13A5"/>
    <w:rsid w:val="009D70A3"/>
    <w:rsid w:val="009F015E"/>
    <w:rsid w:val="00A16D37"/>
    <w:rsid w:val="00A2019C"/>
    <w:rsid w:val="00A22C47"/>
    <w:rsid w:val="00A27761"/>
    <w:rsid w:val="00A308CB"/>
    <w:rsid w:val="00A30E6E"/>
    <w:rsid w:val="00A315DF"/>
    <w:rsid w:val="00A33FB8"/>
    <w:rsid w:val="00A437B1"/>
    <w:rsid w:val="00A4436D"/>
    <w:rsid w:val="00A452E5"/>
    <w:rsid w:val="00A46294"/>
    <w:rsid w:val="00A56D7F"/>
    <w:rsid w:val="00A57D22"/>
    <w:rsid w:val="00A623AB"/>
    <w:rsid w:val="00A6344C"/>
    <w:rsid w:val="00A64A10"/>
    <w:rsid w:val="00A726D4"/>
    <w:rsid w:val="00A7694C"/>
    <w:rsid w:val="00A834F0"/>
    <w:rsid w:val="00A90B1B"/>
    <w:rsid w:val="00AA1F3C"/>
    <w:rsid w:val="00AC4529"/>
    <w:rsid w:val="00AE1287"/>
    <w:rsid w:val="00AE4542"/>
    <w:rsid w:val="00AE5488"/>
    <w:rsid w:val="00AF04B7"/>
    <w:rsid w:val="00B023C5"/>
    <w:rsid w:val="00B14CF8"/>
    <w:rsid w:val="00B150F5"/>
    <w:rsid w:val="00B24E80"/>
    <w:rsid w:val="00B35D9C"/>
    <w:rsid w:val="00B364AE"/>
    <w:rsid w:val="00B50F83"/>
    <w:rsid w:val="00B525F0"/>
    <w:rsid w:val="00B7085C"/>
    <w:rsid w:val="00B86DAC"/>
    <w:rsid w:val="00B905D7"/>
    <w:rsid w:val="00B9532D"/>
    <w:rsid w:val="00BA41CB"/>
    <w:rsid w:val="00BB5E7C"/>
    <w:rsid w:val="00BC4473"/>
    <w:rsid w:val="00BD0D53"/>
    <w:rsid w:val="00BD72FF"/>
    <w:rsid w:val="00BE7A33"/>
    <w:rsid w:val="00BF2830"/>
    <w:rsid w:val="00C036A5"/>
    <w:rsid w:val="00C1154C"/>
    <w:rsid w:val="00C2014A"/>
    <w:rsid w:val="00C428B0"/>
    <w:rsid w:val="00C43809"/>
    <w:rsid w:val="00C50AC9"/>
    <w:rsid w:val="00C55EB2"/>
    <w:rsid w:val="00C91F5B"/>
    <w:rsid w:val="00C95F67"/>
    <w:rsid w:val="00CC0F9A"/>
    <w:rsid w:val="00CD3C64"/>
    <w:rsid w:val="00CD7891"/>
    <w:rsid w:val="00CF13B0"/>
    <w:rsid w:val="00CF4157"/>
    <w:rsid w:val="00CF5B20"/>
    <w:rsid w:val="00CF5E9A"/>
    <w:rsid w:val="00D23F65"/>
    <w:rsid w:val="00D31FA1"/>
    <w:rsid w:val="00D366DA"/>
    <w:rsid w:val="00D41CD4"/>
    <w:rsid w:val="00D42B9C"/>
    <w:rsid w:val="00D647F5"/>
    <w:rsid w:val="00D72DC6"/>
    <w:rsid w:val="00D75C84"/>
    <w:rsid w:val="00D8110A"/>
    <w:rsid w:val="00D829CF"/>
    <w:rsid w:val="00D847F7"/>
    <w:rsid w:val="00D92796"/>
    <w:rsid w:val="00DB1A76"/>
    <w:rsid w:val="00DC3634"/>
    <w:rsid w:val="00DC5F3C"/>
    <w:rsid w:val="00DC6DC6"/>
    <w:rsid w:val="00DD3C64"/>
    <w:rsid w:val="00DE342F"/>
    <w:rsid w:val="00DE5FC4"/>
    <w:rsid w:val="00DF23DC"/>
    <w:rsid w:val="00DF24D9"/>
    <w:rsid w:val="00DF6FEC"/>
    <w:rsid w:val="00E026D7"/>
    <w:rsid w:val="00E07779"/>
    <w:rsid w:val="00E11F1C"/>
    <w:rsid w:val="00E1294B"/>
    <w:rsid w:val="00E17464"/>
    <w:rsid w:val="00E23205"/>
    <w:rsid w:val="00E233C9"/>
    <w:rsid w:val="00E26BD0"/>
    <w:rsid w:val="00E33B22"/>
    <w:rsid w:val="00E437A7"/>
    <w:rsid w:val="00E458D1"/>
    <w:rsid w:val="00E5434A"/>
    <w:rsid w:val="00E6132D"/>
    <w:rsid w:val="00E64B1F"/>
    <w:rsid w:val="00E7661A"/>
    <w:rsid w:val="00E821C5"/>
    <w:rsid w:val="00E936C8"/>
    <w:rsid w:val="00EA6555"/>
    <w:rsid w:val="00EA6D81"/>
    <w:rsid w:val="00EB0764"/>
    <w:rsid w:val="00EB0F19"/>
    <w:rsid w:val="00EB265C"/>
    <w:rsid w:val="00EC7995"/>
    <w:rsid w:val="00EC7D62"/>
    <w:rsid w:val="00ED0250"/>
    <w:rsid w:val="00ED4F6B"/>
    <w:rsid w:val="00EE4B9B"/>
    <w:rsid w:val="00EF16F1"/>
    <w:rsid w:val="00F04E61"/>
    <w:rsid w:val="00F11F46"/>
    <w:rsid w:val="00F1241C"/>
    <w:rsid w:val="00F14660"/>
    <w:rsid w:val="00F251C8"/>
    <w:rsid w:val="00F25690"/>
    <w:rsid w:val="00F2657E"/>
    <w:rsid w:val="00F3095B"/>
    <w:rsid w:val="00F332A9"/>
    <w:rsid w:val="00F35CC4"/>
    <w:rsid w:val="00F433D9"/>
    <w:rsid w:val="00F46077"/>
    <w:rsid w:val="00F564F0"/>
    <w:rsid w:val="00F615F1"/>
    <w:rsid w:val="00F64911"/>
    <w:rsid w:val="00F66135"/>
    <w:rsid w:val="00F84780"/>
    <w:rsid w:val="00F909AD"/>
    <w:rsid w:val="00F968D6"/>
    <w:rsid w:val="00FB5015"/>
    <w:rsid w:val="00FC66CA"/>
    <w:rsid w:val="00FD16CE"/>
    <w:rsid w:val="00FE0CF1"/>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12A42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ko-KR"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A6B05"/>
    <w:pPr>
      <w:pBdr>
        <w:top w:val="nil"/>
        <w:left w:val="nil"/>
        <w:bottom w:val="nil"/>
        <w:right w:val="nil"/>
        <w:between w:val="nil"/>
        <w:bar w:val="nil"/>
      </w:pBdr>
    </w:pPr>
    <w:rPr>
      <w:rFonts w:ascii="Times New Roman" w:eastAsia="Arial Unicode MS" w:hAnsi="Times New Roman" w:cs="Times New Roman"/>
      <w:bdr w:val="nil"/>
      <w:lang w:val="en-US" w:eastAsia="en-US"/>
    </w:rPr>
  </w:style>
  <w:style w:type="paragraph" w:styleId="Heading1">
    <w:name w:val="heading 1"/>
    <w:basedOn w:val="Normal"/>
    <w:next w:val="Normal"/>
    <w:link w:val="Heading1Char"/>
    <w:uiPriority w:val="99"/>
    <w:qFormat/>
    <w:rsid w:val="002A6B05"/>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9"/>
    <w:qFormat/>
    <w:rsid w:val="002A6B05"/>
    <w:pPr>
      <w:keepNext/>
      <w:pBdr>
        <w:top w:val="none" w:sz="0" w:space="0" w:color="auto"/>
        <w:left w:val="none" w:sz="0" w:space="0" w:color="auto"/>
        <w:bottom w:val="none" w:sz="0" w:space="0" w:color="auto"/>
        <w:right w:val="none" w:sz="0" w:space="0" w:color="auto"/>
        <w:between w:val="none" w:sz="0" w:space="0" w:color="auto"/>
        <w:bar w:val="none" w:sz="0" w:color="auto"/>
      </w:pBdr>
      <w:outlineLvl w:val="1"/>
    </w:pPr>
    <w:rPr>
      <w:rFonts w:ascii="Arial" w:eastAsia="Times New Roman" w:hAnsi="Arial" w:cs="Arial"/>
      <w:b/>
      <w:bCs/>
      <w:i/>
      <w:iCs/>
      <w:sz w:val="28"/>
      <w:szCs w:val="28"/>
      <w:bdr w:val="none" w:sz="0" w:space="0" w:color="auto"/>
    </w:rPr>
  </w:style>
  <w:style w:type="paragraph" w:styleId="Heading3">
    <w:name w:val="heading 3"/>
    <w:basedOn w:val="Normal"/>
    <w:next w:val="Normal"/>
    <w:link w:val="Heading3Char"/>
    <w:uiPriority w:val="99"/>
    <w:qFormat/>
    <w:rsid w:val="002A6B05"/>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2"/>
    </w:pPr>
    <w:rPr>
      <w:rFonts w:ascii="Arial" w:eastAsia="Times New Roman" w:hAnsi="Arial" w:cs="Arial"/>
      <w:b/>
      <w:bCs/>
      <w:sz w:val="26"/>
      <w:szCs w:val="26"/>
      <w:bdr w:val="none" w:sz="0" w:space="0" w:color="auto"/>
    </w:rPr>
  </w:style>
  <w:style w:type="paragraph" w:styleId="Heading4">
    <w:name w:val="heading 4"/>
    <w:basedOn w:val="Normal"/>
    <w:next w:val="Normal"/>
    <w:link w:val="Heading4Char"/>
    <w:uiPriority w:val="99"/>
    <w:qFormat/>
    <w:rsid w:val="00BD72FF"/>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3"/>
    </w:pPr>
    <w:rPr>
      <w:rFonts w:ascii="Calibri" w:eastAsia="MS ??" w:hAnsi="Calibri"/>
      <w:b/>
      <w:sz w:val="28"/>
      <w:szCs w:val="20"/>
      <w:bdr w:val="none" w:sz="0" w:space="0" w:color="auto"/>
      <w:lang w:val="es-SV"/>
    </w:rPr>
  </w:style>
  <w:style w:type="paragraph" w:styleId="Heading5">
    <w:name w:val="heading 5"/>
    <w:basedOn w:val="Normal"/>
    <w:next w:val="Normal"/>
    <w:link w:val="Heading5Char"/>
    <w:uiPriority w:val="99"/>
    <w:qFormat/>
    <w:rsid w:val="00BD72FF"/>
    <w:pPr>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4"/>
    </w:pPr>
    <w:rPr>
      <w:rFonts w:ascii="Calibri" w:eastAsia="MS ??" w:hAnsi="Calibri"/>
      <w:b/>
      <w:i/>
      <w:sz w:val="26"/>
      <w:szCs w:val="20"/>
      <w:bdr w:val="none" w:sz="0" w:space="0" w:color="auto"/>
      <w:lang w:val="es-SV"/>
    </w:rPr>
  </w:style>
  <w:style w:type="paragraph" w:styleId="Heading6">
    <w:name w:val="heading 6"/>
    <w:basedOn w:val="Normal"/>
    <w:next w:val="Normal"/>
    <w:link w:val="Heading6Char"/>
    <w:uiPriority w:val="99"/>
    <w:qFormat/>
    <w:rsid w:val="00BD72FF"/>
    <w:pPr>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5"/>
    </w:pPr>
    <w:rPr>
      <w:rFonts w:ascii="Calibri" w:eastAsia="MS ??" w:hAnsi="Calibri"/>
      <w:b/>
      <w:sz w:val="20"/>
      <w:szCs w:val="20"/>
      <w:bdr w:val="none" w:sz="0" w:space="0" w:color="auto"/>
      <w:lang w:val="es-SV"/>
    </w:rPr>
  </w:style>
  <w:style w:type="paragraph" w:styleId="Heading7">
    <w:name w:val="heading 7"/>
    <w:basedOn w:val="Normal"/>
    <w:next w:val="Normal"/>
    <w:link w:val="Heading7Char"/>
    <w:uiPriority w:val="99"/>
    <w:qFormat/>
    <w:rsid w:val="00BD72FF"/>
    <w:pPr>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6"/>
    </w:pPr>
    <w:rPr>
      <w:rFonts w:ascii="Calibri" w:eastAsia="MS ??" w:hAnsi="Calibri"/>
      <w:szCs w:val="20"/>
      <w:bdr w:val="none" w:sz="0" w:space="0" w:color="auto"/>
      <w:lang w:val="es-SV"/>
    </w:rPr>
  </w:style>
  <w:style w:type="paragraph" w:styleId="Heading8">
    <w:name w:val="heading 8"/>
    <w:basedOn w:val="Normal"/>
    <w:next w:val="Normal"/>
    <w:link w:val="Heading8Char"/>
    <w:uiPriority w:val="99"/>
    <w:qFormat/>
    <w:rsid w:val="00BD72FF"/>
    <w:pPr>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7"/>
    </w:pPr>
    <w:rPr>
      <w:rFonts w:ascii="Calibri" w:eastAsia="MS ??" w:hAnsi="Calibri"/>
      <w:i/>
      <w:szCs w:val="20"/>
      <w:bdr w:val="none" w:sz="0" w:space="0" w:color="auto"/>
      <w:lang w:val="es-SV"/>
    </w:rPr>
  </w:style>
  <w:style w:type="paragraph" w:styleId="Heading9">
    <w:name w:val="heading 9"/>
    <w:basedOn w:val="Normal"/>
    <w:next w:val="Normal"/>
    <w:link w:val="Heading9Char"/>
    <w:uiPriority w:val="99"/>
    <w:qFormat/>
    <w:rsid w:val="00BD72FF"/>
    <w:pPr>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8"/>
    </w:pPr>
    <w:rPr>
      <w:rFonts w:ascii="Cambria" w:eastAsia="MS ????" w:hAnsi="Cambria"/>
      <w:sz w:val="20"/>
      <w:szCs w:val="20"/>
      <w:bdr w:val="none" w:sz="0" w:space="0" w:color="auto"/>
      <w:lang w:val="es-S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A6B05"/>
    <w:rPr>
      <w:rFonts w:asciiTheme="majorHAnsi" w:eastAsiaTheme="majorEastAsia" w:hAnsiTheme="majorHAnsi" w:cstheme="majorBidi"/>
      <w:b/>
      <w:bCs/>
      <w:color w:val="2F5496" w:themeColor="accent1" w:themeShade="BF"/>
      <w:sz w:val="28"/>
      <w:szCs w:val="28"/>
      <w:bdr w:val="nil"/>
      <w:lang w:val="en-US" w:eastAsia="en-US"/>
    </w:rPr>
  </w:style>
  <w:style w:type="character" w:customStyle="1" w:styleId="Heading2Char">
    <w:name w:val="Heading 2 Char"/>
    <w:basedOn w:val="DefaultParagraphFont"/>
    <w:link w:val="Heading2"/>
    <w:rsid w:val="002A6B05"/>
    <w:rPr>
      <w:rFonts w:ascii="Arial" w:eastAsia="Times New Roman" w:hAnsi="Arial" w:cs="Arial"/>
      <w:b/>
      <w:bCs/>
      <w:i/>
      <w:iCs/>
      <w:sz w:val="28"/>
      <w:szCs w:val="28"/>
      <w:lang w:val="en-US" w:eastAsia="en-US"/>
    </w:rPr>
  </w:style>
  <w:style w:type="character" w:customStyle="1" w:styleId="Heading3Char">
    <w:name w:val="Heading 3 Char"/>
    <w:basedOn w:val="DefaultParagraphFont"/>
    <w:link w:val="Heading3"/>
    <w:rsid w:val="002A6B05"/>
    <w:rPr>
      <w:rFonts w:ascii="Arial" w:eastAsia="Times New Roman" w:hAnsi="Arial" w:cs="Arial"/>
      <w:b/>
      <w:bCs/>
      <w:sz w:val="26"/>
      <w:szCs w:val="26"/>
      <w:lang w:val="en-US" w:eastAsia="en-US"/>
    </w:rPr>
  </w:style>
  <w:style w:type="character" w:styleId="Hyperlink">
    <w:name w:val="Hyperlink"/>
    <w:uiPriority w:val="99"/>
    <w:rsid w:val="002A6B05"/>
    <w:rPr>
      <w:u w:val="single"/>
    </w:rPr>
  </w:style>
  <w:style w:type="paragraph" w:customStyle="1" w:styleId="Cabeceraypie">
    <w:name w:val="Cabecera y pie"/>
    <w:rsid w:val="002A6B05"/>
    <w:pPr>
      <w:pBdr>
        <w:top w:val="nil"/>
        <w:left w:val="nil"/>
        <w:bottom w:val="nil"/>
        <w:right w:val="nil"/>
        <w:between w:val="nil"/>
        <w:bar w:val="nil"/>
      </w:pBdr>
      <w:tabs>
        <w:tab w:val="right" w:pos="9020"/>
      </w:tabs>
    </w:pPr>
    <w:rPr>
      <w:rFonts w:ascii="Helvetica" w:eastAsia="Arial Unicode MS" w:hAnsi="Arial Unicode MS" w:cs="Arial Unicode MS"/>
      <w:color w:val="000000"/>
      <w:bdr w:val="nil"/>
      <w:lang w:val="es-ES" w:eastAsia="es-ES"/>
    </w:rPr>
  </w:style>
  <w:style w:type="paragraph" w:styleId="Footer">
    <w:name w:val="footer"/>
    <w:link w:val="FooterChar"/>
    <w:uiPriority w:val="99"/>
    <w:rsid w:val="002A6B05"/>
    <w:pPr>
      <w:pBdr>
        <w:top w:val="nil"/>
        <w:left w:val="nil"/>
        <w:bottom w:val="nil"/>
        <w:right w:val="nil"/>
        <w:between w:val="nil"/>
        <w:bar w:val="nil"/>
      </w:pBdr>
      <w:tabs>
        <w:tab w:val="center" w:pos="4513"/>
        <w:tab w:val="right" w:pos="9026"/>
      </w:tabs>
    </w:pPr>
    <w:rPr>
      <w:rFonts w:ascii="Cambria" w:eastAsia="Cambria" w:hAnsi="Cambria" w:cs="Cambria"/>
      <w:color w:val="000000"/>
      <w:u w:color="000000"/>
      <w:bdr w:val="nil"/>
      <w:lang w:val="en-US" w:eastAsia="es-ES"/>
    </w:rPr>
  </w:style>
  <w:style w:type="character" w:customStyle="1" w:styleId="FooterChar">
    <w:name w:val="Footer Char"/>
    <w:basedOn w:val="DefaultParagraphFont"/>
    <w:link w:val="Footer"/>
    <w:uiPriority w:val="99"/>
    <w:rsid w:val="002A6B05"/>
    <w:rPr>
      <w:rFonts w:ascii="Cambria" w:eastAsia="Cambria" w:hAnsi="Cambria" w:cs="Cambria"/>
      <w:color w:val="000000"/>
      <w:u w:color="000000"/>
      <w:bdr w:val="nil"/>
      <w:lang w:val="en-US" w:eastAsia="es-ES"/>
    </w:rPr>
  </w:style>
  <w:style w:type="paragraph" w:customStyle="1" w:styleId="Cuerpo">
    <w:name w:val="Cuerpo"/>
    <w:rsid w:val="002A6B05"/>
    <w:pPr>
      <w:pBdr>
        <w:top w:val="nil"/>
        <w:left w:val="nil"/>
        <w:bottom w:val="nil"/>
        <w:right w:val="nil"/>
        <w:between w:val="nil"/>
        <w:bar w:val="nil"/>
      </w:pBdr>
    </w:pPr>
    <w:rPr>
      <w:rFonts w:ascii="Cambria" w:eastAsia="Cambria" w:hAnsi="Cambria" w:cs="Cambria"/>
      <w:color w:val="000000"/>
      <w:u w:color="000000"/>
      <w:bdr w:val="nil"/>
      <w:lang w:val="es-ES" w:eastAsia="es-ES"/>
    </w:rPr>
  </w:style>
  <w:style w:type="paragraph" w:styleId="BodyTextIndent">
    <w:name w:val="Body Text Indent"/>
    <w:link w:val="BodyTextIndentChar"/>
    <w:rsid w:val="002A6B05"/>
    <w:pPr>
      <w:pBdr>
        <w:top w:val="nil"/>
        <w:left w:val="nil"/>
        <w:bottom w:val="nil"/>
        <w:right w:val="nil"/>
        <w:between w:val="nil"/>
        <w:bar w:val="nil"/>
      </w:pBdr>
      <w:ind w:left="2160" w:hanging="720"/>
    </w:pPr>
    <w:rPr>
      <w:rFonts w:ascii="Times New Roman" w:eastAsia="Times New Roman" w:hAnsi="Times New Roman" w:cs="Times New Roman"/>
      <w:color w:val="000000"/>
      <w:u w:color="000000"/>
      <w:bdr w:val="nil"/>
      <w:lang w:val="es-ES_tradnl" w:eastAsia="es-ES"/>
    </w:rPr>
  </w:style>
  <w:style w:type="character" w:customStyle="1" w:styleId="BodyTextIndentChar">
    <w:name w:val="Body Text Indent Char"/>
    <w:basedOn w:val="DefaultParagraphFont"/>
    <w:link w:val="BodyTextIndent"/>
    <w:rsid w:val="002A6B05"/>
    <w:rPr>
      <w:rFonts w:ascii="Times New Roman" w:eastAsia="Times New Roman" w:hAnsi="Times New Roman" w:cs="Times New Roman"/>
      <w:color w:val="000000"/>
      <w:u w:color="000000"/>
      <w:bdr w:val="nil"/>
      <w:lang w:val="es-ES_tradnl" w:eastAsia="es-ES"/>
    </w:rPr>
  </w:style>
  <w:style w:type="paragraph" w:styleId="ListParagraph">
    <w:name w:val="List Paragraph"/>
    <w:aliases w:val="Colorful List - Accent 12,Footnote1,List Paragraph1,List Paragraph11,List Paragraph2,Lista vistosa - Énfasis 11,Parrafos,Párrafo de lista1,Subtle Emphasis1"/>
    <w:link w:val="ListParagraphChar"/>
    <w:qFormat/>
    <w:rsid w:val="002A6B05"/>
    <w:pPr>
      <w:pBdr>
        <w:top w:val="nil"/>
        <w:left w:val="nil"/>
        <w:bottom w:val="nil"/>
        <w:right w:val="nil"/>
        <w:between w:val="nil"/>
        <w:bar w:val="nil"/>
      </w:pBdr>
      <w:ind w:left="720"/>
    </w:pPr>
    <w:rPr>
      <w:rFonts w:ascii="Cambria" w:eastAsia="Cambria" w:hAnsi="Cambria" w:cs="Cambria"/>
      <w:color w:val="000000"/>
      <w:u w:color="000000"/>
      <w:bdr w:val="nil"/>
      <w:lang w:val="en-US" w:eastAsia="es-ES"/>
    </w:rPr>
  </w:style>
  <w:style w:type="numbering" w:customStyle="1" w:styleId="List0">
    <w:name w:val="List 0"/>
    <w:basedOn w:val="Estiloimportado1"/>
    <w:rsid w:val="002A6B05"/>
    <w:pPr>
      <w:numPr>
        <w:numId w:val="31"/>
      </w:numPr>
    </w:pPr>
  </w:style>
  <w:style w:type="numbering" w:customStyle="1" w:styleId="Estiloimportado1">
    <w:name w:val="Estilo importado 1"/>
    <w:rsid w:val="002A6B05"/>
  </w:style>
  <w:style w:type="numbering" w:customStyle="1" w:styleId="List1">
    <w:name w:val="List 1"/>
    <w:basedOn w:val="Estiloimportado2"/>
    <w:rsid w:val="002A6B05"/>
    <w:pPr>
      <w:numPr>
        <w:numId w:val="1"/>
      </w:numPr>
    </w:pPr>
  </w:style>
  <w:style w:type="numbering" w:customStyle="1" w:styleId="Estiloimportado2">
    <w:name w:val="Estilo importado 2"/>
    <w:rsid w:val="002A6B05"/>
  </w:style>
  <w:style w:type="numbering" w:customStyle="1" w:styleId="List21">
    <w:name w:val="List 21"/>
    <w:basedOn w:val="Estiloimportado3"/>
    <w:rsid w:val="002A6B05"/>
    <w:pPr>
      <w:numPr>
        <w:numId w:val="38"/>
      </w:numPr>
    </w:pPr>
  </w:style>
  <w:style w:type="numbering" w:customStyle="1" w:styleId="Estiloimportado3">
    <w:name w:val="Estilo importado 3"/>
    <w:rsid w:val="002A6B05"/>
  </w:style>
  <w:style w:type="numbering" w:customStyle="1" w:styleId="List31">
    <w:name w:val="List 31"/>
    <w:basedOn w:val="Estiloimportado4"/>
    <w:rsid w:val="002A6B05"/>
    <w:pPr>
      <w:numPr>
        <w:numId w:val="44"/>
      </w:numPr>
    </w:pPr>
  </w:style>
  <w:style w:type="numbering" w:customStyle="1" w:styleId="Estiloimportado4">
    <w:name w:val="Estilo importado 4"/>
    <w:rsid w:val="002A6B05"/>
  </w:style>
  <w:style w:type="numbering" w:customStyle="1" w:styleId="List41">
    <w:name w:val="List 41"/>
    <w:basedOn w:val="Estiloimportado5"/>
    <w:rsid w:val="002A6B05"/>
    <w:pPr>
      <w:numPr>
        <w:numId w:val="2"/>
      </w:numPr>
    </w:pPr>
  </w:style>
  <w:style w:type="numbering" w:customStyle="1" w:styleId="Estiloimportado5">
    <w:name w:val="Estilo importado 5"/>
    <w:rsid w:val="002A6B05"/>
  </w:style>
  <w:style w:type="numbering" w:customStyle="1" w:styleId="List51">
    <w:name w:val="List 51"/>
    <w:basedOn w:val="Estiloimportado6"/>
    <w:rsid w:val="002A6B05"/>
    <w:pPr>
      <w:numPr>
        <w:numId w:val="33"/>
      </w:numPr>
    </w:pPr>
  </w:style>
  <w:style w:type="numbering" w:customStyle="1" w:styleId="Estiloimportado6">
    <w:name w:val="Estilo importado 6"/>
    <w:rsid w:val="002A6B05"/>
  </w:style>
  <w:style w:type="numbering" w:customStyle="1" w:styleId="List6">
    <w:name w:val="List 6"/>
    <w:basedOn w:val="Estiloimportado7"/>
    <w:rsid w:val="002A6B05"/>
    <w:pPr>
      <w:numPr>
        <w:numId w:val="3"/>
      </w:numPr>
    </w:pPr>
  </w:style>
  <w:style w:type="numbering" w:customStyle="1" w:styleId="Estiloimportado7">
    <w:name w:val="Estilo importado 7"/>
    <w:rsid w:val="002A6B05"/>
  </w:style>
  <w:style w:type="numbering" w:customStyle="1" w:styleId="List7">
    <w:name w:val="List 7"/>
    <w:basedOn w:val="Estiloimportado8"/>
    <w:rsid w:val="002A6B05"/>
    <w:pPr>
      <w:numPr>
        <w:numId w:val="4"/>
      </w:numPr>
    </w:pPr>
  </w:style>
  <w:style w:type="numbering" w:customStyle="1" w:styleId="Estiloimportado8">
    <w:name w:val="Estilo importado 8"/>
    <w:rsid w:val="002A6B05"/>
  </w:style>
  <w:style w:type="numbering" w:customStyle="1" w:styleId="List8">
    <w:name w:val="List 8"/>
    <w:basedOn w:val="Estiloimportado9"/>
    <w:rsid w:val="002A6B05"/>
    <w:pPr>
      <w:numPr>
        <w:numId w:val="5"/>
      </w:numPr>
    </w:pPr>
  </w:style>
  <w:style w:type="numbering" w:customStyle="1" w:styleId="Estiloimportado9">
    <w:name w:val="Estilo importado 9"/>
    <w:rsid w:val="002A6B05"/>
  </w:style>
  <w:style w:type="numbering" w:customStyle="1" w:styleId="List9">
    <w:name w:val="List 9"/>
    <w:basedOn w:val="Estiloimportado10"/>
    <w:rsid w:val="002A6B05"/>
    <w:pPr>
      <w:numPr>
        <w:numId w:val="22"/>
      </w:numPr>
    </w:pPr>
  </w:style>
  <w:style w:type="numbering" w:customStyle="1" w:styleId="Estiloimportado10">
    <w:name w:val="Estilo importado 10"/>
    <w:rsid w:val="002A6B05"/>
  </w:style>
  <w:style w:type="numbering" w:customStyle="1" w:styleId="List10">
    <w:name w:val="List 10"/>
    <w:basedOn w:val="Estiloimportado11"/>
    <w:rsid w:val="002A6B05"/>
    <w:pPr>
      <w:numPr>
        <w:numId w:val="6"/>
      </w:numPr>
    </w:pPr>
  </w:style>
  <w:style w:type="numbering" w:customStyle="1" w:styleId="Estiloimportado11">
    <w:name w:val="Estilo importado 11"/>
    <w:rsid w:val="002A6B05"/>
  </w:style>
  <w:style w:type="numbering" w:customStyle="1" w:styleId="List11">
    <w:name w:val="List 11"/>
    <w:basedOn w:val="Estiloimportado12"/>
    <w:rsid w:val="002A6B05"/>
    <w:pPr>
      <w:numPr>
        <w:numId w:val="7"/>
      </w:numPr>
    </w:pPr>
  </w:style>
  <w:style w:type="numbering" w:customStyle="1" w:styleId="Estiloimportado12">
    <w:name w:val="Estilo importado 12"/>
    <w:rsid w:val="002A6B05"/>
  </w:style>
  <w:style w:type="numbering" w:customStyle="1" w:styleId="List12">
    <w:name w:val="List 12"/>
    <w:basedOn w:val="Estiloimportado13"/>
    <w:rsid w:val="002A6B05"/>
    <w:pPr>
      <w:numPr>
        <w:numId w:val="36"/>
      </w:numPr>
    </w:pPr>
  </w:style>
  <w:style w:type="numbering" w:customStyle="1" w:styleId="Estiloimportado13">
    <w:name w:val="Estilo importado 13"/>
    <w:rsid w:val="002A6B05"/>
  </w:style>
  <w:style w:type="numbering" w:customStyle="1" w:styleId="List13">
    <w:name w:val="List 13"/>
    <w:basedOn w:val="Estiloimportado14"/>
    <w:rsid w:val="002A6B05"/>
    <w:pPr>
      <w:numPr>
        <w:numId w:val="42"/>
      </w:numPr>
    </w:pPr>
  </w:style>
  <w:style w:type="numbering" w:customStyle="1" w:styleId="Estiloimportado14">
    <w:name w:val="Estilo importado 14"/>
    <w:rsid w:val="002A6B05"/>
  </w:style>
  <w:style w:type="numbering" w:customStyle="1" w:styleId="List14">
    <w:name w:val="List 14"/>
    <w:basedOn w:val="Estiloimportado15"/>
    <w:rsid w:val="002A6B05"/>
    <w:pPr>
      <w:numPr>
        <w:numId w:val="17"/>
      </w:numPr>
    </w:pPr>
  </w:style>
  <w:style w:type="numbering" w:customStyle="1" w:styleId="Estiloimportado15">
    <w:name w:val="Estilo importado 15"/>
    <w:rsid w:val="002A6B05"/>
  </w:style>
  <w:style w:type="numbering" w:customStyle="1" w:styleId="List15">
    <w:name w:val="List 15"/>
    <w:basedOn w:val="Estiloimportado16"/>
    <w:rsid w:val="002A6B05"/>
    <w:pPr>
      <w:numPr>
        <w:numId w:val="16"/>
      </w:numPr>
    </w:pPr>
  </w:style>
  <w:style w:type="numbering" w:customStyle="1" w:styleId="Estiloimportado16">
    <w:name w:val="Estilo importado 16"/>
    <w:rsid w:val="002A6B05"/>
  </w:style>
  <w:style w:type="numbering" w:customStyle="1" w:styleId="List16">
    <w:name w:val="List 16"/>
    <w:basedOn w:val="Estiloimportado16"/>
    <w:rsid w:val="002A6B05"/>
    <w:pPr>
      <w:numPr>
        <w:numId w:val="10"/>
      </w:numPr>
    </w:pPr>
  </w:style>
  <w:style w:type="numbering" w:customStyle="1" w:styleId="List17">
    <w:name w:val="List 17"/>
    <w:basedOn w:val="Estiloimportado17"/>
    <w:rsid w:val="002A6B05"/>
    <w:pPr>
      <w:numPr>
        <w:numId w:val="25"/>
      </w:numPr>
    </w:pPr>
  </w:style>
  <w:style w:type="numbering" w:customStyle="1" w:styleId="Estiloimportado17">
    <w:name w:val="Estilo importado 17"/>
    <w:rsid w:val="002A6B05"/>
  </w:style>
  <w:style w:type="numbering" w:customStyle="1" w:styleId="List18">
    <w:name w:val="List 18"/>
    <w:basedOn w:val="Estiloimportado18"/>
    <w:rsid w:val="002A6B05"/>
    <w:pPr>
      <w:numPr>
        <w:numId w:val="27"/>
      </w:numPr>
    </w:pPr>
  </w:style>
  <w:style w:type="numbering" w:customStyle="1" w:styleId="Estiloimportado18">
    <w:name w:val="Estilo importado 18"/>
    <w:rsid w:val="002A6B05"/>
  </w:style>
  <w:style w:type="numbering" w:customStyle="1" w:styleId="List19">
    <w:name w:val="List 19"/>
    <w:basedOn w:val="Estiloimportado10"/>
    <w:rsid w:val="002A6B05"/>
    <w:pPr>
      <w:numPr>
        <w:numId w:val="19"/>
      </w:numPr>
    </w:pPr>
  </w:style>
  <w:style w:type="numbering" w:customStyle="1" w:styleId="List20">
    <w:name w:val="List 20"/>
    <w:basedOn w:val="Estiloimportado12"/>
    <w:rsid w:val="002A6B05"/>
    <w:pPr>
      <w:numPr>
        <w:numId w:val="43"/>
      </w:numPr>
    </w:pPr>
  </w:style>
  <w:style w:type="numbering" w:customStyle="1" w:styleId="Estiloimportado19">
    <w:name w:val="Estilo importado 19"/>
    <w:rsid w:val="002A6B05"/>
  </w:style>
  <w:style w:type="numbering" w:customStyle="1" w:styleId="List22">
    <w:name w:val="List 22"/>
    <w:basedOn w:val="Estiloimportado19"/>
    <w:rsid w:val="002A6B05"/>
    <w:pPr>
      <w:numPr>
        <w:numId w:val="28"/>
      </w:numPr>
    </w:pPr>
  </w:style>
  <w:style w:type="numbering" w:customStyle="1" w:styleId="List23">
    <w:name w:val="List 23"/>
    <w:basedOn w:val="Estiloimportado19"/>
    <w:rsid w:val="002A6B05"/>
    <w:pPr>
      <w:numPr>
        <w:numId w:val="18"/>
      </w:numPr>
    </w:pPr>
  </w:style>
  <w:style w:type="numbering" w:customStyle="1" w:styleId="List24">
    <w:name w:val="List 24"/>
    <w:basedOn w:val="Estiloimportado20"/>
    <w:rsid w:val="002A6B05"/>
    <w:pPr>
      <w:numPr>
        <w:numId w:val="13"/>
      </w:numPr>
    </w:pPr>
  </w:style>
  <w:style w:type="numbering" w:customStyle="1" w:styleId="Estiloimportado20">
    <w:name w:val="Estilo importado 20"/>
    <w:rsid w:val="002A6B05"/>
  </w:style>
  <w:style w:type="numbering" w:customStyle="1" w:styleId="List25">
    <w:name w:val="List 25"/>
    <w:basedOn w:val="Estiloimportado21"/>
    <w:rsid w:val="002A6B05"/>
    <w:pPr>
      <w:numPr>
        <w:numId w:val="15"/>
      </w:numPr>
    </w:pPr>
  </w:style>
  <w:style w:type="numbering" w:customStyle="1" w:styleId="Estiloimportado21">
    <w:name w:val="Estilo importado 21"/>
    <w:rsid w:val="002A6B05"/>
  </w:style>
  <w:style w:type="numbering" w:customStyle="1" w:styleId="List26">
    <w:name w:val="List 26"/>
    <w:basedOn w:val="Estiloimportado22"/>
    <w:rsid w:val="002A6B05"/>
    <w:pPr>
      <w:numPr>
        <w:numId w:val="48"/>
      </w:numPr>
    </w:pPr>
  </w:style>
  <w:style w:type="numbering" w:customStyle="1" w:styleId="Estiloimportado22">
    <w:name w:val="Estilo importado 22"/>
    <w:rsid w:val="002A6B05"/>
  </w:style>
  <w:style w:type="numbering" w:customStyle="1" w:styleId="List27">
    <w:name w:val="List 27"/>
    <w:basedOn w:val="Estiloimportado23"/>
    <w:rsid w:val="002A6B05"/>
    <w:pPr>
      <w:numPr>
        <w:numId w:val="41"/>
      </w:numPr>
    </w:pPr>
  </w:style>
  <w:style w:type="numbering" w:customStyle="1" w:styleId="Estiloimportado23">
    <w:name w:val="Estilo importado 23"/>
    <w:rsid w:val="002A6B05"/>
  </w:style>
  <w:style w:type="numbering" w:customStyle="1" w:styleId="List28">
    <w:name w:val="List 28"/>
    <w:basedOn w:val="Estiloimportado24"/>
    <w:rsid w:val="002A6B05"/>
    <w:pPr>
      <w:numPr>
        <w:numId w:val="30"/>
      </w:numPr>
    </w:pPr>
  </w:style>
  <w:style w:type="numbering" w:customStyle="1" w:styleId="Estiloimportado24">
    <w:name w:val="Estilo importado 24"/>
    <w:rsid w:val="002A6B05"/>
  </w:style>
  <w:style w:type="numbering" w:customStyle="1" w:styleId="List29">
    <w:name w:val="List 29"/>
    <w:basedOn w:val="Estiloimportado25"/>
    <w:rsid w:val="002A6B05"/>
    <w:pPr>
      <w:numPr>
        <w:numId w:val="34"/>
      </w:numPr>
    </w:pPr>
  </w:style>
  <w:style w:type="numbering" w:customStyle="1" w:styleId="Estiloimportado25">
    <w:name w:val="Estilo importado 25"/>
    <w:rsid w:val="002A6B05"/>
  </w:style>
  <w:style w:type="numbering" w:customStyle="1" w:styleId="List30">
    <w:name w:val="List 30"/>
    <w:basedOn w:val="Estiloimportado26"/>
    <w:rsid w:val="002A6B05"/>
    <w:pPr>
      <w:numPr>
        <w:numId w:val="32"/>
      </w:numPr>
    </w:pPr>
  </w:style>
  <w:style w:type="numbering" w:customStyle="1" w:styleId="Estiloimportado26">
    <w:name w:val="Estilo importado 26"/>
    <w:rsid w:val="002A6B05"/>
  </w:style>
  <w:style w:type="numbering" w:customStyle="1" w:styleId="Estiloimportado27">
    <w:name w:val="Estilo importado 27"/>
    <w:rsid w:val="002A6B05"/>
  </w:style>
  <w:style w:type="numbering" w:customStyle="1" w:styleId="List32">
    <w:name w:val="List 32"/>
    <w:basedOn w:val="Estiloimportado28"/>
    <w:rsid w:val="002A6B05"/>
    <w:pPr>
      <w:numPr>
        <w:numId w:val="47"/>
      </w:numPr>
    </w:pPr>
  </w:style>
  <w:style w:type="numbering" w:customStyle="1" w:styleId="Estiloimportado28">
    <w:name w:val="Estilo importado 28"/>
    <w:rsid w:val="002A6B05"/>
  </w:style>
  <w:style w:type="paragraph" w:styleId="FootnoteText">
    <w:name w:val="footnote text"/>
    <w:aliases w:val="Ca,FA Fu,FA Fußnotentext,FA Fuﬂnotentext,Footnote Text Cha,Footnote Text Char Char,Footnote Text Char Char Char,Footnote Text Char Char Char Char,Footnote Text Char Char Char Char Char,Footnote reference,Texto nota pie Car,footnote text"/>
    <w:link w:val="FootnoteTextChar"/>
    <w:uiPriority w:val="99"/>
    <w:qFormat/>
    <w:rsid w:val="002A6B05"/>
    <w:pPr>
      <w:pBdr>
        <w:top w:val="nil"/>
        <w:left w:val="nil"/>
        <w:bottom w:val="nil"/>
        <w:right w:val="nil"/>
        <w:between w:val="nil"/>
        <w:bar w:val="nil"/>
      </w:pBdr>
    </w:pPr>
    <w:rPr>
      <w:rFonts w:ascii="Calibri" w:eastAsia="Calibri" w:hAnsi="Calibri" w:cs="Calibri"/>
      <w:color w:val="000000"/>
      <w:sz w:val="20"/>
      <w:szCs w:val="20"/>
      <w:u w:color="000000"/>
      <w:bdr w:val="nil"/>
      <w:lang w:val="en-US" w:eastAsia="es-ES"/>
    </w:rPr>
  </w:style>
  <w:style w:type="character" w:customStyle="1" w:styleId="FootnoteTextChar">
    <w:name w:val="Footnote Text Char"/>
    <w:aliases w:val="Ca Char,FA Fu Char,FA Fußnotentext Char,FA Fuﬂnotentext Char,Footnote Text Cha Char,Footnote Text Char Char Char1,Footnote Text Char Char Char Char1,Footnote Text Char Char Char Char Char1,Footnote Text Char Char Char Char Char Char"/>
    <w:basedOn w:val="DefaultParagraphFont"/>
    <w:link w:val="FootnoteText"/>
    <w:uiPriority w:val="99"/>
    <w:qFormat/>
    <w:rsid w:val="002A6B05"/>
    <w:rPr>
      <w:rFonts w:ascii="Calibri" w:eastAsia="Calibri" w:hAnsi="Calibri" w:cs="Calibri"/>
      <w:color w:val="000000"/>
      <w:sz w:val="20"/>
      <w:szCs w:val="20"/>
      <w:u w:color="000000"/>
      <w:bdr w:val="nil"/>
      <w:lang w:val="en-US" w:eastAsia="es-ES"/>
    </w:rPr>
  </w:style>
  <w:style w:type="numbering" w:customStyle="1" w:styleId="List33">
    <w:name w:val="List 33"/>
    <w:basedOn w:val="Estiloimportado29"/>
    <w:rsid w:val="002A6B05"/>
    <w:pPr>
      <w:numPr>
        <w:numId w:val="26"/>
      </w:numPr>
    </w:pPr>
  </w:style>
  <w:style w:type="numbering" w:customStyle="1" w:styleId="Estiloimportado29">
    <w:name w:val="Estilo importado 29"/>
    <w:rsid w:val="002A6B05"/>
  </w:style>
  <w:style w:type="numbering" w:customStyle="1" w:styleId="List34">
    <w:name w:val="List 34"/>
    <w:basedOn w:val="Estiloimportado30"/>
    <w:rsid w:val="002A6B05"/>
    <w:pPr>
      <w:numPr>
        <w:numId w:val="11"/>
      </w:numPr>
    </w:pPr>
  </w:style>
  <w:style w:type="numbering" w:customStyle="1" w:styleId="Estiloimportado30">
    <w:name w:val="Estilo importado 30"/>
    <w:rsid w:val="002A6B05"/>
  </w:style>
  <w:style w:type="numbering" w:customStyle="1" w:styleId="List35">
    <w:name w:val="List 35"/>
    <w:basedOn w:val="Estiloimportado31"/>
    <w:rsid w:val="002A6B05"/>
    <w:pPr>
      <w:numPr>
        <w:numId w:val="8"/>
      </w:numPr>
    </w:pPr>
  </w:style>
  <w:style w:type="numbering" w:customStyle="1" w:styleId="Estiloimportado31">
    <w:name w:val="Estilo importado 31"/>
    <w:rsid w:val="002A6B05"/>
  </w:style>
  <w:style w:type="numbering" w:customStyle="1" w:styleId="List36">
    <w:name w:val="List 36"/>
    <w:basedOn w:val="Estiloimportado32"/>
    <w:rsid w:val="002A6B05"/>
    <w:pPr>
      <w:numPr>
        <w:numId w:val="14"/>
      </w:numPr>
    </w:pPr>
  </w:style>
  <w:style w:type="numbering" w:customStyle="1" w:styleId="Estiloimportado32">
    <w:name w:val="Estilo importado 32"/>
    <w:rsid w:val="002A6B05"/>
  </w:style>
  <w:style w:type="numbering" w:customStyle="1" w:styleId="List37">
    <w:name w:val="List 37"/>
    <w:basedOn w:val="Estiloimportado33"/>
    <w:rsid w:val="002A6B05"/>
    <w:pPr>
      <w:numPr>
        <w:numId w:val="46"/>
      </w:numPr>
    </w:pPr>
  </w:style>
  <w:style w:type="numbering" w:customStyle="1" w:styleId="Estiloimportado33">
    <w:name w:val="Estilo importado 33"/>
    <w:rsid w:val="002A6B05"/>
  </w:style>
  <w:style w:type="numbering" w:customStyle="1" w:styleId="List38">
    <w:name w:val="List 38"/>
    <w:basedOn w:val="Estiloimportado34"/>
    <w:rsid w:val="002A6B05"/>
    <w:pPr>
      <w:numPr>
        <w:numId w:val="35"/>
      </w:numPr>
    </w:pPr>
  </w:style>
  <w:style w:type="numbering" w:customStyle="1" w:styleId="Estiloimportado34">
    <w:name w:val="Estilo importado 34"/>
    <w:rsid w:val="002A6B05"/>
  </w:style>
  <w:style w:type="numbering" w:customStyle="1" w:styleId="List39">
    <w:name w:val="List 39"/>
    <w:basedOn w:val="Estiloimportado35"/>
    <w:rsid w:val="002A6B05"/>
    <w:pPr>
      <w:numPr>
        <w:numId w:val="45"/>
      </w:numPr>
    </w:pPr>
  </w:style>
  <w:style w:type="numbering" w:customStyle="1" w:styleId="Estiloimportado35">
    <w:name w:val="Estilo importado 35"/>
    <w:rsid w:val="002A6B05"/>
  </w:style>
  <w:style w:type="numbering" w:customStyle="1" w:styleId="List40">
    <w:name w:val="List 40"/>
    <w:basedOn w:val="Estiloimportado36"/>
    <w:rsid w:val="002A6B05"/>
    <w:pPr>
      <w:numPr>
        <w:numId w:val="21"/>
      </w:numPr>
    </w:pPr>
  </w:style>
  <w:style w:type="numbering" w:customStyle="1" w:styleId="Estiloimportado36">
    <w:name w:val="Estilo importado 36"/>
    <w:rsid w:val="002A6B05"/>
  </w:style>
  <w:style w:type="numbering" w:customStyle="1" w:styleId="Estiloimportado37">
    <w:name w:val="Estilo importado 37"/>
    <w:rsid w:val="002A6B05"/>
  </w:style>
  <w:style w:type="numbering" w:customStyle="1" w:styleId="List42">
    <w:name w:val="List 42"/>
    <w:basedOn w:val="Estiloimportado12"/>
    <w:rsid w:val="002A6B05"/>
    <w:pPr>
      <w:numPr>
        <w:numId w:val="12"/>
      </w:numPr>
    </w:pPr>
  </w:style>
  <w:style w:type="numbering" w:customStyle="1" w:styleId="List43">
    <w:name w:val="List 43"/>
    <w:basedOn w:val="Estiloimportado38"/>
    <w:rsid w:val="002A6B05"/>
    <w:pPr>
      <w:numPr>
        <w:numId w:val="23"/>
      </w:numPr>
    </w:pPr>
  </w:style>
  <w:style w:type="numbering" w:customStyle="1" w:styleId="Estiloimportado38">
    <w:name w:val="Estilo importado 38"/>
    <w:rsid w:val="002A6B05"/>
  </w:style>
  <w:style w:type="numbering" w:customStyle="1" w:styleId="List44">
    <w:name w:val="List 44"/>
    <w:basedOn w:val="Estiloimportado39"/>
    <w:rsid w:val="002A6B05"/>
    <w:pPr>
      <w:numPr>
        <w:numId w:val="40"/>
      </w:numPr>
    </w:pPr>
  </w:style>
  <w:style w:type="numbering" w:customStyle="1" w:styleId="Estiloimportado39">
    <w:name w:val="Estilo importado 39"/>
    <w:rsid w:val="002A6B05"/>
  </w:style>
  <w:style w:type="numbering" w:customStyle="1" w:styleId="List45">
    <w:name w:val="List 45"/>
    <w:basedOn w:val="Estiloimportado40"/>
    <w:rsid w:val="002A6B05"/>
    <w:pPr>
      <w:numPr>
        <w:numId w:val="20"/>
      </w:numPr>
    </w:pPr>
  </w:style>
  <w:style w:type="numbering" w:customStyle="1" w:styleId="Estiloimportado40">
    <w:name w:val="Estilo importado 40"/>
    <w:rsid w:val="002A6B05"/>
  </w:style>
  <w:style w:type="numbering" w:customStyle="1" w:styleId="List46">
    <w:name w:val="List 46"/>
    <w:basedOn w:val="Estiloimportado41"/>
    <w:rsid w:val="002A6B05"/>
    <w:pPr>
      <w:numPr>
        <w:numId w:val="24"/>
      </w:numPr>
    </w:pPr>
  </w:style>
  <w:style w:type="numbering" w:customStyle="1" w:styleId="Estiloimportado41">
    <w:name w:val="Estilo importado 41"/>
    <w:rsid w:val="002A6B05"/>
  </w:style>
  <w:style w:type="numbering" w:customStyle="1" w:styleId="List47">
    <w:name w:val="List 47"/>
    <w:basedOn w:val="Estiloimportado42"/>
    <w:rsid w:val="002A6B05"/>
    <w:pPr>
      <w:numPr>
        <w:numId w:val="29"/>
      </w:numPr>
    </w:pPr>
  </w:style>
  <w:style w:type="numbering" w:customStyle="1" w:styleId="Estiloimportado42">
    <w:name w:val="Estilo importado 42"/>
    <w:rsid w:val="002A6B05"/>
  </w:style>
  <w:style w:type="numbering" w:customStyle="1" w:styleId="List48">
    <w:name w:val="List 48"/>
    <w:basedOn w:val="Estiloimportado43"/>
    <w:rsid w:val="002A6B05"/>
    <w:pPr>
      <w:numPr>
        <w:numId w:val="49"/>
      </w:numPr>
    </w:pPr>
  </w:style>
  <w:style w:type="numbering" w:customStyle="1" w:styleId="Estiloimportado43">
    <w:name w:val="Estilo importado 43"/>
    <w:rsid w:val="002A6B05"/>
  </w:style>
  <w:style w:type="numbering" w:customStyle="1" w:styleId="List49">
    <w:name w:val="List 49"/>
    <w:basedOn w:val="Estiloimportado44"/>
    <w:rsid w:val="002A6B05"/>
    <w:pPr>
      <w:numPr>
        <w:numId w:val="39"/>
      </w:numPr>
    </w:pPr>
  </w:style>
  <w:style w:type="numbering" w:customStyle="1" w:styleId="Estiloimportado44">
    <w:name w:val="Estilo importado 44"/>
    <w:rsid w:val="002A6B05"/>
  </w:style>
  <w:style w:type="numbering" w:customStyle="1" w:styleId="List50">
    <w:name w:val="List 50"/>
    <w:basedOn w:val="Estiloimportado45"/>
    <w:rsid w:val="002A6B05"/>
    <w:pPr>
      <w:numPr>
        <w:numId w:val="37"/>
      </w:numPr>
    </w:pPr>
  </w:style>
  <w:style w:type="numbering" w:customStyle="1" w:styleId="Estiloimportado45">
    <w:name w:val="Estilo importado 45"/>
    <w:rsid w:val="002A6B05"/>
  </w:style>
  <w:style w:type="numbering" w:customStyle="1" w:styleId="Estiloimportado46">
    <w:name w:val="Estilo importado 46"/>
    <w:rsid w:val="002A6B05"/>
  </w:style>
  <w:style w:type="numbering" w:customStyle="1" w:styleId="List52">
    <w:name w:val="List 52"/>
    <w:basedOn w:val="Estiloimportado1"/>
    <w:rsid w:val="002A6B05"/>
    <w:pPr>
      <w:numPr>
        <w:numId w:val="9"/>
      </w:numPr>
    </w:pPr>
  </w:style>
  <w:style w:type="paragraph" w:styleId="BalloonText">
    <w:name w:val="Balloon Text"/>
    <w:basedOn w:val="Normal"/>
    <w:link w:val="BalloonTextChar"/>
    <w:uiPriority w:val="99"/>
    <w:semiHidden/>
    <w:unhideWhenUsed/>
    <w:rsid w:val="002A6B05"/>
    <w:rPr>
      <w:rFonts w:ascii="Tahoma" w:hAnsi="Tahoma" w:cs="Tahoma"/>
      <w:sz w:val="16"/>
      <w:szCs w:val="16"/>
    </w:rPr>
  </w:style>
  <w:style w:type="character" w:customStyle="1" w:styleId="BalloonTextChar">
    <w:name w:val="Balloon Text Char"/>
    <w:basedOn w:val="DefaultParagraphFont"/>
    <w:link w:val="BalloonText"/>
    <w:uiPriority w:val="99"/>
    <w:semiHidden/>
    <w:rsid w:val="002A6B05"/>
    <w:rPr>
      <w:rFonts w:ascii="Tahoma" w:eastAsia="Arial Unicode MS" w:hAnsi="Tahoma" w:cs="Tahoma"/>
      <w:sz w:val="16"/>
      <w:szCs w:val="16"/>
      <w:bdr w:val="nil"/>
      <w:lang w:val="en-US" w:eastAsia="en-US"/>
    </w:rPr>
  </w:style>
  <w:style w:type="paragraph" w:styleId="Header">
    <w:name w:val="header"/>
    <w:aliases w:val="encabezado"/>
    <w:basedOn w:val="Normal"/>
    <w:link w:val="HeaderChar"/>
    <w:rsid w:val="002A6B05"/>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snapToGrid w:val="0"/>
    </w:pPr>
    <w:rPr>
      <w:rFonts w:ascii="Univers" w:eastAsia="Times New Roman" w:hAnsi="Univers" w:cs="Univers"/>
      <w:bdr w:val="none" w:sz="0" w:space="0" w:color="auto"/>
    </w:rPr>
  </w:style>
  <w:style w:type="character" w:customStyle="1" w:styleId="HeaderChar">
    <w:name w:val="Header Char"/>
    <w:aliases w:val="encabezado Char"/>
    <w:basedOn w:val="DefaultParagraphFont"/>
    <w:link w:val="Header"/>
    <w:rsid w:val="002A6B05"/>
    <w:rPr>
      <w:rFonts w:ascii="Univers" w:eastAsia="Times New Roman" w:hAnsi="Univers" w:cs="Univers"/>
      <w:lang w:val="en-US" w:eastAsia="en-US"/>
    </w:rPr>
  </w:style>
  <w:style w:type="table" w:styleId="MediumShading1-Accent1">
    <w:name w:val="Medium Shading 1 Accent 1"/>
    <w:basedOn w:val="TableNormal"/>
    <w:uiPriority w:val="63"/>
    <w:rsid w:val="002A6B05"/>
    <w:pPr>
      <w:pBdr>
        <w:top w:val="nil"/>
        <w:left w:val="nil"/>
        <w:bottom w:val="nil"/>
        <w:right w:val="nil"/>
        <w:between w:val="nil"/>
        <w:bar w:val="nil"/>
      </w:pBdr>
    </w:pPr>
    <w:rPr>
      <w:rFonts w:ascii="Times New Roman" w:eastAsia="Arial Unicode MS" w:hAnsi="Times New Roman" w:cs="Times New Roman"/>
      <w:sz w:val="20"/>
      <w:szCs w:val="20"/>
      <w:bdr w:val="nil"/>
      <w:lang w:val="es-ES" w:eastAsia="es-ES"/>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paragraph" w:styleId="TOC2">
    <w:name w:val="toc 2"/>
    <w:basedOn w:val="Normal"/>
    <w:next w:val="Normal"/>
    <w:autoRedefine/>
    <w:uiPriority w:val="39"/>
    <w:unhideWhenUsed/>
    <w:rsid w:val="002A6B05"/>
    <w:pPr>
      <w:tabs>
        <w:tab w:val="left" w:pos="1440"/>
        <w:tab w:val="right" w:leader="dot" w:pos="9350"/>
      </w:tabs>
      <w:spacing w:after="100"/>
      <w:ind w:left="1440" w:hanging="720"/>
      <w:jc w:val="both"/>
    </w:pPr>
    <w:rPr>
      <w:rFonts w:ascii="Cambria" w:eastAsia="Cambria" w:hAnsi="Cambria"/>
      <w:noProof/>
      <w:sz w:val="20"/>
      <w:szCs w:val="20"/>
      <w:u w:color="000000"/>
      <w:lang w:val="es-ES_tradnl" w:eastAsia="es-ES"/>
    </w:rPr>
  </w:style>
  <w:style w:type="paragraph" w:styleId="TOC1">
    <w:name w:val="toc 1"/>
    <w:basedOn w:val="Normal"/>
    <w:next w:val="Normal"/>
    <w:autoRedefine/>
    <w:uiPriority w:val="39"/>
    <w:unhideWhenUsed/>
    <w:rsid w:val="002A6B05"/>
    <w:pPr>
      <w:tabs>
        <w:tab w:val="left" w:pos="1440"/>
        <w:tab w:val="right" w:leader="dot" w:pos="9350"/>
      </w:tabs>
      <w:spacing w:after="100"/>
    </w:pPr>
    <w:rPr>
      <w:rFonts w:ascii="Cambria" w:eastAsia="Yu Gothic Light" w:hAnsi="Cambria"/>
      <w:b/>
      <w:bCs/>
      <w:noProof/>
      <w:sz w:val="20"/>
      <w:szCs w:val="20"/>
      <w:lang w:val="es-VE"/>
    </w:rPr>
  </w:style>
  <w:style w:type="paragraph" w:styleId="TOC3">
    <w:name w:val="toc 3"/>
    <w:basedOn w:val="Normal"/>
    <w:next w:val="Normal"/>
    <w:autoRedefine/>
    <w:uiPriority w:val="39"/>
    <w:unhideWhenUsed/>
    <w:rsid w:val="00323049"/>
    <w:pPr>
      <w:tabs>
        <w:tab w:val="left" w:pos="880"/>
        <w:tab w:val="left" w:pos="1701"/>
        <w:tab w:val="right" w:leader="dot" w:pos="9350"/>
      </w:tabs>
      <w:spacing w:after="100"/>
      <w:ind w:left="2160" w:hanging="720"/>
    </w:pPr>
  </w:style>
  <w:style w:type="paragraph" w:styleId="TOC4">
    <w:name w:val="toc 4"/>
    <w:basedOn w:val="Normal"/>
    <w:next w:val="Normal"/>
    <w:autoRedefine/>
    <w:uiPriority w:val="39"/>
    <w:unhideWhenUsed/>
    <w:rsid w:val="002A6B05"/>
    <w:pPr>
      <w:spacing w:after="100"/>
      <w:ind w:left="720"/>
    </w:pPr>
  </w:style>
  <w:style w:type="character" w:styleId="PageNumber">
    <w:name w:val="page number"/>
    <w:basedOn w:val="DefaultParagraphFont"/>
    <w:rsid w:val="002A6B05"/>
  </w:style>
  <w:style w:type="character" w:styleId="FootnoteReference">
    <w:name w:val="footnote reference"/>
    <w:aliases w:val="16 Point,4_G,Appel note de bas de page,BVI fnr,Footnote,Footnote number,Footnote symbol,Footnotes refss,R,Ref,Ref. de nota al pi,Ref. de nota al pie.,Superscript 6 Point,Texto de nota al pie,Texto nota al pie,f,referencia nota al pie"/>
    <w:basedOn w:val="DefaultParagraphFont"/>
    <w:link w:val="1"/>
    <w:uiPriority w:val="99"/>
    <w:unhideWhenUsed/>
    <w:qFormat/>
    <w:rsid w:val="002A6B05"/>
    <w:rPr>
      <w:vertAlign w:val="superscript"/>
    </w:rPr>
  </w:style>
  <w:style w:type="paragraph" w:styleId="BodyTextIndent2">
    <w:name w:val="Body Text Indent 2"/>
    <w:basedOn w:val="Normal"/>
    <w:link w:val="BodyTextIndent2Char"/>
    <w:uiPriority w:val="99"/>
    <w:semiHidden/>
    <w:unhideWhenUsed/>
    <w:rsid w:val="002A6B05"/>
    <w:pPr>
      <w:spacing w:after="120" w:line="480" w:lineRule="auto"/>
      <w:ind w:left="360"/>
    </w:pPr>
  </w:style>
  <w:style w:type="character" w:customStyle="1" w:styleId="BodyTextIndent2Char">
    <w:name w:val="Body Text Indent 2 Char"/>
    <w:basedOn w:val="DefaultParagraphFont"/>
    <w:link w:val="BodyTextIndent2"/>
    <w:uiPriority w:val="99"/>
    <w:semiHidden/>
    <w:rsid w:val="002A6B05"/>
    <w:rPr>
      <w:rFonts w:ascii="Times New Roman" w:eastAsia="Arial Unicode MS" w:hAnsi="Times New Roman" w:cs="Times New Roman"/>
      <w:bdr w:val="nil"/>
      <w:lang w:val="en-US" w:eastAsia="en-US"/>
    </w:rPr>
  </w:style>
  <w:style w:type="paragraph" w:styleId="BodyText">
    <w:name w:val="Body Text"/>
    <w:basedOn w:val="Normal"/>
    <w:link w:val="BodyTextChar"/>
    <w:uiPriority w:val="99"/>
    <w:semiHidden/>
    <w:unhideWhenUsed/>
    <w:rsid w:val="002A6B05"/>
    <w:pPr>
      <w:spacing w:after="120"/>
    </w:pPr>
  </w:style>
  <w:style w:type="character" w:customStyle="1" w:styleId="BodyTextChar">
    <w:name w:val="Body Text Char"/>
    <w:basedOn w:val="DefaultParagraphFont"/>
    <w:link w:val="BodyText"/>
    <w:uiPriority w:val="99"/>
    <w:semiHidden/>
    <w:rsid w:val="002A6B05"/>
    <w:rPr>
      <w:rFonts w:ascii="Times New Roman" w:eastAsia="Arial Unicode MS" w:hAnsi="Times New Roman" w:cs="Times New Roman"/>
      <w:bdr w:val="nil"/>
      <w:lang w:val="en-US" w:eastAsia="en-US"/>
    </w:rPr>
  </w:style>
  <w:style w:type="paragraph" w:customStyle="1" w:styleId="Default">
    <w:name w:val="Default"/>
    <w:link w:val="DefaultChar"/>
    <w:rsid w:val="002A6B05"/>
    <w:pPr>
      <w:autoSpaceDE w:val="0"/>
      <w:autoSpaceDN w:val="0"/>
      <w:adjustRightInd w:val="0"/>
    </w:pPr>
    <w:rPr>
      <w:rFonts w:ascii="Times New Roman" w:eastAsia="Times New Roman" w:hAnsi="Times New Roman" w:cs="Times New Roman"/>
      <w:color w:val="000000"/>
      <w:lang w:val="en-US" w:eastAsia="en-US"/>
    </w:rPr>
  </w:style>
  <w:style w:type="paragraph" w:styleId="EndnoteText">
    <w:name w:val="endnote text"/>
    <w:basedOn w:val="Normal"/>
    <w:link w:val="EndnoteTextChar"/>
    <w:rsid w:val="002A6B0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EndnoteTextChar">
    <w:name w:val="Endnote Text Char"/>
    <w:basedOn w:val="DefaultParagraphFont"/>
    <w:link w:val="EndnoteText"/>
    <w:rsid w:val="002A6B05"/>
    <w:rPr>
      <w:rFonts w:ascii="Times New Roman" w:eastAsia="Times New Roman" w:hAnsi="Times New Roman" w:cs="Times New Roman"/>
      <w:lang w:val="en-US" w:eastAsia="en-US"/>
    </w:rPr>
  </w:style>
  <w:style w:type="character" w:customStyle="1" w:styleId="DefaultChar">
    <w:name w:val="Default Char"/>
    <w:link w:val="Default"/>
    <w:rsid w:val="002A6B05"/>
    <w:rPr>
      <w:rFonts w:ascii="Times New Roman" w:eastAsia="Times New Roman" w:hAnsi="Times New Roman" w:cs="Times New Roman"/>
      <w:color w:val="000000"/>
      <w:lang w:val="en-US" w:eastAsia="en-US"/>
    </w:rPr>
  </w:style>
  <w:style w:type="paragraph" w:styleId="TOCHeading">
    <w:name w:val="TOC Heading"/>
    <w:basedOn w:val="Heading1"/>
    <w:next w:val="Normal"/>
    <w:uiPriority w:val="39"/>
    <w:unhideWhenUsed/>
    <w:qFormat/>
    <w:rsid w:val="002A6B05"/>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outlineLvl w:val="9"/>
    </w:pPr>
    <w:rPr>
      <w:bdr w:val="none" w:sz="0" w:space="0" w:color="auto"/>
      <w:lang w:eastAsia="ja-JP"/>
    </w:rPr>
  </w:style>
  <w:style w:type="character" w:customStyle="1" w:styleId="ListParagraphChar">
    <w:name w:val="List Paragraph Char"/>
    <w:aliases w:val="Colorful List - Accent 12 Char,Footnote1 Char,List Paragraph1 Char,List Paragraph11 Char,List Paragraph2 Char,Lista vistosa - Énfasis 11 Char,Parrafos Char,Párrafo de lista1 Char,Subtle Emphasis1 Char"/>
    <w:link w:val="ListParagraph"/>
    <w:locked/>
    <w:rsid w:val="002A6B05"/>
    <w:rPr>
      <w:rFonts w:ascii="Cambria" w:eastAsia="Cambria" w:hAnsi="Cambria" w:cs="Cambria"/>
      <w:color w:val="000000"/>
      <w:u w:color="000000"/>
      <w:bdr w:val="nil"/>
      <w:lang w:val="en-US" w:eastAsia="es-ES"/>
    </w:rPr>
  </w:style>
  <w:style w:type="character" w:styleId="Strong">
    <w:name w:val="Strong"/>
    <w:uiPriority w:val="22"/>
    <w:qFormat/>
    <w:rsid w:val="002A6B05"/>
    <w:rPr>
      <w:b/>
      <w:bCs/>
    </w:rPr>
  </w:style>
  <w:style w:type="paragraph" w:customStyle="1" w:styleId="ColorfulList-Accent11">
    <w:name w:val="Colorful List - Accent 11"/>
    <w:link w:val="ColorfulList-Accent1Char"/>
    <w:uiPriority w:val="34"/>
    <w:qFormat/>
    <w:rsid w:val="002A6B05"/>
    <w:pPr>
      <w:pBdr>
        <w:top w:val="nil"/>
        <w:left w:val="nil"/>
        <w:bottom w:val="nil"/>
        <w:right w:val="nil"/>
        <w:between w:val="nil"/>
        <w:bar w:val="nil"/>
      </w:pBdr>
      <w:ind w:left="720"/>
    </w:pPr>
    <w:rPr>
      <w:rFonts w:ascii="Cambria" w:eastAsia="Cambria" w:hAnsi="Cambria" w:cs="Cambria"/>
      <w:color w:val="000000"/>
      <w:u w:color="000000"/>
      <w:bdr w:val="nil"/>
      <w:lang w:val="en-US" w:eastAsia="es-ES"/>
    </w:rPr>
  </w:style>
  <w:style w:type="character" w:customStyle="1" w:styleId="ColorfulList-Accent1Char">
    <w:name w:val="Colorful List - Accent 1 Char"/>
    <w:link w:val="ColorfulList-Accent11"/>
    <w:uiPriority w:val="34"/>
    <w:locked/>
    <w:rsid w:val="002A6B05"/>
    <w:rPr>
      <w:rFonts w:ascii="Cambria" w:eastAsia="Cambria" w:hAnsi="Cambria" w:cs="Cambria"/>
      <w:color w:val="000000"/>
      <w:u w:color="000000"/>
      <w:bdr w:val="nil"/>
      <w:lang w:val="en-US" w:eastAsia="es-ES"/>
    </w:rPr>
  </w:style>
  <w:style w:type="character" w:customStyle="1" w:styleId="apple-style-span">
    <w:name w:val="apple-style-span"/>
    <w:rsid w:val="002A6B05"/>
  </w:style>
  <w:style w:type="paragraph" w:customStyle="1" w:styleId="1">
    <w:name w:val="1"/>
    <w:basedOn w:val="Normal"/>
    <w:link w:val="FootnoteReference"/>
    <w:uiPriority w:val="99"/>
    <w:rsid w:val="002A6B05"/>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heme="minorHAnsi" w:eastAsiaTheme="minorEastAsia" w:hAnsiTheme="minorHAnsi" w:cstheme="minorBidi"/>
      <w:bdr w:val="none" w:sz="0" w:space="0" w:color="auto"/>
      <w:vertAlign w:val="superscript"/>
      <w:lang w:val="en-GB" w:eastAsia="ko-KR"/>
    </w:rPr>
  </w:style>
  <w:style w:type="character" w:customStyle="1" w:styleId="apple-converted-space">
    <w:name w:val="apple-converted-space"/>
    <w:basedOn w:val="DefaultParagraphFont"/>
    <w:uiPriority w:val="99"/>
    <w:rsid w:val="002A6B05"/>
  </w:style>
  <w:style w:type="character" w:styleId="CommentReference">
    <w:name w:val="annotation reference"/>
    <w:basedOn w:val="DefaultParagraphFont"/>
    <w:uiPriority w:val="99"/>
    <w:semiHidden/>
    <w:unhideWhenUsed/>
    <w:rsid w:val="002A6B05"/>
    <w:rPr>
      <w:sz w:val="16"/>
      <w:szCs w:val="16"/>
    </w:rPr>
  </w:style>
  <w:style w:type="paragraph" w:styleId="CommentText">
    <w:name w:val="annotation text"/>
    <w:basedOn w:val="Normal"/>
    <w:link w:val="CommentTextChar"/>
    <w:uiPriority w:val="99"/>
    <w:semiHidden/>
    <w:unhideWhenUsed/>
    <w:rsid w:val="002A6B05"/>
    <w:rPr>
      <w:sz w:val="20"/>
      <w:szCs w:val="20"/>
    </w:rPr>
  </w:style>
  <w:style w:type="character" w:customStyle="1" w:styleId="CommentTextChar">
    <w:name w:val="Comment Text Char"/>
    <w:basedOn w:val="DefaultParagraphFont"/>
    <w:link w:val="CommentText"/>
    <w:uiPriority w:val="99"/>
    <w:semiHidden/>
    <w:rsid w:val="002A6B05"/>
    <w:rPr>
      <w:rFonts w:ascii="Times New Roman" w:eastAsia="Arial Unicode MS" w:hAnsi="Times New Roman" w:cs="Times New Roman"/>
      <w:sz w:val="20"/>
      <w:szCs w:val="20"/>
      <w:bdr w:val="nil"/>
      <w:lang w:val="en-US" w:eastAsia="en-US"/>
    </w:rPr>
  </w:style>
  <w:style w:type="paragraph" w:styleId="CommentSubject">
    <w:name w:val="annotation subject"/>
    <w:basedOn w:val="CommentText"/>
    <w:next w:val="CommentText"/>
    <w:link w:val="CommentSubjectChar"/>
    <w:uiPriority w:val="99"/>
    <w:semiHidden/>
    <w:unhideWhenUsed/>
    <w:rsid w:val="002A6B05"/>
    <w:rPr>
      <w:b/>
      <w:bCs/>
    </w:rPr>
  </w:style>
  <w:style w:type="character" w:customStyle="1" w:styleId="CommentSubjectChar">
    <w:name w:val="Comment Subject Char"/>
    <w:basedOn w:val="CommentTextChar"/>
    <w:link w:val="CommentSubject"/>
    <w:uiPriority w:val="99"/>
    <w:semiHidden/>
    <w:rsid w:val="002A6B05"/>
    <w:rPr>
      <w:rFonts w:ascii="Times New Roman" w:eastAsia="Arial Unicode MS" w:hAnsi="Times New Roman" w:cs="Times New Roman"/>
      <w:b/>
      <w:bCs/>
      <w:sz w:val="20"/>
      <w:szCs w:val="20"/>
      <w:bdr w:val="nil"/>
      <w:lang w:val="en-US" w:eastAsia="en-US"/>
    </w:rPr>
  </w:style>
  <w:style w:type="paragraph" w:customStyle="1" w:styleId="BVIfnrCar1CarCarCarCar">
    <w:name w:val="BVI fnr Car1 Car Car Car Car"/>
    <w:aliases w:val="BVI fnr Char Car Car Car Car Car Car Car Car Car Car Car,BVI fnr Char Car Car Car Car Car Car Car Car Car Car Car Car Car,ftref Car Car Car Car Car Car Car Car Car Car"/>
    <w:basedOn w:val="Normal"/>
    <w:rsid w:val="002A6B05"/>
    <w:pPr>
      <w:pBdr>
        <w:top w:val="none" w:sz="0" w:space="0" w:color="auto"/>
        <w:left w:val="none" w:sz="0" w:space="0" w:color="auto"/>
        <w:bottom w:val="none" w:sz="0" w:space="0" w:color="auto"/>
        <w:right w:val="none" w:sz="0" w:space="0" w:color="auto"/>
        <w:between w:val="none" w:sz="0" w:space="0" w:color="auto"/>
        <w:bar w:val="none" w:sz="0" w:color="auto"/>
      </w:pBdr>
      <w:spacing w:before="200" w:after="160" w:line="240" w:lineRule="exact"/>
    </w:pPr>
    <w:rPr>
      <w:rFonts w:ascii="Verdana" w:hAnsi="Verdana"/>
      <w:sz w:val="22"/>
      <w:szCs w:val="20"/>
      <w:vertAlign w:val="superscript"/>
      <w:lang w:val="es-ES" w:eastAsia="es-ES"/>
    </w:rPr>
  </w:style>
  <w:style w:type="paragraph" w:styleId="NormalWeb">
    <w:name w:val="Normal (Web)"/>
    <w:basedOn w:val="Normal"/>
    <w:uiPriority w:val="99"/>
    <w:semiHidden/>
    <w:unhideWhenUsed/>
    <w:rsid w:val="002A6B0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w:eastAsiaTheme="minorHAnsi" w:hAnsi="Times"/>
      <w:sz w:val="20"/>
      <w:szCs w:val="20"/>
      <w:bdr w:val="none" w:sz="0" w:space="0" w:color="auto"/>
    </w:rPr>
  </w:style>
  <w:style w:type="paragraph" w:styleId="NoSpacing">
    <w:name w:val="No Spacing"/>
    <w:uiPriority w:val="1"/>
    <w:qFormat/>
    <w:rsid w:val="002A6B05"/>
    <w:rPr>
      <w:rFonts w:ascii="Calibri" w:eastAsia="Calibri" w:hAnsi="Calibri" w:cs="Times New Roman"/>
      <w:sz w:val="22"/>
      <w:szCs w:val="22"/>
      <w:lang w:val="en-US" w:eastAsia="en-US"/>
    </w:rPr>
  </w:style>
  <w:style w:type="paragraph" w:styleId="BodyTextIndent3">
    <w:name w:val="Body Text Indent 3"/>
    <w:basedOn w:val="Normal"/>
    <w:link w:val="BodyTextIndent3Char"/>
    <w:uiPriority w:val="99"/>
    <w:unhideWhenUsed/>
    <w:rsid w:val="002A6B05"/>
    <w:pPr>
      <w:pBdr>
        <w:top w:val="none" w:sz="0" w:space="0" w:color="auto"/>
        <w:left w:val="none" w:sz="0" w:space="0" w:color="auto"/>
        <w:bottom w:val="none" w:sz="0" w:space="0" w:color="auto"/>
        <w:right w:val="none" w:sz="0" w:space="0" w:color="auto"/>
        <w:between w:val="none" w:sz="0" w:space="0" w:color="auto"/>
        <w:bar w:val="none" w:sz="0" w:color="auto"/>
      </w:pBdr>
      <w:spacing w:after="120"/>
      <w:ind w:left="360"/>
    </w:pPr>
    <w:rPr>
      <w:rFonts w:eastAsia="MS Mincho"/>
      <w:sz w:val="16"/>
      <w:szCs w:val="16"/>
      <w:bdr w:val="none" w:sz="0" w:space="0" w:color="auto"/>
    </w:rPr>
  </w:style>
  <w:style w:type="character" w:customStyle="1" w:styleId="BodyTextIndent3Char">
    <w:name w:val="Body Text Indent 3 Char"/>
    <w:basedOn w:val="DefaultParagraphFont"/>
    <w:link w:val="BodyTextIndent3"/>
    <w:uiPriority w:val="99"/>
    <w:rsid w:val="002A6B05"/>
    <w:rPr>
      <w:rFonts w:ascii="Times New Roman" w:eastAsia="MS Mincho" w:hAnsi="Times New Roman" w:cs="Times New Roman"/>
      <w:sz w:val="16"/>
      <w:szCs w:val="16"/>
      <w:lang w:val="en-US" w:eastAsia="en-US"/>
    </w:rPr>
  </w:style>
  <w:style w:type="character" w:customStyle="1" w:styleId="ListParagraphChar1">
    <w:name w:val="List Paragraph Char1"/>
    <w:aliases w:val="Párrafo de lista1 Char1"/>
    <w:uiPriority w:val="34"/>
    <w:locked/>
    <w:rsid w:val="002A6B05"/>
    <w:rPr>
      <w:sz w:val="24"/>
      <w:szCs w:val="24"/>
    </w:rPr>
  </w:style>
  <w:style w:type="paragraph" w:customStyle="1" w:styleId="FootnotesrefssChar1Char">
    <w:name w:val="Footnotes refss Char1 Char"/>
    <w:aliases w:val="16 Point Char1 Char,4_G Char1 Char,Appel note de bas de page Char1 Char,BVI fnr Char1 Char,Footnote number Char1 Char,Texto de nota al pie Char1 Char,f Char1 Char,referencia nota al pie Char1 Char"/>
    <w:basedOn w:val="Normal"/>
    <w:qFormat/>
    <w:rsid w:val="002A6B05"/>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Calibri" w:eastAsia="Calibri" w:hAnsi="Calibri"/>
      <w:sz w:val="20"/>
      <w:szCs w:val="20"/>
      <w:bdr w:val="none" w:sz="0" w:space="0" w:color="auto"/>
      <w:vertAlign w:val="superscript"/>
    </w:rPr>
  </w:style>
  <w:style w:type="character" w:styleId="FollowedHyperlink">
    <w:name w:val="FollowedHyperlink"/>
    <w:basedOn w:val="DefaultParagraphFont"/>
    <w:uiPriority w:val="99"/>
    <w:semiHidden/>
    <w:unhideWhenUsed/>
    <w:rsid w:val="002A6B05"/>
    <w:rPr>
      <w:color w:val="954F72" w:themeColor="followedHyperlink"/>
      <w:u w:val="single"/>
    </w:rPr>
  </w:style>
  <w:style w:type="character" w:styleId="PlaceholderText">
    <w:name w:val="Placeholder Text"/>
    <w:basedOn w:val="DefaultParagraphFont"/>
    <w:uiPriority w:val="99"/>
    <w:semiHidden/>
    <w:rsid w:val="002A6B05"/>
    <w:rPr>
      <w:color w:val="808080"/>
    </w:rPr>
  </w:style>
  <w:style w:type="paragraph" w:styleId="Revision">
    <w:name w:val="Revision"/>
    <w:hidden/>
    <w:uiPriority w:val="99"/>
    <w:semiHidden/>
    <w:rsid w:val="002A6B05"/>
    <w:rPr>
      <w:rFonts w:ascii="Times New Roman" w:eastAsia="Arial Unicode MS" w:hAnsi="Times New Roman" w:cs="Times New Roman"/>
      <w:bdr w:val="nil"/>
      <w:lang w:val="en-US" w:eastAsia="en-US"/>
    </w:rPr>
  </w:style>
  <w:style w:type="character" w:customStyle="1" w:styleId="Mencinsinresolver1">
    <w:name w:val="Mención sin resolver1"/>
    <w:basedOn w:val="DefaultParagraphFont"/>
    <w:uiPriority w:val="99"/>
    <w:semiHidden/>
    <w:unhideWhenUsed/>
    <w:rsid w:val="002A6B05"/>
    <w:rPr>
      <w:color w:val="605E5C"/>
      <w:shd w:val="clear" w:color="auto" w:fill="E1DFDD"/>
    </w:rPr>
  </w:style>
  <w:style w:type="character" w:customStyle="1" w:styleId="InternetLink">
    <w:name w:val="Internet Link"/>
    <w:rsid w:val="005356AD"/>
    <w:rPr>
      <w:color w:val="0000FF"/>
      <w:u w:val="single"/>
    </w:rPr>
  </w:style>
  <w:style w:type="character" w:customStyle="1" w:styleId="FootnoteAnchor">
    <w:name w:val="Footnote Anchor"/>
    <w:rsid w:val="005356AD"/>
    <w:rPr>
      <w:vertAlign w:val="superscript"/>
    </w:rPr>
  </w:style>
  <w:style w:type="paragraph" w:customStyle="1" w:styleId="4GChar">
    <w:name w:val="4_G Char"/>
    <w:aliases w:val="Appel note de bas de page Char,Appel note de bas de page Char Char Char Char,Appel note de bas de page Char Char Char Char Char Char Char Char Char Char Char Char Char Char Char Char Char Char Char"/>
    <w:basedOn w:val="Normal"/>
    <w:uiPriority w:val="99"/>
    <w:qFormat/>
    <w:rsid w:val="006143B4"/>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asciiTheme="minorHAnsi" w:eastAsiaTheme="minorHAnsi" w:hAnsiTheme="minorHAnsi" w:cstheme="minorBidi"/>
      <w:bdr w:val="none" w:sz="0" w:space="0" w:color="auto"/>
      <w:vertAlign w:val="superscript"/>
    </w:rPr>
  </w:style>
  <w:style w:type="paragraph" w:customStyle="1" w:styleId="parrafos">
    <w:name w:val="parrafos"/>
    <w:basedOn w:val="Normal"/>
    <w:link w:val="parrafosChar"/>
    <w:qFormat/>
    <w:rsid w:val="00913B80"/>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jc w:val="both"/>
    </w:pPr>
    <w:rPr>
      <w:rFonts w:ascii="Cambria" w:hAnsi="Cambria"/>
      <w:color w:val="000000"/>
      <w:sz w:val="20"/>
      <w:szCs w:val="20"/>
      <w:lang w:val="es-VE"/>
    </w:rPr>
  </w:style>
  <w:style w:type="character" w:customStyle="1" w:styleId="parrafosChar">
    <w:name w:val="parrafos Char"/>
    <w:link w:val="parrafos"/>
    <w:rsid w:val="00913B80"/>
    <w:rPr>
      <w:rFonts w:ascii="Cambria" w:eastAsia="Arial Unicode MS" w:hAnsi="Cambria" w:cs="Times New Roman"/>
      <w:color w:val="000000"/>
      <w:sz w:val="20"/>
      <w:szCs w:val="20"/>
      <w:bdr w:val="nil"/>
      <w:lang w:val="es-VE" w:eastAsia="en-US"/>
    </w:rPr>
  </w:style>
  <w:style w:type="character" w:customStyle="1" w:styleId="Heading4Char">
    <w:name w:val="Heading 4 Char"/>
    <w:basedOn w:val="DefaultParagraphFont"/>
    <w:link w:val="Heading4"/>
    <w:uiPriority w:val="99"/>
    <w:rsid w:val="00BD72FF"/>
    <w:rPr>
      <w:rFonts w:ascii="Calibri" w:eastAsia="MS ??" w:hAnsi="Calibri" w:cs="Times New Roman"/>
      <w:b/>
      <w:sz w:val="28"/>
      <w:szCs w:val="20"/>
      <w:lang w:val="es-SV" w:eastAsia="en-US"/>
    </w:rPr>
  </w:style>
  <w:style w:type="character" w:customStyle="1" w:styleId="Heading5Char">
    <w:name w:val="Heading 5 Char"/>
    <w:basedOn w:val="DefaultParagraphFont"/>
    <w:link w:val="Heading5"/>
    <w:uiPriority w:val="99"/>
    <w:rsid w:val="00BD72FF"/>
    <w:rPr>
      <w:rFonts w:ascii="Calibri" w:eastAsia="MS ??" w:hAnsi="Calibri" w:cs="Times New Roman"/>
      <w:b/>
      <w:i/>
      <w:sz w:val="26"/>
      <w:szCs w:val="20"/>
      <w:lang w:val="es-SV" w:eastAsia="en-US"/>
    </w:rPr>
  </w:style>
  <w:style w:type="character" w:customStyle="1" w:styleId="Heading6Char">
    <w:name w:val="Heading 6 Char"/>
    <w:basedOn w:val="DefaultParagraphFont"/>
    <w:link w:val="Heading6"/>
    <w:uiPriority w:val="99"/>
    <w:rsid w:val="00BD72FF"/>
    <w:rPr>
      <w:rFonts w:ascii="Calibri" w:eastAsia="MS ??" w:hAnsi="Calibri" w:cs="Times New Roman"/>
      <w:b/>
      <w:sz w:val="20"/>
      <w:szCs w:val="20"/>
      <w:lang w:val="es-SV" w:eastAsia="en-US"/>
    </w:rPr>
  </w:style>
  <w:style w:type="character" w:customStyle="1" w:styleId="Heading7Char">
    <w:name w:val="Heading 7 Char"/>
    <w:basedOn w:val="DefaultParagraphFont"/>
    <w:link w:val="Heading7"/>
    <w:uiPriority w:val="99"/>
    <w:rsid w:val="00BD72FF"/>
    <w:rPr>
      <w:rFonts w:ascii="Calibri" w:eastAsia="MS ??" w:hAnsi="Calibri" w:cs="Times New Roman"/>
      <w:szCs w:val="20"/>
      <w:lang w:val="es-SV" w:eastAsia="en-US"/>
    </w:rPr>
  </w:style>
  <w:style w:type="character" w:customStyle="1" w:styleId="Heading8Char">
    <w:name w:val="Heading 8 Char"/>
    <w:basedOn w:val="DefaultParagraphFont"/>
    <w:link w:val="Heading8"/>
    <w:uiPriority w:val="99"/>
    <w:rsid w:val="00BD72FF"/>
    <w:rPr>
      <w:rFonts w:ascii="Calibri" w:eastAsia="MS ??" w:hAnsi="Calibri" w:cs="Times New Roman"/>
      <w:i/>
      <w:szCs w:val="20"/>
      <w:lang w:val="es-SV" w:eastAsia="en-US"/>
    </w:rPr>
  </w:style>
  <w:style w:type="character" w:customStyle="1" w:styleId="Heading9Char">
    <w:name w:val="Heading 9 Char"/>
    <w:basedOn w:val="DefaultParagraphFont"/>
    <w:link w:val="Heading9"/>
    <w:uiPriority w:val="99"/>
    <w:rsid w:val="00BD72FF"/>
    <w:rPr>
      <w:rFonts w:ascii="Cambria" w:eastAsia="MS ????" w:hAnsi="Cambria" w:cs="Times New Roman"/>
      <w:sz w:val="20"/>
      <w:szCs w:val="20"/>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https://oveprisiones.com/informes/" TargetMode="External"/><Relationship Id="rId3" Type="http://schemas.openxmlformats.org/officeDocument/2006/relationships/hyperlink" Target="https://unaventanaalalibertad.org/alertas/presas-del-inof-solo-reciben-un-tobo-de-agua-cada-15-dias/" TargetMode="External"/><Relationship Id="rId7" Type="http://schemas.openxmlformats.org/officeDocument/2006/relationships/hyperlink" Target="https://unaventanaalalibertad.org/alertas/miranda-denuncian-maltrato-a-internas-del-inof-en-celda-de-castigo/" TargetMode="External"/><Relationship Id="rId2" Type="http://schemas.openxmlformats.org/officeDocument/2006/relationships/hyperlink" Target="https://provea.org/wp-content/uploads/009_derecho_de_las_personas_detenidas_y_encarceladas-1.pdf" TargetMode="External"/><Relationship Id="rId1" Type="http://schemas.openxmlformats.org/officeDocument/2006/relationships/hyperlink" Target="https://provea.org/wp-content/uploads/009_derecho_de_las_personas_detenidas_y_encarceladas-1.pdf" TargetMode="External"/><Relationship Id="rId6" Type="http://schemas.openxmlformats.org/officeDocument/2006/relationships/hyperlink" Target="https://unaventanaalalibertad.org/alertas/presas-del-inof-no-son-atendidas-por-dolencias-medicas/" TargetMode="External"/><Relationship Id="rId11" Type="http://schemas.openxmlformats.org/officeDocument/2006/relationships/hyperlink" Target="http://joomla.corteidh.or.cr:8080/joomla/es/casos-contenciosos/38-jurisprudencia/772-corte-idh-caso-heliodoro-portugal-vs-panama-excepciones-preliminares-fondo-reparaciones-y-costas-sentencia-de-12-de-agosto-de-2008-serie-c-no-186" TargetMode="External"/><Relationship Id="rId5" Type="http://schemas.openxmlformats.org/officeDocument/2006/relationships/hyperlink" Target="https://unaventanaalalibertad.org/alertas/presa-del-inof-con-cancer-de-seno-no-ha-recibido-atencion-medica/" TargetMode="External"/><Relationship Id="rId10" Type="http://schemas.openxmlformats.org/officeDocument/2006/relationships/hyperlink" Target="http://www.who.int/nutrition/publications/obesity/WHO_TRS_916_spa.pdf" TargetMode="External"/><Relationship Id="rId4" Type="http://schemas.openxmlformats.org/officeDocument/2006/relationships/hyperlink" Target="https://unaventanaalalibertad.org/alertas/presas-del-inof-inician-huelga-al-grito-de-hambre-y-libertad/" TargetMode="External"/><Relationship Id="rId9" Type="http://schemas.openxmlformats.org/officeDocument/2006/relationships/hyperlink" Target="http://www.who.int/nutrition/publications/obesity/WHO_TRS_916_spa.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2B7353BFE9827438EBF19872927A460" ma:contentTypeVersion="16" ma:contentTypeDescription="Create a new document." ma:contentTypeScope="" ma:versionID="f8f27290aae51a739495793fee17a2c3">
  <xsd:schema xmlns:xsd="http://www.w3.org/2001/XMLSchema" xmlns:xs="http://www.w3.org/2001/XMLSchema" xmlns:p="http://schemas.microsoft.com/office/2006/metadata/properties" xmlns:ns3="d96ab0fc-bb98-41ac-b264-64d49f623ac2" xmlns:ns4="6691804d-c530-47b1-9b8c-031a554c30cd" targetNamespace="http://schemas.microsoft.com/office/2006/metadata/properties" ma:root="true" ma:fieldsID="bc338112b86a84fbc6f8982f3de8ade7" ns3:_="" ns4:_="">
    <xsd:import namespace="d96ab0fc-bb98-41ac-b264-64d49f623ac2"/>
    <xsd:import namespace="6691804d-c530-47b1-9b8c-031a554c30c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6ab0fc-bb98-41ac-b264-64d49f623a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91804d-c530-47b1-9b8c-031a554c30c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d96ab0fc-bb98-41ac-b264-64d49f623ac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A7F1DF-F650-4A13-B57E-CB3E3DB74932}">
  <ds:schemaRefs>
    <ds:schemaRef ds:uri="http://schemas.microsoft.com/sharepoint/v3/contenttype/forms"/>
  </ds:schemaRefs>
</ds:datastoreItem>
</file>

<file path=customXml/itemProps2.xml><?xml version="1.0" encoding="utf-8"?>
<ds:datastoreItem xmlns:ds="http://schemas.openxmlformats.org/officeDocument/2006/customXml" ds:itemID="{FCB8C56D-9654-46CB-B413-E10BF9152C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6ab0fc-bb98-41ac-b264-64d49f623ac2"/>
    <ds:schemaRef ds:uri="6691804d-c530-47b1-9b8c-031a554c30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4542A0-EEF0-4782-87B8-C4A2AC2265C7}">
  <ds:schemaRefs>
    <ds:schemaRef ds:uri="d96ab0fc-bb98-41ac-b264-64d49f623ac2"/>
    <ds:schemaRef ds:uri="http://schemas.openxmlformats.org/package/2006/metadata/core-properties"/>
    <ds:schemaRef ds:uri="http://purl.org/dc/elements/1.1/"/>
    <ds:schemaRef ds:uri="http://purl.org/dc/dcmitype/"/>
    <ds:schemaRef ds:uri="6691804d-c530-47b1-9b8c-031a554c30cd"/>
    <ds:schemaRef ds:uri="http://purl.org/dc/terms/"/>
    <ds:schemaRef ds:uri="http://schemas.microsoft.com/office/2006/documentManagement/types"/>
    <ds:schemaRef ds:uri="http://schemas.microsoft.com/office/infopath/2007/PartnerControl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F59AC272-D74D-6F41-9CE4-F7A39490C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9875</Words>
  <Characters>56294</Characters>
  <Application>Microsoft Office Word</Application>
  <DocSecurity>0</DocSecurity>
  <Lines>469</Lines>
  <Paragraphs>132</Paragraphs>
  <ScaleCrop>false</ScaleCrop>
  <Company/>
  <LinksUpToDate>false</LinksUpToDate>
  <CharactersWithSpaces>66037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2025-12-29T20:13:00Z</dcterms:created>
  <dcterms:modified xsi:type="dcterms:W3CDTF">2025-12-29T20:13:00Z</dcterms:modified>
</cp:coreProperties>
</file>