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44DB2" w14:textId="77777777" w:rsidR="005500CA" w:rsidRPr="003543CF" w:rsidRDefault="005500CA" w:rsidP="005500CA">
      <w:pPr>
        <w:jc w:val="center"/>
        <w:rPr>
          <w:rFonts w:ascii="Cambria" w:hAnsi="Cambria"/>
          <w:b/>
          <w:color w:val="000000"/>
          <w:sz w:val="22"/>
          <w:szCs w:val="22"/>
        </w:rPr>
      </w:pPr>
      <w:r w:rsidRPr="003543CF">
        <w:rPr>
          <w:rFonts w:ascii="Cambria" w:hAnsi="Cambria"/>
          <w:b/>
          <w:bCs/>
          <w:color w:val="000000"/>
          <w:sz w:val="22"/>
          <w:szCs w:val="22"/>
        </w:rPr>
        <w:t>FOLLOW-UP FACTSHEET OF REPORT No. 47/01</w:t>
      </w:r>
    </w:p>
    <w:p w14:paraId="505587D2" w14:textId="77777777" w:rsidR="005500CA" w:rsidRPr="003543CF" w:rsidRDefault="005500CA" w:rsidP="005500CA">
      <w:pPr>
        <w:jc w:val="center"/>
        <w:rPr>
          <w:rFonts w:ascii="Cambria" w:hAnsi="Cambria"/>
          <w:b/>
          <w:color w:val="000000"/>
          <w:sz w:val="22"/>
          <w:szCs w:val="22"/>
        </w:rPr>
      </w:pPr>
      <w:r w:rsidRPr="003543CF">
        <w:rPr>
          <w:rFonts w:ascii="Cambria" w:hAnsi="Cambria"/>
          <w:b/>
          <w:bCs/>
          <w:color w:val="000000"/>
          <w:sz w:val="22"/>
          <w:szCs w:val="22"/>
        </w:rPr>
        <w:t>CASE 12.028</w:t>
      </w:r>
    </w:p>
    <w:p w14:paraId="7C485B54" w14:textId="77777777" w:rsidR="005500CA" w:rsidRPr="003543CF" w:rsidRDefault="005500CA" w:rsidP="005500CA">
      <w:pPr>
        <w:jc w:val="center"/>
        <w:rPr>
          <w:rFonts w:ascii="Cambria" w:hAnsi="Cambria"/>
          <w:b/>
          <w:color w:val="000000"/>
          <w:sz w:val="22"/>
          <w:szCs w:val="22"/>
        </w:rPr>
      </w:pPr>
      <w:r w:rsidRPr="003543CF">
        <w:rPr>
          <w:rFonts w:ascii="Cambria" w:hAnsi="Cambria"/>
          <w:b/>
          <w:bCs/>
          <w:color w:val="000000"/>
          <w:sz w:val="22"/>
          <w:szCs w:val="22"/>
        </w:rPr>
        <w:t>DONNASON KNIGHTS</w:t>
      </w:r>
    </w:p>
    <w:p w14:paraId="7EE48FC3" w14:textId="77777777" w:rsidR="005500CA" w:rsidRPr="003543CF" w:rsidRDefault="005500CA" w:rsidP="005500CA">
      <w:pPr>
        <w:jc w:val="center"/>
        <w:rPr>
          <w:rFonts w:ascii="Cambria" w:hAnsi="Cambria"/>
          <w:b/>
          <w:color w:val="000000"/>
          <w:sz w:val="22"/>
          <w:szCs w:val="22"/>
        </w:rPr>
      </w:pPr>
      <w:r w:rsidRPr="003543CF">
        <w:rPr>
          <w:rFonts w:ascii="Cambria" w:hAnsi="Cambria"/>
          <w:b/>
          <w:bCs/>
          <w:color w:val="000000"/>
          <w:sz w:val="22"/>
          <w:szCs w:val="22"/>
        </w:rPr>
        <w:t>(Grenada)</w:t>
      </w:r>
    </w:p>
    <w:p w14:paraId="216C1B8F" w14:textId="77777777" w:rsidR="005500CA" w:rsidRPr="003543CF" w:rsidRDefault="005500CA" w:rsidP="005500CA">
      <w:pPr>
        <w:jc w:val="center"/>
        <w:rPr>
          <w:rFonts w:ascii="Cambria" w:hAnsi="Cambria"/>
          <w:color w:val="000000"/>
          <w:sz w:val="20"/>
          <w:szCs w:val="20"/>
        </w:rPr>
      </w:pPr>
    </w:p>
    <w:p w14:paraId="4B6A1032" w14:textId="77777777" w:rsidR="005500CA" w:rsidRPr="003543CF" w:rsidRDefault="005500CA" w:rsidP="005500CA">
      <w:pPr>
        <w:numPr>
          <w:ilvl w:val="0"/>
          <w:numId w:val="8"/>
        </w:numPr>
        <w:ind w:left="1440"/>
        <w:rPr>
          <w:rFonts w:ascii="Cambria" w:hAnsi="Cambria" w:cs="Calibri Light"/>
          <w:b/>
          <w:color w:val="000000"/>
          <w:sz w:val="20"/>
          <w:szCs w:val="20"/>
        </w:rPr>
      </w:pPr>
      <w:r w:rsidRPr="003543CF">
        <w:rPr>
          <w:rFonts w:ascii="Cambria" w:hAnsi="Cambria" w:cs="Calibri Light"/>
          <w:b/>
          <w:bCs/>
          <w:color w:val="000000"/>
          <w:sz w:val="20"/>
          <w:szCs w:val="20"/>
        </w:rPr>
        <w:t xml:space="preserve">Summary of Case  </w:t>
      </w:r>
    </w:p>
    <w:p w14:paraId="3EFC2070" w14:textId="77777777" w:rsidR="005500CA" w:rsidRPr="003543CF" w:rsidRDefault="005500CA" w:rsidP="005500CA">
      <w:pPr>
        <w:ind w:left="108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500CA" w:rsidRPr="003543CF" w14:paraId="765E1959" w14:textId="77777777" w:rsidTr="00D71E27">
        <w:trPr>
          <w:jc w:val="center"/>
        </w:trPr>
        <w:tc>
          <w:tcPr>
            <w:tcW w:w="9576" w:type="dxa"/>
            <w:shd w:val="clear" w:color="auto" w:fill="F2F2F2"/>
          </w:tcPr>
          <w:p w14:paraId="69752D18" w14:textId="77777777" w:rsidR="005500CA" w:rsidRPr="003543CF" w:rsidRDefault="005500CA" w:rsidP="00D71E27">
            <w:pPr>
              <w:spacing w:before="120"/>
              <w:jc w:val="both"/>
              <w:rPr>
                <w:rFonts w:ascii="Cambria" w:hAnsi="Cambria"/>
                <w:b/>
                <w:color w:val="000000"/>
                <w:sz w:val="20"/>
                <w:szCs w:val="20"/>
              </w:rPr>
            </w:pPr>
            <w:r w:rsidRPr="003543CF">
              <w:rPr>
                <w:rFonts w:ascii="Cambria" w:hAnsi="Cambria"/>
                <w:b/>
                <w:bCs/>
                <w:color w:val="000000"/>
                <w:sz w:val="20"/>
                <w:szCs w:val="20"/>
              </w:rPr>
              <w:t xml:space="preserve">Victim (s): </w:t>
            </w:r>
            <w:r w:rsidRPr="003543CF">
              <w:rPr>
                <w:rFonts w:ascii="Cambria" w:hAnsi="Cambria"/>
                <w:color w:val="000000"/>
                <w:sz w:val="20"/>
                <w:szCs w:val="20"/>
              </w:rPr>
              <w:t>Donnason Knights</w:t>
            </w:r>
          </w:p>
          <w:p w14:paraId="4F4FEBB4" w14:textId="77777777" w:rsidR="005500CA" w:rsidRPr="003543CF" w:rsidRDefault="005500CA" w:rsidP="00D71E27">
            <w:pPr>
              <w:jc w:val="both"/>
              <w:rPr>
                <w:rFonts w:ascii="Cambria" w:hAnsi="Cambria"/>
                <w:b/>
                <w:color w:val="000000"/>
                <w:sz w:val="20"/>
                <w:szCs w:val="20"/>
              </w:rPr>
            </w:pPr>
            <w:r w:rsidRPr="003543CF">
              <w:rPr>
                <w:rFonts w:ascii="Cambria" w:hAnsi="Cambria"/>
                <w:b/>
                <w:bCs/>
                <w:color w:val="000000"/>
                <w:sz w:val="20"/>
                <w:szCs w:val="20"/>
              </w:rPr>
              <w:t>Petitioner (s):</w:t>
            </w:r>
            <w:r w:rsidRPr="003543CF">
              <w:rPr>
                <w:rFonts w:ascii="Cambria" w:hAnsi="Cambria"/>
                <w:color w:val="000000"/>
                <w:sz w:val="20"/>
                <w:szCs w:val="20"/>
              </w:rPr>
              <w:t xml:space="preserve"> Saul Lehrfreund (The Death Penalty Project)</w:t>
            </w:r>
          </w:p>
          <w:p w14:paraId="48122724" w14:textId="77777777" w:rsidR="005500CA" w:rsidRPr="003543CF" w:rsidRDefault="005500CA" w:rsidP="00D71E27">
            <w:pPr>
              <w:jc w:val="both"/>
              <w:rPr>
                <w:rFonts w:ascii="Cambria" w:hAnsi="Cambria"/>
                <w:color w:val="000000"/>
                <w:sz w:val="20"/>
                <w:szCs w:val="20"/>
              </w:rPr>
            </w:pPr>
            <w:r w:rsidRPr="003543CF">
              <w:rPr>
                <w:rFonts w:ascii="Cambria" w:hAnsi="Cambria"/>
                <w:b/>
                <w:bCs/>
                <w:color w:val="000000"/>
                <w:sz w:val="20"/>
                <w:szCs w:val="20"/>
              </w:rPr>
              <w:t xml:space="preserve">State: </w:t>
            </w:r>
            <w:r w:rsidRPr="003543CF">
              <w:rPr>
                <w:rFonts w:ascii="Cambria" w:hAnsi="Cambria"/>
                <w:color w:val="000000"/>
                <w:sz w:val="20"/>
                <w:szCs w:val="20"/>
              </w:rPr>
              <w:t>Grenada</w:t>
            </w:r>
          </w:p>
          <w:p w14:paraId="7B74663E" w14:textId="77777777" w:rsidR="005500CA" w:rsidRPr="003543CF" w:rsidRDefault="005500CA" w:rsidP="00D71E27">
            <w:pPr>
              <w:jc w:val="both"/>
              <w:rPr>
                <w:rFonts w:ascii="Cambria" w:hAnsi="Cambria"/>
                <w:color w:val="000000"/>
                <w:sz w:val="20"/>
                <w:szCs w:val="20"/>
              </w:rPr>
            </w:pPr>
            <w:r w:rsidRPr="003543CF">
              <w:rPr>
                <w:rFonts w:ascii="Cambria" w:hAnsi="Cambria"/>
                <w:b/>
                <w:bCs/>
                <w:color w:val="000000"/>
                <w:sz w:val="20"/>
                <w:szCs w:val="20"/>
              </w:rPr>
              <w:t xml:space="preserve">Merits Report No.: </w:t>
            </w:r>
            <w:hyperlink r:id="rId8" w:history="1">
              <w:r w:rsidRPr="003543CF">
                <w:rPr>
                  <w:rStyle w:val="Hyperlink"/>
                  <w:rFonts w:ascii="Cambria" w:hAnsi="Cambria"/>
                  <w:color w:val="000000"/>
                  <w:sz w:val="20"/>
                  <w:szCs w:val="20"/>
                </w:rPr>
                <w:t>47/01</w:t>
              </w:r>
            </w:hyperlink>
            <w:r w:rsidRPr="003543CF">
              <w:rPr>
                <w:rFonts w:ascii="Cambria" w:hAnsi="Cambria"/>
                <w:color w:val="000000"/>
                <w:sz w:val="20"/>
                <w:szCs w:val="20"/>
              </w:rPr>
              <w:t>, published on April 4, 2001</w:t>
            </w:r>
          </w:p>
          <w:p w14:paraId="3B835461" w14:textId="77777777" w:rsidR="005500CA" w:rsidRPr="003543CF" w:rsidRDefault="005500CA" w:rsidP="00D71E27">
            <w:pPr>
              <w:jc w:val="both"/>
              <w:rPr>
                <w:rFonts w:ascii="Cambria" w:hAnsi="Cambria"/>
                <w:color w:val="000000"/>
                <w:sz w:val="20"/>
                <w:szCs w:val="20"/>
              </w:rPr>
            </w:pPr>
            <w:r w:rsidRPr="003543CF">
              <w:rPr>
                <w:rFonts w:ascii="Cambria" w:hAnsi="Cambria"/>
                <w:b/>
                <w:bCs/>
                <w:color w:val="000000"/>
                <w:sz w:val="20"/>
                <w:szCs w:val="20"/>
              </w:rPr>
              <w:t xml:space="preserve">Admissibility Report: </w:t>
            </w:r>
            <w:r w:rsidRPr="003543CF">
              <w:rPr>
                <w:rFonts w:ascii="Cambria" w:hAnsi="Cambria"/>
                <w:color w:val="000000"/>
                <w:sz w:val="20"/>
                <w:szCs w:val="20"/>
              </w:rPr>
              <w:t>Analyzed in Merits Report No.</w:t>
            </w:r>
            <w:r w:rsidRPr="003543CF">
              <w:rPr>
                <w:rFonts w:ascii="Cambria" w:hAnsi="Cambria"/>
                <w:b/>
                <w:bCs/>
                <w:color w:val="000000"/>
                <w:sz w:val="20"/>
                <w:szCs w:val="20"/>
              </w:rPr>
              <w:t xml:space="preserve"> </w:t>
            </w:r>
            <w:r w:rsidRPr="003543CF">
              <w:rPr>
                <w:rFonts w:ascii="Cambria" w:hAnsi="Cambria"/>
                <w:color w:val="000000"/>
                <w:sz w:val="20"/>
                <w:szCs w:val="20"/>
              </w:rPr>
              <w:t>47/01</w:t>
            </w:r>
          </w:p>
          <w:p w14:paraId="3848F0D2" w14:textId="77777777" w:rsidR="005500CA" w:rsidRPr="003543CF" w:rsidRDefault="005500CA" w:rsidP="00D71E27">
            <w:pPr>
              <w:spacing w:after="120"/>
              <w:jc w:val="both"/>
              <w:rPr>
                <w:rFonts w:ascii="Cambria" w:hAnsi="Cambria"/>
                <w:b/>
                <w:color w:val="000000"/>
                <w:sz w:val="20"/>
                <w:szCs w:val="20"/>
                <w:lang w:val="es-CO"/>
              </w:rPr>
            </w:pPr>
            <w:r w:rsidRPr="003543CF">
              <w:rPr>
                <w:rFonts w:ascii="Cambria" w:hAnsi="Cambria"/>
                <w:b/>
                <w:bCs/>
                <w:color w:val="000000"/>
                <w:sz w:val="20"/>
                <w:szCs w:val="20"/>
                <w:lang w:val="es-CO"/>
              </w:rPr>
              <w:t xml:space="preserve">Themes: </w:t>
            </w:r>
            <w:r w:rsidRPr="003543CF">
              <w:rPr>
                <w:rFonts w:ascii="Cambria" w:eastAsia="Times New Roman" w:hAnsi="Cambria"/>
                <w:color w:val="000000"/>
                <w:sz w:val="20"/>
                <w:szCs w:val="20"/>
                <w:lang w:val="es-CO" w:eastAsia="es-MX"/>
              </w:rPr>
              <w:t>Domestic Legal Effects</w:t>
            </w:r>
            <w:r w:rsidRPr="003543CF">
              <w:rPr>
                <w:rFonts w:ascii="Cambria" w:hAnsi="Cambria"/>
                <w:color w:val="000000"/>
                <w:sz w:val="20"/>
                <w:szCs w:val="20"/>
                <w:lang w:val="es-ES"/>
              </w:rPr>
              <w:t xml:space="preserve"> / Right to Life /</w:t>
            </w:r>
            <w:r w:rsidRPr="003543CF">
              <w:rPr>
                <w:rFonts w:ascii="Cambria" w:hAnsi="Cambria"/>
                <w:b/>
                <w:color w:val="000000"/>
                <w:sz w:val="20"/>
                <w:szCs w:val="20"/>
                <w:lang w:val="es-ES"/>
              </w:rPr>
              <w:t xml:space="preserve"> </w:t>
            </w:r>
            <w:r w:rsidRPr="003543CF">
              <w:rPr>
                <w:rFonts w:ascii="Cambria" w:hAnsi="Cambria"/>
                <w:color w:val="000000"/>
                <w:sz w:val="20"/>
                <w:szCs w:val="20"/>
                <w:lang w:val="es-ES"/>
              </w:rPr>
              <w:t>Right to Humane Treatment /</w:t>
            </w:r>
            <w:r w:rsidRPr="003543CF">
              <w:rPr>
                <w:rFonts w:ascii="Cambria" w:hAnsi="Cambria"/>
                <w:b/>
                <w:color w:val="000000"/>
                <w:sz w:val="20"/>
                <w:szCs w:val="20"/>
                <w:lang w:val="es-ES"/>
              </w:rPr>
              <w:t xml:space="preserve"> </w:t>
            </w:r>
            <w:r w:rsidRPr="003543CF">
              <w:rPr>
                <w:rFonts w:ascii="Cambria" w:hAnsi="Cambria"/>
                <w:color w:val="000000"/>
                <w:sz w:val="20"/>
                <w:szCs w:val="20"/>
                <w:lang w:val="es-ES"/>
              </w:rPr>
              <w:t xml:space="preserve">Derecho a la Libertad Personal / Garantías Judiciales / Protección Judicial / Pena de Muerte / Condiciones de Detención / </w:t>
            </w:r>
            <w:r w:rsidRPr="003543CF">
              <w:rPr>
                <w:rFonts w:ascii="Cambria" w:eastAsia="Times New Roman" w:hAnsi="Cambria"/>
                <w:color w:val="000000"/>
                <w:sz w:val="20"/>
                <w:szCs w:val="20"/>
                <w:lang w:val="es-MX" w:eastAsia="es-MX"/>
              </w:rPr>
              <w:t>Tortura, Tratos Crueles, Inhumanos y/o Degradantes</w:t>
            </w:r>
          </w:p>
          <w:p w14:paraId="614B6B20" w14:textId="77777777" w:rsidR="005500CA" w:rsidRPr="003543CF" w:rsidRDefault="005500CA" w:rsidP="00D71E27">
            <w:pPr>
              <w:spacing w:after="120"/>
              <w:jc w:val="both"/>
              <w:rPr>
                <w:rFonts w:ascii="Cambria" w:hAnsi="Cambria"/>
                <w:color w:val="000000"/>
                <w:sz w:val="20"/>
                <w:szCs w:val="20"/>
              </w:rPr>
            </w:pPr>
            <w:r w:rsidRPr="003543CF">
              <w:rPr>
                <w:rFonts w:ascii="Cambria" w:hAnsi="Cambria"/>
                <w:b/>
                <w:bCs/>
                <w:color w:val="000000"/>
                <w:sz w:val="20"/>
                <w:szCs w:val="20"/>
              </w:rPr>
              <w:t xml:space="preserve">Facts: </w:t>
            </w:r>
            <w:r w:rsidRPr="003543CF">
              <w:rPr>
                <w:rFonts w:ascii="Cambria" w:hAnsi="Cambria"/>
                <w:color w:val="000000"/>
                <w:sz w:val="20"/>
                <w:szCs w:val="20"/>
              </w:rPr>
              <w:t>This case</w:t>
            </w:r>
            <w:r w:rsidRPr="003543CF">
              <w:rPr>
                <w:rFonts w:ascii="Cambria" w:hAnsi="Cambria"/>
                <w:b/>
                <w:bCs/>
                <w:color w:val="000000"/>
                <w:sz w:val="20"/>
                <w:szCs w:val="20"/>
              </w:rPr>
              <w:t xml:space="preserve"> </w:t>
            </w:r>
            <w:r w:rsidRPr="003543CF">
              <w:rPr>
                <w:rFonts w:ascii="Cambria" w:hAnsi="Cambria"/>
                <w:color w:val="000000"/>
                <w:sz w:val="20"/>
                <w:szCs w:val="20"/>
              </w:rPr>
              <w:t>refers to Donnason Knights who was found guilty of murder pursuant to Section 234 of the Criminal Code of Grenada (now Section 230) and who was sentenced to a mandatory death penalty by hanging on August 2, 1995. The mandatory application of the death penalty in Mr. Knight’s case meant that he was not provided with an opportunity to present mitigating factors in the context of sentencing, nor was the Court permitted to consider evidence of this nature in determining whether the death penalty was an appropriate punishment in his case. At the time of publication of the merits report, Mr. Knights was awaiting execution at the Richmond Hill Prison in Grenada, where he was being held in solitary confinement with inadequate hygiene, ventilation and natural light.</w:t>
            </w:r>
          </w:p>
          <w:p w14:paraId="2559855D" w14:textId="77777777" w:rsidR="005500CA" w:rsidRPr="003543CF" w:rsidRDefault="005500CA" w:rsidP="00D71E27">
            <w:pPr>
              <w:spacing w:after="120"/>
              <w:jc w:val="both"/>
              <w:rPr>
                <w:rFonts w:ascii="Cambria" w:hAnsi="Cambria"/>
                <w:color w:val="000000"/>
                <w:sz w:val="20"/>
                <w:szCs w:val="20"/>
              </w:rPr>
            </w:pPr>
            <w:r w:rsidRPr="003543CF">
              <w:rPr>
                <w:rFonts w:ascii="Cambria" w:hAnsi="Cambria"/>
                <w:b/>
                <w:bCs/>
                <w:color w:val="000000"/>
                <w:sz w:val="20"/>
                <w:szCs w:val="20"/>
              </w:rPr>
              <w:t xml:space="preserve">Rights violated: </w:t>
            </w:r>
            <w:r w:rsidRPr="003543CF">
              <w:rPr>
                <w:rFonts w:ascii="Cambria" w:hAnsi="Cambria"/>
                <w:snapToGrid w:val="0"/>
                <w:color w:val="000000"/>
                <w:sz w:val="20"/>
                <w:szCs w:val="20"/>
              </w:rPr>
              <w:t xml:space="preserve">The Commission concluded the State was responsible for: a) </w:t>
            </w:r>
            <w:r w:rsidRPr="003543CF">
              <w:rPr>
                <w:rFonts w:ascii="Cambria" w:hAnsi="Cambria"/>
                <w:color w:val="000000"/>
                <w:sz w:val="20"/>
                <w:szCs w:val="20"/>
              </w:rPr>
              <w:t xml:space="preserve">violating Mr. Knights’ rights under Articles 4(1), 5(1), 5(2) and 8(1), in conjunction with a violation of Article 1(1) of the American Convention, by sentencing Mr. Knights to a mandatory death penalty; b) violating Mr. Knights’ rights under Article 4(6), in conjunction with a violation of Article 1(1) of the Convention, by failing to provide Mr. Knights’ with an effective right to apply for amnesty, pardon or commutation of sentence; c) violating Mr. Knights’ rights under Article 5(1) and 5(2), in conjunction with a violation of Article 1(1) of the Convention, because of Mr. Knights’ conditions of detention; and d) violating Mr. Knights’ rights under Articles 8 and 25, in conjunction with a violation of Article 1(1) of the Convention, by failing to make legal aid available to him to pursue a Constitutional Motion.  </w:t>
            </w:r>
          </w:p>
        </w:tc>
      </w:tr>
    </w:tbl>
    <w:p w14:paraId="12FF6000" w14:textId="77777777" w:rsidR="005500CA" w:rsidRPr="003543CF" w:rsidRDefault="005500CA" w:rsidP="005500CA">
      <w:pPr>
        <w:ind w:left="180"/>
        <w:rPr>
          <w:rFonts w:ascii="Cambria" w:hAnsi="Cambria"/>
          <w:color w:val="000000"/>
          <w:sz w:val="20"/>
          <w:szCs w:val="20"/>
        </w:rPr>
      </w:pPr>
    </w:p>
    <w:p w14:paraId="6A128C6E" w14:textId="77777777" w:rsidR="005500CA" w:rsidRPr="003543CF" w:rsidRDefault="005500CA" w:rsidP="005500CA">
      <w:pPr>
        <w:numPr>
          <w:ilvl w:val="0"/>
          <w:numId w:val="8"/>
        </w:numPr>
        <w:ind w:left="1440"/>
        <w:jc w:val="both"/>
        <w:rPr>
          <w:rFonts w:ascii="Cambria" w:hAnsi="Cambria" w:cs="Calibri Light"/>
          <w:b/>
          <w:color w:val="000000"/>
          <w:sz w:val="20"/>
          <w:szCs w:val="20"/>
        </w:rPr>
      </w:pPr>
      <w:r w:rsidRPr="003543CF">
        <w:rPr>
          <w:rFonts w:ascii="Cambria" w:hAnsi="Cambria" w:cs="Calibri Light"/>
          <w:b/>
          <w:bCs/>
          <w:color w:val="000000"/>
          <w:sz w:val="20"/>
          <w:szCs w:val="20"/>
        </w:rPr>
        <w:t>Recommendations</w:t>
      </w:r>
    </w:p>
    <w:p w14:paraId="64A24D26" w14:textId="77777777" w:rsidR="005500CA" w:rsidRPr="003543CF" w:rsidRDefault="005500CA" w:rsidP="005500CA">
      <w:pPr>
        <w:ind w:left="1080"/>
        <w:jc w:val="both"/>
        <w:rPr>
          <w:rFonts w:ascii="Cambria" w:hAnsi="Cambria" w:cs="Calibri Light"/>
          <w:b/>
          <w:color w:val="000000"/>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2565"/>
      </w:tblGrid>
      <w:tr w:rsidR="005500CA" w:rsidRPr="003543CF" w14:paraId="6005B69D" w14:textId="77777777" w:rsidTr="00D71E27">
        <w:tc>
          <w:tcPr>
            <w:tcW w:w="6930" w:type="dxa"/>
            <w:shd w:val="clear" w:color="auto" w:fill="auto"/>
          </w:tcPr>
          <w:p w14:paraId="417687F1" w14:textId="77777777" w:rsidR="005500CA" w:rsidRPr="003543CF" w:rsidRDefault="005500CA" w:rsidP="00D71E27">
            <w:pPr>
              <w:jc w:val="center"/>
              <w:rPr>
                <w:rFonts w:ascii="Cambria" w:hAnsi="Cambria" w:cs="Calibri Light"/>
                <w:b/>
                <w:color w:val="000000"/>
                <w:sz w:val="18"/>
                <w:szCs w:val="18"/>
              </w:rPr>
            </w:pPr>
            <w:r w:rsidRPr="003543CF">
              <w:rPr>
                <w:rFonts w:ascii="Cambria" w:hAnsi="Cambria" w:cs="Calibri Light"/>
                <w:b/>
                <w:bCs/>
                <w:color w:val="000000"/>
                <w:sz w:val="18"/>
                <w:szCs w:val="18"/>
              </w:rPr>
              <w:t>Recommendations</w:t>
            </w:r>
          </w:p>
        </w:tc>
        <w:tc>
          <w:tcPr>
            <w:tcW w:w="2610" w:type="dxa"/>
            <w:shd w:val="clear" w:color="auto" w:fill="auto"/>
          </w:tcPr>
          <w:p w14:paraId="7B49F9EB" w14:textId="0B3DD53C" w:rsidR="005500CA" w:rsidRPr="003543CF" w:rsidRDefault="005500CA" w:rsidP="00D71E27">
            <w:pPr>
              <w:jc w:val="center"/>
              <w:rPr>
                <w:rFonts w:ascii="Cambria" w:hAnsi="Cambria" w:cs="Calibri Light"/>
                <w:b/>
                <w:color w:val="000000"/>
                <w:sz w:val="18"/>
                <w:szCs w:val="18"/>
              </w:rPr>
            </w:pPr>
            <w:r w:rsidRPr="003543CF">
              <w:rPr>
                <w:rFonts w:ascii="Cambria" w:hAnsi="Cambria" w:cs="Calibri Light"/>
                <w:b/>
                <w:bCs/>
                <w:color w:val="000000"/>
                <w:sz w:val="18"/>
                <w:szCs w:val="18"/>
              </w:rPr>
              <w:t xml:space="preserve">State of compliance in </w:t>
            </w:r>
            <w:r w:rsidRPr="003543CF">
              <w:rPr>
                <w:rFonts w:ascii="Cambria" w:hAnsi="Cambria" w:cs="Calibri Light"/>
                <w:b/>
                <w:bCs/>
                <w:color w:val="000000" w:themeColor="text1"/>
                <w:sz w:val="18"/>
                <w:szCs w:val="18"/>
              </w:rPr>
              <w:t>20</w:t>
            </w:r>
            <w:r w:rsidR="003600F8" w:rsidRPr="003543CF">
              <w:rPr>
                <w:rFonts w:ascii="Cambria" w:hAnsi="Cambria" w:cs="Calibri Light"/>
                <w:b/>
                <w:bCs/>
                <w:color w:val="000000" w:themeColor="text1"/>
                <w:sz w:val="18"/>
                <w:szCs w:val="18"/>
              </w:rPr>
              <w:t>20</w:t>
            </w:r>
          </w:p>
        </w:tc>
      </w:tr>
      <w:tr w:rsidR="005500CA" w:rsidRPr="003543CF" w14:paraId="6E7DD788" w14:textId="77777777" w:rsidTr="00D71E27">
        <w:tc>
          <w:tcPr>
            <w:tcW w:w="6930" w:type="dxa"/>
            <w:shd w:val="clear" w:color="auto" w:fill="auto"/>
          </w:tcPr>
          <w:p w14:paraId="563B83D2" w14:textId="77777777" w:rsidR="005500CA" w:rsidRPr="003543CF" w:rsidRDefault="005500CA" w:rsidP="00D71E27">
            <w:pPr>
              <w:jc w:val="both"/>
              <w:rPr>
                <w:rFonts w:ascii="Cambria" w:hAnsi="Cambria"/>
                <w:color w:val="000000"/>
                <w:sz w:val="18"/>
                <w:szCs w:val="18"/>
              </w:rPr>
            </w:pPr>
            <w:r w:rsidRPr="003543CF">
              <w:rPr>
                <w:rFonts w:ascii="Cambria" w:hAnsi="Cambria"/>
                <w:snapToGrid w:val="0"/>
                <w:color w:val="000000"/>
                <w:sz w:val="18"/>
                <w:szCs w:val="18"/>
              </w:rPr>
              <w:t>1. Grant Mr. Knights an effective remedy which includes commutation of sentence and compensation.</w:t>
            </w:r>
          </w:p>
        </w:tc>
        <w:tc>
          <w:tcPr>
            <w:tcW w:w="2610" w:type="dxa"/>
            <w:shd w:val="clear" w:color="auto" w:fill="auto"/>
            <w:vAlign w:val="center"/>
          </w:tcPr>
          <w:p w14:paraId="443CE083" w14:textId="77777777" w:rsidR="005500CA" w:rsidRPr="003543CF" w:rsidRDefault="005500CA" w:rsidP="00D71E27">
            <w:pPr>
              <w:jc w:val="center"/>
              <w:rPr>
                <w:rFonts w:ascii="Cambria" w:hAnsi="Cambria" w:cs="Calibri Light"/>
                <w:b/>
                <w:color w:val="000000"/>
                <w:sz w:val="18"/>
                <w:szCs w:val="18"/>
              </w:rPr>
            </w:pPr>
            <w:r w:rsidRPr="003543CF">
              <w:rPr>
                <w:rFonts w:ascii="Cambria" w:hAnsi="Cambria" w:cs="Calibri"/>
                <w:color w:val="000000"/>
                <w:sz w:val="18"/>
                <w:szCs w:val="18"/>
              </w:rPr>
              <w:t>Partial compliance</w:t>
            </w:r>
          </w:p>
        </w:tc>
      </w:tr>
      <w:tr w:rsidR="005500CA" w:rsidRPr="003543CF" w14:paraId="2A3FEA06" w14:textId="77777777" w:rsidTr="00D71E27">
        <w:tc>
          <w:tcPr>
            <w:tcW w:w="6930" w:type="dxa"/>
            <w:shd w:val="clear" w:color="auto" w:fill="auto"/>
          </w:tcPr>
          <w:p w14:paraId="6CC2635B" w14:textId="77777777" w:rsidR="005500CA" w:rsidRPr="003543CF" w:rsidRDefault="005500CA" w:rsidP="00D71E27">
            <w:pPr>
              <w:jc w:val="both"/>
              <w:rPr>
                <w:rFonts w:ascii="Cambria" w:hAnsi="Cambria"/>
                <w:color w:val="000000"/>
                <w:sz w:val="18"/>
                <w:szCs w:val="18"/>
              </w:rPr>
            </w:pPr>
            <w:r w:rsidRPr="003543CF">
              <w:rPr>
                <w:rFonts w:ascii="Cambria" w:hAnsi="Cambria"/>
                <w:snapToGrid w:val="0"/>
                <w:color w:val="000000"/>
                <w:sz w:val="18"/>
                <w:szCs w:val="18"/>
              </w:rPr>
              <w:t>2. Adopt such legislative or other measures as may be necessary to ensure that the death penalty is not imposed in violation of the rights and freedoms guaranteed under the Convention, including Articles 4, 5, and 8, and in particular, to ensure that no person is sentenced to death pursuant to a mandatory sentencing law.</w:t>
            </w:r>
          </w:p>
        </w:tc>
        <w:tc>
          <w:tcPr>
            <w:tcW w:w="2610" w:type="dxa"/>
            <w:shd w:val="clear" w:color="auto" w:fill="auto"/>
            <w:vAlign w:val="center"/>
          </w:tcPr>
          <w:p w14:paraId="786A8A13" w14:textId="77777777" w:rsidR="005500CA" w:rsidRPr="003543CF" w:rsidRDefault="005500CA" w:rsidP="00D71E27">
            <w:pPr>
              <w:jc w:val="center"/>
              <w:rPr>
                <w:rFonts w:ascii="Cambria" w:hAnsi="Cambria" w:cs="Calibri Light"/>
                <w:b/>
                <w:color w:val="000000"/>
                <w:sz w:val="18"/>
                <w:szCs w:val="18"/>
              </w:rPr>
            </w:pPr>
            <w:r w:rsidRPr="003543CF">
              <w:rPr>
                <w:rFonts w:ascii="Cambria" w:hAnsi="Cambria" w:cs="Calibri"/>
                <w:color w:val="000000"/>
                <w:sz w:val="18"/>
                <w:szCs w:val="18"/>
              </w:rPr>
              <w:t>Partial compliance</w:t>
            </w:r>
          </w:p>
        </w:tc>
      </w:tr>
      <w:tr w:rsidR="005500CA" w:rsidRPr="003543CF" w14:paraId="5F2A36F0" w14:textId="77777777" w:rsidTr="00D71E27">
        <w:tc>
          <w:tcPr>
            <w:tcW w:w="6930" w:type="dxa"/>
            <w:shd w:val="clear" w:color="auto" w:fill="auto"/>
          </w:tcPr>
          <w:p w14:paraId="7101AA0A" w14:textId="77777777" w:rsidR="005500CA" w:rsidRPr="003543CF" w:rsidRDefault="005500CA" w:rsidP="00D71E27">
            <w:pPr>
              <w:jc w:val="both"/>
              <w:rPr>
                <w:rFonts w:ascii="Cambria" w:hAnsi="Cambria" w:cs="Calibri Light"/>
                <w:color w:val="000000"/>
                <w:sz w:val="18"/>
                <w:szCs w:val="18"/>
              </w:rPr>
            </w:pPr>
            <w:r w:rsidRPr="003543CF">
              <w:rPr>
                <w:rFonts w:ascii="Cambria" w:hAnsi="Cambria"/>
                <w:snapToGrid w:val="0"/>
                <w:color w:val="000000"/>
                <w:sz w:val="18"/>
                <w:szCs w:val="18"/>
              </w:rPr>
              <w:t>3. Adopt such legislative or other measures as may be necessary to ensure that the right under Article 4(6) of the American Convention to apply for amnesty, pardon or commutation of sentence is given effect in Grenada.</w:t>
            </w:r>
          </w:p>
        </w:tc>
        <w:tc>
          <w:tcPr>
            <w:tcW w:w="2610" w:type="dxa"/>
            <w:shd w:val="clear" w:color="auto" w:fill="auto"/>
            <w:vAlign w:val="center"/>
          </w:tcPr>
          <w:p w14:paraId="67E534DF" w14:textId="77777777" w:rsidR="005500CA" w:rsidRPr="003543CF" w:rsidRDefault="005500CA" w:rsidP="00D71E27">
            <w:pPr>
              <w:jc w:val="center"/>
              <w:rPr>
                <w:rFonts w:ascii="Cambria" w:hAnsi="Cambria" w:cs="Calibri Light"/>
                <w:b/>
                <w:color w:val="000000"/>
                <w:sz w:val="18"/>
                <w:szCs w:val="18"/>
              </w:rPr>
            </w:pPr>
            <w:r w:rsidRPr="003543CF">
              <w:rPr>
                <w:rFonts w:ascii="Cambria" w:hAnsi="Cambria" w:cs="Calibri"/>
                <w:color w:val="000000"/>
                <w:sz w:val="18"/>
                <w:szCs w:val="18"/>
              </w:rPr>
              <w:t>Partial compliance</w:t>
            </w:r>
          </w:p>
        </w:tc>
      </w:tr>
      <w:tr w:rsidR="005500CA" w:rsidRPr="003543CF" w14:paraId="71A33E0D" w14:textId="77777777" w:rsidTr="00D71E27">
        <w:tc>
          <w:tcPr>
            <w:tcW w:w="6930" w:type="dxa"/>
            <w:shd w:val="clear" w:color="auto" w:fill="auto"/>
          </w:tcPr>
          <w:p w14:paraId="718A6C8D" w14:textId="77777777" w:rsidR="005500CA" w:rsidRPr="003543CF" w:rsidRDefault="005500CA" w:rsidP="00D71E27">
            <w:pPr>
              <w:jc w:val="both"/>
              <w:rPr>
                <w:rFonts w:ascii="Cambria" w:hAnsi="Cambria"/>
                <w:color w:val="000000"/>
                <w:sz w:val="18"/>
                <w:szCs w:val="18"/>
              </w:rPr>
            </w:pPr>
            <w:r w:rsidRPr="003543CF">
              <w:rPr>
                <w:rFonts w:ascii="Cambria" w:hAnsi="Cambria"/>
                <w:snapToGrid w:val="0"/>
                <w:color w:val="000000"/>
                <w:sz w:val="18"/>
                <w:szCs w:val="18"/>
              </w:rPr>
              <w:t>4. Adopt such legislative or other measures as may be necessary to ensure that the right to a fair hearing under Article 8(1) of the American Convention and the right to judicial protection under Article 25 of the American Convention are given effect in Grenada in relation to recourse to Constitutional Motions.</w:t>
            </w:r>
          </w:p>
        </w:tc>
        <w:tc>
          <w:tcPr>
            <w:tcW w:w="2610" w:type="dxa"/>
            <w:shd w:val="clear" w:color="auto" w:fill="auto"/>
            <w:vAlign w:val="center"/>
          </w:tcPr>
          <w:p w14:paraId="6673557B" w14:textId="77777777" w:rsidR="005500CA" w:rsidRPr="003543CF" w:rsidRDefault="005500CA" w:rsidP="00D71E27">
            <w:pPr>
              <w:jc w:val="center"/>
              <w:rPr>
                <w:rFonts w:ascii="Cambria" w:hAnsi="Cambria" w:cs="Calibri Light"/>
                <w:b/>
                <w:color w:val="000000"/>
                <w:sz w:val="18"/>
                <w:szCs w:val="18"/>
              </w:rPr>
            </w:pPr>
            <w:r w:rsidRPr="003543CF">
              <w:rPr>
                <w:rFonts w:ascii="Cambria" w:hAnsi="Cambria" w:cs="Calibri"/>
                <w:color w:val="000000"/>
                <w:sz w:val="18"/>
                <w:szCs w:val="18"/>
              </w:rPr>
              <w:t>Pending compliance</w:t>
            </w:r>
          </w:p>
        </w:tc>
      </w:tr>
      <w:tr w:rsidR="005500CA" w:rsidRPr="003543CF" w14:paraId="0FED92C7" w14:textId="77777777" w:rsidTr="00D71E27">
        <w:tc>
          <w:tcPr>
            <w:tcW w:w="6930" w:type="dxa"/>
            <w:shd w:val="clear" w:color="auto" w:fill="auto"/>
          </w:tcPr>
          <w:p w14:paraId="1E9067EB" w14:textId="77777777" w:rsidR="005500CA" w:rsidRPr="003543CF" w:rsidRDefault="005500CA" w:rsidP="00D71E27">
            <w:pPr>
              <w:jc w:val="both"/>
              <w:rPr>
                <w:rFonts w:ascii="Cambria" w:hAnsi="Cambria"/>
                <w:snapToGrid w:val="0"/>
                <w:color w:val="000000"/>
                <w:sz w:val="18"/>
                <w:szCs w:val="18"/>
              </w:rPr>
            </w:pPr>
            <w:r w:rsidRPr="003543CF">
              <w:rPr>
                <w:rFonts w:ascii="Cambria" w:hAnsi="Cambria"/>
                <w:snapToGrid w:val="0"/>
                <w:color w:val="000000"/>
                <w:sz w:val="18"/>
                <w:szCs w:val="18"/>
              </w:rPr>
              <w:lastRenderedPageBreak/>
              <w:t>5. Adopt such legislative or other measures as may be necessary to ensure that the right to humane treatment under Article 5(1) and Article 5(2) of the American Convention in respect of the victim’s conditions of detention is given effect in Grenada.</w:t>
            </w:r>
          </w:p>
        </w:tc>
        <w:tc>
          <w:tcPr>
            <w:tcW w:w="2610" w:type="dxa"/>
            <w:shd w:val="clear" w:color="auto" w:fill="auto"/>
            <w:vAlign w:val="center"/>
          </w:tcPr>
          <w:p w14:paraId="24EF6B21" w14:textId="77777777" w:rsidR="005500CA" w:rsidRPr="003543CF" w:rsidRDefault="005500CA" w:rsidP="00D71E27">
            <w:pPr>
              <w:jc w:val="center"/>
              <w:rPr>
                <w:rFonts w:ascii="Cambria" w:hAnsi="Cambria" w:cs="Calibri Light"/>
                <w:b/>
                <w:color w:val="000000"/>
                <w:sz w:val="18"/>
                <w:szCs w:val="18"/>
              </w:rPr>
            </w:pPr>
            <w:r w:rsidRPr="003543CF">
              <w:rPr>
                <w:rFonts w:ascii="Cambria" w:hAnsi="Cambria" w:cs="Calibri"/>
                <w:color w:val="000000"/>
                <w:sz w:val="18"/>
                <w:szCs w:val="18"/>
              </w:rPr>
              <w:t>Partial compliance</w:t>
            </w:r>
          </w:p>
        </w:tc>
      </w:tr>
    </w:tbl>
    <w:p w14:paraId="2824A234" w14:textId="77777777" w:rsidR="005500CA" w:rsidRPr="003543CF" w:rsidRDefault="005500CA" w:rsidP="005500CA">
      <w:pPr>
        <w:pStyle w:val="ListParagraph"/>
        <w:ind w:left="1440"/>
        <w:jc w:val="both"/>
        <w:rPr>
          <w:rFonts w:ascii="Cambria" w:hAnsi="Cambria" w:cs="Calibri Light"/>
          <w:b/>
          <w:color w:val="000000"/>
          <w:sz w:val="20"/>
          <w:szCs w:val="20"/>
        </w:rPr>
      </w:pPr>
    </w:p>
    <w:p w14:paraId="206F6A6D" w14:textId="77777777" w:rsidR="005500CA" w:rsidRPr="003543CF" w:rsidRDefault="005500CA" w:rsidP="005500CA">
      <w:pPr>
        <w:pStyle w:val="ListParagraph"/>
        <w:numPr>
          <w:ilvl w:val="0"/>
          <w:numId w:val="8"/>
        </w:numPr>
        <w:ind w:left="1440"/>
        <w:jc w:val="both"/>
        <w:rPr>
          <w:rFonts w:ascii="Cambria" w:hAnsi="Cambria" w:cs="Calibri Light"/>
          <w:b/>
          <w:color w:val="000000"/>
          <w:sz w:val="20"/>
          <w:szCs w:val="20"/>
        </w:rPr>
      </w:pPr>
      <w:r w:rsidRPr="003543CF">
        <w:rPr>
          <w:rFonts w:ascii="Cambria" w:hAnsi="Cambria"/>
          <w:b/>
          <w:bCs/>
          <w:color w:val="000000"/>
          <w:sz w:val="20"/>
          <w:szCs w:val="20"/>
        </w:rPr>
        <w:t xml:space="preserve">Procedural Activity </w:t>
      </w:r>
    </w:p>
    <w:p w14:paraId="6D52A0A6" w14:textId="77777777" w:rsidR="005500CA" w:rsidRPr="003543CF" w:rsidRDefault="005500CA" w:rsidP="005500CA">
      <w:pPr>
        <w:jc w:val="both"/>
        <w:rPr>
          <w:rFonts w:ascii="Cambria" w:hAnsi="Cambria" w:cs="Calibri Light"/>
          <w:color w:val="000000" w:themeColor="text1"/>
          <w:sz w:val="20"/>
          <w:szCs w:val="20"/>
        </w:rPr>
      </w:pPr>
    </w:p>
    <w:p w14:paraId="15EA0455" w14:textId="68FBCC96" w:rsidR="005500CA" w:rsidRPr="003543CF" w:rsidRDefault="005500CA" w:rsidP="005500CA">
      <w:pPr>
        <w:pStyle w:val="ListParagraph"/>
        <w:numPr>
          <w:ilvl w:val="0"/>
          <w:numId w:val="11"/>
        </w:numPr>
        <w:ind w:left="0" w:firstLine="720"/>
        <w:jc w:val="both"/>
        <w:rPr>
          <w:rFonts w:ascii="Cambria" w:hAnsi="Cambria" w:cs="Calibri Light"/>
          <w:color w:val="000000" w:themeColor="text1"/>
          <w:sz w:val="20"/>
          <w:szCs w:val="20"/>
        </w:rPr>
      </w:pPr>
      <w:r w:rsidRPr="003543CF">
        <w:rPr>
          <w:rFonts w:ascii="Cambria" w:hAnsi="Cambria" w:cs="Calibri Light"/>
          <w:color w:val="000000" w:themeColor="text1"/>
          <w:sz w:val="20"/>
          <w:szCs w:val="20"/>
        </w:rPr>
        <w:t xml:space="preserve">In 2020, the IACHR requested updated information on compliance from the State on August 14. As of the closing date of this report, the Commission had not received said information from the State. </w:t>
      </w:r>
      <w:r w:rsidR="00EA3E0E" w:rsidRPr="003543CF">
        <w:rPr>
          <w:rFonts w:ascii="Cambria" w:hAnsi="Cambria"/>
          <w:color w:val="000000" w:themeColor="text1"/>
          <w:sz w:val="20"/>
          <w:szCs w:val="20"/>
          <w:lang w:val="en"/>
        </w:rPr>
        <w:t>The Commission observes with concerned that Granada has not submitted information on the measures taken to comply with the recommendations issued in Merits Report No. 47/01 since its publication in 2001.</w:t>
      </w:r>
    </w:p>
    <w:p w14:paraId="252E54F1" w14:textId="77777777" w:rsidR="008E7877" w:rsidRPr="003543CF" w:rsidRDefault="008E7877" w:rsidP="008E7877">
      <w:pPr>
        <w:pStyle w:val="ListParagraph"/>
        <w:jc w:val="both"/>
        <w:rPr>
          <w:rFonts w:ascii="Cambria" w:hAnsi="Cambria" w:cs="Calibri Light"/>
          <w:color w:val="000000" w:themeColor="text1"/>
          <w:sz w:val="20"/>
          <w:szCs w:val="20"/>
        </w:rPr>
      </w:pPr>
    </w:p>
    <w:p w14:paraId="07951CA5" w14:textId="5EADE950" w:rsidR="008E7877" w:rsidRPr="003543CF" w:rsidRDefault="003600F8" w:rsidP="005500CA">
      <w:pPr>
        <w:pStyle w:val="ListParagraph"/>
        <w:numPr>
          <w:ilvl w:val="0"/>
          <w:numId w:val="11"/>
        </w:numPr>
        <w:ind w:left="0" w:firstLine="720"/>
        <w:jc w:val="both"/>
        <w:rPr>
          <w:rFonts w:ascii="Cambria" w:hAnsi="Cambria" w:cs="Calibri Light"/>
          <w:color w:val="000000" w:themeColor="text1"/>
          <w:sz w:val="20"/>
          <w:szCs w:val="20"/>
        </w:rPr>
      </w:pPr>
      <w:r w:rsidRPr="003543CF">
        <w:rPr>
          <w:rFonts w:ascii="Cambria" w:hAnsi="Cambria" w:cs="Calibri Light"/>
          <w:color w:val="000000" w:themeColor="text1"/>
          <w:sz w:val="20"/>
          <w:szCs w:val="20"/>
        </w:rPr>
        <w:t xml:space="preserve">In </w:t>
      </w:r>
      <w:r w:rsidR="008E7877" w:rsidRPr="003543CF">
        <w:rPr>
          <w:rFonts w:ascii="Cambria" w:hAnsi="Cambria" w:cs="Calibri Light"/>
          <w:color w:val="000000" w:themeColor="text1"/>
          <w:sz w:val="20"/>
          <w:szCs w:val="20"/>
        </w:rPr>
        <w:t xml:space="preserve">2020, the IACHR asked the petitioners for updated information on compliance with the recommendations on August 14. On September 23, the petitioners sent </w:t>
      </w:r>
      <w:r w:rsidR="002D6274" w:rsidRPr="003543CF">
        <w:rPr>
          <w:rFonts w:ascii="Cambria" w:hAnsi="Cambria" w:cs="Calibri Light"/>
          <w:color w:val="000000" w:themeColor="text1"/>
          <w:sz w:val="20"/>
          <w:szCs w:val="20"/>
        </w:rPr>
        <w:t>the requested</w:t>
      </w:r>
      <w:r w:rsidR="008E7877" w:rsidRPr="003543CF">
        <w:rPr>
          <w:rFonts w:ascii="Cambria" w:hAnsi="Cambria" w:cs="Calibri Light"/>
          <w:color w:val="000000" w:themeColor="text1"/>
          <w:sz w:val="20"/>
          <w:szCs w:val="20"/>
        </w:rPr>
        <w:t xml:space="preserve"> information to the </w:t>
      </w:r>
      <w:r w:rsidRPr="003543CF">
        <w:rPr>
          <w:rFonts w:ascii="Cambria" w:hAnsi="Cambria" w:cs="Calibri Light"/>
          <w:color w:val="000000" w:themeColor="text1"/>
          <w:sz w:val="20"/>
          <w:szCs w:val="20"/>
        </w:rPr>
        <w:t>C</w:t>
      </w:r>
      <w:r w:rsidR="008E7877" w:rsidRPr="003543CF">
        <w:rPr>
          <w:rFonts w:ascii="Cambria" w:hAnsi="Cambria" w:cs="Calibri Light"/>
          <w:color w:val="000000" w:themeColor="text1"/>
          <w:sz w:val="20"/>
          <w:szCs w:val="20"/>
        </w:rPr>
        <w:t>ommission.</w:t>
      </w:r>
    </w:p>
    <w:p w14:paraId="4DB4E674" w14:textId="77777777" w:rsidR="005500CA" w:rsidRPr="003543CF" w:rsidRDefault="005500CA" w:rsidP="005500CA">
      <w:pPr>
        <w:jc w:val="both"/>
        <w:rPr>
          <w:rFonts w:ascii="Cambria" w:hAnsi="Cambria" w:cs="Calibri Light"/>
          <w:color w:val="000000" w:themeColor="text1"/>
          <w:sz w:val="20"/>
          <w:szCs w:val="20"/>
        </w:rPr>
      </w:pPr>
    </w:p>
    <w:p w14:paraId="2FF9C51C" w14:textId="77777777" w:rsidR="005500CA" w:rsidRPr="003543CF" w:rsidRDefault="005500CA" w:rsidP="005500CA">
      <w:pPr>
        <w:pStyle w:val="ListParagraph"/>
        <w:numPr>
          <w:ilvl w:val="0"/>
          <w:numId w:val="8"/>
        </w:numPr>
        <w:ind w:left="1440"/>
        <w:jc w:val="both"/>
        <w:rPr>
          <w:rFonts w:ascii="Cambria" w:hAnsi="Cambria" w:cs="Calibri Light"/>
          <w:b/>
          <w:color w:val="000000" w:themeColor="text1"/>
          <w:sz w:val="20"/>
          <w:szCs w:val="20"/>
        </w:rPr>
      </w:pPr>
      <w:r w:rsidRPr="003543CF">
        <w:rPr>
          <w:rFonts w:ascii="Cambria" w:hAnsi="Cambria" w:cs="Calibri Light"/>
          <w:b/>
          <w:bCs/>
          <w:color w:val="000000" w:themeColor="text1"/>
          <w:sz w:val="20"/>
          <w:szCs w:val="20"/>
        </w:rPr>
        <w:t xml:space="preserve">Analysis of the information presented </w:t>
      </w:r>
    </w:p>
    <w:p w14:paraId="19068929" w14:textId="785A8A5E" w:rsidR="00EA3E0E" w:rsidRPr="003543CF" w:rsidRDefault="00EA3E0E" w:rsidP="00EA3E0E">
      <w:pPr>
        <w:rPr>
          <w:rFonts w:ascii="Cambria" w:hAnsi="Cambria" w:cs="Calibri Light"/>
          <w:color w:val="000000" w:themeColor="text1"/>
          <w:sz w:val="20"/>
          <w:szCs w:val="20"/>
        </w:rPr>
      </w:pPr>
    </w:p>
    <w:p w14:paraId="38E599D3" w14:textId="788EA0E1" w:rsidR="00EA3E0E" w:rsidRPr="003543CF" w:rsidRDefault="00EA3E0E" w:rsidP="00EA3E0E">
      <w:pPr>
        <w:pStyle w:val="ListParagraph"/>
        <w:numPr>
          <w:ilvl w:val="0"/>
          <w:numId w:val="11"/>
        </w:numPr>
        <w:ind w:left="0" w:firstLine="720"/>
        <w:jc w:val="both"/>
        <w:rPr>
          <w:rFonts w:ascii="Cambria" w:hAnsi="Cambria" w:cs="Calibri Light"/>
          <w:color w:val="000000" w:themeColor="text1"/>
          <w:sz w:val="20"/>
          <w:szCs w:val="20"/>
        </w:rPr>
      </w:pPr>
      <w:r w:rsidRPr="003543CF">
        <w:rPr>
          <w:rFonts w:ascii="Cambria" w:hAnsi="Cambria" w:cs="Calibri Light"/>
          <w:color w:val="000000" w:themeColor="text1"/>
          <w:sz w:val="20"/>
          <w:szCs w:val="20"/>
        </w:rPr>
        <w:t>The Commission considers that the information provided by the petitioners in 2020 is not relevant to update the follow-up of the case, since it is repetitive of the information presented in previous years without containing information on recent measures adopted to comply with at least one of the recommendations included in Report on Merits No. 47/01.</w:t>
      </w:r>
    </w:p>
    <w:p w14:paraId="5B4B071F" w14:textId="77777777" w:rsidR="00EA3E0E" w:rsidRPr="003543CF" w:rsidRDefault="00EA3E0E" w:rsidP="00EA3E0E">
      <w:pPr>
        <w:ind w:firstLine="720"/>
        <w:jc w:val="both"/>
        <w:rPr>
          <w:rFonts w:ascii="Cambria" w:hAnsi="Cambria" w:cs="Calibri Light"/>
          <w:color w:val="000000" w:themeColor="text1"/>
          <w:sz w:val="20"/>
          <w:szCs w:val="20"/>
        </w:rPr>
      </w:pPr>
    </w:p>
    <w:p w14:paraId="65BE0089" w14:textId="47D5FB70" w:rsidR="00EA3E0E" w:rsidRPr="003543CF" w:rsidRDefault="00EA3E0E" w:rsidP="00EA3E0E">
      <w:pPr>
        <w:numPr>
          <w:ilvl w:val="0"/>
          <w:numId w:val="12"/>
        </w:numPr>
        <w:ind w:left="0" w:firstLine="720"/>
        <w:jc w:val="both"/>
        <w:rPr>
          <w:rFonts w:ascii="Cambria" w:hAnsi="Cambria" w:cs="Calibri Light"/>
          <w:color w:val="000000" w:themeColor="text1"/>
          <w:sz w:val="20"/>
          <w:szCs w:val="20"/>
        </w:rPr>
      </w:pPr>
      <w:r w:rsidRPr="003543CF">
        <w:rPr>
          <w:rFonts w:ascii="Cambria" w:hAnsi="Cambria" w:cs="Calibri Light"/>
          <w:color w:val="000000" w:themeColor="text1"/>
          <w:sz w:val="20"/>
          <w:szCs w:val="20"/>
        </w:rPr>
        <w:t xml:space="preserve">In this sense, because of the lack of updated information </w:t>
      </w:r>
      <w:r w:rsidRPr="003543CF">
        <w:rPr>
          <w:rFonts w:ascii="Cambria" w:hAnsi="Cambria"/>
          <w:color w:val="000000" w:themeColor="text1"/>
          <w:sz w:val="20"/>
          <w:szCs w:val="20"/>
          <w:lang w:val="en"/>
        </w:rPr>
        <w:t>on the level of compliance with the recommendations, the IACHR reiterates below the analysis of compliance and conclusions made in its 2019 Annual Report.</w:t>
      </w:r>
    </w:p>
    <w:p w14:paraId="59934975" w14:textId="77777777" w:rsidR="005500CA" w:rsidRPr="003543CF" w:rsidRDefault="005500CA" w:rsidP="005500CA">
      <w:pPr>
        <w:jc w:val="both"/>
        <w:rPr>
          <w:rFonts w:ascii="Cambria" w:hAnsi="Cambria" w:cs="Calibri Light"/>
          <w:color w:val="000000"/>
          <w:sz w:val="20"/>
          <w:szCs w:val="20"/>
        </w:rPr>
      </w:pPr>
    </w:p>
    <w:p w14:paraId="0275E7B9" w14:textId="77777777" w:rsidR="005500CA" w:rsidRPr="003543CF" w:rsidRDefault="005500CA" w:rsidP="005500CA">
      <w:pPr>
        <w:pStyle w:val="ListParagraph"/>
        <w:numPr>
          <w:ilvl w:val="0"/>
          <w:numId w:val="8"/>
        </w:numPr>
        <w:ind w:left="1440"/>
        <w:jc w:val="both"/>
        <w:rPr>
          <w:rFonts w:ascii="Cambria" w:hAnsi="Cambria" w:cs="Calibri Light"/>
          <w:b/>
          <w:color w:val="000000"/>
          <w:sz w:val="20"/>
          <w:szCs w:val="20"/>
        </w:rPr>
      </w:pPr>
      <w:r w:rsidRPr="003543CF">
        <w:rPr>
          <w:rFonts w:ascii="Cambria" w:hAnsi="Cambria" w:cs="Calibri Light"/>
          <w:b/>
          <w:bCs/>
          <w:color w:val="000000"/>
          <w:sz w:val="20"/>
          <w:szCs w:val="20"/>
        </w:rPr>
        <w:t xml:space="preserve">Analysis of compliance with the recommendations </w:t>
      </w:r>
    </w:p>
    <w:p w14:paraId="00474C00" w14:textId="77777777" w:rsidR="005500CA" w:rsidRPr="003543CF" w:rsidRDefault="005500CA" w:rsidP="005500CA">
      <w:pPr>
        <w:jc w:val="both"/>
        <w:rPr>
          <w:rFonts w:ascii="Cambria" w:hAnsi="Cambria" w:cs="Calibri Light"/>
          <w:color w:val="000000"/>
          <w:sz w:val="20"/>
          <w:szCs w:val="20"/>
        </w:rPr>
      </w:pPr>
    </w:p>
    <w:p w14:paraId="4A3B3A6C" w14:textId="77777777"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b/>
          <w:bCs/>
          <w:color w:val="000000"/>
          <w:sz w:val="20"/>
          <w:szCs w:val="20"/>
        </w:rPr>
        <w:t>With regards to the first recommendation</w:t>
      </w:r>
      <w:r w:rsidRPr="003543CF">
        <w:rPr>
          <w:rFonts w:ascii="Cambria" w:hAnsi="Cambria" w:cs="Calibri Light"/>
          <w:color w:val="000000"/>
          <w:sz w:val="20"/>
          <w:szCs w:val="20"/>
        </w:rPr>
        <w:t>,</w:t>
      </w:r>
      <w:r w:rsidRPr="003543CF">
        <w:rPr>
          <w:rFonts w:ascii="Cambria" w:hAnsi="Cambria" w:cs="Calibri Light"/>
          <w:b/>
          <w:bCs/>
          <w:color w:val="000000"/>
          <w:sz w:val="20"/>
          <w:szCs w:val="20"/>
        </w:rPr>
        <w:t xml:space="preserve"> </w:t>
      </w:r>
      <w:r w:rsidRPr="003543CF">
        <w:rPr>
          <w:rFonts w:ascii="Cambria" w:hAnsi="Cambria" w:cs="Calibri Light"/>
          <w:color w:val="000000"/>
          <w:sz w:val="20"/>
          <w:szCs w:val="20"/>
        </w:rPr>
        <w:t xml:space="preserve">the State has not presented information about compliance with this recommendation. </w:t>
      </w:r>
    </w:p>
    <w:p w14:paraId="5D3D2854" w14:textId="77777777" w:rsidR="005500CA" w:rsidRPr="003543CF" w:rsidRDefault="005500CA" w:rsidP="005500CA">
      <w:pPr>
        <w:pStyle w:val="ListParagraph"/>
        <w:jc w:val="both"/>
        <w:rPr>
          <w:rFonts w:ascii="Cambria" w:hAnsi="Cambria" w:cs="Calibri Light"/>
          <w:color w:val="000000"/>
          <w:sz w:val="20"/>
          <w:szCs w:val="20"/>
        </w:rPr>
      </w:pPr>
    </w:p>
    <w:p w14:paraId="0E410C10" w14:textId="133F7241"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color w:val="000000"/>
          <w:sz w:val="20"/>
          <w:szCs w:val="20"/>
        </w:rPr>
        <w:t xml:space="preserve">The petitioners previously informed that in the 2002 judgements in the cases of </w:t>
      </w:r>
      <w:r w:rsidRPr="003543CF">
        <w:rPr>
          <w:rFonts w:ascii="Cambria" w:hAnsi="Cambria" w:cs="Calibri Light"/>
          <w:i/>
          <w:iCs/>
          <w:color w:val="000000"/>
          <w:sz w:val="20"/>
          <w:szCs w:val="20"/>
        </w:rPr>
        <w:t>R v. Hughes</w:t>
      </w:r>
      <w:r w:rsidRPr="003543CF">
        <w:rPr>
          <w:rFonts w:ascii="Cambria" w:hAnsi="Cambria" w:cs="Calibri Light"/>
          <w:color w:val="000000"/>
          <w:sz w:val="20"/>
          <w:szCs w:val="20"/>
        </w:rPr>
        <w:t xml:space="preserve">, </w:t>
      </w:r>
      <w:r w:rsidRPr="003543CF">
        <w:rPr>
          <w:rFonts w:ascii="Cambria" w:hAnsi="Cambria" w:cs="Calibri Light"/>
          <w:i/>
          <w:iCs/>
          <w:color w:val="000000"/>
          <w:sz w:val="20"/>
          <w:szCs w:val="20"/>
        </w:rPr>
        <w:t>R v. Reyes</w:t>
      </w:r>
      <w:r w:rsidRPr="003543CF">
        <w:rPr>
          <w:rFonts w:ascii="Cambria" w:hAnsi="Cambria" w:cs="Calibri Light"/>
          <w:color w:val="000000"/>
          <w:sz w:val="20"/>
          <w:szCs w:val="20"/>
        </w:rPr>
        <w:t xml:space="preserve"> and </w:t>
      </w:r>
      <w:r w:rsidRPr="003543CF">
        <w:rPr>
          <w:rFonts w:ascii="Cambria" w:hAnsi="Cambria" w:cs="Calibri Light"/>
          <w:i/>
          <w:iCs/>
          <w:color w:val="000000"/>
          <w:sz w:val="20"/>
          <w:szCs w:val="20"/>
        </w:rPr>
        <w:t>Fox v. The Queen</w:t>
      </w:r>
      <w:r w:rsidRPr="003543CF">
        <w:rPr>
          <w:rFonts w:ascii="Cambria" w:hAnsi="Cambria" w:cs="Calibri Light"/>
          <w:color w:val="000000"/>
          <w:sz w:val="20"/>
          <w:szCs w:val="20"/>
        </w:rPr>
        <w:t>,</w:t>
      </w:r>
      <w:r w:rsidRPr="003543CF">
        <w:rPr>
          <w:rStyle w:val="FootnoteReference"/>
          <w:rFonts w:ascii="Cambria" w:hAnsi="Cambria" w:cs="Calibri Light"/>
          <w:color w:val="000000"/>
          <w:sz w:val="20"/>
          <w:szCs w:val="20"/>
        </w:rPr>
        <w:footnoteReference w:id="1"/>
      </w:r>
      <w:r w:rsidRPr="003543CF">
        <w:rPr>
          <w:rFonts w:ascii="Cambria" w:hAnsi="Cambria" w:cs="Calibri Light"/>
          <w:color w:val="000000"/>
          <w:sz w:val="20"/>
          <w:szCs w:val="20"/>
        </w:rPr>
        <w:t xml:space="preserve"> the Judicial Committee of the Privy Council declared that the imposition of the death penalty in Eastern Caribbean countries was unconstitutional.</w:t>
      </w:r>
      <w:r w:rsidRPr="003543CF">
        <w:rPr>
          <w:rStyle w:val="FootnoteReference"/>
          <w:rFonts w:ascii="Cambria" w:hAnsi="Cambria" w:cs="Calibri Light"/>
          <w:color w:val="000000"/>
          <w:sz w:val="20"/>
          <w:szCs w:val="20"/>
        </w:rPr>
        <w:footnoteReference w:id="2"/>
      </w:r>
      <w:r w:rsidRPr="003543CF">
        <w:rPr>
          <w:rFonts w:ascii="Cambria" w:hAnsi="Cambria" w:cs="Calibri Light"/>
          <w:color w:val="000000"/>
          <w:sz w:val="20"/>
          <w:szCs w:val="20"/>
        </w:rPr>
        <w:t xml:space="preserve"> As a result of this decision, the State of Grenada was required to review Mr. Knights’ death sentence as he was automatically sentenced to death upon conviction. Given that by 2008 the State of Grenada had not reconsidered the sentences of those individuals who had been mandatorily sentenced to death, petitions were filed with the Privy Council on behalf of ten prisoners, including Mr. Knights. On June 11, 2008 the Privy Council quashed Mr. Knights’ death sentence and remitted his case to the Supreme Court of Grenada, who in turn, sentenced him to life imprisonment in 2010. Mr. Knights appealed this decision. In 2018, the petitioners informed the IACHR that Mr. Knights was released from prison in April 2015 following the decision of the Court of Appeal of Grenada which took into account time served and expert medical reports. The petitioners also informed in 2018 that Mr. Knights has not received compensation for the human rights violations he suffered</w:t>
      </w:r>
      <w:r w:rsidRPr="003543CF">
        <w:rPr>
          <w:rFonts w:ascii="Cambria" w:hAnsi="Cambria" w:cs="Calibri Light"/>
          <w:color w:val="000000"/>
          <w:sz w:val="20"/>
          <w:szCs w:val="20"/>
          <w:lang w:val="en"/>
        </w:rPr>
        <w:t xml:space="preserve">. </w:t>
      </w:r>
      <w:r w:rsidRPr="003543CF">
        <w:rPr>
          <w:rFonts w:ascii="Cambria" w:hAnsi="Cambria" w:cs="Calibri Light"/>
          <w:color w:val="000000" w:themeColor="text1"/>
          <w:sz w:val="20"/>
          <w:szCs w:val="20"/>
          <w:lang w:val="en"/>
        </w:rPr>
        <w:t>In 2019</w:t>
      </w:r>
      <w:r w:rsidR="0065785C" w:rsidRPr="003543CF">
        <w:rPr>
          <w:rFonts w:ascii="Cambria" w:hAnsi="Cambria" w:cs="Calibri Light"/>
          <w:color w:val="000000" w:themeColor="text1"/>
          <w:sz w:val="20"/>
          <w:szCs w:val="20"/>
          <w:lang w:val="en"/>
        </w:rPr>
        <w:t xml:space="preserve"> and 2020</w:t>
      </w:r>
      <w:r w:rsidRPr="003543CF">
        <w:rPr>
          <w:rFonts w:ascii="Cambria" w:hAnsi="Cambria" w:cs="Calibri Light"/>
          <w:color w:val="000000" w:themeColor="text1"/>
          <w:sz w:val="20"/>
          <w:szCs w:val="20"/>
          <w:lang w:val="en"/>
        </w:rPr>
        <w:t>, the petitioners reiterated the information submitted previously to the Commission. They indicated that, as far as they were aware, to date, Donnason Knights had not received compensation for the violations he experienced.</w:t>
      </w:r>
    </w:p>
    <w:p w14:paraId="70788AB7" w14:textId="77777777" w:rsidR="005500CA" w:rsidRPr="003543CF" w:rsidRDefault="005500CA" w:rsidP="005500CA">
      <w:pPr>
        <w:pStyle w:val="ListParagraph"/>
        <w:jc w:val="both"/>
        <w:rPr>
          <w:rFonts w:ascii="Cambria" w:hAnsi="Cambria" w:cs="Calibri Light"/>
          <w:color w:val="000000"/>
          <w:sz w:val="20"/>
          <w:szCs w:val="20"/>
        </w:rPr>
      </w:pPr>
    </w:p>
    <w:p w14:paraId="5B6E8491" w14:textId="77777777"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olor w:val="000000"/>
          <w:sz w:val="20"/>
          <w:szCs w:val="20"/>
        </w:rPr>
        <w:t xml:space="preserve">The Commission welcomes the information submitted by the petitioners indicating that the victim has been released from prison. </w:t>
      </w:r>
      <w:r w:rsidRPr="003543CF">
        <w:rPr>
          <w:rFonts w:ascii="Cambria" w:hAnsi="Cambria"/>
          <w:color w:val="000000"/>
          <w:sz w:val="20"/>
          <w:szCs w:val="20"/>
          <w:lang w:val="en"/>
        </w:rPr>
        <w:t xml:space="preserve">With regard to the granting of compensation to the victim, the IACHR reminds the State that, in accordance with the principles of international law, all failures to comply with an </w:t>
      </w:r>
      <w:r w:rsidRPr="003543CF">
        <w:rPr>
          <w:rFonts w:ascii="Cambria" w:hAnsi="Cambria"/>
          <w:color w:val="000000"/>
          <w:sz w:val="20"/>
          <w:szCs w:val="20"/>
          <w:lang w:val="en"/>
        </w:rPr>
        <w:lastRenderedPageBreak/>
        <w:t>international obligation that cause harm give rise to a duty to provide adequate reparations for it.</w:t>
      </w:r>
      <w:r w:rsidRPr="003543CF">
        <w:rPr>
          <w:rStyle w:val="FootnoteReference"/>
          <w:rFonts w:ascii="Cambria" w:hAnsi="Cambria"/>
          <w:color w:val="000000"/>
          <w:lang w:val="en"/>
        </w:rPr>
        <w:footnoteReference w:id="3"/>
      </w:r>
      <w:r w:rsidRPr="003543CF">
        <w:rPr>
          <w:rFonts w:ascii="Cambria" w:hAnsi="Cambria"/>
          <w:color w:val="000000"/>
          <w:sz w:val="20"/>
          <w:szCs w:val="20"/>
          <w:lang w:val="en"/>
        </w:rPr>
        <w:t xml:space="preserve"> Pursuant to the case law of the Inter-American system, the victims of human rights violations have a right to receive adequate compensation for the harm suffered. This compensation must take the form of individual measures to restore, indemnify, and rehabilitate the victim, as well as measures of satisfaction and non-repetition guarantees.</w:t>
      </w:r>
      <w:r w:rsidRPr="003543CF">
        <w:rPr>
          <w:rStyle w:val="FootnoteReference"/>
          <w:rFonts w:ascii="Cambria" w:hAnsi="Cambria"/>
          <w:color w:val="000000"/>
          <w:lang w:val="en"/>
        </w:rPr>
        <w:footnoteReference w:id="4"/>
      </w:r>
      <w:r w:rsidRPr="003543CF">
        <w:rPr>
          <w:rFonts w:ascii="Cambria" w:hAnsi="Cambria"/>
          <w:color w:val="000000"/>
          <w:sz w:val="20"/>
          <w:szCs w:val="20"/>
          <w:lang w:val="en"/>
        </w:rPr>
        <w:t xml:space="preserve"> Likewise, a State cannot modify this obligation or ignore it based on its domestic laws.</w:t>
      </w:r>
      <w:r w:rsidRPr="003543CF">
        <w:rPr>
          <w:rStyle w:val="FootnoteReference"/>
          <w:rFonts w:ascii="Cambria" w:hAnsi="Cambria"/>
          <w:color w:val="000000"/>
          <w:lang w:val="en"/>
        </w:rPr>
        <w:footnoteReference w:id="5"/>
      </w:r>
      <w:r w:rsidRPr="003543CF">
        <w:rPr>
          <w:rFonts w:ascii="Cambria" w:hAnsi="Cambria"/>
          <w:color w:val="000000"/>
          <w:sz w:val="20"/>
          <w:szCs w:val="20"/>
          <w:lang w:val="en"/>
        </w:rPr>
        <w:t xml:space="preserve"> Therefore</w:t>
      </w:r>
      <w:r w:rsidRPr="003543CF">
        <w:rPr>
          <w:rFonts w:ascii="Cambria" w:hAnsi="Cambria"/>
          <w:color w:val="000000"/>
          <w:sz w:val="20"/>
          <w:szCs w:val="20"/>
        </w:rPr>
        <w:t xml:space="preserve">, the Commission calls the State to adopt actions to grant Mr. Knights an effective remedy including compensation and to inform the IACHR of these actions.   Based on this, the Commission finds that Recommendation 1 is partially complied.   </w:t>
      </w:r>
    </w:p>
    <w:p w14:paraId="39E092B5" w14:textId="77777777" w:rsidR="005500CA" w:rsidRPr="003543CF" w:rsidRDefault="005500CA" w:rsidP="005500CA">
      <w:pPr>
        <w:pStyle w:val="ListParagraph"/>
        <w:ind w:left="0" w:firstLine="720"/>
        <w:jc w:val="both"/>
        <w:rPr>
          <w:rFonts w:ascii="Cambria" w:hAnsi="Cambria" w:cs="Calibri Light"/>
          <w:color w:val="000000"/>
          <w:sz w:val="20"/>
          <w:szCs w:val="20"/>
        </w:rPr>
      </w:pPr>
    </w:p>
    <w:p w14:paraId="7768F009" w14:textId="77777777"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b/>
          <w:bCs/>
          <w:color w:val="000000"/>
          <w:sz w:val="20"/>
          <w:szCs w:val="20"/>
        </w:rPr>
        <w:t>Regarding the second recommendation</w:t>
      </w:r>
      <w:r w:rsidRPr="003543CF">
        <w:rPr>
          <w:rFonts w:ascii="Cambria" w:hAnsi="Cambria" w:cs="Calibri Light"/>
          <w:color w:val="000000"/>
          <w:sz w:val="20"/>
          <w:szCs w:val="20"/>
        </w:rPr>
        <w:t>,</w:t>
      </w:r>
      <w:r w:rsidRPr="003543CF">
        <w:rPr>
          <w:rFonts w:ascii="Cambria" w:hAnsi="Cambria" w:cs="Calibri Light"/>
          <w:b/>
          <w:bCs/>
          <w:color w:val="000000"/>
          <w:sz w:val="20"/>
          <w:szCs w:val="20"/>
        </w:rPr>
        <w:t xml:space="preserve"> </w:t>
      </w:r>
      <w:r w:rsidRPr="003543CF">
        <w:rPr>
          <w:rFonts w:ascii="Cambria" w:hAnsi="Cambria" w:cs="Calibri Light"/>
          <w:color w:val="000000"/>
          <w:sz w:val="20"/>
          <w:szCs w:val="20"/>
        </w:rPr>
        <w:t xml:space="preserve">the State has not presented information about compliance with this recommendation. </w:t>
      </w:r>
    </w:p>
    <w:p w14:paraId="0FCD71A6" w14:textId="77777777" w:rsidR="005500CA" w:rsidRPr="003543CF" w:rsidRDefault="005500CA" w:rsidP="005500CA">
      <w:pPr>
        <w:pStyle w:val="ListParagraph"/>
        <w:jc w:val="both"/>
        <w:rPr>
          <w:rFonts w:ascii="Cambria" w:hAnsi="Cambria" w:cs="Calibri Light"/>
          <w:b/>
          <w:color w:val="000000"/>
          <w:sz w:val="20"/>
          <w:szCs w:val="20"/>
        </w:rPr>
      </w:pPr>
    </w:p>
    <w:p w14:paraId="578DA1D4" w14:textId="1CA29F87" w:rsidR="005500CA" w:rsidRPr="003543CF" w:rsidRDefault="005500CA" w:rsidP="005500CA">
      <w:pPr>
        <w:pStyle w:val="ListParagraph"/>
        <w:numPr>
          <w:ilvl w:val="0"/>
          <w:numId w:val="11"/>
        </w:numPr>
        <w:ind w:left="0" w:firstLine="720"/>
        <w:jc w:val="both"/>
        <w:rPr>
          <w:rFonts w:ascii="Cambria" w:hAnsi="Cambria" w:cs="Calibri Light"/>
          <w:color w:val="000000" w:themeColor="text1"/>
          <w:sz w:val="20"/>
          <w:szCs w:val="20"/>
        </w:rPr>
      </w:pPr>
      <w:r w:rsidRPr="003543CF">
        <w:rPr>
          <w:rFonts w:ascii="Cambria" w:hAnsi="Cambria"/>
          <w:color w:val="000000"/>
          <w:sz w:val="20"/>
          <w:szCs w:val="20"/>
        </w:rPr>
        <w:t xml:space="preserve">In 2015 the petitioners informed that Section 230 of the Criminal Code of Grenada still contains the mandatory imposition of the death penalty for murder and that the State has not taken any legislative steps to amend this provision. However, the petitioners also informed that the courts no longer apply the mandatory death penalty in murder cases given that, based on the decision of the Privy Council in </w:t>
      </w:r>
      <w:r w:rsidRPr="003543CF">
        <w:rPr>
          <w:rFonts w:ascii="Cambria" w:hAnsi="Cambria"/>
          <w:i/>
          <w:iCs/>
          <w:color w:val="000000"/>
          <w:sz w:val="20"/>
          <w:szCs w:val="20"/>
        </w:rPr>
        <w:t>Coard v. Attorney General of Grenada</w:t>
      </w:r>
      <w:r w:rsidRPr="003543CF">
        <w:rPr>
          <w:rStyle w:val="FootnoteReference"/>
          <w:rFonts w:ascii="Cambria" w:hAnsi="Cambria"/>
          <w:color w:val="000000"/>
          <w:sz w:val="20"/>
          <w:szCs w:val="20"/>
        </w:rPr>
        <w:footnoteReference w:id="6"/>
      </w:r>
      <w:r w:rsidRPr="003543CF">
        <w:rPr>
          <w:rFonts w:ascii="Cambria" w:hAnsi="Cambria"/>
          <w:i/>
          <w:iCs/>
          <w:color w:val="000000"/>
          <w:sz w:val="20"/>
          <w:szCs w:val="20"/>
        </w:rPr>
        <w:t xml:space="preserve"> </w:t>
      </w:r>
      <w:r w:rsidRPr="003543CF">
        <w:rPr>
          <w:rFonts w:ascii="Cambria" w:hAnsi="Cambria"/>
          <w:color w:val="000000"/>
          <w:sz w:val="20"/>
          <w:szCs w:val="20"/>
        </w:rPr>
        <w:t xml:space="preserve">in 2007, the judiciary has the discretion to impose a lower sentence than the death penalty in these cases. </w:t>
      </w:r>
      <w:r w:rsidRPr="003543CF">
        <w:rPr>
          <w:rFonts w:ascii="Cambria" w:hAnsi="Cambria"/>
          <w:color w:val="000000"/>
          <w:sz w:val="20"/>
          <w:szCs w:val="20"/>
          <w:lang w:val="en"/>
        </w:rPr>
        <w:t xml:space="preserve">In 2019, the petitioners took note of the legal development in the Caribbean region surrounding the death penalty. They stated that in 2001, the Eastern Caribbean Supreme Court declared the automatic application of the death penalty in San Vicente and the Grenadines and St. Lucia to be unconstitutional, based on its cruel and inhuman nature. They indicated that this ruling was upheld by the Privy Council in a number of resolutions, and that, with the exception of Trinidad and Tobago, the mandatory death penalty has been abolished in the English-speaking countries of the Caribbean. The petitioners informed the IACHR that, based on these decisions, Caribbean jurisdictions had adopted a test called "rarest of rare," which provides for discretion in imposing the death penalty in exceptional situations. In their communication, the petitioners reported that this test is based on two central aspects, in accordance with the decision of the Privy Counsel in </w:t>
      </w:r>
      <w:r w:rsidRPr="003543CF">
        <w:rPr>
          <w:rFonts w:ascii="Cambria" w:hAnsi="Cambria"/>
          <w:i/>
          <w:iCs/>
          <w:color w:val="000000"/>
          <w:sz w:val="20"/>
          <w:szCs w:val="20"/>
          <w:lang w:val="en"/>
        </w:rPr>
        <w:t xml:space="preserve">Trimmingham v. R </w:t>
      </w:r>
      <w:r w:rsidRPr="003543CF">
        <w:rPr>
          <w:rFonts w:ascii="Cambria" w:hAnsi="Cambria"/>
          <w:color w:val="000000"/>
          <w:sz w:val="20"/>
          <w:szCs w:val="20"/>
          <w:shd w:val="clear" w:color="auto" w:fill="FFFFFF"/>
          <w:lang w:val="en"/>
        </w:rPr>
        <w:t>[2009] UKPC 25 (San Vicente and the Grenadines)</w:t>
      </w:r>
      <w:r w:rsidRPr="003543CF">
        <w:rPr>
          <w:rFonts w:ascii="Cambria" w:hAnsi="Cambria"/>
          <w:color w:val="000000"/>
          <w:sz w:val="20"/>
          <w:szCs w:val="20"/>
          <w:lang w:val="en"/>
        </w:rPr>
        <w:t xml:space="preserve">. First, the crime or offense must be particularly grave, and second, the punishment can only be applied when there are serious questions as to the possibility of recidivism of the offender or the lack of other punishments capable of ensuring attainment of the aims pursued by criminal law. In the view of the petitioners, the standard is a strong presumption in favor of life, and its application has drastically reduced the automatic application of the death penalty in the Caribbean region. </w:t>
      </w:r>
      <w:r w:rsidR="00D93671" w:rsidRPr="003543CF">
        <w:rPr>
          <w:rFonts w:ascii="Cambria" w:hAnsi="Cambria"/>
          <w:color w:val="000000" w:themeColor="text1"/>
          <w:sz w:val="20"/>
          <w:szCs w:val="20"/>
          <w:lang w:val="en"/>
        </w:rPr>
        <w:t>In 2020, the petitioners reiterate the information presented in 2019.</w:t>
      </w:r>
    </w:p>
    <w:p w14:paraId="6F862884" w14:textId="77777777" w:rsidR="005500CA" w:rsidRPr="003543CF" w:rsidRDefault="005500CA" w:rsidP="005500CA">
      <w:pPr>
        <w:pStyle w:val="ListParagraph"/>
        <w:rPr>
          <w:rFonts w:ascii="Cambria" w:hAnsi="Cambria" w:cs="Calibri Light"/>
          <w:color w:val="000000"/>
          <w:sz w:val="20"/>
          <w:szCs w:val="20"/>
        </w:rPr>
      </w:pPr>
    </w:p>
    <w:p w14:paraId="08CD3C61" w14:textId="77777777" w:rsidR="005500CA" w:rsidRPr="003543CF" w:rsidRDefault="005500CA" w:rsidP="005500CA">
      <w:pPr>
        <w:pStyle w:val="ListParagraph"/>
        <w:numPr>
          <w:ilvl w:val="0"/>
          <w:numId w:val="11"/>
        </w:numPr>
        <w:ind w:left="0" w:firstLine="720"/>
        <w:jc w:val="both"/>
        <w:rPr>
          <w:rFonts w:ascii="Cambria" w:hAnsi="Cambria" w:cs="Calibri Light"/>
          <w:b/>
          <w:color w:val="000000"/>
          <w:sz w:val="20"/>
          <w:szCs w:val="20"/>
        </w:rPr>
      </w:pPr>
      <w:r w:rsidRPr="003543CF">
        <w:rPr>
          <w:rFonts w:ascii="Cambria" w:hAnsi="Cambria"/>
          <w:color w:val="000000"/>
          <w:sz w:val="20"/>
          <w:szCs w:val="20"/>
        </w:rPr>
        <w:t xml:space="preserve">The Commission values positively the information that the State of Grenada no longer applies the mandatory death penalty in murder cases </w:t>
      </w:r>
      <w:r w:rsidRPr="003543CF">
        <w:rPr>
          <w:rFonts w:ascii="Cambria" w:hAnsi="Cambria"/>
          <w:color w:val="000000"/>
          <w:sz w:val="20"/>
          <w:szCs w:val="20"/>
          <w:lang w:val="en"/>
        </w:rPr>
        <w:t>and the adoption of the “rarest of rare” test</w:t>
      </w:r>
      <w:r w:rsidRPr="003543CF">
        <w:rPr>
          <w:rFonts w:ascii="Cambria" w:hAnsi="Cambria"/>
          <w:i/>
          <w:iCs/>
          <w:color w:val="000000"/>
          <w:sz w:val="20"/>
          <w:szCs w:val="20"/>
          <w:lang w:val="en"/>
        </w:rPr>
        <w:t xml:space="preserve">. </w:t>
      </w:r>
      <w:r w:rsidRPr="003543CF">
        <w:rPr>
          <w:rFonts w:ascii="Cambria" w:hAnsi="Cambria"/>
          <w:color w:val="000000"/>
          <w:sz w:val="20"/>
          <w:szCs w:val="20"/>
          <w:lang w:val="en"/>
        </w:rPr>
        <w:t>In this regard, in view of the lack of information from the State on actions taken to comply with this recommendation, the Commission asks it to submit information on the measures reported by the petitioners and on any other action</w:t>
      </w:r>
      <w:r w:rsidRPr="003543CF">
        <w:rPr>
          <w:rFonts w:ascii="Cambria" w:hAnsi="Cambria"/>
          <w:color w:val="000000"/>
          <w:sz w:val="18"/>
          <w:szCs w:val="18"/>
          <w:shd w:val="clear" w:color="auto" w:fill="FFFFFF"/>
          <w:lang w:val="en"/>
        </w:rPr>
        <w:t xml:space="preserve"> </w:t>
      </w:r>
      <w:r w:rsidRPr="003543CF">
        <w:rPr>
          <w:rFonts w:ascii="Cambria" w:hAnsi="Cambria"/>
          <w:color w:val="000000"/>
          <w:sz w:val="20"/>
          <w:szCs w:val="20"/>
          <w:shd w:val="clear" w:color="auto" w:fill="FFFFFF"/>
          <w:lang w:val="en"/>
        </w:rPr>
        <w:t>taken to ensure the death penalty is not applied in violation of the rights and freedoms guaranteed by the Convention, including in its articles 4, 5, 8, and, in particular, to ensure that no individual is sentenced to death based on a mandatory sentencing law.</w:t>
      </w:r>
      <w:r w:rsidRPr="003543CF">
        <w:rPr>
          <w:rFonts w:ascii="Cambria" w:hAnsi="Cambria"/>
          <w:color w:val="000000"/>
          <w:sz w:val="20"/>
          <w:szCs w:val="20"/>
          <w:shd w:val="clear" w:color="auto" w:fill="FFFFFF"/>
        </w:rPr>
        <w:t xml:space="preserve"> </w:t>
      </w:r>
      <w:r w:rsidRPr="003543CF">
        <w:rPr>
          <w:rFonts w:ascii="Cambria" w:hAnsi="Cambria"/>
          <w:color w:val="000000"/>
          <w:sz w:val="20"/>
          <w:szCs w:val="20"/>
        </w:rPr>
        <w:t xml:space="preserve">Based on this, the Commission finds that Recommendation 2 is partially complied.     </w:t>
      </w:r>
    </w:p>
    <w:p w14:paraId="4492026C" w14:textId="77777777" w:rsidR="005500CA" w:rsidRPr="003543CF" w:rsidRDefault="005500CA" w:rsidP="005500CA">
      <w:pPr>
        <w:pStyle w:val="ListParagraph"/>
        <w:ind w:left="0" w:firstLine="720"/>
        <w:jc w:val="both"/>
        <w:rPr>
          <w:rFonts w:ascii="Cambria" w:hAnsi="Cambria" w:cs="Calibri Light"/>
          <w:color w:val="000000"/>
          <w:sz w:val="20"/>
          <w:szCs w:val="20"/>
        </w:rPr>
      </w:pPr>
    </w:p>
    <w:p w14:paraId="3073B104" w14:textId="77777777"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b/>
          <w:bCs/>
          <w:color w:val="000000"/>
          <w:sz w:val="20"/>
          <w:szCs w:val="20"/>
        </w:rPr>
        <w:t>With regards to the third recommendation</w:t>
      </w:r>
      <w:r w:rsidRPr="003543CF">
        <w:rPr>
          <w:rFonts w:ascii="Cambria" w:hAnsi="Cambria" w:cs="Calibri Light"/>
          <w:color w:val="000000"/>
          <w:sz w:val="20"/>
          <w:szCs w:val="20"/>
        </w:rPr>
        <w:t>,</w:t>
      </w:r>
      <w:r w:rsidRPr="003543CF">
        <w:rPr>
          <w:rFonts w:ascii="Cambria" w:hAnsi="Cambria" w:cs="Calibri Light"/>
          <w:b/>
          <w:bCs/>
          <w:color w:val="000000"/>
          <w:sz w:val="20"/>
          <w:szCs w:val="20"/>
        </w:rPr>
        <w:t xml:space="preserve"> </w:t>
      </w:r>
      <w:r w:rsidRPr="003543CF">
        <w:rPr>
          <w:rFonts w:ascii="Cambria" w:hAnsi="Cambria" w:cs="Calibri Light"/>
          <w:color w:val="000000"/>
          <w:sz w:val="20"/>
          <w:szCs w:val="20"/>
        </w:rPr>
        <w:t xml:space="preserve">the State has not presented information about compliance with this recommendation. </w:t>
      </w:r>
    </w:p>
    <w:p w14:paraId="615AC0BD" w14:textId="77777777" w:rsidR="005500CA" w:rsidRPr="003543CF" w:rsidRDefault="005500CA" w:rsidP="005500CA">
      <w:pPr>
        <w:pStyle w:val="ListParagraph"/>
        <w:rPr>
          <w:rFonts w:ascii="Cambria" w:hAnsi="Cambria" w:cs="Calibri Light"/>
          <w:color w:val="000000"/>
          <w:sz w:val="20"/>
          <w:szCs w:val="20"/>
        </w:rPr>
      </w:pPr>
    </w:p>
    <w:p w14:paraId="71A10E24" w14:textId="0CC3B823" w:rsidR="005500CA" w:rsidRPr="003543CF" w:rsidRDefault="005500CA" w:rsidP="005500CA">
      <w:pPr>
        <w:pStyle w:val="ListParagraph"/>
        <w:numPr>
          <w:ilvl w:val="0"/>
          <w:numId w:val="11"/>
        </w:numPr>
        <w:ind w:left="0" w:firstLine="720"/>
        <w:jc w:val="both"/>
        <w:rPr>
          <w:rFonts w:ascii="Cambria" w:hAnsi="Cambria" w:cs="Calibri Light"/>
          <w:color w:val="000000" w:themeColor="text1"/>
          <w:sz w:val="20"/>
          <w:szCs w:val="20"/>
        </w:rPr>
      </w:pPr>
      <w:r w:rsidRPr="003543CF">
        <w:rPr>
          <w:rFonts w:ascii="Cambria" w:hAnsi="Cambria"/>
          <w:color w:val="000000"/>
          <w:sz w:val="20"/>
          <w:szCs w:val="20"/>
        </w:rPr>
        <w:lastRenderedPageBreak/>
        <w:t xml:space="preserve">In 2015 the petitioners informed that as a result of the decision of the Privy Council in </w:t>
      </w:r>
      <w:r w:rsidRPr="003543CF">
        <w:rPr>
          <w:rFonts w:ascii="Cambria" w:hAnsi="Cambria"/>
          <w:i/>
          <w:iCs/>
          <w:color w:val="000000"/>
          <w:sz w:val="20"/>
          <w:szCs w:val="20"/>
        </w:rPr>
        <w:t>Lewis v. Attorney General of Jamaica</w:t>
      </w:r>
      <w:r w:rsidRPr="003543CF">
        <w:rPr>
          <w:rStyle w:val="FootnoteReference"/>
          <w:rFonts w:ascii="Cambria" w:hAnsi="Cambria" w:cs="Calibri Light"/>
          <w:color w:val="000000"/>
          <w:sz w:val="20"/>
          <w:szCs w:val="20"/>
        </w:rPr>
        <w:footnoteReference w:id="7"/>
      </w:r>
      <w:r w:rsidRPr="003543CF">
        <w:rPr>
          <w:rFonts w:ascii="Cambria" w:hAnsi="Cambria"/>
          <w:i/>
          <w:iCs/>
          <w:color w:val="000000"/>
          <w:sz w:val="20"/>
          <w:szCs w:val="20"/>
        </w:rPr>
        <w:t xml:space="preserve"> </w:t>
      </w:r>
      <w:r w:rsidRPr="003543CF">
        <w:rPr>
          <w:rFonts w:ascii="Cambria" w:hAnsi="Cambria"/>
          <w:color w:val="000000"/>
          <w:sz w:val="20"/>
          <w:szCs w:val="20"/>
        </w:rPr>
        <w:t>in 2000, the State of Grenada is required to operate fair and proper procedures for the grant of mercy. However, the petitioners informed in 2018 that the State has not adopted any legislative measures to alter its domestic procedures</w:t>
      </w:r>
      <w:r w:rsidRPr="003543CF">
        <w:rPr>
          <w:rFonts w:ascii="Cambria" w:hAnsi="Cambria"/>
          <w:color w:val="000000"/>
          <w:sz w:val="20"/>
          <w:szCs w:val="20"/>
          <w:lang w:val="en"/>
        </w:rPr>
        <w:t xml:space="preserve">. In 2019, the petitioners reiterated that the Privy Council had handed down the decision </w:t>
      </w:r>
      <w:r w:rsidRPr="003543CF">
        <w:rPr>
          <w:rFonts w:ascii="Cambria" w:hAnsi="Cambria"/>
          <w:i/>
          <w:iCs/>
          <w:color w:val="000000"/>
          <w:sz w:val="20"/>
          <w:szCs w:val="20"/>
          <w:lang w:val="en"/>
        </w:rPr>
        <w:t>Lewis v. Attorney General of Jamaica</w:t>
      </w:r>
      <w:r w:rsidRPr="003543CF">
        <w:rPr>
          <w:rFonts w:ascii="Cambria" w:hAnsi="Cambria"/>
          <w:color w:val="000000"/>
          <w:sz w:val="20"/>
          <w:szCs w:val="20"/>
          <w:lang w:val="en"/>
        </w:rPr>
        <w:t xml:space="preserve">. In the view of the petitioners, with this decision, the State authorities adopted an approach compatible with Jamaica's obligations under the American Convention on Human Rights. Lastly, the petitioners informed the IACHR that the decision in the case of Neville Lewis is binding for Jamaican authorities and the authorities of the other </w:t>
      </w:r>
      <w:r w:rsidR="0032186F" w:rsidRPr="003543CF">
        <w:rPr>
          <w:rFonts w:ascii="Cambria" w:hAnsi="Cambria"/>
          <w:color w:val="000000"/>
          <w:sz w:val="20"/>
          <w:szCs w:val="20"/>
          <w:lang w:val="en"/>
        </w:rPr>
        <w:t>English-speaking</w:t>
      </w:r>
      <w:r w:rsidRPr="003543CF">
        <w:rPr>
          <w:rFonts w:ascii="Cambria" w:hAnsi="Cambria"/>
          <w:color w:val="000000"/>
          <w:sz w:val="20"/>
          <w:szCs w:val="20"/>
          <w:lang w:val="en"/>
        </w:rPr>
        <w:t xml:space="preserve"> countries of the Caribbean.</w:t>
      </w:r>
      <w:r w:rsidR="0032186F" w:rsidRPr="003543CF">
        <w:rPr>
          <w:rFonts w:ascii="Cambria" w:hAnsi="Cambria"/>
          <w:color w:val="000000"/>
          <w:sz w:val="20"/>
          <w:szCs w:val="20"/>
          <w:lang w:val="en"/>
        </w:rPr>
        <w:t xml:space="preserve"> </w:t>
      </w:r>
      <w:r w:rsidR="0032186F" w:rsidRPr="003543CF">
        <w:rPr>
          <w:rFonts w:ascii="Cambria" w:hAnsi="Cambria"/>
          <w:color w:val="000000" w:themeColor="text1"/>
          <w:sz w:val="20"/>
          <w:szCs w:val="20"/>
          <w:lang w:val="en"/>
        </w:rPr>
        <w:t>In 2020, the petitioners reiterate</w:t>
      </w:r>
      <w:r w:rsidR="00DA5774" w:rsidRPr="003543CF">
        <w:rPr>
          <w:rFonts w:ascii="Cambria" w:hAnsi="Cambria"/>
          <w:color w:val="000000" w:themeColor="text1"/>
          <w:sz w:val="20"/>
          <w:szCs w:val="20"/>
          <w:lang w:val="en"/>
        </w:rPr>
        <w:t>d</w:t>
      </w:r>
      <w:r w:rsidR="0032186F" w:rsidRPr="003543CF">
        <w:rPr>
          <w:rFonts w:ascii="Cambria" w:hAnsi="Cambria"/>
          <w:color w:val="000000" w:themeColor="text1"/>
          <w:sz w:val="20"/>
          <w:szCs w:val="20"/>
          <w:lang w:val="en"/>
        </w:rPr>
        <w:t xml:space="preserve"> the information presented in 2019.</w:t>
      </w:r>
      <w:r w:rsidRPr="003543CF">
        <w:rPr>
          <w:rFonts w:ascii="Cambria" w:hAnsi="Cambria"/>
          <w:color w:val="000000" w:themeColor="text1"/>
          <w:sz w:val="20"/>
          <w:szCs w:val="20"/>
          <w:lang w:val="en"/>
        </w:rPr>
        <w:t xml:space="preserve">  </w:t>
      </w:r>
    </w:p>
    <w:p w14:paraId="4AA8621B" w14:textId="77777777" w:rsidR="005500CA" w:rsidRPr="003543CF" w:rsidRDefault="005500CA" w:rsidP="005500CA">
      <w:pPr>
        <w:jc w:val="both"/>
        <w:rPr>
          <w:rFonts w:ascii="Cambria" w:hAnsi="Cambria" w:cs="Calibri Light"/>
          <w:color w:val="000000"/>
          <w:sz w:val="20"/>
          <w:szCs w:val="20"/>
        </w:rPr>
      </w:pPr>
    </w:p>
    <w:p w14:paraId="38C8765B" w14:textId="77777777" w:rsidR="005500CA" w:rsidRPr="003543CF" w:rsidRDefault="005500CA" w:rsidP="005500CA">
      <w:pPr>
        <w:pStyle w:val="ListParagraph"/>
        <w:numPr>
          <w:ilvl w:val="0"/>
          <w:numId w:val="11"/>
        </w:numPr>
        <w:ind w:left="0" w:firstLine="720"/>
        <w:jc w:val="both"/>
        <w:rPr>
          <w:rFonts w:ascii="Cambria" w:hAnsi="Cambria" w:cs="Calibri Light"/>
          <w:b/>
          <w:color w:val="000000"/>
          <w:sz w:val="20"/>
          <w:szCs w:val="20"/>
        </w:rPr>
      </w:pPr>
      <w:r w:rsidRPr="003543CF">
        <w:rPr>
          <w:rFonts w:ascii="Cambria" w:hAnsi="Cambria"/>
          <w:color w:val="000000"/>
          <w:sz w:val="20"/>
          <w:szCs w:val="20"/>
          <w:lang w:val="en"/>
        </w:rPr>
        <w:t>In view of the lack of information from the State on actions taken to comply with this recommendation, the Commission asks it to submit information on the measures reported by the petitioners and on any other action</w:t>
      </w:r>
      <w:r w:rsidRPr="003543CF">
        <w:rPr>
          <w:rFonts w:ascii="Cambria" w:hAnsi="Cambria"/>
          <w:color w:val="000000"/>
          <w:sz w:val="20"/>
          <w:szCs w:val="20"/>
          <w:shd w:val="clear" w:color="auto" w:fill="FFFFFF"/>
          <w:lang w:val="en"/>
        </w:rPr>
        <w:t xml:space="preserve"> taken to guarantee the effectiveness, in Granada, of the right enshrined in Article 4(6) of the American Convention to request an amnesty, pardon, or commutation of sentence.</w:t>
      </w:r>
      <w:r w:rsidRPr="003543CF">
        <w:rPr>
          <w:rFonts w:ascii="Cambria" w:hAnsi="Cambria"/>
          <w:color w:val="000000"/>
          <w:sz w:val="20"/>
          <w:szCs w:val="20"/>
          <w:shd w:val="clear" w:color="auto" w:fill="FFFFFF"/>
        </w:rPr>
        <w:t xml:space="preserve"> </w:t>
      </w:r>
      <w:r w:rsidRPr="003543CF">
        <w:rPr>
          <w:rFonts w:ascii="Cambria" w:hAnsi="Cambria"/>
          <w:color w:val="000000"/>
          <w:sz w:val="20"/>
          <w:szCs w:val="20"/>
        </w:rPr>
        <w:t xml:space="preserve">Based on this, the Commission finds that Recommendation 3 is partially complied. </w:t>
      </w:r>
    </w:p>
    <w:p w14:paraId="7D716502" w14:textId="77777777" w:rsidR="005500CA" w:rsidRPr="003543CF" w:rsidRDefault="005500CA" w:rsidP="005500CA">
      <w:pPr>
        <w:pStyle w:val="ListParagraph"/>
        <w:ind w:left="0" w:firstLine="720"/>
        <w:jc w:val="both"/>
        <w:rPr>
          <w:rFonts w:ascii="Cambria" w:hAnsi="Cambria" w:cs="Calibri Light"/>
          <w:color w:val="000000"/>
          <w:sz w:val="20"/>
          <w:szCs w:val="20"/>
        </w:rPr>
      </w:pPr>
    </w:p>
    <w:p w14:paraId="023D09C6" w14:textId="77777777"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b/>
          <w:bCs/>
          <w:color w:val="000000"/>
          <w:sz w:val="20"/>
          <w:szCs w:val="20"/>
        </w:rPr>
        <w:t>Regarding the fourth and fifth recommendations</w:t>
      </w:r>
      <w:r w:rsidRPr="003543CF">
        <w:rPr>
          <w:rFonts w:ascii="Cambria" w:hAnsi="Cambria" w:cs="Calibri Light"/>
          <w:color w:val="000000"/>
          <w:sz w:val="20"/>
          <w:szCs w:val="20"/>
        </w:rPr>
        <w:t>,</w:t>
      </w:r>
      <w:r w:rsidRPr="003543CF">
        <w:rPr>
          <w:rFonts w:ascii="Cambria" w:hAnsi="Cambria" w:cs="Calibri Light"/>
          <w:b/>
          <w:bCs/>
          <w:color w:val="000000"/>
          <w:sz w:val="20"/>
          <w:szCs w:val="20"/>
        </w:rPr>
        <w:t xml:space="preserve"> </w:t>
      </w:r>
      <w:r w:rsidRPr="003543CF">
        <w:rPr>
          <w:rFonts w:ascii="Cambria" w:hAnsi="Cambria" w:cs="Calibri Light"/>
          <w:color w:val="000000"/>
          <w:sz w:val="20"/>
          <w:szCs w:val="20"/>
        </w:rPr>
        <w:t xml:space="preserve">the State has not presented information about compliance with these recommendations. </w:t>
      </w:r>
    </w:p>
    <w:p w14:paraId="7AAC90C5" w14:textId="77777777" w:rsidR="005500CA" w:rsidRPr="003543CF" w:rsidRDefault="005500CA" w:rsidP="005500CA">
      <w:pPr>
        <w:pStyle w:val="ListParagraph"/>
        <w:rPr>
          <w:rFonts w:ascii="Cambria" w:hAnsi="Cambria" w:cs="Calibri Light"/>
          <w:color w:val="000000"/>
          <w:sz w:val="20"/>
          <w:szCs w:val="20"/>
        </w:rPr>
      </w:pPr>
    </w:p>
    <w:p w14:paraId="493ADD57" w14:textId="4F1A06AE" w:rsidR="005500CA" w:rsidRPr="003543CF" w:rsidRDefault="005500CA" w:rsidP="005500CA">
      <w:pPr>
        <w:pStyle w:val="ListParagraph"/>
        <w:numPr>
          <w:ilvl w:val="0"/>
          <w:numId w:val="11"/>
        </w:numPr>
        <w:ind w:left="0" w:firstLine="720"/>
        <w:jc w:val="both"/>
        <w:rPr>
          <w:rFonts w:ascii="Cambria" w:hAnsi="Cambria" w:cs="Calibri Light"/>
          <w:b/>
          <w:color w:val="000000"/>
          <w:sz w:val="20"/>
          <w:szCs w:val="20"/>
        </w:rPr>
      </w:pPr>
      <w:r w:rsidRPr="003543CF">
        <w:rPr>
          <w:rFonts w:ascii="Cambria" w:hAnsi="Cambria" w:cs="Calibri Light"/>
          <w:color w:val="000000"/>
          <w:sz w:val="20"/>
          <w:szCs w:val="20"/>
        </w:rPr>
        <w:t xml:space="preserve">In 2019, the petitioners informed that there has been no progress regarding these recommendations. </w:t>
      </w:r>
      <w:r w:rsidR="0032186F" w:rsidRPr="003543CF">
        <w:rPr>
          <w:rFonts w:ascii="Cambria" w:hAnsi="Cambria" w:cs="Calibri Light"/>
          <w:color w:val="000000" w:themeColor="text1"/>
          <w:sz w:val="20"/>
          <w:szCs w:val="20"/>
        </w:rPr>
        <w:t>In 2020, the petitioners reiterate the information presented in 2019.</w:t>
      </w:r>
    </w:p>
    <w:p w14:paraId="724A2240" w14:textId="77777777" w:rsidR="005500CA" w:rsidRPr="003543CF" w:rsidRDefault="005500CA" w:rsidP="005500CA">
      <w:pPr>
        <w:pStyle w:val="ListParagraph"/>
        <w:rPr>
          <w:rFonts w:ascii="Cambria" w:hAnsi="Cambria" w:cs="Calibri Light"/>
          <w:color w:val="000000"/>
          <w:sz w:val="20"/>
          <w:szCs w:val="20"/>
        </w:rPr>
      </w:pPr>
    </w:p>
    <w:p w14:paraId="2110F4AD" w14:textId="77777777" w:rsidR="005500CA" w:rsidRPr="003543CF" w:rsidRDefault="005500CA" w:rsidP="005500CA">
      <w:pPr>
        <w:pStyle w:val="ListParagraph"/>
        <w:numPr>
          <w:ilvl w:val="0"/>
          <w:numId w:val="11"/>
        </w:numPr>
        <w:ind w:left="0" w:firstLine="720"/>
        <w:jc w:val="both"/>
        <w:rPr>
          <w:rFonts w:ascii="Cambria" w:hAnsi="Cambria" w:cs="Calibri Light"/>
          <w:b/>
          <w:color w:val="000000"/>
          <w:sz w:val="20"/>
          <w:szCs w:val="20"/>
        </w:rPr>
      </w:pPr>
      <w:r w:rsidRPr="003543CF">
        <w:rPr>
          <w:rFonts w:ascii="Cambria" w:hAnsi="Cambria" w:cs="Calibri Light"/>
          <w:color w:val="000000"/>
          <w:sz w:val="20"/>
          <w:szCs w:val="20"/>
        </w:rPr>
        <w:t>Based on this, the Commission finds that Recommendations 4 and 5 are pending compliance.</w:t>
      </w:r>
    </w:p>
    <w:p w14:paraId="22875B67" w14:textId="77777777" w:rsidR="005500CA" w:rsidRPr="003543CF" w:rsidRDefault="005500CA" w:rsidP="005500CA">
      <w:pPr>
        <w:pStyle w:val="ListParagraph"/>
        <w:rPr>
          <w:rFonts w:ascii="Cambria" w:hAnsi="Cambria" w:cs="Calibri Light"/>
          <w:b/>
          <w:color w:val="000000"/>
          <w:sz w:val="20"/>
          <w:szCs w:val="20"/>
        </w:rPr>
      </w:pPr>
    </w:p>
    <w:p w14:paraId="3DCA4DFE" w14:textId="77777777" w:rsidR="005500CA" w:rsidRPr="003543CF" w:rsidRDefault="005500CA" w:rsidP="005500CA">
      <w:pPr>
        <w:pStyle w:val="ListParagraph"/>
        <w:numPr>
          <w:ilvl w:val="0"/>
          <w:numId w:val="11"/>
        </w:numPr>
        <w:ind w:left="0" w:firstLine="720"/>
        <w:jc w:val="both"/>
        <w:rPr>
          <w:rFonts w:ascii="Cambria" w:hAnsi="Cambria" w:cs="Calibri Light"/>
          <w:b/>
          <w:color w:val="000000"/>
          <w:sz w:val="20"/>
          <w:szCs w:val="20"/>
        </w:rPr>
      </w:pPr>
      <w:r w:rsidRPr="003543CF">
        <w:rPr>
          <w:rFonts w:ascii="Cambria" w:hAnsi="Cambria" w:cs="Calibri Light"/>
          <w:b/>
          <w:bCs/>
          <w:color w:val="000000"/>
          <w:sz w:val="20"/>
          <w:szCs w:val="20"/>
          <w:lang w:val="en"/>
        </w:rPr>
        <w:t>With regard to recommendation 5</w:t>
      </w:r>
      <w:r w:rsidRPr="003543CF">
        <w:rPr>
          <w:rFonts w:ascii="Cambria" w:hAnsi="Cambria" w:cs="Calibri Light"/>
          <w:color w:val="000000"/>
          <w:sz w:val="20"/>
          <w:szCs w:val="20"/>
          <w:lang w:val="en"/>
        </w:rPr>
        <w:t xml:space="preserve">, the State has not submitted information on compliance with it. </w:t>
      </w:r>
    </w:p>
    <w:p w14:paraId="151EDF5E" w14:textId="77777777" w:rsidR="005500CA" w:rsidRPr="003543CF" w:rsidRDefault="005500CA" w:rsidP="005500CA">
      <w:pPr>
        <w:pStyle w:val="ListParagraph"/>
        <w:rPr>
          <w:rFonts w:ascii="Cambria" w:hAnsi="Cambria" w:cs="Calibri Light"/>
          <w:b/>
          <w:color w:val="000000"/>
          <w:sz w:val="20"/>
          <w:szCs w:val="20"/>
        </w:rPr>
      </w:pPr>
    </w:p>
    <w:p w14:paraId="5C6BE7AC" w14:textId="4B7BDD4C" w:rsidR="005500CA" w:rsidRPr="003543CF" w:rsidRDefault="005500CA" w:rsidP="005500CA">
      <w:pPr>
        <w:pStyle w:val="ListParagraph"/>
        <w:numPr>
          <w:ilvl w:val="0"/>
          <w:numId w:val="11"/>
        </w:numPr>
        <w:ind w:left="0" w:firstLine="720"/>
        <w:jc w:val="both"/>
        <w:rPr>
          <w:rFonts w:ascii="Cambria" w:hAnsi="Cambria" w:cs="Calibri Light"/>
          <w:b/>
          <w:color w:val="000000"/>
          <w:sz w:val="20"/>
          <w:szCs w:val="20"/>
        </w:rPr>
      </w:pPr>
      <w:r w:rsidRPr="003543CF">
        <w:rPr>
          <w:rFonts w:ascii="Cambria" w:hAnsi="Cambria" w:cs="Calibri Light"/>
          <w:color w:val="000000"/>
          <w:sz w:val="20"/>
          <w:szCs w:val="20"/>
          <w:lang w:val="en"/>
        </w:rPr>
        <w:t xml:space="preserve">In 2019, the petitioners indicated that this recommendation is not applicable to Donnason Knights, as after having served his sentence, he was released. </w:t>
      </w:r>
      <w:r w:rsidR="0032186F" w:rsidRPr="003543CF">
        <w:rPr>
          <w:rFonts w:ascii="Cambria" w:hAnsi="Cambria" w:cs="Calibri Light"/>
          <w:color w:val="000000" w:themeColor="text1"/>
          <w:sz w:val="20"/>
          <w:szCs w:val="20"/>
        </w:rPr>
        <w:t>In 2020, the petitioners reiterate</w:t>
      </w:r>
      <w:r w:rsidR="00DA5774" w:rsidRPr="003543CF">
        <w:rPr>
          <w:rFonts w:ascii="Cambria" w:hAnsi="Cambria" w:cs="Calibri Light"/>
          <w:color w:val="000000" w:themeColor="text1"/>
          <w:sz w:val="20"/>
          <w:szCs w:val="20"/>
        </w:rPr>
        <w:t>d</w:t>
      </w:r>
      <w:r w:rsidR="0032186F" w:rsidRPr="003543CF">
        <w:rPr>
          <w:rFonts w:ascii="Cambria" w:hAnsi="Cambria" w:cs="Calibri Light"/>
          <w:color w:val="000000" w:themeColor="text1"/>
          <w:sz w:val="20"/>
          <w:szCs w:val="20"/>
        </w:rPr>
        <w:t xml:space="preserve"> the information presented in 2019.</w:t>
      </w:r>
    </w:p>
    <w:p w14:paraId="32A3991D" w14:textId="77777777" w:rsidR="005500CA" w:rsidRPr="003543CF" w:rsidRDefault="005500CA" w:rsidP="005500CA">
      <w:pPr>
        <w:pStyle w:val="ListParagraph"/>
        <w:rPr>
          <w:rFonts w:ascii="Cambria" w:hAnsi="Cambria" w:cs="Calibri Light"/>
          <w:b/>
          <w:color w:val="000000"/>
          <w:sz w:val="20"/>
          <w:szCs w:val="20"/>
        </w:rPr>
      </w:pPr>
    </w:p>
    <w:p w14:paraId="4935A907" w14:textId="77777777" w:rsidR="005500CA" w:rsidRPr="003543CF" w:rsidRDefault="005500CA" w:rsidP="005500CA">
      <w:pPr>
        <w:pStyle w:val="ListParagraph"/>
        <w:numPr>
          <w:ilvl w:val="0"/>
          <w:numId w:val="11"/>
        </w:numPr>
        <w:ind w:left="0" w:firstLine="720"/>
        <w:jc w:val="both"/>
        <w:rPr>
          <w:rFonts w:ascii="Cambria" w:hAnsi="Cambria"/>
          <w:color w:val="000000"/>
          <w:sz w:val="20"/>
          <w:szCs w:val="20"/>
          <w:shd w:val="clear" w:color="auto" w:fill="FFFFFF"/>
        </w:rPr>
      </w:pPr>
      <w:r w:rsidRPr="003543CF">
        <w:rPr>
          <w:rFonts w:ascii="Cambria" w:hAnsi="Cambria"/>
          <w:color w:val="000000"/>
          <w:sz w:val="20"/>
          <w:szCs w:val="20"/>
          <w:lang w:val="en"/>
        </w:rPr>
        <w:t xml:space="preserve">The Commission notes that Mr. Knights was released from prison in April 2015, and therefore, he was no longer being held. In view of the lack of information from the State on actions taken to comply with this recommendation, the Commission </w:t>
      </w:r>
      <w:r w:rsidRPr="003543CF">
        <w:rPr>
          <w:rFonts w:ascii="Cambria" w:hAnsi="Cambria"/>
          <w:color w:val="000000"/>
          <w:sz w:val="20"/>
          <w:szCs w:val="20"/>
          <w:shd w:val="clear" w:color="auto" w:fill="FFFFFF"/>
          <w:lang w:val="en"/>
        </w:rPr>
        <w:t xml:space="preserve">concludes that the State has partially complied with Recommendation 5. </w:t>
      </w:r>
    </w:p>
    <w:p w14:paraId="2AA253ED" w14:textId="77777777" w:rsidR="005500CA" w:rsidRPr="003543CF" w:rsidRDefault="005500CA" w:rsidP="005500CA">
      <w:pPr>
        <w:jc w:val="both"/>
        <w:rPr>
          <w:rFonts w:ascii="Cambria" w:hAnsi="Cambria" w:cs="Calibri Light"/>
          <w:b/>
          <w:color w:val="000000"/>
          <w:sz w:val="20"/>
          <w:szCs w:val="20"/>
        </w:rPr>
      </w:pPr>
    </w:p>
    <w:p w14:paraId="307A7188" w14:textId="77777777" w:rsidR="005500CA" w:rsidRPr="003543CF" w:rsidRDefault="005500CA" w:rsidP="005500CA">
      <w:pPr>
        <w:pStyle w:val="ListParagraph"/>
        <w:numPr>
          <w:ilvl w:val="0"/>
          <w:numId w:val="8"/>
        </w:numPr>
        <w:ind w:left="1440"/>
        <w:jc w:val="both"/>
        <w:rPr>
          <w:rFonts w:ascii="Cambria" w:hAnsi="Cambria" w:cs="Calibri Light"/>
          <w:b/>
          <w:color w:val="000000"/>
          <w:sz w:val="20"/>
          <w:szCs w:val="20"/>
        </w:rPr>
      </w:pPr>
      <w:r w:rsidRPr="003543CF">
        <w:rPr>
          <w:rFonts w:ascii="Cambria" w:hAnsi="Cambria" w:cs="Calibri Light"/>
          <w:b/>
          <w:bCs/>
          <w:color w:val="000000"/>
          <w:sz w:val="20"/>
          <w:szCs w:val="20"/>
        </w:rPr>
        <w:t xml:space="preserve">Level of compliance of the case  </w:t>
      </w:r>
    </w:p>
    <w:p w14:paraId="64623E5A" w14:textId="77777777" w:rsidR="005500CA" w:rsidRPr="003543CF" w:rsidRDefault="005500CA" w:rsidP="005500CA">
      <w:pPr>
        <w:jc w:val="both"/>
        <w:rPr>
          <w:rFonts w:ascii="Cambria" w:hAnsi="Cambria" w:cs="Calibri Light"/>
          <w:color w:val="000000"/>
          <w:sz w:val="20"/>
          <w:szCs w:val="20"/>
        </w:rPr>
      </w:pPr>
    </w:p>
    <w:p w14:paraId="27FEFBA2" w14:textId="77777777"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color w:val="000000"/>
          <w:sz w:val="20"/>
          <w:szCs w:val="20"/>
        </w:rPr>
        <w:t>Based on the foregoing, the IACHR concludes that the level of compliance of the case is partial. Consequently, the Commission will continue to monitor Recommendations 1, 2, 3, 4 and 5.</w:t>
      </w:r>
    </w:p>
    <w:p w14:paraId="7C082FC5" w14:textId="77777777" w:rsidR="005500CA" w:rsidRPr="003543CF" w:rsidRDefault="005500CA" w:rsidP="005500CA">
      <w:pPr>
        <w:pStyle w:val="ListParagraph"/>
        <w:jc w:val="both"/>
        <w:rPr>
          <w:rFonts w:ascii="Cambria" w:hAnsi="Cambria" w:cs="Calibri Light"/>
          <w:color w:val="000000"/>
          <w:sz w:val="20"/>
          <w:szCs w:val="20"/>
        </w:rPr>
      </w:pPr>
    </w:p>
    <w:p w14:paraId="611D8210" w14:textId="69E58A7E" w:rsidR="005500CA" w:rsidRPr="003543CF" w:rsidRDefault="005500CA" w:rsidP="005500CA">
      <w:pPr>
        <w:pStyle w:val="ListParagraph"/>
        <w:numPr>
          <w:ilvl w:val="0"/>
          <w:numId w:val="11"/>
        </w:numPr>
        <w:ind w:left="0" w:firstLine="720"/>
        <w:jc w:val="both"/>
        <w:rPr>
          <w:rFonts w:ascii="Cambria" w:hAnsi="Cambria" w:cs="Calibri Light"/>
          <w:color w:val="000000"/>
          <w:sz w:val="20"/>
          <w:szCs w:val="20"/>
        </w:rPr>
      </w:pPr>
      <w:r w:rsidRPr="003543CF">
        <w:rPr>
          <w:rFonts w:ascii="Cambria" w:hAnsi="Cambria" w:cs="Calibri Light"/>
          <w:color w:val="000000"/>
          <w:sz w:val="20"/>
          <w:szCs w:val="20"/>
        </w:rPr>
        <w:t xml:space="preserve">The Commission welcomes the information presented by the petitioners that Mr. Knights’ sentence was commuted and that he has been released from prison, and positively views the decisions of the Judicial Committee of the Privy Council which have resulted in the judiciary in Grenada no longer applying the death penalty in a mandatory fashion. At the same time, the IACHR calls the State to adopt the necessary legislative and other measures to fully comply with the recommendations issued in Merits Report 47/01 and to provide up to date and detailed information on these measures to the Commission. </w:t>
      </w:r>
    </w:p>
    <w:p w14:paraId="4413966D" w14:textId="2F6E9708" w:rsidR="005500CA" w:rsidRPr="003543CF" w:rsidRDefault="005500CA" w:rsidP="005500CA">
      <w:pPr>
        <w:rPr>
          <w:rFonts w:ascii="Cambria" w:hAnsi="Cambria"/>
          <w:color w:val="000000"/>
          <w:sz w:val="20"/>
          <w:szCs w:val="20"/>
        </w:rPr>
      </w:pPr>
    </w:p>
    <w:p w14:paraId="3E7E9BAE" w14:textId="77777777" w:rsidR="005500CA" w:rsidRPr="003543CF" w:rsidRDefault="005500CA" w:rsidP="005500CA">
      <w:pPr>
        <w:pStyle w:val="ListParagraph"/>
        <w:numPr>
          <w:ilvl w:val="0"/>
          <w:numId w:val="8"/>
        </w:numPr>
        <w:ind w:left="1440"/>
        <w:rPr>
          <w:rFonts w:ascii="Cambria" w:hAnsi="Cambria"/>
          <w:b/>
          <w:color w:val="000000"/>
          <w:sz w:val="20"/>
          <w:szCs w:val="20"/>
        </w:rPr>
      </w:pPr>
      <w:r w:rsidRPr="003543CF">
        <w:rPr>
          <w:rFonts w:ascii="Cambria" w:hAnsi="Cambria"/>
          <w:b/>
          <w:bCs/>
          <w:color w:val="000000"/>
          <w:sz w:val="20"/>
          <w:szCs w:val="20"/>
        </w:rPr>
        <w:t xml:space="preserve">Individual and structural results of the case </w:t>
      </w:r>
    </w:p>
    <w:p w14:paraId="1A273203" w14:textId="77777777" w:rsidR="005500CA" w:rsidRPr="003543CF" w:rsidRDefault="005500CA" w:rsidP="005500CA">
      <w:pPr>
        <w:rPr>
          <w:rFonts w:ascii="Cambria" w:hAnsi="Cambria"/>
          <w:b/>
          <w:color w:val="000000"/>
          <w:sz w:val="20"/>
          <w:szCs w:val="20"/>
        </w:rPr>
      </w:pPr>
    </w:p>
    <w:p w14:paraId="6CB661B9" w14:textId="77777777" w:rsidR="005500CA" w:rsidRPr="003543CF" w:rsidRDefault="005500CA" w:rsidP="005500CA">
      <w:pPr>
        <w:pStyle w:val="ListParagraph"/>
        <w:numPr>
          <w:ilvl w:val="0"/>
          <w:numId w:val="11"/>
        </w:numPr>
        <w:ind w:left="0" w:firstLine="720"/>
        <w:jc w:val="both"/>
        <w:rPr>
          <w:rFonts w:ascii="Cambria" w:hAnsi="Cambria"/>
          <w:color w:val="000000"/>
          <w:sz w:val="20"/>
          <w:szCs w:val="20"/>
        </w:rPr>
      </w:pPr>
      <w:r w:rsidRPr="003543CF">
        <w:rPr>
          <w:rFonts w:ascii="Cambria" w:hAnsi="Cambria"/>
          <w:color w:val="000000"/>
          <w:sz w:val="20"/>
          <w:szCs w:val="20"/>
        </w:rPr>
        <w:lastRenderedPageBreak/>
        <w:t xml:space="preserve">This section highlights the individual and structural results of the case which have been informed by the parties.  </w:t>
      </w:r>
    </w:p>
    <w:p w14:paraId="2BCFDEBC" w14:textId="77777777" w:rsidR="005500CA" w:rsidRPr="003543CF" w:rsidRDefault="005500CA" w:rsidP="005500CA">
      <w:pPr>
        <w:pStyle w:val="ListParagraph"/>
        <w:rPr>
          <w:rFonts w:ascii="Cambria" w:hAnsi="Cambria"/>
          <w:color w:val="000000"/>
          <w:sz w:val="20"/>
          <w:szCs w:val="20"/>
        </w:rPr>
      </w:pPr>
    </w:p>
    <w:p w14:paraId="60A094C2" w14:textId="77777777" w:rsidR="005500CA" w:rsidRPr="003543CF" w:rsidRDefault="005500CA" w:rsidP="005500CA">
      <w:pPr>
        <w:pStyle w:val="ListParagraph"/>
        <w:numPr>
          <w:ilvl w:val="0"/>
          <w:numId w:val="9"/>
        </w:numPr>
        <w:ind w:left="1440" w:hanging="720"/>
        <w:rPr>
          <w:rFonts w:ascii="Cambria" w:hAnsi="Cambria"/>
          <w:b/>
          <w:color w:val="000000"/>
          <w:sz w:val="20"/>
          <w:szCs w:val="20"/>
        </w:rPr>
      </w:pPr>
      <w:r w:rsidRPr="003543CF">
        <w:rPr>
          <w:rFonts w:ascii="Cambria" w:hAnsi="Cambria"/>
          <w:b/>
          <w:bCs/>
          <w:color w:val="000000"/>
          <w:sz w:val="20"/>
          <w:szCs w:val="20"/>
        </w:rPr>
        <w:t xml:space="preserve">Individual results of the case </w:t>
      </w:r>
    </w:p>
    <w:p w14:paraId="0B77B4BD" w14:textId="77777777" w:rsidR="005500CA" w:rsidRPr="003543CF" w:rsidRDefault="005500CA" w:rsidP="005500CA">
      <w:pPr>
        <w:rPr>
          <w:rFonts w:ascii="Cambria" w:hAnsi="Cambria"/>
          <w:b/>
          <w:color w:val="000000"/>
          <w:sz w:val="20"/>
          <w:szCs w:val="20"/>
        </w:rPr>
      </w:pPr>
    </w:p>
    <w:p w14:paraId="0A5D7D79" w14:textId="77777777" w:rsidR="005500CA" w:rsidRPr="003543CF" w:rsidRDefault="005500CA" w:rsidP="005500CA">
      <w:pPr>
        <w:rPr>
          <w:rFonts w:ascii="Cambria" w:hAnsi="Cambria"/>
          <w:i/>
          <w:color w:val="000000"/>
          <w:sz w:val="20"/>
          <w:szCs w:val="20"/>
        </w:rPr>
      </w:pPr>
      <w:r w:rsidRPr="003543CF">
        <w:rPr>
          <w:rFonts w:ascii="Cambria" w:hAnsi="Cambria"/>
          <w:i/>
          <w:iCs/>
          <w:color w:val="000000"/>
          <w:sz w:val="20"/>
          <w:szCs w:val="20"/>
        </w:rPr>
        <w:t>Restoration of the infringed right measures</w:t>
      </w:r>
    </w:p>
    <w:p w14:paraId="3FA33105" w14:textId="77777777" w:rsidR="005500CA" w:rsidRPr="003543CF" w:rsidRDefault="005500CA" w:rsidP="005500CA">
      <w:pPr>
        <w:pStyle w:val="ListParagraph"/>
        <w:numPr>
          <w:ilvl w:val="0"/>
          <w:numId w:val="10"/>
        </w:numPr>
        <w:jc w:val="both"/>
        <w:rPr>
          <w:rFonts w:ascii="Cambria" w:hAnsi="Cambria"/>
          <w:color w:val="000000"/>
          <w:sz w:val="20"/>
          <w:szCs w:val="20"/>
        </w:rPr>
      </w:pPr>
      <w:r w:rsidRPr="003543CF">
        <w:rPr>
          <w:rFonts w:ascii="Cambria" w:hAnsi="Cambria"/>
          <w:color w:val="000000"/>
          <w:sz w:val="20"/>
          <w:szCs w:val="20"/>
        </w:rPr>
        <w:t xml:space="preserve">Donnason Knights was released from prison in April 2015 following a decision of the Court of Appeals in Grenada which commuted his death sentence. </w:t>
      </w:r>
    </w:p>
    <w:p w14:paraId="729C7125" w14:textId="77777777" w:rsidR="005500CA" w:rsidRPr="003543CF" w:rsidRDefault="005500CA" w:rsidP="005500CA">
      <w:pPr>
        <w:rPr>
          <w:rFonts w:ascii="Cambria" w:hAnsi="Cambria"/>
          <w:color w:val="000000"/>
          <w:sz w:val="20"/>
          <w:szCs w:val="20"/>
        </w:rPr>
      </w:pPr>
    </w:p>
    <w:p w14:paraId="76AD7A98" w14:textId="77777777" w:rsidR="005500CA" w:rsidRPr="003543CF" w:rsidRDefault="005500CA" w:rsidP="005500CA">
      <w:pPr>
        <w:pStyle w:val="ListParagraph"/>
        <w:numPr>
          <w:ilvl w:val="0"/>
          <w:numId w:val="9"/>
        </w:numPr>
        <w:ind w:left="1440" w:hanging="720"/>
        <w:rPr>
          <w:rFonts w:ascii="Cambria" w:hAnsi="Cambria"/>
          <w:b/>
          <w:color w:val="000000"/>
          <w:sz w:val="20"/>
          <w:szCs w:val="20"/>
        </w:rPr>
      </w:pPr>
      <w:r w:rsidRPr="003543CF">
        <w:rPr>
          <w:rFonts w:ascii="Cambria" w:hAnsi="Cambria"/>
          <w:b/>
          <w:bCs/>
          <w:color w:val="000000"/>
          <w:sz w:val="20"/>
          <w:szCs w:val="20"/>
        </w:rPr>
        <w:t xml:space="preserve">Structural results of the case </w:t>
      </w:r>
    </w:p>
    <w:p w14:paraId="7845179F" w14:textId="77777777" w:rsidR="005500CA" w:rsidRPr="003543CF" w:rsidRDefault="005500CA" w:rsidP="005500CA">
      <w:pPr>
        <w:rPr>
          <w:rFonts w:ascii="Cambria" w:hAnsi="Cambria"/>
          <w:color w:val="000000"/>
          <w:sz w:val="20"/>
          <w:szCs w:val="20"/>
        </w:rPr>
      </w:pPr>
    </w:p>
    <w:p w14:paraId="0DA81917" w14:textId="77777777" w:rsidR="005500CA" w:rsidRPr="003543CF" w:rsidRDefault="005500CA" w:rsidP="005500CA">
      <w:pPr>
        <w:jc w:val="both"/>
        <w:rPr>
          <w:rFonts w:ascii="Cambria" w:hAnsi="Cambria"/>
          <w:i/>
          <w:color w:val="000000"/>
          <w:sz w:val="20"/>
          <w:szCs w:val="20"/>
        </w:rPr>
      </w:pPr>
      <w:r w:rsidRPr="003543CF">
        <w:rPr>
          <w:rFonts w:ascii="Cambria" w:hAnsi="Cambria"/>
          <w:i/>
          <w:iCs/>
          <w:color w:val="000000"/>
          <w:sz w:val="20"/>
          <w:szCs w:val="20"/>
        </w:rPr>
        <w:t>Non-Repetition Measures</w:t>
      </w:r>
    </w:p>
    <w:p w14:paraId="04D7313F" w14:textId="77777777" w:rsidR="005500CA" w:rsidRPr="003543CF" w:rsidRDefault="005500CA" w:rsidP="005500CA">
      <w:pPr>
        <w:pStyle w:val="ListParagraph"/>
        <w:numPr>
          <w:ilvl w:val="0"/>
          <w:numId w:val="10"/>
        </w:numPr>
        <w:jc w:val="both"/>
        <w:rPr>
          <w:rFonts w:ascii="Cambria" w:hAnsi="Cambria"/>
          <w:color w:val="000000"/>
          <w:sz w:val="20"/>
          <w:szCs w:val="20"/>
        </w:rPr>
      </w:pPr>
      <w:r w:rsidRPr="003543CF">
        <w:rPr>
          <w:rFonts w:ascii="Cambria" w:hAnsi="Cambria"/>
          <w:color w:val="000000"/>
          <w:sz w:val="20"/>
          <w:szCs w:val="20"/>
        </w:rPr>
        <w:t xml:space="preserve">The 2002 decisions of the Judicial Committee of the Privy Council in </w:t>
      </w:r>
      <w:r w:rsidRPr="003543CF">
        <w:rPr>
          <w:rFonts w:ascii="Cambria" w:hAnsi="Cambria"/>
          <w:i/>
          <w:iCs/>
          <w:color w:val="000000"/>
          <w:sz w:val="20"/>
          <w:szCs w:val="20"/>
        </w:rPr>
        <w:t>R v. Hughes</w:t>
      </w:r>
      <w:r w:rsidRPr="003543CF">
        <w:rPr>
          <w:rFonts w:ascii="Cambria" w:hAnsi="Cambria"/>
          <w:color w:val="000000"/>
          <w:sz w:val="20"/>
          <w:szCs w:val="20"/>
        </w:rPr>
        <w:t xml:space="preserve">, </w:t>
      </w:r>
      <w:r w:rsidRPr="003543CF">
        <w:rPr>
          <w:rFonts w:ascii="Cambria" w:hAnsi="Cambria"/>
          <w:i/>
          <w:iCs/>
          <w:color w:val="000000"/>
          <w:sz w:val="20"/>
          <w:szCs w:val="20"/>
        </w:rPr>
        <w:t>R v. Reyes</w:t>
      </w:r>
      <w:r w:rsidRPr="003543CF">
        <w:rPr>
          <w:rFonts w:ascii="Cambria" w:hAnsi="Cambria"/>
          <w:color w:val="000000"/>
          <w:sz w:val="20"/>
          <w:szCs w:val="20"/>
        </w:rPr>
        <w:t xml:space="preserve"> and </w:t>
      </w:r>
      <w:r w:rsidRPr="003543CF">
        <w:rPr>
          <w:rFonts w:ascii="Cambria" w:hAnsi="Cambria"/>
          <w:i/>
          <w:iCs/>
          <w:color w:val="000000"/>
          <w:sz w:val="20"/>
          <w:szCs w:val="20"/>
        </w:rPr>
        <w:t>Fox v. The Queen</w:t>
      </w:r>
      <w:r w:rsidRPr="003543CF">
        <w:rPr>
          <w:rFonts w:ascii="Cambria" w:hAnsi="Cambria"/>
          <w:color w:val="000000"/>
          <w:sz w:val="20"/>
          <w:szCs w:val="20"/>
        </w:rPr>
        <w:t xml:space="preserve">, which held that the imposition of the death penalty in Eastern Caribbean countries was unconstitutional, resulted in the conversion of death penalty sentences to sentences of life imprisonment in Grenada. </w:t>
      </w:r>
    </w:p>
    <w:p w14:paraId="4E88DF9B" w14:textId="77777777" w:rsidR="005500CA" w:rsidRPr="003543CF" w:rsidRDefault="005500CA" w:rsidP="005500CA">
      <w:pPr>
        <w:pStyle w:val="ListParagraph"/>
        <w:numPr>
          <w:ilvl w:val="0"/>
          <w:numId w:val="10"/>
        </w:numPr>
        <w:jc w:val="both"/>
        <w:rPr>
          <w:rFonts w:ascii="Cambria" w:hAnsi="Cambria"/>
          <w:color w:val="000000"/>
          <w:sz w:val="20"/>
          <w:szCs w:val="20"/>
        </w:rPr>
      </w:pPr>
      <w:r w:rsidRPr="003543CF">
        <w:rPr>
          <w:rFonts w:ascii="Cambria" w:hAnsi="Cambria"/>
          <w:color w:val="000000"/>
          <w:sz w:val="20"/>
          <w:szCs w:val="20"/>
        </w:rPr>
        <w:t xml:space="preserve">The 2007 decision of the Judicial Committee of the Privy Council in </w:t>
      </w:r>
      <w:r w:rsidRPr="003543CF">
        <w:rPr>
          <w:rFonts w:ascii="Cambria" w:hAnsi="Cambria"/>
          <w:i/>
          <w:iCs/>
          <w:color w:val="000000"/>
          <w:sz w:val="20"/>
          <w:szCs w:val="20"/>
        </w:rPr>
        <w:t>Coard v. Attorney General of Grenada</w:t>
      </w:r>
      <w:r w:rsidRPr="003543CF">
        <w:rPr>
          <w:rFonts w:ascii="Cambria" w:hAnsi="Cambria"/>
          <w:color w:val="000000"/>
          <w:sz w:val="20"/>
          <w:szCs w:val="20"/>
        </w:rPr>
        <w:t xml:space="preserve">, which held that Section 230 of the Criminal Code of Grenada must be interpreted to mean that the death penalty for murder is discretionary, has had the result that the judiciary in Grenada no longer mandatorily applies the death penalty in murder cases.   </w:t>
      </w:r>
    </w:p>
    <w:p w14:paraId="2B4EDEE5" w14:textId="77777777" w:rsidR="008463D3" w:rsidRPr="005500CA" w:rsidRDefault="008463D3" w:rsidP="005500CA">
      <w:pPr>
        <w:jc w:val="center"/>
        <w:rPr>
          <w:sz w:val="20"/>
          <w:szCs w:val="20"/>
        </w:rPr>
      </w:pPr>
      <w:bookmarkStart w:id="0" w:name="_GoBack"/>
      <w:bookmarkEnd w:id="0"/>
    </w:p>
    <w:p w14:paraId="784E82AD" w14:textId="76F80EB2" w:rsidR="000B5E1D" w:rsidRPr="005500CA" w:rsidRDefault="000B5E1D" w:rsidP="000B5E1D">
      <w:pPr>
        <w:rPr>
          <w:sz w:val="20"/>
          <w:szCs w:val="20"/>
        </w:rPr>
      </w:pPr>
    </w:p>
    <w:p w14:paraId="2558B994" w14:textId="77777777" w:rsidR="000B5E1D" w:rsidRPr="005500CA" w:rsidRDefault="000B5E1D" w:rsidP="000B5E1D">
      <w:pPr>
        <w:rPr>
          <w:sz w:val="20"/>
          <w:szCs w:val="20"/>
        </w:rPr>
      </w:pPr>
    </w:p>
    <w:p w14:paraId="58DAB637" w14:textId="1FFC8879" w:rsidR="008463D3" w:rsidRPr="005500CA" w:rsidRDefault="008463D3" w:rsidP="008463D3">
      <w:pPr>
        <w:jc w:val="center"/>
        <w:rPr>
          <w:sz w:val="20"/>
          <w:szCs w:val="20"/>
        </w:rPr>
      </w:pPr>
    </w:p>
    <w:p w14:paraId="360C5077" w14:textId="1177BC27" w:rsidR="00BD17B0" w:rsidRPr="005500CA" w:rsidRDefault="00BD17B0" w:rsidP="008463D3">
      <w:pPr>
        <w:jc w:val="center"/>
        <w:rPr>
          <w:sz w:val="20"/>
          <w:szCs w:val="20"/>
        </w:rPr>
      </w:pPr>
    </w:p>
    <w:p w14:paraId="3979CC41" w14:textId="109DBA46" w:rsidR="00BD17B0" w:rsidRPr="005500CA" w:rsidRDefault="00BD17B0" w:rsidP="008463D3">
      <w:pPr>
        <w:jc w:val="center"/>
        <w:rPr>
          <w:sz w:val="20"/>
          <w:szCs w:val="20"/>
        </w:rPr>
      </w:pPr>
    </w:p>
    <w:p w14:paraId="0DFFCF0C" w14:textId="29B6BB01" w:rsidR="00BD17B0" w:rsidRPr="005500CA" w:rsidRDefault="00BD17B0" w:rsidP="008463D3">
      <w:pPr>
        <w:jc w:val="center"/>
        <w:rPr>
          <w:sz w:val="20"/>
          <w:szCs w:val="20"/>
        </w:rPr>
      </w:pPr>
    </w:p>
    <w:p w14:paraId="6230DF51" w14:textId="07F40AFC" w:rsidR="00BD17B0" w:rsidRPr="005500CA" w:rsidRDefault="00BD17B0" w:rsidP="008463D3">
      <w:pPr>
        <w:jc w:val="center"/>
        <w:rPr>
          <w:sz w:val="20"/>
          <w:szCs w:val="20"/>
        </w:rPr>
      </w:pPr>
    </w:p>
    <w:p w14:paraId="38560FE2" w14:textId="58AC1CA1" w:rsidR="00BD17B0" w:rsidRPr="005500CA" w:rsidRDefault="00BD17B0" w:rsidP="008463D3">
      <w:pPr>
        <w:jc w:val="center"/>
        <w:rPr>
          <w:sz w:val="20"/>
          <w:szCs w:val="20"/>
        </w:rPr>
      </w:pPr>
    </w:p>
    <w:p w14:paraId="5DD329EC" w14:textId="08FC2FFC" w:rsidR="00BD17B0" w:rsidRPr="005500CA" w:rsidRDefault="00BD17B0" w:rsidP="008463D3">
      <w:pPr>
        <w:jc w:val="center"/>
        <w:rPr>
          <w:sz w:val="20"/>
          <w:szCs w:val="20"/>
        </w:rPr>
      </w:pPr>
    </w:p>
    <w:p w14:paraId="4DC98394" w14:textId="46C9A4F9" w:rsidR="00BD17B0" w:rsidRPr="005500CA" w:rsidRDefault="00BD17B0" w:rsidP="008463D3">
      <w:pPr>
        <w:jc w:val="center"/>
        <w:rPr>
          <w:sz w:val="20"/>
          <w:szCs w:val="20"/>
        </w:rPr>
      </w:pPr>
    </w:p>
    <w:p w14:paraId="40CAC6FD" w14:textId="3E40AC48" w:rsidR="00BD17B0" w:rsidRPr="005500CA" w:rsidRDefault="00BD17B0" w:rsidP="008463D3">
      <w:pPr>
        <w:jc w:val="center"/>
        <w:rPr>
          <w:sz w:val="20"/>
          <w:szCs w:val="20"/>
        </w:rPr>
      </w:pPr>
    </w:p>
    <w:p w14:paraId="521E0DDD" w14:textId="6606AA9A" w:rsidR="00BD17B0" w:rsidRPr="005500CA" w:rsidRDefault="00BD17B0" w:rsidP="008463D3">
      <w:pPr>
        <w:jc w:val="center"/>
        <w:rPr>
          <w:sz w:val="20"/>
          <w:szCs w:val="20"/>
        </w:rPr>
      </w:pPr>
    </w:p>
    <w:p w14:paraId="28CBD58D" w14:textId="2ECC4283" w:rsidR="00BD17B0" w:rsidRPr="005500CA" w:rsidRDefault="00BD17B0" w:rsidP="008463D3">
      <w:pPr>
        <w:jc w:val="center"/>
        <w:rPr>
          <w:sz w:val="20"/>
          <w:szCs w:val="20"/>
        </w:rPr>
      </w:pPr>
    </w:p>
    <w:p w14:paraId="6D206F95" w14:textId="106598B9" w:rsidR="00BD17B0" w:rsidRPr="005500CA" w:rsidRDefault="00BD17B0" w:rsidP="008463D3">
      <w:pPr>
        <w:jc w:val="center"/>
        <w:rPr>
          <w:sz w:val="20"/>
          <w:szCs w:val="20"/>
        </w:rPr>
      </w:pPr>
    </w:p>
    <w:p w14:paraId="24A0B2C5" w14:textId="43F706EF" w:rsidR="00BD17B0" w:rsidRPr="005500CA" w:rsidRDefault="00BD17B0" w:rsidP="008463D3">
      <w:pPr>
        <w:jc w:val="center"/>
        <w:rPr>
          <w:sz w:val="20"/>
          <w:szCs w:val="20"/>
        </w:rPr>
      </w:pPr>
    </w:p>
    <w:p w14:paraId="76D1D0B8" w14:textId="6A411123" w:rsidR="00BD17B0" w:rsidRPr="005500CA" w:rsidRDefault="00BD17B0" w:rsidP="008463D3">
      <w:pPr>
        <w:jc w:val="center"/>
        <w:rPr>
          <w:sz w:val="20"/>
          <w:szCs w:val="20"/>
        </w:rPr>
      </w:pPr>
    </w:p>
    <w:p w14:paraId="5D3B53F0" w14:textId="4810116D" w:rsidR="00BD17B0" w:rsidRPr="005500CA" w:rsidRDefault="00BD17B0" w:rsidP="008463D3">
      <w:pPr>
        <w:jc w:val="center"/>
        <w:rPr>
          <w:sz w:val="20"/>
          <w:szCs w:val="20"/>
        </w:rPr>
      </w:pPr>
    </w:p>
    <w:p w14:paraId="2B796A60" w14:textId="6BF2AE4D" w:rsidR="00BD17B0" w:rsidRPr="005500CA" w:rsidRDefault="00BD17B0" w:rsidP="008463D3">
      <w:pPr>
        <w:jc w:val="center"/>
        <w:rPr>
          <w:sz w:val="20"/>
          <w:szCs w:val="20"/>
        </w:rPr>
      </w:pPr>
    </w:p>
    <w:p w14:paraId="5815C079" w14:textId="5585CF93" w:rsidR="00BD17B0" w:rsidRPr="005500CA" w:rsidRDefault="00BD17B0" w:rsidP="008463D3">
      <w:pPr>
        <w:jc w:val="center"/>
        <w:rPr>
          <w:sz w:val="20"/>
          <w:szCs w:val="20"/>
        </w:rPr>
      </w:pPr>
    </w:p>
    <w:p w14:paraId="097930A5" w14:textId="094BCF2F" w:rsidR="00BD17B0" w:rsidRPr="005500CA" w:rsidRDefault="00BD17B0" w:rsidP="008463D3">
      <w:pPr>
        <w:jc w:val="center"/>
        <w:rPr>
          <w:sz w:val="20"/>
          <w:szCs w:val="20"/>
        </w:rPr>
      </w:pPr>
    </w:p>
    <w:p w14:paraId="3C57FC1E" w14:textId="166FCDAA" w:rsidR="00BD17B0" w:rsidRPr="005500CA" w:rsidRDefault="00BD17B0" w:rsidP="008463D3">
      <w:pPr>
        <w:jc w:val="center"/>
        <w:rPr>
          <w:sz w:val="20"/>
          <w:szCs w:val="20"/>
        </w:rPr>
      </w:pPr>
    </w:p>
    <w:p w14:paraId="5A31A02A" w14:textId="3CDA47F2" w:rsidR="00BD17B0" w:rsidRPr="005500CA" w:rsidRDefault="00BD17B0" w:rsidP="008463D3">
      <w:pPr>
        <w:jc w:val="center"/>
        <w:rPr>
          <w:sz w:val="20"/>
          <w:szCs w:val="20"/>
        </w:rPr>
      </w:pPr>
    </w:p>
    <w:p w14:paraId="45B26099" w14:textId="77777777" w:rsidR="00BD17B0" w:rsidRPr="005500CA" w:rsidRDefault="00BD17B0" w:rsidP="008463D3">
      <w:pPr>
        <w:jc w:val="center"/>
        <w:rPr>
          <w:sz w:val="20"/>
          <w:szCs w:val="20"/>
        </w:rPr>
      </w:pPr>
    </w:p>
    <w:sectPr w:rsidR="00BD17B0" w:rsidRPr="005500CA" w:rsidSect="00566CD0">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619F8" w14:textId="77777777" w:rsidR="00F97F67" w:rsidRDefault="00F97F67" w:rsidP="00672733">
      <w:r>
        <w:separator/>
      </w:r>
    </w:p>
  </w:endnote>
  <w:endnote w:type="continuationSeparator" w:id="0">
    <w:p w14:paraId="656D789C" w14:textId="77777777" w:rsidR="00F97F67" w:rsidRDefault="00F97F67"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E7DE" w14:textId="38F258B5"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3543CF">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2297" w14:textId="77777777" w:rsidR="00F97F67" w:rsidRDefault="00F97F67" w:rsidP="00672733">
      <w:r>
        <w:separator/>
      </w:r>
    </w:p>
  </w:footnote>
  <w:footnote w:type="continuationSeparator" w:id="0">
    <w:p w14:paraId="18873DF1" w14:textId="77777777" w:rsidR="00F97F67" w:rsidRDefault="00F97F67" w:rsidP="00672733">
      <w:r>
        <w:continuationSeparator/>
      </w:r>
    </w:p>
  </w:footnote>
  <w:footnote w:id="1">
    <w:p w14:paraId="73F70D1B"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Judicial Committee of the Privy Council, Queen v. Hughes, [2002] UKPC 12 (United Kingdom); Judicial Committee of the Privy Council, Reyes v. R, [2002] UKPC 11 (United Kingdom); Judicial Committee of the Privy Council, Fox v. R, [2002] UKPC 13 (United Kingdom). </w:t>
      </w:r>
    </w:p>
  </w:footnote>
  <w:footnote w:id="2">
    <w:p w14:paraId="67BEAFCE"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IACHR, 2017 Annual Report, </w:t>
      </w:r>
      <w:hyperlink r:id="rId1" w:history="1">
        <w:r w:rsidRPr="002D2292">
          <w:rPr>
            <w:rStyle w:val="Hyperlink"/>
            <w:rFonts w:ascii="Cambria" w:hAnsi="Cambria"/>
            <w:color w:val="000000"/>
            <w:sz w:val="16"/>
            <w:szCs w:val="16"/>
          </w:rPr>
          <w:t>Chapter II, Section F: Status of compliance with the recommendations of the IACHR and friendly settlements of the IACHR</w:t>
        </w:r>
      </w:hyperlink>
      <w:r w:rsidRPr="002D2292">
        <w:rPr>
          <w:rFonts w:ascii="Cambria" w:hAnsi="Cambria"/>
          <w:color w:val="000000"/>
          <w:sz w:val="16"/>
          <w:szCs w:val="16"/>
        </w:rPr>
        <w:t>, para. 1156.</w:t>
      </w:r>
    </w:p>
  </w:footnote>
  <w:footnote w:id="3">
    <w:p w14:paraId="196B5A5D"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IACtHR, Case of La Cantuta v. Peru, </w:t>
      </w:r>
      <w:hyperlink r:id="rId2" w:history="1">
        <w:r w:rsidRPr="002D2292">
          <w:rPr>
            <w:rStyle w:val="Hyperlink"/>
            <w:rFonts w:ascii="Cambria" w:hAnsi="Cambria"/>
            <w:color w:val="000000"/>
            <w:sz w:val="16"/>
            <w:szCs w:val="16"/>
            <w:shd w:val="clear" w:color="auto" w:fill="FFFFFF"/>
          </w:rPr>
          <w:t>Reparations and Costs. Judgment of November 29, 2006. Series C No. 162</w:t>
        </w:r>
      </w:hyperlink>
      <w:r w:rsidRPr="002D2292">
        <w:rPr>
          <w:rFonts w:ascii="Cambria" w:hAnsi="Cambria"/>
          <w:color w:val="000000"/>
          <w:sz w:val="16"/>
          <w:szCs w:val="16"/>
        </w:rPr>
        <w:t xml:space="preserve">, paras. 199-200. </w:t>
      </w:r>
    </w:p>
  </w:footnote>
  <w:footnote w:id="4">
    <w:p w14:paraId="4676642C"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CIDH, </w:t>
      </w:r>
      <w:hyperlink r:id="rId3" w:history="1">
        <w:r w:rsidRPr="002D2292">
          <w:rPr>
            <w:rStyle w:val="Hyperlink"/>
            <w:rFonts w:ascii="Cambria" w:hAnsi="Cambria" w:cs="Tahoma"/>
            <w:color w:val="000000"/>
            <w:sz w:val="16"/>
            <w:szCs w:val="16"/>
            <w:shd w:val="clear" w:color="auto" w:fill="FFFFFF"/>
          </w:rPr>
          <w:t>Principal Guidelines for a Comprehensive Reparations Policy</w:t>
        </w:r>
      </w:hyperlink>
      <w:r w:rsidRPr="002D2292">
        <w:rPr>
          <w:rFonts w:ascii="Cambria" w:hAnsi="Cambria"/>
          <w:color w:val="000000"/>
          <w:sz w:val="16"/>
          <w:szCs w:val="16"/>
        </w:rPr>
        <w:t>, February 19, 2008, OEA/Ser/L/V/II.131, doc. 1, párr. 1; United Nations General Assembly, Resolution 60/147.</w:t>
      </w:r>
      <w:r w:rsidRPr="002D2292">
        <w:rPr>
          <w:rFonts w:ascii="Cambria" w:hAnsi="Cambria" w:cs="Arial"/>
          <w:color w:val="000000"/>
          <w:sz w:val="16"/>
          <w:szCs w:val="16"/>
        </w:rPr>
        <w:t xml:space="preserve"> </w:t>
      </w:r>
      <w:hyperlink r:id="rId4" w:history="1">
        <w:r w:rsidRPr="002D2292">
          <w:rPr>
            <w:rStyle w:val="Hyperlink"/>
            <w:rFonts w:ascii="Cambria" w:hAnsi="Cambria" w:cs="Arial"/>
            <w:color w:val="000000"/>
            <w:sz w:val="16"/>
            <w:szCs w:val="16"/>
          </w:rPr>
          <w:t>Basic Principles and Guidelines on the Right to a Remedy and Reparation for Victims of Gross Violations of International Human Rights Law and Serious Violations of International Humanitarian Law</w:t>
        </w:r>
      </w:hyperlink>
      <w:r w:rsidRPr="002D2292">
        <w:rPr>
          <w:rFonts w:ascii="Cambria" w:hAnsi="Cambria"/>
          <w:color w:val="000000"/>
          <w:sz w:val="16"/>
          <w:szCs w:val="16"/>
        </w:rPr>
        <w:t xml:space="preserve">, December 16, 2005. A/RES/60/147. </w:t>
      </w:r>
    </w:p>
  </w:footnote>
  <w:footnote w:id="5">
    <w:p w14:paraId="46EDC347"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IACtHR, Case of La Cantuta v. Peru, </w:t>
      </w:r>
      <w:hyperlink r:id="rId5" w:history="1">
        <w:r w:rsidRPr="002D2292">
          <w:rPr>
            <w:rStyle w:val="Hyperlink"/>
            <w:rFonts w:ascii="Cambria" w:hAnsi="Cambria"/>
            <w:color w:val="000000"/>
            <w:sz w:val="16"/>
            <w:szCs w:val="16"/>
            <w:shd w:val="clear" w:color="auto" w:fill="FFFFFF"/>
          </w:rPr>
          <w:t>Reparations and Costs. Judgment of November 29, 2006. Series C No. 162</w:t>
        </w:r>
      </w:hyperlink>
      <w:r w:rsidRPr="002D2292">
        <w:rPr>
          <w:rFonts w:ascii="Cambria" w:hAnsi="Cambria"/>
          <w:color w:val="000000"/>
          <w:sz w:val="16"/>
          <w:szCs w:val="16"/>
        </w:rPr>
        <w:t>, para. 200.</w:t>
      </w:r>
    </w:p>
  </w:footnote>
  <w:footnote w:id="6">
    <w:p w14:paraId="2A6945B9"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Judicial Committee of the Privy Council, Coard v. A.G. of Grenada, Appeal No. 10 of 1996, February 7, 2007 (United Kingdom).</w:t>
      </w:r>
    </w:p>
  </w:footnote>
  <w:footnote w:id="7">
    <w:p w14:paraId="23A49643" w14:textId="77777777" w:rsidR="005500CA" w:rsidRPr="002D2292" w:rsidRDefault="005500CA" w:rsidP="005500CA">
      <w:pPr>
        <w:pStyle w:val="FootnoteText"/>
        <w:spacing w:after="120"/>
        <w:ind w:firstLine="720"/>
        <w:jc w:val="both"/>
        <w:rPr>
          <w:rFonts w:ascii="Cambria" w:hAnsi="Cambria"/>
          <w:color w:val="000000"/>
          <w:sz w:val="16"/>
          <w:szCs w:val="16"/>
        </w:rPr>
      </w:pPr>
      <w:r w:rsidRPr="002D2292">
        <w:rPr>
          <w:rStyle w:val="FootnoteReference"/>
          <w:rFonts w:ascii="Cambria" w:hAnsi="Cambria"/>
          <w:color w:val="000000"/>
          <w:sz w:val="16"/>
          <w:szCs w:val="16"/>
        </w:rPr>
        <w:footnoteRef/>
      </w:r>
      <w:r w:rsidRPr="002D2292">
        <w:rPr>
          <w:rFonts w:ascii="Cambria" w:hAnsi="Cambria"/>
          <w:color w:val="000000"/>
          <w:sz w:val="16"/>
          <w:szCs w:val="16"/>
        </w:rPr>
        <w:t xml:space="preserve"> Judicial Committee of the Privy Council, Lewis v. Attorney General of Jamaica, Appeal Nos. 60, 65 and 69 of 1999 and 10 of 2000, September 12, 2000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C92C" w14:textId="6C11A6C6" w:rsidR="00566CD0" w:rsidRPr="00ED1EBA" w:rsidRDefault="005500CA" w:rsidP="00ED1EBA">
    <w:pPr>
      <w:pStyle w:val="Header"/>
      <w:rPr>
        <w:rFonts w:ascii="Arial" w:hAnsi="Arial" w:cs="Arial"/>
        <w:color w:val="3B3838" w:themeColor="background2" w:themeShade="40"/>
        <w:sz w:val="22"/>
        <w:szCs w:val="28"/>
      </w:rPr>
    </w:pPr>
    <w:r>
      <w:rPr>
        <w:noProof/>
        <w:sz w:val="20"/>
      </w:rPr>
      <w:drawing>
        <wp:anchor distT="0" distB="0" distL="114300" distR="114300" simplePos="0" relativeHeight="251668480" behindDoc="0" locked="0" layoutInCell="1" allowOverlap="1" wp14:anchorId="6EDEE5D5" wp14:editId="5480CBA7">
          <wp:simplePos x="0" y="0"/>
          <wp:positionH relativeFrom="column">
            <wp:posOffset>1123950</wp:posOffset>
          </wp:positionH>
          <wp:positionV relativeFrom="paragraph">
            <wp:posOffset>-115570</wp:posOffset>
          </wp:positionV>
          <wp:extent cx="923925" cy="3536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916" b="5110"/>
                  <a:stretch>
                    <a:fillRect/>
                  </a:stretch>
                </pic:blipFill>
                <pic:spPr bwMode="auto">
                  <a:xfrm>
                    <a:off x="0" y="0"/>
                    <a:ext cx="923925" cy="353695"/>
                  </a:xfrm>
                  <a:prstGeom prst="rect">
                    <a:avLst/>
                  </a:prstGeom>
                  <a:noFill/>
                </pic:spPr>
              </pic:pic>
            </a:graphicData>
          </a:graphic>
          <wp14:sizeRelH relativeFrom="page">
            <wp14:pctWidth>0</wp14:pctWidth>
          </wp14:sizeRelH>
          <wp14:sizeRelV relativeFrom="page">
            <wp14:pctHeight>0</wp14:pctHeight>
          </wp14:sizeRelV>
        </wp:anchor>
      </w:drawing>
    </w:r>
    <w:r w:rsidR="00ED1EBA">
      <w:rPr>
        <w:rFonts w:ascii="Arial" w:hAnsi="Arial" w:cs="Arial"/>
        <w:color w:val="3B3838" w:themeColor="background2" w:themeShade="40"/>
        <w:sz w:val="22"/>
        <w:szCs w:val="28"/>
      </w:rPr>
      <w:t xml:space="preserve">                       </w:t>
    </w:r>
    <w:r w:rsidR="00ED1EBA" w:rsidRPr="00ED1EBA">
      <w:rPr>
        <w:rFonts w:ascii="Arial" w:hAnsi="Arial" w:cs="Arial"/>
        <w:noProof/>
        <w:color w:val="3B3838" w:themeColor="background2" w:themeShade="40"/>
        <w:sz w:val="22"/>
        <w:szCs w:val="28"/>
      </w:rPr>
      <w:t>Inter-American Commission on Human Rights</w:t>
    </w:r>
  </w:p>
  <w:p w14:paraId="60E6F577" w14:textId="7E60D2C5"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10346C42">
              <wp:simplePos x="0" y="0"/>
              <wp:positionH relativeFrom="column">
                <wp:posOffset>-5610</wp:posOffset>
              </wp:positionH>
              <wp:positionV relativeFrom="paragraph">
                <wp:posOffset>167882</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AF49A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F865" w14:textId="3D264B1D" w:rsidR="00566CD0" w:rsidRPr="006B1F24" w:rsidRDefault="00EA0262" w:rsidP="00EA0262">
    <w:pPr>
      <w:pStyle w:val="Header"/>
      <w:spacing w:line="216" w:lineRule="auto"/>
      <w:rPr>
        <w:rFonts w:ascii="Arial" w:hAnsi="Arial" w:cs="Arial"/>
        <w:color w:val="3B3838" w:themeColor="background2" w:themeShade="40"/>
        <w:sz w:val="28"/>
        <w:szCs w:val="28"/>
        <w:lang w:val="es-ES"/>
      </w:rPr>
    </w:pPr>
    <w:r w:rsidRPr="00ED1EBA">
      <w:rPr>
        <w:rFonts w:ascii="Arial" w:hAnsi="Arial" w:cs="Arial"/>
        <w:noProof/>
        <w:color w:val="3B3838" w:themeColor="background2" w:themeShade="40"/>
        <w:sz w:val="44"/>
        <w:szCs w:val="28"/>
      </w:rPr>
      <mc:AlternateContent>
        <mc:Choice Requires="wps">
          <w:drawing>
            <wp:anchor distT="0" distB="0" distL="114300" distR="114300" simplePos="0" relativeHeight="251663360" behindDoc="1" locked="0" layoutInCell="1" allowOverlap="1" wp14:anchorId="1F9B0906" wp14:editId="1EC8527F">
              <wp:simplePos x="0" y="0"/>
              <wp:positionH relativeFrom="column">
                <wp:posOffset>1071880</wp:posOffset>
              </wp:positionH>
              <wp:positionV relativeFrom="paragraph">
                <wp:posOffset>-63500</wp:posOffset>
              </wp:positionV>
              <wp:extent cx="1447332" cy="605918"/>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7A80083F" w14:textId="26CDE986" w:rsidR="00566CD0" w:rsidRPr="00EA0262" w:rsidRDefault="00566CD0" w:rsidP="00566CD0">
                          <w:pPr>
                            <w:rPr>
                              <w:rFonts w:ascii="Arial" w:hAnsi="Arial" w:cs="Arial"/>
                              <w:b/>
                              <w:bCs/>
                              <w:color w:val="767171" w:themeColor="background2" w:themeShade="80"/>
                              <w:sz w:val="80"/>
                              <w:szCs w:val="80"/>
                              <w:lang w:val="es-ES"/>
                            </w:rPr>
                          </w:pPr>
                          <w:r w:rsidRPr="00EA0262">
                            <w:rPr>
                              <w:rFonts w:ascii="Arial" w:hAnsi="Arial" w:cs="Arial"/>
                              <w:b/>
                              <w:bCs/>
                              <w:color w:val="767171" w:themeColor="background2" w:themeShade="80"/>
                              <w:sz w:val="80"/>
                              <w:szCs w:val="80"/>
                              <w:lang w:val="es-ES"/>
                            </w:rPr>
                            <w:t>20</w:t>
                          </w:r>
                          <w:r w:rsidR="00E042FE" w:rsidRPr="00EA0262">
                            <w:rPr>
                              <w:rFonts w:ascii="Arial" w:hAnsi="Arial" w:cs="Arial"/>
                              <w:b/>
                              <w:bCs/>
                              <w:color w:val="767171" w:themeColor="background2" w:themeShade="80"/>
                              <w:sz w:val="80"/>
                              <w:szCs w:val="80"/>
                              <w:lang w:val="es-E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0906" id="_x0000_t202" coordsize="21600,21600" o:spt="202" path="m,l,21600r21600,l21600,xe">
              <v:stroke joinstyle="miter"/>
              <v:path gradientshapeok="t" o:connecttype="rect"/>
            </v:shapetype>
            <v:shape id="Text Box 4" o:spid="_x0000_s1026" type="#_x0000_t202" style="position:absolute;margin-left:84.4pt;margin-top:-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" fillcolor="white [3201]" stroked="f" strokeweight=".5pt">
              <v:textbox>
                <w:txbxContent>
                  <w:p w14:paraId="7A80083F" w14:textId="26CDE986" w:rsidR="00566CD0" w:rsidRPr="00EA0262" w:rsidRDefault="00566CD0" w:rsidP="00566CD0">
                    <w:pPr>
                      <w:rPr>
                        <w:rFonts w:ascii="Arial" w:hAnsi="Arial" w:cs="Arial"/>
                        <w:b/>
                        <w:bCs/>
                        <w:color w:val="767171" w:themeColor="background2" w:themeShade="80"/>
                        <w:sz w:val="80"/>
                        <w:szCs w:val="80"/>
                        <w:lang w:val="es-ES"/>
                      </w:rPr>
                    </w:pPr>
                    <w:r w:rsidRPr="00EA0262">
                      <w:rPr>
                        <w:rFonts w:ascii="Arial" w:hAnsi="Arial" w:cs="Arial"/>
                        <w:b/>
                        <w:bCs/>
                        <w:color w:val="767171" w:themeColor="background2" w:themeShade="80"/>
                        <w:sz w:val="80"/>
                        <w:szCs w:val="80"/>
                        <w:lang w:val="es-ES"/>
                      </w:rPr>
                      <w:t>20</w:t>
                    </w:r>
                    <w:r w:rsidR="00E042FE" w:rsidRPr="00EA0262">
                      <w:rPr>
                        <w:rFonts w:ascii="Arial" w:hAnsi="Arial" w:cs="Arial"/>
                        <w:b/>
                        <w:bCs/>
                        <w:color w:val="767171" w:themeColor="background2" w:themeShade="80"/>
                        <w:sz w:val="80"/>
                        <w:szCs w:val="80"/>
                        <w:lang w:val="es-ES"/>
                      </w:rPr>
                      <w:t>20</w:t>
                    </w:r>
                  </w:p>
                </w:txbxContent>
              </v:textbox>
            </v:shape>
          </w:pict>
        </mc:Fallback>
      </mc:AlternateContent>
    </w:r>
    <w:r w:rsidR="005500CA">
      <w:rPr>
        <w:noProof/>
      </w:rPr>
      <w:drawing>
        <wp:anchor distT="0" distB="0" distL="114300" distR="114300" simplePos="0" relativeHeight="251666432" behindDoc="0" locked="0" layoutInCell="1" allowOverlap="1" wp14:anchorId="6A09C386" wp14:editId="41E3043C">
          <wp:simplePos x="0" y="0"/>
          <wp:positionH relativeFrom="column">
            <wp:posOffset>3752850</wp:posOffset>
          </wp:positionH>
          <wp:positionV relativeFrom="paragraph">
            <wp:posOffset>29210</wp:posOffset>
          </wp:positionV>
          <wp:extent cx="2381250" cy="561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00ED1EBA" w:rsidRPr="00ED1EBA">
      <w:rPr>
        <w:noProof/>
        <w:sz w:val="44"/>
        <w:szCs w:val="28"/>
      </w:rPr>
      <w:t>ANNUAL</w:t>
    </w:r>
    <w:r w:rsidR="00ED1EBA">
      <w:rPr>
        <w:noProof/>
        <w:sz w:val="44"/>
        <w:szCs w:val="28"/>
      </w:rPr>
      <w:t xml:space="preserve"> </w:t>
    </w:r>
  </w:p>
  <w:p w14:paraId="434D4143" w14:textId="68C1076C" w:rsidR="00566CD0" w:rsidRPr="006B1F24" w:rsidRDefault="00ED1EBA" w:rsidP="00EA0262">
    <w:pPr>
      <w:pStyle w:val="Header"/>
      <w:tabs>
        <w:tab w:val="clear" w:pos="4680"/>
        <w:tab w:val="clear" w:pos="9360"/>
        <w:tab w:val="left" w:pos="1925"/>
      </w:tabs>
      <w:spacing w:line="216" w:lineRule="auto"/>
      <w:rPr>
        <w:rFonts w:ascii="Arial" w:hAnsi="Arial" w:cs="Arial"/>
        <w:b/>
        <w:bCs/>
        <w:color w:val="404040" w:themeColor="text1" w:themeTint="BF"/>
        <w:sz w:val="38"/>
        <w:szCs w:val="38"/>
        <w:lang w:val="es-ES"/>
      </w:rPr>
    </w:pPr>
    <w:r>
      <w:rPr>
        <w:rFonts w:ascii="Arial" w:hAnsi="Arial" w:cs="Arial"/>
        <w:b/>
        <w:bCs/>
        <w:color w:val="404040" w:themeColor="text1" w:themeTint="BF"/>
        <w:sz w:val="38"/>
        <w:szCs w:val="38"/>
        <w:lang w:val="es-ES"/>
      </w:rPr>
      <w:t>REPORT</w:t>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97672C"/>
    <w:multiLevelType w:val="hybridMultilevel"/>
    <w:tmpl w:val="335A9580"/>
    <w:lvl w:ilvl="0" w:tplc="D7F20EFC">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5"/>
  </w:num>
  <w:num w:numId="2">
    <w:abstractNumId w:val="10"/>
  </w:num>
  <w:num w:numId="3">
    <w:abstractNumId w:val="7"/>
  </w:num>
  <w:num w:numId="4">
    <w:abstractNumId w:val="3"/>
  </w:num>
  <w:num w:numId="5">
    <w:abstractNumId w:val="2"/>
  </w:num>
  <w:num w:numId="6">
    <w:abstractNumId w:val="4"/>
  </w:num>
  <w:num w:numId="7">
    <w:abstractNumId w:val="0"/>
  </w:num>
  <w:num w:numId="8">
    <w:abstractNumId w:val="6"/>
  </w:num>
  <w:num w:numId="9">
    <w:abstractNumId w:val="1"/>
  </w:num>
  <w:num w:numId="10">
    <w:abstractNumId w:val="9"/>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33"/>
    <w:rsid w:val="000436E0"/>
    <w:rsid w:val="00045E5E"/>
    <w:rsid w:val="000B5E1D"/>
    <w:rsid w:val="00126A16"/>
    <w:rsid w:val="001C24CD"/>
    <w:rsid w:val="002D6274"/>
    <w:rsid w:val="0032186F"/>
    <w:rsid w:val="00322720"/>
    <w:rsid w:val="003543CF"/>
    <w:rsid w:val="003600F8"/>
    <w:rsid w:val="00453115"/>
    <w:rsid w:val="004758C9"/>
    <w:rsid w:val="0048723C"/>
    <w:rsid w:val="005500CA"/>
    <w:rsid w:val="00566CD0"/>
    <w:rsid w:val="00637ED3"/>
    <w:rsid w:val="0065785C"/>
    <w:rsid w:val="006638E5"/>
    <w:rsid w:val="00672733"/>
    <w:rsid w:val="006B1F24"/>
    <w:rsid w:val="00811AFB"/>
    <w:rsid w:val="008463D3"/>
    <w:rsid w:val="008818B0"/>
    <w:rsid w:val="008E7877"/>
    <w:rsid w:val="00B148C9"/>
    <w:rsid w:val="00B42DDB"/>
    <w:rsid w:val="00B63859"/>
    <w:rsid w:val="00BD17B0"/>
    <w:rsid w:val="00D56DC4"/>
    <w:rsid w:val="00D93671"/>
    <w:rsid w:val="00DA5774"/>
    <w:rsid w:val="00E042FE"/>
    <w:rsid w:val="00E40630"/>
    <w:rsid w:val="00E516AB"/>
    <w:rsid w:val="00E90CB3"/>
    <w:rsid w:val="00EA0262"/>
    <w:rsid w:val="00EA3E0E"/>
    <w:rsid w:val="00ED0AAA"/>
    <w:rsid w:val="00ED1EBA"/>
    <w:rsid w:val="00F5775A"/>
    <w:rsid w:val="00F9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5B2B5"/>
  <w15:chartTrackingRefBased/>
  <w15:docId w15:val="{90C71373-7FC8-954C-ADE4-56D64BFC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5500CA"/>
    <w:pPr>
      <w:spacing w:after="160" w:line="240" w:lineRule="exact"/>
    </w:pPr>
    <w:rPr>
      <w:vertAlign w:val="superscript"/>
    </w:rPr>
  </w:style>
  <w:style w:type="character" w:styleId="Hyperlink">
    <w:name w:val="Hyperlink"/>
    <w:uiPriority w:val="99"/>
    <w:unhideWhenUsed/>
    <w:rsid w:val="005500CA"/>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55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7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h.org/annualrep/2000eng/ChapterIII/Merits/Grenada12.02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pdf%20files/Lineamientos%20Reparacion%20Administrativa%2014%20mar%202008%20ENG%20final.pdf" TargetMode="External"/><Relationship Id="rId2" Type="http://schemas.openxmlformats.org/officeDocument/2006/relationships/hyperlink" Target="http://www.corteidh.or.cr/docs/casos/articulos/seriec_162_ing.pdf" TargetMode="External"/><Relationship Id="rId1" Type="http://schemas.openxmlformats.org/officeDocument/2006/relationships/hyperlink" Target="http://www.oas.org/en/iachr/docs/annual/2017/docs/IA2017cap.2-en.pdf" TargetMode="External"/><Relationship Id="rId5" Type="http://schemas.openxmlformats.org/officeDocument/2006/relationships/hyperlink" Target="http://www.corteidh.or.cr/docs/casos/articulos/seriec_162_ing.pdf" TargetMode="External"/><Relationship Id="rId4" Type="http://schemas.openxmlformats.org/officeDocument/2006/relationships/hyperlink" Target="http://www.un.org/ruleoflaw/files/BASICP~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AF65-DD96-405B-B8DA-AC193C6C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jospofe24@estudiantec.cr</dc:creator>
  <cp:keywords/>
  <dc:description/>
  <cp:lastModifiedBy>Paez, Suzdal</cp:lastModifiedBy>
  <cp:revision>8</cp:revision>
  <dcterms:created xsi:type="dcterms:W3CDTF">2020-11-09T16:19:00Z</dcterms:created>
  <dcterms:modified xsi:type="dcterms:W3CDTF">2021-03-25T22:49:00Z</dcterms:modified>
</cp:coreProperties>
</file>