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B27BB" w14:textId="77777777" w:rsidR="00DD1591" w:rsidRPr="004140B8" w:rsidRDefault="00DD1591" w:rsidP="004140B8">
      <w:pPr>
        <w:suppressAutoHyphens/>
        <w:spacing w:after="0" w:line="240" w:lineRule="auto"/>
        <w:ind w:right="4"/>
        <w:rPr>
          <w:rFonts w:ascii="Cambria" w:eastAsia="Batang" w:hAnsi="Cambria"/>
          <w:b/>
          <w:bCs/>
          <w:color w:val="000000"/>
          <w:sz w:val="24"/>
        </w:rPr>
      </w:pPr>
    </w:p>
    <w:p w14:paraId="63C6CC88" w14:textId="6343F2F5" w:rsidR="00457711" w:rsidRPr="004140B8" w:rsidRDefault="00457711" w:rsidP="004140B8">
      <w:pPr>
        <w:suppressAutoHyphens/>
        <w:spacing w:after="0" w:line="240" w:lineRule="auto"/>
        <w:ind w:right="4"/>
        <w:jc w:val="center"/>
        <w:rPr>
          <w:rFonts w:ascii="Cambria" w:eastAsia="Batang" w:hAnsi="Cambria"/>
          <w:b/>
          <w:bCs/>
          <w:color w:val="000000"/>
          <w:sz w:val="24"/>
        </w:rPr>
      </w:pPr>
      <w:r w:rsidRPr="004140B8">
        <w:rPr>
          <w:rFonts w:ascii="Cambria" w:eastAsia="Batang" w:hAnsi="Cambria"/>
          <w:b/>
          <w:bCs/>
          <w:color w:val="000000"/>
          <w:sz w:val="24"/>
        </w:rPr>
        <w:t>TECHNICAL INFORMATION SHEET</w:t>
      </w:r>
    </w:p>
    <w:p w14:paraId="33E3C009" w14:textId="0836B0D3" w:rsidR="00457711" w:rsidRPr="004140B8" w:rsidRDefault="00457711" w:rsidP="004140B8">
      <w:pPr>
        <w:suppressAutoHyphens/>
        <w:spacing w:after="0" w:line="240" w:lineRule="auto"/>
        <w:ind w:right="4"/>
        <w:jc w:val="center"/>
        <w:rPr>
          <w:rFonts w:ascii="Cambria" w:hAnsi="Cambria"/>
          <w:b/>
          <w:color w:val="000000"/>
          <w:sz w:val="24"/>
        </w:rPr>
      </w:pPr>
      <w:r w:rsidRPr="004140B8">
        <w:rPr>
          <w:rFonts w:ascii="Cambria" w:hAnsi="Cambria"/>
          <w:b/>
          <w:color w:val="000000"/>
          <w:sz w:val="24"/>
        </w:rPr>
        <w:t xml:space="preserve">CASE </w:t>
      </w:r>
      <w:r w:rsidR="004140B8" w:rsidRPr="004140B8">
        <w:rPr>
          <w:rFonts w:ascii="Cambria" w:hAnsi="Cambria"/>
          <w:b/>
          <w:color w:val="000000"/>
          <w:sz w:val="24"/>
        </w:rPr>
        <w:t>14.714 FRANCISCO SAMUEL NAISHTAT</w:t>
      </w:r>
    </w:p>
    <w:p w14:paraId="486FDFC3" w14:textId="4F8F6651" w:rsidR="00DD1591" w:rsidRPr="004140B8" w:rsidRDefault="00DD1591" w:rsidP="004140B8">
      <w:pPr>
        <w:suppressAutoHyphens/>
        <w:spacing w:after="0" w:line="240" w:lineRule="auto"/>
        <w:ind w:right="4"/>
        <w:jc w:val="center"/>
        <w:rPr>
          <w:rFonts w:ascii="Cambria" w:eastAsia="Batang" w:hAnsi="Cambria"/>
          <w:b/>
          <w:bCs/>
          <w:color w:val="000000"/>
          <w:sz w:val="24"/>
        </w:rPr>
      </w:pPr>
      <w:r w:rsidRPr="004140B8">
        <w:rPr>
          <w:rFonts w:ascii="Cambria" w:eastAsia="Batang" w:hAnsi="Cambria"/>
          <w:b/>
          <w:bCs/>
          <w:color w:val="000000"/>
          <w:sz w:val="24"/>
        </w:rPr>
        <w:t xml:space="preserve">FRIENDLY SETTLEMENT </w:t>
      </w:r>
      <w:r w:rsidR="002F2DC7" w:rsidRPr="004140B8">
        <w:rPr>
          <w:rFonts w:ascii="Cambria" w:eastAsia="Batang" w:hAnsi="Cambria"/>
          <w:b/>
          <w:bCs/>
          <w:color w:val="000000"/>
          <w:sz w:val="24"/>
        </w:rPr>
        <w:t>REPORT</w:t>
      </w:r>
      <w:r w:rsidR="004140B8" w:rsidRPr="004140B8">
        <w:rPr>
          <w:rFonts w:ascii="Cambria" w:eastAsia="Batang" w:hAnsi="Cambria"/>
          <w:b/>
          <w:bCs/>
          <w:color w:val="000000"/>
          <w:sz w:val="24"/>
        </w:rPr>
        <w:t xml:space="preserve"> </w:t>
      </w:r>
      <w:hyperlink r:id="rId12" w:history="1">
        <w:r w:rsidR="004140B8" w:rsidRPr="004140B8">
          <w:rPr>
            <w:rStyle w:val="Hyperlink"/>
            <w:rFonts w:ascii="Cambria" w:eastAsia="Batang" w:hAnsi="Cambria"/>
            <w:b/>
            <w:bCs/>
            <w:sz w:val="24"/>
          </w:rPr>
          <w:t>No. 215/23</w:t>
        </w:r>
      </w:hyperlink>
    </w:p>
    <w:p w14:paraId="2B66417A" w14:textId="5D0EDE53" w:rsidR="00457711" w:rsidRPr="004140B8" w:rsidRDefault="002F2DC7" w:rsidP="004140B8">
      <w:pPr>
        <w:suppressAutoHyphens/>
        <w:spacing w:after="0" w:line="240" w:lineRule="auto"/>
        <w:ind w:right="4"/>
        <w:jc w:val="center"/>
        <w:rPr>
          <w:rFonts w:ascii="Cambria" w:eastAsia="Batang" w:hAnsi="Cambria"/>
          <w:b/>
          <w:color w:val="000000"/>
          <w:sz w:val="24"/>
          <w:lang w:val="pt-BR"/>
        </w:rPr>
      </w:pPr>
      <w:r w:rsidRPr="004140B8">
        <w:rPr>
          <w:rFonts w:ascii="Cambria" w:eastAsia="Batang" w:hAnsi="Cambria"/>
          <w:b/>
          <w:bCs/>
          <w:color w:val="000000"/>
          <w:sz w:val="24"/>
        </w:rPr>
        <w:t>TOTAL COMPLIANCE</w:t>
      </w:r>
    </w:p>
    <w:p w14:paraId="0CDE4D15" w14:textId="7AF136DE" w:rsidR="00DD1591" w:rsidRPr="004140B8" w:rsidRDefault="00DD1591" w:rsidP="004140B8">
      <w:pPr>
        <w:suppressAutoHyphens/>
        <w:spacing w:after="0" w:line="240" w:lineRule="auto"/>
        <w:ind w:right="4"/>
        <w:jc w:val="center"/>
        <w:rPr>
          <w:rFonts w:ascii="Cambria" w:eastAsia="Batang" w:hAnsi="Cambria"/>
          <w:b/>
          <w:color w:val="000000"/>
          <w:sz w:val="24"/>
        </w:rPr>
      </w:pPr>
      <w:r w:rsidRPr="004140B8">
        <w:rPr>
          <w:rFonts w:ascii="Cambria" w:eastAsia="Batang" w:hAnsi="Cambria"/>
          <w:b/>
          <w:bCs/>
          <w:color w:val="000000"/>
          <w:sz w:val="24"/>
        </w:rPr>
        <w:t>(</w:t>
      </w:r>
      <w:r w:rsidR="002F2DC7" w:rsidRPr="004140B8">
        <w:rPr>
          <w:rFonts w:ascii="Cambria" w:eastAsia="Batang" w:hAnsi="Cambria"/>
          <w:b/>
          <w:bCs/>
          <w:color w:val="000000"/>
          <w:sz w:val="24"/>
        </w:rPr>
        <w:t>ARGENTINA</w:t>
      </w:r>
      <w:r w:rsidRPr="004140B8">
        <w:rPr>
          <w:rFonts w:ascii="Cambria" w:eastAsia="Batang" w:hAnsi="Cambria"/>
          <w:b/>
          <w:bCs/>
          <w:color w:val="000000"/>
          <w:sz w:val="24"/>
        </w:rPr>
        <w:t>)</w:t>
      </w:r>
    </w:p>
    <w:p w14:paraId="1F65B6D7" w14:textId="77777777" w:rsidR="004140B8" w:rsidRPr="004140B8" w:rsidRDefault="004140B8" w:rsidP="004140B8">
      <w:pPr>
        <w:suppressAutoHyphens/>
        <w:spacing w:after="0" w:line="240" w:lineRule="auto"/>
        <w:ind w:right="-270"/>
        <w:jc w:val="center"/>
        <w:rPr>
          <w:rFonts w:ascii="Cambria" w:eastAsia="Batang" w:hAnsi="Cambria"/>
          <w:b/>
          <w:color w:val="000000"/>
          <w:sz w:val="20"/>
          <w:szCs w:val="20"/>
        </w:rPr>
      </w:pPr>
    </w:p>
    <w:p w14:paraId="1C240AA2" w14:textId="77777777" w:rsidR="004140B8" w:rsidRPr="004140B8" w:rsidRDefault="004140B8" w:rsidP="004140B8">
      <w:pPr>
        <w:numPr>
          <w:ilvl w:val="0"/>
          <w:numId w:val="33"/>
        </w:numPr>
        <w:suppressAutoHyphens/>
        <w:spacing w:after="0" w:line="240" w:lineRule="auto"/>
        <w:ind w:left="0" w:firstLine="709"/>
        <w:rPr>
          <w:rFonts w:ascii="Cambria" w:hAnsi="Cambria" w:cs="Calibri Light"/>
          <w:b/>
          <w:color w:val="000000"/>
          <w:sz w:val="20"/>
          <w:szCs w:val="20"/>
        </w:rPr>
      </w:pPr>
      <w:r w:rsidRPr="004140B8">
        <w:rPr>
          <w:rFonts w:ascii="Cambria" w:hAnsi="Cambria"/>
          <w:b/>
          <w:color w:val="000000"/>
          <w:sz w:val="20"/>
          <w:szCs w:val="20"/>
        </w:rPr>
        <w:t xml:space="preserve">SUMMARY OF THE CASE </w:t>
      </w:r>
    </w:p>
    <w:p w14:paraId="2DB8A8FE" w14:textId="77777777" w:rsidR="004140B8" w:rsidRPr="004140B8" w:rsidRDefault="004140B8" w:rsidP="004140B8">
      <w:pPr>
        <w:suppressAutoHyphens/>
        <w:spacing w:after="0" w:line="240" w:lineRule="auto"/>
        <w:ind w:left="1080"/>
        <w:rPr>
          <w:rFonts w:ascii="Cambria" w:hAnsi="Cambria" w:cs="Calibri Light"/>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4140B8" w:rsidRPr="004140B8" w14:paraId="3BE37D08" w14:textId="77777777" w:rsidTr="009A74AF">
        <w:trPr>
          <w:jc w:val="center"/>
        </w:trPr>
        <w:tc>
          <w:tcPr>
            <w:tcW w:w="9350" w:type="dxa"/>
            <w:tcBorders>
              <w:top w:val="single" w:sz="4" w:space="0" w:color="auto"/>
              <w:left w:val="single" w:sz="4" w:space="0" w:color="auto"/>
              <w:bottom w:val="single" w:sz="4" w:space="0" w:color="auto"/>
              <w:right w:val="single" w:sz="4" w:space="0" w:color="auto"/>
            </w:tcBorders>
            <w:shd w:val="clear" w:color="auto" w:fill="F2F2F2"/>
          </w:tcPr>
          <w:p w14:paraId="2037DE55" w14:textId="77777777" w:rsidR="004140B8" w:rsidRPr="004140B8" w:rsidRDefault="004140B8" w:rsidP="004140B8">
            <w:pPr>
              <w:tabs>
                <w:tab w:val="left" w:pos="9270"/>
              </w:tabs>
              <w:spacing w:after="0" w:line="240" w:lineRule="auto"/>
              <w:jc w:val="both"/>
              <w:rPr>
                <w:rFonts w:ascii="Cambria" w:hAnsi="Cambria"/>
                <w:color w:val="000000"/>
                <w:sz w:val="20"/>
                <w:szCs w:val="20"/>
              </w:rPr>
            </w:pPr>
            <w:r w:rsidRPr="004140B8">
              <w:rPr>
                <w:rFonts w:ascii="Cambria" w:hAnsi="Cambria"/>
                <w:b/>
                <w:color w:val="000000"/>
                <w:sz w:val="20"/>
                <w:szCs w:val="20"/>
              </w:rPr>
              <w:t>Victim(s):</w:t>
            </w:r>
            <w:r w:rsidRPr="004140B8">
              <w:rPr>
                <w:rFonts w:ascii="Cambria" w:hAnsi="Cambria"/>
                <w:color w:val="000000"/>
                <w:sz w:val="20"/>
                <w:szCs w:val="20"/>
              </w:rPr>
              <w:t xml:space="preserve"> Francisco Samuel Naishtat</w:t>
            </w:r>
          </w:p>
          <w:p w14:paraId="1A59365A" w14:textId="77777777" w:rsidR="004140B8" w:rsidRPr="004140B8" w:rsidRDefault="004140B8" w:rsidP="004140B8">
            <w:pPr>
              <w:tabs>
                <w:tab w:val="left" w:pos="9270"/>
              </w:tabs>
              <w:spacing w:after="0" w:line="240" w:lineRule="auto"/>
              <w:jc w:val="both"/>
              <w:rPr>
                <w:rFonts w:ascii="Cambria" w:hAnsi="Cambria"/>
                <w:color w:val="000000"/>
                <w:sz w:val="20"/>
                <w:szCs w:val="20"/>
              </w:rPr>
            </w:pPr>
            <w:r w:rsidRPr="004140B8">
              <w:rPr>
                <w:rFonts w:ascii="Cambria" w:hAnsi="Cambria"/>
                <w:b/>
                <w:color w:val="000000"/>
                <w:sz w:val="20"/>
                <w:szCs w:val="20"/>
              </w:rPr>
              <w:t xml:space="preserve">Petitioner(s): </w:t>
            </w:r>
            <w:r w:rsidRPr="004140B8">
              <w:rPr>
                <w:rFonts w:ascii="Cambria" w:hAnsi="Cambria"/>
                <w:bCs/>
                <w:color w:val="000000"/>
                <w:sz w:val="20"/>
                <w:szCs w:val="20"/>
              </w:rPr>
              <w:t>Elena Carmen Moreno and Myriam Carsen</w:t>
            </w:r>
          </w:p>
          <w:p w14:paraId="6B86DB82" w14:textId="77777777" w:rsidR="004140B8" w:rsidRPr="004140B8" w:rsidRDefault="004140B8" w:rsidP="004140B8">
            <w:pPr>
              <w:tabs>
                <w:tab w:val="left" w:pos="5026"/>
              </w:tabs>
              <w:spacing w:after="0" w:line="240" w:lineRule="auto"/>
              <w:jc w:val="both"/>
              <w:rPr>
                <w:rFonts w:ascii="Cambria" w:hAnsi="Cambria"/>
                <w:color w:val="000000"/>
                <w:sz w:val="20"/>
                <w:szCs w:val="20"/>
              </w:rPr>
            </w:pPr>
            <w:r w:rsidRPr="004140B8">
              <w:rPr>
                <w:rFonts w:ascii="Cambria" w:hAnsi="Cambria"/>
                <w:b/>
                <w:color w:val="000000"/>
                <w:sz w:val="20"/>
                <w:szCs w:val="20"/>
              </w:rPr>
              <w:t xml:space="preserve">State: </w:t>
            </w:r>
            <w:r w:rsidRPr="004140B8">
              <w:rPr>
                <w:rFonts w:ascii="Cambria" w:hAnsi="Cambria"/>
                <w:bCs/>
                <w:color w:val="000000"/>
                <w:sz w:val="20"/>
                <w:szCs w:val="20"/>
              </w:rPr>
              <w:t>Argentina</w:t>
            </w:r>
            <w:r w:rsidRPr="004140B8">
              <w:rPr>
                <w:rFonts w:ascii="Cambria" w:hAnsi="Cambria"/>
                <w:color w:val="000000"/>
                <w:sz w:val="20"/>
                <w:szCs w:val="20"/>
              </w:rPr>
              <w:tab/>
            </w:r>
          </w:p>
          <w:p w14:paraId="2F9FE8A3" w14:textId="77777777" w:rsidR="004140B8" w:rsidRPr="004140B8" w:rsidRDefault="004140B8" w:rsidP="004140B8">
            <w:pPr>
              <w:tabs>
                <w:tab w:val="left" w:pos="9270"/>
              </w:tabs>
              <w:spacing w:after="0" w:line="240" w:lineRule="auto"/>
              <w:jc w:val="both"/>
              <w:rPr>
                <w:rFonts w:ascii="Cambria" w:hAnsi="Cambria"/>
                <w:b/>
                <w:bCs/>
                <w:color w:val="000000"/>
                <w:sz w:val="20"/>
                <w:szCs w:val="20"/>
              </w:rPr>
            </w:pPr>
            <w:r w:rsidRPr="004140B8">
              <w:rPr>
                <w:rFonts w:ascii="Cambria" w:hAnsi="Cambria"/>
                <w:b/>
                <w:bCs/>
                <w:color w:val="000000"/>
                <w:sz w:val="20"/>
                <w:szCs w:val="20"/>
              </w:rPr>
              <w:t>Beginning of the negotiation date:</w:t>
            </w:r>
            <w:r w:rsidRPr="004140B8">
              <w:rPr>
                <w:rFonts w:ascii="Cambria" w:hAnsi="Cambria"/>
                <w:bCs/>
                <w:color w:val="000000"/>
                <w:sz w:val="20"/>
                <w:szCs w:val="20"/>
              </w:rPr>
              <w:t xml:space="preserve"> August 2, 2022</w:t>
            </w:r>
          </w:p>
          <w:p w14:paraId="24AC89F6" w14:textId="77777777" w:rsidR="004140B8" w:rsidRPr="004140B8" w:rsidRDefault="004140B8" w:rsidP="004140B8">
            <w:pPr>
              <w:spacing w:after="0" w:line="240" w:lineRule="auto"/>
              <w:jc w:val="both"/>
              <w:rPr>
                <w:rFonts w:ascii="Cambria" w:hAnsi="Cambria"/>
                <w:color w:val="000000"/>
                <w:sz w:val="20"/>
                <w:szCs w:val="20"/>
              </w:rPr>
            </w:pPr>
            <w:r w:rsidRPr="004140B8">
              <w:rPr>
                <w:rFonts w:ascii="Cambria" w:hAnsi="Cambria"/>
                <w:b/>
                <w:bCs/>
                <w:color w:val="000000"/>
                <w:sz w:val="20"/>
                <w:szCs w:val="20"/>
              </w:rPr>
              <w:t>FSA signature date:</w:t>
            </w:r>
            <w:r w:rsidRPr="004140B8">
              <w:rPr>
                <w:rFonts w:ascii="Cambria" w:hAnsi="Cambria"/>
                <w:color w:val="000000"/>
                <w:sz w:val="20"/>
                <w:szCs w:val="20"/>
              </w:rPr>
              <w:t xml:space="preserve"> July 5, 2022</w:t>
            </w:r>
          </w:p>
          <w:p w14:paraId="0A35668E" w14:textId="1DB58331" w:rsidR="004140B8" w:rsidRPr="004140B8" w:rsidRDefault="004140B8" w:rsidP="004140B8">
            <w:pPr>
              <w:tabs>
                <w:tab w:val="left" w:pos="9270"/>
              </w:tabs>
              <w:spacing w:after="0" w:line="240" w:lineRule="auto"/>
              <w:jc w:val="both"/>
              <w:rPr>
                <w:rFonts w:ascii="Cambria" w:hAnsi="Cambria"/>
                <w:color w:val="000000"/>
                <w:sz w:val="20"/>
                <w:szCs w:val="20"/>
              </w:rPr>
            </w:pPr>
            <w:r w:rsidRPr="004140B8">
              <w:rPr>
                <w:rFonts w:ascii="Cambria" w:hAnsi="Cambria"/>
                <w:b/>
                <w:color w:val="000000"/>
                <w:sz w:val="20"/>
                <w:szCs w:val="20"/>
              </w:rPr>
              <w:t>Report on Ad</w:t>
            </w:r>
            <w:r w:rsidRPr="004140B8">
              <w:rPr>
                <w:rFonts w:ascii="Cambria" w:hAnsi="Cambria"/>
                <w:b/>
                <w:sz w:val="20"/>
                <w:szCs w:val="20"/>
              </w:rPr>
              <w:t xml:space="preserve">missibility No.: </w:t>
            </w:r>
            <w:hyperlink r:id="rId13" w:history="1">
              <w:r w:rsidRPr="004140B8">
                <w:rPr>
                  <w:rFonts w:ascii="Cambria" w:hAnsi="Cambria"/>
                  <w:b/>
                  <w:sz w:val="20"/>
                  <w:szCs w:val="20"/>
                  <w:u w:val="single"/>
                </w:rPr>
                <w:t>235/21</w:t>
              </w:r>
            </w:hyperlink>
            <w:r w:rsidRPr="004140B8">
              <w:rPr>
                <w:rFonts w:ascii="Cambria" w:hAnsi="Cambria"/>
                <w:sz w:val="20"/>
                <w:szCs w:val="20"/>
              </w:rPr>
              <w:t>,</w:t>
            </w:r>
            <w:r w:rsidRPr="004140B8">
              <w:rPr>
                <w:rFonts w:ascii="Cambria" w:hAnsi="Cambria"/>
                <w:b/>
                <w:sz w:val="20"/>
                <w:szCs w:val="20"/>
              </w:rPr>
              <w:t xml:space="preserve"> </w:t>
            </w:r>
            <w:r w:rsidRPr="004140B8">
              <w:rPr>
                <w:rFonts w:ascii="Cambria" w:hAnsi="Cambria"/>
                <w:bCs/>
                <w:sz w:val="20"/>
                <w:szCs w:val="20"/>
              </w:rPr>
              <w:t>publis</w:t>
            </w:r>
            <w:r w:rsidRPr="004140B8">
              <w:rPr>
                <w:rFonts w:ascii="Cambria" w:hAnsi="Cambria"/>
                <w:bCs/>
                <w:color w:val="000000"/>
                <w:sz w:val="20"/>
                <w:szCs w:val="20"/>
              </w:rPr>
              <w:t>hed on September 7, 2021</w:t>
            </w:r>
          </w:p>
          <w:p w14:paraId="3DAC144D" w14:textId="5776C258" w:rsidR="004140B8" w:rsidRPr="004140B8" w:rsidRDefault="004140B8" w:rsidP="004140B8">
            <w:pPr>
              <w:tabs>
                <w:tab w:val="left" w:pos="9270"/>
              </w:tabs>
              <w:spacing w:after="0" w:line="240" w:lineRule="auto"/>
              <w:jc w:val="both"/>
              <w:rPr>
                <w:rFonts w:ascii="Cambria" w:hAnsi="Cambria"/>
                <w:color w:val="000000"/>
                <w:sz w:val="20"/>
                <w:szCs w:val="20"/>
              </w:rPr>
            </w:pPr>
            <w:r w:rsidRPr="004140B8">
              <w:rPr>
                <w:rFonts w:ascii="Cambria" w:hAnsi="Cambria"/>
                <w:b/>
                <w:color w:val="000000"/>
                <w:sz w:val="20"/>
                <w:szCs w:val="20"/>
              </w:rPr>
              <w:t xml:space="preserve">Friendly Settlement Agreement Report </w:t>
            </w:r>
            <w:r w:rsidRPr="004140B8">
              <w:rPr>
                <w:rFonts w:ascii="Cambria" w:hAnsi="Cambria"/>
                <w:b/>
                <w:sz w:val="20"/>
                <w:szCs w:val="20"/>
              </w:rPr>
              <w:t xml:space="preserve">No.: </w:t>
            </w:r>
            <w:hyperlink r:id="rId14" w:history="1">
              <w:r w:rsidRPr="004140B8">
                <w:rPr>
                  <w:rFonts w:ascii="Cambria" w:hAnsi="Cambria"/>
                  <w:b/>
                  <w:sz w:val="20"/>
                  <w:szCs w:val="20"/>
                  <w:u w:val="single"/>
                </w:rPr>
                <w:t>215/23</w:t>
              </w:r>
            </w:hyperlink>
            <w:r w:rsidRPr="004140B8">
              <w:rPr>
                <w:rFonts w:ascii="Cambria" w:hAnsi="Cambria"/>
                <w:sz w:val="20"/>
                <w:szCs w:val="20"/>
              </w:rPr>
              <w:t>,</w:t>
            </w:r>
            <w:r w:rsidRPr="004140B8">
              <w:rPr>
                <w:rFonts w:ascii="Cambria" w:hAnsi="Cambria"/>
                <w:b/>
                <w:sz w:val="20"/>
                <w:szCs w:val="20"/>
              </w:rPr>
              <w:t xml:space="preserve"> </w:t>
            </w:r>
            <w:r w:rsidRPr="004140B8">
              <w:rPr>
                <w:rFonts w:ascii="Cambria" w:hAnsi="Cambria"/>
                <w:sz w:val="20"/>
                <w:szCs w:val="20"/>
              </w:rPr>
              <w:t>p</w:t>
            </w:r>
            <w:r w:rsidRPr="004140B8">
              <w:rPr>
                <w:rFonts w:ascii="Cambria" w:hAnsi="Cambria"/>
                <w:color w:val="000000"/>
                <w:sz w:val="20"/>
                <w:szCs w:val="20"/>
              </w:rPr>
              <w:t>ublished on October 20, 2023</w:t>
            </w:r>
          </w:p>
          <w:p w14:paraId="0D93A917" w14:textId="77777777" w:rsidR="004140B8" w:rsidRPr="004140B8" w:rsidRDefault="004140B8" w:rsidP="004140B8">
            <w:pPr>
              <w:tabs>
                <w:tab w:val="left" w:pos="9270"/>
              </w:tabs>
              <w:spacing w:after="0" w:line="240" w:lineRule="auto"/>
              <w:jc w:val="both"/>
              <w:rPr>
                <w:rFonts w:ascii="Cambria" w:hAnsi="Cambria"/>
                <w:color w:val="000000"/>
                <w:sz w:val="20"/>
                <w:szCs w:val="20"/>
              </w:rPr>
            </w:pPr>
            <w:r w:rsidRPr="004140B8">
              <w:rPr>
                <w:rFonts w:ascii="Cambria" w:hAnsi="Cambria"/>
                <w:b/>
                <w:bCs/>
                <w:color w:val="000000"/>
                <w:sz w:val="20"/>
                <w:szCs w:val="20"/>
              </w:rPr>
              <w:t xml:space="preserve">Estimated length of the negotiation phase: </w:t>
            </w:r>
            <w:r w:rsidRPr="004140B8">
              <w:rPr>
                <w:rFonts w:ascii="Cambria" w:hAnsi="Cambria"/>
                <w:color w:val="000000"/>
                <w:sz w:val="20"/>
                <w:szCs w:val="20"/>
              </w:rPr>
              <w:t>1 year and 2 months</w:t>
            </w:r>
          </w:p>
          <w:p w14:paraId="74CA8608" w14:textId="77777777" w:rsidR="004140B8" w:rsidRPr="004140B8" w:rsidRDefault="004140B8" w:rsidP="004140B8">
            <w:pPr>
              <w:tabs>
                <w:tab w:val="left" w:pos="9270"/>
              </w:tabs>
              <w:spacing w:after="0" w:line="240" w:lineRule="auto"/>
              <w:jc w:val="both"/>
              <w:rPr>
                <w:rFonts w:ascii="Cambria" w:hAnsi="Cambria"/>
                <w:color w:val="000000"/>
                <w:sz w:val="20"/>
                <w:szCs w:val="20"/>
              </w:rPr>
            </w:pPr>
            <w:r w:rsidRPr="004140B8">
              <w:rPr>
                <w:rFonts w:ascii="Cambria" w:hAnsi="Cambria"/>
                <w:b/>
                <w:color w:val="000000"/>
                <w:sz w:val="20"/>
                <w:szCs w:val="20"/>
              </w:rPr>
              <w:t>Related Rapporteurship:</w:t>
            </w:r>
            <w:r w:rsidRPr="004140B8">
              <w:rPr>
                <w:rFonts w:ascii="Cambria" w:hAnsi="Cambria"/>
                <w:color w:val="000000"/>
                <w:sz w:val="20"/>
                <w:szCs w:val="20"/>
              </w:rPr>
              <w:t xml:space="preserve"> Rights of Migrants; Memory, Truth and Justice</w:t>
            </w:r>
          </w:p>
          <w:p w14:paraId="1884E755" w14:textId="77777777" w:rsidR="004140B8" w:rsidRPr="004140B8" w:rsidRDefault="004140B8" w:rsidP="004140B8">
            <w:pPr>
              <w:spacing w:after="0" w:line="240" w:lineRule="auto"/>
              <w:jc w:val="both"/>
              <w:rPr>
                <w:rFonts w:ascii="Cambria" w:hAnsi="Cambria"/>
                <w:bCs/>
                <w:color w:val="000000"/>
                <w:sz w:val="20"/>
                <w:szCs w:val="20"/>
              </w:rPr>
            </w:pPr>
            <w:r w:rsidRPr="004140B8">
              <w:rPr>
                <w:rFonts w:ascii="Cambria" w:hAnsi="Cambria"/>
                <w:b/>
                <w:color w:val="000000"/>
                <w:sz w:val="20"/>
                <w:szCs w:val="20"/>
              </w:rPr>
              <w:t xml:space="preserve">Topics: </w:t>
            </w:r>
            <w:r w:rsidRPr="004140B8">
              <w:rPr>
                <w:rFonts w:ascii="Cambria" w:hAnsi="Cambria"/>
                <w:sz w:val="20"/>
                <w:szCs w:val="20"/>
              </w:rPr>
              <w:t xml:space="preserve"> </w:t>
            </w:r>
            <w:r w:rsidRPr="004140B8">
              <w:rPr>
                <w:rFonts w:ascii="Cambria" w:hAnsi="Cambria"/>
                <w:bCs/>
                <w:color w:val="000000"/>
                <w:sz w:val="20"/>
                <w:szCs w:val="20"/>
              </w:rPr>
              <w:t>Right to Compensation/ Freedom of Movement and Residence/Right to a Fair Trial/</w:t>
            </w:r>
            <w:r w:rsidRPr="004140B8">
              <w:rPr>
                <w:rFonts w:ascii="Cambria" w:hAnsi="Cambria"/>
                <w:bCs/>
                <w:sz w:val="20"/>
                <w:szCs w:val="20"/>
              </w:rPr>
              <w:t xml:space="preserve"> </w:t>
            </w:r>
            <w:r w:rsidRPr="004140B8">
              <w:rPr>
                <w:rFonts w:ascii="Cambria" w:hAnsi="Cambria"/>
                <w:bCs/>
                <w:color w:val="000000"/>
                <w:sz w:val="20"/>
                <w:szCs w:val="20"/>
              </w:rPr>
              <w:t>Right to Equal Protection/ Judicial Protection</w:t>
            </w:r>
          </w:p>
          <w:p w14:paraId="3DAB561C" w14:textId="77777777" w:rsidR="004140B8" w:rsidRPr="004140B8" w:rsidRDefault="004140B8" w:rsidP="004140B8">
            <w:pPr>
              <w:tabs>
                <w:tab w:val="left" w:pos="9270"/>
              </w:tabs>
              <w:spacing w:after="0" w:line="240" w:lineRule="auto"/>
              <w:jc w:val="both"/>
              <w:rPr>
                <w:rFonts w:ascii="Cambria" w:hAnsi="Cambria"/>
                <w:bCs/>
                <w:color w:val="000000"/>
                <w:sz w:val="20"/>
                <w:szCs w:val="20"/>
              </w:rPr>
            </w:pPr>
          </w:p>
          <w:p w14:paraId="71134CC8" w14:textId="77777777" w:rsidR="004140B8" w:rsidRPr="004140B8" w:rsidRDefault="004140B8" w:rsidP="004140B8">
            <w:pPr>
              <w:tabs>
                <w:tab w:val="center" w:pos="720"/>
              </w:tabs>
              <w:suppressAutoHyphens/>
              <w:spacing w:after="0" w:line="240" w:lineRule="auto"/>
              <w:jc w:val="both"/>
              <w:rPr>
                <w:rFonts w:ascii="Cambria" w:hAnsi="Cambria"/>
                <w:sz w:val="20"/>
                <w:szCs w:val="20"/>
              </w:rPr>
            </w:pPr>
            <w:r w:rsidRPr="004140B8">
              <w:rPr>
                <w:rFonts w:ascii="Cambria" w:hAnsi="Cambria"/>
                <w:b/>
                <w:color w:val="000000"/>
                <w:sz w:val="20"/>
                <w:szCs w:val="20"/>
              </w:rPr>
              <w:t xml:space="preserve">Facts: </w:t>
            </w:r>
            <w:r w:rsidRPr="004140B8">
              <w:rPr>
                <w:rFonts w:ascii="Cambria" w:hAnsi="Cambria"/>
                <w:bCs/>
                <w:color w:val="000000"/>
                <w:sz w:val="20"/>
                <w:szCs w:val="20"/>
              </w:rPr>
              <w:t>On October 20, 2010, the Inter-American Commission on Human Rights received a petition filed by Francisco Samuel Naishtat, alleging the international responsibility of the Republic of Argentina, for the violation of the human rights, to the detriment of the alleged victim derived from the facts that forced him to go into exile in France during the last civil-military dictatorship in Argentina, as well as for the violation of his rights to fair trial, to judicial protection, and to equality and non-discrimination in the course of the civil proceedings based on Law No. 24,043.</w:t>
            </w:r>
          </w:p>
          <w:p w14:paraId="0C7581FB" w14:textId="77777777" w:rsidR="004140B8" w:rsidRPr="004140B8" w:rsidRDefault="004140B8" w:rsidP="004140B8">
            <w:pPr>
              <w:tabs>
                <w:tab w:val="center" w:pos="720"/>
              </w:tabs>
              <w:suppressAutoHyphens/>
              <w:spacing w:after="0" w:line="240" w:lineRule="auto"/>
              <w:jc w:val="both"/>
              <w:rPr>
                <w:rFonts w:ascii="Cambria" w:hAnsi="Cambria"/>
                <w:sz w:val="20"/>
                <w:szCs w:val="20"/>
              </w:rPr>
            </w:pPr>
          </w:p>
          <w:p w14:paraId="13082E43" w14:textId="77777777" w:rsidR="004140B8" w:rsidRPr="004140B8" w:rsidRDefault="004140B8" w:rsidP="004140B8">
            <w:pPr>
              <w:tabs>
                <w:tab w:val="left" w:pos="9270"/>
              </w:tabs>
              <w:spacing w:after="0" w:line="240" w:lineRule="auto"/>
              <w:jc w:val="both"/>
              <w:rPr>
                <w:rFonts w:ascii="Cambria" w:hAnsi="Cambria"/>
                <w:color w:val="000000"/>
                <w:sz w:val="20"/>
                <w:szCs w:val="20"/>
              </w:rPr>
            </w:pPr>
            <w:r w:rsidRPr="004140B8">
              <w:rPr>
                <w:rFonts w:ascii="Cambria" w:hAnsi="Cambria"/>
                <w:b/>
                <w:color w:val="000000"/>
                <w:sz w:val="20"/>
                <w:szCs w:val="20"/>
              </w:rPr>
              <w:t>Rights declared admissible:</w:t>
            </w:r>
            <w:r w:rsidRPr="004140B8">
              <w:rPr>
                <w:rFonts w:ascii="Cambria" w:hAnsi="Cambria"/>
                <w:color w:val="000000"/>
                <w:sz w:val="20"/>
                <w:szCs w:val="20"/>
              </w:rPr>
              <w:t xml:space="preserve"> On September 7, 2021, the Commission issued Admissibility Report No. 235/21, in which it declared the petition admissible as well as its competence to hear the claim presented by the petitioners regarding the alleged violation of the rights contained in Articles 8 (fair trial), 24 (equality before the law) and 25 (judicial protection) contained in the American Convention in relation to Articles 1.1 (obligation to respect) and 2 (duty to adopt provisions of domestic law) thereof.</w:t>
            </w:r>
          </w:p>
        </w:tc>
      </w:tr>
    </w:tbl>
    <w:p w14:paraId="21407AB1" w14:textId="77777777" w:rsidR="004140B8" w:rsidRPr="004140B8" w:rsidRDefault="004140B8" w:rsidP="004140B8">
      <w:pPr>
        <w:suppressAutoHyphens/>
        <w:spacing w:after="0" w:line="240" w:lineRule="auto"/>
        <w:ind w:firstLine="709"/>
        <w:contextualSpacing/>
        <w:jc w:val="both"/>
        <w:rPr>
          <w:rFonts w:ascii="Cambria" w:hAnsi="Cambria" w:cs="Calibri Light"/>
          <w:b/>
          <w:color w:val="000000"/>
          <w:sz w:val="20"/>
          <w:szCs w:val="20"/>
        </w:rPr>
      </w:pPr>
    </w:p>
    <w:p w14:paraId="41AFA986" w14:textId="77777777" w:rsidR="004140B8" w:rsidRPr="004140B8" w:rsidRDefault="004140B8" w:rsidP="004140B8">
      <w:pPr>
        <w:numPr>
          <w:ilvl w:val="0"/>
          <w:numId w:val="33"/>
        </w:numPr>
        <w:suppressAutoHyphens/>
        <w:spacing w:after="0" w:line="240" w:lineRule="auto"/>
        <w:ind w:left="0" w:firstLine="709"/>
        <w:contextualSpacing/>
        <w:rPr>
          <w:rFonts w:ascii="Cambria" w:hAnsi="Cambria" w:cs="Calibri Light"/>
          <w:b/>
          <w:color w:val="000000"/>
          <w:sz w:val="20"/>
          <w:szCs w:val="20"/>
        </w:rPr>
      </w:pPr>
      <w:r w:rsidRPr="004140B8">
        <w:rPr>
          <w:rFonts w:ascii="Cambria" w:hAnsi="Cambria"/>
          <w:b/>
          <w:color w:val="000000"/>
          <w:sz w:val="20"/>
          <w:szCs w:val="20"/>
        </w:rPr>
        <w:t>PROCEDURAL ACTIVITY</w:t>
      </w:r>
    </w:p>
    <w:p w14:paraId="0B074FA0" w14:textId="77777777" w:rsidR="004140B8" w:rsidRPr="004140B8" w:rsidRDefault="004140B8" w:rsidP="004140B8">
      <w:pPr>
        <w:suppressAutoHyphens/>
        <w:spacing w:after="0" w:line="240" w:lineRule="auto"/>
        <w:ind w:firstLine="709"/>
        <w:contextualSpacing/>
        <w:jc w:val="both"/>
        <w:rPr>
          <w:rFonts w:ascii="Cambria" w:hAnsi="Cambria" w:cs="Calibri Light"/>
          <w:b/>
          <w:color w:val="000000"/>
          <w:sz w:val="20"/>
          <w:szCs w:val="20"/>
        </w:rPr>
      </w:pPr>
    </w:p>
    <w:p w14:paraId="3FDABA3D" w14:textId="77777777" w:rsidR="004140B8" w:rsidRPr="00091458" w:rsidRDefault="004140B8" w:rsidP="004140B8">
      <w:pPr>
        <w:numPr>
          <w:ilvl w:val="3"/>
          <w:numId w:val="33"/>
        </w:numPr>
        <w:tabs>
          <w:tab w:val="left" w:pos="1440"/>
        </w:tabs>
        <w:suppressAutoHyphens/>
        <w:spacing w:after="0" w:line="240" w:lineRule="auto"/>
        <w:ind w:left="0" w:firstLine="709"/>
        <w:contextualSpacing/>
        <w:jc w:val="both"/>
        <w:rPr>
          <w:rFonts w:ascii="Cambria" w:eastAsia="Batang" w:hAnsi="Cambria" w:cs="Calibri Light"/>
          <w:color w:val="000000"/>
          <w:sz w:val="20"/>
          <w:szCs w:val="20"/>
        </w:rPr>
      </w:pPr>
      <w:r w:rsidRPr="00091458">
        <w:rPr>
          <w:rFonts w:ascii="Cambria" w:eastAsia="Batang" w:hAnsi="Cambria" w:cs="Calibri Light"/>
          <w:color w:val="000000"/>
          <w:sz w:val="20"/>
          <w:szCs w:val="20"/>
        </w:rPr>
        <w:t>On July 5, 2022, the parties signed a friendly settlement agreement.</w:t>
      </w:r>
    </w:p>
    <w:p w14:paraId="45279D09" w14:textId="77777777" w:rsidR="004140B8" w:rsidRPr="00091458" w:rsidRDefault="004140B8" w:rsidP="004140B8">
      <w:pPr>
        <w:tabs>
          <w:tab w:val="left" w:pos="1440"/>
        </w:tabs>
        <w:spacing w:after="0" w:line="240" w:lineRule="auto"/>
        <w:ind w:firstLine="709"/>
        <w:contextualSpacing/>
        <w:jc w:val="both"/>
        <w:rPr>
          <w:rFonts w:ascii="Cambria" w:eastAsia="Batang" w:hAnsi="Cambria" w:cs="Calibri Light"/>
          <w:color w:val="000000"/>
          <w:sz w:val="20"/>
          <w:szCs w:val="20"/>
        </w:rPr>
      </w:pPr>
    </w:p>
    <w:p w14:paraId="1BC04B2C" w14:textId="37D0557D" w:rsidR="004140B8" w:rsidRPr="00091458" w:rsidRDefault="004140B8" w:rsidP="004140B8">
      <w:pPr>
        <w:numPr>
          <w:ilvl w:val="3"/>
          <w:numId w:val="33"/>
        </w:numPr>
        <w:tabs>
          <w:tab w:val="left" w:pos="1440"/>
        </w:tabs>
        <w:suppressAutoHyphens/>
        <w:spacing w:after="0" w:line="240" w:lineRule="auto"/>
        <w:ind w:left="0" w:firstLine="709"/>
        <w:contextualSpacing/>
        <w:jc w:val="both"/>
        <w:rPr>
          <w:rFonts w:ascii="Cambria" w:eastAsia="Batang" w:hAnsi="Cambria" w:cs="Calibri Light"/>
          <w:color w:val="000000"/>
          <w:sz w:val="20"/>
          <w:szCs w:val="20"/>
        </w:rPr>
      </w:pPr>
      <w:r w:rsidRPr="00091458">
        <w:rPr>
          <w:rFonts w:ascii="Cambria" w:eastAsia="Batang" w:hAnsi="Cambria" w:cs="Calibri Light"/>
          <w:color w:val="000000"/>
          <w:sz w:val="20"/>
          <w:szCs w:val="20"/>
        </w:rPr>
        <w:t xml:space="preserve">On October 20, 2023, the Commission approved the friendly settlement agreement </w:t>
      </w:r>
      <w:r w:rsidR="00FE06C0">
        <w:rPr>
          <w:rFonts w:ascii="Cambria" w:hAnsi="Cambria"/>
          <w:color w:val="000000"/>
          <w:sz w:val="20"/>
          <w:szCs w:val="20"/>
        </w:rPr>
        <w:t>through</w:t>
      </w:r>
      <w:r w:rsidRPr="00091458">
        <w:rPr>
          <w:rFonts w:ascii="Cambria" w:eastAsia="Batang" w:hAnsi="Cambria" w:cs="Calibri Light"/>
          <w:color w:val="000000"/>
          <w:sz w:val="20"/>
          <w:szCs w:val="20"/>
        </w:rPr>
        <w:t xml:space="preserve"> Report 21</w:t>
      </w:r>
      <w:r>
        <w:rPr>
          <w:rFonts w:ascii="Cambria" w:eastAsia="Batang" w:hAnsi="Cambria" w:cs="Calibri Light"/>
          <w:color w:val="000000"/>
          <w:sz w:val="20"/>
          <w:szCs w:val="20"/>
        </w:rPr>
        <w:t>5</w:t>
      </w:r>
      <w:r w:rsidRPr="00091458">
        <w:rPr>
          <w:rFonts w:ascii="Cambria" w:eastAsia="Batang" w:hAnsi="Cambria" w:cs="Calibri Light"/>
          <w:color w:val="000000"/>
          <w:sz w:val="20"/>
          <w:szCs w:val="20"/>
        </w:rPr>
        <w:t>/23.</w:t>
      </w:r>
    </w:p>
    <w:p w14:paraId="50CBE0D6" w14:textId="01A59E9D" w:rsidR="004140B8" w:rsidRPr="004140B8" w:rsidRDefault="004140B8" w:rsidP="004140B8">
      <w:pPr>
        <w:tabs>
          <w:tab w:val="left" w:pos="1440"/>
        </w:tabs>
        <w:suppressAutoHyphens/>
        <w:spacing w:after="0" w:line="240" w:lineRule="auto"/>
        <w:ind w:left="709"/>
        <w:contextualSpacing/>
        <w:jc w:val="both"/>
        <w:rPr>
          <w:rFonts w:ascii="Cambria" w:eastAsia="Batang" w:hAnsi="Cambria" w:cs="Calibri Light"/>
          <w:color w:val="000000"/>
          <w:sz w:val="20"/>
          <w:szCs w:val="20"/>
        </w:rPr>
      </w:pPr>
    </w:p>
    <w:p w14:paraId="387D5147" w14:textId="77777777" w:rsidR="004140B8" w:rsidRPr="004140B8" w:rsidRDefault="004140B8" w:rsidP="004140B8">
      <w:pPr>
        <w:numPr>
          <w:ilvl w:val="0"/>
          <w:numId w:val="33"/>
        </w:numPr>
        <w:suppressAutoHyphens/>
        <w:spacing w:after="0" w:line="240" w:lineRule="auto"/>
        <w:ind w:left="0" w:firstLine="709"/>
        <w:contextualSpacing/>
        <w:jc w:val="both"/>
        <w:rPr>
          <w:rFonts w:ascii="Cambria" w:hAnsi="Cambria" w:cs="Calibri Light"/>
          <w:b/>
          <w:color w:val="000000"/>
          <w:sz w:val="20"/>
          <w:szCs w:val="20"/>
        </w:rPr>
      </w:pPr>
      <w:r w:rsidRPr="004140B8">
        <w:rPr>
          <w:rFonts w:ascii="Cambria" w:hAnsi="Cambria"/>
          <w:b/>
          <w:color w:val="000000"/>
          <w:sz w:val="20"/>
          <w:szCs w:val="20"/>
        </w:rPr>
        <w:t xml:space="preserve">ANALYSIS OF COMPLIANCE WITH THE CLAUSES OF THE FRIENDLY SETTLEMENT AGREEMENT </w:t>
      </w:r>
    </w:p>
    <w:p w14:paraId="3AA3DAF9" w14:textId="77777777" w:rsidR="004140B8" w:rsidRPr="004140B8" w:rsidRDefault="004140B8" w:rsidP="004140B8">
      <w:pPr>
        <w:suppressAutoHyphens/>
        <w:spacing w:after="0" w:line="240" w:lineRule="auto"/>
        <w:ind w:firstLine="709"/>
        <w:jc w:val="both"/>
        <w:rPr>
          <w:rFonts w:ascii="Cambria" w:hAnsi="Cambria" w:cs="Calibri Light"/>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962"/>
      </w:tblGrid>
      <w:tr w:rsidR="00EB2DCD" w:rsidRPr="004140B8" w14:paraId="5F7E36D5" w14:textId="77777777" w:rsidTr="008C7FD9">
        <w:trPr>
          <w:trHeight w:val="449"/>
        </w:trPr>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14558E" w14:textId="145CC308" w:rsidR="00EB2DCD" w:rsidRPr="004140B8" w:rsidRDefault="00EB2DCD" w:rsidP="004140B8">
            <w:pPr>
              <w:tabs>
                <w:tab w:val="center" w:pos="2049"/>
              </w:tabs>
              <w:suppressAutoHyphens/>
              <w:spacing w:after="0" w:line="240" w:lineRule="auto"/>
              <w:jc w:val="center"/>
              <w:rPr>
                <w:rFonts w:ascii="Cambria" w:hAnsi="Cambria"/>
                <w:b/>
                <w:color w:val="000000"/>
                <w:sz w:val="20"/>
                <w:szCs w:val="20"/>
              </w:rPr>
            </w:pPr>
            <w:r w:rsidRPr="004140B8">
              <w:rPr>
                <w:rFonts w:ascii="Cambria" w:hAnsi="Cambria"/>
                <w:b/>
                <w:color w:val="000000"/>
                <w:sz w:val="20"/>
                <w:szCs w:val="20"/>
              </w:rPr>
              <w:t xml:space="preserve">Agreement </w:t>
            </w:r>
            <w:r>
              <w:rPr>
                <w:rFonts w:ascii="Cambria" w:hAnsi="Cambria"/>
                <w:b/>
                <w:color w:val="000000"/>
                <w:sz w:val="20"/>
                <w:szCs w:val="20"/>
              </w:rPr>
              <w:t>C</w:t>
            </w:r>
            <w:r w:rsidRPr="004140B8">
              <w:rPr>
                <w:rFonts w:ascii="Cambria" w:hAnsi="Cambria"/>
                <w:b/>
                <w:color w:val="000000"/>
                <w:sz w:val="20"/>
                <w:szCs w:val="20"/>
              </w:rPr>
              <w:t>lause</w:t>
            </w:r>
          </w:p>
        </w:tc>
        <w:tc>
          <w:tcPr>
            <w:tcW w:w="49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E7E663" w14:textId="785F8482" w:rsidR="00EB2DCD" w:rsidRPr="004140B8" w:rsidRDefault="00EB2DCD" w:rsidP="00EB2DCD">
            <w:pPr>
              <w:suppressAutoHyphens/>
              <w:spacing w:after="0" w:line="240" w:lineRule="auto"/>
              <w:jc w:val="center"/>
              <w:rPr>
                <w:rFonts w:ascii="Cambria" w:hAnsi="Cambria"/>
                <w:b/>
                <w:color w:val="000000"/>
                <w:sz w:val="20"/>
                <w:szCs w:val="20"/>
              </w:rPr>
            </w:pPr>
            <w:r w:rsidRPr="004140B8">
              <w:rPr>
                <w:rFonts w:ascii="Cambria" w:hAnsi="Cambria"/>
                <w:b/>
                <w:color w:val="000000"/>
                <w:sz w:val="20"/>
                <w:szCs w:val="20"/>
              </w:rPr>
              <w:t xml:space="preserve">Status of </w:t>
            </w:r>
            <w:r>
              <w:rPr>
                <w:rFonts w:ascii="Cambria" w:hAnsi="Cambria"/>
                <w:b/>
                <w:color w:val="000000"/>
                <w:sz w:val="20"/>
                <w:szCs w:val="20"/>
              </w:rPr>
              <w:t>C</w:t>
            </w:r>
            <w:r w:rsidRPr="004140B8">
              <w:rPr>
                <w:rFonts w:ascii="Cambria" w:hAnsi="Cambria"/>
                <w:b/>
                <w:color w:val="000000"/>
                <w:sz w:val="20"/>
                <w:szCs w:val="20"/>
              </w:rPr>
              <w:t>ompliance</w:t>
            </w:r>
          </w:p>
        </w:tc>
      </w:tr>
      <w:tr w:rsidR="00EB2DCD" w:rsidRPr="004140B8" w14:paraId="39FE3DC4" w14:textId="77777777" w:rsidTr="00EB2DCD">
        <w:trPr>
          <w:trHeight w:val="597"/>
        </w:trPr>
        <w:tc>
          <w:tcPr>
            <w:tcW w:w="4536" w:type="dxa"/>
            <w:tcBorders>
              <w:top w:val="single" w:sz="4" w:space="0" w:color="auto"/>
              <w:left w:val="single" w:sz="4" w:space="0" w:color="auto"/>
              <w:bottom w:val="single" w:sz="4" w:space="0" w:color="auto"/>
              <w:right w:val="single" w:sz="4" w:space="0" w:color="auto"/>
            </w:tcBorders>
            <w:vAlign w:val="center"/>
          </w:tcPr>
          <w:p w14:paraId="080A858A" w14:textId="77777777" w:rsidR="004140B8" w:rsidRPr="004140B8" w:rsidRDefault="004140B8" w:rsidP="004140B8">
            <w:pPr>
              <w:numPr>
                <w:ilvl w:val="0"/>
                <w:numId w:val="34"/>
              </w:numPr>
              <w:suppressAutoHyphens/>
              <w:spacing w:after="0" w:line="240" w:lineRule="auto"/>
              <w:contextualSpacing/>
              <w:jc w:val="both"/>
              <w:rPr>
                <w:rFonts w:ascii="Cambria" w:hAnsi="Cambria"/>
                <w:b/>
                <w:bCs/>
                <w:color w:val="000000"/>
                <w:sz w:val="20"/>
                <w:szCs w:val="20"/>
              </w:rPr>
            </w:pPr>
            <w:r w:rsidRPr="004140B8">
              <w:rPr>
                <w:rFonts w:ascii="Cambria" w:hAnsi="Cambria"/>
                <w:b/>
                <w:bCs/>
                <w:color w:val="000000"/>
                <w:sz w:val="20"/>
                <w:szCs w:val="20"/>
              </w:rPr>
              <w:t>Background</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6B1B1CA" w14:textId="4970F9CC" w:rsidR="004140B8" w:rsidRPr="004140B8" w:rsidRDefault="004140B8" w:rsidP="004140B8">
            <w:pPr>
              <w:suppressAutoHyphens/>
              <w:spacing w:after="0" w:line="240" w:lineRule="auto"/>
              <w:jc w:val="center"/>
              <w:rPr>
                <w:rFonts w:ascii="Cambria" w:hAnsi="Cambria"/>
                <w:color w:val="000000"/>
                <w:sz w:val="20"/>
                <w:szCs w:val="20"/>
              </w:rPr>
            </w:pPr>
            <w:r w:rsidRPr="004140B8">
              <w:rPr>
                <w:rFonts w:ascii="Cambria" w:hAnsi="Cambria"/>
                <w:b/>
                <w:color w:val="000000"/>
                <w:sz w:val="20"/>
                <w:szCs w:val="20"/>
              </w:rPr>
              <w:t xml:space="preserve">Declarative </w:t>
            </w:r>
            <w:r w:rsidR="00EB2DCD">
              <w:rPr>
                <w:rFonts w:ascii="Cambria" w:hAnsi="Cambria"/>
                <w:b/>
                <w:color w:val="000000"/>
                <w:sz w:val="20"/>
                <w:szCs w:val="20"/>
              </w:rPr>
              <w:t>C</w:t>
            </w:r>
            <w:r w:rsidRPr="004140B8">
              <w:rPr>
                <w:rFonts w:ascii="Cambria" w:hAnsi="Cambria"/>
                <w:b/>
                <w:color w:val="000000"/>
                <w:sz w:val="20"/>
                <w:szCs w:val="20"/>
              </w:rPr>
              <w:t>lause</w:t>
            </w:r>
          </w:p>
        </w:tc>
      </w:tr>
      <w:tr w:rsidR="00EB2DCD" w:rsidRPr="004140B8" w14:paraId="7D7C266A" w14:textId="77777777" w:rsidTr="00EB2DCD">
        <w:tc>
          <w:tcPr>
            <w:tcW w:w="9498" w:type="dxa"/>
            <w:gridSpan w:val="2"/>
            <w:tcBorders>
              <w:top w:val="single" w:sz="4" w:space="0" w:color="auto"/>
              <w:left w:val="single" w:sz="4" w:space="0" w:color="auto"/>
              <w:bottom w:val="single" w:sz="4" w:space="0" w:color="auto"/>
              <w:right w:val="single" w:sz="4" w:space="0" w:color="auto"/>
            </w:tcBorders>
          </w:tcPr>
          <w:p w14:paraId="6994688F" w14:textId="77777777" w:rsidR="004140B8" w:rsidRPr="004140B8" w:rsidRDefault="004140B8" w:rsidP="004140B8">
            <w:pPr>
              <w:numPr>
                <w:ilvl w:val="0"/>
                <w:numId w:val="34"/>
              </w:numPr>
              <w:suppressAutoHyphens/>
              <w:autoSpaceDE w:val="0"/>
              <w:autoSpaceDN w:val="0"/>
              <w:adjustRightInd w:val="0"/>
              <w:spacing w:after="0" w:line="240" w:lineRule="auto"/>
              <w:contextualSpacing/>
              <w:rPr>
                <w:rFonts w:ascii="Cambria" w:hAnsi="Cambria"/>
                <w:b/>
                <w:bCs/>
                <w:color w:val="000000"/>
                <w:sz w:val="20"/>
                <w:szCs w:val="20"/>
              </w:rPr>
            </w:pPr>
            <w:r w:rsidRPr="004140B8">
              <w:rPr>
                <w:rFonts w:ascii="Cambria" w:hAnsi="Cambria"/>
                <w:b/>
                <w:bCs/>
                <w:color w:val="000000"/>
                <w:sz w:val="20"/>
                <w:szCs w:val="20"/>
              </w:rPr>
              <w:t>Measures to be adopted</w:t>
            </w:r>
          </w:p>
        </w:tc>
      </w:tr>
      <w:tr w:rsidR="00EB2DCD" w:rsidRPr="004140B8" w14:paraId="1C05828C" w14:textId="77777777" w:rsidTr="00EB2DCD">
        <w:tc>
          <w:tcPr>
            <w:tcW w:w="4536" w:type="dxa"/>
            <w:tcBorders>
              <w:top w:val="single" w:sz="4" w:space="0" w:color="auto"/>
              <w:left w:val="single" w:sz="4" w:space="0" w:color="auto"/>
              <w:bottom w:val="single" w:sz="4" w:space="0" w:color="auto"/>
              <w:right w:val="single" w:sz="4" w:space="0" w:color="auto"/>
            </w:tcBorders>
            <w:hideMark/>
          </w:tcPr>
          <w:p w14:paraId="1EDAA300" w14:textId="77777777" w:rsidR="00EB2DCD" w:rsidRPr="004140B8" w:rsidRDefault="00EB2DCD" w:rsidP="004140B8">
            <w:pPr>
              <w:suppressAutoHyphens/>
              <w:spacing w:after="0" w:line="240" w:lineRule="auto"/>
              <w:jc w:val="both"/>
              <w:rPr>
                <w:rFonts w:ascii="Cambria" w:hAnsi="Cambria"/>
                <w:color w:val="000000"/>
                <w:sz w:val="20"/>
                <w:szCs w:val="20"/>
              </w:rPr>
            </w:pPr>
            <w:r w:rsidRPr="004140B8">
              <w:rPr>
                <w:rFonts w:ascii="Cambria" w:hAnsi="Cambria"/>
                <w:color w:val="000000"/>
                <w:sz w:val="20"/>
                <w:szCs w:val="20"/>
              </w:rPr>
              <w:lastRenderedPageBreak/>
              <w:t>1.</w:t>
            </w:r>
            <w:r w:rsidRPr="004140B8">
              <w:rPr>
                <w:rFonts w:ascii="Cambria" w:hAnsi="Cambria"/>
                <w:color w:val="000000"/>
                <w:sz w:val="20"/>
                <w:szCs w:val="20"/>
              </w:rPr>
              <w:tab/>
              <w:t xml:space="preserve">The parties agree that pecuniary reparation will be granted in accordance with the scheme provided for by Law No. 24,043, considering for this purpose the entire period during which Mr. Francisco Samuel Naishtat remained in forced exile, according to ruling IF-2022-60344908-APN-DNAJIMDDHH#MJ. That is, from June 14, 1976 and October 28, 1983. </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98B31E1" w14:textId="6DFA05A5" w:rsidR="00EB2DCD" w:rsidRPr="004140B8" w:rsidRDefault="00EB2DCD" w:rsidP="00EB2DCD">
            <w:pPr>
              <w:suppressAutoHyphens/>
              <w:spacing w:after="0" w:line="240" w:lineRule="auto"/>
              <w:jc w:val="center"/>
              <w:rPr>
                <w:rFonts w:ascii="Cambria" w:hAnsi="Cambria"/>
                <w:color w:val="000000"/>
                <w:sz w:val="20"/>
                <w:szCs w:val="20"/>
              </w:rPr>
            </w:pPr>
            <w:r w:rsidRPr="004140B8">
              <w:rPr>
                <w:rFonts w:ascii="Cambria" w:eastAsia="Batang" w:hAnsi="Cambria"/>
                <w:b/>
                <w:bCs/>
                <w:color w:val="000000"/>
                <w:sz w:val="20"/>
                <w:szCs w:val="20"/>
                <w:lang w:val="es-ES_tradnl"/>
              </w:rPr>
              <w:t>Total</w:t>
            </w:r>
            <w:r>
              <w:rPr>
                <w:rStyle w:val="FootnoteReference"/>
                <w:rFonts w:ascii="Cambria" w:eastAsia="Batang" w:hAnsi="Cambria"/>
                <w:b/>
                <w:bCs/>
                <w:color w:val="000000"/>
                <w:sz w:val="20"/>
                <w:szCs w:val="20"/>
                <w:lang w:val="es-ES_tradnl"/>
              </w:rPr>
              <w:footnoteReference w:id="2"/>
            </w:r>
          </w:p>
        </w:tc>
      </w:tr>
      <w:tr w:rsidR="00EB2DCD" w:rsidRPr="004140B8" w14:paraId="273E15D2" w14:textId="77777777" w:rsidTr="00EB2DCD">
        <w:tc>
          <w:tcPr>
            <w:tcW w:w="4536" w:type="dxa"/>
            <w:tcBorders>
              <w:top w:val="single" w:sz="4" w:space="0" w:color="auto"/>
              <w:left w:val="single" w:sz="4" w:space="0" w:color="auto"/>
              <w:bottom w:val="single" w:sz="4" w:space="0" w:color="auto"/>
              <w:right w:val="single" w:sz="4" w:space="0" w:color="auto"/>
            </w:tcBorders>
            <w:hideMark/>
          </w:tcPr>
          <w:p w14:paraId="1A6DE75D" w14:textId="77777777" w:rsidR="004140B8" w:rsidRPr="004140B8" w:rsidRDefault="004140B8" w:rsidP="004140B8">
            <w:pPr>
              <w:suppressAutoHyphens/>
              <w:spacing w:after="0" w:line="240" w:lineRule="auto"/>
              <w:jc w:val="both"/>
              <w:rPr>
                <w:rFonts w:ascii="Cambria" w:hAnsi="Cambria"/>
                <w:color w:val="000000"/>
                <w:sz w:val="20"/>
                <w:szCs w:val="20"/>
              </w:rPr>
            </w:pPr>
            <w:r w:rsidRPr="004140B8">
              <w:rPr>
                <w:rFonts w:ascii="Cambria" w:hAnsi="Cambria"/>
                <w:color w:val="000000"/>
                <w:sz w:val="20"/>
                <w:szCs w:val="20"/>
              </w:rPr>
              <w:t>2.</w:t>
            </w:r>
            <w:r w:rsidRPr="004140B8">
              <w:rPr>
                <w:rFonts w:ascii="Cambria" w:hAnsi="Cambria"/>
                <w:color w:val="000000"/>
                <w:sz w:val="20"/>
                <w:szCs w:val="20"/>
              </w:rPr>
              <w:tab/>
              <w:t>The Argentine State undertakes that, within three (3) months from the publication in the Official Gazette of the Argentine Republic of the Decree of the National Executive Power approving this agreement, a ministerial resolution shall be issued granting the reparation benefit provided for in Law No. 24,043, without additional costs or expenses. The amount of the reparation shall be calculated as of the date of the issuance of said ministerial resolution.</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5519E99" w14:textId="77777777" w:rsidR="004140B8" w:rsidRPr="004140B8" w:rsidRDefault="004140B8" w:rsidP="004140B8">
            <w:pPr>
              <w:suppressAutoHyphens/>
              <w:spacing w:after="0" w:line="240" w:lineRule="auto"/>
              <w:jc w:val="center"/>
              <w:rPr>
                <w:rFonts w:ascii="Cambria" w:eastAsia="Batang" w:hAnsi="Cambria"/>
                <w:color w:val="000000"/>
                <w:sz w:val="20"/>
                <w:szCs w:val="20"/>
              </w:rPr>
            </w:pPr>
            <w:r w:rsidRPr="004140B8">
              <w:rPr>
                <w:rFonts w:ascii="Cambria" w:hAnsi="Cambria"/>
                <w:b/>
                <w:color w:val="000000"/>
                <w:sz w:val="20"/>
                <w:szCs w:val="20"/>
              </w:rPr>
              <w:t>Total</w:t>
            </w:r>
            <w:r w:rsidRPr="004140B8">
              <w:rPr>
                <w:rFonts w:ascii="Cambria" w:hAnsi="Cambria"/>
                <w:b/>
                <w:color w:val="000000"/>
                <w:sz w:val="20"/>
                <w:szCs w:val="20"/>
                <w:vertAlign w:val="superscript"/>
              </w:rPr>
              <w:footnoteReference w:id="3"/>
            </w:r>
          </w:p>
        </w:tc>
      </w:tr>
      <w:tr w:rsidR="00EB2DCD" w:rsidRPr="004140B8" w14:paraId="1EFDCED7" w14:textId="77777777" w:rsidTr="00EB2DCD">
        <w:tc>
          <w:tcPr>
            <w:tcW w:w="4536" w:type="dxa"/>
            <w:tcBorders>
              <w:top w:val="single" w:sz="4" w:space="0" w:color="auto"/>
              <w:left w:val="single" w:sz="4" w:space="0" w:color="auto"/>
              <w:bottom w:val="single" w:sz="4" w:space="0" w:color="auto"/>
              <w:right w:val="single" w:sz="4" w:space="0" w:color="auto"/>
            </w:tcBorders>
          </w:tcPr>
          <w:p w14:paraId="13D7E2A6" w14:textId="77777777" w:rsidR="004140B8" w:rsidRPr="004140B8" w:rsidRDefault="004140B8" w:rsidP="004140B8">
            <w:pPr>
              <w:suppressAutoHyphens/>
              <w:spacing w:after="0" w:line="240" w:lineRule="auto"/>
              <w:jc w:val="both"/>
              <w:rPr>
                <w:rFonts w:ascii="Cambria" w:hAnsi="Cambria"/>
                <w:color w:val="000000"/>
                <w:sz w:val="20"/>
                <w:szCs w:val="20"/>
              </w:rPr>
            </w:pPr>
            <w:r w:rsidRPr="004140B8">
              <w:rPr>
                <w:rFonts w:ascii="Cambria" w:hAnsi="Cambria"/>
                <w:color w:val="000000"/>
                <w:sz w:val="20"/>
                <w:szCs w:val="20"/>
              </w:rPr>
              <w:t>3.</w:t>
            </w:r>
            <w:r w:rsidRPr="004140B8">
              <w:rPr>
                <w:rFonts w:ascii="Cambria" w:hAnsi="Cambria"/>
                <w:color w:val="000000"/>
                <w:sz w:val="20"/>
                <w:szCs w:val="20"/>
              </w:rPr>
              <w:tab/>
              <w:t>Once the petitioner submits to the National Administration of Social Security (ANSES) a valid copy of his national identity document and the form (PS.6.298) requesting the benefit provided for in Law No. 26.913 correctly completed, and signs the affidavit attached as an annex, the Argentine State undertakes to issue the corresponding resolution within three (3) months.</w:t>
            </w:r>
          </w:p>
        </w:tc>
        <w:tc>
          <w:tcPr>
            <w:tcW w:w="4962" w:type="dxa"/>
            <w:tcBorders>
              <w:top w:val="single" w:sz="4" w:space="0" w:color="auto"/>
              <w:left w:val="single" w:sz="4" w:space="0" w:color="auto"/>
              <w:bottom w:val="single" w:sz="4" w:space="0" w:color="auto"/>
              <w:right w:val="single" w:sz="4" w:space="0" w:color="auto"/>
            </w:tcBorders>
            <w:vAlign w:val="center"/>
          </w:tcPr>
          <w:p w14:paraId="5C1EA71C" w14:textId="77777777" w:rsidR="004140B8" w:rsidRPr="004140B8" w:rsidRDefault="004140B8" w:rsidP="004140B8">
            <w:pPr>
              <w:suppressAutoHyphens/>
              <w:spacing w:after="0" w:line="240" w:lineRule="auto"/>
              <w:jc w:val="center"/>
              <w:rPr>
                <w:rFonts w:ascii="Cambria" w:eastAsia="Batang" w:hAnsi="Cambria"/>
                <w:color w:val="000000"/>
                <w:sz w:val="20"/>
                <w:szCs w:val="20"/>
              </w:rPr>
            </w:pPr>
            <w:r w:rsidRPr="004140B8">
              <w:rPr>
                <w:rFonts w:ascii="Cambria" w:hAnsi="Cambria"/>
                <w:b/>
                <w:color w:val="000000"/>
                <w:sz w:val="20"/>
                <w:szCs w:val="20"/>
              </w:rPr>
              <w:t>Total</w:t>
            </w:r>
            <w:r w:rsidRPr="004140B8">
              <w:rPr>
                <w:rFonts w:ascii="Cambria" w:hAnsi="Cambria"/>
                <w:b/>
                <w:color w:val="000000"/>
                <w:sz w:val="20"/>
                <w:szCs w:val="20"/>
                <w:vertAlign w:val="superscript"/>
              </w:rPr>
              <w:footnoteReference w:id="4"/>
            </w:r>
          </w:p>
        </w:tc>
      </w:tr>
      <w:tr w:rsidR="00EB2DCD" w:rsidRPr="004140B8" w14:paraId="6B481438" w14:textId="77777777" w:rsidTr="00EB2DCD">
        <w:tc>
          <w:tcPr>
            <w:tcW w:w="4536" w:type="dxa"/>
            <w:tcBorders>
              <w:top w:val="single" w:sz="4" w:space="0" w:color="auto"/>
              <w:left w:val="single" w:sz="4" w:space="0" w:color="auto"/>
              <w:bottom w:val="single" w:sz="4" w:space="0" w:color="auto"/>
              <w:right w:val="single" w:sz="4" w:space="0" w:color="auto"/>
            </w:tcBorders>
          </w:tcPr>
          <w:p w14:paraId="09F4D6A4" w14:textId="77777777" w:rsidR="00EB2DCD" w:rsidRPr="004140B8" w:rsidRDefault="00EB2DCD" w:rsidP="004140B8">
            <w:pPr>
              <w:suppressAutoHyphens/>
              <w:spacing w:after="0" w:line="240" w:lineRule="auto"/>
              <w:jc w:val="both"/>
              <w:rPr>
                <w:rFonts w:ascii="Cambria" w:hAnsi="Cambria"/>
                <w:color w:val="000000"/>
                <w:sz w:val="20"/>
                <w:szCs w:val="20"/>
              </w:rPr>
            </w:pPr>
            <w:r w:rsidRPr="004140B8">
              <w:rPr>
                <w:rFonts w:ascii="Cambria" w:hAnsi="Cambria"/>
                <w:color w:val="000000"/>
                <w:sz w:val="20"/>
                <w:szCs w:val="20"/>
              </w:rPr>
              <w:t>4.</w:t>
            </w:r>
            <w:r w:rsidRPr="004140B8">
              <w:rPr>
                <w:rFonts w:ascii="Cambria" w:hAnsi="Cambria"/>
                <w:color w:val="000000"/>
                <w:sz w:val="20"/>
                <w:szCs w:val="20"/>
              </w:rPr>
              <w:tab/>
              <w:t>The State also undertakes to comply with the term of Article 30 of the regulation of Chapter V of Law No. 25,344, provided for in Executive Decree No. 1116/2000.</w:t>
            </w:r>
          </w:p>
        </w:tc>
        <w:tc>
          <w:tcPr>
            <w:tcW w:w="4962" w:type="dxa"/>
            <w:tcBorders>
              <w:top w:val="single" w:sz="4" w:space="0" w:color="auto"/>
              <w:left w:val="single" w:sz="4" w:space="0" w:color="auto"/>
              <w:bottom w:val="single" w:sz="4" w:space="0" w:color="auto"/>
              <w:right w:val="single" w:sz="4" w:space="0" w:color="auto"/>
            </w:tcBorders>
            <w:vAlign w:val="center"/>
          </w:tcPr>
          <w:p w14:paraId="3859E236" w14:textId="52286DB5" w:rsidR="00EB2DCD" w:rsidRPr="004140B8" w:rsidRDefault="00EB2DCD" w:rsidP="00EB2DCD">
            <w:pPr>
              <w:suppressAutoHyphens/>
              <w:spacing w:after="0" w:line="240" w:lineRule="auto"/>
              <w:jc w:val="center"/>
              <w:rPr>
                <w:rFonts w:ascii="Cambria" w:eastAsia="Batang" w:hAnsi="Cambria"/>
                <w:color w:val="000000"/>
                <w:sz w:val="20"/>
                <w:szCs w:val="20"/>
              </w:rPr>
            </w:pPr>
            <w:r w:rsidRPr="004140B8">
              <w:rPr>
                <w:rFonts w:ascii="Cambria" w:eastAsia="Batang" w:hAnsi="Cambria"/>
                <w:b/>
                <w:bCs/>
                <w:color w:val="000000"/>
                <w:sz w:val="20"/>
                <w:szCs w:val="20"/>
                <w:lang w:val="es-ES_tradnl"/>
              </w:rPr>
              <w:t>Total</w:t>
            </w:r>
            <w:r>
              <w:rPr>
                <w:rStyle w:val="FootnoteReference"/>
                <w:rFonts w:ascii="Cambria" w:eastAsia="Batang" w:hAnsi="Cambria"/>
                <w:b/>
                <w:bCs/>
                <w:color w:val="000000"/>
                <w:sz w:val="20"/>
                <w:szCs w:val="20"/>
                <w:lang w:val="es-ES_tradnl"/>
              </w:rPr>
              <w:footnoteReference w:id="5"/>
            </w:r>
          </w:p>
        </w:tc>
      </w:tr>
      <w:tr w:rsidR="00EB2DCD" w:rsidRPr="004140B8" w14:paraId="26DB647B" w14:textId="77777777" w:rsidTr="00EB2DCD">
        <w:tc>
          <w:tcPr>
            <w:tcW w:w="4536" w:type="dxa"/>
            <w:tcBorders>
              <w:top w:val="single" w:sz="4" w:space="0" w:color="auto"/>
              <w:left w:val="single" w:sz="4" w:space="0" w:color="auto"/>
              <w:bottom w:val="single" w:sz="4" w:space="0" w:color="auto"/>
              <w:right w:val="single" w:sz="4" w:space="0" w:color="auto"/>
            </w:tcBorders>
            <w:hideMark/>
          </w:tcPr>
          <w:p w14:paraId="473CAA0B" w14:textId="77777777" w:rsidR="004140B8" w:rsidRPr="004140B8" w:rsidRDefault="004140B8" w:rsidP="004140B8">
            <w:pPr>
              <w:suppressAutoHyphens/>
              <w:spacing w:after="0" w:line="240" w:lineRule="auto"/>
              <w:jc w:val="both"/>
              <w:rPr>
                <w:rFonts w:ascii="Cambria" w:hAnsi="Cambria"/>
                <w:color w:val="000000"/>
                <w:sz w:val="20"/>
                <w:szCs w:val="20"/>
              </w:rPr>
            </w:pPr>
            <w:r w:rsidRPr="004140B8">
              <w:rPr>
                <w:rFonts w:ascii="Cambria" w:hAnsi="Cambria"/>
                <w:color w:val="000000"/>
                <w:sz w:val="20"/>
                <w:szCs w:val="20"/>
              </w:rPr>
              <w:t>5.</w:t>
            </w:r>
            <w:r w:rsidRPr="004140B8">
              <w:rPr>
                <w:rFonts w:ascii="Cambria" w:hAnsi="Cambria"/>
                <w:color w:val="000000"/>
                <w:sz w:val="20"/>
                <w:szCs w:val="20"/>
              </w:rPr>
              <w:tab/>
              <w:t xml:space="preserve">Upon payment of the reparation provided for in section II.2 of this agreement, the petitioner definitively and irrevocably waives the right to initiate any other pecuniary claim against the State in relation with the facts which motivated the present case. </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D545204" w14:textId="52CF023B" w:rsidR="004140B8" w:rsidRPr="004140B8" w:rsidRDefault="004140B8" w:rsidP="004140B8">
            <w:pPr>
              <w:suppressAutoHyphens/>
              <w:spacing w:after="0" w:line="240" w:lineRule="auto"/>
              <w:jc w:val="center"/>
              <w:rPr>
                <w:rFonts w:ascii="Cambria" w:hAnsi="Cambria"/>
                <w:color w:val="000000"/>
                <w:sz w:val="20"/>
                <w:szCs w:val="20"/>
              </w:rPr>
            </w:pPr>
            <w:r w:rsidRPr="004140B8">
              <w:rPr>
                <w:rFonts w:ascii="Cambria" w:hAnsi="Cambria"/>
                <w:b/>
                <w:color w:val="000000"/>
                <w:sz w:val="20"/>
                <w:szCs w:val="20"/>
              </w:rPr>
              <w:t xml:space="preserve">Declarative </w:t>
            </w:r>
            <w:r w:rsidR="00EB2DCD">
              <w:rPr>
                <w:rFonts w:ascii="Cambria" w:hAnsi="Cambria"/>
                <w:b/>
                <w:color w:val="000000"/>
                <w:sz w:val="20"/>
                <w:szCs w:val="20"/>
              </w:rPr>
              <w:t>C</w:t>
            </w:r>
            <w:r w:rsidRPr="004140B8">
              <w:rPr>
                <w:rFonts w:ascii="Cambria" w:hAnsi="Cambria"/>
                <w:b/>
                <w:color w:val="000000"/>
                <w:sz w:val="20"/>
                <w:szCs w:val="20"/>
              </w:rPr>
              <w:t>lause</w:t>
            </w:r>
          </w:p>
        </w:tc>
      </w:tr>
      <w:tr w:rsidR="00EB2DCD" w:rsidRPr="004140B8" w14:paraId="2610E01D" w14:textId="77777777" w:rsidTr="00EB2DCD">
        <w:tc>
          <w:tcPr>
            <w:tcW w:w="4536" w:type="dxa"/>
            <w:tcBorders>
              <w:top w:val="single" w:sz="4" w:space="0" w:color="auto"/>
              <w:left w:val="single" w:sz="4" w:space="0" w:color="auto"/>
              <w:bottom w:val="single" w:sz="4" w:space="0" w:color="auto"/>
              <w:right w:val="single" w:sz="4" w:space="0" w:color="auto"/>
            </w:tcBorders>
          </w:tcPr>
          <w:p w14:paraId="49AA9448" w14:textId="77777777" w:rsidR="004140B8" w:rsidRPr="004140B8" w:rsidRDefault="004140B8" w:rsidP="004140B8">
            <w:pPr>
              <w:numPr>
                <w:ilvl w:val="0"/>
                <w:numId w:val="34"/>
              </w:numPr>
              <w:suppressAutoHyphens/>
              <w:spacing w:after="0" w:line="240" w:lineRule="auto"/>
              <w:contextualSpacing/>
              <w:jc w:val="both"/>
              <w:rPr>
                <w:rFonts w:ascii="Cambria" w:hAnsi="Cambria"/>
                <w:b/>
                <w:bCs/>
                <w:color w:val="000000"/>
                <w:sz w:val="20"/>
                <w:szCs w:val="20"/>
              </w:rPr>
            </w:pPr>
            <w:r w:rsidRPr="004140B8">
              <w:rPr>
                <w:rFonts w:ascii="Cambria" w:hAnsi="Cambria"/>
                <w:b/>
                <w:bCs/>
                <w:color w:val="000000"/>
                <w:sz w:val="20"/>
                <w:szCs w:val="20"/>
              </w:rPr>
              <w:t xml:space="preserve">Signature </w:t>
            </w:r>
            <w:r w:rsidRPr="004140B8">
              <w:rPr>
                <w:rFonts w:ascii="Cambria" w:hAnsi="Cambria"/>
                <w:b/>
                <w:bCs/>
                <w:i/>
                <w:iCs/>
                <w:color w:val="000000"/>
                <w:sz w:val="20"/>
                <w:szCs w:val="20"/>
              </w:rPr>
              <w:t>ad referendum</w:t>
            </w:r>
          </w:p>
        </w:tc>
        <w:tc>
          <w:tcPr>
            <w:tcW w:w="4962" w:type="dxa"/>
            <w:tcBorders>
              <w:top w:val="single" w:sz="4" w:space="0" w:color="auto"/>
              <w:left w:val="single" w:sz="4" w:space="0" w:color="auto"/>
              <w:bottom w:val="single" w:sz="4" w:space="0" w:color="auto"/>
              <w:right w:val="single" w:sz="4" w:space="0" w:color="auto"/>
            </w:tcBorders>
            <w:vAlign w:val="center"/>
          </w:tcPr>
          <w:p w14:paraId="30076094" w14:textId="0101F0F3" w:rsidR="004140B8" w:rsidRPr="004140B8" w:rsidRDefault="004140B8" w:rsidP="004140B8">
            <w:pPr>
              <w:suppressAutoHyphens/>
              <w:spacing w:after="0" w:line="240" w:lineRule="auto"/>
              <w:jc w:val="center"/>
              <w:rPr>
                <w:rFonts w:ascii="Cambria" w:hAnsi="Cambria"/>
                <w:b/>
                <w:color w:val="000000"/>
                <w:sz w:val="20"/>
                <w:szCs w:val="20"/>
              </w:rPr>
            </w:pPr>
            <w:r w:rsidRPr="004140B8">
              <w:rPr>
                <w:rFonts w:ascii="Cambria" w:hAnsi="Cambria"/>
                <w:b/>
                <w:color w:val="000000"/>
                <w:sz w:val="20"/>
                <w:szCs w:val="20"/>
              </w:rPr>
              <w:t xml:space="preserve">Declarative </w:t>
            </w:r>
            <w:r w:rsidR="00EB2DCD">
              <w:rPr>
                <w:rFonts w:ascii="Cambria" w:hAnsi="Cambria"/>
                <w:b/>
                <w:color w:val="000000"/>
                <w:sz w:val="20"/>
                <w:szCs w:val="20"/>
              </w:rPr>
              <w:t>C</w:t>
            </w:r>
            <w:r w:rsidRPr="004140B8">
              <w:rPr>
                <w:rFonts w:ascii="Cambria" w:hAnsi="Cambria"/>
                <w:b/>
                <w:color w:val="000000"/>
                <w:sz w:val="20"/>
                <w:szCs w:val="20"/>
              </w:rPr>
              <w:t>lause</w:t>
            </w:r>
          </w:p>
        </w:tc>
      </w:tr>
    </w:tbl>
    <w:p w14:paraId="09199D76" w14:textId="77777777" w:rsidR="004140B8" w:rsidRPr="004140B8" w:rsidRDefault="004140B8" w:rsidP="00EB2DCD">
      <w:pPr>
        <w:tabs>
          <w:tab w:val="left" w:pos="0"/>
        </w:tabs>
        <w:autoSpaceDE w:val="0"/>
        <w:autoSpaceDN w:val="0"/>
        <w:adjustRightInd w:val="0"/>
        <w:spacing w:after="0" w:line="240" w:lineRule="auto"/>
        <w:jc w:val="both"/>
        <w:rPr>
          <w:rFonts w:ascii="Cambria" w:eastAsia="Batang" w:hAnsi="Cambria"/>
          <w:color w:val="000000"/>
          <w:sz w:val="20"/>
          <w:szCs w:val="20"/>
        </w:rPr>
      </w:pPr>
    </w:p>
    <w:p w14:paraId="28B200C6" w14:textId="035CAFDC" w:rsidR="004140B8" w:rsidRPr="004140B8" w:rsidRDefault="004140B8" w:rsidP="00EB2DCD">
      <w:pPr>
        <w:numPr>
          <w:ilvl w:val="0"/>
          <w:numId w:val="33"/>
        </w:numPr>
        <w:suppressAutoHyphens/>
        <w:spacing w:after="0" w:line="240" w:lineRule="auto"/>
        <w:ind w:left="0" w:firstLine="709"/>
        <w:contextualSpacing/>
        <w:jc w:val="both"/>
        <w:rPr>
          <w:rFonts w:ascii="Cambria" w:hAnsi="Cambria"/>
          <w:color w:val="000000"/>
          <w:sz w:val="20"/>
          <w:szCs w:val="20"/>
        </w:rPr>
      </w:pPr>
      <w:r w:rsidRPr="004140B8">
        <w:rPr>
          <w:rFonts w:ascii="Cambria" w:hAnsi="Cambria"/>
          <w:b/>
          <w:color w:val="000000"/>
          <w:sz w:val="20"/>
          <w:szCs w:val="20"/>
        </w:rPr>
        <w:t>LEVEL OF COMPLIANCE OF THE CASE</w:t>
      </w:r>
    </w:p>
    <w:p w14:paraId="54BA99FE" w14:textId="77777777" w:rsidR="00EB2DCD" w:rsidRPr="00091458" w:rsidRDefault="00EB2DCD" w:rsidP="00EB2DCD">
      <w:pPr>
        <w:suppressAutoHyphens/>
        <w:spacing w:after="0" w:line="240" w:lineRule="auto"/>
        <w:rPr>
          <w:rFonts w:ascii="Cambria" w:hAnsi="Cambria"/>
          <w:color w:val="000000"/>
          <w:sz w:val="20"/>
          <w:szCs w:val="20"/>
        </w:rPr>
      </w:pPr>
    </w:p>
    <w:p w14:paraId="15B28F4D" w14:textId="77777777" w:rsidR="00EB2DCD" w:rsidRPr="00091458" w:rsidRDefault="00EB2DCD" w:rsidP="00EB2DCD">
      <w:pPr>
        <w:tabs>
          <w:tab w:val="left" w:pos="1440"/>
        </w:tabs>
        <w:suppressAutoHyphens/>
        <w:spacing w:after="0" w:line="240" w:lineRule="auto"/>
        <w:ind w:firstLine="709"/>
        <w:contextualSpacing/>
        <w:jc w:val="both"/>
        <w:rPr>
          <w:rFonts w:ascii="Cambria" w:eastAsia="Batang" w:hAnsi="Cambria" w:cs="Calibri Light"/>
          <w:color w:val="000000"/>
          <w:sz w:val="20"/>
          <w:szCs w:val="20"/>
        </w:rPr>
      </w:pPr>
      <w:r w:rsidRPr="00091458">
        <w:rPr>
          <w:rFonts w:ascii="Cambria" w:eastAsia="Batang" w:hAnsi="Cambria" w:cs="Calibri Light"/>
          <w:color w:val="000000"/>
          <w:sz w:val="20"/>
          <w:szCs w:val="20"/>
        </w:rPr>
        <w:t>3.</w:t>
      </w:r>
      <w:r w:rsidRPr="00091458">
        <w:rPr>
          <w:rFonts w:ascii="Cambria" w:eastAsia="Batang" w:hAnsi="Cambria" w:cs="Calibri Light"/>
          <w:color w:val="000000"/>
          <w:sz w:val="20"/>
          <w:szCs w:val="20"/>
        </w:rPr>
        <w:tab/>
        <w:t xml:space="preserve">The Commission declared full compliance with the case and the ceasing of the follow-up of the friendly settlement agreement in the 2024 Annual Report. </w:t>
      </w:r>
    </w:p>
    <w:p w14:paraId="768ABDA2" w14:textId="691D3CE6" w:rsidR="004140B8" w:rsidRDefault="004140B8" w:rsidP="00086009">
      <w:pPr>
        <w:spacing w:after="0" w:line="240" w:lineRule="auto"/>
        <w:rPr>
          <w:rFonts w:ascii="Cambria" w:hAnsi="Cambria"/>
          <w:color w:val="000000"/>
          <w:sz w:val="20"/>
          <w:szCs w:val="20"/>
        </w:rPr>
      </w:pPr>
    </w:p>
    <w:p w14:paraId="649AC5F4" w14:textId="77777777" w:rsidR="00BD2A85" w:rsidRDefault="00BD2A85" w:rsidP="00086009">
      <w:pPr>
        <w:spacing w:after="0" w:line="240" w:lineRule="auto"/>
        <w:rPr>
          <w:rFonts w:ascii="Cambria" w:hAnsi="Cambria"/>
          <w:color w:val="000000"/>
          <w:sz w:val="20"/>
          <w:szCs w:val="20"/>
        </w:rPr>
      </w:pPr>
    </w:p>
    <w:p w14:paraId="10E66B47" w14:textId="77777777" w:rsidR="00BD2A85" w:rsidRDefault="00BD2A85" w:rsidP="00086009">
      <w:pPr>
        <w:spacing w:after="0" w:line="240" w:lineRule="auto"/>
        <w:rPr>
          <w:rFonts w:ascii="Cambria" w:hAnsi="Cambria"/>
          <w:color w:val="000000"/>
          <w:sz w:val="20"/>
          <w:szCs w:val="20"/>
        </w:rPr>
      </w:pPr>
    </w:p>
    <w:p w14:paraId="207EA594" w14:textId="77777777" w:rsidR="00BD2A85" w:rsidRDefault="00BD2A85" w:rsidP="00086009">
      <w:pPr>
        <w:spacing w:after="0" w:line="240" w:lineRule="auto"/>
        <w:rPr>
          <w:rFonts w:ascii="Cambria" w:hAnsi="Cambria"/>
          <w:color w:val="000000"/>
          <w:sz w:val="20"/>
          <w:szCs w:val="20"/>
        </w:rPr>
      </w:pPr>
    </w:p>
    <w:p w14:paraId="428AE4A5" w14:textId="77777777" w:rsidR="00BD2A85" w:rsidRPr="004140B8" w:rsidRDefault="00BD2A85" w:rsidP="00086009">
      <w:pPr>
        <w:spacing w:after="0" w:line="240" w:lineRule="auto"/>
        <w:rPr>
          <w:rFonts w:ascii="Cambria" w:hAnsi="Cambria"/>
          <w:color w:val="000000"/>
          <w:sz w:val="20"/>
          <w:szCs w:val="20"/>
        </w:rPr>
      </w:pPr>
    </w:p>
    <w:p w14:paraId="0515A0F9" w14:textId="77777777" w:rsidR="004140B8" w:rsidRPr="004140B8" w:rsidRDefault="004140B8" w:rsidP="004140B8">
      <w:pPr>
        <w:numPr>
          <w:ilvl w:val="0"/>
          <w:numId w:val="33"/>
        </w:numPr>
        <w:suppressAutoHyphens/>
        <w:spacing w:after="0" w:line="240" w:lineRule="auto"/>
        <w:ind w:left="0" w:firstLine="709"/>
        <w:contextualSpacing/>
        <w:jc w:val="both"/>
        <w:rPr>
          <w:rFonts w:ascii="Cambria" w:hAnsi="Cambria" w:cs="Calibri Light"/>
          <w:b/>
          <w:color w:val="000000"/>
          <w:sz w:val="20"/>
          <w:szCs w:val="20"/>
        </w:rPr>
      </w:pPr>
      <w:r w:rsidRPr="004140B8">
        <w:rPr>
          <w:rFonts w:ascii="Cambria" w:hAnsi="Cambria"/>
          <w:b/>
          <w:color w:val="000000"/>
          <w:sz w:val="20"/>
          <w:szCs w:val="20"/>
        </w:rPr>
        <w:lastRenderedPageBreak/>
        <w:t xml:space="preserve">INDIVIDUAL AND STRUCTURAL OUTCOMES OF THE CASE </w:t>
      </w:r>
    </w:p>
    <w:p w14:paraId="29CD322C" w14:textId="77777777" w:rsidR="004140B8" w:rsidRPr="004140B8" w:rsidRDefault="004140B8" w:rsidP="004140B8">
      <w:pPr>
        <w:suppressAutoHyphens/>
        <w:spacing w:after="0" w:line="240" w:lineRule="auto"/>
        <w:ind w:firstLine="709"/>
        <w:contextualSpacing/>
        <w:rPr>
          <w:rFonts w:ascii="Cambria" w:hAnsi="Cambria" w:cs="Calibri Light"/>
          <w:b/>
          <w:color w:val="000000"/>
          <w:sz w:val="20"/>
          <w:szCs w:val="20"/>
        </w:rPr>
      </w:pPr>
    </w:p>
    <w:p w14:paraId="400A80ED" w14:textId="77777777" w:rsidR="004140B8" w:rsidRPr="004140B8" w:rsidRDefault="004140B8" w:rsidP="004140B8">
      <w:pPr>
        <w:numPr>
          <w:ilvl w:val="0"/>
          <w:numId w:val="35"/>
        </w:numPr>
        <w:suppressAutoHyphens/>
        <w:spacing w:after="0" w:line="240" w:lineRule="auto"/>
        <w:ind w:left="1440" w:hanging="720"/>
        <w:contextualSpacing/>
        <w:rPr>
          <w:rFonts w:ascii="Cambria" w:hAnsi="Cambria" w:cs="Calibri Light"/>
          <w:b/>
          <w:color w:val="000000"/>
          <w:sz w:val="20"/>
          <w:szCs w:val="20"/>
        </w:rPr>
      </w:pPr>
      <w:r w:rsidRPr="004140B8">
        <w:rPr>
          <w:rFonts w:ascii="Cambria" w:hAnsi="Cambria"/>
          <w:b/>
          <w:color w:val="000000"/>
          <w:sz w:val="20"/>
          <w:szCs w:val="20"/>
        </w:rPr>
        <w:t>Individual outcomes of the case</w:t>
      </w:r>
    </w:p>
    <w:p w14:paraId="6E00CDC0" w14:textId="77777777" w:rsidR="004140B8" w:rsidRPr="004140B8" w:rsidRDefault="004140B8" w:rsidP="004140B8">
      <w:pPr>
        <w:suppressAutoHyphens/>
        <w:spacing w:after="0" w:line="240" w:lineRule="auto"/>
        <w:ind w:left="1440" w:hanging="720"/>
        <w:contextualSpacing/>
        <w:jc w:val="both"/>
        <w:rPr>
          <w:rFonts w:ascii="Cambria" w:hAnsi="Cambria" w:cs="Calibri Light"/>
          <w:b/>
          <w:color w:val="000000"/>
          <w:sz w:val="20"/>
          <w:szCs w:val="20"/>
        </w:rPr>
      </w:pPr>
    </w:p>
    <w:p w14:paraId="2FE22DCC" w14:textId="77777777" w:rsidR="004140B8" w:rsidRPr="004140B8" w:rsidRDefault="004140B8" w:rsidP="004140B8">
      <w:pPr>
        <w:numPr>
          <w:ilvl w:val="0"/>
          <w:numId w:val="24"/>
        </w:numPr>
        <w:suppressAutoHyphens/>
        <w:spacing w:after="0" w:line="240" w:lineRule="auto"/>
        <w:ind w:left="1440" w:hanging="720"/>
        <w:contextualSpacing/>
        <w:jc w:val="both"/>
        <w:rPr>
          <w:rFonts w:ascii="Cambria" w:hAnsi="Cambria"/>
          <w:sz w:val="20"/>
          <w:szCs w:val="20"/>
        </w:rPr>
      </w:pPr>
      <w:r w:rsidRPr="004140B8">
        <w:rPr>
          <w:rFonts w:ascii="Cambria" w:hAnsi="Cambria"/>
          <w:sz w:val="20"/>
          <w:szCs w:val="20"/>
        </w:rPr>
        <w:t>On July 12, 2023, the Minister of Justice and Human Rights of the Nation issued resolution RESOL-2023-743-APN-MJ, through which it resolved to grant Francisco Samuel Naishtat the benefit foreseen in Law No. 24,043, establishing the compensable days and the corresponding compensatory amount.</w:t>
      </w:r>
    </w:p>
    <w:p w14:paraId="1303A5EE" w14:textId="77777777" w:rsidR="004140B8" w:rsidRPr="004140B8" w:rsidRDefault="004140B8" w:rsidP="004140B8">
      <w:pPr>
        <w:numPr>
          <w:ilvl w:val="0"/>
          <w:numId w:val="24"/>
        </w:numPr>
        <w:suppressAutoHyphens/>
        <w:spacing w:after="0" w:line="240" w:lineRule="auto"/>
        <w:ind w:left="1440" w:hanging="720"/>
        <w:contextualSpacing/>
        <w:jc w:val="both"/>
        <w:rPr>
          <w:rFonts w:ascii="Cambria" w:hAnsi="Cambria"/>
          <w:sz w:val="20"/>
          <w:szCs w:val="20"/>
        </w:rPr>
      </w:pPr>
      <w:r w:rsidRPr="004140B8">
        <w:rPr>
          <w:rFonts w:ascii="Cambria" w:hAnsi="Cambria"/>
          <w:sz w:val="20"/>
          <w:szCs w:val="20"/>
        </w:rPr>
        <w:t>On July 3, 2023, the Secretary of Human Rights of the Nation issued resolution RESOL-2023-601-APN-SDDHH.MJ, through which it resolved to grant Francisco Samuel Naishtat the benefit provided for in Law No. 26,913.</w:t>
      </w:r>
    </w:p>
    <w:p w14:paraId="0E01657E" w14:textId="77777777" w:rsidR="004140B8" w:rsidRPr="004140B8" w:rsidRDefault="004140B8" w:rsidP="004140B8">
      <w:pPr>
        <w:numPr>
          <w:ilvl w:val="0"/>
          <w:numId w:val="24"/>
        </w:numPr>
        <w:suppressAutoHyphens/>
        <w:spacing w:after="0" w:line="240" w:lineRule="auto"/>
        <w:ind w:left="1440" w:hanging="720"/>
        <w:contextualSpacing/>
        <w:jc w:val="both"/>
        <w:rPr>
          <w:rFonts w:ascii="Cambria" w:hAnsi="Cambria"/>
          <w:sz w:val="20"/>
          <w:szCs w:val="20"/>
        </w:rPr>
      </w:pPr>
      <w:r w:rsidRPr="004140B8">
        <w:rPr>
          <w:rFonts w:ascii="Cambria" w:hAnsi="Cambria"/>
          <w:color w:val="000000"/>
          <w:sz w:val="20"/>
          <w:szCs w:val="20"/>
        </w:rPr>
        <w:t>On August 21, 2024, the settlement registered under file No. 20732 was made and the authorization for the payment of benefits and indemnities for pecuniary compensation was issued, in accordance with the framework provided by Law No. 24,043. The disbursement was made available to the beneficiary at the Caja de Valores S.A.</w:t>
      </w:r>
    </w:p>
    <w:p w14:paraId="72628587" w14:textId="2E1965DE" w:rsidR="00F74974" w:rsidRPr="004140B8" w:rsidRDefault="00F74974" w:rsidP="004140B8">
      <w:pPr>
        <w:suppressAutoHyphens/>
        <w:spacing w:after="0" w:line="240" w:lineRule="auto"/>
        <w:ind w:right="-270" w:firstLine="709"/>
        <w:jc w:val="center"/>
        <w:rPr>
          <w:rFonts w:ascii="Cambria" w:hAnsi="Cambria"/>
          <w:sz w:val="20"/>
          <w:szCs w:val="20"/>
        </w:rPr>
      </w:pPr>
    </w:p>
    <w:sectPr w:rsidR="00F74974" w:rsidRPr="004140B8" w:rsidSect="008E42E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A217E" w14:textId="77777777" w:rsidR="001F6634" w:rsidRDefault="001F6634" w:rsidP="00A343FF">
      <w:pPr>
        <w:spacing w:after="0" w:line="240" w:lineRule="auto"/>
      </w:pPr>
      <w:r>
        <w:separator/>
      </w:r>
    </w:p>
  </w:endnote>
  <w:endnote w:type="continuationSeparator" w:id="0">
    <w:p w14:paraId="34098F29" w14:textId="77777777" w:rsidR="001F6634" w:rsidRDefault="001F6634" w:rsidP="00A343FF">
      <w:pPr>
        <w:spacing w:after="0" w:line="240" w:lineRule="auto"/>
      </w:pPr>
      <w:r>
        <w:continuationSeparator/>
      </w:r>
    </w:p>
  </w:endnote>
  <w:endnote w:type="continuationNotice" w:id="1">
    <w:p w14:paraId="59795D46" w14:textId="77777777" w:rsidR="001F6634" w:rsidRDefault="001F66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F7F56" w14:textId="77777777" w:rsidR="00F74974" w:rsidRDefault="00F7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7C8D"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CBDDDA" w14:textId="77777777" w:rsidR="00F66FEE" w:rsidRDefault="00F66FEE"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77C7" w14:textId="77777777" w:rsidR="008F2248" w:rsidRDefault="00AE078B" w:rsidP="008F2248">
    <w:pPr>
      <w:pStyle w:val="Footer"/>
      <w:spacing w:line="360" w:lineRule="auto"/>
    </w:pPr>
    <w:r>
      <w:rPr>
        <w:noProof/>
      </w:rPr>
      <w:pict w14:anchorId="413C72BF">
        <v:rect id="_x0000_i1027" alt="" style="width:441.9pt;height:.05pt;mso-width-percent:0;mso-height-percent:0;mso-width-percent:0;mso-height-percent:0" o:hralign="center" o:hrstd="t" o:hr="t" fillcolor="#a0a0a0" stroked="f"/>
      </w:pict>
    </w:r>
  </w:p>
  <w:p w14:paraId="36DDBAC6" w14:textId="77777777" w:rsidR="008F2248" w:rsidRDefault="009A73C0" w:rsidP="006E2BD8">
    <w:pPr>
      <w:pStyle w:val="Footer"/>
      <w:jc w:val="center"/>
    </w:pPr>
    <w:r>
      <w:rPr>
        <w:noProof/>
      </w:rPr>
      <w:drawing>
        <wp:inline distT="0" distB="0" distL="0" distR="0" wp14:anchorId="0865921E" wp14:editId="3BA32EF6">
          <wp:extent cx="5238750" cy="323850"/>
          <wp:effectExtent l="0" t="0" r="0" b="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38ABC" w14:textId="77777777" w:rsidR="001F6634" w:rsidRDefault="001F6634" w:rsidP="00A343FF">
      <w:pPr>
        <w:spacing w:after="0" w:line="240" w:lineRule="auto"/>
      </w:pPr>
      <w:r>
        <w:separator/>
      </w:r>
    </w:p>
  </w:footnote>
  <w:footnote w:type="continuationSeparator" w:id="0">
    <w:p w14:paraId="333E6876" w14:textId="77777777" w:rsidR="001F6634" w:rsidRDefault="001F6634" w:rsidP="00A343FF">
      <w:pPr>
        <w:spacing w:after="0" w:line="240" w:lineRule="auto"/>
      </w:pPr>
      <w:r>
        <w:continuationSeparator/>
      </w:r>
    </w:p>
  </w:footnote>
  <w:footnote w:type="continuationNotice" w:id="1">
    <w:p w14:paraId="62233959" w14:textId="77777777" w:rsidR="001F6634" w:rsidRDefault="001F6634">
      <w:pPr>
        <w:spacing w:after="0" w:line="240" w:lineRule="auto"/>
      </w:pPr>
    </w:p>
  </w:footnote>
  <w:footnote w:id="2">
    <w:p w14:paraId="2BB7751E" w14:textId="3CE256CB" w:rsidR="00EB2DCD" w:rsidRPr="008C7FD9" w:rsidRDefault="00EB2DCD" w:rsidP="00EB2DCD">
      <w:pPr>
        <w:pStyle w:val="FootnoteText"/>
        <w:ind w:firstLine="709"/>
        <w:jc w:val="both"/>
        <w:rPr>
          <w:rFonts w:ascii="Cambria" w:hAnsi="Cambria"/>
          <w:sz w:val="16"/>
          <w:szCs w:val="16"/>
        </w:rPr>
      </w:pPr>
      <w:r w:rsidRPr="00EB2DCD">
        <w:rPr>
          <w:rStyle w:val="FootnoteReference"/>
          <w:rFonts w:ascii="Cambria" w:hAnsi="Cambria"/>
          <w:sz w:val="16"/>
          <w:szCs w:val="16"/>
        </w:rPr>
        <w:footnoteRef/>
      </w:r>
      <w:r w:rsidRPr="00EB2DCD">
        <w:rPr>
          <w:rFonts w:ascii="Cambria" w:hAnsi="Cambria"/>
          <w:sz w:val="16"/>
          <w:szCs w:val="16"/>
        </w:rPr>
        <w:t xml:space="preserve"> </w:t>
      </w:r>
      <w:r w:rsidRPr="008C7FD9">
        <w:rPr>
          <w:rFonts w:ascii="Cambria" w:hAnsi="Cambria"/>
          <w:sz w:val="16"/>
          <w:szCs w:val="16"/>
        </w:rPr>
        <w:t xml:space="preserve">See IACHR, Annual Report 2024, Chapter II, Section C. Advances and challenges on negotiation and implementation of friendly settlements agreements. Available at: </w:t>
      </w:r>
      <w:hyperlink r:id="rId1" w:history="1">
        <w:r w:rsidRPr="008C7FD9">
          <w:rPr>
            <w:rStyle w:val="Hyperlink"/>
            <w:rFonts w:ascii="Cambria" w:hAnsi="Cambria"/>
            <w:sz w:val="16"/>
            <w:szCs w:val="16"/>
          </w:rPr>
          <w:t>https://www.oas.org/en/iachr/docs/annual/2024/chapters/IA2024_2_EN.PDF</w:t>
        </w:r>
      </w:hyperlink>
      <w:r w:rsidRPr="008C7FD9">
        <w:rPr>
          <w:rFonts w:ascii="Cambria" w:hAnsi="Cambria"/>
          <w:sz w:val="16"/>
          <w:szCs w:val="16"/>
        </w:rPr>
        <w:t xml:space="preserve">. </w:t>
      </w:r>
    </w:p>
  </w:footnote>
  <w:footnote w:id="3">
    <w:p w14:paraId="669F57EE" w14:textId="4CD09212" w:rsidR="004140B8" w:rsidRPr="00EB2DCD" w:rsidRDefault="004140B8" w:rsidP="00EB2DCD">
      <w:pPr>
        <w:pStyle w:val="FootnoteText"/>
        <w:ind w:firstLine="709"/>
        <w:jc w:val="both"/>
        <w:rPr>
          <w:rFonts w:ascii="Cambria" w:hAnsi="Cambria"/>
          <w:sz w:val="16"/>
          <w:szCs w:val="16"/>
        </w:rPr>
      </w:pPr>
      <w:r w:rsidRPr="00EB2DCD">
        <w:rPr>
          <w:rStyle w:val="FootnoteReference"/>
          <w:rFonts w:ascii="Cambria" w:hAnsi="Cambria"/>
          <w:sz w:val="16"/>
          <w:szCs w:val="16"/>
        </w:rPr>
        <w:footnoteRef/>
      </w:r>
      <w:r w:rsidRPr="00EB2DCD">
        <w:rPr>
          <w:rFonts w:ascii="Cambria" w:hAnsi="Cambria"/>
          <w:sz w:val="16"/>
          <w:szCs w:val="16"/>
        </w:rPr>
        <w:t xml:space="preserve"> See IACHR, Report No. 215/23, Case 14.714. Friendly Settlement. Francisco Samuel Naishtat. Argentina. October 20, 2023.</w:t>
      </w:r>
      <w:r w:rsidR="00EB2DCD" w:rsidRPr="00EB2DCD">
        <w:rPr>
          <w:rFonts w:ascii="Cambria" w:hAnsi="Cambria"/>
          <w:sz w:val="16"/>
          <w:szCs w:val="16"/>
        </w:rPr>
        <w:t xml:space="preserve"> Available at: </w:t>
      </w:r>
      <w:hyperlink r:id="rId2" w:history="1">
        <w:r w:rsidR="00EB2DCD" w:rsidRPr="00EB2DCD">
          <w:rPr>
            <w:rStyle w:val="Hyperlink"/>
            <w:rFonts w:ascii="Cambria" w:hAnsi="Cambria"/>
            <w:sz w:val="16"/>
            <w:szCs w:val="16"/>
          </w:rPr>
          <w:t>https://www.oas.org/en/iachr/decisions/2023/AR%20SA%2014.714%20EN-FINAL%20WEB.PDF</w:t>
        </w:r>
      </w:hyperlink>
      <w:r w:rsidR="00EB2DCD" w:rsidRPr="00EB2DCD">
        <w:rPr>
          <w:rFonts w:ascii="Cambria" w:hAnsi="Cambria"/>
          <w:sz w:val="16"/>
          <w:szCs w:val="16"/>
        </w:rPr>
        <w:t xml:space="preserve">. </w:t>
      </w:r>
    </w:p>
  </w:footnote>
  <w:footnote w:id="4">
    <w:p w14:paraId="09FD3868" w14:textId="1BA88B50" w:rsidR="004140B8" w:rsidRPr="00EB2DCD" w:rsidRDefault="004140B8" w:rsidP="00EB2DCD">
      <w:pPr>
        <w:pStyle w:val="FootnoteText"/>
        <w:ind w:firstLine="709"/>
        <w:jc w:val="both"/>
        <w:rPr>
          <w:rFonts w:ascii="Cambria" w:hAnsi="Cambria"/>
          <w:sz w:val="16"/>
          <w:szCs w:val="16"/>
        </w:rPr>
      </w:pPr>
      <w:r w:rsidRPr="00EB2DCD">
        <w:rPr>
          <w:rStyle w:val="FootnoteReference"/>
          <w:rFonts w:ascii="Cambria" w:hAnsi="Cambria"/>
          <w:sz w:val="16"/>
          <w:szCs w:val="16"/>
        </w:rPr>
        <w:footnoteRef/>
      </w:r>
      <w:r w:rsidRPr="00EB2DCD">
        <w:rPr>
          <w:rFonts w:ascii="Cambria" w:hAnsi="Cambria"/>
          <w:sz w:val="16"/>
          <w:szCs w:val="16"/>
        </w:rPr>
        <w:t xml:space="preserve"> </w:t>
      </w:r>
      <w:r w:rsidR="00EB2DCD" w:rsidRPr="00EB2DCD">
        <w:rPr>
          <w:rFonts w:ascii="Cambria" w:hAnsi="Cambria"/>
          <w:sz w:val="16"/>
          <w:szCs w:val="16"/>
        </w:rPr>
        <w:t xml:space="preserve">See IACHR, Report No. 215/23, Case 14.714. Friendly Settlement. Francisco Samuel Naishtat. Argentina. October 20, 2023. Available at: </w:t>
      </w:r>
      <w:hyperlink r:id="rId3" w:history="1">
        <w:r w:rsidR="00EB2DCD" w:rsidRPr="00EB2DCD">
          <w:rPr>
            <w:rStyle w:val="Hyperlink"/>
            <w:rFonts w:ascii="Cambria" w:hAnsi="Cambria"/>
            <w:sz w:val="16"/>
            <w:szCs w:val="16"/>
          </w:rPr>
          <w:t>https://www.oas.org/en/iachr/decisions/2023/AR%20SA%2014.714%20EN-FINAL%20WEB.PDF</w:t>
        </w:r>
      </w:hyperlink>
      <w:r w:rsidR="00EB2DCD" w:rsidRPr="00EB2DCD">
        <w:rPr>
          <w:rFonts w:ascii="Cambria" w:hAnsi="Cambria"/>
          <w:sz w:val="16"/>
          <w:szCs w:val="16"/>
        </w:rPr>
        <w:t>.</w:t>
      </w:r>
    </w:p>
  </w:footnote>
  <w:footnote w:id="5">
    <w:p w14:paraId="740588ED" w14:textId="25DBF453" w:rsidR="00EB2DCD" w:rsidRPr="008C7FD9" w:rsidRDefault="00EB2DCD" w:rsidP="00EB2DCD">
      <w:pPr>
        <w:pStyle w:val="FootnoteText"/>
        <w:ind w:firstLine="709"/>
        <w:jc w:val="both"/>
        <w:rPr>
          <w:rFonts w:ascii="Cambria" w:hAnsi="Cambria"/>
          <w:sz w:val="16"/>
          <w:szCs w:val="16"/>
        </w:rPr>
      </w:pPr>
      <w:r w:rsidRPr="00EB2DCD">
        <w:rPr>
          <w:rStyle w:val="FootnoteReference"/>
          <w:rFonts w:ascii="Cambria" w:hAnsi="Cambria"/>
          <w:sz w:val="16"/>
          <w:szCs w:val="16"/>
        </w:rPr>
        <w:footnoteRef/>
      </w:r>
      <w:r w:rsidRPr="00EB2DCD">
        <w:rPr>
          <w:rFonts w:ascii="Cambria" w:hAnsi="Cambria"/>
          <w:sz w:val="16"/>
          <w:szCs w:val="16"/>
        </w:rPr>
        <w:t xml:space="preserve"> </w:t>
      </w:r>
      <w:r w:rsidRPr="008C7FD9">
        <w:rPr>
          <w:rFonts w:ascii="Cambria" w:hAnsi="Cambria"/>
          <w:sz w:val="16"/>
          <w:szCs w:val="16"/>
        </w:rPr>
        <w:t xml:space="preserve">See IACHR, Annual Report 2024, Chapter II, Section C. Advances and challenges on negotiation and implementation of friendly settlements agreements. Available at: </w:t>
      </w:r>
      <w:hyperlink r:id="rId4" w:history="1">
        <w:r w:rsidRPr="008C7FD9">
          <w:rPr>
            <w:rStyle w:val="Hyperlink"/>
            <w:rFonts w:ascii="Cambria" w:hAnsi="Cambria"/>
            <w:sz w:val="16"/>
            <w:szCs w:val="16"/>
          </w:rPr>
          <w:t>https://www.oas.org/en/iachr/docs/annual/2024/chapters/IA2024_2_EN.PDF</w:t>
        </w:r>
      </w:hyperlink>
      <w:r w:rsidRPr="008C7FD9">
        <w:rPr>
          <w:rFonts w:ascii="Cambria" w:hAnsi="Cambri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D530" w14:textId="77777777" w:rsidR="00F74974" w:rsidRDefault="00F7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0B052" w14:textId="77777777" w:rsidR="00A343FF" w:rsidRDefault="009A73C0" w:rsidP="00DC7C8F">
    <w:pPr>
      <w:pStyle w:val="Header"/>
      <w:jc w:val="center"/>
    </w:pPr>
    <w:r>
      <w:rPr>
        <w:noProof/>
      </w:rPr>
      <w:drawing>
        <wp:inline distT="0" distB="0" distL="0" distR="0" wp14:anchorId="3DA1D74D" wp14:editId="04CD84E3">
          <wp:extent cx="2286000" cy="114300"/>
          <wp:effectExtent l="0" t="0" r="0" b="0"/>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4300"/>
                  </a:xfrm>
                  <a:prstGeom prst="rect">
                    <a:avLst/>
                  </a:prstGeom>
                  <a:noFill/>
                  <a:ln>
                    <a:noFill/>
                  </a:ln>
                </pic:spPr>
              </pic:pic>
            </a:graphicData>
          </a:graphic>
        </wp:inline>
      </w:drawing>
    </w:r>
  </w:p>
  <w:p w14:paraId="5548F4C2" w14:textId="77777777" w:rsidR="00A343FF" w:rsidRDefault="00AE078B">
    <w:pPr>
      <w:pStyle w:val="Header"/>
    </w:pPr>
    <w:r>
      <w:rPr>
        <w:noProof/>
      </w:rPr>
      <w:pict w14:anchorId="5B6F98C2">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6893" w14:textId="77777777" w:rsidR="00A61B5E" w:rsidRDefault="009A73C0" w:rsidP="00A61B5E">
    <w:pPr>
      <w:pStyle w:val="Header"/>
    </w:pPr>
    <w:r>
      <w:rPr>
        <w:noProof/>
      </w:rPr>
      <w:drawing>
        <wp:anchor distT="0" distB="0" distL="114300" distR="114300" simplePos="0" relativeHeight="251657216" behindDoc="1" locked="0" layoutInCell="1" allowOverlap="1" wp14:anchorId="49D89616" wp14:editId="1502AB67">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88546992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27646FE" wp14:editId="2E8E3712">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141" y="0"/>
              <wp:lineTo x="0" y="4397"/>
              <wp:lineTo x="0" y="14290"/>
              <wp:lineTo x="143" y="17588"/>
              <wp:lineTo x="998" y="20885"/>
              <wp:lineTo x="1141" y="20885"/>
              <wp:lineTo x="3850" y="20885"/>
              <wp:lineTo x="4135" y="20885"/>
              <wp:lineTo x="5133" y="17588"/>
              <wp:lineTo x="21529" y="17588"/>
              <wp:lineTo x="21529" y="11542"/>
              <wp:lineTo x="20388" y="8794"/>
              <wp:lineTo x="20673" y="4947"/>
              <wp:lineTo x="18820" y="3847"/>
              <wp:lineTo x="4135" y="0"/>
              <wp:lineTo x="1141" y="0"/>
            </wp:wrapPolygon>
          </wp:wrapThrough>
          <wp:docPr id="2"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6FE98F63" w14:textId="77777777" w:rsidR="00F53B51" w:rsidRDefault="00F53B51" w:rsidP="00A61B5E">
    <w:pPr>
      <w:pStyle w:val="Header"/>
    </w:pPr>
  </w:p>
  <w:p w14:paraId="6E2ECDCF" w14:textId="77777777" w:rsidR="00F53B51" w:rsidRDefault="00F53B51" w:rsidP="00A61B5E">
    <w:pPr>
      <w:pStyle w:val="Header"/>
    </w:pPr>
  </w:p>
  <w:p w14:paraId="149A805A" w14:textId="77777777" w:rsidR="00A61B5E" w:rsidRDefault="00AE078B" w:rsidP="00A61B5E">
    <w:pPr>
      <w:pStyle w:val="Header"/>
    </w:pPr>
    <w:r>
      <w:rPr>
        <w:noProof/>
      </w:rPr>
      <w:pict w14:anchorId="20E37B3E">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1EB2"/>
    <w:multiLevelType w:val="hybridMultilevel"/>
    <w:tmpl w:val="F2EE32A4"/>
    <w:lvl w:ilvl="0" w:tplc="78CEEF1C">
      <w:start w:val="1"/>
      <w:numFmt w:val="decimal"/>
      <w:lvlText w:val="%1."/>
      <w:lvlJc w:val="left"/>
      <w:pPr>
        <w:ind w:left="1080" w:hanging="360"/>
      </w:pPr>
      <w:rPr>
        <w:rFonts w:ascii="Cambria" w:hAnsi="Cambria" w:cs="Cambria" w:hint="default"/>
        <w:b w:val="0"/>
        <w:bCs w:val="0"/>
        <w:sz w:val="20"/>
        <w:szCs w:val="20"/>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1" w15:restartNumberingAfterBreak="0">
    <w:nsid w:val="14CB5C7B"/>
    <w:multiLevelType w:val="hybridMultilevel"/>
    <w:tmpl w:val="3CB0A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B3573"/>
    <w:multiLevelType w:val="hybridMultilevel"/>
    <w:tmpl w:val="98F21584"/>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03100"/>
    <w:multiLevelType w:val="hybridMultilevel"/>
    <w:tmpl w:val="F88EE254"/>
    <w:lvl w:ilvl="0" w:tplc="DABE6054">
      <w:start w:val="1"/>
      <w:numFmt w:val="decimal"/>
      <w:lvlText w:val="%1."/>
      <w:lvlJc w:val="left"/>
      <w:pPr>
        <w:ind w:left="720" w:hanging="360"/>
      </w:pPr>
    </w:lvl>
    <w:lvl w:ilvl="1" w:tplc="0C0A0019">
      <w:start w:val="1"/>
      <w:numFmt w:val="lowerLetter"/>
      <w:lvlText w:val="%2."/>
      <w:lvlJc w:val="left"/>
      <w:pPr>
        <w:ind w:left="1980" w:hanging="360"/>
      </w:pPr>
    </w:lvl>
    <w:lvl w:ilvl="2" w:tplc="0C0A001B">
      <w:start w:val="1"/>
      <w:numFmt w:val="lowerRoman"/>
      <w:lvlText w:val="%3."/>
      <w:lvlJc w:val="right"/>
      <w:pPr>
        <w:ind w:left="2700" w:hanging="180"/>
      </w:pPr>
    </w:lvl>
    <w:lvl w:ilvl="3" w:tplc="0C0A000F">
      <w:start w:val="1"/>
      <w:numFmt w:val="decimal"/>
      <w:lvlText w:val="%4."/>
      <w:lvlJc w:val="left"/>
      <w:pPr>
        <w:ind w:left="3420" w:hanging="360"/>
      </w:pPr>
    </w:lvl>
    <w:lvl w:ilvl="4" w:tplc="0C0A0019">
      <w:start w:val="1"/>
      <w:numFmt w:val="lowerLetter"/>
      <w:lvlText w:val="%5."/>
      <w:lvlJc w:val="left"/>
      <w:pPr>
        <w:ind w:left="4140" w:hanging="360"/>
      </w:pPr>
    </w:lvl>
    <w:lvl w:ilvl="5" w:tplc="0C0A001B">
      <w:start w:val="1"/>
      <w:numFmt w:val="lowerRoman"/>
      <w:lvlText w:val="%6."/>
      <w:lvlJc w:val="right"/>
      <w:pPr>
        <w:ind w:left="4860" w:hanging="180"/>
      </w:pPr>
    </w:lvl>
    <w:lvl w:ilvl="6" w:tplc="0C0A000F">
      <w:start w:val="1"/>
      <w:numFmt w:val="decimal"/>
      <w:lvlText w:val="%7."/>
      <w:lvlJc w:val="left"/>
      <w:pPr>
        <w:ind w:left="5580" w:hanging="360"/>
      </w:pPr>
    </w:lvl>
    <w:lvl w:ilvl="7" w:tplc="0C0A0019">
      <w:start w:val="1"/>
      <w:numFmt w:val="lowerLetter"/>
      <w:lvlText w:val="%8."/>
      <w:lvlJc w:val="left"/>
      <w:pPr>
        <w:ind w:left="6300" w:hanging="360"/>
      </w:pPr>
    </w:lvl>
    <w:lvl w:ilvl="8" w:tplc="0C0A001B">
      <w:start w:val="1"/>
      <w:numFmt w:val="lowerRoman"/>
      <w:lvlText w:val="%9."/>
      <w:lvlJc w:val="right"/>
      <w:pPr>
        <w:ind w:left="7020" w:hanging="180"/>
      </w:pPr>
    </w:lvl>
  </w:abstractNum>
  <w:abstractNum w:abstractNumId="4" w15:restartNumberingAfterBreak="0">
    <w:nsid w:val="1ACE7A24"/>
    <w:multiLevelType w:val="hybridMultilevel"/>
    <w:tmpl w:val="21843F30"/>
    <w:lvl w:ilvl="0" w:tplc="C15680D8">
      <w:start w:val="4"/>
      <w:numFmt w:val="decimal"/>
      <w:lvlText w:val="%1."/>
      <w:lvlJc w:val="left"/>
      <w:pPr>
        <w:ind w:left="1080" w:hanging="360"/>
      </w:pPr>
      <w:rPr>
        <w:rFonts w:ascii="Cambria" w:hAnsi="Cambria" w:cs="Cambri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7753E"/>
    <w:multiLevelType w:val="hybridMultilevel"/>
    <w:tmpl w:val="60865F60"/>
    <w:lvl w:ilvl="0" w:tplc="080A0001">
      <w:start w:val="1"/>
      <w:numFmt w:val="bullet"/>
      <w:lvlText w:val=""/>
      <w:lvlJc w:val="left"/>
      <w:pPr>
        <w:ind w:left="1440" w:hanging="360"/>
      </w:pPr>
      <w:rPr>
        <w:rFonts w:ascii="Symbol" w:hAnsi="Symbol" w:cs="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cs="Wingdings" w:hint="default"/>
      </w:rPr>
    </w:lvl>
    <w:lvl w:ilvl="3" w:tplc="080A0001">
      <w:start w:val="1"/>
      <w:numFmt w:val="bullet"/>
      <w:lvlText w:val=""/>
      <w:lvlJc w:val="left"/>
      <w:pPr>
        <w:ind w:left="3600" w:hanging="360"/>
      </w:pPr>
      <w:rPr>
        <w:rFonts w:ascii="Symbol" w:hAnsi="Symbol" w:cs="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cs="Wingdings" w:hint="default"/>
      </w:rPr>
    </w:lvl>
    <w:lvl w:ilvl="6" w:tplc="080A0001">
      <w:start w:val="1"/>
      <w:numFmt w:val="bullet"/>
      <w:lvlText w:val=""/>
      <w:lvlJc w:val="left"/>
      <w:pPr>
        <w:ind w:left="5760" w:hanging="360"/>
      </w:pPr>
      <w:rPr>
        <w:rFonts w:ascii="Symbol" w:hAnsi="Symbol" w:cs="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cs="Wingdings" w:hint="default"/>
      </w:rPr>
    </w:lvl>
  </w:abstractNum>
  <w:abstractNum w:abstractNumId="7" w15:restartNumberingAfterBreak="0">
    <w:nsid w:val="26582976"/>
    <w:multiLevelType w:val="hybridMultilevel"/>
    <w:tmpl w:val="A204FA62"/>
    <w:lvl w:ilvl="0" w:tplc="474CA6B0">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D55483B"/>
    <w:multiLevelType w:val="hybridMultilevel"/>
    <w:tmpl w:val="6E0AE690"/>
    <w:lvl w:ilvl="0" w:tplc="6B1221EE">
      <w:start w:val="7"/>
      <w:numFmt w:val="decimal"/>
      <w:lvlText w:val="%1."/>
      <w:lvlJc w:val="left"/>
      <w:pPr>
        <w:ind w:left="1080" w:hanging="360"/>
      </w:pPr>
      <w:rPr>
        <w:rFonts w:ascii="Cambria" w:hAnsi="Cambria" w:cs="Cambri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92331"/>
    <w:multiLevelType w:val="hybridMultilevel"/>
    <w:tmpl w:val="EE8E5C28"/>
    <w:lvl w:ilvl="0" w:tplc="9712026A">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C20BE"/>
    <w:multiLevelType w:val="hybridMultilevel"/>
    <w:tmpl w:val="E67EED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40D220D"/>
    <w:multiLevelType w:val="hybridMultilevel"/>
    <w:tmpl w:val="B07A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816C6"/>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46356"/>
    <w:multiLevelType w:val="hybridMultilevel"/>
    <w:tmpl w:val="C832D3B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522C6C"/>
    <w:multiLevelType w:val="hybridMultilevel"/>
    <w:tmpl w:val="7F046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EC3815"/>
    <w:multiLevelType w:val="hybridMultilevel"/>
    <w:tmpl w:val="6348609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40792F"/>
    <w:multiLevelType w:val="hybridMultilevel"/>
    <w:tmpl w:val="5F5CAB6E"/>
    <w:lvl w:ilvl="0" w:tplc="4086A9CA">
      <w:numFmt w:val="bullet"/>
      <w:lvlText w:val="-"/>
      <w:lvlJc w:val="left"/>
      <w:pPr>
        <w:ind w:left="720" w:hanging="360"/>
      </w:pPr>
      <w:rPr>
        <w:rFonts w:ascii="Cambria" w:eastAsia="Calibri"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9D40730"/>
    <w:multiLevelType w:val="hybridMultilevel"/>
    <w:tmpl w:val="80C2E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957859"/>
    <w:multiLevelType w:val="hybridMultilevel"/>
    <w:tmpl w:val="2ED4D6D8"/>
    <w:lvl w:ilvl="0" w:tplc="52144A8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B5598"/>
    <w:multiLevelType w:val="hybridMultilevel"/>
    <w:tmpl w:val="82961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12C71"/>
    <w:multiLevelType w:val="hybridMultilevel"/>
    <w:tmpl w:val="598268C2"/>
    <w:lvl w:ilvl="0" w:tplc="D95091A6">
      <w:start w:val="3"/>
      <w:numFmt w:val="decimal"/>
      <w:lvlText w:val="%1."/>
      <w:lvlJc w:val="left"/>
      <w:pPr>
        <w:ind w:left="720" w:hanging="360"/>
      </w:pPr>
      <w:rPr>
        <w:rFonts w:ascii="Cambria" w:hAnsi="Cambria" w:cs="Cambria" w:hint="default"/>
        <w:b w:val="0"/>
        <w:bCs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4712EBB"/>
    <w:multiLevelType w:val="hybridMultilevel"/>
    <w:tmpl w:val="F23ECB98"/>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59A457C"/>
    <w:multiLevelType w:val="hybridMultilevel"/>
    <w:tmpl w:val="2AD22794"/>
    <w:lvl w:ilvl="0" w:tplc="BC2696BC">
      <w:start w:val="1"/>
      <w:numFmt w:val="upperRoman"/>
      <w:lvlText w:val="%1."/>
      <w:lvlJc w:val="left"/>
      <w:pPr>
        <w:ind w:left="144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6AF402B"/>
    <w:multiLevelType w:val="hybridMultilevel"/>
    <w:tmpl w:val="C884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773E5A"/>
    <w:multiLevelType w:val="hybridMultilevel"/>
    <w:tmpl w:val="E9C83F88"/>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DE6D06"/>
    <w:multiLevelType w:val="hybridMultilevel"/>
    <w:tmpl w:val="F5F41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F1327"/>
    <w:multiLevelType w:val="hybridMultilevel"/>
    <w:tmpl w:val="58CCEF62"/>
    <w:lvl w:ilvl="0" w:tplc="3BB85CCE">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2D301AD"/>
    <w:multiLevelType w:val="hybridMultilevel"/>
    <w:tmpl w:val="16225D3E"/>
    <w:lvl w:ilvl="0" w:tplc="ADD442F4">
      <w:start w:val="2"/>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41424F1"/>
    <w:multiLevelType w:val="hybridMultilevel"/>
    <w:tmpl w:val="9884AD90"/>
    <w:lvl w:ilvl="0" w:tplc="04090015">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4654F51"/>
    <w:multiLevelType w:val="hybridMultilevel"/>
    <w:tmpl w:val="736E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76EC8"/>
    <w:multiLevelType w:val="hybridMultilevel"/>
    <w:tmpl w:val="C832D3B2"/>
    <w:lvl w:ilvl="0" w:tplc="83B05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21A3E"/>
    <w:multiLevelType w:val="hybridMultilevel"/>
    <w:tmpl w:val="0A6AE3E8"/>
    <w:lvl w:ilvl="0" w:tplc="F1726806">
      <w:start w:val="2"/>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773AA"/>
    <w:multiLevelType w:val="hybridMultilevel"/>
    <w:tmpl w:val="2AD22794"/>
    <w:lvl w:ilvl="0" w:tplc="BC2696BC">
      <w:start w:val="1"/>
      <w:numFmt w:val="upperRoman"/>
      <w:lvlText w:val="%1."/>
      <w:lvlJc w:val="left"/>
      <w:pPr>
        <w:ind w:left="144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8E2692"/>
    <w:multiLevelType w:val="hybridMultilevel"/>
    <w:tmpl w:val="4D7CE0A8"/>
    <w:lvl w:ilvl="0" w:tplc="4686E8BE">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1F50A04"/>
    <w:multiLevelType w:val="hybridMultilevel"/>
    <w:tmpl w:val="6C1E1AC4"/>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C41D44"/>
    <w:multiLevelType w:val="hybridMultilevel"/>
    <w:tmpl w:val="826289F6"/>
    <w:lvl w:ilvl="0" w:tplc="83E6A65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16721">
    <w:abstractNumId w:val="31"/>
  </w:num>
  <w:num w:numId="2" w16cid:durableId="386493659">
    <w:abstractNumId w:val="23"/>
  </w:num>
  <w:num w:numId="3" w16cid:durableId="1073046593">
    <w:abstractNumId w:val="17"/>
  </w:num>
  <w:num w:numId="4" w16cid:durableId="665286190">
    <w:abstractNumId w:val="22"/>
  </w:num>
  <w:num w:numId="5" w16cid:durableId="890190884">
    <w:abstractNumId w:val="16"/>
  </w:num>
  <w:num w:numId="6" w16cid:durableId="1269696070">
    <w:abstractNumId w:val="14"/>
  </w:num>
  <w:num w:numId="7" w16cid:durableId="369956807">
    <w:abstractNumId w:val="29"/>
  </w:num>
  <w:num w:numId="8" w16cid:durableId="1461067811">
    <w:abstractNumId w:val="25"/>
  </w:num>
  <w:num w:numId="9" w16cid:durableId="1469392667">
    <w:abstractNumId w:val="32"/>
  </w:num>
  <w:num w:numId="10" w16cid:durableId="126054260">
    <w:abstractNumId w:val="1"/>
  </w:num>
  <w:num w:numId="11" w16cid:durableId="1493372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0625847">
    <w:abstractNumId w:val="5"/>
  </w:num>
  <w:num w:numId="13" w16cid:durableId="888763914">
    <w:abstractNumId w:val="12"/>
  </w:num>
  <w:num w:numId="14" w16cid:durableId="1191532033">
    <w:abstractNumId w:val="0"/>
  </w:num>
  <w:num w:numId="15" w16cid:durableId="2065325609">
    <w:abstractNumId w:val="6"/>
  </w:num>
  <w:num w:numId="16" w16cid:durableId="203366524">
    <w:abstractNumId w:val="28"/>
  </w:num>
  <w:num w:numId="17" w16cid:durableId="1994485589">
    <w:abstractNumId w:val="27"/>
  </w:num>
  <w:num w:numId="18" w16cid:durableId="593170908">
    <w:abstractNumId w:val="10"/>
  </w:num>
  <w:num w:numId="19" w16cid:durableId="1387949599">
    <w:abstractNumId w:val="21"/>
  </w:num>
  <w:num w:numId="20" w16cid:durableId="2114475546">
    <w:abstractNumId w:val="19"/>
  </w:num>
  <w:num w:numId="21" w16cid:durableId="1129208414">
    <w:abstractNumId w:val="4"/>
  </w:num>
  <w:num w:numId="22" w16cid:durableId="54397452">
    <w:abstractNumId w:val="8"/>
  </w:num>
  <w:num w:numId="23" w16cid:durableId="2113012360">
    <w:abstractNumId w:val="20"/>
  </w:num>
  <w:num w:numId="24" w16cid:durableId="1256785358">
    <w:abstractNumId w:val="11"/>
  </w:num>
  <w:num w:numId="25" w16cid:durableId="621379413">
    <w:abstractNumId w:val="26"/>
  </w:num>
  <w:num w:numId="26" w16cid:durableId="977150517">
    <w:abstractNumId w:val="15"/>
  </w:num>
  <w:num w:numId="27" w16cid:durableId="328752619">
    <w:abstractNumId w:val="18"/>
  </w:num>
  <w:num w:numId="28" w16cid:durableId="189227929">
    <w:abstractNumId w:val="34"/>
  </w:num>
  <w:num w:numId="29" w16cid:durableId="1831368133">
    <w:abstractNumId w:val="33"/>
  </w:num>
  <w:num w:numId="30" w16cid:durableId="1716999929">
    <w:abstractNumId w:val="13"/>
  </w:num>
  <w:num w:numId="31" w16cid:durableId="1063480400">
    <w:abstractNumId w:val="9"/>
  </w:num>
  <w:num w:numId="32" w16cid:durableId="1943146568">
    <w:abstractNumId w:val="2"/>
  </w:num>
  <w:num w:numId="33" w16cid:durableId="1476990475">
    <w:abstractNumId w:val="7"/>
  </w:num>
  <w:num w:numId="34" w16cid:durableId="1228420666">
    <w:abstractNumId w:val="30"/>
  </w:num>
  <w:num w:numId="35" w16cid:durableId="7492617">
    <w:abstractNumId w:val="35"/>
  </w:num>
  <w:num w:numId="36" w16cid:durableId="3082165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47B56"/>
    <w:rsid w:val="0006625E"/>
    <w:rsid w:val="00086009"/>
    <w:rsid w:val="00092EFD"/>
    <w:rsid w:val="00096079"/>
    <w:rsid w:val="000E14E3"/>
    <w:rsid w:val="0012586C"/>
    <w:rsid w:val="0014555C"/>
    <w:rsid w:val="00150E20"/>
    <w:rsid w:val="00193906"/>
    <w:rsid w:val="001F6634"/>
    <w:rsid w:val="0021669C"/>
    <w:rsid w:val="00226F48"/>
    <w:rsid w:val="002319CE"/>
    <w:rsid w:val="00236A78"/>
    <w:rsid w:val="00240E8E"/>
    <w:rsid w:val="002650A2"/>
    <w:rsid w:val="00283964"/>
    <w:rsid w:val="002859A9"/>
    <w:rsid w:val="00292B52"/>
    <w:rsid w:val="00294B17"/>
    <w:rsid w:val="002A39B2"/>
    <w:rsid w:val="002F2DC7"/>
    <w:rsid w:val="00343CED"/>
    <w:rsid w:val="00393310"/>
    <w:rsid w:val="003C4836"/>
    <w:rsid w:val="003D2D55"/>
    <w:rsid w:val="003F2DDA"/>
    <w:rsid w:val="00400A82"/>
    <w:rsid w:val="00413FCD"/>
    <w:rsid w:val="004140B8"/>
    <w:rsid w:val="00457711"/>
    <w:rsid w:val="0047146A"/>
    <w:rsid w:val="004722BC"/>
    <w:rsid w:val="00486911"/>
    <w:rsid w:val="004B3074"/>
    <w:rsid w:val="00506CFE"/>
    <w:rsid w:val="00513A38"/>
    <w:rsid w:val="00534F2B"/>
    <w:rsid w:val="005566F5"/>
    <w:rsid w:val="005A328E"/>
    <w:rsid w:val="005A5E14"/>
    <w:rsid w:val="005B3C19"/>
    <w:rsid w:val="005B6392"/>
    <w:rsid w:val="005C3542"/>
    <w:rsid w:val="005F4AAA"/>
    <w:rsid w:val="0060012C"/>
    <w:rsid w:val="00604132"/>
    <w:rsid w:val="00607CC7"/>
    <w:rsid w:val="0063220A"/>
    <w:rsid w:val="00682735"/>
    <w:rsid w:val="00687213"/>
    <w:rsid w:val="006A25F7"/>
    <w:rsid w:val="006B6131"/>
    <w:rsid w:val="006E2BD8"/>
    <w:rsid w:val="006F0429"/>
    <w:rsid w:val="00754FFD"/>
    <w:rsid w:val="00774F86"/>
    <w:rsid w:val="007A485F"/>
    <w:rsid w:val="007B0327"/>
    <w:rsid w:val="007B5729"/>
    <w:rsid w:val="007C2CC3"/>
    <w:rsid w:val="007C351D"/>
    <w:rsid w:val="007C3E98"/>
    <w:rsid w:val="007E361B"/>
    <w:rsid w:val="007F5F4E"/>
    <w:rsid w:val="0080119C"/>
    <w:rsid w:val="00807BAA"/>
    <w:rsid w:val="008550EF"/>
    <w:rsid w:val="008A7933"/>
    <w:rsid w:val="008C7FD9"/>
    <w:rsid w:val="008E42E1"/>
    <w:rsid w:val="008F2248"/>
    <w:rsid w:val="00901B37"/>
    <w:rsid w:val="00913220"/>
    <w:rsid w:val="00920591"/>
    <w:rsid w:val="00967413"/>
    <w:rsid w:val="009949ED"/>
    <w:rsid w:val="009A73C0"/>
    <w:rsid w:val="009B219C"/>
    <w:rsid w:val="009C227B"/>
    <w:rsid w:val="009C4D87"/>
    <w:rsid w:val="009E73F0"/>
    <w:rsid w:val="00A2502C"/>
    <w:rsid w:val="00A25CA7"/>
    <w:rsid w:val="00A31FA7"/>
    <w:rsid w:val="00A343FF"/>
    <w:rsid w:val="00A61B5E"/>
    <w:rsid w:val="00A7781B"/>
    <w:rsid w:val="00A94641"/>
    <w:rsid w:val="00AE078B"/>
    <w:rsid w:val="00AE1B0F"/>
    <w:rsid w:val="00B056D9"/>
    <w:rsid w:val="00B205A7"/>
    <w:rsid w:val="00B806AC"/>
    <w:rsid w:val="00B93993"/>
    <w:rsid w:val="00BA2B9F"/>
    <w:rsid w:val="00BA7724"/>
    <w:rsid w:val="00BB46E5"/>
    <w:rsid w:val="00BD11B9"/>
    <w:rsid w:val="00BD2A85"/>
    <w:rsid w:val="00C17F04"/>
    <w:rsid w:val="00C402CB"/>
    <w:rsid w:val="00C44D28"/>
    <w:rsid w:val="00C57947"/>
    <w:rsid w:val="00C71434"/>
    <w:rsid w:val="00CB6344"/>
    <w:rsid w:val="00CC6DB2"/>
    <w:rsid w:val="00CD545A"/>
    <w:rsid w:val="00CE4E6F"/>
    <w:rsid w:val="00CF54E1"/>
    <w:rsid w:val="00D05BCC"/>
    <w:rsid w:val="00D2459E"/>
    <w:rsid w:val="00D76C01"/>
    <w:rsid w:val="00D90D22"/>
    <w:rsid w:val="00DC5A37"/>
    <w:rsid w:val="00DC7C8F"/>
    <w:rsid w:val="00DD1591"/>
    <w:rsid w:val="00DE14B5"/>
    <w:rsid w:val="00DF0FE5"/>
    <w:rsid w:val="00E3040C"/>
    <w:rsid w:val="00E44647"/>
    <w:rsid w:val="00E6614F"/>
    <w:rsid w:val="00EA09D8"/>
    <w:rsid w:val="00EB0395"/>
    <w:rsid w:val="00EB2DCD"/>
    <w:rsid w:val="00F306C1"/>
    <w:rsid w:val="00F36C7F"/>
    <w:rsid w:val="00F4030D"/>
    <w:rsid w:val="00F53B51"/>
    <w:rsid w:val="00F54F60"/>
    <w:rsid w:val="00F66FEE"/>
    <w:rsid w:val="00F74974"/>
    <w:rsid w:val="00FC03E9"/>
    <w:rsid w:val="00FC66C2"/>
    <w:rsid w:val="00FD3451"/>
    <w:rsid w:val="00FD65A4"/>
    <w:rsid w:val="00FE0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5C9D1"/>
  <w15:chartTrackingRefBased/>
  <w15:docId w15:val="{B4EA294D-61C5-2E46-8C7B-6F882B6D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DD15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591"/>
    <w:rPr>
      <w:lang w:val="en-US" w:eastAsia="en-US"/>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nhideWhenUsed/>
    <w:qFormat/>
    <w:rsid w:val="00DD1591"/>
    <w:rPr>
      <w:vertAlign w:val="superscript"/>
    </w:rPr>
  </w:style>
  <w:style w:type="paragraph" w:customStyle="1" w:styleId="Appelnotedebasde">
    <w:name w:val="Appel note de bas de..."/>
    <w:basedOn w:val="Normal"/>
    <w:link w:val="FootnoteReference"/>
    <w:rsid w:val="00DD1591"/>
    <w:pPr>
      <w:spacing w:after="160" w:line="240" w:lineRule="exact"/>
    </w:pPr>
    <w:rPr>
      <w:sz w:val="20"/>
      <w:szCs w:val="20"/>
      <w:vertAlign w:val="superscript"/>
      <w:lang w:val="es-MX" w:eastAsia="es-MX"/>
    </w:rPr>
  </w:style>
  <w:style w:type="paragraph" w:styleId="ListParagraph">
    <w:name w:val="List Paragraph"/>
    <w:basedOn w:val="Normal"/>
    <w:uiPriority w:val="34"/>
    <w:qFormat/>
    <w:rsid w:val="00DD1591"/>
    <w:pPr>
      <w:ind w:left="720"/>
      <w:contextualSpacing/>
    </w:pPr>
  </w:style>
  <w:style w:type="character" w:styleId="Hyperlink">
    <w:name w:val="Hyperlink"/>
    <w:basedOn w:val="DefaultParagraphFont"/>
    <w:uiPriority w:val="99"/>
    <w:unhideWhenUsed/>
    <w:rsid w:val="00920591"/>
    <w:rPr>
      <w:color w:val="467886" w:themeColor="hyperlink"/>
      <w:u w:val="single"/>
    </w:rPr>
  </w:style>
  <w:style w:type="character" w:styleId="UnresolvedMention">
    <w:name w:val="Unresolved Mention"/>
    <w:basedOn w:val="DefaultParagraphFont"/>
    <w:uiPriority w:val="99"/>
    <w:semiHidden/>
    <w:unhideWhenUsed/>
    <w:rsid w:val="00920591"/>
    <w:rPr>
      <w:color w:val="605E5C"/>
      <w:shd w:val="clear" w:color="auto" w:fill="E1DFDD"/>
    </w:rPr>
  </w:style>
  <w:style w:type="character" w:styleId="CommentReference">
    <w:name w:val="annotation reference"/>
    <w:basedOn w:val="DefaultParagraphFont"/>
    <w:uiPriority w:val="99"/>
    <w:semiHidden/>
    <w:unhideWhenUsed/>
    <w:rsid w:val="00FD3451"/>
    <w:rPr>
      <w:sz w:val="16"/>
      <w:szCs w:val="16"/>
    </w:rPr>
  </w:style>
  <w:style w:type="paragraph" w:styleId="CommentText">
    <w:name w:val="annotation text"/>
    <w:basedOn w:val="Normal"/>
    <w:link w:val="CommentTextChar"/>
    <w:uiPriority w:val="99"/>
    <w:semiHidden/>
    <w:unhideWhenUsed/>
    <w:rsid w:val="00FD3451"/>
    <w:pPr>
      <w:spacing w:line="240" w:lineRule="auto"/>
    </w:pPr>
    <w:rPr>
      <w:sz w:val="20"/>
      <w:szCs w:val="20"/>
    </w:rPr>
  </w:style>
  <w:style w:type="character" w:customStyle="1" w:styleId="CommentTextChar">
    <w:name w:val="Comment Text Char"/>
    <w:basedOn w:val="DefaultParagraphFont"/>
    <w:link w:val="CommentText"/>
    <w:uiPriority w:val="99"/>
    <w:semiHidden/>
    <w:rsid w:val="00FD3451"/>
    <w:rPr>
      <w:lang w:val="en-US" w:eastAsia="en-US"/>
    </w:rPr>
  </w:style>
  <w:style w:type="paragraph" w:styleId="CommentSubject">
    <w:name w:val="annotation subject"/>
    <w:basedOn w:val="CommentText"/>
    <w:next w:val="CommentText"/>
    <w:link w:val="CommentSubjectChar"/>
    <w:uiPriority w:val="99"/>
    <w:semiHidden/>
    <w:unhideWhenUsed/>
    <w:rsid w:val="00FD3451"/>
    <w:rPr>
      <w:b/>
      <w:bCs/>
    </w:rPr>
  </w:style>
  <w:style w:type="character" w:customStyle="1" w:styleId="CommentSubjectChar">
    <w:name w:val="Comment Subject Char"/>
    <w:basedOn w:val="CommentTextChar"/>
    <w:link w:val="CommentSubject"/>
    <w:uiPriority w:val="99"/>
    <w:semiHidden/>
    <w:rsid w:val="00FD345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s/cidh/decisiones/2021/ARAD1507-10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oas.org/en/iachr/decisions/2023/AR%20SA%2014.714%20EN-FINAL%20WEB.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as.org/en/iachr/decisions/2023/AR%20SA%2014.714%20EN-FINAL%20WEB.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n/iachr/decisions/2023/AR%20SA%2014.714%20EN-FINAL%20WEB.PDF" TargetMode="External"/><Relationship Id="rId2" Type="http://schemas.openxmlformats.org/officeDocument/2006/relationships/hyperlink" Target="https://www.oas.org/en/iachr/decisions/2023/AR%20SA%2014.714%20EN-FINAL%20WEB.PDF" TargetMode="External"/><Relationship Id="rId1" Type="http://schemas.openxmlformats.org/officeDocument/2006/relationships/hyperlink" Target="https://www.oas.org/en/iachr/docs/annual/2024/chapters/IA2024_2_EN.PDF" TargetMode="External"/><Relationship Id="rId4" Type="http://schemas.openxmlformats.org/officeDocument/2006/relationships/hyperlink" Target="https://www.oas.org/en/iachr/docs/annual/2024/chapters/IA2024_2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D7D320-35E6-4E82-8912-6CA4D5853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D9A7D-3F87-214A-B521-385E0A630F07}">
  <ds:schemaRefs>
    <ds:schemaRef ds:uri="http://schemas.openxmlformats.org/officeDocument/2006/bibliography"/>
  </ds:schemaRefs>
</ds:datastoreItem>
</file>

<file path=customXml/itemProps3.xml><?xml version="1.0" encoding="utf-8"?>
<ds:datastoreItem xmlns:ds="http://schemas.openxmlformats.org/officeDocument/2006/customXml" ds:itemID="{4C0A81B7-F509-4FB0-893C-0FFACF7B60A0}">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5.xml><?xml version="1.0" encoding="utf-8"?>
<ds:datastoreItem xmlns:ds="http://schemas.openxmlformats.org/officeDocument/2006/customXml" ds:itemID="{490A2D28-5FAE-4C93-A166-435BBB1CA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Cartas-es.dotx</Template>
  <TotalTime>6</TotalTime>
  <Pages>3</Pages>
  <Words>794</Words>
  <Characters>4528</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Seminario, Javier</cp:lastModifiedBy>
  <cp:revision>4</cp:revision>
  <cp:lastPrinted>2025-08-26T18:25:00Z</cp:lastPrinted>
  <dcterms:created xsi:type="dcterms:W3CDTF">2025-07-25T17:49:00Z</dcterms:created>
  <dcterms:modified xsi:type="dcterms:W3CDTF">2025-08-26T18:25:00Z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Montero, Erika</vt:lpwstr>
  </property>
  <property fmtid="{D5CDD505-2E9C-101B-9397-08002B2CF9AE}" pid="3" name="Order">
    <vt:lpwstr>73400.0000000000</vt:lpwstr>
  </property>
  <property fmtid="{D5CDD505-2E9C-101B-9397-08002B2CF9AE}" pid="4" name="display_urn:schemas-microsoft-com:office:office#Author">
    <vt:lpwstr>Montero, Erika</vt:lpwstr>
  </property>
  <property fmtid="{D5CDD505-2E9C-101B-9397-08002B2CF9AE}" pid="5" name="ContentTypeId">
    <vt:lpwstr>0x010100D589DCDDB8A16B44BDC2A7128ECAC845</vt:lpwstr>
  </property>
</Properties>
</file>