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27BB" w14:textId="77777777" w:rsidR="00DD1591" w:rsidRPr="00641D03" w:rsidRDefault="00DD1591" w:rsidP="00641D03">
      <w:pPr>
        <w:suppressAutoHyphens/>
        <w:spacing w:after="0" w:line="240" w:lineRule="auto"/>
        <w:ind w:right="4"/>
        <w:rPr>
          <w:rFonts w:ascii="Cambria" w:eastAsia="Batang" w:hAnsi="Cambria"/>
          <w:b/>
          <w:bCs/>
          <w:color w:val="000000"/>
          <w:sz w:val="24"/>
        </w:rPr>
      </w:pPr>
    </w:p>
    <w:p w14:paraId="63C6CC88" w14:textId="6343F2F5" w:rsidR="00457711" w:rsidRPr="00641D03" w:rsidRDefault="00457711" w:rsidP="00641D03">
      <w:pPr>
        <w:suppressAutoHyphens/>
        <w:spacing w:after="0" w:line="240" w:lineRule="auto"/>
        <w:ind w:right="4"/>
        <w:jc w:val="center"/>
        <w:rPr>
          <w:rFonts w:ascii="Cambria" w:eastAsia="Batang" w:hAnsi="Cambria"/>
          <w:b/>
          <w:bCs/>
          <w:color w:val="000000"/>
          <w:sz w:val="24"/>
        </w:rPr>
      </w:pPr>
      <w:r w:rsidRPr="00641D03">
        <w:rPr>
          <w:rFonts w:ascii="Cambria" w:eastAsia="Batang" w:hAnsi="Cambria"/>
          <w:b/>
          <w:bCs/>
          <w:color w:val="000000"/>
          <w:sz w:val="24"/>
        </w:rPr>
        <w:t>TECHNICAL INFORMATION SHEET</w:t>
      </w:r>
    </w:p>
    <w:p w14:paraId="33E3C009" w14:textId="3D8F20BE" w:rsidR="00457711" w:rsidRPr="00641D03" w:rsidRDefault="00457711" w:rsidP="00641D03">
      <w:pPr>
        <w:suppressAutoHyphens/>
        <w:spacing w:after="0" w:line="240" w:lineRule="auto"/>
        <w:ind w:right="4"/>
        <w:jc w:val="center"/>
        <w:rPr>
          <w:rFonts w:ascii="Cambria" w:hAnsi="Cambria"/>
          <w:b/>
          <w:color w:val="000000"/>
          <w:sz w:val="24"/>
        </w:rPr>
      </w:pPr>
      <w:r w:rsidRPr="00641D03">
        <w:rPr>
          <w:rFonts w:ascii="Cambria" w:hAnsi="Cambria"/>
          <w:b/>
          <w:color w:val="000000"/>
          <w:sz w:val="24"/>
        </w:rPr>
        <w:t xml:space="preserve">CASE </w:t>
      </w:r>
      <w:r w:rsidR="00641D03" w:rsidRPr="00641D03">
        <w:rPr>
          <w:rFonts w:ascii="Cambria" w:hAnsi="Cambria"/>
          <w:b/>
          <w:color w:val="000000"/>
          <w:sz w:val="24"/>
        </w:rPr>
        <w:t>13.642 EDGAR JOSÉ SÁNCHEZ DUARTE AND FAMILY</w:t>
      </w:r>
    </w:p>
    <w:p w14:paraId="486FDFC3" w14:textId="30344FA9" w:rsidR="00DD1591" w:rsidRPr="00641D03" w:rsidRDefault="00DD1591" w:rsidP="00641D03">
      <w:pPr>
        <w:suppressAutoHyphens/>
        <w:spacing w:after="0" w:line="240" w:lineRule="auto"/>
        <w:ind w:right="4"/>
        <w:jc w:val="center"/>
        <w:rPr>
          <w:rFonts w:ascii="Cambria" w:eastAsia="Batang" w:hAnsi="Cambria"/>
          <w:b/>
          <w:bCs/>
          <w:color w:val="000000"/>
          <w:sz w:val="24"/>
        </w:rPr>
      </w:pPr>
      <w:r w:rsidRPr="00641D03">
        <w:rPr>
          <w:rFonts w:ascii="Cambria" w:eastAsia="Batang" w:hAnsi="Cambria"/>
          <w:b/>
          <w:bCs/>
          <w:color w:val="000000"/>
          <w:sz w:val="24"/>
        </w:rPr>
        <w:t xml:space="preserve">FRIENDLY SETTLEMENT </w:t>
      </w:r>
      <w:r w:rsidR="002F2DC7" w:rsidRPr="00641D03">
        <w:rPr>
          <w:rFonts w:ascii="Cambria" w:eastAsia="Batang" w:hAnsi="Cambria"/>
          <w:b/>
          <w:bCs/>
          <w:color w:val="000000"/>
          <w:sz w:val="24"/>
        </w:rPr>
        <w:t>REPORT</w:t>
      </w:r>
      <w:r w:rsidR="00641D03" w:rsidRPr="00641D03">
        <w:rPr>
          <w:rFonts w:ascii="Cambria" w:eastAsia="Batang" w:hAnsi="Cambria"/>
          <w:b/>
          <w:bCs/>
          <w:color w:val="000000"/>
          <w:sz w:val="24"/>
        </w:rPr>
        <w:t xml:space="preserve"> </w:t>
      </w:r>
      <w:hyperlink r:id="rId12" w:history="1">
        <w:r w:rsidR="00641D03" w:rsidRPr="0098564E">
          <w:rPr>
            <w:rStyle w:val="Hyperlink"/>
            <w:rFonts w:ascii="Cambria" w:eastAsia="Batang" w:hAnsi="Cambria"/>
            <w:b/>
            <w:bCs/>
            <w:sz w:val="24"/>
          </w:rPr>
          <w:t>No. 41/21</w:t>
        </w:r>
      </w:hyperlink>
    </w:p>
    <w:p w14:paraId="2B66417A" w14:textId="5D0EDE53" w:rsidR="00457711" w:rsidRPr="002B3B95" w:rsidRDefault="002F2DC7" w:rsidP="00641D03">
      <w:pPr>
        <w:suppressAutoHyphens/>
        <w:spacing w:after="0" w:line="240" w:lineRule="auto"/>
        <w:ind w:right="4"/>
        <w:jc w:val="center"/>
        <w:rPr>
          <w:rFonts w:ascii="Cambria" w:eastAsia="Batang" w:hAnsi="Cambria"/>
          <w:b/>
          <w:color w:val="000000"/>
          <w:sz w:val="24"/>
        </w:rPr>
      </w:pPr>
      <w:r w:rsidRPr="00641D03">
        <w:rPr>
          <w:rFonts w:ascii="Cambria" w:eastAsia="Batang" w:hAnsi="Cambria"/>
          <w:b/>
          <w:bCs/>
          <w:color w:val="000000"/>
          <w:sz w:val="24"/>
        </w:rPr>
        <w:t>TOTAL COMPLIANCE</w:t>
      </w:r>
    </w:p>
    <w:p w14:paraId="0CDE4D15" w14:textId="065BB91C" w:rsidR="00DD1591" w:rsidRPr="00641D03" w:rsidRDefault="00DD1591" w:rsidP="00641D03">
      <w:pPr>
        <w:suppressAutoHyphens/>
        <w:spacing w:after="0" w:line="240" w:lineRule="auto"/>
        <w:ind w:right="4"/>
        <w:jc w:val="center"/>
        <w:rPr>
          <w:rFonts w:ascii="Cambria" w:eastAsia="Batang" w:hAnsi="Cambria"/>
          <w:b/>
          <w:color w:val="000000"/>
          <w:sz w:val="24"/>
        </w:rPr>
      </w:pPr>
      <w:r w:rsidRPr="00641D03">
        <w:rPr>
          <w:rFonts w:ascii="Cambria" w:eastAsia="Batang" w:hAnsi="Cambria"/>
          <w:b/>
          <w:bCs/>
          <w:color w:val="000000"/>
          <w:sz w:val="24"/>
        </w:rPr>
        <w:t>(</w:t>
      </w:r>
      <w:r w:rsidR="00F035F2" w:rsidRPr="00641D03">
        <w:rPr>
          <w:rFonts w:ascii="Cambria" w:eastAsia="Batang" w:hAnsi="Cambria"/>
          <w:b/>
          <w:bCs/>
          <w:color w:val="000000"/>
          <w:sz w:val="24"/>
        </w:rPr>
        <w:t>COLOMBIA</w:t>
      </w:r>
      <w:r w:rsidRPr="00641D03">
        <w:rPr>
          <w:rFonts w:ascii="Cambria" w:eastAsia="Batang" w:hAnsi="Cambria"/>
          <w:b/>
          <w:bCs/>
          <w:color w:val="000000"/>
          <w:sz w:val="24"/>
        </w:rPr>
        <w:t>)</w:t>
      </w:r>
    </w:p>
    <w:p w14:paraId="1221572D" w14:textId="77777777" w:rsidR="00641D03" w:rsidRPr="00641D03" w:rsidRDefault="00641D03" w:rsidP="00641D03">
      <w:pPr>
        <w:suppressAutoHyphens/>
        <w:spacing w:after="0" w:line="240" w:lineRule="auto"/>
        <w:ind w:right="-270"/>
        <w:jc w:val="center"/>
        <w:rPr>
          <w:rFonts w:ascii="Cambria" w:eastAsia="Batang" w:hAnsi="Cambria"/>
          <w:b/>
          <w:color w:val="000000"/>
          <w:sz w:val="20"/>
          <w:szCs w:val="20"/>
        </w:rPr>
      </w:pPr>
    </w:p>
    <w:p w14:paraId="241A1BBC" w14:textId="77777777" w:rsidR="00641D03" w:rsidRPr="00641D03" w:rsidRDefault="00641D03" w:rsidP="00641D03">
      <w:pPr>
        <w:numPr>
          <w:ilvl w:val="0"/>
          <w:numId w:val="41"/>
        </w:numPr>
        <w:suppressAutoHyphens/>
        <w:spacing w:after="0" w:line="240" w:lineRule="auto"/>
        <w:ind w:left="0" w:firstLine="709"/>
        <w:rPr>
          <w:rFonts w:ascii="Cambria" w:eastAsia="Batang" w:hAnsi="Cambria" w:cs="Calibri Light"/>
          <w:b/>
          <w:color w:val="000000"/>
          <w:sz w:val="20"/>
          <w:szCs w:val="20"/>
        </w:rPr>
      </w:pPr>
      <w:r w:rsidRPr="00641D03">
        <w:rPr>
          <w:rFonts w:ascii="Cambria" w:hAnsi="Cambria"/>
          <w:b/>
          <w:color w:val="000000"/>
          <w:sz w:val="20"/>
          <w:szCs w:val="20"/>
        </w:rPr>
        <w:t>SUMMARY OF THE CASE</w:t>
      </w:r>
    </w:p>
    <w:p w14:paraId="18A6D297" w14:textId="77777777" w:rsidR="00641D03" w:rsidRPr="00641D03" w:rsidRDefault="00641D03" w:rsidP="00641D03">
      <w:pPr>
        <w:suppressAutoHyphens/>
        <w:spacing w:after="0" w:line="240" w:lineRule="auto"/>
        <w:rPr>
          <w:rFonts w:ascii="Cambria" w:eastAsia="Batang" w:hAnsi="Cambria" w:cs="Calibri Light"/>
          <w:b/>
          <w:color w:val="000000"/>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1"/>
      </w:tblGrid>
      <w:tr w:rsidR="00641D03" w:rsidRPr="00641D03" w14:paraId="29A11159" w14:textId="77777777" w:rsidTr="009A74AF">
        <w:trPr>
          <w:trHeight w:val="5669"/>
          <w:jc w:val="center"/>
        </w:trPr>
        <w:tc>
          <w:tcPr>
            <w:tcW w:w="9351" w:type="dxa"/>
            <w:shd w:val="clear" w:color="auto" w:fill="F2F2F2"/>
          </w:tcPr>
          <w:p w14:paraId="52E9B5C8" w14:textId="444F66E9" w:rsidR="00641D03" w:rsidRPr="00641D03" w:rsidRDefault="00641D03" w:rsidP="00641D03">
            <w:pPr>
              <w:tabs>
                <w:tab w:val="left" w:pos="9270"/>
              </w:tabs>
              <w:suppressAutoHyphens/>
              <w:spacing w:after="0" w:line="240" w:lineRule="auto"/>
              <w:jc w:val="both"/>
              <w:rPr>
                <w:rFonts w:ascii="Cambria" w:eastAsia="Batang" w:hAnsi="Cambria"/>
                <w:color w:val="000000"/>
                <w:sz w:val="20"/>
                <w:szCs w:val="20"/>
              </w:rPr>
            </w:pPr>
            <w:r w:rsidRPr="00641D03">
              <w:rPr>
                <w:rFonts w:ascii="Cambria" w:hAnsi="Cambria"/>
                <w:b/>
                <w:color w:val="000000"/>
                <w:sz w:val="20"/>
                <w:szCs w:val="20"/>
              </w:rPr>
              <w:t>Victim(s):</w:t>
            </w:r>
            <w:r w:rsidRPr="00641D03">
              <w:rPr>
                <w:rFonts w:ascii="Cambria" w:hAnsi="Cambria"/>
                <w:color w:val="000000"/>
                <w:sz w:val="20"/>
                <w:szCs w:val="20"/>
              </w:rPr>
              <w:t xml:space="preserve"> Edgar</w:t>
            </w:r>
            <w:r w:rsidR="005A2869">
              <w:rPr>
                <w:rFonts w:ascii="Cambria" w:hAnsi="Cambria"/>
                <w:color w:val="000000"/>
                <w:sz w:val="20"/>
                <w:szCs w:val="20"/>
              </w:rPr>
              <w:t xml:space="preserve"> José</w:t>
            </w:r>
            <w:r w:rsidRPr="00641D03">
              <w:rPr>
                <w:rFonts w:ascii="Cambria" w:hAnsi="Cambria"/>
                <w:color w:val="000000"/>
                <w:sz w:val="20"/>
                <w:szCs w:val="20"/>
              </w:rPr>
              <w:t xml:space="preserve"> S</w:t>
            </w:r>
            <w:r w:rsidR="00BD5E6F">
              <w:rPr>
                <w:rFonts w:ascii="Cambria" w:hAnsi="Cambria"/>
                <w:color w:val="000000"/>
                <w:sz w:val="20"/>
                <w:szCs w:val="20"/>
              </w:rPr>
              <w:t>á</w:t>
            </w:r>
            <w:r w:rsidRPr="00641D03">
              <w:rPr>
                <w:rFonts w:ascii="Cambria" w:hAnsi="Cambria"/>
                <w:color w:val="000000"/>
                <w:sz w:val="20"/>
                <w:szCs w:val="20"/>
              </w:rPr>
              <w:t>nchez Duarte</w:t>
            </w:r>
            <w:r w:rsidR="00BD5E6F">
              <w:rPr>
                <w:rFonts w:ascii="Cambria" w:hAnsi="Cambria"/>
                <w:color w:val="000000"/>
                <w:sz w:val="20"/>
                <w:szCs w:val="20"/>
              </w:rPr>
              <w:t xml:space="preserve"> and family</w:t>
            </w:r>
          </w:p>
          <w:p w14:paraId="6AEFAC12" w14:textId="3D1FCD6A" w:rsidR="00641D03" w:rsidRPr="002B3B95" w:rsidRDefault="00641D03" w:rsidP="00641D03">
            <w:pPr>
              <w:tabs>
                <w:tab w:val="left" w:pos="9270"/>
              </w:tabs>
              <w:suppressAutoHyphens/>
              <w:spacing w:after="0" w:line="240" w:lineRule="auto"/>
              <w:jc w:val="both"/>
              <w:rPr>
                <w:rFonts w:ascii="Cambria" w:eastAsia="Batang" w:hAnsi="Cambria"/>
                <w:bCs/>
                <w:color w:val="000000"/>
                <w:sz w:val="20"/>
                <w:szCs w:val="20"/>
              </w:rPr>
            </w:pPr>
            <w:r w:rsidRPr="002B3B95">
              <w:rPr>
                <w:rFonts w:ascii="Cambria" w:hAnsi="Cambria"/>
                <w:b/>
                <w:color w:val="000000"/>
                <w:sz w:val="20"/>
                <w:szCs w:val="20"/>
              </w:rPr>
              <w:t xml:space="preserve">Petitioner(s): </w:t>
            </w:r>
            <w:r w:rsidRPr="002B3B95">
              <w:rPr>
                <w:rFonts w:ascii="Cambria" w:hAnsi="Cambria"/>
                <w:color w:val="000000"/>
                <w:sz w:val="20"/>
                <w:szCs w:val="20"/>
              </w:rPr>
              <w:t xml:space="preserve">Graciela Sánchez Duarte </w:t>
            </w:r>
            <w:r w:rsidR="00BD5E6F" w:rsidRPr="002B3B95">
              <w:rPr>
                <w:rFonts w:ascii="Cambria" w:hAnsi="Cambria"/>
                <w:color w:val="000000"/>
                <w:sz w:val="20"/>
                <w:szCs w:val="20"/>
              </w:rPr>
              <w:t>and Legal Option Collective Corporation of Lawyers</w:t>
            </w:r>
          </w:p>
          <w:p w14:paraId="07A91665" w14:textId="77777777" w:rsidR="00641D03" w:rsidRPr="00641D03" w:rsidRDefault="00641D03" w:rsidP="00641D03">
            <w:pPr>
              <w:tabs>
                <w:tab w:val="left" w:pos="9270"/>
              </w:tabs>
              <w:suppressAutoHyphens/>
              <w:spacing w:after="0" w:line="240" w:lineRule="auto"/>
              <w:jc w:val="both"/>
              <w:rPr>
                <w:rFonts w:ascii="Cambria" w:eastAsia="Batang" w:hAnsi="Cambria"/>
                <w:color w:val="000000"/>
                <w:sz w:val="20"/>
                <w:szCs w:val="20"/>
              </w:rPr>
            </w:pPr>
            <w:r w:rsidRPr="00641D03">
              <w:rPr>
                <w:rFonts w:ascii="Cambria" w:hAnsi="Cambria"/>
                <w:b/>
                <w:color w:val="000000"/>
                <w:sz w:val="20"/>
                <w:szCs w:val="20"/>
              </w:rPr>
              <w:t>State</w:t>
            </w:r>
            <w:r w:rsidRPr="00641D03">
              <w:rPr>
                <w:rFonts w:ascii="Cambria" w:hAnsi="Cambria"/>
                <w:color w:val="000000"/>
                <w:sz w:val="20"/>
                <w:szCs w:val="20"/>
              </w:rPr>
              <w:t xml:space="preserve"> Colombia</w:t>
            </w:r>
          </w:p>
          <w:p w14:paraId="7CCCCAB9" w14:textId="15D6A6B0" w:rsidR="00641D03" w:rsidRPr="00641D03" w:rsidRDefault="00641D03" w:rsidP="00641D03">
            <w:pPr>
              <w:tabs>
                <w:tab w:val="left" w:pos="9270"/>
              </w:tabs>
              <w:suppressAutoHyphens/>
              <w:spacing w:after="0" w:line="240" w:lineRule="auto"/>
              <w:jc w:val="both"/>
              <w:rPr>
                <w:rFonts w:ascii="Cambria" w:hAnsi="Cambria"/>
                <w:color w:val="000000"/>
                <w:sz w:val="20"/>
                <w:szCs w:val="20"/>
              </w:rPr>
            </w:pPr>
            <w:r w:rsidRPr="00641D03">
              <w:rPr>
                <w:rFonts w:ascii="Cambria" w:hAnsi="Cambria"/>
                <w:b/>
                <w:color w:val="000000"/>
                <w:sz w:val="20"/>
                <w:szCs w:val="20"/>
              </w:rPr>
              <w:t xml:space="preserve">Beginning of the negotiations date: </w:t>
            </w:r>
            <w:r w:rsidR="002B3B95">
              <w:rPr>
                <w:rFonts w:ascii="Cambria" w:hAnsi="Cambria"/>
                <w:color w:val="000000"/>
                <w:sz w:val="20"/>
                <w:szCs w:val="20"/>
              </w:rPr>
              <w:t>June 26, 2019</w:t>
            </w:r>
          </w:p>
          <w:p w14:paraId="578A1796" w14:textId="3C2D2F38" w:rsidR="00641D03" w:rsidRPr="00641D03" w:rsidRDefault="00641D03" w:rsidP="00641D03">
            <w:pPr>
              <w:tabs>
                <w:tab w:val="left" w:pos="9270"/>
              </w:tabs>
              <w:suppressAutoHyphens/>
              <w:spacing w:after="0" w:line="240" w:lineRule="auto"/>
              <w:jc w:val="both"/>
              <w:rPr>
                <w:rFonts w:ascii="Cambria" w:hAnsi="Cambria"/>
                <w:b/>
                <w:bCs/>
                <w:color w:val="000000"/>
                <w:sz w:val="20"/>
                <w:szCs w:val="20"/>
              </w:rPr>
            </w:pPr>
            <w:r w:rsidRPr="00641D03">
              <w:rPr>
                <w:rFonts w:ascii="Cambria" w:hAnsi="Cambria"/>
                <w:b/>
                <w:color w:val="000000"/>
                <w:sz w:val="20"/>
                <w:szCs w:val="20"/>
              </w:rPr>
              <w:t>Admissibility Report No:</w:t>
            </w:r>
            <w:r w:rsidRPr="00641D03">
              <w:rPr>
                <w:rFonts w:ascii="Cambria" w:hAnsi="Cambria"/>
                <w:color w:val="000000"/>
                <w:sz w:val="20"/>
                <w:szCs w:val="20"/>
              </w:rPr>
              <w:t xml:space="preserve"> </w:t>
            </w:r>
            <w:hyperlink r:id="rId13" w:history="1">
              <w:r w:rsidRPr="00641D03">
                <w:rPr>
                  <w:rFonts w:ascii="Cambria" w:hAnsi="Cambria"/>
                  <w:b/>
                  <w:color w:val="0563C1"/>
                  <w:sz w:val="20"/>
                  <w:szCs w:val="20"/>
                  <w:u w:val="single"/>
                </w:rPr>
                <w:t>81/18</w:t>
              </w:r>
            </w:hyperlink>
            <w:r w:rsidR="00BD5E6F">
              <w:rPr>
                <w:rFonts w:ascii="Cambria" w:hAnsi="Cambria"/>
                <w:sz w:val="20"/>
                <w:szCs w:val="20"/>
              </w:rPr>
              <w:t>,</w:t>
            </w:r>
            <w:r w:rsidRPr="00641D03">
              <w:rPr>
                <w:rFonts w:ascii="Cambria" w:hAnsi="Cambria"/>
                <w:color w:val="000000"/>
                <w:sz w:val="20"/>
                <w:szCs w:val="20"/>
              </w:rPr>
              <w:t xml:space="preserve"> published on July 7, 2018</w:t>
            </w:r>
          </w:p>
          <w:p w14:paraId="67B7C369" w14:textId="77777777" w:rsidR="00641D03" w:rsidRPr="00641D03" w:rsidRDefault="00641D03" w:rsidP="00641D03">
            <w:pPr>
              <w:tabs>
                <w:tab w:val="left" w:pos="9270"/>
              </w:tabs>
              <w:suppressAutoHyphens/>
              <w:spacing w:after="0" w:line="240" w:lineRule="auto"/>
              <w:jc w:val="both"/>
              <w:rPr>
                <w:rFonts w:ascii="Cambria" w:hAnsi="Cambria"/>
                <w:b/>
                <w:bCs/>
                <w:color w:val="000000"/>
                <w:sz w:val="20"/>
                <w:szCs w:val="20"/>
              </w:rPr>
            </w:pPr>
            <w:r w:rsidRPr="00641D03">
              <w:rPr>
                <w:rFonts w:ascii="Cambria" w:hAnsi="Cambria"/>
                <w:b/>
                <w:color w:val="000000"/>
                <w:sz w:val="20"/>
                <w:szCs w:val="20"/>
              </w:rPr>
              <w:t xml:space="preserve">FSA signature date: </w:t>
            </w:r>
            <w:r w:rsidRPr="00641D03">
              <w:rPr>
                <w:rFonts w:ascii="Cambria" w:hAnsi="Cambria"/>
                <w:color w:val="000000"/>
                <w:sz w:val="20"/>
                <w:szCs w:val="20"/>
              </w:rPr>
              <w:t>July 14, 2020</w:t>
            </w:r>
          </w:p>
          <w:p w14:paraId="0FD07EE5" w14:textId="3BD1BACD" w:rsidR="00641D03" w:rsidRPr="00641D03" w:rsidRDefault="00641D03" w:rsidP="00641D03">
            <w:pPr>
              <w:tabs>
                <w:tab w:val="left" w:pos="9270"/>
              </w:tabs>
              <w:suppressAutoHyphens/>
              <w:spacing w:after="0" w:line="240" w:lineRule="auto"/>
              <w:jc w:val="both"/>
              <w:rPr>
                <w:rFonts w:ascii="Cambria" w:eastAsia="Batang" w:hAnsi="Cambria"/>
                <w:color w:val="000000"/>
                <w:sz w:val="20"/>
                <w:szCs w:val="20"/>
              </w:rPr>
            </w:pPr>
            <w:r w:rsidRPr="00641D03">
              <w:rPr>
                <w:rFonts w:ascii="Cambria" w:hAnsi="Cambria"/>
                <w:b/>
                <w:color w:val="000000"/>
                <w:sz w:val="20"/>
                <w:szCs w:val="20"/>
              </w:rPr>
              <w:t xml:space="preserve">Friendly Settlement Agreement Report Nº: </w:t>
            </w:r>
            <w:hyperlink r:id="rId14" w:history="1">
              <w:r w:rsidRPr="00641D03">
                <w:rPr>
                  <w:rFonts w:ascii="Cambria" w:hAnsi="Cambria"/>
                  <w:b/>
                  <w:color w:val="0563C1"/>
                  <w:sz w:val="20"/>
                  <w:szCs w:val="20"/>
                  <w:u w:val="single"/>
                </w:rPr>
                <w:t>41/21</w:t>
              </w:r>
            </w:hyperlink>
            <w:r w:rsidR="00BD5E6F">
              <w:rPr>
                <w:rFonts w:ascii="Cambria" w:hAnsi="Cambria"/>
                <w:sz w:val="20"/>
                <w:szCs w:val="20"/>
              </w:rPr>
              <w:t>,</w:t>
            </w:r>
            <w:r w:rsidRPr="00641D03">
              <w:rPr>
                <w:rFonts w:ascii="Cambria" w:hAnsi="Cambria"/>
                <w:color w:val="000000"/>
                <w:sz w:val="20"/>
                <w:szCs w:val="20"/>
              </w:rPr>
              <w:t xml:space="preserve"> published on March 20, 2021</w:t>
            </w:r>
          </w:p>
          <w:p w14:paraId="4CA0D24F" w14:textId="77777777" w:rsidR="00641D03" w:rsidRPr="00641D03" w:rsidRDefault="00641D03" w:rsidP="00641D03">
            <w:pPr>
              <w:tabs>
                <w:tab w:val="left" w:pos="9270"/>
              </w:tabs>
              <w:suppressAutoHyphens/>
              <w:spacing w:after="0" w:line="240" w:lineRule="auto"/>
              <w:jc w:val="both"/>
              <w:rPr>
                <w:rFonts w:ascii="Cambria" w:hAnsi="Cambria"/>
                <w:color w:val="000000"/>
                <w:sz w:val="20"/>
                <w:szCs w:val="20"/>
              </w:rPr>
            </w:pPr>
            <w:r w:rsidRPr="00641D03">
              <w:rPr>
                <w:rFonts w:ascii="Cambria" w:hAnsi="Cambria"/>
                <w:b/>
                <w:color w:val="000000"/>
                <w:sz w:val="20"/>
                <w:szCs w:val="20"/>
              </w:rPr>
              <w:t xml:space="preserve">Estimated length of the negotiation phase: </w:t>
            </w:r>
            <w:r w:rsidRPr="00641D03">
              <w:rPr>
                <w:rFonts w:ascii="Cambria" w:hAnsi="Cambria"/>
                <w:color w:val="000000"/>
                <w:sz w:val="20"/>
                <w:szCs w:val="20"/>
              </w:rPr>
              <w:t>1 Year and 9 Months.</w:t>
            </w:r>
          </w:p>
          <w:p w14:paraId="50B1069A" w14:textId="72466C55" w:rsidR="00641D03" w:rsidRPr="00641D03" w:rsidRDefault="00641D03" w:rsidP="00641D03">
            <w:pPr>
              <w:tabs>
                <w:tab w:val="left" w:pos="9270"/>
              </w:tabs>
              <w:suppressAutoHyphens/>
              <w:spacing w:after="0" w:line="240" w:lineRule="auto"/>
              <w:jc w:val="both"/>
              <w:rPr>
                <w:rFonts w:ascii="Cambria" w:eastAsia="Batang" w:hAnsi="Cambria"/>
                <w:color w:val="000000"/>
                <w:sz w:val="20"/>
                <w:szCs w:val="20"/>
              </w:rPr>
            </w:pPr>
            <w:r w:rsidRPr="00641D03">
              <w:rPr>
                <w:rFonts w:ascii="Cambria" w:hAnsi="Cambria"/>
                <w:b/>
                <w:color w:val="000000"/>
                <w:sz w:val="20"/>
                <w:szCs w:val="20"/>
              </w:rPr>
              <w:t>Related Rapporteurship(s):</w:t>
            </w:r>
            <w:r w:rsidRPr="00641D03">
              <w:rPr>
                <w:rFonts w:ascii="Cambria" w:hAnsi="Cambria"/>
                <w:color w:val="000000"/>
                <w:sz w:val="20"/>
                <w:szCs w:val="20"/>
              </w:rPr>
              <w:t xml:space="preserve"> </w:t>
            </w:r>
            <w:r w:rsidR="00BD5E6F">
              <w:rPr>
                <w:rFonts w:ascii="Cambria" w:hAnsi="Cambria"/>
                <w:color w:val="000000"/>
                <w:sz w:val="20"/>
                <w:szCs w:val="20"/>
              </w:rPr>
              <w:t>N</w:t>
            </w:r>
            <w:r w:rsidRPr="00641D03">
              <w:rPr>
                <w:rFonts w:ascii="Cambria" w:hAnsi="Cambria"/>
                <w:color w:val="000000"/>
                <w:sz w:val="20"/>
                <w:szCs w:val="20"/>
              </w:rPr>
              <w:t>/</w:t>
            </w:r>
            <w:r w:rsidR="00BD5E6F">
              <w:rPr>
                <w:rFonts w:ascii="Cambria" w:hAnsi="Cambria"/>
                <w:color w:val="000000"/>
                <w:sz w:val="20"/>
                <w:szCs w:val="20"/>
              </w:rPr>
              <w:t>A</w:t>
            </w:r>
          </w:p>
          <w:p w14:paraId="32571CFC" w14:textId="77777777" w:rsidR="00641D03" w:rsidRPr="00641D03" w:rsidRDefault="00641D03" w:rsidP="00641D03">
            <w:pPr>
              <w:tabs>
                <w:tab w:val="left" w:pos="9270"/>
              </w:tabs>
              <w:suppressAutoHyphens/>
              <w:spacing w:after="0" w:line="240" w:lineRule="auto"/>
              <w:jc w:val="both"/>
              <w:rPr>
                <w:rFonts w:ascii="Cambria" w:eastAsia="Batang" w:hAnsi="Cambria"/>
                <w:bCs/>
                <w:color w:val="000000"/>
                <w:sz w:val="20"/>
                <w:szCs w:val="20"/>
              </w:rPr>
            </w:pPr>
            <w:r w:rsidRPr="00641D03">
              <w:rPr>
                <w:rFonts w:ascii="Cambria" w:hAnsi="Cambria"/>
                <w:b/>
                <w:color w:val="000000"/>
                <w:sz w:val="20"/>
                <w:szCs w:val="20"/>
              </w:rPr>
              <w:t xml:space="preserve">Topics: </w:t>
            </w:r>
            <w:r w:rsidRPr="00641D03">
              <w:rPr>
                <w:rFonts w:ascii="Cambria" w:hAnsi="Cambria"/>
                <w:color w:val="000000"/>
                <w:sz w:val="20"/>
                <w:szCs w:val="20"/>
              </w:rPr>
              <w:t>Right to life / Extrajudicial execution / Personal integrity / Family protection / Judicial protection</w:t>
            </w:r>
          </w:p>
          <w:p w14:paraId="52FFBD9F" w14:textId="77777777" w:rsidR="00641D03" w:rsidRPr="00641D03" w:rsidRDefault="00641D03" w:rsidP="00641D03">
            <w:pPr>
              <w:tabs>
                <w:tab w:val="left" w:pos="9270"/>
              </w:tabs>
              <w:suppressAutoHyphens/>
              <w:spacing w:after="0" w:line="240" w:lineRule="auto"/>
              <w:jc w:val="both"/>
              <w:rPr>
                <w:rFonts w:ascii="Cambria" w:eastAsia="Batang" w:hAnsi="Cambria"/>
                <w:color w:val="000000"/>
                <w:sz w:val="20"/>
                <w:szCs w:val="20"/>
              </w:rPr>
            </w:pPr>
          </w:p>
          <w:p w14:paraId="6705D1C5" w14:textId="3985F8BC" w:rsidR="00641D03" w:rsidRPr="00641D03" w:rsidRDefault="00641D03" w:rsidP="00641D03">
            <w:pPr>
              <w:suppressAutoHyphens/>
              <w:spacing w:after="0" w:line="240" w:lineRule="auto"/>
              <w:jc w:val="both"/>
              <w:rPr>
                <w:rFonts w:ascii="Cambria" w:hAnsi="Cambria"/>
                <w:color w:val="000000"/>
                <w:sz w:val="20"/>
                <w:szCs w:val="20"/>
              </w:rPr>
            </w:pPr>
            <w:r w:rsidRPr="00641D03">
              <w:rPr>
                <w:rFonts w:ascii="Cambria" w:hAnsi="Cambria"/>
                <w:b/>
                <w:color w:val="000000"/>
                <w:sz w:val="20"/>
                <w:szCs w:val="20"/>
              </w:rPr>
              <w:t>Facts:</w:t>
            </w:r>
            <w:r w:rsidRPr="00641D03">
              <w:rPr>
                <w:rFonts w:ascii="Cambria" w:hAnsi="Cambria"/>
                <w:color w:val="000000"/>
                <w:sz w:val="20"/>
                <w:szCs w:val="20"/>
              </w:rPr>
              <w:t xml:space="preserve"> </w:t>
            </w:r>
            <w:r w:rsidRPr="002B3B95">
              <w:rPr>
                <w:rFonts w:ascii="Cambria" w:hAnsi="Cambria"/>
                <w:color w:val="000000"/>
                <w:sz w:val="20"/>
                <w:szCs w:val="20"/>
              </w:rPr>
              <w:t>The petitioners alleged that</w:t>
            </w:r>
            <w:r w:rsidR="008D188F" w:rsidRPr="002B3B95">
              <w:rPr>
                <w:rFonts w:ascii="Cambria" w:hAnsi="Cambria"/>
                <w:color w:val="000000"/>
                <w:sz w:val="20"/>
                <w:szCs w:val="20"/>
              </w:rPr>
              <w:t xml:space="preserve">, on September 13, 1993, Edgar Sánchez Duarte was extra judicially executed after receiving three shots from a firearm by members of UNASE, a special group based in the Popa Battalion in Valledupar, Department of Cesar. According to the petitioners, the UNASE agents considered that the alleged victim was linked to the Revolutionary Armed Forces of Colombia (F.A.R.C.), which is why the operation was deployed, in which, after several days of surveillance and monitoring finally, Mr. Sánchez Duarte was killed when he was outside his home, in front of his wife and two children. The petitioners </w:t>
            </w:r>
            <w:r w:rsidR="002B3B95" w:rsidRPr="002B3B95">
              <w:rPr>
                <w:rFonts w:ascii="Cambria" w:hAnsi="Cambria"/>
                <w:color w:val="000000"/>
                <w:sz w:val="20"/>
                <w:szCs w:val="20"/>
              </w:rPr>
              <w:t xml:space="preserve">alleged that notwithstanding within the criminal investigation </w:t>
            </w:r>
            <w:r w:rsidRPr="002B3B95">
              <w:rPr>
                <w:rFonts w:ascii="Cambria" w:hAnsi="Cambria"/>
                <w:color w:val="000000"/>
                <w:sz w:val="20"/>
                <w:szCs w:val="20"/>
              </w:rPr>
              <w:t>a retired National Army soldier</w:t>
            </w:r>
            <w:r w:rsidR="002B3B95" w:rsidRPr="002B3B95">
              <w:rPr>
                <w:rFonts w:ascii="Cambria" w:hAnsi="Cambria"/>
                <w:color w:val="000000"/>
                <w:sz w:val="20"/>
                <w:szCs w:val="20"/>
              </w:rPr>
              <w:t xml:space="preserve"> was sentenced</w:t>
            </w:r>
            <w:r w:rsidRPr="002B3B95">
              <w:rPr>
                <w:rFonts w:ascii="Cambria" w:hAnsi="Cambria"/>
                <w:color w:val="000000"/>
                <w:sz w:val="20"/>
                <w:szCs w:val="20"/>
              </w:rPr>
              <w:t xml:space="preserve"> to 30 years in prison for the crime of homicide, the criminal prosecution would not have continued with costs respect to the other two officers allegedly involved in the events, including a Major Commander of UNASE, who would have been identified as an officer involved according to the confession obtained during the trial of the first convicted person. Likewise, the petitioners alleged that, as a consequence of the aforementioned confession and subsequent request</w:t>
            </w:r>
            <w:r w:rsidRPr="00641D03">
              <w:rPr>
                <w:rFonts w:ascii="Cambria" w:hAnsi="Cambria"/>
                <w:color w:val="000000"/>
                <w:sz w:val="20"/>
                <w:szCs w:val="20"/>
              </w:rPr>
              <w:t xml:space="preserve"> for the arrest of the Major, the relatives of the victims had been victims of intimidation by members of UNASE. Likewise, the petitioners alleged the violation of the right of access to justice and equal protection of the law, given the contradiction of the decisions made in the two processes followed by the victims' family members to obtain financial compensation. The foregoing, on the grounds that the judicial authorities had ruled in one of the contentious administrative proceedings granting a reparation to two family members, and in the framework of a second proceeding, the compensation was denied to the other members of the family group.</w:t>
            </w:r>
          </w:p>
          <w:p w14:paraId="654D52B3" w14:textId="77777777" w:rsidR="00641D03" w:rsidRPr="00641D03" w:rsidRDefault="00641D03" w:rsidP="00641D03">
            <w:pPr>
              <w:suppressAutoHyphens/>
              <w:spacing w:after="0" w:line="240" w:lineRule="auto"/>
              <w:jc w:val="both"/>
              <w:rPr>
                <w:rFonts w:ascii="Cambria" w:hAnsi="Cambria"/>
                <w:color w:val="000000"/>
                <w:sz w:val="20"/>
                <w:szCs w:val="20"/>
              </w:rPr>
            </w:pPr>
          </w:p>
          <w:p w14:paraId="626A7897" w14:textId="77777777" w:rsidR="00641D03" w:rsidRPr="00641D03" w:rsidRDefault="00641D03" w:rsidP="00641D03">
            <w:pPr>
              <w:suppressAutoHyphens/>
              <w:spacing w:after="0" w:line="240" w:lineRule="auto"/>
              <w:jc w:val="both"/>
              <w:rPr>
                <w:rFonts w:ascii="Cambria" w:hAnsi="Cambria"/>
                <w:color w:val="000000"/>
                <w:sz w:val="20"/>
                <w:szCs w:val="20"/>
              </w:rPr>
            </w:pPr>
            <w:r w:rsidRPr="00641D03">
              <w:rPr>
                <w:rFonts w:ascii="Cambria" w:hAnsi="Cambria"/>
                <w:b/>
                <w:color w:val="000000"/>
                <w:sz w:val="20"/>
                <w:szCs w:val="20"/>
              </w:rPr>
              <w:t xml:space="preserve">Rights declared admissible: </w:t>
            </w:r>
            <w:r w:rsidRPr="00641D03">
              <w:rPr>
                <w:rFonts w:ascii="Cambria" w:hAnsi="Cambria"/>
                <w:color w:val="000000"/>
                <w:sz w:val="20"/>
                <w:szCs w:val="20"/>
              </w:rPr>
              <w:t>The IACHR declared the petition admissible in respect of the alleged violation of Articles 4 (right to life), 5 (right to humane treatment/personal integrity), 8 (judicial guarantees), 17 (protection of the family), 24 (equality before the law), and 25 (right to judicial protection) of the American Convention in conjunction with Article 1.1 (obligation to respect rights) of the same instrument.</w:t>
            </w:r>
          </w:p>
        </w:tc>
      </w:tr>
    </w:tbl>
    <w:p w14:paraId="68D503D7" w14:textId="77777777" w:rsidR="008D188F" w:rsidRDefault="008D188F" w:rsidP="00641D03">
      <w:pPr>
        <w:suppressAutoHyphens/>
        <w:spacing w:after="0" w:line="240" w:lineRule="auto"/>
        <w:ind w:firstLine="709"/>
        <w:contextualSpacing/>
        <w:jc w:val="both"/>
        <w:rPr>
          <w:rFonts w:ascii="Cambria" w:eastAsia="Batang" w:hAnsi="Cambria" w:cs="Calibri Light"/>
          <w:b/>
          <w:color w:val="000000"/>
          <w:sz w:val="20"/>
          <w:szCs w:val="20"/>
        </w:rPr>
      </w:pPr>
    </w:p>
    <w:p w14:paraId="7F71FC33" w14:textId="77777777" w:rsidR="008D188F" w:rsidRPr="00641D03" w:rsidRDefault="008D188F" w:rsidP="00641D03">
      <w:pPr>
        <w:suppressAutoHyphens/>
        <w:spacing w:after="0" w:line="240" w:lineRule="auto"/>
        <w:ind w:firstLine="709"/>
        <w:contextualSpacing/>
        <w:jc w:val="both"/>
        <w:rPr>
          <w:rFonts w:ascii="Cambria" w:eastAsia="Batang" w:hAnsi="Cambria" w:cs="Calibri Light"/>
          <w:b/>
          <w:color w:val="000000"/>
          <w:sz w:val="20"/>
          <w:szCs w:val="20"/>
        </w:rPr>
      </w:pPr>
    </w:p>
    <w:p w14:paraId="1BF4329A" w14:textId="77777777" w:rsidR="00641D03" w:rsidRPr="00641D03" w:rsidRDefault="00641D03" w:rsidP="00641D03">
      <w:pPr>
        <w:numPr>
          <w:ilvl w:val="0"/>
          <w:numId w:val="41"/>
        </w:numPr>
        <w:suppressAutoHyphens/>
        <w:spacing w:after="0" w:line="240" w:lineRule="auto"/>
        <w:ind w:left="0" w:firstLine="709"/>
        <w:contextualSpacing/>
        <w:jc w:val="both"/>
        <w:rPr>
          <w:rFonts w:ascii="Cambria" w:eastAsia="Batang" w:hAnsi="Cambria" w:cs="Calibri Light"/>
          <w:b/>
          <w:color w:val="000000"/>
          <w:sz w:val="20"/>
          <w:szCs w:val="20"/>
        </w:rPr>
      </w:pPr>
      <w:r w:rsidRPr="00641D03">
        <w:rPr>
          <w:rFonts w:ascii="Cambria" w:hAnsi="Cambria"/>
          <w:b/>
          <w:color w:val="000000"/>
          <w:sz w:val="20"/>
          <w:szCs w:val="20"/>
        </w:rPr>
        <w:t>PROCEDURAL ACTIVITY</w:t>
      </w:r>
    </w:p>
    <w:p w14:paraId="0246056E" w14:textId="77777777" w:rsidR="00641D03" w:rsidRPr="00641D03" w:rsidRDefault="00641D03" w:rsidP="00641D03">
      <w:pPr>
        <w:suppressAutoHyphens/>
        <w:spacing w:after="0" w:line="240" w:lineRule="auto"/>
        <w:ind w:firstLine="709"/>
        <w:jc w:val="both"/>
        <w:rPr>
          <w:rFonts w:ascii="Cambria" w:eastAsia="Batang" w:hAnsi="Cambria"/>
          <w:color w:val="000000"/>
          <w:sz w:val="20"/>
          <w:szCs w:val="20"/>
        </w:rPr>
      </w:pPr>
    </w:p>
    <w:p w14:paraId="534B0B60" w14:textId="73A740E8" w:rsidR="00641D03" w:rsidRPr="00641D03" w:rsidRDefault="00BD5E6F" w:rsidP="00641D03">
      <w:pPr>
        <w:numPr>
          <w:ilvl w:val="0"/>
          <w:numId w:val="44"/>
        </w:numPr>
        <w:tabs>
          <w:tab w:val="left" w:pos="1440"/>
        </w:tabs>
        <w:suppressAutoHyphens/>
        <w:spacing w:after="0" w:line="240" w:lineRule="auto"/>
        <w:ind w:left="0" w:firstLine="709"/>
        <w:jc w:val="both"/>
        <w:rPr>
          <w:rFonts w:ascii="Cambria" w:eastAsia="Batang" w:hAnsi="Cambria" w:cs="Calibri Light"/>
          <w:color w:val="000000"/>
          <w:sz w:val="20"/>
          <w:szCs w:val="20"/>
        </w:rPr>
      </w:pPr>
      <w:r>
        <w:rPr>
          <w:rFonts w:ascii="Cambria" w:hAnsi="Cambria"/>
          <w:color w:val="000000"/>
          <w:sz w:val="20"/>
          <w:szCs w:val="20"/>
        </w:rPr>
        <w:t>On July 14, 2020, the parties signed a friendly settlement agreement</w:t>
      </w:r>
      <w:r w:rsidR="00641D03" w:rsidRPr="00641D03">
        <w:rPr>
          <w:rFonts w:ascii="Cambria" w:hAnsi="Cambria"/>
          <w:color w:val="000000"/>
          <w:sz w:val="20"/>
          <w:szCs w:val="20"/>
        </w:rPr>
        <w:t xml:space="preserve">. </w:t>
      </w:r>
    </w:p>
    <w:p w14:paraId="0100477C" w14:textId="77777777" w:rsidR="00641D03" w:rsidRPr="00641D03" w:rsidRDefault="00641D03" w:rsidP="00641D03">
      <w:pPr>
        <w:tabs>
          <w:tab w:val="left" w:pos="1440"/>
        </w:tabs>
        <w:suppressAutoHyphens/>
        <w:spacing w:after="0" w:line="240" w:lineRule="auto"/>
        <w:ind w:firstLine="709"/>
        <w:jc w:val="both"/>
        <w:rPr>
          <w:rFonts w:ascii="Cambria" w:eastAsia="Batang" w:hAnsi="Cambria" w:cs="Calibri Light"/>
          <w:color w:val="000000"/>
          <w:sz w:val="20"/>
          <w:szCs w:val="20"/>
        </w:rPr>
      </w:pPr>
    </w:p>
    <w:p w14:paraId="02C30FDB" w14:textId="0714352C" w:rsidR="00641D03" w:rsidRPr="00BD5E6F" w:rsidRDefault="00BD5E6F" w:rsidP="00641D03">
      <w:pPr>
        <w:numPr>
          <w:ilvl w:val="0"/>
          <w:numId w:val="44"/>
        </w:numPr>
        <w:tabs>
          <w:tab w:val="left" w:pos="1440"/>
        </w:tabs>
        <w:suppressAutoHyphens/>
        <w:spacing w:after="0" w:line="240" w:lineRule="auto"/>
        <w:ind w:left="0" w:firstLine="709"/>
        <w:jc w:val="both"/>
        <w:rPr>
          <w:rFonts w:ascii="Cambria" w:eastAsia="Batang" w:hAnsi="Cambria" w:cs="Calibri Light"/>
          <w:color w:val="000000"/>
          <w:sz w:val="20"/>
          <w:szCs w:val="20"/>
        </w:rPr>
      </w:pPr>
      <w:r>
        <w:rPr>
          <w:rFonts w:ascii="Cambria" w:hAnsi="Cambria"/>
          <w:color w:val="000000"/>
          <w:sz w:val="20"/>
          <w:szCs w:val="20"/>
        </w:rPr>
        <w:t xml:space="preserve">On March 20, 2021, the Commission approved the friendly settlement agreement </w:t>
      </w:r>
      <w:r w:rsidR="00F63275">
        <w:rPr>
          <w:rFonts w:ascii="Cambria" w:hAnsi="Cambria"/>
          <w:color w:val="000000"/>
          <w:sz w:val="20"/>
          <w:szCs w:val="20"/>
        </w:rPr>
        <w:t>through</w:t>
      </w:r>
      <w:r>
        <w:rPr>
          <w:rFonts w:ascii="Cambria" w:hAnsi="Cambria"/>
          <w:color w:val="000000"/>
          <w:sz w:val="20"/>
          <w:szCs w:val="20"/>
        </w:rPr>
        <w:t xml:space="preserve"> Report 41/21</w:t>
      </w:r>
      <w:r w:rsidR="00641D03" w:rsidRPr="00641D03">
        <w:rPr>
          <w:rFonts w:ascii="Cambria" w:hAnsi="Cambria"/>
          <w:color w:val="000000"/>
          <w:sz w:val="20"/>
          <w:szCs w:val="20"/>
        </w:rPr>
        <w:t>.</w:t>
      </w:r>
    </w:p>
    <w:p w14:paraId="500C8C56" w14:textId="77777777" w:rsidR="00BD5E6F" w:rsidRPr="00641D03" w:rsidRDefault="00BD5E6F" w:rsidP="00BD5E6F">
      <w:pPr>
        <w:tabs>
          <w:tab w:val="left" w:pos="1440"/>
        </w:tabs>
        <w:suppressAutoHyphens/>
        <w:spacing w:after="0" w:line="240" w:lineRule="auto"/>
        <w:jc w:val="both"/>
        <w:rPr>
          <w:rFonts w:ascii="Cambria" w:eastAsia="Batang" w:hAnsi="Cambria" w:cs="Calibri Light"/>
          <w:color w:val="000000"/>
          <w:sz w:val="20"/>
          <w:szCs w:val="20"/>
        </w:rPr>
      </w:pPr>
    </w:p>
    <w:p w14:paraId="199DBC56" w14:textId="77777777" w:rsidR="00641D03" w:rsidRPr="00641D03" w:rsidRDefault="00641D03" w:rsidP="00641D03">
      <w:pPr>
        <w:numPr>
          <w:ilvl w:val="0"/>
          <w:numId w:val="41"/>
        </w:numPr>
        <w:tabs>
          <w:tab w:val="left" w:pos="1440"/>
        </w:tabs>
        <w:suppressAutoHyphens/>
        <w:spacing w:after="0" w:line="240" w:lineRule="auto"/>
        <w:ind w:left="0" w:firstLine="709"/>
        <w:contextualSpacing/>
        <w:jc w:val="both"/>
        <w:rPr>
          <w:rFonts w:ascii="Cambria" w:hAnsi="Cambria" w:cs="Calibri Light"/>
          <w:b/>
          <w:color w:val="000000"/>
          <w:sz w:val="20"/>
          <w:szCs w:val="20"/>
        </w:rPr>
      </w:pPr>
      <w:r w:rsidRPr="00641D03">
        <w:rPr>
          <w:rFonts w:ascii="Cambria" w:hAnsi="Cambria"/>
          <w:b/>
          <w:color w:val="000000"/>
          <w:sz w:val="20"/>
          <w:szCs w:val="20"/>
        </w:rPr>
        <w:t xml:space="preserve">ANALYSIS OF COMPLIANCE WITH THE CLAUSES OF THE FRIENDLY SETTLEMENT AGREEMENT </w:t>
      </w:r>
    </w:p>
    <w:p w14:paraId="534EFDB1" w14:textId="77777777" w:rsidR="00641D03" w:rsidRPr="00641D03" w:rsidRDefault="00641D03" w:rsidP="00641D03">
      <w:pPr>
        <w:tabs>
          <w:tab w:val="left" w:pos="1440"/>
        </w:tabs>
        <w:suppressAutoHyphens/>
        <w:spacing w:after="0" w:line="240" w:lineRule="auto"/>
        <w:ind w:firstLine="709"/>
        <w:contextualSpacing/>
        <w:jc w:val="both"/>
        <w:rPr>
          <w:rFonts w:ascii="Cambria" w:hAnsi="Cambria" w:cs="Calibri Light"/>
          <w:b/>
          <w:color w:val="000000"/>
          <w:sz w:val="20"/>
          <w:szCs w:val="20"/>
        </w:rPr>
      </w:pPr>
    </w:p>
    <w:tbl>
      <w:tblPr>
        <w:tblW w:w="9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60"/>
        <w:gridCol w:w="4760"/>
        <w:gridCol w:w="81"/>
      </w:tblGrid>
      <w:tr w:rsidR="00BD5E6F" w:rsidRPr="00641D03" w14:paraId="26224BC2" w14:textId="77777777" w:rsidTr="00BD5E6F">
        <w:tc>
          <w:tcPr>
            <w:tcW w:w="459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674FF6" w14:textId="2B456521" w:rsidR="00BD5E6F" w:rsidRPr="00641D03" w:rsidRDefault="00BD5E6F" w:rsidP="00641D03">
            <w:pPr>
              <w:tabs>
                <w:tab w:val="center" w:pos="2049"/>
              </w:tabs>
              <w:suppressAutoHyphens/>
              <w:spacing w:after="0" w:line="240" w:lineRule="auto"/>
              <w:jc w:val="center"/>
              <w:rPr>
                <w:rFonts w:ascii="Cambria" w:eastAsia="Batang" w:hAnsi="Cambria"/>
                <w:b/>
                <w:color w:val="000000"/>
                <w:sz w:val="20"/>
                <w:szCs w:val="20"/>
              </w:rPr>
            </w:pPr>
            <w:bookmarkStart w:id="0" w:name="_Hlk85077086"/>
            <w:r w:rsidRPr="00641D03">
              <w:rPr>
                <w:rFonts w:ascii="Cambria" w:hAnsi="Cambria"/>
                <w:b/>
                <w:color w:val="000000"/>
                <w:sz w:val="20"/>
                <w:szCs w:val="20"/>
              </w:rPr>
              <w:t xml:space="preserve">Agreement </w:t>
            </w:r>
            <w:r>
              <w:rPr>
                <w:rFonts w:ascii="Cambria" w:hAnsi="Cambria"/>
                <w:b/>
                <w:color w:val="000000"/>
                <w:sz w:val="20"/>
                <w:szCs w:val="20"/>
              </w:rPr>
              <w:t>C</w:t>
            </w:r>
            <w:r w:rsidRPr="00641D03">
              <w:rPr>
                <w:rFonts w:ascii="Cambria" w:hAnsi="Cambria"/>
                <w:b/>
                <w:color w:val="000000"/>
                <w:sz w:val="20"/>
                <w:szCs w:val="20"/>
              </w:rPr>
              <w:t>lause</w:t>
            </w:r>
          </w:p>
        </w:tc>
        <w:tc>
          <w:tcPr>
            <w:tcW w:w="484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8D03231" w14:textId="19D7F587" w:rsidR="00BD5E6F" w:rsidRPr="00641D03" w:rsidRDefault="00422D2A" w:rsidP="00BD5E6F">
            <w:pPr>
              <w:suppressAutoHyphens/>
              <w:spacing w:after="0" w:line="240" w:lineRule="auto"/>
              <w:jc w:val="center"/>
              <w:rPr>
                <w:rFonts w:ascii="Cambria" w:eastAsia="Batang" w:hAnsi="Cambria"/>
                <w:b/>
                <w:color w:val="000000"/>
                <w:sz w:val="20"/>
                <w:szCs w:val="20"/>
              </w:rPr>
            </w:pPr>
            <w:r w:rsidRPr="00641D03">
              <w:rPr>
                <w:rFonts w:ascii="Cambria" w:hAnsi="Cambria"/>
                <w:b/>
                <w:color w:val="000000"/>
                <w:sz w:val="20"/>
                <w:szCs w:val="20"/>
              </w:rPr>
              <w:t xml:space="preserve">Status </w:t>
            </w:r>
            <w:r>
              <w:rPr>
                <w:rFonts w:ascii="Cambria" w:hAnsi="Cambria"/>
                <w:b/>
                <w:color w:val="000000"/>
                <w:sz w:val="20"/>
                <w:szCs w:val="20"/>
              </w:rPr>
              <w:t xml:space="preserve">of </w:t>
            </w:r>
            <w:r w:rsidR="00BD5E6F" w:rsidRPr="00641D03">
              <w:rPr>
                <w:rFonts w:ascii="Cambria" w:hAnsi="Cambria"/>
                <w:b/>
                <w:color w:val="000000"/>
                <w:sz w:val="20"/>
                <w:szCs w:val="20"/>
              </w:rPr>
              <w:t>Compliance</w:t>
            </w:r>
          </w:p>
        </w:tc>
      </w:tr>
      <w:tr w:rsidR="00BD5E6F" w:rsidRPr="00641D03" w14:paraId="2EA81A85" w14:textId="77777777" w:rsidTr="00BD5E6F">
        <w:tc>
          <w:tcPr>
            <w:tcW w:w="4596" w:type="dxa"/>
            <w:gridSpan w:val="2"/>
            <w:tcBorders>
              <w:top w:val="single" w:sz="4" w:space="0" w:color="auto"/>
              <w:left w:val="single" w:sz="4" w:space="0" w:color="auto"/>
              <w:bottom w:val="single" w:sz="4" w:space="0" w:color="auto"/>
              <w:right w:val="single" w:sz="4" w:space="0" w:color="auto"/>
            </w:tcBorders>
            <w:vAlign w:val="center"/>
          </w:tcPr>
          <w:p w14:paraId="0CC10FAC" w14:textId="77777777" w:rsidR="00641D03" w:rsidRPr="00641D03" w:rsidRDefault="00641D03" w:rsidP="00641D03">
            <w:pPr>
              <w:suppressAutoHyphens/>
              <w:spacing w:after="0" w:line="240" w:lineRule="auto"/>
              <w:jc w:val="both"/>
              <w:rPr>
                <w:rFonts w:ascii="Cambria" w:hAnsi="Cambria"/>
                <w:b/>
                <w:bCs/>
                <w:sz w:val="20"/>
                <w:szCs w:val="20"/>
              </w:rPr>
            </w:pPr>
            <w:r w:rsidRPr="00641D03">
              <w:rPr>
                <w:rFonts w:ascii="Cambria" w:hAnsi="Cambria"/>
                <w:b/>
                <w:sz w:val="20"/>
                <w:szCs w:val="20"/>
              </w:rPr>
              <w:t>FOURTH PART: ACKNOWLEDGMENT OF RESPONSIBILITY</w:t>
            </w:r>
          </w:p>
          <w:p w14:paraId="6582E3D1" w14:textId="77777777" w:rsidR="00641D03" w:rsidRPr="00641D03" w:rsidRDefault="00641D03" w:rsidP="00641D03">
            <w:pPr>
              <w:suppressAutoHyphens/>
              <w:spacing w:after="0" w:line="240" w:lineRule="auto"/>
              <w:jc w:val="both"/>
              <w:rPr>
                <w:rFonts w:ascii="Cambria" w:hAnsi="Cambria"/>
                <w:b/>
                <w:bCs/>
                <w:sz w:val="20"/>
                <w:szCs w:val="20"/>
              </w:rPr>
            </w:pPr>
          </w:p>
          <w:p w14:paraId="696ABAD1" w14:textId="77777777" w:rsidR="00641D03" w:rsidRPr="00641D03" w:rsidRDefault="00641D03" w:rsidP="00641D03">
            <w:pPr>
              <w:suppressAutoHyphens/>
              <w:spacing w:after="0" w:line="240" w:lineRule="auto"/>
              <w:jc w:val="both"/>
              <w:rPr>
                <w:rFonts w:ascii="Cambria" w:eastAsia="Batang" w:hAnsi="Cambria"/>
                <w:color w:val="000000"/>
                <w:sz w:val="20"/>
                <w:szCs w:val="20"/>
              </w:rPr>
            </w:pPr>
            <w:r w:rsidRPr="00641D03">
              <w:rPr>
                <w:rFonts w:ascii="Cambria" w:hAnsi="Cambria"/>
                <w:color w:val="000000"/>
                <w:sz w:val="20"/>
                <w:szCs w:val="20"/>
              </w:rPr>
              <w:t>The Colombian State recognizes its responsibility for the violation of the right to equal protection of the law (Article 24), in relation to the right to judicial protection (Article 25) stablish in the American Convention on Human Rights; both in relation to article 1.1 of the same instrument, due to the contradiction of the decisions issued by the contentious administrative jurisdiction.</w:t>
            </w:r>
          </w:p>
          <w:p w14:paraId="3E8DC15D" w14:textId="77777777" w:rsidR="00641D03" w:rsidRPr="00641D03" w:rsidRDefault="00641D03" w:rsidP="00641D03">
            <w:pPr>
              <w:suppressAutoHyphens/>
              <w:spacing w:after="0" w:line="240" w:lineRule="auto"/>
              <w:jc w:val="both"/>
              <w:rPr>
                <w:rFonts w:ascii="Cambria" w:eastAsia="Batang" w:hAnsi="Cambria"/>
                <w:color w:val="000000"/>
                <w:sz w:val="20"/>
                <w:szCs w:val="20"/>
              </w:rPr>
            </w:pPr>
            <w:r w:rsidRPr="00641D03">
              <w:rPr>
                <w:rFonts w:ascii="Cambria" w:hAnsi="Cambria"/>
                <w:color w:val="000000"/>
                <w:sz w:val="20"/>
                <w:szCs w:val="20"/>
              </w:rPr>
              <w:t>The foregoing, because the judicial authorities acted differently in the same case, granting reparation to two of Mr. Edgar José Sánchez's next of kin and denying it to the other family group.</w:t>
            </w:r>
          </w:p>
        </w:tc>
        <w:tc>
          <w:tcPr>
            <w:tcW w:w="4841" w:type="dxa"/>
            <w:gridSpan w:val="2"/>
            <w:tcBorders>
              <w:top w:val="single" w:sz="4" w:space="0" w:color="auto"/>
              <w:left w:val="single" w:sz="4" w:space="0" w:color="auto"/>
              <w:bottom w:val="single" w:sz="4" w:space="0" w:color="auto"/>
              <w:right w:val="single" w:sz="4" w:space="0" w:color="auto"/>
            </w:tcBorders>
            <w:vAlign w:val="center"/>
          </w:tcPr>
          <w:p w14:paraId="5F3FD3AA" w14:textId="5A28A435" w:rsidR="00641D03" w:rsidRPr="00641D03" w:rsidRDefault="00641D03" w:rsidP="00641D03">
            <w:pPr>
              <w:suppressAutoHyphens/>
              <w:spacing w:after="0" w:line="240" w:lineRule="auto"/>
              <w:jc w:val="center"/>
              <w:rPr>
                <w:rFonts w:ascii="Cambria" w:eastAsia="Batang" w:hAnsi="Cambria"/>
                <w:b/>
                <w:bCs/>
                <w:color w:val="000000"/>
                <w:sz w:val="20"/>
                <w:szCs w:val="20"/>
              </w:rPr>
            </w:pPr>
            <w:r w:rsidRPr="00641D03">
              <w:rPr>
                <w:rFonts w:ascii="Cambria" w:hAnsi="Cambria"/>
                <w:b/>
                <w:sz w:val="20"/>
                <w:szCs w:val="20"/>
              </w:rPr>
              <w:t xml:space="preserve">Declarative </w:t>
            </w:r>
            <w:r w:rsidR="00BD5E6F">
              <w:rPr>
                <w:rFonts w:ascii="Cambria" w:hAnsi="Cambria"/>
                <w:b/>
                <w:sz w:val="20"/>
                <w:szCs w:val="20"/>
              </w:rPr>
              <w:t>C</w:t>
            </w:r>
            <w:r w:rsidRPr="00641D03">
              <w:rPr>
                <w:rFonts w:ascii="Cambria" w:hAnsi="Cambria"/>
                <w:b/>
                <w:sz w:val="20"/>
                <w:szCs w:val="20"/>
              </w:rPr>
              <w:t>lause</w:t>
            </w:r>
          </w:p>
        </w:tc>
      </w:tr>
      <w:tr w:rsidR="00BD5E6F" w:rsidRPr="00641D03" w14:paraId="720E796C" w14:textId="77777777" w:rsidTr="00BD5E6F">
        <w:tc>
          <w:tcPr>
            <w:tcW w:w="9437" w:type="dxa"/>
            <w:gridSpan w:val="4"/>
            <w:tcBorders>
              <w:top w:val="single" w:sz="4" w:space="0" w:color="auto"/>
              <w:left w:val="single" w:sz="4" w:space="0" w:color="auto"/>
              <w:bottom w:val="single" w:sz="4" w:space="0" w:color="auto"/>
              <w:right w:val="single" w:sz="4" w:space="0" w:color="auto"/>
            </w:tcBorders>
            <w:vAlign w:val="center"/>
          </w:tcPr>
          <w:p w14:paraId="020E1A2A" w14:textId="77777777" w:rsidR="00641D03" w:rsidRPr="00641D03" w:rsidRDefault="00641D03" w:rsidP="00641D03">
            <w:pPr>
              <w:suppressAutoHyphens/>
              <w:spacing w:after="0" w:line="240" w:lineRule="auto"/>
              <w:jc w:val="both"/>
              <w:rPr>
                <w:rFonts w:ascii="Cambria" w:eastAsia="Batang" w:hAnsi="Cambria"/>
                <w:color w:val="000000"/>
                <w:sz w:val="20"/>
                <w:szCs w:val="20"/>
              </w:rPr>
            </w:pPr>
            <w:r w:rsidRPr="00641D03">
              <w:rPr>
                <w:rFonts w:ascii="Cambria" w:hAnsi="Cambria"/>
                <w:b/>
                <w:sz w:val="20"/>
                <w:szCs w:val="20"/>
              </w:rPr>
              <w:t>FIFTH PART: REPARATION MEASURES AGREED BETWEEN THE PARTIES</w:t>
            </w:r>
          </w:p>
        </w:tc>
      </w:tr>
      <w:tr w:rsidR="00BD5E6F" w:rsidRPr="00641D03" w14:paraId="4C91EEBA" w14:textId="77777777" w:rsidTr="00BD5E6F">
        <w:tc>
          <w:tcPr>
            <w:tcW w:w="9437" w:type="dxa"/>
            <w:gridSpan w:val="4"/>
            <w:tcBorders>
              <w:top w:val="single" w:sz="4" w:space="0" w:color="auto"/>
              <w:left w:val="single" w:sz="4" w:space="0" w:color="auto"/>
              <w:bottom w:val="single" w:sz="4" w:space="0" w:color="auto"/>
              <w:right w:val="single" w:sz="4" w:space="0" w:color="auto"/>
            </w:tcBorders>
            <w:vAlign w:val="center"/>
          </w:tcPr>
          <w:p w14:paraId="30551EF8" w14:textId="77777777" w:rsidR="00641D03" w:rsidRPr="00641D03" w:rsidRDefault="00641D03" w:rsidP="00641D03">
            <w:pPr>
              <w:numPr>
                <w:ilvl w:val="0"/>
                <w:numId w:val="43"/>
              </w:numPr>
              <w:suppressAutoHyphens/>
              <w:spacing w:after="0" w:line="240" w:lineRule="auto"/>
              <w:jc w:val="both"/>
              <w:rPr>
                <w:rFonts w:ascii="Cambria" w:hAnsi="Cambria"/>
                <w:b/>
                <w:bCs/>
                <w:sz w:val="20"/>
                <w:szCs w:val="20"/>
              </w:rPr>
            </w:pPr>
            <w:r w:rsidRPr="00641D03">
              <w:rPr>
                <w:rFonts w:ascii="Cambria" w:hAnsi="Cambria"/>
                <w:b/>
                <w:sz w:val="20"/>
                <w:szCs w:val="20"/>
              </w:rPr>
              <w:t>Satisfaction and Rehabilitation Measures</w:t>
            </w:r>
          </w:p>
        </w:tc>
      </w:tr>
      <w:tr w:rsidR="00BD5E6F" w:rsidRPr="00641D03" w14:paraId="2ADA923F" w14:textId="77777777" w:rsidTr="00BD5E6F">
        <w:trPr>
          <w:gridAfter w:val="1"/>
          <w:wAfter w:w="81" w:type="dxa"/>
        </w:trPr>
        <w:tc>
          <w:tcPr>
            <w:tcW w:w="4536" w:type="dxa"/>
            <w:tcBorders>
              <w:top w:val="single" w:sz="4" w:space="0" w:color="auto"/>
              <w:left w:val="single" w:sz="4" w:space="0" w:color="auto"/>
              <w:bottom w:val="single" w:sz="4" w:space="0" w:color="auto"/>
              <w:right w:val="single" w:sz="4" w:space="0" w:color="auto"/>
            </w:tcBorders>
            <w:vAlign w:val="center"/>
          </w:tcPr>
          <w:p w14:paraId="15803F39" w14:textId="77777777" w:rsidR="00641D03" w:rsidRPr="00641D03" w:rsidRDefault="00641D03" w:rsidP="00641D03">
            <w:pPr>
              <w:numPr>
                <w:ilvl w:val="1"/>
                <w:numId w:val="42"/>
              </w:numPr>
              <w:suppressAutoHyphens/>
              <w:spacing w:after="0" w:line="240" w:lineRule="auto"/>
              <w:ind w:left="44" w:hanging="44"/>
              <w:jc w:val="both"/>
              <w:rPr>
                <w:rFonts w:ascii="Cambria" w:eastAsia="Times New Roman" w:hAnsi="Cambria"/>
                <w:b/>
                <w:bCs/>
                <w:sz w:val="20"/>
                <w:szCs w:val="20"/>
              </w:rPr>
            </w:pPr>
            <w:r w:rsidRPr="00641D03">
              <w:rPr>
                <w:rFonts w:ascii="Cambria" w:hAnsi="Cambria"/>
                <w:b/>
                <w:sz w:val="20"/>
                <w:szCs w:val="20"/>
              </w:rPr>
              <w:t xml:space="preserve">Act of redress: </w:t>
            </w:r>
            <w:r w:rsidRPr="00641D03">
              <w:rPr>
                <w:rFonts w:ascii="Cambria" w:hAnsi="Cambria"/>
                <w:sz w:val="20"/>
                <w:szCs w:val="20"/>
              </w:rPr>
              <w:t>Colombia undertakes to carry out a public act of acknowledgment of responsibility and apology led by a high official of the State, with the participation of public authorities, the families of the victims and their representatives, which will be disseminated through the mass media. The act will be carried out in accordance with the acknowledgment of responsibility indicated in this Agreement.</w:t>
            </w: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14:paraId="74062587" w14:textId="77777777" w:rsidR="00641D03" w:rsidRPr="00641D03" w:rsidRDefault="00641D03" w:rsidP="00641D03">
            <w:pPr>
              <w:suppressAutoHyphens/>
              <w:spacing w:after="0" w:line="240" w:lineRule="auto"/>
              <w:jc w:val="center"/>
              <w:rPr>
                <w:rFonts w:ascii="Cambria" w:eastAsia="Batang" w:hAnsi="Cambria"/>
                <w:color w:val="000000"/>
                <w:sz w:val="20"/>
                <w:szCs w:val="20"/>
              </w:rPr>
            </w:pPr>
            <w:r w:rsidRPr="00641D03">
              <w:rPr>
                <w:rFonts w:ascii="Cambria" w:hAnsi="Cambria"/>
                <w:b/>
                <w:color w:val="000000"/>
                <w:sz w:val="20"/>
                <w:szCs w:val="20"/>
              </w:rPr>
              <w:t>Total</w:t>
            </w:r>
            <w:r w:rsidRPr="00641D03">
              <w:rPr>
                <w:rFonts w:ascii="Cambria" w:eastAsia="Batang" w:hAnsi="Cambria"/>
                <w:b/>
                <w:color w:val="000000"/>
                <w:sz w:val="20"/>
                <w:szCs w:val="20"/>
                <w:vertAlign w:val="superscript"/>
              </w:rPr>
              <w:footnoteReference w:id="2"/>
            </w:r>
          </w:p>
        </w:tc>
      </w:tr>
      <w:tr w:rsidR="00BD5E6F" w:rsidRPr="00641D03" w14:paraId="5B805D58" w14:textId="77777777" w:rsidTr="00BD5E6F">
        <w:trPr>
          <w:gridAfter w:val="1"/>
          <w:wAfter w:w="81" w:type="dxa"/>
          <w:trHeight w:val="350"/>
        </w:trPr>
        <w:tc>
          <w:tcPr>
            <w:tcW w:w="4536" w:type="dxa"/>
            <w:tcBorders>
              <w:top w:val="single" w:sz="4" w:space="0" w:color="auto"/>
              <w:left w:val="single" w:sz="4" w:space="0" w:color="auto"/>
              <w:bottom w:val="single" w:sz="4" w:space="0" w:color="auto"/>
              <w:right w:val="single" w:sz="4" w:space="0" w:color="auto"/>
            </w:tcBorders>
          </w:tcPr>
          <w:p w14:paraId="1E294B70" w14:textId="77777777" w:rsidR="00BD5E6F" w:rsidRPr="00641D03" w:rsidRDefault="00BD5E6F" w:rsidP="00641D03">
            <w:pPr>
              <w:numPr>
                <w:ilvl w:val="1"/>
                <w:numId w:val="42"/>
              </w:numPr>
              <w:suppressAutoHyphens/>
              <w:spacing w:after="0" w:line="240" w:lineRule="auto"/>
              <w:ind w:left="44" w:firstLine="44"/>
              <w:jc w:val="both"/>
              <w:rPr>
                <w:rFonts w:ascii="Cambria" w:eastAsia="Times New Roman" w:hAnsi="Cambria"/>
                <w:sz w:val="20"/>
                <w:szCs w:val="20"/>
              </w:rPr>
            </w:pPr>
            <w:r w:rsidRPr="00641D03">
              <w:rPr>
                <w:rFonts w:ascii="Cambria" w:hAnsi="Cambria"/>
                <w:b/>
                <w:sz w:val="20"/>
                <w:szCs w:val="20"/>
              </w:rPr>
              <w:t>Medical and psychosocial care:</w:t>
            </w:r>
            <w:r w:rsidRPr="00641D03">
              <w:rPr>
                <w:rFonts w:ascii="Cambria" w:hAnsi="Cambria"/>
                <w:sz w:val="20"/>
                <w:szCs w:val="20"/>
              </w:rPr>
              <w:t xml:space="preserve"> </w:t>
            </w:r>
          </w:p>
          <w:p w14:paraId="313FC548" w14:textId="77777777" w:rsidR="00BD5E6F" w:rsidRPr="00641D03" w:rsidRDefault="00BD5E6F" w:rsidP="00641D03">
            <w:pPr>
              <w:suppressAutoHyphens/>
              <w:spacing w:after="0" w:line="240" w:lineRule="auto"/>
              <w:ind w:left="44" w:firstLine="44"/>
              <w:jc w:val="both"/>
              <w:rPr>
                <w:rFonts w:ascii="Cambria" w:eastAsia="Times New Roman" w:hAnsi="Cambria"/>
                <w:sz w:val="20"/>
                <w:szCs w:val="20"/>
              </w:rPr>
            </w:pPr>
            <w:r w:rsidRPr="00641D03">
              <w:rPr>
                <w:rFonts w:ascii="Cambria" w:hAnsi="Cambria"/>
                <w:sz w:val="20"/>
                <w:szCs w:val="20"/>
              </w:rPr>
              <w:t xml:space="preserve">The Ministry of Health and Social Protection, in exercise of the powers described in Decree Law 4107 of 2011, will coordinate the health rehabilitation measures that constitute medical, psychological and psychosocial care through the General System of Social Security in Health and its members, which will guarantee adequate, opportune and prioritized treatment as long as necessary (according to medical criteria), in accordance with the legal provisions on the matter. </w:t>
            </w:r>
          </w:p>
          <w:p w14:paraId="76801A78" w14:textId="77777777" w:rsidR="00BD5E6F" w:rsidRPr="00641D03" w:rsidRDefault="00BD5E6F" w:rsidP="00641D03">
            <w:pPr>
              <w:suppressAutoHyphens/>
              <w:spacing w:after="0" w:line="240" w:lineRule="auto"/>
              <w:ind w:left="44" w:firstLine="44"/>
              <w:jc w:val="both"/>
              <w:rPr>
                <w:rFonts w:ascii="Cambria" w:eastAsia="Times New Roman" w:hAnsi="Cambria"/>
                <w:sz w:val="20"/>
                <w:szCs w:val="20"/>
              </w:rPr>
            </w:pPr>
            <w:r w:rsidRPr="00641D03">
              <w:rPr>
                <w:rFonts w:ascii="Cambria" w:hAnsi="Cambria"/>
                <w:sz w:val="20"/>
                <w:szCs w:val="20"/>
              </w:rPr>
              <w:t xml:space="preserve">Additionally, if necessary and under the criteria of voluntariness and prioritization, the Ministry of Health and Social Protection will guarantee the victims the implementation of the rehabilitation measure understood from the components of comprehensive health care and psychosocial care, within the framework of the Program Psychosocial </w:t>
            </w:r>
            <w:r w:rsidRPr="00641D03">
              <w:rPr>
                <w:rFonts w:ascii="Cambria" w:hAnsi="Cambria"/>
                <w:sz w:val="20"/>
                <w:szCs w:val="20"/>
              </w:rPr>
              <w:lastRenderedPageBreak/>
              <w:t xml:space="preserve">Care and Comprehensive Health for victims - PAPSIVI. </w:t>
            </w:r>
          </w:p>
          <w:p w14:paraId="2B845A17" w14:textId="77777777" w:rsidR="00BD5E6F" w:rsidRPr="00641D03" w:rsidRDefault="00BD5E6F" w:rsidP="00641D03">
            <w:pPr>
              <w:suppressAutoHyphens/>
              <w:spacing w:after="0" w:line="240" w:lineRule="auto"/>
              <w:ind w:left="44" w:firstLine="44"/>
              <w:jc w:val="both"/>
              <w:rPr>
                <w:rFonts w:ascii="Cambria" w:eastAsia="Times New Roman" w:hAnsi="Cambria"/>
                <w:sz w:val="20"/>
                <w:szCs w:val="20"/>
              </w:rPr>
            </w:pPr>
            <w:r w:rsidRPr="00641D03">
              <w:rPr>
                <w:rFonts w:ascii="Cambria" w:hAnsi="Cambria"/>
                <w:sz w:val="20"/>
                <w:szCs w:val="20"/>
              </w:rPr>
              <w:t xml:space="preserve">By virtue of the principle of territoriality, this measure of reparation will be implemented in the terms indicated before the beneficiaries who are in the national territory. For those who reside outside the country, its scope will only include psychosocial care. </w:t>
            </w:r>
          </w:p>
          <w:p w14:paraId="0F80FECC" w14:textId="77777777" w:rsidR="00BD5E6F" w:rsidRPr="00641D03" w:rsidRDefault="00BD5E6F" w:rsidP="00641D03">
            <w:pPr>
              <w:suppressAutoHyphens/>
              <w:spacing w:after="0" w:line="240" w:lineRule="auto"/>
              <w:ind w:left="44" w:firstLine="44"/>
              <w:jc w:val="both"/>
              <w:rPr>
                <w:rFonts w:ascii="Cambria" w:eastAsia="Times New Roman" w:hAnsi="Cambria"/>
                <w:sz w:val="20"/>
                <w:szCs w:val="20"/>
              </w:rPr>
            </w:pPr>
            <w:r w:rsidRPr="00641D03">
              <w:rPr>
                <w:rFonts w:ascii="Cambria" w:hAnsi="Cambria"/>
                <w:sz w:val="20"/>
                <w:szCs w:val="20"/>
              </w:rPr>
              <w:t xml:space="preserve">Access to psychosocial care for people who are outside the national territory will be guaranteed through the virtual tools that may be applicable, after expressing their will and in accordance with the guidelines issued by the Ministry of Health and Social Protection in the matter. </w:t>
            </w:r>
          </w:p>
          <w:p w14:paraId="62BB94CD" w14:textId="77777777" w:rsidR="00BD5E6F" w:rsidRPr="00641D03" w:rsidRDefault="00BD5E6F" w:rsidP="00641D03">
            <w:pPr>
              <w:suppressAutoHyphens/>
              <w:spacing w:after="0" w:line="240" w:lineRule="auto"/>
              <w:ind w:left="44" w:firstLine="44"/>
              <w:jc w:val="both"/>
              <w:rPr>
                <w:rFonts w:ascii="Cambria" w:eastAsia="Times New Roman" w:hAnsi="Cambria"/>
                <w:sz w:val="20"/>
                <w:szCs w:val="20"/>
              </w:rPr>
            </w:pPr>
            <w:r w:rsidRPr="00641D03">
              <w:rPr>
                <w:rFonts w:ascii="Cambria" w:hAnsi="Cambria"/>
                <w:sz w:val="20"/>
                <w:szCs w:val="20"/>
              </w:rPr>
              <w:t>These measures will be implemented after the signing of the friendly settlement agreement</w:t>
            </w: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14:paraId="48AACCD2" w14:textId="4D14E303" w:rsidR="00BD5E6F" w:rsidRPr="00641D03" w:rsidRDefault="00BD5E6F" w:rsidP="00BD5E6F">
            <w:pPr>
              <w:suppressAutoHyphens/>
              <w:spacing w:after="0" w:line="240" w:lineRule="auto"/>
              <w:jc w:val="center"/>
              <w:rPr>
                <w:rFonts w:ascii="Cambria" w:eastAsia="Batang" w:hAnsi="Cambria"/>
                <w:color w:val="000000"/>
                <w:sz w:val="20"/>
                <w:szCs w:val="20"/>
              </w:rPr>
            </w:pPr>
            <w:r w:rsidRPr="00641D03">
              <w:rPr>
                <w:rFonts w:ascii="Cambria" w:eastAsia="Batang" w:hAnsi="Cambria"/>
                <w:b/>
                <w:bCs/>
                <w:color w:val="000000"/>
                <w:sz w:val="20"/>
                <w:szCs w:val="20"/>
                <w:lang w:val="es-CO"/>
              </w:rPr>
              <w:lastRenderedPageBreak/>
              <w:t>Total</w:t>
            </w:r>
            <w:r>
              <w:rPr>
                <w:rStyle w:val="FootnoteReference"/>
                <w:rFonts w:ascii="Cambria" w:eastAsia="Batang" w:hAnsi="Cambria"/>
                <w:b/>
                <w:bCs/>
                <w:color w:val="000000"/>
                <w:sz w:val="20"/>
                <w:szCs w:val="20"/>
                <w:lang w:val="es-CO"/>
              </w:rPr>
              <w:footnoteReference w:id="3"/>
            </w:r>
          </w:p>
        </w:tc>
      </w:tr>
      <w:tr w:rsidR="00BD5E6F" w:rsidRPr="00641D03" w14:paraId="4DEBCC77" w14:textId="77777777" w:rsidTr="00BD5E6F">
        <w:trPr>
          <w:gridAfter w:val="1"/>
          <w:wAfter w:w="81" w:type="dxa"/>
          <w:trHeight w:val="969"/>
        </w:trPr>
        <w:tc>
          <w:tcPr>
            <w:tcW w:w="4536" w:type="dxa"/>
            <w:tcBorders>
              <w:top w:val="single" w:sz="4" w:space="0" w:color="auto"/>
              <w:left w:val="single" w:sz="4" w:space="0" w:color="auto"/>
              <w:bottom w:val="single" w:sz="4" w:space="0" w:color="auto"/>
              <w:right w:val="single" w:sz="4" w:space="0" w:color="auto"/>
            </w:tcBorders>
          </w:tcPr>
          <w:p w14:paraId="6689D6A1" w14:textId="77777777" w:rsidR="00641D03" w:rsidRPr="00641D03" w:rsidRDefault="00641D03" w:rsidP="00641D03">
            <w:pPr>
              <w:numPr>
                <w:ilvl w:val="0"/>
                <w:numId w:val="43"/>
              </w:numPr>
              <w:suppressAutoHyphens/>
              <w:spacing w:after="0" w:line="240" w:lineRule="auto"/>
              <w:ind w:left="44" w:firstLine="44"/>
              <w:contextualSpacing/>
              <w:jc w:val="both"/>
              <w:rPr>
                <w:rFonts w:ascii="Cambria" w:hAnsi="Cambria"/>
                <w:b/>
                <w:bCs/>
                <w:sz w:val="20"/>
                <w:szCs w:val="20"/>
              </w:rPr>
            </w:pPr>
            <w:r w:rsidRPr="00641D03">
              <w:rPr>
                <w:rFonts w:ascii="Cambria" w:hAnsi="Cambria"/>
                <w:b/>
                <w:sz w:val="20"/>
                <w:szCs w:val="20"/>
              </w:rPr>
              <w:t xml:space="preserve">Financial aid: </w:t>
            </w:r>
          </w:p>
          <w:p w14:paraId="50FBBA46" w14:textId="77777777" w:rsidR="00641D03" w:rsidRPr="00641D03" w:rsidRDefault="00641D03" w:rsidP="00641D03">
            <w:pPr>
              <w:suppressAutoHyphens/>
              <w:spacing w:after="0" w:line="240" w:lineRule="auto"/>
              <w:ind w:left="44" w:firstLine="44"/>
              <w:jc w:val="both"/>
              <w:rPr>
                <w:rFonts w:ascii="Cambria" w:eastAsia="Times New Roman" w:hAnsi="Cambria"/>
                <w:sz w:val="20"/>
                <w:szCs w:val="20"/>
              </w:rPr>
            </w:pPr>
            <w:r w:rsidRPr="00641D03">
              <w:rPr>
                <w:rFonts w:ascii="Cambria" w:hAnsi="Cambria"/>
                <w:sz w:val="20"/>
                <w:szCs w:val="20"/>
              </w:rPr>
              <w:t>The Colombian State, through the Ministry of National Education and the Colombian Institute of Educational Credit and Technical Studies Abroad ICETEX, will grant financial assistance to Edgar José Sánchez Fuentes, son of Mr. Edgar José Sánchez Duarte, hereinafter the "beneficiary", who did not benefit from the reparation granted by the contentious administrative jurisdiction, with the aim of financing an academic program of a technical, professional, technological, university or postgraduate level in a Higher Education Institution in Colombia recognized by the Ministry of National Education, in a classroom-base, distance learning or virtual modality.</w:t>
            </w:r>
          </w:p>
          <w:p w14:paraId="6425FCD3" w14:textId="77777777" w:rsidR="00641D03" w:rsidRPr="00641D03" w:rsidRDefault="00641D03" w:rsidP="00641D03">
            <w:pPr>
              <w:suppressAutoHyphens/>
              <w:spacing w:after="0" w:line="240" w:lineRule="auto"/>
              <w:ind w:left="44" w:firstLine="44"/>
              <w:jc w:val="both"/>
              <w:rPr>
                <w:rFonts w:ascii="Cambria" w:eastAsia="Times New Roman" w:hAnsi="Cambria"/>
                <w:sz w:val="20"/>
                <w:szCs w:val="20"/>
              </w:rPr>
            </w:pPr>
            <w:r w:rsidRPr="00641D03">
              <w:rPr>
                <w:rFonts w:ascii="Cambria" w:hAnsi="Cambria"/>
                <w:sz w:val="20"/>
                <w:szCs w:val="20"/>
              </w:rPr>
              <w:t xml:space="preserve">The economic aid will be granted once the National Agency for Legal Defense of the State or the Foreign Ministry of Colombia, carry out the pertinent procedures for the Ministry of Finance and Public Credit to distribute the resources. </w:t>
            </w:r>
          </w:p>
          <w:p w14:paraId="20610BFD" w14:textId="77777777" w:rsidR="00641D03" w:rsidRPr="00641D03" w:rsidRDefault="00641D03" w:rsidP="00641D03">
            <w:pPr>
              <w:suppressAutoHyphens/>
              <w:spacing w:after="0" w:line="240" w:lineRule="auto"/>
              <w:ind w:left="44" w:firstLine="44"/>
              <w:jc w:val="both"/>
              <w:rPr>
                <w:rFonts w:ascii="Cambria" w:eastAsia="Times New Roman" w:hAnsi="Cambria"/>
                <w:sz w:val="20"/>
                <w:szCs w:val="20"/>
              </w:rPr>
            </w:pPr>
            <w:r w:rsidRPr="00641D03">
              <w:rPr>
                <w:rFonts w:ascii="Cambria" w:hAnsi="Cambria"/>
                <w:sz w:val="20"/>
                <w:szCs w:val="20"/>
              </w:rPr>
              <w:t xml:space="preserve">The financial aid will cover the value of the tuition for the semesters of an academic program of a technical, professional, technological, university or postgraduate level, for a semester value up to eleven (11) SMMLV. [Legally Established Minimum Monthly Wage]. Likewise, a biannual support resource will be granted to the beneficiary of two (2) SMMLV if the Higher Education Institution is in the municipality of their residence, or four (4) SMMLV if the Higher Education Institution is outside their municipality of residence. </w:t>
            </w:r>
          </w:p>
          <w:p w14:paraId="46159A83" w14:textId="77777777" w:rsidR="00641D03" w:rsidRPr="00641D03" w:rsidRDefault="00641D03" w:rsidP="00641D03">
            <w:pPr>
              <w:suppressAutoHyphens/>
              <w:spacing w:after="0" w:line="240" w:lineRule="auto"/>
              <w:ind w:left="44" w:firstLine="44"/>
              <w:jc w:val="both"/>
              <w:rPr>
                <w:rFonts w:ascii="Cambria" w:eastAsia="Times New Roman" w:hAnsi="Cambria"/>
                <w:sz w:val="20"/>
                <w:szCs w:val="20"/>
              </w:rPr>
            </w:pPr>
            <w:r w:rsidRPr="00641D03">
              <w:rPr>
                <w:rFonts w:ascii="Cambria" w:hAnsi="Cambria"/>
                <w:sz w:val="20"/>
                <w:szCs w:val="20"/>
              </w:rPr>
              <w:t xml:space="preserve">Within the framework of university autonomy, the Ministry of National Education will restrain from managing or requesting before any Higher Education Institution, the admission or allocation </w:t>
            </w:r>
            <w:r w:rsidRPr="00641D03">
              <w:rPr>
                <w:rFonts w:ascii="Cambria" w:hAnsi="Cambria"/>
                <w:sz w:val="20"/>
                <w:szCs w:val="20"/>
              </w:rPr>
              <w:lastRenderedPageBreak/>
              <w:t xml:space="preserve">of quotas in academic programs. The beneficiary must carry out the pertinent procedures to be admitted, ensuring their permanence in the institution of Higher Education, ensuring adequate academic performance. </w:t>
            </w:r>
          </w:p>
          <w:p w14:paraId="45D576DF" w14:textId="77777777" w:rsidR="00641D03" w:rsidRPr="00641D03" w:rsidRDefault="00641D03" w:rsidP="00641D03">
            <w:pPr>
              <w:suppressAutoHyphens/>
              <w:spacing w:after="0" w:line="240" w:lineRule="auto"/>
              <w:ind w:left="44" w:firstLine="44"/>
              <w:jc w:val="both"/>
              <w:rPr>
                <w:rFonts w:ascii="Cambria" w:eastAsia="Times New Roman" w:hAnsi="Cambria"/>
                <w:sz w:val="20"/>
                <w:szCs w:val="20"/>
              </w:rPr>
            </w:pPr>
            <w:r w:rsidRPr="00641D03">
              <w:rPr>
                <w:rFonts w:ascii="Cambria" w:hAnsi="Cambria"/>
                <w:sz w:val="20"/>
                <w:szCs w:val="20"/>
              </w:rPr>
              <w:t>The financial aid must be used within a term of no more than five (5) years from the signing of this agreement, or otherwise the State's management will be deemed to have been fulfilled."</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93E1657" w14:textId="77777777" w:rsidR="00641D03" w:rsidRPr="00641D03" w:rsidRDefault="00641D03" w:rsidP="00641D03">
            <w:pPr>
              <w:suppressAutoHyphens/>
              <w:spacing w:after="0" w:line="240" w:lineRule="auto"/>
              <w:jc w:val="center"/>
              <w:rPr>
                <w:rFonts w:ascii="Cambria" w:eastAsia="Batang" w:hAnsi="Cambria"/>
                <w:b/>
                <w:color w:val="000000"/>
                <w:sz w:val="20"/>
                <w:szCs w:val="20"/>
              </w:rPr>
            </w:pPr>
            <w:r w:rsidRPr="00641D03">
              <w:rPr>
                <w:rFonts w:ascii="Cambria" w:hAnsi="Cambria"/>
                <w:b/>
                <w:color w:val="000000"/>
                <w:sz w:val="20"/>
                <w:szCs w:val="20"/>
              </w:rPr>
              <w:lastRenderedPageBreak/>
              <w:t>Total</w:t>
            </w:r>
            <w:r w:rsidRPr="00641D03">
              <w:rPr>
                <w:rFonts w:ascii="Cambria" w:hAnsi="Cambria"/>
                <w:b/>
                <w:color w:val="000000"/>
                <w:sz w:val="20"/>
                <w:szCs w:val="20"/>
                <w:vertAlign w:val="superscript"/>
              </w:rPr>
              <w:footnoteReference w:id="4"/>
            </w:r>
          </w:p>
        </w:tc>
      </w:tr>
      <w:tr w:rsidR="00BD5E6F" w:rsidRPr="00641D03" w14:paraId="27B07600" w14:textId="77777777" w:rsidTr="007816A6">
        <w:trPr>
          <w:gridAfter w:val="1"/>
          <w:wAfter w:w="81" w:type="dxa"/>
          <w:trHeight w:val="969"/>
        </w:trPr>
        <w:tc>
          <w:tcPr>
            <w:tcW w:w="4536" w:type="dxa"/>
            <w:tcBorders>
              <w:top w:val="single" w:sz="4" w:space="0" w:color="auto"/>
              <w:left w:val="single" w:sz="4" w:space="0" w:color="auto"/>
              <w:bottom w:val="single" w:sz="4" w:space="0" w:color="auto"/>
              <w:right w:val="single" w:sz="4" w:space="0" w:color="auto"/>
            </w:tcBorders>
          </w:tcPr>
          <w:p w14:paraId="6A0FC84B" w14:textId="77777777" w:rsidR="00BD5E6F" w:rsidRPr="00641D03" w:rsidRDefault="00BD5E6F" w:rsidP="00641D03">
            <w:pPr>
              <w:numPr>
                <w:ilvl w:val="0"/>
                <w:numId w:val="43"/>
              </w:numPr>
              <w:suppressAutoHyphens/>
              <w:spacing w:after="0" w:line="240" w:lineRule="auto"/>
              <w:ind w:left="44" w:firstLine="44"/>
              <w:contextualSpacing/>
              <w:jc w:val="both"/>
              <w:rPr>
                <w:rFonts w:ascii="Cambria" w:eastAsia="Batang" w:hAnsi="Cambria"/>
                <w:b/>
                <w:bCs/>
                <w:color w:val="000000"/>
                <w:sz w:val="20"/>
                <w:szCs w:val="20"/>
              </w:rPr>
            </w:pPr>
            <w:r w:rsidRPr="00641D03">
              <w:rPr>
                <w:rFonts w:ascii="Cambria" w:hAnsi="Cambria"/>
                <w:b/>
                <w:sz w:val="20"/>
                <w:szCs w:val="20"/>
              </w:rPr>
              <w:t>Economic reparations:</w:t>
            </w:r>
            <w:r w:rsidRPr="00641D03">
              <w:rPr>
                <w:rFonts w:ascii="Cambria" w:hAnsi="Cambria"/>
                <w:sz w:val="20"/>
                <w:szCs w:val="20"/>
              </w:rPr>
              <w:t xml:space="preserve"> The Ministry of National Defense undertakes to compensate the moral damages that will be proven by the violations recognized in this agreement through the mechanism established by Law 288 of 1996.</w:t>
            </w:r>
          </w:p>
          <w:p w14:paraId="7A83E7FE" w14:textId="77777777" w:rsidR="00BD5E6F" w:rsidRPr="00641D03" w:rsidRDefault="00BD5E6F" w:rsidP="00641D03">
            <w:pPr>
              <w:suppressAutoHyphens/>
              <w:spacing w:after="0" w:line="240" w:lineRule="auto"/>
              <w:ind w:left="44"/>
              <w:jc w:val="both"/>
              <w:rPr>
                <w:rFonts w:ascii="Cambria" w:eastAsia="Times New Roman" w:hAnsi="Cambria"/>
                <w:sz w:val="20"/>
                <w:szCs w:val="20"/>
              </w:rPr>
            </w:pPr>
            <w:r w:rsidRPr="00641D03">
              <w:rPr>
                <w:rFonts w:ascii="Cambria" w:hAnsi="Cambria"/>
                <w:sz w:val="20"/>
                <w:szCs w:val="20"/>
              </w:rPr>
              <w:t xml:space="preserve">The mechanism in question will be activated once the present friendly settlement agreement is approved through the issuance of the report on article 49 of the ACHR, with the purpose of repairing the damages caused to the families of the victims duly legitimized, who prove the affectations generated on the occasion of the events related to this case. </w:t>
            </w:r>
          </w:p>
          <w:p w14:paraId="3167FA0E" w14:textId="77777777" w:rsidR="00BD5E6F" w:rsidRPr="00641D03" w:rsidRDefault="00BD5E6F" w:rsidP="00641D03">
            <w:pPr>
              <w:suppressAutoHyphens/>
              <w:spacing w:after="0" w:line="240" w:lineRule="auto"/>
              <w:ind w:left="44"/>
              <w:jc w:val="both"/>
              <w:rPr>
                <w:rFonts w:ascii="Cambria" w:eastAsia="Times New Roman" w:hAnsi="Cambria"/>
                <w:sz w:val="20"/>
                <w:szCs w:val="20"/>
              </w:rPr>
            </w:pPr>
            <w:r w:rsidRPr="00641D03">
              <w:rPr>
                <w:rFonts w:ascii="Cambria" w:hAnsi="Cambria"/>
                <w:sz w:val="20"/>
                <w:szCs w:val="20"/>
              </w:rPr>
              <w:t xml:space="preserve">Those who have already been repaired by the contentious-administrative jurisdiction will not benefit from this measure. </w:t>
            </w:r>
          </w:p>
          <w:p w14:paraId="7CF0AB72" w14:textId="77777777" w:rsidR="00BD5E6F" w:rsidRPr="00641D03" w:rsidRDefault="00BD5E6F" w:rsidP="00641D03">
            <w:pPr>
              <w:suppressAutoHyphens/>
              <w:spacing w:after="0" w:line="240" w:lineRule="auto"/>
              <w:ind w:left="44"/>
              <w:jc w:val="both"/>
              <w:rPr>
                <w:rFonts w:ascii="Cambria" w:eastAsia="Batang" w:hAnsi="Cambria"/>
                <w:b/>
                <w:bCs/>
                <w:color w:val="000000"/>
                <w:sz w:val="20"/>
                <w:szCs w:val="20"/>
              </w:rPr>
            </w:pPr>
            <w:r w:rsidRPr="00641D03">
              <w:rPr>
                <w:rFonts w:ascii="Cambria" w:hAnsi="Cambria"/>
                <w:sz w:val="20"/>
                <w:szCs w:val="20"/>
              </w:rPr>
              <w:t>Read this agreement by the parties and being all aware of its scope and legal content, it was signed on July 14, 2020 in Bogotá D.C</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665BA80" w14:textId="06EEF319" w:rsidR="00BD5E6F" w:rsidRPr="00641D03" w:rsidRDefault="00BD5E6F" w:rsidP="00BD5E6F">
            <w:pPr>
              <w:suppressAutoHyphens/>
              <w:spacing w:after="0" w:line="240" w:lineRule="auto"/>
              <w:jc w:val="center"/>
              <w:rPr>
                <w:rFonts w:ascii="Cambria" w:eastAsia="Batang" w:hAnsi="Cambria"/>
                <w:color w:val="000000"/>
                <w:sz w:val="20"/>
                <w:szCs w:val="20"/>
              </w:rPr>
            </w:pPr>
            <w:r w:rsidRPr="00641D03">
              <w:rPr>
                <w:rFonts w:ascii="Cambria" w:eastAsia="Batang" w:hAnsi="Cambria"/>
                <w:b/>
                <w:bCs/>
                <w:color w:val="000000"/>
                <w:sz w:val="20"/>
                <w:szCs w:val="20"/>
                <w:lang w:val="es-CO"/>
              </w:rPr>
              <w:t>Total</w:t>
            </w:r>
            <w:r>
              <w:rPr>
                <w:rStyle w:val="FootnoteReference"/>
                <w:rFonts w:ascii="Cambria" w:eastAsia="Batang" w:hAnsi="Cambria"/>
                <w:b/>
                <w:bCs/>
                <w:color w:val="000000"/>
                <w:sz w:val="20"/>
                <w:szCs w:val="20"/>
                <w:lang w:val="es-CO"/>
              </w:rPr>
              <w:footnoteReference w:id="5"/>
            </w:r>
          </w:p>
        </w:tc>
      </w:tr>
      <w:bookmarkEnd w:id="0"/>
    </w:tbl>
    <w:p w14:paraId="37ABAC00" w14:textId="77777777" w:rsidR="00641D03" w:rsidRPr="00641D03" w:rsidRDefault="00641D03" w:rsidP="00641D03">
      <w:pPr>
        <w:suppressAutoHyphens/>
        <w:spacing w:after="0" w:line="240" w:lineRule="auto"/>
        <w:ind w:firstLine="709"/>
        <w:rPr>
          <w:rFonts w:ascii="Cambria" w:eastAsia="Batang" w:hAnsi="Cambria"/>
          <w:color w:val="000000"/>
          <w:sz w:val="20"/>
          <w:szCs w:val="20"/>
        </w:rPr>
      </w:pPr>
    </w:p>
    <w:p w14:paraId="1F5544F6" w14:textId="3294217E" w:rsidR="00641D03" w:rsidRPr="00720B84" w:rsidRDefault="00720B84" w:rsidP="00F25253">
      <w:pPr>
        <w:numPr>
          <w:ilvl w:val="0"/>
          <w:numId w:val="41"/>
        </w:numPr>
        <w:suppressAutoHyphens/>
        <w:autoSpaceDE w:val="0"/>
        <w:autoSpaceDN w:val="0"/>
        <w:adjustRightInd w:val="0"/>
        <w:spacing w:after="0" w:line="240" w:lineRule="auto"/>
        <w:ind w:left="0" w:firstLine="709"/>
        <w:contextualSpacing/>
        <w:jc w:val="both"/>
        <w:rPr>
          <w:rFonts w:ascii="Cambria" w:eastAsia="Batang" w:hAnsi="Cambria"/>
          <w:b/>
          <w:color w:val="000000"/>
          <w:sz w:val="20"/>
          <w:szCs w:val="20"/>
        </w:rPr>
      </w:pPr>
      <w:r>
        <w:rPr>
          <w:rFonts w:ascii="Cambria" w:hAnsi="Cambria"/>
          <w:b/>
          <w:color w:val="000000"/>
          <w:sz w:val="20"/>
          <w:szCs w:val="20"/>
        </w:rPr>
        <w:t xml:space="preserve">LEVEL OF COMPLIANCE OF THE CASE </w:t>
      </w:r>
    </w:p>
    <w:p w14:paraId="2197F9ED" w14:textId="77777777" w:rsidR="00641D03" w:rsidRPr="00641D03" w:rsidRDefault="00641D03" w:rsidP="00720B84">
      <w:pPr>
        <w:suppressAutoHyphens/>
        <w:autoSpaceDE w:val="0"/>
        <w:autoSpaceDN w:val="0"/>
        <w:adjustRightInd w:val="0"/>
        <w:spacing w:after="0" w:line="240" w:lineRule="auto"/>
        <w:contextualSpacing/>
        <w:jc w:val="both"/>
        <w:rPr>
          <w:rFonts w:ascii="Cambria" w:eastAsia="Batang" w:hAnsi="Cambria"/>
          <w:color w:val="000000"/>
          <w:sz w:val="20"/>
          <w:szCs w:val="20"/>
        </w:rPr>
      </w:pPr>
    </w:p>
    <w:p w14:paraId="00DB13D7" w14:textId="6301791E" w:rsidR="00641D03" w:rsidRPr="00720B84" w:rsidRDefault="00720B84" w:rsidP="008703B1">
      <w:pPr>
        <w:numPr>
          <w:ilvl w:val="0"/>
          <w:numId w:val="44"/>
        </w:numPr>
        <w:suppressAutoHyphens/>
        <w:autoSpaceDE w:val="0"/>
        <w:autoSpaceDN w:val="0"/>
        <w:adjustRightInd w:val="0"/>
        <w:spacing w:after="0" w:line="240" w:lineRule="auto"/>
        <w:ind w:left="0" w:firstLine="709"/>
        <w:contextualSpacing/>
        <w:jc w:val="both"/>
        <w:rPr>
          <w:rFonts w:ascii="Cambria" w:eastAsia="Batang" w:hAnsi="Cambria"/>
          <w:color w:val="000000"/>
          <w:sz w:val="20"/>
          <w:szCs w:val="20"/>
        </w:rPr>
      </w:pPr>
      <w:r>
        <w:rPr>
          <w:rFonts w:ascii="Cambria" w:hAnsi="Cambria"/>
          <w:color w:val="000000"/>
          <w:sz w:val="20"/>
          <w:szCs w:val="20"/>
        </w:rPr>
        <w:t>The Commission declared full compliance with the case and the ceasing of the follow-up of the friendly settlement agreement in the 2024 Annual Report.</w:t>
      </w:r>
    </w:p>
    <w:p w14:paraId="5A41A443" w14:textId="77777777" w:rsidR="00641D03" w:rsidRPr="00641D03" w:rsidRDefault="00641D03" w:rsidP="00720B84">
      <w:pPr>
        <w:suppressAutoHyphens/>
        <w:spacing w:after="0" w:line="240" w:lineRule="auto"/>
        <w:jc w:val="both"/>
        <w:rPr>
          <w:rFonts w:ascii="Cambria" w:eastAsia="Times New Roman" w:hAnsi="Cambria"/>
          <w:sz w:val="20"/>
          <w:szCs w:val="20"/>
          <w:lang w:eastAsia="es-ES_tradnl"/>
        </w:rPr>
      </w:pPr>
    </w:p>
    <w:p w14:paraId="23478392" w14:textId="77777777" w:rsidR="00641D03" w:rsidRPr="00641D03" w:rsidRDefault="00641D03" w:rsidP="00641D03">
      <w:pPr>
        <w:numPr>
          <w:ilvl w:val="0"/>
          <w:numId w:val="41"/>
        </w:numPr>
        <w:suppressAutoHyphens/>
        <w:spacing w:after="0" w:line="240" w:lineRule="auto"/>
        <w:ind w:left="0" w:firstLine="709"/>
        <w:contextualSpacing/>
        <w:rPr>
          <w:rFonts w:ascii="Cambria" w:hAnsi="Cambria" w:cs="Calibri Light"/>
          <w:b/>
          <w:color w:val="000000"/>
          <w:sz w:val="20"/>
          <w:szCs w:val="20"/>
        </w:rPr>
      </w:pPr>
      <w:r w:rsidRPr="00641D03">
        <w:rPr>
          <w:rFonts w:ascii="Cambria" w:hAnsi="Cambria"/>
          <w:b/>
          <w:color w:val="000000"/>
          <w:sz w:val="20"/>
          <w:szCs w:val="20"/>
        </w:rPr>
        <w:t xml:space="preserve">INDIVIDUAL AND STRUCTURAL OUTCOMES OF THE CASE </w:t>
      </w:r>
    </w:p>
    <w:p w14:paraId="098F3ABB" w14:textId="77777777" w:rsidR="00641D03" w:rsidRPr="00641D03" w:rsidRDefault="00641D03" w:rsidP="00641D03">
      <w:pPr>
        <w:suppressAutoHyphens/>
        <w:spacing w:after="0" w:line="240" w:lineRule="auto"/>
        <w:ind w:firstLine="709"/>
        <w:contextualSpacing/>
        <w:jc w:val="both"/>
        <w:rPr>
          <w:rFonts w:ascii="Cambria" w:eastAsia="Batang" w:hAnsi="Cambria" w:cs="Calibri Light"/>
          <w:b/>
          <w:color w:val="000000"/>
          <w:sz w:val="20"/>
          <w:szCs w:val="20"/>
        </w:rPr>
      </w:pPr>
    </w:p>
    <w:p w14:paraId="56CCBE5F" w14:textId="77777777" w:rsidR="00641D03" w:rsidRPr="00641D03" w:rsidRDefault="00641D03" w:rsidP="00641D03">
      <w:pPr>
        <w:numPr>
          <w:ilvl w:val="0"/>
          <w:numId w:val="45"/>
        </w:numPr>
        <w:suppressAutoHyphens/>
        <w:spacing w:after="0" w:line="240" w:lineRule="auto"/>
        <w:ind w:left="1440" w:hanging="720"/>
        <w:contextualSpacing/>
        <w:jc w:val="both"/>
        <w:rPr>
          <w:rFonts w:ascii="Cambria" w:eastAsia="Batang" w:hAnsi="Cambria" w:cs="Calibri Light"/>
          <w:b/>
          <w:color w:val="000000"/>
          <w:sz w:val="20"/>
          <w:szCs w:val="20"/>
        </w:rPr>
      </w:pPr>
      <w:r w:rsidRPr="00641D03">
        <w:rPr>
          <w:rFonts w:ascii="Cambria" w:hAnsi="Cambria"/>
          <w:b/>
          <w:color w:val="000000"/>
          <w:sz w:val="20"/>
          <w:szCs w:val="20"/>
        </w:rPr>
        <w:t>Individual outcomes of the case</w:t>
      </w:r>
    </w:p>
    <w:p w14:paraId="07B02353" w14:textId="77777777" w:rsidR="00641D03" w:rsidRPr="00641D03" w:rsidRDefault="00641D03" w:rsidP="00641D03">
      <w:pPr>
        <w:suppressAutoHyphens/>
        <w:spacing w:after="0" w:line="240" w:lineRule="auto"/>
        <w:ind w:left="1440"/>
        <w:contextualSpacing/>
        <w:jc w:val="both"/>
        <w:rPr>
          <w:rFonts w:ascii="Cambria" w:eastAsia="Batang" w:hAnsi="Cambria" w:cs="Calibri Light"/>
          <w:b/>
          <w:color w:val="000000"/>
          <w:sz w:val="20"/>
          <w:szCs w:val="20"/>
        </w:rPr>
      </w:pPr>
    </w:p>
    <w:p w14:paraId="0B47CE58" w14:textId="77777777" w:rsidR="00641D03" w:rsidRPr="00641D03" w:rsidRDefault="00641D03" w:rsidP="00641D03">
      <w:pPr>
        <w:numPr>
          <w:ilvl w:val="0"/>
          <w:numId w:val="40"/>
        </w:numPr>
        <w:suppressAutoHyphens/>
        <w:spacing w:after="0" w:line="240" w:lineRule="auto"/>
        <w:ind w:left="1418" w:hanging="709"/>
        <w:contextualSpacing/>
        <w:jc w:val="both"/>
        <w:rPr>
          <w:rFonts w:ascii="Cambria" w:eastAsia="Batang" w:hAnsi="Cambria"/>
          <w:color w:val="000000"/>
          <w:sz w:val="20"/>
          <w:szCs w:val="20"/>
        </w:rPr>
      </w:pPr>
      <w:r w:rsidRPr="00641D03">
        <w:rPr>
          <w:rFonts w:ascii="Cambria" w:hAnsi="Cambria"/>
          <w:color w:val="000000"/>
          <w:sz w:val="20"/>
          <w:szCs w:val="20"/>
        </w:rPr>
        <w:t>The State performed the act of redress on December 3, 2020, via virtual platform in the context of the pandemic by COVID 19.</w:t>
      </w:r>
    </w:p>
    <w:p w14:paraId="5CC3B95E" w14:textId="77777777" w:rsidR="00641D03" w:rsidRPr="00641D03" w:rsidRDefault="00641D03" w:rsidP="00641D03">
      <w:pPr>
        <w:numPr>
          <w:ilvl w:val="0"/>
          <w:numId w:val="40"/>
        </w:numPr>
        <w:suppressAutoHyphens/>
        <w:spacing w:after="0" w:line="240" w:lineRule="auto"/>
        <w:ind w:left="1418" w:hanging="709"/>
        <w:contextualSpacing/>
        <w:jc w:val="both"/>
        <w:rPr>
          <w:rFonts w:ascii="Cambria" w:eastAsia="Batang" w:hAnsi="Cambria"/>
          <w:color w:val="000000"/>
          <w:sz w:val="20"/>
          <w:szCs w:val="20"/>
        </w:rPr>
      </w:pPr>
      <w:r w:rsidRPr="00641D03">
        <w:rPr>
          <w:rFonts w:ascii="Cambria" w:hAnsi="Cambria"/>
          <w:color w:val="000000"/>
          <w:sz w:val="20"/>
          <w:szCs w:val="20"/>
        </w:rPr>
        <w:t>The State granted financial assistance to Edgar José Sánchez Fuentes, son of Edgar José Sánchez Duarte, who did not benefit from the relief granted by the contentious-administrative jurisdiction, in order to finance an academic program at the professional technical, technological, university or postgraduate level in a Higher Education Institution in Colombia.</w:t>
      </w:r>
    </w:p>
    <w:p w14:paraId="5BAB3C37" w14:textId="77777777" w:rsidR="00641D03" w:rsidRPr="00641D03" w:rsidRDefault="00641D03" w:rsidP="00641D03">
      <w:pPr>
        <w:numPr>
          <w:ilvl w:val="0"/>
          <w:numId w:val="40"/>
        </w:numPr>
        <w:suppressAutoHyphens/>
        <w:spacing w:after="0" w:line="240" w:lineRule="auto"/>
        <w:ind w:left="1418" w:hanging="709"/>
        <w:contextualSpacing/>
        <w:jc w:val="both"/>
        <w:rPr>
          <w:rFonts w:ascii="Cambria" w:eastAsia="Batang" w:hAnsi="Cambria"/>
          <w:color w:val="000000"/>
          <w:sz w:val="20"/>
          <w:szCs w:val="20"/>
        </w:rPr>
      </w:pPr>
      <w:r w:rsidRPr="00641D03">
        <w:rPr>
          <w:rFonts w:ascii="Cambria" w:eastAsia="Batang" w:hAnsi="Cambria"/>
          <w:color w:val="000000"/>
          <w:sz w:val="20"/>
          <w:szCs w:val="20"/>
        </w:rPr>
        <w:t>The State made the corresponding payment for the compensation of $675,283,464 COP, in favor of Martha Fuentes Gutierrez, Edgar Jose Sanchez Fuentes, Miladis Del Socorro Morales Gutierrez and Omar Enrique Laiton Cortes.</w:t>
      </w:r>
    </w:p>
    <w:p w14:paraId="5331E77D" w14:textId="77777777" w:rsidR="00641D03" w:rsidRPr="00641D03" w:rsidRDefault="00641D03" w:rsidP="00641D03">
      <w:pPr>
        <w:suppressAutoHyphens/>
        <w:spacing w:after="0" w:line="240" w:lineRule="auto"/>
        <w:ind w:left="1418" w:hanging="709"/>
        <w:contextualSpacing/>
        <w:jc w:val="both"/>
        <w:rPr>
          <w:rFonts w:ascii="Cambria" w:eastAsia="Batang" w:hAnsi="Cambria"/>
          <w:color w:val="000000"/>
          <w:sz w:val="20"/>
          <w:szCs w:val="20"/>
        </w:rPr>
      </w:pPr>
    </w:p>
    <w:p w14:paraId="3C8A9AA0" w14:textId="77777777" w:rsidR="00641D03" w:rsidRPr="00641D03" w:rsidRDefault="00641D03" w:rsidP="00641D03">
      <w:pPr>
        <w:numPr>
          <w:ilvl w:val="0"/>
          <w:numId w:val="45"/>
        </w:numPr>
        <w:suppressAutoHyphens/>
        <w:spacing w:after="0" w:line="240" w:lineRule="auto"/>
        <w:ind w:left="1418" w:hanging="709"/>
        <w:contextualSpacing/>
        <w:jc w:val="both"/>
        <w:rPr>
          <w:rFonts w:ascii="Cambria" w:eastAsia="Batang" w:hAnsi="Cambria"/>
          <w:b/>
          <w:bCs/>
          <w:color w:val="000000"/>
          <w:sz w:val="20"/>
          <w:szCs w:val="20"/>
        </w:rPr>
      </w:pPr>
      <w:r w:rsidRPr="00641D03">
        <w:rPr>
          <w:rFonts w:ascii="Cambria" w:hAnsi="Cambria"/>
          <w:b/>
          <w:color w:val="000000"/>
          <w:sz w:val="20"/>
          <w:szCs w:val="20"/>
        </w:rPr>
        <w:t>Structural outcomes of the case</w:t>
      </w:r>
    </w:p>
    <w:p w14:paraId="2C5ABB67" w14:textId="77777777" w:rsidR="00641D03" w:rsidRPr="00641D03" w:rsidRDefault="00641D03" w:rsidP="00641D03">
      <w:pPr>
        <w:suppressAutoHyphens/>
        <w:spacing w:after="0" w:line="240" w:lineRule="auto"/>
        <w:ind w:left="1418" w:hanging="709"/>
        <w:contextualSpacing/>
        <w:jc w:val="both"/>
        <w:rPr>
          <w:rFonts w:ascii="Cambria" w:eastAsia="Batang" w:hAnsi="Cambria"/>
          <w:b/>
          <w:bCs/>
          <w:color w:val="000000"/>
          <w:sz w:val="20"/>
          <w:szCs w:val="20"/>
        </w:rPr>
      </w:pPr>
    </w:p>
    <w:p w14:paraId="72628587" w14:textId="0BAB4F49" w:rsidR="00F74974" w:rsidRPr="00720B84" w:rsidRDefault="00641D03" w:rsidP="00720B84">
      <w:pPr>
        <w:numPr>
          <w:ilvl w:val="0"/>
          <w:numId w:val="40"/>
        </w:numPr>
        <w:suppressAutoHyphens/>
        <w:spacing w:after="0" w:line="240" w:lineRule="auto"/>
        <w:ind w:left="1418" w:hanging="709"/>
        <w:contextualSpacing/>
        <w:jc w:val="both"/>
        <w:rPr>
          <w:rFonts w:ascii="Cambria" w:hAnsi="Cambria"/>
          <w:color w:val="000000"/>
          <w:sz w:val="20"/>
          <w:szCs w:val="20"/>
        </w:rPr>
      </w:pPr>
      <w:r w:rsidRPr="00641D03">
        <w:rPr>
          <w:rFonts w:ascii="Cambria" w:hAnsi="Cambria"/>
          <w:color w:val="000000"/>
          <w:sz w:val="20"/>
          <w:szCs w:val="20"/>
        </w:rPr>
        <w:t>The act of redress, which took place on December 3, 2020, was published on the website of the National Legal Defense Agency and on various social networks.</w:t>
      </w:r>
    </w:p>
    <w:sectPr w:rsidR="00F74974" w:rsidRPr="00720B84" w:rsidSect="008E42E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F6B91" w14:textId="77777777" w:rsidR="00204BC4" w:rsidRDefault="00204BC4" w:rsidP="00A343FF">
      <w:pPr>
        <w:spacing w:after="0" w:line="240" w:lineRule="auto"/>
      </w:pPr>
      <w:r>
        <w:separator/>
      </w:r>
    </w:p>
  </w:endnote>
  <w:endnote w:type="continuationSeparator" w:id="0">
    <w:p w14:paraId="4CA20FC1" w14:textId="77777777" w:rsidR="00204BC4" w:rsidRDefault="00204BC4" w:rsidP="00A343FF">
      <w:pPr>
        <w:spacing w:after="0" w:line="240" w:lineRule="auto"/>
      </w:pPr>
      <w:r>
        <w:continuationSeparator/>
      </w:r>
    </w:p>
  </w:endnote>
  <w:endnote w:type="continuationNotice" w:id="1">
    <w:p w14:paraId="311FF575" w14:textId="77777777" w:rsidR="00204BC4" w:rsidRDefault="00204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7F56"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7C8D"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CBDDDA"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77C7" w14:textId="77777777" w:rsidR="008F2248" w:rsidRDefault="00E62190" w:rsidP="008F2248">
    <w:pPr>
      <w:pStyle w:val="Footer"/>
      <w:spacing w:line="360" w:lineRule="auto"/>
    </w:pPr>
    <w:r>
      <w:rPr>
        <w:noProof/>
      </w:rPr>
      <w:pict w14:anchorId="413C72BF">
        <v:rect id="_x0000_i1027" alt="" style="width:441.9pt;height:.05pt;mso-width-percent:0;mso-height-percent:0;mso-width-percent:0;mso-height-percent:0" o:hralign="center" o:hrstd="t" o:hr="t" fillcolor="#a0a0a0" stroked="f"/>
      </w:pict>
    </w:r>
  </w:p>
  <w:p w14:paraId="36DDBAC6" w14:textId="77777777" w:rsidR="008F2248" w:rsidRDefault="009A73C0" w:rsidP="006E2BD8">
    <w:pPr>
      <w:pStyle w:val="Footer"/>
      <w:jc w:val="center"/>
    </w:pPr>
    <w:r>
      <w:rPr>
        <w:noProof/>
      </w:rPr>
      <w:drawing>
        <wp:inline distT="0" distB="0" distL="0" distR="0" wp14:anchorId="0865921E" wp14:editId="3BA32EF6">
          <wp:extent cx="5238750" cy="323850"/>
          <wp:effectExtent l="0" t="0" r="0" b="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1D5A9" w14:textId="77777777" w:rsidR="00204BC4" w:rsidRDefault="00204BC4" w:rsidP="00A343FF">
      <w:pPr>
        <w:spacing w:after="0" w:line="240" w:lineRule="auto"/>
      </w:pPr>
      <w:r>
        <w:separator/>
      </w:r>
    </w:p>
  </w:footnote>
  <w:footnote w:type="continuationSeparator" w:id="0">
    <w:p w14:paraId="19711465" w14:textId="77777777" w:rsidR="00204BC4" w:rsidRDefault="00204BC4" w:rsidP="00A343FF">
      <w:pPr>
        <w:spacing w:after="0" w:line="240" w:lineRule="auto"/>
      </w:pPr>
      <w:r>
        <w:continuationSeparator/>
      </w:r>
    </w:p>
  </w:footnote>
  <w:footnote w:type="continuationNotice" w:id="1">
    <w:p w14:paraId="76E57C46" w14:textId="77777777" w:rsidR="00204BC4" w:rsidRDefault="00204BC4">
      <w:pPr>
        <w:spacing w:after="0" w:line="240" w:lineRule="auto"/>
      </w:pPr>
    </w:p>
  </w:footnote>
  <w:footnote w:id="2">
    <w:p w14:paraId="76C20439" w14:textId="6576CED1" w:rsidR="00641D03" w:rsidRPr="002B3B95" w:rsidRDefault="00641D03" w:rsidP="00BD5E6F">
      <w:pPr>
        <w:pStyle w:val="NormalWeb"/>
        <w:spacing w:before="0" w:beforeAutospacing="0" w:after="0" w:afterAutospacing="0"/>
        <w:ind w:firstLine="720"/>
        <w:jc w:val="both"/>
        <w:rPr>
          <w:rFonts w:ascii="Cambria" w:hAnsi="Cambria"/>
          <w:sz w:val="16"/>
          <w:szCs w:val="16"/>
        </w:rPr>
      </w:pPr>
      <w:r w:rsidRPr="00BD5E6F">
        <w:rPr>
          <w:rStyle w:val="FootnoteReference"/>
          <w:rFonts w:ascii="Cambria" w:hAnsi="Cambria"/>
          <w:sz w:val="16"/>
          <w:szCs w:val="16"/>
        </w:rPr>
        <w:footnoteRef/>
      </w:r>
      <w:r w:rsidRPr="00BD5E6F">
        <w:rPr>
          <w:rFonts w:ascii="Cambria" w:hAnsi="Cambria"/>
          <w:sz w:val="16"/>
          <w:szCs w:val="16"/>
        </w:rPr>
        <w:t xml:space="preserve"> </w:t>
      </w:r>
      <w:r w:rsidR="00BD5E6F">
        <w:rPr>
          <w:rFonts w:ascii="Cambria" w:hAnsi="Cambria"/>
          <w:sz w:val="16"/>
          <w:szCs w:val="16"/>
        </w:rPr>
        <w:t xml:space="preserve">See </w:t>
      </w:r>
      <w:r w:rsidRPr="00BD5E6F">
        <w:rPr>
          <w:rFonts w:ascii="Cambria" w:hAnsi="Cambria"/>
          <w:color w:val="000000"/>
          <w:sz w:val="16"/>
          <w:szCs w:val="16"/>
        </w:rPr>
        <w:t>IACHR, Report No. 41/21</w:t>
      </w:r>
      <w:r w:rsidR="00BD5E6F">
        <w:rPr>
          <w:rFonts w:ascii="Cambria" w:hAnsi="Cambria"/>
          <w:color w:val="000000"/>
          <w:sz w:val="16"/>
          <w:szCs w:val="16"/>
        </w:rPr>
        <w:t>,</w:t>
      </w:r>
      <w:r w:rsidRPr="00BD5E6F">
        <w:rPr>
          <w:rFonts w:ascii="Cambria" w:hAnsi="Cambria"/>
          <w:color w:val="000000"/>
          <w:sz w:val="16"/>
          <w:szCs w:val="16"/>
        </w:rPr>
        <w:t xml:space="preserve"> Case 13.642</w:t>
      </w:r>
      <w:r w:rsidR="00BD5E6F">
        <w:rPr>
          <w:rFonts w:ascii="Cambria" w:hAnsi="Cambria"/>
          <w:color w:val="000000"/>
          <w:sz w:val="16"/>
          <w:szCs w:val="16"/>
        </w:rPr>
        <w:t>/</w:t>
      </w:r>
      <w:r w:rsidRPr="00BD5E6F">
        <w:rPr>
          <w:rFonts w:ascii="Cambria" w:hAnsi="Cambria"/>
          <w:color w:val="000000"/>
          <w:sz w:val="16"/>
          <w:szCs w:val="16"/>
        </w:rPr>
        <w:t xml:space="preserve">Friendly Settlement. Edgar José Sánchez Duarte and Family. </w:t>
      </w:r>
      <w:r w:rsidRPr="002B3B95">
        <w:rPr>
          <w:rFonts w:ascii="Cambria" w:hAnsi="Cambria"/>
          <w:color w:val="000000"/>
          <w:sz w:val="16"/>
          <w:szCs w:val="16"/>
        </w:rPr>
        <w:t>Colombia. March 20, 2021</w:t>
      </w:r>
      <w:r w:rsidR="00BD5E6F" w:rsidRPr="002B3B95">
        <w:rPr>
          <w:rFonts w:ascii="Cambria" w:hAnsi="Cambria"/>
          <w:color w:val="000000"/>
          <w:sz w:val="16"/>
          <w:szCs w:val="16"/>
        </w:rPr>
        <w:t>. Available at:</w:t>
      </w:r>
      <w:r w:rsidRPr="002B3B95">
        <w:rPr>
          <w:rFonts w:ascii="Cambria" w:hAnsi="Cambria"/>
          <w:color w:val="000000"/>
          <w:sz w:val="16"/>
          <w:szCs w:val="16"/>
        </w:rPr>
        <w:t xml:space="preserve"> </w:t>
      </w:r>
      <w:hyperlink r:id="rId1" w:history="1">
        <w:r w:rsidRPr="002B3B95">
          <w:rPr>
            <w:rStyle w:val="Hyperlink"/>
            <w:rFonts w:ascii="Cambria" w:hAnsi="Cambria"/>
            <w:sz w:val="16"/>
            <w:szCs w:val="16"/>
          </w:rPr>
          <w:t>https://www.oas.org/en/iachr/decisions/2021/COSA13.642EN.pdf</w:t>
        </w:r>
      </w:hyperlink>
      <w:r w:rsidR="00BD5E6F" w:rsidRPr="002B3B95">
        <w:rPr>
          <w:rFonts w:ascii="Cambria" w:hAnsi="Cambria"/>
          <w:color w:val="000000"/>
          <w:sz w:val="16"/>
          <w:szCs w:val="16"/>
        </w:rPr>
        <w:t>.</w:t>
      </w:r>
    </w:p>
  </w:footnote>
  <w:footnote w:id="3">
    <w:p w14:paraId="3555C67A" w14:textId="1DCE1B03" w:rsidR="00BD5E6F" w:rsidRPr="002B3B95" w:rsidRDefault="00BD5E6F" w:rsidP="00BD5E6F">
      <w:pPr>
        <w:pStyle w:val="FootnoteText"/>
        <w:ind w:firstLine="709"/>
        <w:jc w:val="both"/>
        <w:rPr>
          <w:rFonts w:ascii="Cambria" w:hAnsi="Cambria"/>
          <w:sz w:val="16"/>
          <w:szCs w:val="16"/>
        </w:rPr>
      </w:pPr>
      <w:r w:rsidRPr="00BD5E6F">
        <w:rPr>
          <w:rStyle w:val="FootnoteReference"/>
          <w:rFonts w:ascii="Cambria" w:hAnsi="Cambria"/>
          <w:sz w:val="16"/>
          <w:szCs w:val="16"/>
        </w:rPr>
        <w:footnoteRef/>
      </w:r>
      <w:r w:rsidRPr="00BD5E6F">
        <w:rPr>
          <w:rFonts w:ascii="Cambria" w:hAnsi="Cambria"/>
          <w:sz w:val="16"/>
          <w:szCs w:val="16"/>
        </w:rPr>
        <w:t xml:space="preserve"> </w:t>
      </w:r>
      <w:r w:rsidRPr="002B3B95">
        <w:rPr>
          <w:rFonts w:ascii="Cambria" w:hAnsi="Cambria"/>
          <w:sz w:val="16"/>
          <w:szCs w:val="16"/>
        </w:rPr>
        <w:t xml:space="preserve">See IACHR, Annual Report 2024, Chapter II, Section C. Advances and challenges on negotiation and implementation of friendly settlements agreements. Available at: </w:t>
      </w:r>
      <w:hyperlink r:id="rId2" w:history="1">
        <w:r w:rsidRPr="002B3B95">
          <w:rPr>
            <w:rStyle w:val="Hyperlink"/>
            <w:rFonts w:ascii="Cambria" w:hAnsi="Cambria"/>
            <w:sz w:val="16"/>
            <w:szCs w:val="16"/>
          </w:rPr>
          <w:t>https://www.oas.org/en/iachr/docs/annual/2024/chapters/IA2024_2_EN.PDF</w:t>
        </w:r>
      </w:hyperlink>
      <w:r w:rsidRPr="002B3B95">
        <w:rPr>
          <w:rFonts w:ascii="Cambria" w:hAnsi="Cambria"/>
          <w:sz w:val="16"/>
          <w:szCs w:val="16"/>
        </w:rPr>
        <w:t xml:space="preserve">. </w:t>
      </w:r>
    </w:p>
  </w:footnote>
  <w:footnote w:id="4">
    <w:p w14:paraId="0C28E4D6" w14:textId="170E6622" w:rsidR="00641D03" w:rsidRPr="00BD5E6F" w:rsidRDefault="00641D03" w:rsidP="00BD5E6F">
      <w:pPr>
        <w:pStyle w:val="ListParagraph"/>
        <w:spacing w:after="0" w:line="240" w:lineRule="auto"/>
        <w:ind w:left="0" w:firstLine="720"/>
        <w:contextualSpacing w:val="0"/>
        <w:jc w:val="both"/>
        <w:rPr>
          <w:rFonts w:ascii="Cambria" w:eastAsia="Times New Roman" w:hAnsi="Cambria"/>
          <w:sz w:val="16"/>
          <w:szCs w:val="16"/>
          <w14:ligatures w14:val="standardContextual"/>
        </w:rPr>
      </w:pPr>
      <w:r w:rsidRPr="00BD5E6F">
        <w:rPr>
          <w:rStyle w:val="FootnoteReference"/>
          <w:rFonts w:ascii="Cambria" w:hAnsi="Cambria"/>
          <w:sz w:val="16"/>
          <w:szCs w:val="16"/>
        </w:rPr>
        <w:footnoteRef/>
      </w:r>
      <w:r w:rsidRPr="00BD5E6F">
        <w:rPr>
          <w:rFonts w:ascii="Cambria" w:hAnsi="Cambria"/>
          <w:sz w:val="16"/>
          <w:szCs w:val="16"/>
        </w:rPr>
        <w:t xml:space="preserve"> </w:t>
      </w:r>
      <w:r w:rsidRPr="00BD5E6F">
        <w:rPr>
          <w:rFonts w:ascii="Cambria" w:eastAsia="Times New Roman" w:hAnsi="Cambria"/>
          <w:sz w:val="16"/>
          <w:szCs w:val="16"/>
        </w:rPr>
        <w:t>See IACHR, Annual Report 2023, Chapter II, Section C</w:t>
      </w:r>
      <w:r w:rsidR="00BD5E6F">
        <w:rPr>
          <w:rFonts w:ascii="Cambria" w:eastAsia="Times New Roman" w:hAnsi="Cambria"/>
          <w:sz w:val="16"/>
          <w:szCs w:val="16"/>
        </w:rPr>
        <w:t xml:space="preserve">. </w:t>
      </w:r>
      <w:r w:rsidRPr="00BD5E6F">
        <w:rPr>
          <w:rFonts w:ascii="Cambria" w:eastAsia="Times New Roman" w:hAnsi="Cambria"/>
          <w:sz w:val="16"/>
          <w:szCs w:val="16"/>
        </w:rPr>
        <w:t>Advances and challenges on negotiation and implementation of friendly settlement agreements.</w:t>
      </w:r>
      <w:r w:rsidR="00BD5E6F">
        <w:rPr>
          <w:rFonts w:ascii="Cambria" w:eastAsia="Times New Roman" w:hAnsi="Cambria"/>
          <w:sz w:val="16"/>
          <w:szCs w:val="16"/>
        </w:rPr>
        <w:t xml:space="preserve"> Available at: </w:t>
      </w:r>
      <w:hyperlink r:id="rId3" w:history="1">
        <w:r w:rsidR="00BD5E6F" w:rsidRPr="00416E63">
          <w:rPr>
            <w:rStyle w:val="Hyperlink"/>
            <w:rFonts w:ascii="Cambria" w:eastAsia="Times New Roman" w:hAnsi="Cambria"/>
            <w:sz w:val="16"/>
            <w:szCs w:val="16"/>
          </w:rPr>
          <w:t>https://www.oas.org/en/iachr/docs/annual/2023/chapters/IA2023_Cap_2_ENG.PDF</w:t>
        </w:r>
      </w:hyperlink>
      <w:r w:rsidR="00BD5E6F">
        <w:rPr>
          <w:rFonts w:ascii="Cambria" w:eastAsia="Times New Roman" w:hAnsi="Cambria"/>
          <w:sz w:val="16"/>
          <w:szCs w:val="16"/>
        </w:rPr>
        <w:t xml:space="preserve">. </w:t>
      </w:r>
    </w:p>
  </w:footnote>
  <w:footnote w:id="5">
    <w:p w14:paraId="17F0B19E" w14:textId="76FABBEB" w:rsidR="00BD5E6F" w:rsidRPr="002B3B95" w:rsidRDefault="00BD5E6F" w:rsidP="00BD5E6F">
      <w:pPr>
        <w:pStyle w:val="FootnoteText"/>
        <w:ind w:firstLine="709"/>
        <w:jc w:val="both"/>
        <w:rPr>
          <w:rFonts w:ascii="Cambria" w:hAnsi="Cambria"/>
          <w:sz w:val="16"/>
          <w:szCs w:val="16"/>
        </w:rPr>
      </w:pPr>
      <w:r w:rsidRPr="00BD5E6F">
        <w:rPr>
          <w:rStyle w:val="FootnoteReference"/>
          <w:rFonts w:ascii="Cambria" w:hAnsi="Cambria"/>
          <w:sz w:val="16"/>
          <w:szCs w:val="16"/>
        </w:rPr>
        <w:footnoteRef/>
      </w:r>
      <w:r w:rsidRPr="00BD5E6F">
        <w:rPr>
          <w:rFonts w:ascii="Cambria" w:hAnsi="Cambria"/>
          <w:sz w:val="16"/>
          <w:szCs w:val="16"/>
        </w:rPr>
        <w:t xml:space="preserve"> </w:t>
      </w:r>
      <w:r w:rsidRPr="002B3B95">
        <w:rPr>
          <w:rFonts w:ascii="Cambria" w:hAnsi="Cambria"/>
          <w:sz w:val="16"/>
          <w:szCs w:val="16"/>
        </w:rPr>
        <w:t xml:space="preserve">See IACHR, Annual Report 2024, Chapter II, Section C. Advances and challenges on negotiation and implementation of friendly settlements agreements. Available at: </w:t>
      </w:r>
      <w:hyperlink r:id="rId4" w:history="1">
        <w:r w:rsidRPr="002B3B95">
          <w:rPr>
            <w:rStyle w:val="Hyperlink"/>
            <w:rFonts w:ascii="Cambria" w:hAnsi="Cambria"/>
            <w:sz w:val="16"/>
            <w:szCs w:val="16"/>
          </w:rPr>
          <w:t>https://www.oas.org/en/iachr/docs/annual/2024/chapters/IA2024_2_EN.PDF</w:t>
        </w:r>
      </w:hyperlink>
      <w:r w:rsidRPr="002B3B95">
        <w:rPr>
          <w:rFonts w:ascii="Cambria" w:hAnsi="Cambri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D530"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B052" w14:textId="77777777" w:rsidR="00A343FF" w:rsidRDefault="009A73C0" w:rsidP="00DC7C8F">
    <w:pPr>
      <w:pStyle w:val="Header"/>
      <w:jc w:val="center"/>
    </w:pPr>
    <w:r>
      <w:rPr>
        <w:noProof/>
      </w:rPr>
      <w:drawing>
        <wp:inline distT="0" distB="0" distL="0" distR="0" wp14:anchorId="3DA1D74D" wp14:editId="04CD84E3">
          <wp:extent cx="2286000" cy="114300"/>
          <wp:effectExtent l="0" t="0" r="0" b="0"/>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
                  </a:xfrm>
                  <a:prstGeom prst="rect">
                    <a:avLst/>
                  </a:prstGeom>
                  <a:noFill/>
                  <a:ln>
                    <a:noFill/>
                  </a:ln>
                </pic:spPr>
              </pic:pic>
            </a:graphicData>
          </a:graphic>
        </wp:inline>
      </w:drawing>
    </w:r>
  </w:p>
  <w:p w14:paraId="5548F4C2" w14:textId="77777777" w:rsidR="00A343FF" w:rsidRDefault="00E62190">
    <w:pPr>
      <w:pStyle w:val="Header"/>
    </w:pPr>
    <w:r>
      <w:rPr>
        <w:noProof/>
      </w:rPr>
      <w:pict w14:anchorId="5B6F98C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6893" w14:textId="77777777" w:rsidR="00A61B5E" w:rsidRDefault="009A73C0" w:rsidP="00A61B5E">
    <w:pPr>
      <w:pStyle w:val="Header"/>
    </w:pPr>
    <w:r>
      <w:rPr>
        <w:noProof/>
      </w:rPr>
      <w:drawing>
        <wp:anchor distT="0" distB="0" distL="114300" distR="114300" simplePos="0" relativeHeight="251657216" behindDoc="1" locked="0" layoutInCell="1" allowOverlap="1" wp14:anchorId="49D89616" wp14:editId="1502AB67">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88546992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27646FE" wp14:editId="2E8E3712">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141" y="0"/>
              <wp:lineTo x="0" y="4397"/>
              <wp:lineTo x="0" y="14290"/>
              <wp:lineTo x="143" y="17588"/>
              <wp:lineTo x="998" y="20885"/>
              <wp:lineTo x="1141" y="20885"/>
              <wp:lineTo x="3850" y="20885"/>
              <wp:lineTo x="4135" y="20885"/>
              <wp:lineTo x="5133" y="17588"/>
              <wp:lineTo x="21529" y="17588"/>
              <wp:lineTo x="21529" y="11542"/>
              <wp:lineTo x="20388" y="8794"/>
              <wp:lineTo x="20673" y="4947"/>
              <wp:lineTo x="18820" y="3847"/>
              <wp:lineTo x="4135" y="0"/>
              <wp:lineTo x="1141" y="0"/>
            </wp:wrapPolygon>
          </wp:wrapThrough>
          <wp:docPr id="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6FE98F63" w14:textId="77777777" w:rsidR="00F53B51" w:rsidRDefault="00F53B51" w:rsidP="00A61B5E">
    <w:pPr>
      <w:pStyle w:val="Header"/>
    </w:pPr>
  </w:p>
  <w:p w14:paraId="6E2ECDCF" w14:textId="77777777" w:rsidR="00F53B51" w:rsidRDefault="00F53B51" w:rsidP="00A61B5E">
    <w:pPr>
      <w:pStyle w:val="Header"/>
    </w:pPr>
  </w:p>
  <w:p w14:paraId="149A805A" w14:textId="77777777" w:rsidR="00A61B5E" w:rsidRDefault="00E62190" w:rsidP="00A61B5E">
    <w:pPr>
      <w:pStyle w:val="Header"/>
    </w:pPr>
    <w:r>
      <w:rPr>
        <w:noProof/>
      </w:rPr>
      <w:pict w14:anchorId="20E37B3E">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EB2"/>
    <w:multiLevelType w:val="hybridMultilevel"/>
    <w:tmpl w:val="F2EE32A4"/>
    <w:lvl w:ilvl="0" w:tplc="78CEEF1C">
      <w:start w:val="1"/>
      <w:numFmt w:val="decimal"/>
      <w:lvlText w:val="%1."/>
      <w:lvlJc w:val="left"/>
      <w:pPr>
        <w:ind w:left="1080" w:hanging="360"/>
      </w:pPr>
      <w:rPr>
        <w:rFonts w:ascii="Cambria" w:hAnsi="Cambria" w:cs="Cambria" w:hint="default"/>
        <w:b w:val="0"/>
        <w:bCs w:val="0"/>
        <w:sz w:val="20"/>
        <w:szCs w:val="20"/>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 w15:restartNumberingAfterBreak="0">
    <w:nsid w:val="0AA10711"/>
    <w:multiLevelType w:val="hybridMultilevel"/>
    <w:tmpl w:val="3CFA9B1A"/>
    <w:lvl w:ilvl="0" w:tplc="E814C9C6">
      <w:start w:val="1"/>
      <w:numFmt w:val="upperLetter"/>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D01CC"/>
    <w:multiLevelType w:val="hybridMultilevel"/>
    <w:tmpl w:val="8970FA82"/>
    <w:lvl w:ilvl="0" w:tplc="081690D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B5C7B"/>
    <w:multiLevelType w:val="hybridMultilevel"/>
    <w:tmpl w:val="3CB0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B3573"/>
    <w:multiLevelType w:val="hybridMultilevel"/>
    <w:tmpl w:val="98F2158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F03100"/>
    <w:multiLevelType w:val="hybridMultilevel"/>
    <w:tmpl w:val="F88EE254"/>
    <w:lvl w:ilvl="0" w:tplc="DABE6054">
      <w:start w:val="1"/>
      <w:numFmt w:val="decimal"/>
      <w:lvlText w:val="%1."/>
      <w:lvlJc w:val="left"/>
      <w:pPr>
        <w:ind w:left="720" w:hanging="360"/>
      </w:pPr>
    </w:lvl>
    <w:lvl w:ilvl="1" w:tplc="0C0A0019">
      <w:start w:val="1"/>
      <w:numFmt w:val="lowerLetter"/>
      <w:lvlText w:val="%2."/>
      <w:lvlJc w:val="left"/>
      <w:pPr>
        <w:ind w:left="1980" w:hanging="360"/>
      </w:pPr>
    </w:lvl>
    <w:lvl w:ilvl="2" w:tplc="0C0A001B">
      <w:start w:val="1"/>
      <w:numFmt w:val="lowerRoman"/>
      <w:lvlText w:val="%3."/>
      <w:lvlJc w:val="right"/>
      <w:pPr>
        <w:ind w:left="2700" w:hanging="180"/>
      </w:pPr>
    </w:lvl>
    <w:lvl w:ilvl="3" w:tplc="0C0A000F">
      <w:start w:val="1"/>
      <w:numFmt w:val="decimal"/>
      <w:lvlText w:val="%4."/>
      <w:lvlJc w:val="left"/>
      <w:pPr>
        <w:ind w:left="3420" w:hanging="360"/>
      </w:pPr>
    </w:lvl>
    <w:lvl w:ilvl="4" w:tplc="0C0A0019">
      <w:start w:val="1"/>
      <w:numFmt w:val="lowerLetter"/>
      <w:lvlText w:val="%5."/>
      <w:lvlJc w:val="left"/>
      <w:pPr>
        <w:ind w:left="4140" w:hanging="360"/>
      </w:pPr>
    </w:lvl>
    <w:lvl w:ilvl="5" w:tplc="0C0A001B">
      <w:start w:val="1"/>
      <w:numFmt w:val="lowerRoman"/>
      <w:lvlText w:val="%6."/>
      <w:lvlJc w:val="right"/>
      <w:pPr>
        <w:ind w:left="4860" w:hanging="180"/>
      </w:pPr>
    </w:lvl>
    <w:lvl w:ilvl="6" w:tplc="0C0A000F">
      <w:start w:val="1"/>
      <w:numFmt w:val="decimal"/>
      <w:lvlText w:val="%7."/>
      <w:lvlJc w:val="left"/>
      <w:pPr>
        <w:ind w:left="5580" w:hanging="360"/>
      </w:pPr>
    </w:lvl>
    <w:lvl w:ilvl="7" w:tplc="0C0A0019">
      <w:start w:val="1"/>
      <w:numFmt w:val="lowerLetter"/>
      <w:lvlText w:val="%8."/>
      <w:lvlJc w:val="left"/>
      <w:pPr>
        <w:ind w:left="6300" w:hanging="360"/>
      </w:pPr>
    </w:lvl>
    <w:lvl w:ilvl="8" w:tplc="0C0A001B">
      <w:start w:val="1"/>
      <w:numFmt w:val="lowerRoman"/>
      <w:lvlText w:val="%9."/>
      <w:lvlJc w:val="right"/>
      <w:pPr>
        <w:ind w:left="7020" w:hanging="180"/>
      </w:pPr>
    </w:lvl>
  </w:abstractNum>
  <w:abstractNum w:abstractNumId="6" w15:restartNumberingAfterBreak="0">
    <w:nsid w:val="17500734"/>
    <w:multiLevelType w:val="multilevel"/>
    <w:tmpl w:val="1BDAC532"/>
    <w:lvl w:ilvl="0">
      <w:start w:val="1"/>
      <w:numFmt w:val="decimal"/>
      <w:lvlText w:val="%1."/>
      <w:lvlJc w:val="left"/>
      <w:pPr>
        <w:ind w:left="1080" w:hanging="360"/>
      </w:pPr>
      <w:rPr>
        <w:rFonts w:ascii="Cambria" w:hAnsi="Cambria" w:hint="default"/>
        <w:sz w:val="20"/>
        <w:szCs w:val="20"/>
      </w:rPr>
    </w:lvl>
    <w:lvl w:ilvl="1">
      <w:start w:val="1"/>
      <w:numFmt w:val="decimal"/>
      <w:isLgl/>
      <w:lvlText w:val="%1.%2"/>
      <w:lvlJc w:val="left"/>
      <w:pPr>
        <w:ind w:left="36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1ACE7A24"/>
    <w:multiLevelType w:val="hybridMultilevel"/>
    <w:tmpl w:val="21843F30"/>
    <w:lvl w:ilvl="0" w:tplc="C15680D8">
      <w:start w:val="4"/>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7753E"/>
    <w:multiLevelType w:val="hybridMultilevel"/>
    <w:tmpl w:val="60865F60"/>
    <w:lvl w:ilvl="0" w:tplc="080A0001">
      <w:start w:val="1"/>
      <w:numFmt w:val="bullet"/>
      <w:lvlText w:val=""/>
      <w:lvlJc w:val="left"/>
      <w:pPr>
        <w:ind w:left="1440" w:hanging="360"/>
      </w:pPr>
      <w:rPr>
        <w:rFonts w:ascii="Symbol" w:hAnsi="Symbol" w:cs="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cs="Wingdings" w:hint="default"/>
      </w:rPr>
    </w:lvl>
    <w:lvl w:ilvl="3" w:tplc="080A0001">
      <w:start w:val="1"/>
      <w:numFmt w:val="bullet"/>
      <w:lvlText w:val=""/>
      <w:lvlJc w:val="left"/>
      <w:pPr>
        <w:ind w:left="3600" w:hanging="360"/>
      </w:pPr>
      <w:rPr>
        <w:rFonts w:ascii="Symbol" w:hAnsi="Symbol" w:cs="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cs="Wingdings" w:hint="default"/>
      </w:rPr>
    </w:lvl>
    <w:lvl w:ilvl="6" w:tplc="080A0001">
      <w:start w:val="1"/>
      <w:numFmt w:val="bullet"/>
      <w:lvlText w:val=""/>
      <w:lvlJc w:val="left"/>
      <w:pPr>
        <w:ind w:left="5760" w:hanging="360"/>
      </w:pPr>
      <w:rPr>
        <w:rFonts w:ascii="Symbol" w:hAnsi="Symbol" w:cs="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cs="Wingdings" w:hint="default"/>
      </w:rPr>
    </w:lvl>
  </w:abstractNum>
  <w:abstractNum w:abstractNumId="10" w15:restartNumberingAfterBreak="0">
    <w:nsid w:val="26582976"/>
    <w:multiLevelType w:val="hybridMultilevel"/>
    <w:tmpl w:val="A204FA62"/>
    <w:lvl w:ilvl="0" w:tplc="474CA6B0">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D55483B"/>
    <w:multiLevelType w:val="hybridMultilevel"/>
    <w:tmpl w:val="6E0AE690"/>
    <w:lvl w:ilvl="0" w:tplc="6B1221EE">
      <w:start w:val="7"/>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92331"/>
    <w:multiLevelType w:val="hybridMultilevel"/>
    <w:tmpl w:val="EE8E5C28"/>
    <w:lvl w:ilvl="0" w:tplc="9712026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C20BE"/>
    <w:multiLevelType w:val="hybridMultilevel"/>
    <w:tmpl w:val="E67EED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0D220D"/>
    <w:multiLevelType w:val="hybridMultilevel"/>
    <w:tmpl w:val="B07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816C6"/>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46356"/>
    <w:multiLevelType w:val="hybridMultilevel"/>
    <w:tmpl w:val="C832D3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522C6C"/>
    <w:multiLevelType w:val="hybridMultilevel"/>
    <w:tmpl w:val="7F046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73535"/>
    <w:multiLevelType w:val="hybridMultilevel"/>
    <w:tmpl w:val="61A67360"/>
    <w:lvl w:ilvl="0" w:tplc="84565F88">
      <w:start w:val="1"/>
      <w:numFmt w:val="upperLetter"/>
      <w:lvlText w:val="%1."/>
      <w:lvlJc w:val="left"/>
      <w:pPr>
        <w:ind w:left="1080" w:hanging="360"/>
      </w:pPr>
      <w:rPr>
        <w:rFonts w:eastAsiaTheme="minorHAnsi" w:cstheme="minorBid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45EC3815"/>
    <w:multiLevelType w:val="hybridMultilevel"/>
    <w:tmpl w:val="634860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40792F"/>
    <w:multiLevelType w:val="hybridMultilevel"/>
    <w:tmpl w:val="5F5CAB6E"/>
    <w:lvl w:ilvl="0" w:tplc="4086A9CA">
      <w:numFmt w:val="bullet"/>
      <w:lvlText w:val="-"/>
      <w:lvlJc w:val="left"/>
      <w:pPr>
        <w:ind w:left="720" w:hanging="360"/>
      </w:pPr>
      <w:rPr>
        <w:rFonts w:ascii="Cambria" w:eastAsia="Calibri"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D40730"/>
    <w:multiLevelType w:val="hybridMultilevel"/>
    <w:tmpl w:val="80C2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57859"/>
    <w:multiLevelType w:val="hybridMultilevel"/>
    <w:tmpl w:val="2ED4D6D8"/>
    <w:lvl w:ilvl="0" w:tplc="52144A8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B4472"/>
    <w:multiLevelType w:val="hybridMultilevel"/>
    <w:tmpl w:val="F40C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A607C2"/>
    <w:multiLevelType w:val="hybridMultilevel"/>
    <w:tmpl w:val="47D04940"/>
    <w:lvl w:ilvl="0" w:tplc="7C345A0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1B5598"/>
    <w:multiLevelType w:val="hybridMultilevel"/>
    <w:tmpl w:val="82961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12C71"/>
    <w:multiLevelType w:val="hybridMultilevel"/>
    <w:tmpl w:val="598268C2"/>
    <w:lvl w:ilvl="0" w:tplc="D95091A6">
      <w:start w:val="3"/>
      <w:numFmt w:val="decimal"/>
      <w:lvlText w:val="%1."/>
      <w:lvlJc w:val="left"/>
      <w:pPr>
        <w:ind w:left="720" w:hanging="360"/>
      </w:pPr>
      <w:rPr>
        <w:rFonts w:ascii="Cambria" w:hAnsi="Cambria" w:cs="Cambria" w:hint="default"/>
        <w:b w:val="0"/>
        <w:bCs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4712EBB"/>
    <w:multiLevelType w:val="hybridMultilevel"/>
    <w:tmpl w:val="F23ECB98"/>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59A457C"/>
    <w:multiLevelType w:val="hybridMultilevel"/>
    <w:tmpl w:val="2AD22794"/>
    <w:lvl w:ilvl="0" w:tplc="BC2696BC">
      <w:start w:val="1"/>
      <w:numFmt w:val="upperRoman"/>
      <w:lvlText w:val="%1."/>
      <w:lvlJc w:val="left"/>
      <w:pPr>
        <w:ind w:left="144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6AF402B"/>
    <w:multiLevelType w:val="hybridMultilevel"/>
    <w:tmpl w:val="C88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73E5A"/>
    <w:multiLevelType w:val="hybridMultilevel"/>
    <w:tmpl w:val="E9C83F88"/>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2876C1"/>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E6D06"/>
    <w:multiLevelType w:val="hybridMultilevel"/>
    <w:tmpl w:val="F5F4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F1327"/>
    <w:multiLevelType w:val="hybridMultilevel"/>
    <w:tmpl w:val="58CCEF62"/>
    <w:lvl w:ilvl="0" w:tplc="3BB85CC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2D301AD"/>
    <w:multiLevelType w:val="hybridMultilevel"/>
    <w:tmpl w:val="16225D3E"/>
    <w:lvl w:ilvl="0" w:tplc="ADD442F4">
      <w:start w:val="2"/>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1424F1"/>
    <w:multiLevelType w:val="hybridMultilevel"/>
    <w:tmpl w:val="9884AD90"/>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4654F51"/>
    <w:multiLevelType w:val="hybridMultilevel"/>
    <w:tmpl w:val="736E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76EC8"/>
    <w:multiLevelType w:val="hybridMultilevel"/>
    <w:tmpl w:val="C832D3B2"/>
    <w:lvl w:ilvl="0" w:tplc="83B05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84106"/>
    <w:multiLevelType w:val="hybridMultilevel"/>
    <w:tmpl w:val="A08CC97E"/>
    <w:lvl w:ilvl="0" w:tplc="B0BC88B4">
      <w:start w:val="6"/>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921A3E"/>
    <w:multiLevelType w:val="hybridMultilevel"/>
    <w:tmpl w:val="0A6AE3E8"/>
    <w:lvl w:ilvl="0" w:tplc="F1726806">
      <w:start w:val="2"/>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773AA"/>
    <w:multiLevelType w:val="hybridMultilevel"/>
    <w:tmpl w:val="2AD22794"/>
    <w:lvl w:ilvl="0" w:tplc="BC2696BC">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E2692"/>
    <w:multiLevelType w:val="hybridMultilevel"/>
    <w:tmpl w:val="4D7CE0A8"/>
    <w:lvl w:ilvl="0" w:tplc="4686E8B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1F50A04"/>
    <w:multiLevelType w:val="hybridMultilevel"/>
    <w:tmpl w:val="6C1E1AC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C41D44"/>
    <w:multiLevelType w:val="hybridMultilevel"/>
    <w:tmpl w:val="826289F6"/>
    <w:lvl w:ilvl="0" w:tplc="83E6A65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16721">
    <w:abstractNumId w:val="39"/>
  </w:num>
  <w:num w:numId="2" w16cid:durableId="386493659">
    <w:abstractNumId w:val="29"/>
  </w:num>
  <w:num w:numId="3" w16cid:durableId="1073046593">
    <w:abstractNumId w:val="21"/>
  </w:num>
  <w:num w:numId="4" w16cid:durableId="665286190">
    <w:abstractNumId w:val="28"/>
  </w:num>
  <w:num w:numId="5" w16cid:durableId="890190884">
    <w:abstractNumId w:val="20"/>
  </w:num>
  <w:num w:numId="6" w16cid:durableId="1269696070">
    <w:abstractNumId w:val="17"/>
  </w:num>
  <w:num w:numId="7" w16cid:durableId="369956807">
    <w:abstractNumId w:val="36"/>
  </w:num>
  <w:num w:numId="8" w16cid:durableId="1461067811">
    <w:abstractNumId w:val="32"/>
  </w:num>
  <w:num w:numId="9" w16cid:durableId="1469392667">
    <w:abstractNumId w:val="40"/>
  </w:num>
  <w:num w:numId="10" w16cid:durableId="126054260">
    <w:abstractNumId w:val="3"/>
  </w:num>
  <w:num w:numId="11" w16cid:durableId="14933726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0625847">
    <w:abstractNumId w:val="8"/>
  </w:num>
  <w:num w:numId="13" w16cid:durableId="888763914">
    <w:abstractNumId w:val="15"/>
  </w:num>
  <w:num w:numId="14" w16cid:durableId="1191532033">
    <w:abstractNumId w:val="0"/>
  </w:num>
  <w:num w:numId="15" w16cid:durableId="2065325609">
    <w:abstractNumId w:val="9"/>
  </w:num>
  <w:num w:numId="16" w16cid:durableId="203366524">
    <w:abstractNumId w:val="35"/>
  </w:num>
  <w:num w:numId="17" w16cid:durableId="1994485589">
    <w:abstractNumId w:val="34"/>
  </w:num>
  <w:num w:numId="18" w16cid:durableId="593170908">
    <w:abstractNumId w:val="13"/>
  </w:num>
  <w:num w:numId="19" w16cid:durableId="1387949599">
    <w:abstractNumId w:val="27"/>
  </w:num>
  <w:num w:numId="20" w16cid:durableId="2114475546">
    <w:abstractNumId w:val="25"/>
  </w:num>
  <w:num w:numId="21" w16cid:durableId="1129208414">
    <w:abstractNumId w:val="7"/>
  </w:num>
  <w:num w:numId="22" w16cid:durableId="54397452">
    <w:abstractNumId w:val="11"/>
  </w:num>
  <w:num w:numId="23" w16cid:durableId="2113012360">
    <w:abstractNumId w:val="26"/>
  </w:num>
  <w:num w:numId="24" w16cid:durableId="1256785358">
    <w:abstractNumId w:val="14"/>
  </w:num>
  <w:num w:numId="25" w16cid:durableId="621379413">
    <w:abstractNumId w:val="33"/>
  </w:num>
  <w:num w:numId="26" w16cid:durableId="977150517">
    <w:abstractNumId w:val="19"/>
  </w:num>
  <w:num w:numId="27" w16cid:durableId="328752619">
    <w:abstractNumId w:val="22"/>
  </w:num>
  <w:num w:numId="28" w16cid:durableId="189227929">
    <w:abstractNumId w:val="42"/>
  </w:num>
  <w:num w:numId="29" w16cid:durableId="1831368133">
    <w:abstractNumId w:val="41"/>
  </w:num>
  <w:num w:numId="30" w16cid:durableId="1716999929">
    <w:abstractNumId w:val="16"/>
  </w:num>
  <w:num w:numId="31" w16cid:durableId="1063480400">
    <w:abstractNumId w:val="12"/>
  </w:num>
  <w:num w:numId="32" w16cid:durableId="1943146568">
    <w:abstractNumId w:val="4"/>
  </w:num>
  <w:num w:numId="33" w16cid:durableId="1476990475">
    <w:abstractNumId w:val="10"/>
  </w:num>
  <w:num w:numId="34" w16cid:durableId="1228420666">
    <w:abstractNumId w:val="37"/>
  </w:num>
  <w:num w:numId="35" w16cid:durableId="7492617">
    <w:abstractNumId w:val="43"/>
  </w:num>
  <w:num w:numId="36" w16cid:durableId="308216504">
    <w:abstractNumId w:val="30"/>
  </w:num>
  <w:num w:numId="37" w16cid:durableId="1528759844">
    <w:abstractNumId w:val="1"/>
  </w:num>
  <w:num w:numId="38" w16cid:durableId="1001276887">
    <w:abstractNumId w:val="2"/>
  </w:num>
  <w:num w:numId="39" w16cid:durableId="2040281333">
    <w:abstractNumId w:val="38"/>
  </w:num>
  <w:num w:numId="40" w16cid:durableId="1169834467">
    <w:abstractNumId w:val="23"/>
  </w:num>
  <w:num w:numId="41" w16cid:durableId="1534853125">
    <w:abstractNumId w:val="31"/>
  </w:num>
  <w:num w:numId="42" w16cid:durableId="1927375965">
    <w:abstractNumId w:val="6"/>
  </w:num>
  <w:num w:numId="43" w16cid:durableId="1931157220">
    <w:abstractNumId w:val="24"/>
  </w:num>
  <w:num w:numId="44" w16cid:durableId="2107725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777309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47B56"/>
    <w:rsid w:val="0006625E"/>
    <w:rsid w:val="00076A15"/>
    <w:rsid w:val="00086009"/>
    <w:rsid w:val="00092EFD"/>
    <w:rsid w:val="00096079"/>
    <w:rsid w:val="000E14E3"/>
    <w:rsid w:val="0012586C"/>
    <w:rsid w:val="0014555C"/>
    <w:rsid w:val="00150E20"/>
    <w:rsid w:val="00193906"/>
    <w:rsid w:val="00204BC4"/>
    <w:rsid w:val="0021669C"/>
    <w:rsid w:val="00226F48"/>
    <w:rsid w:val="002319CE"/>
    <w:rsid w:val="00236A78"/>
    <w:rsid w:val="00240E8E"/>
    <w:rsid w:val="002650A2"/>
    <w:rsid w:val="00283964"/>
    <w:rsid w:val="002859A9"/>
    <w:rsid w:val="00292B52"/>
    <w:rsid w:val="00294B17"/>
    <w:rsid w:val="002A39B2"/>
    <w:rsid w:val="002B3B95"/>
    <w:rsid w:val="002F2DC7"/>
    <w:rsid w:val="00343CED"/>
    <w:rsid w:val="00393310"/>
    <w:rsid w:val="003A2B80"/>
    <w:rsid w:val="003C4836"/>
    <w:rsid w:val="003D2D55"/>
    <w:rsid w:val="003F2DDA"/>
    <w:rsid w:val="00400A82"/>
    <w:rsid w:val="00413FCD"/>
    <w:rsid w:val="004140B8"/>
    <w:rsid w:val="00422D2A"/>
    <w:rsid w:val="00457711"/>
    <w:rsid w:val="0047146A"/>
    <w:rsid w:val="004722BC"/>
    <w:rsid w:val="00486911"/>
    <w:rsid w:val="004B3074"/>
    <w:rsid w:val="004B5A99"/>
    <w:rsid w:val="004C1718"/>
    <w:rsid w:val="00506CFE"/>
    <w:rsid w:val="00513A38"/>
    <w:rsid w:val="00533294"/>
    <w:rsid w:val="00534F2B"/>
    <w:rsid w:val="005566F5"/>
    <w:rsid w:val="005A2869"/>
    <w:rsid w:val="005A328E"/>
    <w:rsid w:val="005A5E14"/>
    <w:rsid w:val="005B3C19"/>
    <w:rsid w:val="005B6392"/>
    <w:rsid w:val="005C3542"/>
    <w:rsid w:val="005F4AAA"/>
    <w:rsid w:val="0060012C"/>
    <w:rsid w:val="00604132"/>
    <w:rsid w:val="00607CC7"/>
    <w:rsid w:val="0063220A"/>
    <w:rsid w:val="00641D03"/>
    <w:rsid w:val="00687213"/>
    <w:rsid w:val="006A25F7"/>
    <w:rsid w:val="006B6131"/>
    <w:rsid w:val="006E2BD8"/>
    <w:rsid w:val="006F0429"/>
    <w:rsid w:val="00720B84"/>
    <w:rsid w:val="0075251C"/>
    <w:rsid w:val="00754FFD"/>
    <w:rsid w:val="00774F86"/>
    <w:rsid w:val="00776D5B"/>
    <w:rsid w:val="007A485F"/>
    <w:rsid w:val="007B0327"/>
    <w:rsid w:val="007B5729"/>
    <w:rsid w:val="007C2CC3"/>
    <w:rsid w:val="007C351D"/>
    <w:rsid w:val="007C3E98"/>
    <w:rsid w:val="007E361B"/>
    <w:rsid w:val="007F5F4E"/>
    <w:rsid w:val="0080119C"/>
    <w:rsid w:val="00807BAA"/>
    <w:rsid w:val="008550EF"/>
    <w:rsid w:val="0086310F"/>
    <w:rsid w:val="008A7933"/>
    <w:rsid w:val="008D188F"/>
    <w:rsid w:val="008E42E1"/>
    <w:rsid w:val="008F2248"/>
    <w:rsid w:val="00901B37"/>
    <w:rsid w:val="00913220"/>
    <w:rsid w:val="00920591"/>
    <w:rsid w:val="00967413"/>
    <w:rsid w:val="0098564E"/>
    <w:rsid w:val="009949ED"/>
    <w:rsid w:val="009A73C0"/>
    <w:rsid w:val="009B219C"/>
    <w:rsid w:val="009C227B"/>
    <w:rsid w:val="009C4D87"/>
    <w:rsid w:val="009E73F0"/>
    <w:rsid w:val="00A2502C"/>
    <w:rsid w:val="00A25CA7"/>
    <w:rsid w:val="00A31FA7"/>
    <w:rsid w:val="00A343FF"/>
    <w:rsid w:val="00A61B5E"/>
    <w:rsid w:val="00A7781B"/>
    <w:rsid w:val="00A94641"/>
    <w:rsid w:val="00AE1B0F"/>
    <w:rsid w:val="00B056D9"/>
    <w:rsid w:val="00B205A7"/>
    <w:rsid w:val="00B5431F"/>
    <w:rsid w:val="00B71AB7"/>
    <w:rsid w:val="00B806AC"/>
    <w:rsid w:val="00B93993"/>
    <w:rsid w:val="00BA2B9F"/>
    <w:rsid w:val="00BA7724"/>
    <w:rsid w:val="00BB46E5"/>
    <w:rsid w:val="00BD5E6F"/>
    <w:rsid w:val="00C17F04"/>
    <w:rsid w:val="00C402CB"/>
    <w:rsid w:val="00C44D28"/>
    <w:rsid w:val="00C57947"/>
    <w:rsid w:val="00C71434"/>
    <w:rsid w:val="00CB6344"/>
    <w:rsid w:val="00CC6DB2"/>
    <w:rsid w:val="00CD545A"/>
    <w:rsid w:val="00CE4E6F"/>
    <w:rsid w:val="00CF54E1"/>
    <w:rsid w:val="00D05BCC"/>
    <w:rsid w:val="00D2459E"/>
    <w:rsid w:val="00D90D22"/>
    <w:rsid w:val="00DA3C91"/>
    <w:rsid w:val="00DC5A37"/>
    <w:rsid w:val="00DC7C8F"/>
    <w:rsid w:val="00DD05C3"/>
    <w:rsid w:val="00DD1591"/>
    <w:rsid w:val="00DD51FB"/>
    <w:rsid w:val="00DE14B5"/>
    <w:rsid w:val="00DF0FE5"/>
    <w:rsid w:val="00E27850"/>
    <w:rsid w:val="00E3040C"/>
    <w:rsid w:val="00E44647"/>
    <w:rsid w:val="00E62190"/>
    <w:rsid w:val="00E6614F"/>
    <w:rsid w:val="00E93B77"/>
    <w:rsid w:val="00EA09D8"/>
    <w:rsid w:val="00EB0395"/>
    <w:rsid w:val="00EB2DCD"/>
    <w:rsid w:val="00F035F2"/>
    <w:rsid w:val="00F306C1"/>
    <w:rsid w:val="00F36C7F"/>
    <w:rsid w:val="00F53B51"/>
    <w:rsid w:val="00F54F60"/>
    <w:rsid w:val="00F63275"/>
    <w:rsid w:val="00F66FEE"/>
    <w:rsid w:val="00F74974"/>
    <w:rsid w:val="00FC66C2"/>
    <w:rsid w:val="00FD3451"/>
    <w:rsid w:val="00FD65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5C9D1"/>
  <w15:chartTrackingRefBased/>
  <w15:docId w15:val="{B4EA294D-61C5-2E46-8C7B-6F882B6D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D15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591"/>
    <w:rPr>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DD1591"/>
    <w:rPr>
      <w:vertAlign w:val="superscript"/>
    </w:rPr>
  </w:style>
  <w:style w:type="paragraph" w:customStyle="1" w:styleId="Appelnotedebasde">
    <w:name w:val="Appel note de bas de..."/>
    <w:basedOn w:val="Normal"/>
    <w:link w:val="FootnoteReference"/>
    <w:rsid w:val="00DD1591"/>
    <w:pPr>
      <w:spacing w:after="160" w:line="240" w:lineRule="exact"/>
    </w:pPr>
    <w:rPr>
      <w:sz w:val="20"/>
      <w:szCs w:val="20"/>
      <w:vertAlign w:val="superscript"/>
      <w:lang w:val="es-MX" w:eastAsia="es-MX"/>
    </w:rPr>
  </w:style>
  <w:style w:type="paragraph" w:styleId="ListParagraph">
    <w:name w:val="List Paragraph"/>
    <w:basedOn w:val="Normal"/>
    <w:uiPriority w:val="34"/>
    <w:qFormat/>
    <w:rsid w:val="00DD1591"/>
    <w:pPr>
      <w:ind w:left="720"/>
      <w:contextualSpacing/>
    </w:pPr>
  </w:style>
  <w:style w:type="character" w:styleId="Hyperlink">
    <w:name w:val="Hyperlink"/>
    <w:basedOn w:val="DefaultParagraphFont"/>
    <w:uiPriority w:val="99"/>
    <w:unhideWhenUsed/>
    <w:rsid w:val="00920591"/>
    <w:rPr>
      <w:color w:val="467886" w:themeColor="hyperlink"/>
      <w:u w:val="single"/>
    </w:rPr>
  </w:style>
  <w:style w:type="character" w:styleId="UnresolvedMention">
    <w:name w:val="Unresolved Mention"/>
    <w:basedOn w:val="DefaultParagraphFont"/>
    <w:uiPriority w:val="99"/>
    <w:semiHidden/>
    <w:unhideWhenUsed/>
    <w:rsid w:val="00920591"/>
    <w:rPr>
      <w:color w:val="605E5C"/>
      <w:shd w:val="clear" w:color="auto" w:fill="E1DFDD"/>
    </w:rPr>
  </w:style>
  <w:style w:type="character" w:styleId="CommentReference">
    <w:name w:val="annotation reference"/>
    <w:basedOn w:val="DefaultParagraphFont"/>
    <w:uiPriority w:val="99"/>
    <w:semiHidden/>
    <w:unhideWhenUsed/>
    <w:rsid w:val="00FD3451"/>
    <w:rPr>
      <w:sz w:val="16"/>
      <w:szCs w:val="16"/>
    </w:rPr>
  </w:style>
  <w:style w:type="paragraph" w:styleId="CommentText">
    <w:name w:val="annotation text"/>
    <w:basedOn w:val="Normal"/>
    <w:link w:val="CommentTextChar"/>
    <w:uiPriority w:val="99"/>
    <w:semiHidden/>
    <w:unhideWhenUsed/>
    <w:rsid w:val="00FD3451"/>
    <w:pPr>
      <w:spacing w:line="240" w:lineRule="auto"/>
    </w:pPr>
    <w:rPr>
      <w:sz w:val="20"/>
      <w:szCs w:val="20"/>
    </w:rPr>
  </w:style>
  <w:style w:type="character" w:customStyle="1" w:styleId="CommentTextChar">
    <w:name w:val="Comment Text Char"/>
    <w:basedOn w:val="DefaultParagraphFont"/>
    <w:link w:val="CommentText"/>
    <w:uiPriority w:val="99"/>
    <w:semiHidden/>
    <w:rsid w:val="00FD3451"/>
    <w:rPr>
      <w:lang w:val="en-US" w:eastAsia="en-US"/>
    </w:rPr>
  </w:style>
  <w:style w:type="paragraph" w:styleId="CommentSubject">
    <w:name w:val="annotation subject"/>
    <w:basedOn w:val="CommentText"/>
    <w:next w:val="CommentText"/>
    <w:link w:val="CommentSubjectChar"/>
    <w:uiPriority w:val="99"/>
    <w:semiHidden/>
    <w:unhideWhenUsed/>
    <w:rsid w:val="00FD3451"/>
    <w:rPr>
      <w:b/>
      <w:bCs/>
    </w:rPr>
  </w:style>
  <w:style w:type="character" w:customStyle="1" w:styleId="CommentSubjectChar">
    <w:name w:val="Comment Subject Char"/>
    <w:basedOn w:val="CommentTextChar"/>
    <w:link w:val="CommentSubject"/>
    <w:uiPriority w:val="99"/>
    <w:semiHidden/>
    <w:rsid w:val="00FD345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as.org/en/iachr/decisions/2018/COAD190-07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n/iachr/decisions/2021/COSA13.642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n/iachr/decisions/2021/COSA13.642EN.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ocs/annual/2023/chapters/IA2023_Cap_2_ENG.PDF" TargetMode="External"/><Relationship Id="rId2" Type="http://schemas.openxmlformats.org/officeDocument/2006/relationships/hyperlink" Target="https://www.oas.org/en/iachr/docs/annual/2024/chapters/IA2024_2_EN.PDF" TargetMode="External"/><Relationship Id="rId1" Type="http://schemas.openxmlformats.org/officeDocument/2006/relationships/hyperlink" Target="https://www.oas.org/en/iachr/decisions/2021/COSA13.642EN.pdf" TargetMode="External"/><Relationship Id="rId4" Type="http://schemas.openxmlformats.org/officeDocument/2006/relationships/hyperlink" Target="https://www.oas.org/en/iachr/docs/annual/2024/chapters/IA2024_2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3.xml><?xml version="1.0" encoding="utf-8"?>
<ds:datastoreItem xmlns:ds="http://schemas.openxmlformats.org/officeDocument/2006/customXml" ds:itemID="{D7F73363-9B26-4F33-8C97-4166CB8B1039}">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E220DA8C-BE4B-4011-A1F4-0A87FCF58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0D9A7D-3F87-214A-B521-385E0A63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Cartas-es.dotx</Template>
  <TotalTime>6</TotalTime>
  <Pages>4</Pages>
  <Words>1541</Words>
  <Characters>8790</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5</cp:revision>
  <cp:lastPrinted>2025-08-26T18:25:00Z</cp:lastPrinted>
  <dcterms:created xsi:type="dcterms:W3CDTF">2025-07-25T18:21:00Z</dcterms:created>
  <dcterms:modified xsi:type="dcterms:W3CDTF">2025-08-26T18:25:00Z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73400.0000000000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