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9FF4"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5FF7CB66" wp14:editId="4042EAE3">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6ECC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6239D058" wp14:editId="5EFA9D8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80B30" w14:textId="77777777" w:rsidR="00660EA4" w:rsidRDefault="00660EA4" w:rsidP="00AE5488">
                            <w:r>
                              <w:rPr>
                                <w:noProof/>
                              </w:rPr>
                              <w:drawing>
                                <wp:inline distT="0" distB="0" distL="0" distR="0" wp14:anchorId="0F876B7D" wp14:editId="59335C7F">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9D058"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22480B30" w14:textId="77777777" w:rsidR="00660EA4" w:rsidRDefault="00660EA4" w:rsidP="00AE5488">
                      <w:r>
                        <w:rPr>
                          <w:noProof/>
                        </w:rPr>
                        <w:drawing>
                          <wp:inline distT="0" distB="0" distL="0" distR="0" wp14:anchorId="0F876B7D" wp14:editId="59335C7F">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3AC2091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0E2983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FF60A96"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D00F476"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8AF0FC9"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EFD5F59"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93F9E31"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08A494DF"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2CEFE509"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0A3262B0"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A00BA4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8F7F6F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BC91C4B"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4F7B2567" wp14:editId="4256D1E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3708E" w14:textId="04C3D705" w:rsidR="00660EA4" w:rsidRPr="009C64C4" w:rsidRDefault="00660EA4" w:rsidP="00997BC5">
                            <w:pPr>
                              <w:spacing w:line="276" w:lineRule="auto"/>
                              <w:rPr>
                                <w:rFonts w:asciiTheme="majorHAnsi" w:hAnsiTheme="majorHAnsi" w:cs="Arial"/>
                                <w:b/>
                                <w:bCs/>
                                <w:color w:val="0D0D0D" w:themeColor="text1" w:themeTint="F2"/>
                                <w:sz w:val="36"/>
                                <w:szCs w:val="22"/>
                                <w:lang w:val="es-ES_tradnl"/>
                              </w:rPr>
                            </w:pPr>
                            <w:r w:rsidRPr="009C64C4">
                              <w:rPr>
                                <w:rFonts w:asciiTheme="majorHAnsi" w:hAnsiTheme="majorHAnsi" w:cs="Arial"/>
                                <w:b/>
                                <w:bCs/>
                                <w:color w:val="0D0D0D" w:themeColor="text1" w:themeTint="F2"/>
                                <w:sz w:val="36"/>
                                <w:szCs w:val="22"/>
                                <w:lang w:val="es-ES_tradnl"/>
                              </w:rPr>
                              <w:t xml:space="preserve">INFORME </w:t>
                            </w:r>
                            <w:r w:rsidRPr="009C64C4">
                              <w:rPr>
                                <w:rFonts w:asciiTheme="majorHAnsi" w:hAnsiTheme="majorHAnsi" w:cs="Arial"/>
                                <w:b/>
                                <w:bCs/>
                                <w:color w:val="0D0D0D" w:themeColor="text1" w:themeTint="F2"/>
                                <w:sz w:val="36"/>
                                <w:szCs w:val="40"/>
                                <w:lang w:val="es-ES_tradnl"/>
                              </w:rPr>
                              <w:t>No.</w:t>
                            </w:r>
                            <w:r w:rsidR="00310E6B" w:rsidRPr="009C64C4">
                              <w:rPr>
                                <w:rFonts w:asciiTheme="majorHAnsi" w:hAnsiTheme="majorHAnsi" w:cs="Arial"/>
                                <w:b/>
                                <w:bCs/>
                                <w:color w:val="0D0D0D" w:themeColor="text1" w:themeTint="F2"/>
                                <w:sz w:val="36"/>
                                <w:szCs w:val="22"/>
                                <w:lang w:val="es-ES_tradnl"/>
                              </w:rPr>
                              <w:t xml:space="preserve"> </w:t>
                            </w:r>
                            <w:r w:rsidR="00F216EF">
                              <w:rPr>
                                <w:rFonts w:asciiTheme="majorHAnsi" w:hAnsiTheme="majorHAnsi" w:cs="Arial"/>
                                <w:b/>
                                <w:bCs/>
                                <w:color w:val="0D0D0D" w:themeColor="text1" w:themeTint="F2"/>
                                <w:sz w:val="36"/>
                                <w:szCs w:val="22"/>
                                <w:lang w:val="es-ES_tradnl"/>
                              </w:rPr>
                              <w:t>221</w:t>
                            </w:r>
                            <w:r w:rsidRPr="009C64C4">
                              <w:rPr>
                                <w:rFonts w:asciiTheme="majorHAnsi" w:hAnsiTheme="majorHAnsi" w:cs="Arial"/>
                                <w:b/>
                                <w:bCs/>
                                <w:color w:val="0D0D0D" w:themeColor="text1" w:themeTint="F2"/>
                                <w:sz w:val="36"/>
                                <w:szCs w:val="22"/>
                                <w:lang w:val="es-ES_tradnl"/>
                              </w:rPr>
                              <w:t>/2</w:t>
                            </w:r>
                            <w:r w:rsidR="00310E6B" w:rsidRPr="009C64C4">
                              <w:rPr>
                                <w:rFonts w:asciiTheme="majorHAnsi" w:hAnsiTheme="majorHAnsi" w:cs="Arial"/>
                                <w:b/>
                                <w:bCs/>
                                <w:color w:val="0D0D0D" w:themeColor="text1" w:themeTint="F2"/>
                                <w:sz w:val="36"/>
                                <w:szCs w:val="22"/>
                                <w:lang w:val="es-ES_tradnl"/>
                              </w:rPr>
                              <w:t>3</w:t>
                            </w:r>
                          </w:p>
                          <w:p w14:paraId="2581CAD5" w14:textId="3C9CC15B" w:rsidR="00660EA4" w:rsidRPr="009C64C4" w:rsidRDefault="00660EA4" w:rsidP="00997BC5">
                            <w:pPr>
                              <w:spacing w:line="276" w:lineRule="auto"/>
                              <w:rPr>
                                <w:rFonts w:asciiTheme="majorHAnsi" w:hAnsiTheme="majorHAnsi" w:cs="Arial"/>
                                <w:b/>
                                <w:color w:val="0D0D0D" w:themeColor="text1" w:themeTint="F2"/>
                                <w:sz w:val="36"/>
                                <w:szCs w:val="22"/>
                                <w:lang w:val="es-ES_tradnl"/>
                              </w:rPr>
                            </w:pPr>
                            <w:r w:rsidRPr="009C64C4">
                              <w:rPr>
                                <w:rFonts w:asciiTheme="majorHAnsi" w:hAnsiTheme="majorHAnsi" w:cs="Arial"/>
                                <w:b/>
                                <w:color w:val="0D0D0D" w:themeColor="text1" w:themeTint="F2"/>
                                <w:sz w:val="36"/>
                                <w:szCs w:val="22"/>
                                <w:lang w:val="es-ES_tradnl"/>
                              </w:rPr>
                              <w:t>CASO 1</w:t>
                            </w:r>
                            <w:r w:rsidR="00310E6B" w:rsidRPr="009C64C4">
                              <w:rPr>
                                <w:rFonts w:asciiTheme="majorHAnsi" w:hAnsiTheme="majorHAnsi" w:cs="Arial"/>
                                <w:b/>
                                <w:color w:val="0D0D0D" w:themeColor="text1" w:themeTint="F2"/>
                                <w:sz w:val="36"/>
                                <w:szCs w:val="22"/>
                                <w:lang w:val="es-ES_tradnl"/>
                              </w:rPr>
                              <w:t>4</w:t>
                            </w:r>
                            <w:r w:rsidRPr="009C64C4">
                              <w:rPr>
                                <w:rFonts w:asciiTheme="majorHAnsi" w:hAnsiTheme="majorHAnsi" w:cs="Arial"/>
                                <w:b/>
                                <w:color w:val="0D0D0D" w:themeColor="text1" w:themeTint="F2"/>
                                <w:sz w:val="36"/>
                                <w:szCs w:val="22"/>
                                <w:lang w:val="es-ES_tradnl"/>
                              </w:rPr>
                              <w:t>.</w:t>
                            </w:r>
                            <w:r w:rsidR="00310E6B" w:rsidRPr="009C64C4">
                              <w:rPr>
                                <w:rFonts w:asciiTheme="majorHAnsi" w:hAnsiTheme="majorHAnsi" w:cs="Arial"/>
                                <w:b/>
                                <w:color w:val="0D0D0D" w:themeColor="text1" w:themeTint="F2"/>
                                <w:sz w:val="36"/>
                                <w:szCs w:val="22"/>
                                <w:lang w:val="es-ES_tradnl"/>
                              </w:rPr>
                              <w:t>003</w:t>
                            </w:r>
                          </w:p>
                          <w:p w14:paraId="7F4F1FA6" w14:textId="77777777" w:rsidR="00660EA4" w:rsidRPr="009C64C4" w:rsidRDefault="00660EA4" w:rsidP="00997BC5">
                            <w:pPr>
                              <w:spacing w:line="276" w:lineRule="auto"/>
                              <w:rPr>
                                <w:rFonts w:asciiTheme="majorHAnsi" w:hAnsiTheme="majorHAnsi" w:cs="Arial"/>
                                <w:color w:val="0D0D0D" w:themeColor="text1" w:themeTint="F2"/>
                                <w:szCs w:val="22"/>
                                <w:lang w:val="es-ES_tradnl"/>
                              </w:rPr>
                            </w:pPr>
                            <w:r w:rsidRPr="009C64C4">
                              <w:rPr>
                                <w:rFonts w:asciiTheme="majorHAnsi" w:hAnsiTheme="majorHAnsi" w:cs="Arial"/>
                                <w:color w:val="0D0D0D" w:themeColor="text1" w:themeTint="F2"/>
                                <w:szCs w:val="22"/>
                                <w:lang w:val="es-ES_tradnl"/>
                              </w:rPr>
                              <w:t xml:space="preserve">INFORME DE SOLUCIÓN AMISTOSA </w:t>
                            </w:r>
                            <w:bookmarkStart w:id="0" w:name="_ftnref1"/>
                          </w:p>
                          <w:p w14:paraId="197E0E15" w14:textId="77777777" w:rsidR="002B5259" w:rsidRPr="009C64C4" w:rsidRDefault="002B5259" w:rsidP="000907C1">
                            <w:pPr>
                              <w:rPr>
                                <w:rFonts w:asciiTheme="majorHAnsi" w:hAnsiTheme="majorHAnsi" w:cs="Arial"/>
                                <w:color w:val="0D0D0D" w:themeColor="text1" w:themeTint="F2"/>
                                <w:szCs w:val="22"/>
                                <w:lang w:val="es-ES_tradnl"/>
                              </w:rPr>
                            </w:pPr>
                          </w:p>
                          <w:p w14:paraId="13EEE8F7" w14:textId="236F1C99" w:rsidR="00660EA4" w:rsidRPr="009C64C4" w:rsidRDefault="00310E6B" w:rsidP="000907C1">
                            <w:pPr>
                              <w:rPr>
                                <w:rFonts w:asciiTheme="majorHAnsi" w:hAnsiTheme="majorHAnsi" w:cs="Arial"/>
                                <w:color w:val="0D0D0D" w:themeColor="text1" w:themeTint="F2"/>
                                <w:szCs w:val="22"/>
                                <w:lang w:val="es-ES_tradnl"/>
                              </w:rPr>
                            </w:pPr>
                            <w:r w:rsidRPr="009C64C4">
                              <w:rPr>
                                <w:rFonts w:asciiTheme="majorHAnsi" w:hAnsiTheme="majorHAnsi" w:cs="Arial"/>
                                <w:color w:val="0D0D0D" w:themeColor="text1" w:themeTint="F2"/>
                                <w:szCs w:val="22"/>
                                <w:lang w:val="es-ES_tradnl"/>
                              </w:rPr>
                              <w:t>MARÍA REGINA OCAMPO LOAIZA Y OTROS</w:t>
                            </w:r>
                          </w:p>
                          <w:bookmarkEnd w:id="0"/>
                          <w:p w14:paraId="4F6BFB16" w14:textId="44BB173D" w:rsidR="00660EA4" w:rsidRPr="0010736F" w:rsidRDefault="00310E6B" w:rsidP="000907C1">
                            <w:pPr>
                              <w:rPr>
                                <w:rFonts w:asciiTheme="majorHAnsi" w:hAnsiTheme="majorHAnsi" w:cs="Arial"/>
                                <w:color w:val="0D0D0D" w:themeColor="text1" w:themeTint="F2"/>
                                <w:szCs w:val="22"/>
                                <w:lang w:val="es-ES"/>
                              </w:rPr>
                            </w:pPr>
                            <w:r w:rsidRPr="009C64C4">
                              <w:rPr>
                                <w:rFonts w:asciiTheme="majorHAnsi" w:hAnsiTheme="majorHAnsi" w:cs="Arial"/>
                                <w:color w:val="0D0D0D" w:themeColor="text1" w:themeTint="F2"/>
                                <w:szCs w:val="22"/>
                                <w:lang w:val="es-ES_tradnl"/>
                              </w:rPr>
                              <w:t>COLOMBIA</w:t>
                            </w:r>
                          </w:p>
                          <w:p w14:paraId="7C8C4D09" w14:textId="77777777" w:rsidR="00660EA4" w:rsidRPr="00AE5488" w:rsidRDefault="00660EA4" w:rsidP="007A5817">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2567"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3883708E" w14:textId="04C3D705" w:rsidR="00660EA4" w:rsidRPr="009C64C4" w:rsidRDefault="00660EA4" w:rsidP="00997BC5">
                      <w:pPr>
                        <w:spacing w:line="276" w:lineRule="auto"/>
                        <w:rPr>
                          <w:rFonts w:asciiTheme="majorHAnsi" w:hAnsiTheme="majorHAnsi" w:cs="Arial"/>
                          <w:b/>
                          <w:bCs/>
                          <w:color w:val="0D0D0D" w:themeColor="text1" w:themeTint="F2"/>
                          <w:sz w:val="36"/>
                          <w:szCs w:val="22"/>
                          <w:lang w:val="es-ES_tradnl"/>
                        </w:rPr>
                      </w:pPr>
                      <w:r w:rsidRPr="009C64C4">
                        <w:rPr>
                          <w:rFonts w:asciiTheme="majorHAnsi" w:hAnsiTheme="majorHAnsi" w:cs="Arial"/>
                          <w:b/>
                          <w:bCs/>
                          <w:color w:val="0D0D0D" w:themeColor="text1" w:themeTint="F2"/>
                          <w:sz w:val="36"/>
                          <w:szCs w:val="22"/>
                          <w:lang w:val="es-ES_tradnl"/>
                        </w:rPr>
                        <w:t xml:space="preserve">INFORME </w:t>
                      </w:r>
                      <w:r w:rsidRPr="009C64C4">
                        <w:rPr>
                          <w:rFonts w:asciiTheme="majorHAnsi" w:hAnsiTheme="majorHAnsi" w:cs="Arial"/>
                          <w:b/>
                          <w:bCs/>
                          <w:color w:val="0D0D0D" w:themeColor="text1" w:themeTint="F2"/>
                          <w:sz w:val="36"/>
                          <w:szCs w:val="40"/>
                          <w:lang w:val="es-ES_tradnl"/>
                        </w:rPr>
                        <w:t>No.</w:t>
                      </w:r>
                      <w:r w:rsidR="00310E6B" w:rsidRPr="009C64C4">
                        <w:rPr>
                          <w:rFonts w:asciiTheme="majorHAnsi" w:hAnsiTheme="majorHAnsi" w:cs="Arial"/>
                          <w:b/>
                          <w:bCs/>
                          <w:color w:val="0D0D0D" w:themeColor="text1" w:themeTint="F2"/>
                          <w:sz w:val="36"/>
                          <w:szCs w:val="22"/>
                          <w:lang w:val="es-ES_tradnl"/>
                        </w:rPr>
                        <w:t xml:space="preserve"> </w:t>
                      </w:r>
                      <w:r w:rsidR="00F216EF">
                        <w:rPr>
                          <w:rFonts w:asciiTheme="majorHAnsi" w:hAnsiTheme="majorHAnsi" w:cs="Arial"/>
                          <w:b/>
                          <w:bCs/>
                          <w:color w:val="0D0D0D" w:themeColor="text1" w:themeTint="F2"/>
                          <w:sz w:val="36"/>
                          <w:szCs w:val="22"/>
                          <w:lang w:val="es-ES_tradnl"/>
                        </w:rPr>
                        <w:t>221</w:t>
                      </w:r>
                      <w:r w:rsidRPr="009C64C4">
                        <w:rPr>
                          <w:rFonts w:asciiTheme="majorHAnsi" w:hAnsiTheme="majorHAnsi" w:cs="Arial"/>
                          <w:b/>
                          <w:bCs/>
                          <w:color w:val="0D0D0D" w:themeColor="text1" w:themeTint="F2"/>
                          <w:sz w:val="36"/>
                          <w:szCs w:val="22"/>
                          <w:lang w:val="es-ES_tradnl"/>
                        </w:rPr>
                        <w:t>/2</w:t>
                      </w:r>
                      <w:r w:rsidR="00310E6B" w:rsidRPr="009C64C4">
                        <w:rPr>
                          <w:rFonts w:asciiTheme="majorHAnsi" w:hAnsiTheme="majorHAnsi" w:cs="Arial"/>
                          <w:b/>
                          <w:bCs/>
                          <w:color w:val="0D0D0D" w:themeColor="text1" w:themeTint="F2"/>
                          <w:sz w:val="36"/>
                          <w:szCs w:val="22"/>
                          <w:lang w:val="es-ES_tradnl"/>
                        </w:rPr>
                        <w:t>3</w:t>
                      </w:r>
                    </w:p>
                    <w:p w14:paraId="2581CAD5" w14:textId="3C9CC15B" w:rsidR="00660EA4" w:rsidRPr="009C64C4" w:rsidRDefault="00660EA4" w:rsidP="00997BC5">
                      <w:pPr>
                        <w:spacing w:line="276" w:lineRule="auto"/>
                        <w:rPr>
                          <w:rFonts w:asciiTheme="majorHAnsi" w:hAnsiTheme="majorHAnsi" w:cs="Arial"/>
                          <w:b/>
                          <w:color w:val="0D0D0D" w:themeColor="text1" w:themeTint="F2"/>
                          <w:sz w:val="36"/>
                          <w:szCs w:val="22"/>
                          <w:lang w:val="es-ES_tradnl"/>
                        </w:rPr>
                      </w:pPr>
                      <w:r w:rsidRPr="009C64C4">
                        <w:rPr>
                          <w:rFonts w:asciiTheme="majorHAnsi" w:hAnsiTheme="majorHAnsi" w:cs="Arial"/>
                          <w:b/>
                          <w:color w:val="0D0D0D" w:themeColor="text1" w:themeTint="F2"/>
                          <w:sz w:val="36"/>
                          <w:szCs w:val="22"/>
                          <w:lang w:val="es-ES_tradnl"/>
                        </w:rPr>
                        <w:t>CASO 1</w:t>
                      </w:r>
                      <w:r w:rsidR="00310E6B" w:rsidRPr="009C64C4">
                        <w:rPr>
                          <w:rFonts w:asciiTheme="majorHAnsi" w:hAnsiTheme="majorHAnsi" w:cs="Arial"/>
                          <w:b/>
                          <w:color w:val="0D0D0D" w:themeColor="text1" w:themeTint="F2"/>
                          <w:sz w:val="36"/>
                          <w:szCs w:val="22"/>
                          <w:lang w:val="es-ES_tradnl"/>
                        </w:rPr>
                        <w:t>4</w:t>
                      </w:r>
                      <w:r w:rsidRPr="009C64C4">
                        <w:rPr>
                          <w:rFonts w:asciiTheme="majorHAnsi" w:hAnsiTheme="majorHAnsi" w:cs="Arial"/>
                          <w:b/>
                          <w:color w:val="0D0D0D" w:themeColor="text1" w:themeTint="F2"/>
                          <w:sz w:val="36"/>
                          <w:szCs w:val="22"/>
                          <w:lang w:val="es-ES_tradnl"/>
                        </w:rPr>
                        <w:t>.</w:t>
                      </w:r>
                      <w:r w:rsidR="00310E6B" w:rsidRPr="009C64C4">
                        <w:rPr>
                          <w:rFonts w:asciiTheme="majorHAnsi" w:hAnsiTheme="majorHAnsi" w:cs="Arial"/>
                          <w:b/>
                          <w:color w:val="0D0D0D" w:themeColor="text1" w:themeTint="F2"/>
                          <w:sz w:val="36"/>
                          <w:szCs w:val="22"/>
                          <w:lang w:val="es-ES_tradnl"/>
                        </w:rPr>
                        <w:t>003</w:t>
                      </w:r>
                    </w:p>
                    <w:p w14:paraId="7F4F1FA6" w14:textId="77777777" w:rsidR="00660EA4" w:rsidRPr="009C64C4" w:rsidRDefault="00660EA4" w:rsidP="00997BC5">
                      <w:pPr>
                        <w:spacing w:line="276" w:lineRule="auto"/>
                        <w:rPr>
                          <w:rFonts w:asciiTheme="majorHAnsi" w:hAnsiTheme="majorHAnsi" w:cs="Arial"/>
                          <w:color w:val="0D0D0D" w:themeColor="text1" w:themeTint="F2"/>
                          <w:szCs w:val="22"/>
                          <w:lang w:val="es-ES_tradnl"/>
                        </w:rPr>
                      </w:pPr>
                      <w:r w:rsidRPr="009C64C4">
                        <w:rPr>
                          <w:rFonts w:asciiTheme="majorHAnsi" w:hAnsiTheme="majorHAnsi" w:cs="Arial"/>
                          <w:color w:val="0D0D0D" w:themeColor="text1" w:themeTint="F2"/>
                          <w:szCs w:val="22"/>
                          <w:lang w:val="es-ES_tradnl"/>
                        </w:rPr>
                        <w:t xml:space="preserve">INFORME DE SOLUCIÓN AMISTOSA </w:t>
                      </w:r>
                      <w:bookmarkStart w:id="1" w:name="_ftnref1"/>
                    </w:p>
                    <w:p w14:paraId="197E0E15" w14:textId="77777777" w:rsidR="002B5259" w:rsidRPr="009C64C4" w:rsidRDefault="002B5259" w:rsidP="000907C1">
                      <w:pPr>
                        <w:rPr>
                          <w:rFonts w:asciiTheme="majorHAnsi" w:hAnsiTheme="majorHAnsi" w:cs="Arial"/>
                          <w:color w:val="0D0D0D" w:themeColor="text1" w:themeTint="F2"/>
                          <w:szCs w:val="22"/>
                          <w:lang w:val="es-ES_tradnl"/>
                        </w:rPr>
                      </w:pPr>
                    </w:p>
                    <w:p w14:paraId="13EEE8F7" w14:textId="236F1C99" w:rsidR="00660EA4" w:rsidRPr="009C64C4" w:rsidRDefault="00310E6B" w:rsidP="000907C1">
                      <w:pPr>
                        <w:rPr>
                          <w:rFonts w:asciiTheme="majorHAnsi" w:hAnsiTheme="majorHAnsi" w:cs="Arial"/>
                          <w:color w:val="0D0D0D" w:themeColor="text1" w:themeTint="F2"/>
                          <w:szCs w:val="22"/>
                          <w:lang w:val="es-ES_tradnl"/>
                        </w:rPr>
                      </w:pPr>
                      <w:r w:rsidRPr="009C64C4">
                        <w:rPr>
                          <w:rFonts w:asciiTheme="majorHAnsi" w:hAnsiTheme="majorHAnsi" w:cs="Arial"/>
                          <w:color w:val="0D0D0D" w:themeColor="text1" w:themeTint="F2"/>
                          <w:szCs w:val="22"/>
                          <w:lang w:val="es-ES_tradnl"/>
                        </w:rPr>
                        <w:t>MARÍA REGINA OCAMPO LOAIZA Y OTROS</w:t>
                      </w:r>
                    </w:p>
                    <w:bookmarkEnd w:id="1"/>
                    <w:p w14:paraId="4F6BFB16" w14:textId="44BB173D" w:rsidR="00660EA4" w:rsidRPr="0010736F" w:rsidRDefault="00310E6B" w:rsidP="000907C1">
                      <w:pPr>
                        <w:rPr>
                          <w:rFonts w:asciiTheme="majorHAnsi" w:hAnsiTheme="majorHAnsi" w:cs="Arial"/>
                          <w:color w:val="0D0D0D" w:themeColor="text1" w:themeTint="F2"/>
                          <w:szCs w:val="22"/>
                          <w:lang w:val="es-ES"/>
                        </w:rPr>
                      </w:pPr>
                      <w:r w:rsidRPr="009C64C4">
                        <w:rPr>
                          <w:rFonts w:asciiTheme="majorHAnsi" w:hAnsiTheme="majorHAnsi" w:cs="Arial"/>
                          <w:color w:val="0D0D0D" w:themeColor="text1" w:themeTint="F2"/>
                          <w:szCs w:val="22"/>
                          <w:lang w:val="es-ES_tradnl"/>
                        </w:rPr>
                        <w:t>COLOMBIA</w:t>
                      </w:r>
                    </w:p>
                    <w:p w14:paraId="7C8C4D09" w14:textId="77777777" w:rsidR="00660EA4" w:rsidRPr="00AE5488" w:rsidRDefault="00660EA4" w:rsidP="007A5817">
                      <w:pPr>
                        <w:rPr>
                          <w:color w:val="0D0D0D" w:themeColor="text1" w:themeTint="F2"/>
                          <w:lang w:val="es-ES_tradnl"/>
                        </w:rPr>
                      </w:pP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17C09EC9" wp14:editId="53983A25">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464A2" w14:textId="07AAA532" w:rsidR="00660EA4" w:rsidRPr="004C68B0" w:rsidRDefault="00660EA4" w:rsidP="007A5817">
                            <w:pPr>
                              <w:spacing w:line="276" w:lineRule="auto"/>
                              <w:jc w:val="right"/>
                              <w:rPr>
                                <w:rFonts w:asciiTheme="minorHAnsi" w:hAnsiTheme="minorHAnsi"/>
                                <w:color w:val="FFFFFF" w:themeColor="background1"/>
                                <w:sz w:val="22"/>
                                <w:lang w:val="es-419"/>
                              </w:rPr>
                            </w:pPr>
                            <w:r w:rsidRPr="004C68B0">
                              <w:rPr>
                                <w:rFonts w:asciiTheme="minorHAnsi" w:hAnsiTheme="minorHAnsi"/>
                                <w:color w:val="FFFFFF" w:themeColor="background1"/>
                                <w:sz w:val="22"/>
                                <w:lang w:val="es-419"/>
                              </w:rPr>
                              <w:t>OEA/Ser.L/V/II</w:t>
                            </w:r>
                          </w:p>
                          <w:p w14:paraId="77C57669" w14:textId="78C0492D" w:rsidR="00660EA4" w:rsidRPr="004C68B0" w:rsidRDefault="00DA0340" w:rsidP="007A5817">
                            <w:pPr>
                              <w:spacing w:line="276" w:lineRule="auto"/>
                              <w:jc w:val="right"/>
                              <w:rPr>
                                <w:rFonts w:asciiTheme="minorHAnsi" w:hAnsiTheme="minorHAnsi"/>
                                <w:color w:val="FFFFFF" w:themeColor="background1"/>
                                <w:sz w:val="22"/>
                                <w:lang w:val="es-419"/>
                              </w:rPr>
                            </w:pPr>
                            <w:r w:rsidRPr="004C68B0">
                              <w:rPr>
                                <w:rFonts w:asciiTheme="minorHAnsi" w:hAnsiTheme="minorHAnsi"/>
                                <w:color w:val="FFFFFF" w:themeColor="background1"/>
                                <w:sz w:val="22"/>
                                <w:lang w:val="es-419"/>
                              </w:rPr>
                              <w:t>Doc.</w:t>
                            </w:r>
                            <w:r w:rsidR="003A3EFB" w:rsidRPr="004C68B0">
                              <w:rPr>
                                <w:rFonts w:asciiTheme="minorHAnsi" w:hAnsiTheme="minorHAnsi"/>
                                <w:color w:val="FFFFFF" w:themeColor="background1"/>
                                <w:sz w:val="22"/>
                                <w:lang w:val="es-419"/>
                              </w:rPr>
                              <w:t xml:space="preserve"> 240</w:t>
                            </w:r>
                            <w:r w:rsidRPr="004C68B0">
                              <w:rPr>
                                <w:rFonts w:asciiTheme="minorHAnsi" w:hAnsiTheme="minorHAnsi"/>
                                <w:color w:val="FFFFFF" w:themeColor="background1"/>
                                <w:sz w:val="22"/>
                                <w:lang w:val="es-419"/>
                              </w:rPr>
                              <w:t xml:space="preserve"> </w:t>
                            </w:r>
                          </w:p>
                          <w:p w14:paraId="6D5C98FF" w14:textId="53C4D5C7" w:rsidR="00660EA4" w:rsidRPr="009C64C4" w:rsidRDefault="00F216EF" w:rsidP="007A5817">
                            <w:pPr>
                              <w:spacing w:line="276" w:lineRule="auto"/>
                              <w:jc w:val="right"/>
                              <w:rPr>
                                <w:rFonts w:asciiTheme="minorHAnsi" w:hAnsiTheme="minorHAnsi"/>
                                <w:color w:val="FFFFFF" w:themeColor="background1"/>
                                <w:sz w:val="22"/>
                                <w:lang w:val="es-AR"/>
                              </w:rPr>
                            </w:pPr>
                            <w:r>
                              <w:rPr>
                                <w:rFonts w:asciiTheme="minorHAnsi" w:hAnsiTheme="minorHAnsi"/>
                                <w:color w:val="FFFFFF" w:themeColor="background1"/>
                                <w:sz w:val="22"/>
                                <w:lang w:val="es-AR"/>
                              </w:rPr>
                              <w:t>22 octubre</w:t>
                            </w:r>
                            <w:r w:rsidR="00310E6B" w:rsidRPr="009C64C4">
                              <w:rPr>
                                <w:rFonts w:asciiTheme="minorHAnsi" w:hAnsiTheme="minorHAnsi"/>
                                <w:color w:val="FFFFFF" w:themeColor="background1"/>
                                <w:sz w:val="22"/>
                                <w:lang w:val="es-AR"/>
                              </w:rPr>
                              <w:t xml:space="preserve"> </w:t>
                            </w:r>
                            <w:r w:rsidR="00660EA4" w:rsidRPr="009C64C4">
                              <w:rPr>
                                <w:rFonts w:asciiTheme="minorHAnsi" w:hAnsiTheme="minorHAnsi"/>
                                <w:color w:val="FFFFFF" w:themeColor="background1"/>
                                <w:sz w:val="22"/>
                                <w:lang w:val="es-AR"/>
                              </w:rPr>
                              <w:t>202</w:t>
                            </w:r>
                            <w:r w:rsidR="00310E6B" w:rsidRPr="009C64C4">
                              <w:rPr>
                                <w:rFonts w:asciiTheme="minorHAnsi" w:hAnsiTheme="minorHAnsi"/>
                                <w:color w:val="FFFFFF" w:themeColor="background1"/>
                                <w:sz w:val="22"/>
                                <w:lang w:val="es-AR"/>
                              </w:rPr>
                              <w:t>3</w:t>
                            </w:r>
                          </w:p>
                          <w:p w14:paraId="14665C69" w14:textId="77777777" w:rsidR="00660EA4" w:rsidRPr="008A06BA" w:rsidRDefault="00660EA4" w:rsidP="007A5817">
                            <w:pPr>
                              <w:spacing w:line="276" w:lineRule="auto"/>
                              <w:jc w:val="right"/>
                              <w:rPr>
                                <w:rFonts w:asciiTheme="minorHAnsi" w:hAnsiTheme="minorHAnsi"/>
                                <w:color w:val="FFFFFF" w:themeColor="background1"/>
                                <w:sz w:val="22"/>
                                <w:lang w:val="es-AR"/>
                              </w:rPr>
                            </w:pPr>
                            <w:r w:rsidRPr="009C64C4">
                              <w:rPr>
                                <w:rFonts w:asciiTheme="minorHAnsi" w:hAnsiTheme="minorHAnsi"/>
                                <w:color w:val="FFFFFF" w:themeColor="background1"/>
                                <w:sz w:val="22"/>
                                <w:lang w:val="es-AR"/>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9EC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1F464A2" w14:textId="07AAA532" w:rsidR="00660EA4" w:rsidRPr="004C68B0" w:rsidRDefault="00660EA4" w:rsidP="007A5817">
                      <w:pPr>
                        <w:spacing w:line="276" w:lineRule="auto"/>
                        <w:jc w:val="right"/>
                        <w:rPr>
                          <w:rFonts w:asciiTheme="minorHAnsi" w:hAnsiTheme="minorHAnsi"/>
                          <w:color w:val="FFFFFF" w:themeColor="background1"/>
                          <w:sz w:val="22"/>
                          <w:lang w:val="es-419"/>
                        </w:rPr>
                      </w:pPr>
                      <w:r w:rsidRPr="004C68B0">
                        <w:rPr>
                          <w:rFonts w:asciiTheme="minorHAnsi" w:hAnsiTheme="minorHAnsi"/>
                          <w:color w:val="FFFFFF" w:themeColor="background1"/>
                          <w:sz w:val="22"/>
                          <w:lang w:val="es-419"/>
                        </w:rPr>
                        <w:t>OEA/Ser.L/V/II</w:t>
                      </w:r>
                    </w:p>
                    <w:p w14:paraId="77C57669" w14:textId="78C0492D" w:rsidR="00660EA4" w:rsidRPr="004C68B0" w:rsidRDefault="00DA0340" w:rsidP="007A5817">
                      <w:pPr>
                        <w:spacing w:line="276" w:lineRule="auto"/>
                        <w:jc w:val="right"/>
                        <w:rPr>
                          <w:rFonts w:asciiTheme="minorHAnsi" w:hAnsiTheme="minorHAnsi"/>
                          <w:color w:val="FFFFFF" w:themeColor="background1"/>
                          <w:sz w:val="22"/>
                          <w:lang w:val="es-419"/>
                        </w:rPr>
                      </w:pPr>
                      <w:r w:rsidRPr="004C68B0">
                        <w:rPr>
                          <w:rFonts w:asciiTheme="minorHAnsi" w:hAnsiTheme="minorHAnsi"/>
                          <w:color w:val="FFFFFF" w:themeColor="background1"/>
                          <w:sz w:val="22"/>
                          <w:lang w:val="es-419"/>
                        </w:rPr>
                        <w:t>Doc.</w:t>
                      </w:r>
                      <w:r w:rsidR="003A3EFB" w:rsidRPr="004C68B0">
                        <w:rPr>
                          <w:rFonts w:asciiTheme="minorHAnsi" w:hAnsiTheme="minorHAnsi"/>
                          <w:color w:val="FFFFFF" w:themeColor="background1"/>
                          <w:sz w:val="22"/>
                          <w:lang w:val="es-419"/>
                        </w:rPr>
                        <w:t xml:space="preserve"> 240</w:t>
                      </w:r>
                      <w:r w:rsidRPr="004C68B0">
                        <w:rPr>
                          <w:rFonts w:asciiTheme="minorHAnsi" w:hAnsiTheme="minorHAnsi"/>
                          <w:color w:val="FFFFFF" w:themeColor="background1"/>
                          <w:sz w:val="22"/>
                          <w:lang w:val="es-419"/>
                        </w:rPr>
                        <w:t xml:space="preserve"> </w:t>
                      </w:r>
                    </w:p>
                    <w:p w14:paraId="6D5C98FF" w14:textId="53C4D5C7" w:rsidR="00660EA4" w:rsidRPr="009C64C4" w:rsidRDefault="00F216EF" w:rsidP="007A5817">
                      <w:pPr>
                        <w:spacing w:line="276" w:lineRule="auto"/>
                        <w:jc w:val="right"/>
                        <w:rPr>
                          <w:rFonts w:asciiTheme="minorHAnsi" w:hAnsiTheme="minorHAnsi"/>
                          <w:color w:val="FFFFFF" w:themeColor="background1"/>
                          <w:sz w:val="22"/>
                          <w:lang w:val="es-AR"/>
                        </w:rPr>
                      </w:pPr>
                      <w:r>
                        <w:rPr>
                          <w:rFonts w:asciiTheme="minorHAnsi" w:hAnsiTheme="minorHAnsi"/>
                          <w:color w:val="FFFFFF" w:themeColor="background1"/>
                          <w:sz w:val="22"/>
                          <w:lang w:val="es-AR"/>
                        </w:rPr>
                        <w:t>22 octubre</w:t>
                      </w:r>
                      <w:r w:rsidR="00310E6B" w:rsidRPr="009C64C4">
                        <w:rPr>
                          <w:rFonts w:asciiTheme="minorHAnsi" w:hAnsiTheme="minorHAnsi"/>
                          <w:color w:val="FFFFFF" w:themeColor="background1"/>
                          <w:sz w:val="22"/>
                          <w:lang w:val="es-AR"/>
                        </w:rPr>
                        <w:t xml:space="preserve"> </w:t>
                      </w:r>
                      <w:r w:rsidR="00660EA4" w:rsidRPr="009C64C4">
                        <w:rPr>
                          <w:rFonts w:asciiTheme="minorHAnsi" w:hAnsiTheme="minorHAnsi"/>
                          <w:color w:val="FFFFFF" w:themeColor="background1"/>
                          <w:sz w:val="22"/>
                          <w:lang w:val="es-AR"/>
                        </w:rPr>
                        <w:t>202</w:t>
                      </w:r>
                      <w:r w:rsidR="00310E6B" w:rsidRPr="009C64C4">
                        <w:rPr>
                          <w:rFonts w:asciiTheme="minorHAnsi" w:hAnsiTheme="minorHAnsi"/>
                          <w:color w:val="FFFFFF" w:themeColor="background1"/>
                          <w:sz w:val="22"/>
                          <w:lang w:val="es-AR"/>
                        </w:rPr>
                        <w:t>3</w:t>
                      </w:r>
                    </w:p>
                    <w:p w14:paraId="14665C69" w14:textId="77777777" w:rsidR="00660EA4" w:rsidRPr="008A06BA" w:rsidRDefault="00660EA4" w:rsidP="007A5817">
                      <w:pPr>
                        <w:spacing w:line="276" w:lineRule="auto"/>
                        <w:jc w:val="right"/>
                        <w:rPr>
                          <w:rFonts w:asciiTheme="minorHAnsi" w:hAnsiTheme="minorHAnsi"/>
                          <w:color w:val="FFFFFF" w:themeColor="background1"/>
                          <w:sz w:val="22"/>
                          <w:lang w:val="es-AR"/>
                        </w:rPr>
                      </w:pPr>
                      <w:r w:rsidRPr="009C64C4">
                        <w:rPr>
                          <w:rFonts w:asciiTheme="minorHAnsi" w:hAnsiTheme="minorHAnsi"/>
                          <w:color w:val="FFFFFF" w:themeColor="background1"/>
                          <w:sz w:val="22"/>
                          <w:lang w:val="es-AR"/>
                        </w:rPr>
                        <w:t>Original: español</w:t>
                      </w:r>
                    </w:p>
                  </w:txbxContent>
                </v:textbox>
              </v:shape>
            </w:pict>
          </mc:Fallback>
        </mc:AlternateContent>
      </w:r>
    </w:p>
    <w:p w14:paraId="6D4F518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F83BB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C174C1F"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34D0120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50B5C4"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C59F98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2C62A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75C19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342848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9E3BAD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008384A1"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083C2A5"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9CF099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AF960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91BA93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5387E6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56D95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5DCABD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B9D4D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D260AB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77743C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56F6BC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E86864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D9919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AB2C16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6B2F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2884E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C7E6D4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933FA56"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11FB6EF7" wp14:editId="75DCC52E">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D86D73" w14:textId="53C7E87C" w:rsidR="00660EA4" w:rsidRPr="005677C6" w:rsidRDefault="00660EA4" w:rsidP="00DD3D86">
                            <w:pPr>
                              <w:tabs>
                                <w:tab w:val="center" w:pos="5400"/>
                              </w:tabs>
                              <w:suppressAutoHyphens/>
                              <w:spacing w:before="60"/>
                              <w:rPr>
                                <w:rFonts w:asciiTheme="majorHAnsi" w:hAnsiTheme="majorHAnsi"/>
                                <w:color w:val="0D0D0D" w:themeColor="text1" w:themeTint="F2"/>
                                <w:sz w:val="18"/>
                                <w:szCs w:val="22"/>
                                <w:lang w:val="es-ES"/>
                              </w:rPr>
                            </w:pPr>
                            <w:r w:rsidRPr="005677C6">
                              <w:rPr>
                                <w:rFonts w:asciiTheme="majorHAnsi" w:hAnsiTheme="majorHAnsi"/>
                                <w:color w:val="0D0D0D" w:themeColor="text1" w:themeTint="F2"/>
                                <w:sz w:val="18"/>
                                <w:szCs w:val="22"/>
                                <w:lang w:val="es-ES"/>
                              </w:rPr>
                              <w:t xml:space="preserve">Aprobado </w:t>
                            </w:r>
                            <w:r w:rsidR="00204342" w:rsidRPr="005677C6">
                              <w:rPr>
                                <w:rFonts w:asciiTheme="majorHAnsi" w:hAnsiTheme="majorHAnsi"/>
                                <w:color w:val="0D0D0D" w:themeColor="text1" w:themeTint="F2"/>
                                <w:sz w:val="18"/>
                                <w:szCs w:val="22"/>
                                <w:lang w:val="es-ES"/>
                              </w:rPr>
                              <w:t>electrónicamente</w:t>
                            </w:r>
                            <w:r w:rsidRPr="005677C6">
                              <w:rPr>
                                <w:rFonts w:asciiTheme="majorHAnsi" w:hAnsiTheme="majorHAnsi"/>
                                <w:color w:val="0D0D0D" w:themeColor="text1" w:themeTint="F2"/>
                                <w:sz w:val="18"/>
                                <w:szCs w:val="22"/>
                                <w:lang w:val="es-ES"/>
                              </w:rPr>
                              <w:t xml:space="preserve"> por la</w:t>
                            </w:r>
                            <w:r w:rsidR="00DA0340" w:rsidRPr="005677C6">
                              <w:rPr>
                                <w:rFonts w:asciiTheme="majorHAnsi" w:hAnsiTheme="majorHAnsi"/>
                                <w:color w:val="0D0D0D" w:themeColor="text1" w:themeTint="F2"/>
                                <w:sz w:val="18"/>
                                <w:szCs w:val="22"/>
                                <w:lang w:val="es-ES"/>
                              </w:rPr>
                              <w:t xml:space="preserve"> Comisión el </w:t>
                            </w:r>
                            <w:r w:rsidR="00FE0D33" w:rsidRPr="005677C6">
                              <w:rPr>
                                <w:rFonts w:asciiTheme="majorHAnsi" w:hAnsiTheme="majorHAnsi"/>
                                <w:color w:val="0D0D0D" w:themeColor="text1" w:themeTint="F2"/>
                                <w:sz w:val="18"/>
                                <w:szCs w:val="22"/>
                                <w:lang w:val="es-ES"/>
                              </w:rPr>
                              <w:t>22 de octubre de 2023.</w:t>
                            </w:r>
                          </w:p>
                          <w:p w14:paraId="5F985AC3" w14:textId="6882297E" w:rsidR="00FA04E2" w:rsidRPr="00524C9C" w:rsidRDefault="00FA04E2" w:rsidP="00FA04E2">
                            <w:pPr>
                              <w:jc w:val="both"/>
                              <w:rPr>
                                <w:rFonts w:ascii="Cambria" w:hAnsi="Cambria"/>
                                <w:sz w:val="16"/>
                                <w:szCs w:val="16"/>
                                <w:lang w:val="es-CO"/>
                              </w:rPr>
                            </w:pPr>
                            <w:r w:rsidRPr="005677C6">
                              <w:rPr>
                                <w:rFonts w:asciiTheme="majorHAnsi" w:hAnsiTheme="majorHAnsi"/>
                                <w:color w:val="0D0D0D" w:themeColor="text1" w:themeTint="F2"/>
                                <w:sz w:val="18"/>
                                <w:szCs w:val="22"/>
                                <w:lang w:val="es-ES"/>
                              </w:rPr>
                              <w:t>*</w:t>
                            </w:r>
                            <w:r w:rsidRPr="005677C6">
                              <w:rPr>
                                <w:rFonts w:ascii="Cambria" w:hAnsi="Cambria"/>
                                <w:sz w:val="16"/>
                                <w:szCs w:val="16"/>
                                <w:lang w:val="es-CO"/>
                              </w:rPr>
                              <w:t xml:space="preserve"> La cláusula tercera del acuerdo de solución amistosa fue modificada por decisión de la Comisión de fecha 14 de octubre de 2025, según solicitud conjunta de las partes de 3 de septiembre de 2025, en virtud de la firma de un Otrosí el 2 de marzo de 2025.</w:t>
                            </w:r>
                          </w:p>
                          <w:p w14:paraId="17F4FCD8" w14:textId="72DECD98" w:rsidR="00FA04E2" w:rsidRPr="00FA04E2" w:rsidRDefault="00FA04E2" w:rsidP="00DD3D86">
                            <w:pPr>
                              <w:tabs>
                                <w:tab w:val="center" w:pos="5400"/>
                              </w:tabs>
                              <w:suppressAutoHyphens/>
                              <w:spacing w:before="60"/>
                              <w:rPr>
                                <w:rFonts w:asciiTheme="majorHAnsi" w:hAnsiTheme="majorHAnsi"/>
                                <w:color w:val="0D0D0D" w:themeColor="text1" w:themeTint="F2"/>
                                <w:sz w:val="18"/>
                                <w:szCs w:val="22"/>
                                <w:lang w:val="es-CO"/>
                              </w:rPr>
                            </w:pPr>
                          </w:p>
                          <w:p w14:paraId="74EBB5CE" w14:textId="77777777" w:rsidR="00660EA4" w:rsidRPr="007A5817" w:rsidRDefault="00660EA4"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AAA8A8" w14:textId="77777777" w:rsidR="00660EA4" w:rsidRPr="00167A34" w:rsidRDefault="00660EA4"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6EF7"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67D86D73" w14:textId="53C7E87C" w:rsidR="00660EA4" w:rsidRPr="005677C6" w:rsidRDefault="00660EA4" w:rsidP="00DD3D86">
                      <w:pPr>
                        <w:tabs>
                          <w:tab w:val="center" w:pos="5400"/>
                        </w:tabs>
                        <w:suppressAutoHyphens/>
                        <w:spacing w:before="60"/>
                        <w:rPr>
                          <w:rFonts w:asciiTheme="majorHAnsi" w:hAnsiTheme="majorHAnsi"/>
                          <w:color w:val="0D0D0D" w:themeColor="text1" w:themeTint="F2"/>
                          <w:sz w:val="18"/>
                          <w:szCs w:val="22"/>
                          <w:lang w:val="es-ES"/>
                        </w:rPr>
                      </w:pPr>
                      <w:r w:rsidRPr="005677C6">
                        <w:rPr>
                          <w:rFonts w:asciiTheme="majorHAnsi" w:hAnsiTheme="majorHAnsi"/>
                          <w:color w:val="0D0D0D" w:themeColor="text1" w:themeTint="F2"/>
                          <w:sz w:val="18"/>
                          <w:szCs w:val="22"/>
                          <w:lang w:val="es-ES"/>
                        </w:rPr>
                        <w:t xml:space="preserve">Aprobado </w:t>
                      </w:r>
                      <w:r w:rsidR="00204342" w:rsidRPr="005677C6">
                        <w:rPr>
                          <w:rFonts w:asciiTheme="majorHAnsi" w:hAnsiTheme="majorHAnsi"/>
                          <w:color w:val="0D0D0D" w:themeColor="text1" w:themeTint="F2"/>
                          <w:sz w:val="18"/>
                          <w:szCs w:val="22"/>
                          <w:lang w:val="es-ES"/>
                        </w:rPr>
                        <w:t>electrónicamente</w:t>
                      </w:r>
                      <w:r w:rsidRPr="005677C6">
                        <w:rPr>
                          <w:rFonts w:asciiTheme="majorHAnsi" w:hAnsiTheme="majorHAnsi"/>
                          <w:color w:val="0D0D0D" w:themeColor="text1" w:themeTint="F2"/>
                          <w:sz w:val="18"/>
                          <w:szCs w:val="22"/>
                          <w:lang w:val="es-ES"/>
                        </w:rPr>
                        <w:t xml:space="preserve"> por la</w:t>
                      </w:r>
                      <w:r w:rsidR="00DA0340" w:rsidRPr="005677C6">
                        <w:rPr>
                          <w:rFonts w:asciiTheme="majorHAnsi" w:hAnsiTheme="majorHAnsi"/>
                          <w:color w:val="0D0D0D" w:themeColor="text1" w:themeTint="F2"/>
                          <w:sz w:val="18"/>
                          <w:szCs w:val="22"/>
                          <w:lang w:val="es-ES"/>
                        </w:rPr>
                        <w:t xml:space="preserve"> Comisión el </w:t>
                      </w:r>
                      <w:r w:rsidR="00FE0D33" w:rsidRPr="005677C6">
                        <w:rPr>
                          <w:rFonts w:asciiTheme="majorHAnsi" w:hAnsiTheme="majorHAnsi"/>
                          <w:color w:val="0D0D0D" w:themeColor="text1" w:themeTint="F2"/>
                          <w:sz w:val="18"/>
                          <w:szCs w:val="22"/>
                          <w:lang w:val="es-ES"/>
                        </w:rPr>
                        <w:t>22 de octubre de 2023.</w:t>
                      </w:r>
                    </w:p>
                    <w:p w14:paraId="5F985AC3" w14:textId="6882297E" w:rsidR="00FA04E2" w:rsidRPr="00524C9C" w:rsidRDefault="00FA04E2" w:rsidP="00FA04E2">
                      <w:pPr>
                        <w:jc w:val="both"/>
                        <w:rPr>
                          <w:rFonts w:ascii="Cambria" w:hAnsi="Cambria"/>
                          <w:sz w:val="16"/>
                          <w:szCs w:val="16"/>
                          <w:lang w:val="es-CO"/>
                        </w:rPr>
                      </w:pPr>
                      <w:r w:rsidRPr="005677C6">
                        <w:rPr>
                          <w:rFonts w:asciiTheme="majorHAnsi" w:hAnsiTheme="majorHAnsi"/>
                          <w:color w:val="0D0D0D" w:themeColor="text1" w:themeTint="F2"/>
                          <w:sz w:val="18"/>
                          <w:szCs w:val="22"/>
                          <w:lang w:val="es-ES"/>
                        </w:rPr>
                        <w:t>*</w:t>
                      </w:r>
                      <w:r w:rsidRPr="005677C6">
                        <w:rPr>
                          <w:rFonts w:ascii="Cambria" w:hAnsi="Cambria"/>
                          <w:sz w:val="16"/>
                          <w:szCs w:val="16"/>
                          <w:lang w:val="es-CO"/>
                        </w:rPr>
                        <w:t xml:space="preserve"> La cláusula tercera del acuerdo de solución amistosa fue modificada por decisión de la Comisión de fecha 14 de octubre de 2025, según solicitud conjunta de las partes de 3 de septiembre de 2025, en virtud de la firma de un Otrosí el 2 de marzo de 2025.</w:t>
                      </w:r>
                    </w:p>
                    <w:p w14:paraId="17F4FCD8" w14:textId="72DECD98" w:rsidR="00FA04E2" w:rsidRPr="00FA04E2" w:rsidRDefault="00FA04E2" w:rsidP="00DD3D86">
                      <w:pPr>
                        <w:tabs>
                          <w:tab w:val="center" w:pos="5400"/>
                        </w:tabs>
                        <w:suppressAutoHyphens/>
                        <w:spacing w:before="60"/>
                        <w:rPr>
                          <w:rFonts w:asciiTheme="majorHAnsi" w:hAnsiTheme="majorHAnsi"/>
                          <w:color w:val="0D0D0D" w:themeColor="text1" w:themeTint="F2"/>
                          <w:sz w:val="18"/>
                          <w:szCs w:val="22"/>
                          <w:lang w:val="es-CO"/>
                        </w:rPr>
                      </w:pPr>
                    </w:p>
                    <w:p w14:paraId="74EBB5CE" w14:textId="77777777" w:rsidR="00660EA4" w:rsidRPr="007A5817" w:rsidRDefault="00660EA4"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AAA8A8" w14:textId="77777777" w:rsidR="00660EA4" w:rsidRPr="00167A34" w:rsidRDefault="00660EA4"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A17AD8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967F5C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4D54F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5C1A15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05721A7"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3185728B" wp14:editId="678809A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D06E5" w14:textId="1594445C" w:rsidR="00660EA4" w:rsidRPr="00931F13" w:rsidRDefault="00660EA4" w:rsidP="002753D7">
                            <w:pPr>
                              <w:spacing w:line="276" w:lineRule="auto"/>
                              <w:jc w:val="both"/>
                              <w:rPr>
                                <w:rFonts w:asciiTheme="majorHAnsi" w:hAnsiTheme="majorHAnsi"/>
                                <w:color w:val="595959" w:themeColor="text1" w:themeTint="A6"/>
                                <w:sz w:val="18"/>
                                <w:szCs w:val="18"/>
                                <w:lang w:val="es-CO"/>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DE19BC">
                              <w:rPr>
                                <w:rFonts w:asciiTheme="majorHAnsi" w:hAnsiTheme="majorHAnsi"/>
                                <w:color w:val="595959" w:themeColor="text1" w:themeTint="A6"/>
                                <w:sz w:val="18"/>
                                <w:szCs w:val="18"/>
                                <w:lang w:val="pt-BR"/>
                              </w:rPr>
                              <w:t xml:space="preserve">No. </w:t>
                            </w:r>
                            <w:r w:rsidR="00DE19BC" w:rsidRPr="00DE19BC">
                              <w:rPr>
                                <w:rFonts w:asciiTheme="majorHAnsi" w:hAnsiTheme="majorHAnsi"/>
                                <w:color w:val="595959" w:themeColor="text1" w:themeTint="A6"/>
                                <w:sz w:val="18"/>
                                <w:szCs w:val="18"/>
                                <w:lang w:val="pt-BR"/>
                              </w:rPr>
                              <w:t>221</w:t>
                            </w:r>
                            <w:r w:rsidR="00DA0340" w:rsidRPr="00DE19BC">
                              <w:rPr>
                                <w:rFonts w:asciiTheme="majorHAnsi" w:hAnsiTheme="majorHAnsi"/>
                                <w:color w:val="595959" w:themeColor="text1" w:themeTint="A6"/>
                                <w:sz w:val="18"/>
                                <w:szCs w:val="18"/>
                                <w:lang w:val="pt-BR"/>
                              </w:rPr>
                              <w:t>/2</w:t>
                            </w:r>
                            <w:r w:rsidR="002753D7" w:rsidRPr="00DE19BC">
                              <w:rPr>
                                <w:rFonts w:asciiTheme="majorHAnsi" w:hAnsiTheme="majorHAnsi"/>
                                <w:color w:val="595959" w:themeColor="text1" w:themeTint="A6"/>
                                <w:sz w:val="18"/>
                                <w:szCs w:val="18"/>
                                <w:lang w:val="pt-BR"/>
                              </w:rPr>
                              <w:t>3</w:t>
                            </w:r>
                            <w:r w:rsidRPr="00DE19BC">
                              <w:rPr>
                                <w:rFonts w:asciiTheme="majorHAnsi" w:hAnsiTheme="majorHAnsi"/>
                                <w:color w:val="595959" w:themeColor="text1" w:themeTint="A6"/>
                                <w:sz w:val="18"/>
                                <w:szCs w:val="18"/>
                                <w:lang w:val="pt-BR"/>
                              </w:rPr>
                              <w:t xml:space="preserve"> Caso 1</w:t>
                            </w:r>
                            <w:r w:rsidR="002753D7" w:rsidRPr="00DE19BC">
                              <w:rPr>
                                <w:rFonts w:asciiTheme="majorHAnsi" w:hAnsiTheme="majorHAnsi"/>
                                <w:color w:val="595959" w:themeColor="text1" w:themeTint="A6"/>
                                <w:sz w:val="18"/>
                                <w:szCs w:val="18"/>
                                <w:lang w:val="pt-BR"/>
                              </w:rPr>
                              <w:t>4</w:t>
                            </w:r>
                            <w:r w:rsidRPr="00DE19BC">
                              <w:rPr>
                                <w:rFonts w:asciiTheme="majorHAnsi" w:hAnsiTheme="majorHAnsi"/>
                                <w:color w:val="595959" w:themeColor="text1" w:themeTint="A6"/>
                                <w:sz w:val="18"/>
                                <w:szCs w:val="18"/>
                                <w:lang w:val="pt-BR"/>
                              </w:rPr>
                              <w:t>.</w:t>
                            </w:r>
                            <w:r w:rsidR="002753D7" w:rsidRPr="00DE19BC">
                              <w:rPr>
                                <w:rFonts w:asciiTheme="majorHAnsi" w:hAnsiTheme="majorHAnsi"/>
                                <w:color w:val="595959" w:themeColor="text1" w:themeTint="A6"/>
                                <w:sz w:val="18"/>
                                <w:szCs w:val="18"/>
                                <w:lang w:val="pt-BR"/>
                              </w:rPr>
                              <w:t>003</w:t>
                            </w:r>
                            <w:r w:rsidRPr="00DE19BC">
                              <w:rPr>
                                <w:rFonts w:asciiTheme="majorHAnsi" w:hAnsiTheme="majorHAnsi"/>
                                <w:color w:val="595959" w:themeColor="text1" w:themeTint="A6"/>
                                <w:sz w:val="18"/>
                                <w:szCs w:val="18"/>
                                <w:lang w:val="pt-BR"/>
                              </w:rPr>
                              <w:t xml:space="preserve">. </w:t>
                            </w:r>
                            <w:r w:rsidRPr="00DE19BC">
                              <w:rPr>
                                <w:rFonts w:asciiTheme="majorHAnsi" w:hAnsiTheme="majorHAnsi"/>
                                <w:color w:val="595959" w:themeColor="text1" w:themeTint="A6"/>
                                <w:sz w:val="18"/>
                                <w:szCs w:val="18"/>
                                <w:lang w:val="es-ES_tradnl"/>
                              </w:rPr>
                              <w:t xml:space="preserve">Solución Amistosa. </w:t>
                            </w:r>
                            <w:r w:rsidR="002753D7" w:rsidRPr="00DE19BC">
                              <w:rPr>
                                <w:rFonts w:asciiTheme="majorHAnsi" w:hAnsiTheme="majorHAnsi"/>
                                <w:color w:val="595959" w:themeColor="text1" w:themeTint="A6"/>
                                <w:sz w:val="18"/>
                                <w:szCs w:val="18"/>
                                <w:lang w:val="es-ES_tradnl"/>
                              </w:rPr>
                              <w:t>María Regina Ocampo Loaiza y otros</w:t>
                            </w:r>
                            <w:r w:rsidRPr="00DE19BC">
                              <w:rPr>
                                <w:rFonts w:asciiTheme="majorHAnsi" w:hAnsiTheme="majorHAnsi"/>
                                <w:color w:val="595959" w:themeColor="text1" w:themeTint="A6"/>
                                <w:sz w:val="18"/>
                                <w:szCs w:val="18"/>
                                <w:lang w:val="es-ES_tradnl"/>
                              </w:rPr>
                              <w:t>.</w:t>
                            </w:r>
                            <w:r w:rsidR="002753D7" w:rsidRPr="00DE19BC">
                              <w:rPr>
                                <w:rFonts w:asciiTheme="majorHAnsi" w:hAnsiTheme="majorHAnsi"/>
                                <w:color w:val="595959" w:themeColor="text1" w:themeTint="A6"/>
                                <w:sz w:val="18"/>
                                <w:szCs w:val="18"/>
                                <w:lang w:val="es-ES_tradnl"/>
                              </w:rPr>
                              <w:t xml:space="preserve"> Colombi</w:t>
                            </w:r>
                            <w:r w:rsidRPr="00DE19BC">
                              <w:rPr>
                                <w:rFonts w:asciiTheme="majorHAnsi" w:hAnsiTheme="majorHAnsi"/>
                                <w:color w:val="595959" w:themeColor="text1" w:themeTint="A6"/>
                                <w:sz w:val="18"/>
                                <w:szCs w:val="18"/>
                                <w:lang w:val="es-ES_tradnl"/>
                              </w:rPr>
                              <w:t xml:space="preserve">a. </w:t>
                            </w:r>
                            <w:r w:rsidR="00DE19BC">
                              <w:rPr>
                                <w:rFonts w:asciiTheme="majorHAnsi" w:hAnsiTheme="majorHAnsi"/>
                                <w:color w:val="595959" w:themeColor="text1" w:themeTint="A6"/>
                                <w:sz w:val="18"/>
                                <w:szCs w:val="18"/>
                                <w:lang w:val="es-CO"/>
                              </w:rPr>
                              <w:t>22 de octubre</w:t>
                            </w:r>
                            <w:r w:rsidRPr="00DE19BC">
                              <w:rPr>
                                <w:rFonts w:asciiTheme="majorHAnsi" w:hAnsiTheme="majorHAnsi"/>
                                <w:color w:val="595959" w:themeColor="text1" w:themeTint="A6"/>
                                <w:sz w:val="18"/>
                                <w:szCs w:val="18"/>
                                <w:lang w:val="es-CO"/>
                              </w:rPr>
                              <w:t xml:space="preserve"> de 202</w:t>
                            </w:r>
                            <w:r w:rsidR="002753D7" w:rsidRPr="00DE19BC">
                              <w:rPr>
                                <w:rFonts w:asciiTheme="majorHAnsi" w:hAnsiTheme="majorHAnsi"/>
                                <w:color w:val="595959" w:themeColor="text1" w:themeTint="A6"/>
                                <w:sz w:val="18"/>
                                <w:szCs w:val="18"/>
                                <w:lang w:val="es-CO"/>
                              </w:rPr>
                              <w:t>3</w:t>
                            </w:r>
                            <w:r w:rsidRPr="00DE19BC">
                              <w:rPr>
                                <w:rFonts w:asciiTheme="majorHAnsi" w:hAnsiTheme="majorHAnsi"/>
                                <w:color w:val="595959" w:themeColor="text1" w:themeTint="A6"/>
                                <w:sz w:val="18"/>
                                <w:szCs w:val="18"/>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5728B"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39D06E5" w14:textId="1594445C" w:rsidR="00660EA4" w:rsidRPr="00931F13" w:rsidRDefault="00660EA4" w:rsidP="002753D7">
                      <w:pPr>
                        <w:spacing w:line="276" w:lineRule="auto"/>
                        <w:jc w:val="both"/>
                        <w:rPr>
                          <w:rFonts w:asciiTheme="majorHAnsi" w:hAnsiTheme="majorHAnsi"/>
                          <w:color w:val="595959" w:themeColor="text1" w:themeTint="A6"/>
                          <w:sz w:val="18"/>
                          <w:szCs w:val="18"/>
                          <w:lang w:val="es-CO"/>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w:t>
                      </w:r>
                      <w:r w:rsidRPr="00DE19BC">
                        <w:rPr>
                          <w:rFonts w:asciiTheme="majorHAnsi" w:hAnsiTheme="majorHAnsi"/>
                          <w:color w:val="595959" w:themeColor="text1" w:themeTint="A6"/>
                          <w:sz w:val="18"/>
                          <w:szCs w:val="18"/>
                          <w:lang w:val="pt-BR"/>
                        </w:rPr>
                        <w:t xml:space="preserve">No. </w:t>
                      </w:r>
                      <w:r w:rsidR="00DE19BC" w:rsidRPr="00DE19BC">
                        <w:rPr>
                          <w:rFonts w:asciiTheme="majorHAnsi" w:hAnsiTheme="majorHAnsi"/>
                          <w:color w:val="595959" w:themeColor="text1" w:themeTint="A6"/>
                          <w:sz w:val="18"/>
                          <w:szCs w:val="18"/>
                          <w:lang w:val="pt-BR"/>
                        </w:rPr>
                        <w:t>221</w:t>
                      </w:r>
                      <w:r w:rsidR="00DA0340" w:rsidRPr="00DE19BC">
                        <w:rPr>
                          <w:rFonts w:asciiTheme="majorHAnsi" w:hAnsiTheme="majorHAnsi"/>
                          <w:color w:val="595959" w:themeColor="text1" w:themeTint="A6"/>
                          <w:sz w:val="18"/>
                          <w:szCs w:val="18"/>
                          <w:lang w:val="pt-BR"/>
                        </w:rPr>
                        <w:t>/2</w:t>
                      </w:r>
                      <w:r w:rsidR="002753D7" w:rsidRPr="00DE19BC">
                        <w:rPr>
                          <w:rFonts w:asciiTheme="majorHAnsi" w:hAnsiTheme="majorHAnsi"/>
                          <w:color w:val="595959" w:themeColor="text1" w:themeTint="A6"/>
                          <w:sz w:val="18"/>
                          <w:szCs w:val="18"/>
                          <w:lang w:val="pt-BR"/>
                        </w:rPr>
                        <w:t>3</w:t>
                      </w:r>
                      <w:r w:rsidRPr="00DE19BC">
                        <w:rPr>
                          <w:rFonts w:asciiTheme="majorHAnsi" w:hAnsiTheme="majorHAnsi"/>
                          <w:color w:val="595959" w:themeColor="text1" w:themeTint="A6"/>
                          <w:sz w:val="18"/>
                          <w:szCs w:val="18"/>
                          <w:lang w:val="pt-BR"/>
                        </w:rPr>
                        <w:t xml:space="preserve"> Caso 1</w:t>
                      </w:r>
                      <w:r w:rsidR="002753D7" w:rsidRPr="00DE19BC">
                        <w:rPr>
                          <w:rFonts w:asciiTheme="majorHAnsi" w:hAnsiTheme="majorHAnsi"/>
                          <w:color w:val="595959" w:themeColor="text1" w:themeTint="A6"/>
                          <w:sz w:val="18"/>
                          <w:szCs w:val="18"/>
                          <w:lang w:val="pt-BR"/>
                        </w:rPr>
                        <w:t>4</w:t>
                      </w:r>
                      <w:r w:rsidRPr="00DE19BC">
                        <w:rPr>
                          <w:rFonts w:asciiTheme="majorHAnsi" w:hAnsiTheme="majorHAnsi"/>
                          <w:color w:val="595959" w:themeColor="text1" w:themeTint="A6"/>
                          <w:sz w:val="18"/>
                          <w:szCs w:val="18"/>
                          <w:lang w:val="pt-BR"/>
                        </w:rPr>
                        <w:t>.</w:t>
                      </w:r>
                      <w:r w:rsidR="002753D7" w:rsidRPr="00DE19BC">
                        <w:rPr>
                          <w:rFonts w:asciiTheme="majorHAnsi" w:hAnsiTheme="majorHAnsi"/>
                          <w:color w:val="595959" w:themeColor="text1" w:themeTint="A6"/>
                          <w:sz w:val="18"/>
                          <w:szCs w:val="18"/>
                          <w:lang w:val="pt-BR"/>
                        </w:rPr>
                        <w:t>003</w:t>
                      </w:r>
                      <w:r w:rsidRPr="00DE19BC">
                        <w:rPr>
                          <w:rFonts w:asciiTheme="majorHAnsi" w:hAnsiTheme="majorHAnsi"/>
                          <w:color w:val="595959" w:themeColor="text1" w:themeTint="A6"/>
                          <w:sz w:val="18"/>
                          <w:szCs w:val="18"/>
                          <w:lang w:val="pt-BR"/>
                        </w:rPr>
                        <w:t xml:space="preserve">. </w:t>
                      </w:r>
                      <w:r w:rsidRPr="00DE19BC">
                        <w:rPr>
                          <w:rFonts w:asciiTheme="majorHAnsi" w:hAnsiTheme="majorHAnsi"/>
                          <w:color w:val="595959" w:themeColor="text1" w:themeTint="A6"/>
                          <w:sz w:val="18"/>
                          <w:szCs w:val="18"/>
                          <w:lang w:val="es-ES_tradnl"/>
                        </w:rPr>
                        <w:t xml:space="preserve">Solución Amistosa. </w:t>
                      </w:r>
                      <w:r w:rsidR="002753D7" w:rsidRPr="00DE19BC">
                        <w:rPr>
                          <w:rFonts w:asciiTheme="majorHAnsi" w:hAnsiTheme="majorHAnsi"/>
                          <w:color w:val="595959" w:themeColor="text1" w:themeTint="A6"/>
                          <w:sz w:val="18"/>
                          <w:szCs w:val="18"/>
                          <w:lang w:val="es-ES_tradnl"/>
                        </w:rPr>
                        <w:t>María Regina Ocampo Loaiza y otros</w:t>
                      </w:r>
                      <w:r w:rsidRPr="00DE19BC">
                        <w:rPr>
                          <w:rFonts w:asciiTheme="majorHAnsi" w:hAnsiTheme="majorHAnsi"/>
                          <w:color w:val="595959" w:themeColor="text1" w:themeTint="A6"/>
                          <w:sz w:val="18"/>
                          <w:szCs w:val="18"/>
                          <w:lang w:val="es-ES_tradnl"/>
                        </w:rPr>
                        <w:t>.</w:t>
                      </w:r>
                      <w:r w:rsidR="002753D7" w:rsidRPr="00DE19BC">
                        <w:rPr>
                          <w:rFonts w:asciiTheme="majorHAnsi" w:hAnsiTheme="majorHAnsi"/>
                          <w:color w:val="595959" w:themeColor="text1" w:themeTint="A6"/>
                          <w:sz w:val="18"/>
                          <w:szCs w:val="18"/>
                          <w:lang w:val="es-ES_tradnl"/>
                        </w:rPr>
                        <w:t xml:space="preserve"> Colombi</w:t>
                      </w:r>
                      <w:r w:rsidRPr="00DE19BC">
                        <w:rPr>
                          <w:rFonts w:asciiTheme="majorHAnsi" w:hAnsiTheme="majorHAnsi"/>
                          <w:color w:val="595959" w:themeColor="text1" w:themeTint="A6"/>
                          <w:sz w:val="18"/>
                          <w:szCs w:val="18"/>
                          <w:lang w:val="es-ES_tradnl"/>
                        </w:rPr>
                        <w:t xml:space="preserve">a. </w:t>
                      </w:r>
                      <w:r w:rsidR="00DE19BC">
                        <w:rPr>
                          <w:rFonts w:asciiTheme="majorHAnsi" w:hAnsiTheme="majorHAnsi"/>
                          <w:color w:val="595959" w:themeColor="text1" w:themeTint="A6"/>
                          <w:sz w:val="18"/>
                          <w:szCs w:val="18"/>
                          <w:lang w:val="es-CO"/>
                        </w:rPr>
                        <w:t>22 de octubre</w:t>
                      </w:r>
                      <w:r w:rsidRPr="00DE19BC">
                        <w:rPr>
                          <w:rFonts w:asciiTheme="majorHAnsi" w:hAnsiTheme="majorHAnsi"/>
                          <w:color w:val="595959" w:themeColor="text1" w:themeTint="A6"/>
                          <w:sz w:val="18"/>
                          <w:szCs w:val="18"/>
                          <w:lang w:val="es-CO"/>
                        </w:rPr>
                        <w:t xml:space="preserve"> de 202</w:t>
                      </w:r>
                      <w:r w:rsidR="002753D7" w:rsidRPr="00DE19BC">
                        <w:rPr>
                          <w:rFonts w:asciiTheme="majorHAnsi" w:hAnsiTheme="majorHAnsi"/>
                          <w:color w:val="595959" w:themeColor="text1" w:themeTint="A6"/>
                          <w:sz w:val="18"/>
                          <w:szCs w:val="18"/>
                          <w:lang w:val="es-CO"/>
                        </w:rPr>
                        <w:t>3</w:t>
                      </w:r>
                      <w:r w:rsidRPr="00DE19BC">
                        <w:rPr>
                          <w:rFonts w:asciiTheme="majorHAnsi" w:hAnsiTheme="majorHAnsi"/>
                          <w:color w:val="595959" w:themeColor="text1" w:themeTint="A6"/>
                          <w:sz w:val="18"/>
                          <w:szCs w:val="18"/>
                          <w:lang w:val="es-CO"/>
                        </w:rPr>
                        <w:t>.</w:t>
                      </w:r>
                    </w:p>
                  </w:txbxContent>
                </v:textbox>
              </v:shape>
            </w:pict>
          </mc:Fallback>
        </mc:AlternateContent>
      </w:r>
    </w:p>
    <w:p w14:paraId="59B2F3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32D002"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68E70642" wp14:editId="4C4DA0A9">
                <wp:simplePos x="0" y="0"/>
                <wp:positionH relativeFrom="column">
                  <wp:posOffset>1329690</wp:posOffset>
                </wp:positionH>
                <wp:positionV relativeFrom="paragraph">
                  <wp:posOffset>746851</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7333D" w14:textId="77777777" w:rsidR="00660EA4" w:rsidRPr="00D72DC6" w:rsidRDefault="00660EA4" w:rsidP="00F02AD1">
                            <w:pPr>
                              <w:rPr>
                                <w:color w:val="FFFFFF" w:themeColor="background1"/>
                                <w14:textFill>
                                  <w14:noFill/>
                                </w14:textFill>
                              </w:rPr>
                            </w:pPr>
                            <w:r>
                              <w:rPr>
                                <w:noProof/>
                                <w:color w:val="FFFFFF" w:themeColor="background1"/>
                                <w14:textFill>
                                  <w14:noFill/>
                                </w14:textFill>
                              </w:rPr>
                              <w:drawing>
                                <wp:inline distT="0" distB="0" distL="0" distR="0" wp14:anchorId="227055EC" wp14:editId="4A9CF3C9">
                                  <wp:extent cx="1685925" cy="428625"/>
                                  <wp:effectExtent l="0" t="0" r="9525" b="9525"/>
                                  <wp:docPr id="2" name="Picture 2" descr="OAS_Seal_ESP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SP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70642" id="Text Box 9" o:spid="_x0000_s1031" type="#_x0000_t202" style="position:absolute;left:0;text-align:left;margin-left:104.7pt;margin-top:58.8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" fillcolor="white [3201]" stroked="f" strokeweight=".5pt">
                <v:textbox>
                  <w:txbxContent>
                    <w:p w14:paraId="69D7333D" w14:textId="77777777" w:rsidR="00660EA4" w:rsidRPr="00D72DC6" w:rsidRDefault="00660EA4" w:rsidP="00F02AD1">
                      <w:pPr>
                        <w:rPr>
                          <w:color w:val="FFFFFF" w:themeColor="background1"/>
                          <w14:textFill>
                            <w14:noFill/>
                          </w14:textFill>
                        </w:rPr>
                      </w:pPr>
                      <w:r>
                        <w:rPr>
                          <w:noProof/>
                          <w:color w:val="FFFFFF" w:themeColor="background1"/>
                          <w14:textFill>
                            <w14:noFill/>
                          </w14:textFill>
                        </w:rPr>
                        <w:drawing>
                          <wp:inline distT="0" distB="0" distL="0" distR="0" wp14:anchorId="227055EC" wp14:editId="4A9CF3C9">
                            <wp:extent cx="1685925" cy="428625"/>
                            <wp:effectExtent l="0" t="0" r="9525" b="9525"/>
                            <wp:docPr id="2" name="Picture 2" descr="OAS_Seal_ESP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SP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3F4D7D8A" wp14:editId="1AD5E29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692B1" w14:textId="77777777" w:rsidR="00660EA4" w:rsidRPr="004B7EB6" w:rsidRDefault="00660EA4"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D7D8A"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418692B1" w14:textId="77777777" w:rsidR="00660EA4" w:rsidRPr="004B7EB6" w:rsidRDefault="00660EA4"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562A3E8" w14:textId="77777777" w:rsidR="0070697F" w:rsidRDefault="0070697F"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4436EA8D" w14:textId="41D9B47B" w:rsidR="00722C9F" w:rsidRPr="000907C1" w:rsidRDefault="00931F13" w:rsidP="00203DE5">
      <w:pPr>
        <w:tabs>
          <w:tab w:val="center" w:pos="5400"/>
        </w:tabs>
        <w:suppressAutoHyphens/>
        <w:jc w:val="center"/>
        <w:rPr>
          <w:rFonts w:asciiTheme="majorHAnsi" w:hAnsiTheme="majorHAnsi"/>
          <w:b/>
          <w:sz w:val="18"/>
          <w:szCs w:val="20"/>
          <w:lang w:val="es-ES_tradnl"/>
        </w:rPr>
      </w:pPr>
      <w:r w:rsidRPr="000907C1">
        <w:rPr>
          <w:rFonts w:asciiTheme="majorHAnsi" w:hAnsiTheme="majorHAnsi"/>
          <w:b/>
          <w:sz w:val="18"/>
          <w:szCs w:val="20"/>
          <w:lang w:val="es-ES_tradnl"/>
        </w:rPr>
        <w:lastRenderedPageBreak/>
        <w:t xml:space="preserve">INFORME No. </w:t>
      </w:r>
      <w:r w:rsidR="00DE19BC" w:rsidRPr="00DE19BC">
        <w:rPr>
          <w:rFonts w:asciiTheme="majorHAnsi" w:hAnsiTheme="majorHAnsi"/>
          <w:b/>
          <w:sz w:val="18"/>
          <w:szCs w:val="20"/>
          <w:lang w:val="es-ES_tradnl"/>
        </w:rPr>
        <w:t>221</w:t>
      </w:r>
      <w:r w:rsidRPr="00DE19BC">
        <w:rPr>
          <w:rFonts w:asciiTheme="majorHAnsi" w:hAnsiTheme="majorHAnsi"/>
          <w:b/>
          <w:sz w:val="18"/>
          <w:szCs w:val="20"/>
          <w:lang w:val="es-ES_tradnl"/>
        </w:rPr>
        <w:t>/2</w:t>
      </w:r>
      <w:r w:rsidR="00203DE5" w:rsidRPr="00DE19BC">
        <w:rPr>
          <w:rFonts w:asciiTheme="majorHAnsi" w:hAnsiTheme="majorHAnsi"/>
          <w:b/>
          <w:sz w:val="18"/>
          <w:szCs w:val="20"/>
          <w:lang w:val="es-ES_tradnl"/>
        </w:rPr>
        <w:t>3</w:t>
      </w:r>
    </w:p>
    <w:p w14:paraId="09D0F2F3" w14:textId="47D940EB" w:rsidR="00722C9F" w:rsidRPr="000907C1" w:rsidRDefault="00722C9F" w:rsidP="00203DE5">
      <w:pPr>
        <w:tabs>
          <w:tab w:val="center" w:pos="5400"/>
        </w:tabs>
        <w:suppressAutoHyphens/>
        <w:jc w:val="center"/>
        <w:rPr>
          <w:rFonts w:asciiTheme="majorHAnsi" w:hAnsiTheme="majorHAnsi"/>
          <w:b/>
          <w:sz w:val="18"/>
          <w:szCs w:val="20"/>
          <w:lang w:val="es-ES_tradnl"/>
        </w:rPr>
      </w:pPr>
      <w:r w:rsidRPr="000907C1">
        <w:rPr>
          <w:rFonts w:asciiTheme="majorHAnsi" w:hAnsiTheme="majorHAnsi"/>
          <w:b/>
          <w:sz w:val="18"/>
          <w:szCs w:val="20"/>
          <w:lang w:val="es-ES_tradnl"/>
        </w:rPr>
        <w:t xml:space="preserve">CASO </w:t>
      </w:r>
      <w:r w:rsidR="00931F13" w:rsidRPr="000907C1">
        <w:rPr>
          <w:rFonts w:asciiTheme="majorHAnsi" w:hAnsiTheme="majorHAnsi"/>
          <w:b/>
          <w:sz w:val="18"/>
          <w:szCs w:val="20"/>
          <w:lang w:val="es-ES_tradnl"/>
        </w:rPr>
        <w:t>1</w:t>
      </w:r>
      <w:r w:rsidR="002F45F9" w:rsidRPr="000907C1">
        <w:rPr>
          <w:rFonts w:asciiTheme="majorHAnsi" w:hAnsiTheme="majorHAnsi"/>
          <w:b/>
          <w:sz w:val="18"/>
          <w:szCs w:val="20"/>
          <w:lang w:val="es-ES_tradnl"/>
        </w:rPr>
        <w:t>4</w:t>
      </w:r>
      <w:r w:rsidR="00931F13" w:rsidRPr="000907C1">
        <w:rPr>
          <w:rFonts w:asciiTheme="majorHAnsi" w:hAnsiTheme="majorHAnsi"/>
          <w:b/>
          <w:sz w:val="18"/>
          <w:szCs w:val="20"/>
          <w:lang w:val="es-ES_tradnl"/>
        </w:rPr>
        <w:t>.</w:t>
      </w:r>
      <w:r w:rsidR="002F45F9" w:rsidRPr="000907C1">
        <w:rPr>
          <w:rFonts w:asciiTheme="majorHAnsi" w:hAnsiTheme="majorHAnsi"/>
          <w:b/>
          <w:sz w:val="18"/>
          <w:szCs w:val="20"/>
          <w:lang w:val="es-ES_tradnl"/>
        </w:rPr>
        <w:t>003</w:t>
      </w:r>
    </w:p>
    <w:p w14:paraId="300511F2" w14:textId="77777777" w:rsidR="00722C9F" w:rsidRPr="000907C1" w:rsidRDefault="00722C9F" w:rsidP="00203DE5">
      <w:pPr>
        <w:tabs>
          <w:tab w:val="center" w:pos="5400"/>
        </w:tabs>
        <w:suppressAutoHyphens/>
        <w:jc w:val="center"/>
        <w:rPr>
          <w:rFonts w:asciiTheme="majorHAnsi" w:hAnsiTheme="majorHAnsi"/>
          <w:sz w:val="18"/>
          <w:szCs w:val="20"/>
          <w:lang w:val="es-ES_tradnl"/>
        </w:rPr>
      </w:pPr>
      <w:r w:rsidRPr="000907C1">
        <w:rPr>
          <w:rFonts w:asciiTheme="majorHAnsi" w:hAnsiTheme="majorHAnsi"/>
          <w:sz w:val="18"/>
          <w:szCs w:val="20"/>
          <w:lang w:val="es-ES_tradnl"/>
        </w:rPr>
        <w:t xml:space="preserve">INFORME DE </w:t>
      </w:r>
      <w:r w:rsidR="00931F13" w:rsidRPr="000907C1">
        <w:rPr>
          <w:rFonts w:asciiTheme="majorHAnsi" w:hAnsiTheme="majorHAnsi"/>
          <w:sz w:val="18"/>
          <w:szCs w:val="20"/>
          <w:lang w:val="es-ES_tradnl"/>
        </w:rPr>
        <w:t>SOLUCIÓN AMISTOSA</w:t>
      </w:r>
    </w:p>
    <w:p w14:paraId="4D8E3732" w14:textId="75363801" w:rsidR="00722C9F" w:rsidRPr="000907C1" w:rsidRDefault="002F45F9" w:rsidP="00203DE5">
      <w:pPr>
        <w:tabs>
          <w:tab w:val="center" w:pos="5400"/>
        </w:tabs>
        <w:suppressAutoHyphens/>
        <w:jc w:val="center"/>
        <w:rPr>
          <w:rFonts w:asciiTheme="majorHAnsi" w:hAnsiTheme="majorHAnsi"/>
          <w:sz w:val="18"/>
          <w:szCs w:val="20"/>
          <w:lang w:val="es-ES_tradnl"/>
        </w:rPr>
      </w:pPr>
      <w:r w:rsidRPr="000907C1">
        <w:rPr>
          <w:rFonts w:asciiTheme="majorHAnsi" w:hAnsiTheme="majorHAnsi"/>
          <w:sz w:val="18"/>
          <w:szCs w:val="20"/>
          <w:lang w:val="es-ES_tradnl"/>
        </w:rPr>
        <w:t>MARÍA REGINA OCAMPO LOAIZA Y OTROS</w:t>
      </w:r>
    </w:p>
    <w:p w14:paraId="63E8618A" w14:textId="74FC7E03" w:rsidR="0070697F" w:rsidRPr="000907C1" w:rsidRDefault="00203DE5" w:rsidP="00203DE5">
      <w:pPr>
        <w:tabs>
          <w:tab w:val="center" w:pos="5400"/>
        </w:tabs>
        <w:suppressAutoHyphens/>
        <w:jc w:val="center"/>
        <w:rPr>
          <w:rFonts w:asciiTheme="majorHAnsi" w:hAnsiTheme="majorHAnsi"/>
          <w:sz w:val="18"/>
          <w:szCs w:val="20"/>
          <w:lang w:val="es-ES_tradnl"/>
        </w:rPr>
      </w:pPr>
      <w:r w:rsidRPr="000907C1">
        <w:rPr>
          <w:rFonts w:asciiTheme="majorHAnsi" w:hAnsiTheme="majorHAnsi"/>
          <w:sz w:val="18"/>
          <w:szCs w:val="20"/>
          <w:lang w:val="es-ES_tradnl"/>
        </w:rPr>
        <w:t>COLOMBIA</w:t>
      </w:r>
      <w:r w:rsidR="009F2BDE" w:rsidRPr="000907C1">
        <w:rPr>
          <w:rStyle w:val="FootnoteReference"/>
          <w:rFonts w:asciiTheme="majorHAnsi" w:hAnsiTheme="majorHAnsi"/>
          <w:sz w:val="18"/>
          <w:szCs w:val="20"/>
          <w:lang w:val="es-ES_tradnl"/>
        </w:rPr>
        <w:footnoteReference w:id="2"/>
      </w:r>
    </w:p>
    <w:p w14:paraId="64F2C5F2" w14:textId="522321DB" w:rsidR="00722C9F" w:rsidRDefault="00DE19BC" w:rsidP="00203DE5">
      <w:pPr>
        <w:tabs>
          <w:tab w:val="center" w:pos="5400"/>
        </w:tabs>
        <w:suppressAutoHyphens/>
        <w:jc w:val="center"/>
        <w:rPr>
          <w:rFonts w:asciiTheme="majorHAnsi" w:hAnsiTheme="majorHAnsi"/>
          <w:sz w:val="18"/>
          <w:szCs w:val="20"/>
          <w:lang w:val="es-ES_tradnl"/>
        </w:rPr>
      </w:pPr>
      <w:r>
        <w:rPr>
          <w:rFonts w:asciiTheme="majorHAnsi" w:hAnsiTheme="majorHAnsi"/>
          <w:sz w:val="18"/>
          <w:szCs w:val="20"/>
          <w:lang w:val="es-ES_tradnl"/>
        </w:rPr>
        <w:t>22</w:t>
      </w:r>
      <w:r w:rsidR="00203DE5" w:rsidRPr="00DE19BC">
        <w:rPr>
          <w:rFonts w:asciiTheme="majorHAnsi" w:hAnsiTheme="majorHAnsi"/>
          <w:sz w:val="18"/>
          <w:szCs w:val="20"/>
          <w:lang w:val="es-ES_tradnl"/>
        </w:rPr>
        <w:t xml:space="preserve"> </w:t>
      </w:r>
      <w:r w:rsidR="00DA0340" w:rsidRPr="00DE19BC">
        <w:rPr>
          <w:rFonts w:asciiTheme="majorHAnsi" w:hAnsiTheme="majorHAnsi"/>
          <w:sz w:val="18"/>
          <w:szCs w:val="20"/>
          <w:lang w:val="es-ES_tradnl"/>
        </w:rPr>
        <w:t>DE</w:t>
      </w:r>
      <w:r w:rsidR="008A06BA" w:rsidRPr="00DE19BC">
        <w:rPr>
          <w:rFonts w:asciiTheme="majorHAnsi" w:hAnsiTheme="majorHAnsi"/>
          <w:sz w:val="18"/>
          <w:szCs w:val="20"/>
          <w:lang w:val="es-ES_tradnl"/>
        </w:rPr>
        <w:t xml:space="preserve"> </w:t>
      </w:r>
      <w:r>
        <w:rPr>
          <w:rFonts w:asciiTheme="majorHAnsi" w:hAnsiTheme="majorHAnsi"/>
          <w:sz w:val="18"/>
          <w:szCs w:val="20"/>
          <w:lang w:val="es-ES_tradnl"/>
        </w:rPr>
        <w:t>OCTUBRE</w:t>
      </w:r>
      <w:r w:rsidR="00DA0340" w:rsidRPr="00DE19BC">
        <w:rPr>
          <w:rFonts w:asciiTheme="majorHAnsi" w:hAnsiTheme="majorHAnsi"/>
          <w:sz w:val="18"/>
          <w:szCs w:val="20"/>
          <w:lang w:val="es-ES_tradnl"/>
        </w:rPr>
        <w:t xml:space="preserve"> DE</w:t>
      </w:r>
      <w:r w:rsidR="00931F13" w:rsidRPr="00DE19BC">
        <w:rPr>
          <w:rFonts w:asciiTheme="majorHAnsi" w:hAnsiTheme="majorHAnsi"/>
          <w:sz w:val="18"/>
          <w:szCs w:val="20"/>
          <w:lang w:val="es-ES_tradnl"/>
        </w:rPr>
        <w:t xml:space="preserve"> 202</w:t>
      </w:r>
      <w:r w:rsidR="00203DE5" w:rsidRPr="00DE19BC">
        <w:rPr>
          <w:rFonts w:asciiTheme="majorHAnsi" w:hAnsiTheme="majorHAnsi"/>
          <w:sz w:val="18"/>
          <w:szCs w:val="20"/>
          <w:lang w:val="es-ES_tradnl"/>
        </w:rPr>
        <w:t>3</w:t>
      </w:r>
    </w:p>
    <w:p w14:paraId="50A0B472" w14:textId="77777777" w:rsidR="00722C9F" w:rsidRDefault="00722C9F" w:rsidP="00722C9F">
      <w:pPr>
        <w:tabs>
          <w:tab w:val="center" w:pos="5400"/>
        </w:tabs>
        <w:suppressAutoHyphens/>
        <w:spacing w:line="276" w:lineRule="auto"/>
        <w:jc w:val="center"/>
        <w:rPr>
          <w:rFonts w:asciiTheme="majorHAnsi" w:hAnsiTheme="majorHAnsi"/>
          <w:sz w:val="18"/>
          <w:szCs w:val="20"/>
          <w:lang w:val="es-ES_tradnl"/>
        </w:rPr>
      </w:pPr>
    </w:p>
    <w:p w14:paraId="403769F5" w14:textId="77777777" w:rsidR="008D768D" w:rsidRDefault="008D768D" w:rsidP="001D65EF">
      <w:pPr>
        <w:tabs>
          <w:tab w:val="center" w:pos="5400"/>
        </w:tabs>
        <w:suppressAutoHyphens/>
        <w:spacing w:line="276" w:lineRule="auto"/>
        <w:rPr>
          <w:rFonts w:asciiTheme="majorHAnsi" w:hAnsiTheme="majorHAnsi"/>
          <w:sz w:val="20"/>
          <w:szCs w:val="20"/>
          <w:lang w:val="es-ES_tradnl"/>
        </w:rPr>
      </w:pPr>
    </w:p>
    <w:p w14:paraId="28E8AF1A" w14:textId="77777777" w:rsidR="00931F13" w:rsidRPr="000907C1" w:rsidRDefault="00931F13" w:rsidP="00E46BE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asciiTheme="majorHAnsi" w:hAnsiTheme="majorHAnsi"/>
          <w:b/>
          <w:sz w:val="20"/>
          <w:szCs w:val="20"/>
          <w:lang w:val="es-BO"/>
        </w:rPr>
      </w:pPr>
      <w:r w:rsidRPr="000907C1">
        <w:rPr>
          <w:rFonts w:asciiTheme="majorHAnsi" w:hAnsiTheme="majorHAnsi"/>
          <w:b/>
          <w:sz w:val="20"/>
          <w:szCs w:val="20"/>
          <w:lang w:val="es-BO"/>
        </w:rPr>
        <w:t>RESUMEN Y ASPECTOS PROCESALES RELEVANTES DEL PROCESO DE SOLUCIÓN AMISTOSA</w:t>
      </w:r>
    </w:p>
    <w:p w14:paraId="01923CC9" w14:textId="77777777" w:rsidR="00931F13" w:rsidRPr="000907C1" w:rsidRDefault="00931F13" w:rsidP="000907C1">
      <w:pPr>
        <w:ind w:firstLine="720"/>
        <w:jc w:val="both"/>
        <w:rPr>
          <w:rFonts w:asciiTheme="majorHAnsi" w:eastAsia="MS Mincho" w:hAnsiTheme="majorHAnsi"/>
          <w:sz w:val="20"/>
          <w:szCs w:val="20"/>
          <w:lang w:val="es-BO"/>
        </w:rPr>
      </w:pPr>
    </w:p>
    <w:p w14:paraId="1CCCD5B6" w14:textId="7EBD5029" w:rsidR="004F7560" w:rsidRDefault="00931F13" w:rsidP="005213E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AR"/>
        </w:rPr>
      </w:pPr>
      <w:r w:rsidRPr="000907C1">
        <w:rPr>
          <w:rFonts w:asciiTheme="majorHAnsi" w:hAnsiTheme="majorHAnsi" w:cs="Cambria"/>
          <w:color w:val="000000"/>
          <w:sz w:val="20"/>
          <w:szCs w:val="20"/>
          <w:u w:color="000000"/>
          <w:bdr w:val="none" w:sz="0" w:space="0" w:color="auto" w:frame="1"/>
          <w:lang w:val="es-AR" w:eastAsia="es-ES"/>
        </w:rPr>
        <w:t xml:space="preserve">El </w:t>
      </w:r>
      <w:r w:rsidR="00F77CB1" w:rsidRPr="000907C1">
        <w:rPr>
          <w:rFonts w:asciiTheme="majorHAnsi" w:hAnsiTheme="majorHAnsi" w:cs="Cambria"/>
          <w:color w:val="000000"/>
          <w:sz w:val="20"/>
          <w:szCs w:val="20"/>
          <w:u w:color="000000"/>
          <w:bdr w:val="none" w:sz="0" w:space="0" w:color="auto" w:frame="1"/>
          <w:lang w:val="es-AR" w:eastAsia="es-ES"/>
        </w:rPr>
        <w:t>7 de noviembre de 2008</w:t>
      </w:r>
      <w:r w:rsidRPr="000907C1">
        <w:rPr>
          <w:rFonts w:asciiTheme="majorHAnsi" w:hAnsiTheme="majorHAnsi" w:cs="Cambria"/>
          <w:color w:val="000000"/>
          <w:sz w:val="20"/>
          <w:szCs w:val="20"/>
          <w:u w:color="000000"/>
          <w:bdr w:val="none" w:sz="0" w:space="0" w:color="auto" w:frame="1"/>
          <w:lang w:val="es-AR" w:eastAsia="es-ES"/>
        </w:rPr>
        <w:t xml:space="preserve">, la Comisión Interamericana de Derechos Humanos (en adelante “la Comisión” o “CIDH”) recibió una petición presentada por </w:t>
      </w:r>
      <w:r w:rsidR="005802E9" w:rsidRPr="000907C1">
        <w:rPr>
          <w:rFonts w:asciiTheme="majorHAnsi" w:hAnsiTheme="majorHAnsi" w:cs="Cambria"/>
          <w:color w:val="000000"/>
          <w:sz w:val="20"/>
          <w:szCs w:val="20"/>
          <w:u w:color="000000"/>
          <w:bdr w:val="none" w:sz="0" w:space="0" w:color="auto" w:frame="1"/>
          <w:lang w:val="es-AR" w:eastAsia="es-ES"/>
        </w:rPr>
        <w:t xml:space="preserve">el señor </w:t>
      </w:r>
      <w:r w:rsidR="00A5697B" w:rsidRPr="000907C1">
        <w:rPr>
          <w:rFonts w:asciiTheme="majorHAnsi" w:hAnsiTheme="majorHAnsi" w:cs="Cambria"/>
          <w:color w:val="000000"/>
          <w:sz w:val="20"/>
          <w:szCs w:val="20"/>
          <w:u w:color="000000"/>
          <w:bdr w:val="none" w:sz="0" w:space="0" w:color="auto" w:frame="1"/>
          <w:lang w:val="es-AR" w:eastAsia="es-ES"/>
        </w:rPr>
        <w:t>Oscar Darío Villegas Posada</w:t>
      </w:r>
      <w:r w:rsidRPr="000907C1">
        <w:rPr>
          <w:rFonts w:asciiTheme="majorHAnsi" w:hAnsiTheme="majorHAnsi" w:cs="Cambria"/>
          <w:color w:val="000000"/>
          <w:sz w:val="20"/>
          <w:szCs w:val="20"/>
          <w:u w:color="000000"/>
          <w:bdr w:val="none" w:sz="0" w:space="0" w:color="auto" w:frame="1"/>
          <w:lang w:val="es-AR" w:eastAsia="es-ES"/>
        </w:rPr>
        <w:t xml:space="preserve"> (en adelante </w:t>
      </w:r>
      <w:r w:rsidR="00FD7F67" w:rsidRPr="000907C1">
        <w:rPr>
          <w:rFonts w:asciiTheme="majorHAnsi" w:hAnsiTheme="majorHAnsi" w:cs="Cambria"/>
          <w:color w:val="000000"/>
          <w:sz w:val="20"/>
          <w:szCs w:val="20"/>
          <w:u w:color="000000"/>
          <w:bdr w:val="none" w:sz="0" w:space="0" w:color="auto" w:frame="1"/>
          <w:lang w:val="es-AR" w:eastAsia="es-ES"/>
        </w:rPr>
        <w:t xml:space="preserve">el </w:t>
      </w:r>
      <w:r w:rsidRPr="000907C1">
        <w:rPr>
          <w:rFonts w:asciiTheme="majorHAnsi" w:hAnsiTheme="majorHAnsi" w:cs="Cambria"/>
          <w:color w:val="000000"/>
          <w:sz w:val="20"/>
          <w:szCs w:val="20"/>
          <w:u w:color="000000"/>
          <w:bdr w:val="none" w:sz="0" w:space="0" w:color="auto" w:frame="1"/>
          <w:lang w:val="es-AR" w:eastAsia="es-ES"/>
        </w:rPr>
        <w:t>“peticionario”</w:t>
      </w:r>
      <w:r w:rsidR="00123475" w:rsidRPr="000907C1">
        <w:rPr>
          <w:rFonts w:asciiTheme="majorHAnsi" w:hAnsiTheme="majorHAnsi" w:cs="Cambria"/>
          <w:color w:val="000000"/>
          <w:sz w:val="20"/>
          <w:szCs w:val="20"/>
          <w:u w:color="000000"/>
          <w:bdr w:val="none" w:sz="0" w:space="0" w:color="auto" w:frame="1"/>
          <w:lang w:val="es-AR" w:eastAsia="es-ES"/>
        </w:rPr>
        <w:t xml:space="preserve"> o</w:t>
      </w:r>
      <w:r w:rsidR="005802E9" w:rsidRPr="000907C1">
        <w:rPr>
          <w:rFonts w:asciiTheme="majorHAnsi" w:hAnsiTheme="majorHAnsi" w:cs="Cambria"/>
          <w:color w:val="000000"/>
          <w:sz w:val="20"/>
          <w:szCs w:val="20"/>
          <w:u w:color="000000"/>
          <w:bdr w:val="none" w:sz="0" w:space="0" w:color="auto" w:frame="1"/>
          <w:lang w:val="es-AR" w:eastAsia="es-ES"/>
        </w:rPr>
        <w:t xml:space="preserve"> la “</w:t>
      </w:r>
      <w:r w:rsidR="007A6C88" w:rsidRPr="000907C1">
        <w:rPr>
          <w:rFonts w:asciiTheme="majorHAnsi" w:hAnsiTheme="majorHAnsi" w:cs="Cambria"/>
          <w:color w:val="000000"/>
          <w:sz w:val="20"/>
          <w:szCs w:val="20"/>
          <w:u w:color="000000"/>
          <w:bdr w:val="none" w:sz="0" w:space="0" w:color="auto" w:frame="1"/>
          <w:lang w:val="es-AR" w:eastAsia="es-ES"/>
        </w:rPr>
        <w:t>parte peticionaria</w:t>
      </w:r>
      <w:r w:rsidR="005802E9" w:rsidRPr="000907C1">
        <w:rPr>
          <w:rFonts w:asciiTheme="majorHAnsi" w:hAnsiTheme="majorHAnsi" w:cs="Cambria"/>
          <w:color w:val="000000"/>
          <w:sz w:val="20"/>
          <w:szCs w:val="20"/>
          <w:u w:color="000000"/>
          <w:bdr w:val="none" w:sz="0" w:space="0" w:color="auto" w:frame="1"/>
          <w:lang w:val="es-AR" w:eastAsia="es-ES"/>
        </w:rPr>
        <w:t>”</w:t>
      </w:r>
      <w:r w:rsidRPr="000907C1">
        <w:rPr>
          <w:rFonts w:asciiTheme="majorHAnsi" w:hAnsiTheme="majorHAnsi" w:cs="Cambria"/>
          <w:color w:val="000000"/>
          <w:sz w:val="20"/>
          <w:szCs w:val="20"/>
          <w:u w:color="000000"/>
          <w:bdr w:val="none" w:sz="0" w:space="0" w:color="auto" w:frame="1"/>
          <w:lang w:val="es-AR" w:eastAsia="es-ES"/>
        </w:rPr>
        <w:t xml:space="preserve">), en la cual se alegaba la responsabilidad internacional de </w:t>
      </w:r>
      <w:r w:rsidR="00C01502" w:rsidRPr="000907C1">
        <w:rPr>
          <w:rFonts w:asciiTheme="majorHAnsi" w:hAnsiTheme="majorHAnsi" w:cs="Cambria"/>
          <w:color w:val="000000"/>
          <w:sz w:val="20"/>
          <w:szCs w:val="20"/>
          <w:u w:color="000000"/>
          <w:bdr w:val="none" w:sz="0" w:space="0" w:color="auto" w:frame="1"/>
          <w:lang w:val="es-AR" w:eastAsia="es-ES"/>
        </w:rPr>
        <w:t xml:space="preserve">la República de </w:t>
      </w:r>
      <w:r w:rsidR="007A6C88" w:rsidRPr="000907C1">
        <w:rPr>
          <w:rFonts w:asciiTheme="majorHAnsi" w:hAnsiTheme="majorHAnsi" w:cs="Cambria"/>
          <w:color w:val="000000"/>
          <w:sz w:val="20"/>
          <w:szCs w:val="20"/>
          <w:u w:color="000000"/>
          <w:bdr w:val="none" w:sz="0" w:space="0" w:color="auto" w:frame="1"/>
          <w:lang w:val="es-AR" w:eastAsia="es-ES"/>
        </w:rPr>
        <w:t>Colombia</w:t>
      </w:r>
      <w:r w:rsidR="00C01502" w:rsidRPr="000907C1">
        <w:rPr>
          <w:rFonts w:asciiTheme="majorHAnsi" w:hAnsiTheme="majorHAnsi" w:cs="Cambria"/>
          <w:color w:val="000000"/>
          <w:sz w:val="20"/>
          <w:szCs w:val="20"/>
          <w:u w:color="000000"/>
          <w:bdr w:val="none" w:sz="0" w:space="0" w:color="auto" w:frame="1"/>
          <w:lang w:val="es-AR" w:eastAsia="es-ES"/>
        </w:rPr>
        <w:t xml:space="preserve"> </w:t>
      </w:r>
      <w:r w:rsidRPr="000907C1">
        <w:rPr>
          <w:rFonts w:asciiTheme="majorHAnsi" w:hAnsiTheme="majorHAnsi" w:cs="Cambria"/>
          <w:color w:val="000000"/>
          <w:sz w:val="20"/>
          <w:szCs w:val="20"/>
          <w:u w:color="000000"/>
          <w:bdr w:val="none" w:sz="0" w:space="0" w:color="auto" w:frame="1"/>
          <w:lang w:val="es-AR" w:eastAsia="es-ES"/>
        </w:rPr>
        <w:t xml:space="preserve">(en adelante “Estado” o “Estado </w:t>
      </w:r>
      <w:r w:rsidR="007A6C88" w:rsidRPr="000907C1">
        <w:rPr>
          <w:rFonts w:asciiTheme="majorHAnsi" w:hAnsiTheme="majorHAnsi" w:cs="Cambria"/>
          <w:color w:val="000000"/>
          <w:sz w:val="20"/>
          <w:szCs w:val="20"/>
          <w:u w:color="000000"/>
          <w:bdr w:val="none" w:sz="0" w:space="0" w:color="auto" w:frame="1"/>
          <w:lang w:val="es-AR" w:eastAsia="es-ES"/>
        </w:rPr>
        <w:t>colombian</w:t>
      </w:r>
      <w:r w:rsidR="00C01502" w:rsidRPr="000907C1">
        <w:rPr>
          <w:rFonts w:asciiTheme="majorHAnsi" w:hAnsiTheme="majorHAnsi" w:cs="Cambria"/>
          <w:color w:val="000000"/>
          <w:sz w:val="20"/>
          <w:szCs w:val="20"/>
          <w:u w:color="000000"/>
          <w:bdr w:val="none" w:sz="0" w:space="0" w:color="auto" w:frame="1"/>
          <w:lang w:val="es-AR" w:eastAsia="es-ES"/>
        </w:rPr>
        <w:t>o</w:t>
      </w:r>
      <w:r w:rsidRPr="000907C1">
        <w:rPr>
          <w:rFonts w:asciiTheme="majorHAnsi" w:hAnsiTheme="majorHAnsi" w:cs="Cambria"/>
          <w:color w:val="000000"/>
          <w:sz w:val="20"/>
          <w:szCs w:val="20"/>
          <w:u w:color="000000"/>
          <w:bdr w:val="none" w:sz="0" w:space="0" w:color="auto" w:frame="1"/>
          <w:lang w:val="es-AR" w:eastAsia="es-ES"/>
        </w:rPr>
        <w:t>” o “</w:t>
      </w:r>
      <w:r w:rsidR="007A6C88" w:rsidRPr="000907C1">
        <w:rPr>
          <w:rFonts w:asciiTheme="majorHAnsi" w:hAnsiTheme="majorHAnsi" w:cs="Cambria"/>
          <w:color w:val="000000"/>
          <w:sz w:val="20"/>
          <w:szCs w:val="20"/>
          <w:u w:color="000000"/>
          <w:bdr w:val="none" w:sz="0" w:space="0" w:color="auto" w:frame="1"/>
          <w:lang w:val="es-AR" w:eastAsia="es-ES"/>
        </w:rPr>
        <w:t xml:space="preserve"> Colombi</w:t>
      </w:r>
      <w:r w:rsidR="00C01502" w:rsidRPr="000907C1">
        <w:rPr>
          <w:rFonts w:asciiTheme="majorHAnsi" w:hAnsiTheme="majorHAnsi" w:cs="Cambria"/>
          <w:color w:val="000000"/>
          <w:sz w:val="20"/>
          <w:szCs w:val="20"/>
          <w:u w:color="000000"/>
          <w:bdr w:val="none" w:sz="0" w:space="0" w:color="auto" w:frame="1"/>
          <w:lang w:val="es-AR" w:eastAsia="es-ES"/>
        </w:rPr>
        <w:t>a</w:t>
      </w:r>
      <w:r w:rsidRPr="000907C1">
        <w:rPr>
          <w:rFonts w:asciiTheme="majorHAnsi" w:hAnsiTheme="majorHAnsi" w:cs="Cambria"/>
          <w:color w:val="000000"/>
          <w:sz w:val="20"/>
          <w:szCs w:val="20"/>
          <w:u w:color="000000"/>
          <w:bdr w:val="none" w:sz="0" w:space="0" w:color="auto" w:frame="1"/>
          <w:lang w:val="es-AR" w:eastAsia="es-ES"/>
        </w:rPr>
        <w:t>”), por la violación de los derechos humanos contemplados en los artículos</w:t>
      </w:r>
      <w:r w:rsidR="00396EA9" w:rsidRPr="000907C1">
        <w:rPr>
          <w:rFonts w:asciiTheme="majorHAnsi" w:hAnsiTheme="majorHAnsi" w:cs="Cambria"/>
          <w:color w:val="000000"/>
          <w:sz w:val="20"/>
          <w:szCs w:val="20"/>
          <w:u w:color="000000"/>
          <w:bdr w:val="none" w:sz="0" w:space="0" w:color="auto" w:frame="1"/>
          <w:lang w:val="es-AR" w:eastAsia="es-ES"/>
        </w:rPr>
        <w:t xml:space="preserve"> </w:t>
      </w:r>
      <w:r w:rsidR="007A6C88" w:rsidRPr="000907C1">
        <w:rPr>
          <w:rFonts w:asciiTheme="majorHAnsi" w:hAnsiTheme="majorHAnsi" w:cs="Cambria"/>
          <w:color w:val="000000"/>
          <w:sz w:val="20"/>
          <w:szCs w:val="20"/>
          <w:u w:color="000000"/>
          <w:bdr w:val="none" w:sz="0" w:space="0" w:color="auto" w:frame="1"/>
          <w:lang w:val="es-AR" w:eastAsia="es-ES"/>
        </w:rPr>
        <w:t xml:space="preserve">4 (vida), 5 (integridad), </w:t>
      </w:r>
      <w:r w:rsidR="00396EA9" w:rsidRPr="000907C1">
        <w:rPr>
          <w:rFonts w:asciiTheme="majorHAnsi" w:hAnsiTheme="majorHAnsi" w:cs="Cambria"/>
          <w:color w:val="000000"/>
          <w:sz w:val="20"/>
          <w:szCs w:val="20"/>
          <w:u w:color="000000"/>
          <w:bdr w:val="none" w:sz="0" w:space="0" w:color="auto" w:frame="1"/>
          <w:lang w:val="es-AR" w:eastAsia="es-ES"/>
        </w:rPr>
        <w:t>8 (garantías judiciales)</w:t>
      </w:r>
      <w:r w:rsidR="007A6C88" w:rsidRPr="000907C1">
        <w:rPr>
          <w:rFonts w:asciiTheme="majorHAnsi" w:hAnsiTheme="majorHAnsi" w:cs="Cambria"/>
          <w:color w:val="000000"/>
          <w:sz w:val="20"/>
          <w:szCs w:val="20"/>
          <w:u w:color="000000"/>
          <w:bdr w:val="none" w:sz="0" w:space="0" w:color="auto" w:frame="1"/>
          <w:lang w:val="es-AR" w:eastAsia="es-ES"/>
        </w:rPr>
        <w:t xml:space="preserve">, 24 (igualdad ante la ley) </w:t>
      </w:r>
      <w:r w:rsidR="00396EA9" w:rsidRPr="000907C1">
        <w:rPr>
          <w:rFonts w:asciiTheme="majorHAnsi" w:hAnsiTheme="majorHAnsi" w:cs="Cambria"/>
          <w:color w:val="000000"/>
          <w:sz w:val="20"/>
          <w:szCs w:val="20"/>
          <w:u w:color="000000"/>
          <w:bdr w:val="none" w:sz="0" w:space="0" w:color="auto" w:frame="1"/>
          <w:lang w:val="es-AR" w:eastAsia="es-ES"/>
        </w:rPr>
        <w:t>y</w:t>
      </w:r>
      <w:r w:rsidRPr="000907C1">
        <w:rPr>
          <w:rFonts w:asciiTheme="majorHAnsi" w:hAnsiTheme="majorHAnsi" w:cs="Cambria"/>
          <w:color w:val="000000"/>
          <w:sz w:val="20"/>
          <w:szCs w:val="20"/>
          <w:u w:color="000000"/>
          <w:bdr w:val="none" w:sz="0" w:space="0" w:color="auto" w:frame="1"/>
          <w:lang w:val="es-AR" w:eastAsia="es-ES"/>
        </w:rPr>
        <w:t xml:space="preserve"> 25 (protecció</w:t>
      </w:r>
      <w:r w:rsidR="001D12CA" w:rsidRPr="000907C1">
        <w:rPr>
          <w:rFonts w:asciiTheme="majorHAnsi" w:hAnsiTheme="majorHAnsi" w:cs="Cambria"/>
          <w:color w:val="000000"/>
          <w:sz w:val="20"/>
          <w:szCs w:val="20"/>
          <w:u w:color="000000"/>
          <w:bdr w:val="none" w:sz="0" w:space="0" w:color="auto" w:frame="1"/>
          <w:lang w:val="es-AR" w:eastAsia="es-ES"/>
        </w:rPr>
        <w:t>n judicial), en relación con el</w:t>
      </w:r>
      <w:r w:rsidRPr="000907C1">
        <w:rPr>
          <w:rFonts w:asciiTheme="majorHAnsi" w:hAnsiTheme="majorHAnsi" w:cs="Cambria"/>
          <w:color w:val="000000"/>
          <w:sz w:val="20"/>
          <w:szCs w:val="20"/>
          <w:u w:color="000000"/>
          <w:bdr w:val="none" w:sz="0" w:space="0" w:color="auto" w:frame="1"/>
          <w:lang w:val="es-AR" w:eastAsia="es-ES"/>
        </w:rPr>
        <w:t xml:space="preserve"> artícul</w:t>
      </w:r>
      <w:r w:rsidR="001D12CA" w:rsidRPr="000907C1">
        <w:rPr>
          <w:rFonts w:asciiTheme="majorHAnsi" w:hAnsiTheme="majorHAnsi" w:cs="Cambria"/>
          <w:color w:val="000000"/>
          <w:sz w:val="20"/>
          <w:szCs w:val="20"/>
          <w:u w:color="000000"/>
          <w:bdr w:val="none" w:sz="0" w:space="0" w:color="auto" w:frame="1"/>
          <w:lang w:val="es-AR" w:eastAsia="es-ES"/>
        </w:rPr>
        <w:t>o</w:t>
      </w:r>
      <w:r w:rsidRPr="000907C1">
        <w:rPr>
          <w:rFonts w:asciiTheme="majorHAnsi" w:hAnsiTheme="majorHAnsi" w:cs="Cambria"/>
          <w:color w:val="000000"/>
          <w:sz w:val="20"/>
          <w:szCs w:val="20"/>
          <w:u w:color="000000"/>
          <w:bdr w:val="none" w:sz="0" w:space="0" w:color="auto" w:frame="1"/>
          <w:lang w:val="es-AR" w:eastAsia="es-ES"/>
        </w:rPr>
        <w:t xml:space="preserve"> 1 (obligación de respetar) de la Convención Americana sobre Derechos Humanos, (en adelante “Convención” o “Convenc</w:t>
      </w:r>
      <w:r w:rsidR="00B25AFE" w:rsidRPr="000907C1">
        <w:rPr>
          <w:rFonts w:asciiTheme="majorHAnsi" w:hAnsiTheme="majorHAnsi" w:cs="Cambria"/>
          <w:color w:val="000000"/>
          <w:sz w:val="20"/>
          <w:szCs w:val="20"/>
          <w:u w:color="000000"/>
          <w:bdr w:val="none" w:sz="0" w:space="0" w:color="auto" w:frame="1"/>
          <w:lang w:val="es-AR" w:eastAsia="es-ES"/>
        </w:rPr>
        <w:t>ión Americana”)</w:t>
      </w:r>
      <w:r w:rsidR="007A6C88" w:rsidRPr="000907C1">
        <w:rPr>
          <w:rFonts w:asciiTheme="majorHAnsi" w:hAnsiTheme="majorHAnsi" w:cs="Cambria"/>
          <w:color w:val="000000"/>
          <w:sz w:val="20"/>
          <w:szCs w:val="20"/>
          <w:u w:color="000000"/>
          <w:bdr w:val="none" w:sz="0" w:space="0" w:color="auto" w:frame="1"/>
          <w:lang w:val="es-AR" w:eastAsia="es-ES"/>
        </w:rPr>
        <w:t xml:space="preserve"> por </w:t>
      </w:r>
      <w:r w:rsidR="007A6C88" w:rsidRPr="000907C1">
        <w:rPr>
          <w:rFonts w:asciiTheme="majorHAnsi" w:hAnsiTheme="majorHAnsi"/>
          <w:sz w:val="20"/>
          <w:szCs w:val="20"/>
          <w:lang w:val="es-AR"/>
        </w:rPr>
        <w:t>la falta de reparación para María Regina Ocampo Loaiza y otros familiares de</w:t>
      </w:r>
      <w:r w:rsidR="007A6C88" w:rsidRPr="000907C1">
        <w:rPr>
          <w:rFonts w:asciiTheme="majorHAnsi" w:hAnsiTheme="majorHAnsi"/>
          <w:sz w:val="20"/>
          <w:szCs w:val="20"/>
          <w:lang w:val="es-US"/>
        </w:rPr>
        <w:t xml:space="preserve"> </w:t>
      </w:r>
      <w:r w:rsidR="007A6C88" w:rsidRPr="000907C1">
        <w:rPr>
          <w:rFonts w:asciiTheme="majorHAnsi" w:hAnsiTheme="majorHAnsi"/>
          <w:sz w:val="20"/>
          <w:szCs w:val="20"/>
          <w:lang w:val="es-AR"/>
        </w:rPr>
        <w:t>Martín Emilio y Héctor Gabriel Zapata Álvarez (en adelante “los hermanos Zapata Álvarez”),</w:t>
      </w:r>
      <w:r w:rsidR="007A6C88" w:rsidRPr="000907C1" w:rsidDel="007C2F5C">
        <w:rPr>
          <w:rFonts w:asciiTheme="majorHAnsi" w:hAnsiTheme="majorHAnsi"/>
          <w:sz w:val="20"/>
          <w:szCs w:val="20"/>
          <w:lang w:val="es-AR"/>
        </w:rPr>
        <w:t xml:space="preserve"> </w:t>
      </w:r>
      <w:r w:rsidR="00A76CB1" w:rsidRPr="000907C1">
        <w:rPr>
          <w:rFonts w:asciiTheme="majorHAnsi" w:hAnsiTheme="majorHAnsi"/>
          <w:sz w:val="20"/>
          <w:szCs w:val="20"/>
          <w:lang w:val="es-AR"/>
        </w:rPr>
        <w:t xml:space="preserve">que fueron </w:t>
      </w:r>
      <w:r w:rsidR="00F20C31" w:rsidRPr="000907C1">
        <w:rPr>
          <w:rFonts w:asciiTheme="majorHAnsi" w:hAnsiTheme="majorHAnsi"/>
          <w:sz w:val="20"/>
          <w:szCs w:val="20"/>
          <w:lang w:val="es-AR"/>
        </w:rPr>
        <w:t xml:space="preserve">presuntamente </w:t>
      </w:r>
      <w:r w:rsidR="00A76CB1" w:rsidRPr="000907C1">
        <w:rPr>
          <w:rFonts w:asciiTheme="majorHAnsi" w:hAnsiTheme="majorHAnsi"/>
          <w:sz w:val="20"/>
          <w:szCs w:val="20"/>
          <w:lang w:val="es-AR"/>
        </w:rPr>
        <w:t>secuestrados de la</w:t>
      </w:r>
      <w:r w:rsidR="00A76CB1" w:rsidRPr="000907C1">
        <w:rPr>
          <w:rFonts w:asciiTheme="majorHAnsi" w:hAnsiTheme="majorHAnsi"/>
          <w:sz w:val="20"/>
          <w:szCs w:val="20"/>
          <w:lang w:val="es-US"/>
        </w:rPr>
        <w:t xml:space="preserve"> </w:t>
      </w:r>
      <w:r w:rsidR="00A76CB1" w:rsidRPr="000907C1">
        <w:rPr>
          <w:rFonts w:asciiTheme="majorHAnsi" w:hAnsiTheme="majorHAnsi"/>
          <w:sz w:val="20"/>
          <w:szCs w:val="20"/>
          <w:lang w:val="es-AR"/>
        </w:rPr>
        <w:t xml:space="preserve">Cárcel Municipal de Granada, donde estaban privados de libertad, por un grupo que operaba a margen de la ley; y posteriormente encontrados muertos en el Municipio de </w:t>
      </w:r>
      <w:r w:rsidR="008524ED">
        <w:rPr>
          <w:rFonts w:asciiTheme="majorHAnsi" w:hAnsiTheme="majorHAnsi"/>
          <w:sz w:val="20"/>
          <w:szCs w:val="20"/>
          <w:lang w:val="es-AR"/>
        </w:rPr>
        <w:t>Cocorná</w:t>
      </w:r>
      <w:r w:rsidR="00A76CB1" w:rsidRPr="000907C1">
        <w:rPr>
          <w:rFonts w:asciiTheme="majorHAnsi" w:hAnsiTheme="majorHAnsi"/>
          <w:sz w:val="20"/>
          <w:szCs w:val="20"/>
          <w:lang w:val="es-AR"/>
        </w:rPr>
        <w:t>. El peticionario alegó que el Estado colombiano no dispuso de medidas efectivas y suficientes para prevenir y proteger a los hermanos Zapata Álvarez. Asimismo, adujo trato discriminatorio en la acción de reparación directa dado que no se reconoció una indemnización por daños y perjuicios a los familiares de los hermanos Zapata Álvarez, mientras que en un fallo alterno sí se ordenó el pago de indemnización monetaria a los familiares de los demás internos que fueron secuestrados con ellos y asesinados en las afueras del Municipio de Granada. Las presuntas víctimas serían los hermanos Zapata Álvarez, María Regina Ocampo Loaiza y sus familiares.</w:t>
      </w:r>
    </w:p>
    <w:p w14:paraId="41D57735" w14:textId="77777777" w:rsidR="000907C1" w:rsidRPr="000907C1" w:rsidRDefault="000907C1" w:rsidP="000907C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AR"/>
        </w:rPr>
      </w:pPr>
    </w:p>
    <w:p w14:paraId="6D267487" w14:textId="354B087E" w:rsidR="004F7560" w:rsidRPr="000907C1" w:rsidRDefault="00204342" w:rsidP="005213E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AR"/>
        </w:rPr>
      </w:pPr>
      <w:r w:rsidRPr="000907C1">
        <w:rPr>
          <w:rFonts w:asciiTheme="majorHAnsi" w:eastAsia="Times New Roman" w:hAnsiTheme="majorHAnsi"/>
          <w:sz w:val="20"/>
          <w:szCs w:val="20"/>
          <w:bdr w:val="none" w:sz="0" w:space="0" w:color="auto" w:frame="1"/>
          <w:lang w:val="es-VE"/>
        </w:rPr>
        <w:t>El</w:t>
      </w:r>
      <w:r w:rsidR="00073681" w:rsidRPr="000907C1">
        <w:rPr>
          <w:rFonts w:asciiTheme="majorHAnsi" w:eastAsia="Times New Roman" w:hAnsiTheme="majorHAnsi"/>
          <w:sz w:val="20"/>
          <w:szCs w:val="20"/>
          <w:bdr w:val="none" w:sz="0" w:space="0" w:color="auto" w:frame="1"/>
          <w:lang w:val="es-VE"/>
        </w:rPr>
        <w:t xml:space="preserve"> </w:t>
      </w:r>
      <w:r w:rsidR="00054A10" w:rsidRPr="000907C1">
        <w:rPr>
          <w:rFonts w:asciiTheme="majorHAnsi" w:eastAsia="Times New Roman" w:hAnsiTheme="majorHAnsi"/>
          <w:sz w:val="20"/>
          <w:szCs w:val="20"/>
          <w:bdr w:val="none" w:sz="0" w:space="0" w:color="auto" w:frame="1"/>
          <w:lang w:val="es-VE"/>
        </w:rPr>
        <w:t>1 de junio de 2020</w:t>
      </w:r>
      <w:r w:rsidR="005802E9" w:rsidRPr="000907C1">
        <w:rPr>
          <w:rFonts w:asciiTheme="majorHAnsi" w:eastAsia="Times New Roman" w:hAnsiTheme="majorHAnsi"/>
          <w:sz w:val="20"/>
          <w:szCs w:val="20"/>
          <w:bdr w:val="none" w:sz="0" w:space="0" w:color="auto" w:frame="1"/>
          <w:lang w:val="es-VE"/>
        </w:rPr>
        <w:t xml:space="preserve">, la Comisión emitió </w:t>
      </w:r>
      <w:r w:rsidR="00073681" w:rsidRPr="000907C1">
        <w:rPr>
          <w:rFonts w:asciiTheme="majorHAnsi" w:eastAsia="Times New Roman" w:hAnsiTheme="majorHAnsi"/>
          <w:sz w:val="20"/>
          <w:szCs w:val="20"/>
          <w:bdr w:val="none" w:sz="0" w:space="0" w:color="auto" w:frame="1"/>
          <w:lang w:val="es-VE"/>
        </w:rPr>
        <w:t xml:space="preserve">el </w:t>
      </w:r>
      <w:r w:rsidRPr="000907C1">
        <w:rPr>
          <w:rFonts w:asciiTheme="majorHAnsi" w:eastAsia="Times New Roman" w:hAnsiTheme="majorHAnsi"/>
          <w:sz w:val="20"/>
          <w:szCs w:val="20"/>
          <w:bdr w:val="none" w:sz="0" w:space="0" w:color="auto" w:frame="1"/>
          <w:lang w:val="es-VE"/>
        </w:rPr>
        <w:t>I</w:t>
      </w:r>
      <w:r w:rsidR="00073681" w:rsidRPr="000907C1">
        <w:rPr>
          <w:rFonts w:asciiTheme="majorHAnsi" w:eastAsia="Times New Roman" w:hAnsiTheme="majorHAnsi"/>
          <w:sz w:val="20"/>
          <w:szCs w:val="20"/>
          <w:bdr w:val="none" w:sz="0" w:space="0" w:color="auto" w:frame="1"/>
          <w:lang w:val="es-VE"/>
        </w:rPr>
        <w:t>nforme de Admisibilidad N° 1</w:t>
      </w:r>
      <w:r w:rsidR="00054A10" w:rsidRPr="000907C1">
        <w:rPr>
          <w:rFonts w:asciiTheme="majorHAnsi" w:eastAsia="Times New Roman" w:hAnsiTheme="majorHAnsi"/>
          <w:sz w:val="20"/>
          <w:szCs w:val="20"/>
          <w:bdr w:val="none" w:sz="0" w:space="0" w:color="auto" w:frame="1"/>
          <w:lang w:val="es-VE"/>
        </w:rPr>
        <w:t>33</w:t>
      </w:r>
      <w:r w:rsidR="00073681" w:rsidRPr="000907C1">
        <w:rPr>
          <w:rFonts w:asciiTheme="majorHAnsi" w:eastAsia="Times New Roman" w:hAnsiTheme="majorHAnsi"/>
          <w:sz w:val="20"/>
          <w:szCs w:val="20"/>
          <w:bdr w:val="none" w:sz="0" w:space="0" w:color="auto" w:frame="1"/>
          <w:lang w:val="es-VE"/>
        </w:rPr>
        <w:t>/</w:t>
      </w:r>
      <w:r w:rsidR="00054A10" w:rsidRPr="000907C1">
        <w:rPr>
          <w:rFonts w:asciiTheme="majorHAnsi" w:eastAsia="Times New Roman" w:hAnsiTheme="majorHAnsi"/>
          <w:sz w:val="20"/>
          <w:szCs w:val="20"/>
          <w:bdr w:val="none" w:sz="0" w:space="0" w:color="auto" w:frame="1"/>
          <w:lang w:val="es-VE"/>
        </w:rPr>
        <w:t>20</w:t>
      </w:r>
      <w:r w:rsidR="005802E9" w:rsidRPr="000907C1">
        <w:rPr>
          <w:rFonts w:asciiTheme="majorHAnsi" w:eastAsia="Times New Roman" w:hAnsiTheme="majorHAnsi"/>
          <w:sz w:val="20"/>
          <w:szCs w:val="20"/>
          <w:bdr w:val="none" w:sz="0" w:space="0" w:color="auto" w:frame="1"/>
          <w:lang w:val="es-VE"/>
        </w:rPr>
        <w:t xml:space="preserve">, en el cual declaró admisible la petición y </w:t>
      </w:r>
      <w:r w:rsidR="00123475" w:rsidRPr="000907C1">
        <w:rPr>
          <w:rFonts w:asciiTheme="majorHAnsi" w:eastAsia="Times New Roman" w:hAnsiTheme="majorHAnsi"/>
          <w:sz w:val="20"/>
          <w:szCs w:val="20"/>
          <w:bdr w:val="none" w:sz="0" w:space="0" w:color="auto" w:frame="1"/>
          <w:lang w:val="es-VE"/>
        </w:rPr>
        <w:t>declaró</w:t>
      </w:r>
      <w:r w:rsidR="005802E9" w:rsidRPr="000907C1">
        <w:rPr>
          <w:rFonts w:asciiTheme="majorHAnsi" w:eastAsia="Times New Roman" w:hAnsiTheme="majorHAnsi"/>
          <w:sz w:val="20"/>
          <w:szCs w:val="20"/>
          <w:bdr w:val="none" w:sz="0" w:space="0" w:color="auto" w:frame="1"/>
          <w:lang w:val="es-VE"/>
        </w:rPr>
        <w:t xml:space="preserve"> su competencia para conocer del reclamo presentado por los peticionarios respecto de la presunta violación de los derechos contenidos en los artículos </w:t>
      </w:r>
      <w:r w:rsidR="00054A10" w:rsidRPr="000907C1">
        <w:rPr>
          <w:rFonts w:asciiTheme="majorHAnsi" w:eastAsia="Times New Roman" w:hAnsiTheme="majorHAnsi"/>
          <w:sz w:val="20"/>
          <w:szCs w:val="20"/>
          <w:bdr w:val="none" w:sz="0" w:space="0" w:color="auto" w:frame="1"/>
          <w:lang w:val="es-VE"/>
        </w:rPr>
        <w:t xml:space="preserve">4 (vida), 5 (integridad personal), </w:t>
      </w:r>
      <w:r w:rsidR="005802E9" w:rsidRPr="000907C1">
        <w:rPr>
          <w:rFonts w:asciiTheme="majorHAnsi" w:eastAsia="Times New Roman" w:hAnsiTheme="majorHAnsi"/>
          <w:sz w:val="20"/>
          <w:szCs w:val="20"/>
          <w:bdr w:val="none" w:sz="0" w:space="0" w:color="auto" w:frame="1"/>
          <w:lang w:val="es-VE"/>
        </w:rPr>
        <w:t>8 (</w:t>
      </w:r>
      <w:r w:rsidR="00904BDB" w:rsidRPr="000907C1">
        <w:rPr>
          <w:rFonts w:asciiTheme="majorHAnsi" w:eastAsia="Times New Roman" w:hAnsiTheme="majorHAnsi"/>
          <w:sz w:val="20"/>
          <w:szCs w:val="20"/>
          <w:bdr w:val="none" w:sz="0" w:space="0" w:color="auto" w:frame="1"/>
          <w:lang w:val="es-VE"/>
        </w:rPr>
        <w:t>garantías judiciales</w:t>
      </w:r>
      <w:r w:rsidR="005802E9" w:rsidRPr="000907C1">
        <w:rPr>
          <w:rFonts w:asciiTheme="majorHAnsi" w:eastAsia="Times New Roman" w:hAnsiTheme="majorHAnsi"/>
          <w:sz w:val="20"/>
          <w:szCs w:val="20"/>
          <w:bdr w:val="none" w:sz="0" w:space="0" w:color="auto" w:frame="1"/>
          <w:lang w:val="es-VE"/>
        </w:rPr>
        <w:t>)</w:t>
      </w:r>
      <w:r w:rsidR="00054A10" w:rsidRPr="000907C1">
        <w:rPr>
          <w:rFonts w:asciiTheme="majorHAnsi" w:eastAsia="Times New Roman" w:hAnsiTheme="majorHAnsi"/>
          <w:sz w:val="20"/>
          <w:szCs w:val="20"/>
          <w:bdr w:val="none" w:sz="0" w:space="0" w:color="auto" w:frame="1"/>
          <w:lang w:val="es-VE"/>
        </w:rPr>
        <w:t>, 2</w:t>
      </w:r>
      <w:r w:rsidR="000D479A" w:rsidRPr="000907C1">
        <w:rPr>
          <w:rFonts w:asciiTheme="majorHAnsi" w:eastAsia="Times New Roman" w:hAnsiTheme="majorHAnsi"/>
          <w:sz w:val="20"/>
          <w:szCs w:val="20"/>
          <w:bdr w:val="none" w:sz="0" w:space="0" w:color="auto" w:frame="1"/>
          <w:lang w:val="es-VE"/>
        </w:rPr>
        <w:t>4</w:t>
      </w:r>
      <w:r w:rsidR="00054A10" w:rsidRPr="000907C1">
        <w:rPr>
          <w:rFonts w:asciiTheme="majorHAnsi" w:eastAsia="Times New Roman" w:hAnsiTheme="majorHAnsi"/>
          <w:sz w:val="20"/>
          <w:szCs w:val="20"/>
          <w:bdr w:val="none" w:sz="0" w:space="0" w:color="auto" w:frame="1"/>
          <w:lang w:val="es-VE"/>
        </w:rPr>
        <w:t xml:space="preserve"> (</w:t>
      </w:r>
      <w:r w:rsidR="00F77CB1" w:rsidRPr="000907C1">
        <w:rPr>
          <w:rFonts w:asciiTheme="majorHAnsi" w:eastAsia="Times New Roman" w:hAnsiTheme="majorHAnsi"/>
          <w:sz w:val="20"/>
          <w:szCs w:val="20"/>
          <w:bdr w:val="none" w:sz="0" w:space="0" w:color="auto" w:frame="1"/>
          <w:lang w:val="es-VE"/>
        </w:rPr>
        <w:t>igualdad ante la ley</w:t>
      </w:r>
      <w:r w:rsidR="00054A10" w:rsidRPr="000907C1">
        <w:rPr>
          <w:rFonts w:asciiTheme="majorHAnsi" w:eastAsia="Times New Roman" w:hAnsiTheme="majorHAnsi"/>
          <w:sz w:val="20"/>
          <w:szCs w:val="20"/>
          <w:bdr w:val="none" w:sz="0" w:space="0" w:color="auto" w:frame="1"/>
          <w:lang w:val="es-VE"/>
        </w:rPr>
        <w:t>)</w:t>
      </w:r>
      <w:r w:rsidR="005E311A" w:rsidRPr="000907C1">
        <w:rPr>
          <w:rFonts w:asciiTheme="majorHAnsi" w:eastAsia="Times New Roman" w:hAnsiTheme="majorHAnsi"/>
          <w:sz w:val="20"/>
          <w:szCs w:val="20"/>
          <w:bdr w:val="none" w:sz="0" w:space="0" w:color="auto" w:frame="1"/>
          <w:lang w:val="es-VE"/>
        </w:rPr>
        <w:t xml:space="preserve"> </w:t>
      </w:r>
      <w:r w:rsidR="005802E9" w:rsidRPr="000907C1">
        <w:rPr>
          <w:rFonts w:asciiTheme="majorHAnsi" w:eastAsia="Times New Roman" w:hAnsiTheme="majorHAnsi"/>
          <w:sz w:val="20"/>
          <w:szCs w:val="20"/>
          <w:bdr w:val="none" w:sz="0" w:space="0" w:color="auto" w:frame="1"/>
          <w:lang w:val="es-VE"/>
        </w:rPr>
        <w:t>y 25 (</w:t>
      </w:r>
      <w:r w:rsidR="00904BDB" w:rsidRPr="000907C1">
        <w:rPr>
          <w:rFonts w:asciiTheme="majorHAnsi" w:eastAsia="Times New Roman" w:hAnsiTheme="majorHAnsi"/>
          <w:sz w:val="20"/>
          <w:szCs w:val="20"/>
          <w:bdr w:val="none" w:sz="0" w:space="0" w:color="auto" w:frame="1"/>
          <w:lang w:val="es-VE"/>
        </w:rPr>
        <w:t>protección judicial</w:t>
      </w:r>
      <w:r w:rsidR="005802E9" w:rsidRPr="000907C1">
        <w:rPr>
          <w:rFonts w:asciiTheme="majorHAnsi" w:eastAsia="Times New Roman" w:hAnsiTheme="majorHAnsi"/>
          <w:sz w:val="20"/>
          <w:szCs w:val="20"/>
          <w:bdr w:val="none" w:sz="0" w:space="0" w:color="auto" w:frame="1"/>
          <w:lang w:val="es-VE"/>
        </w:rPr>
        <w:t>)</w:t>
      </w:r>
      <w:r w:rsidR="005E311A" w:rsidRPr="000907C1">
        <w:rPr>
          <w:rFonts w:asciiTheme="majorHAnsi" w:eastAsia="Times New Roman" w:hAnsiTheme="majorHAnsi"/>
          <w:sz w:val="20"/>
          <w:szCs w:val="20"/>
          <w:bdr w:val="none" w:sz="0" w:space="0" w:color="auto" w:frame="1"/>
          <w:lang w:val="es-VE"/>
        </w:rPr>
        <w:t xml:space="preserve"> </w:t>
      </w:r>
      <w:r w:rsidR="005802E9" w:rsidRPr="000907C1">
        <w:rPr>
          <w:rFonts w:asciiTheme="majorHAnsi" w:eastAsia="Times New Roman" w:hAnsiTheme="majorHAnsi"/>
          <w:sz w:val="20"/>
          <w:szCs w:val="20"/>
          <w:bdr w:val="none" w:sz="0" w:space="0" w:color="auto" w:frame="1"/>
          <w:lang w:val="es-VE"/>
        </w:rPr>
        <w:t>contenidos en la Convención Americana</w:t>
      </w:r>
      <w:r w:rsidR="00904BDB" w:rsidRPr="000907C1">
        <w:rPr>
          <w:rFonts w:asciiTheme="majorHAnsi" w:eastAsia="Times New Roman" w:hAnsiTheme="majorHAnsi"/>
          <w:sz w:val="20"/>
          <w:szCs w:val="20"/>
          <w:bdr w:val="none" w:sz="0" w:space="0" w:color="auto" w:frame="1"/>
          <w:lang w:val="es-AR"/>
        </w:rPr>
        <w:t>.</w:t>
      </w:r>
    </w:p>
    <w:p w14:paraId="1A919441" w14:textId="77777777" w:rsidR="000907C1" w:rsidRPr="000907C1" w:rsidRDefault="000907C1" w:rsidP="000907C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AR"/>
        </w:rPr>
      </w:pPr>
    </w:p>
    <w:p w14:paraId="4F13B749" w14:textId="523BE083" w:rsidR="004F7560" w:rsidRPr="000907C1" w:rsidRDefault="004F7560" w:rsidP="005213ED">
      <w:pPr>
        <w:pStyle w:val="Default"/>
        <w:numPr>
          <w:ilvl w:val="0"/>
          <w:numId w:val="60"/>
        </w:numPr>
        <w:jc w:val="both"/>
        <w:rPr>
          <w:rStyle w:val="normaltextrun"/>
          <w:rFonts w:asciiTheme="majorHAnsi" w:hAnsiTheme="majorHAnsi"/>
          <w:sz w:val="20"/>
          <w:szCs w:val="20"/>
          <w:shd w:val="clear" w:color="auto" w:fill="FFFFFF"/>
          <w:lang w:val="es-CO"/>
        </w:rPr>
      </w:pPr>
      <w:r w:rsidRPr="000907C1">
        <w:rPr>
          <w:rStyle w:val="normaltextrun"/>
          <w:rFonts w:asciiTheme="majorHAnsi" w:hAnsiTheme="majorHAnsi"/>
          <w:sz w:val="20"/>
          <w:szCs w:val="20"/>
          <w:shd w:val="clear" w:color="auto" w:fill="FFFFFF"/>
          <w:lang w:val="es-CO"/>
        </w:rPr>
        <w:t xml:space="preserve">El </w:t>
      </w:r>
      <w:r w:rsidRPr="000907C1">
        <w:rPr>
          <w:rFonts w:asciiTheme="majorHAnsi" w:eastAsia="MS Mincho" w:hAnsiTheme="majorHAnsi"/>
          <w:sz w:val="20"/>
          <w:szCs w:val="20"/>
          <w:lang w:val="es-AR"/>
        </w:rPr>
        <w:t>20 de diciembre de 2021</w:t>
      </w:r>
      <w:r w:rsidRPr="000907C1">
        <w:rPr>
          <w:rStyle w:val="normaltextrun"/>
          <w:rFonts w:asciiTheme="majorHAnsi" w:hAnsiTheme="majorHAnsi"/>
          <w:sz w:val="20"/>
          <w:szCs w:val="20"/>
          <w:shd w:val="clear" w:color="auto" w:fill="FFFFFF"/>
          <w:lang w:val="es-CO"/>
        </w:rPr>
        <w:t xml:space="preserve">, </w:t>
      </w:r>
      <w:r w:rsidRPr="000907C1">
        <w:rPr>
          <w:rFonts w:asciiTheme="majorHAnsi" w:hAnsiTheme="majorHAnsi" w:cstheme="minorHAnsi"/>
          <w:color w:val="000000" w:themeColor="text1"/>
          <w:sz w:val="20"/>
          <w:szCs w:val="20"/>
          <w:lang w:val="es-CO"/>
        </w:rPr>
        <w:t>las partes suscribieron un acta de entendimiento para la búsqueda de una solución amistosa en el presente caso, junto con un cronograma de trabajo para avanzar en las negociaciones. En los meses subsiguientes, las partes sostuvieron reuniones bilaterales con el fin de analizar las medidas de reparación a incluirse en el acuerdo de solución amistosa (en adelante “ASA”)</w:t>
      </w:r>
      <w:r w:rsidRPr="000907C1">
        <w:rPr>
          <w:rStyle w:val="normaltextrun"/>
          <w:rFonts w:asciiTheme="majorHAnsi" w:hAnsiTheme="majorHAnsi"/>
          <w:sz w:val="20"/>
          <w:szCs w:val="20"/>
          <w:shd w:val="clear" w:color="auto" w:fill="FFFFFF"/>
          <w:lang w:val="es-CO"/>
        </w:rPr>
        <w:t xml:space="preserve">, que se materializó con la suscripción de dicho instrumento el </w:t>
      </w:r>
      <w:r w:rsidRPr="000907C1">
        <w:rPr>
          <w:rFonts w:asciiTheme="majorHAnsi" w:hAnsiTheme="majorHAnsi"/>
          <w:sz w:val="20"/>
          <w:szCs w:val="20"/>
          <w:lang w:val="es-ES_tradnl"/>
        </w:rPr>
        <w:t>2 de marzo de 2023</w:t>
      </w:r>
      <w:r w:rsidRPr="000907C1">
        <w:rPr>
          <w:rStyle w:val="normaltextrun"/>
          <w:rFonts w:asciiTheme="majorHAnsi" w:hAnsiTheme="majorHAnsi"/>
          <w:sz w:val="20"/>
          <w:szCs w:val="20"/>
          <w:shd w:val="clear" w:color="auto" w:fill="FFFFFF"/>
          <w:lang w:val="es-CO"/>
        </w:rPr>
        <w:t xml:space="preserve">, en la ciudad de Bogotá D.C. Posteriormente, el </w:t>
      </w:r>
      <w:r w:rsidR="00F52EC1" w:rsidRPr="000907C1">
        <w:rPr>
          <w:rStyle w:val="normaltextrun"/>
          <w:rFonts w:asciiTheme="majorHAnsi" w:hAnsiTheme="majorHAnsi"/>
          <w:sz w:val="20"/>
          <w:szCs w:val="20"/>
          <w:shd w:val="clear" w:color="auto" w:fill="FFFFFF"/>
          <w:lang w:val="es-CO"/>
        </w:rPr>
        <w:t>21 de junio de</w:t>
      </w:r>
      <w:r w:rsidRPr="000907C1">
        <w:rPr>
          <w:rStyle w:val="normaltextrun"/>
          <w:rFonts w:asciiTheme="majorHAnsi" w:hAnsiTheme="majorHAnsi"/>
          <w:sz w:val="20"/>
          <w:szCs w:val="20"/>
          <w:shd w:val="clear" w:color="auto" w:fill="FFFFFF"/>
          <w:lang w:val="es-CO"/>
        </w:rPr>
        <w:t xml:space="preserve"> 2023, </w:t>
      </w:r>
      <w:r w:rsidRPr="000907C1">
        <w:rPr>
          <w:rFonts w:asciiTheme="majorHAnsi" w:hAnsiTheme="majorHAnsi" w:cstheme="minorHAnsi"/>
          <w:color w:val="000000" w:themeColor="text1"/>
          <w:sz w:val="20"/>
          <w:szCs w:val="20"/>
          <w:lang w:val="es-CO"/>
        </w:rPr>
        <w:t>las partes presentaron un informe conjunto sobre los avances en la implementación del ASA y solicitaron a la CIDH su homologación</w:t>
      </w:r>
      <w:r w:rsidRPr="000907C1">
        <w:rPr>
          <w:rStyle w:val="CommentReference"/>
          <w:rFonts w:asciiTheme="majorHAnsi" w:hAnsiTheme="majorHAnsi"/>
          <w:sz w:val="20"/>
          <w:szCs w:val="20"/>
          <w:shd w:val="clear" w:color="auto" w:fill="FFFFFF"/>
          <w:lang w:val="es-CO"/>
        </w:rPr>
        <w:t xml:space="preserve">. </w:t>
      </w:r>
    </w:p>
    <w:p w14:paraId="426B5D09" w14:textId="77777777" w:rsidR="004F7560" w:rsidRPr="000907C1" w:rsidRDefault="004F7560" w:rsidP="000907C1">
      <w:pPr>
        <w:pStyle w:val="Default"/>
        <w:ind w:firstLine="720"/>
        <w:jc w:val="both"/>
        <w:rPr>
          <w:rStyle w:val="normaltextrun"/>
          <w:rFonts w:asciiTheme="majorHAnsi" w:hAnsiTheme="majorHAnsi"/>
          <w:sz w:val="20"/>
          <w:szCs w:val="20"/>
          <w:shd w:val="clear" w:color="auto" w:fill="FFFFFF"/>
          <w:lang w:val="es-CO"/>
        </w:rPr>
      </w:pPr>
    </w:p>
    <w:p w14:paraId="20EB349C" w14:textId="13CB2EF5" w:rsidR="00931F13" w:rsidRPr="0092488E" w:rsidRDefault="004F7560" w:rsidP="005213ED">
      <w:pPr>
        <w:pStyle w:val="Default"/>
        <w:numPr>
          <w:ilvl w:val="0"/>
          <w:numId w:val="60"/>
        </w:numPr>
        <w:jc w:val="both"/>
        <w:rPr>
          <w:rFonts w:asciiTheme="majorHAnsi" w:hAnsiTheme="majorHAnsi"/>
          <w:sz w:val="20"/>
          <w:szCs w:val="20"/>
          <w:shd w:val="clear" w:color="auto" w:fill="FFFFFF"/>
          <w:lang w:val="es-CO"/>
        </w:rPr>
      </w:pPr>
      <w:r w:rsidRPr="000907C1">
        <w:rPr>
          <w:rFonts w:asciiTheme="majorHAnsi" w:hAnsiTheme="majorHAnsi"/>
          <w:sz w:val="20"/>
          <w:szCs w:val="20"/>
          <w:lang w:val="es-CO"/>
        </w:rPr>
        <w:t>En el presente informe de solución amistosa, según lo establecido en el artículo 49 de la Convención y en el artículo 40.5 del Reglamento de la Comisión, se efectúa una reseña de los hechos alegados por los peticionarios y se transcribe el</w:t>
      </w:r>
      <w:r w:rsidRPr="000907C1">
        <w:rPr>
          <w:rFonts w:asciiTheme="majorHAnsi" w:hAnsiTheme="majorHAnsi" w:cstheme="minorHAnsi"/>
          <w:color w:val="000000" w:themeColor="text1"/>
          <w:sz w:val="20"/>
          <w:szCs w:val="20"/>
          <w:lang w:val="es-CO"/>
        </w:rPr>
        <w:t xml:space="preserve"> acuerdo de solución amistosa</w:t>
      </w:r>
      <w:r w:rsidRPr="000907C1">
        <w:rPr>
          <w:rFonts w:asciiTheme="majorHAnsi" w:hAnsiTheme="majorHAnsi"/>
          <w:sz w:val="20"/>
          <w:szCs w:val="20"/>
          <w:lang w:val="es-CO"/>
        </w:rPr>
        <w:t xml:space="preserve"> firmado entre los peticionarios y la representación del Estado colombiano el </w:t>
      </w:r>
      <w:r w:rsidR="00432E4A" w:rsidRPr="000907C1">
        <w:rPr>
          <w:rFonts w:asciiTheme="majorHAnsi" w:hAnsiTheme="majorHAnsi"/>
          <w:sz w:val="20"/>
          <w:szCs w:val="20"/>
          <w:lang w:val="es-ES_tradnl"/>
        </w:rPr>
        <w:t>2 de marzo de 2023</w:t>
      </w:r>
      <w:r w:rsidRPr="000907C1">
        <w:rPr>
          <w:rFonts w:asciiTheme="majorHAnsi" w:hAnsiTheme="majorHAnsi"/>
          <w:sz w:val="20"/>
          <w:szCs w:val="20"/>
          <w:lang w:val="es-CO"/>
        </w:rPr>
        <w:t>. Asimismo, se aprueba el acuerdo suscrito entre las partes y su publicación del presente documento en el Informe Anual de la CIDH a la Asamblea General de la Organización de los Estados Americanos.</w:t>
      </w:r>
    </w:p>
    <w:p w14:paraId="06A54067" w14:textId="77777777" w:rsidR="0092488E" w:rsidRDefault="0092488E" w:rsidP="0092488E">
      <w:pPr>
        <w:pStyle w:val="ListParagraph"/>
        <w:rPr>
          <w:rFonts w:asciiTheme="majorHAnsi" w:hAnsiTheme="majorHAnsi"/>
          <w:sz w:val="20"/>
          <w:szCs w:val="20"/>
          <w:shd w:val="clear" w:color="auto" w:fill="FFFFFF"/>
          <w:lang w:val="es-CO"/>
        </w:rPr>
      </w:pPr>
    </w:p>
    <w:p w14:paraId="6D42C5B3" w14:textId="77777777" w:rsidR="002546D6" w:rsidRDefault="002546D6" w:rsidP="0092488E">
      <w:pPr>
        <w:pStyle w:val="ListParagraph"/>
        <w:rPr>
          <w:rFonts w:asciiTheme="majorHAnsi" w:hAnsiTheme="majorHAnsi"/>
          <w:sz w:val="20"/>
          <w:szCs w:val="20"/>
          <w:shd w:val="clear" w:color="auto" w:fill="FFFFFF"/>
          <w:lang w:val="es-CO"/>
        </w:rPr>
      </w:pPr>
    </w:p>
    <w:p w14:paraId="71696A4E" w14:textId="77777777" w:rsidR="002546D6" w:rsidRDefault="002546D6" w:rsidP="0092488E">
      <w:pPr>
        <w:pStyle w:val="ListParagraph"/>
        <w:rPr>
          <w:rFonts w:asciiTheme="majorHAnsi" w:hAnsiTheme="majorHAnsi"/>
          <w:sz w:val="20"/>
          <w:szCs w:val="20"/>
          <w:shd w:val="clear" w:color="auto" w:fill="FFFFFF"/>
          <w:lang w:val="es-CO"/>
        </w:rPr>
      </w:pPr>
    </w:p>
    <w:p w14:paraId="1C0E6EE1" w14:textId="6DE9D37D" w:rsidR="006B73E0" w:rsidRPr="005677C6" w:rsidRDefault="00532CDE" w:rsidP="00532CDE">
      <w:pPr>
        <w:pStyle w:val="Default"/>
        <w:numPr>
          <w:ilvl w:val="0"/>
          <w:numId w:val="61"/>
        </w:numPr>
        <w:ind w:left="0" w:firstLine="720"/>
        <w:jc w:val="both"/>
        <w:rPr>
          <w:rFonts w:asciiTheme="majorHAnsi" w:hAnsiTheme="majorHAnsi"/>
          <w:sz w:val="20"/>
          <w:szCs w:val="20"/>
          <w:shd w:val="clear" w:color="auto" w:fill="FFFFFF"/>
          <w:lang w:val="es-CO"/>
        </w:rPr>
      </w:pPr>
      <w:r w:rsidRPr="005677C6">
        <w:rPr>
          <w:rFonts w:ascii="Cambria" w:hAnsi="Cambria"/>
          <w:sz w:val="20"/>
          <w:szCs w:val="20"/>
          <w:lang w:val="es-CO"/>
        </w:rPr>
        <w:lastRenderedPageBreak/>
        <w:t xml:space="preserve">(Bis) </w:t>
      </w:r>
      <w:r w:rsidR="0092488E" w:rsidRPr="005677C6">
        <w:rPr>
          <w:rFonts w:ascii="Cambria" w:hAnsi="Cambria"/>
          <w:sz w:val="20"/>
          <w:szCs w:val="20"/>
          <w:lang w:val="es-CO"/>
        </w:rPr>
        <w:t>El 6 de agosto de 2025, las partes suscribieron un Otrosí al acuerdo de soluci</w:t>
      </w:r>
      <w:r w:rsidR="006B5712">
        <w:rPr>
          <w:rFonts w:ascii="Cambria" w:hAnsi="Cambria"/>
          <w:sz w:val="20"/>
          <w:szCs w:val="20"/>
          <w:lang w:val="es-CO"/>
        </w:rPr>
        <w:t>ó</w:t>
      </w:r>
      <w:r w:rsidR="0092488E" w:rsidRPr="005677C6">
        <w:rPr>
          <w:rFonts w:ascii="Cambria" w:hAnsi="Cambria"/>
          <w:sz w:val="20"/>
          <w:szCs w:val="20"/>
          <w:lang w:val="es-CO"/>
        </w:rPr>
        <w:t xml:space="preserve">n amistosa </w:t>
      </w:r>
      <w:r w:rsidR="00C910EC" w:rsidRPr="005677C6">
        <w:rPr>
          <w:rFonts w:ascii="Cambria" w:hAnsi="Cambria"/>
          <w:sz w:val="20"/>
          <w:szCs w:val="20"/>
          <w:lang w:val="es-CO"/>
        </w:rPr>
        <w:t>firmado</w:t>
      </w:r>
      <w:r w:rsidR="0092488E" w:rsidRPr="005677C6">
        <w:rPr>
          <w:rFonts w:ascii="Cambria" w:hAnsi="Cambria"/>
          <w:sz w:val="20"/>
          <w:szCs w:val="20"/>
          <w:lang w:val="es-CO"/>
        </w:rPr>
        <w:t xml:space="preserve"> el 2 de marzo de 2025, con el objetivo de modificar la redacción de cláusula tercera del ASA para </w:t>
      </w:r>
      <w:r w:rsidR="00A0347C" w:rsidRPr="005677C6">
        <w:rPr>
          <w:rFonts w:ascii="Cambria" w:hAnsi="Cambria"/>
          <w:sz w:val="20"/>
          <w:szCs w:val="20"/>
          <w:lang w:val="es-CO"/>
        </w:rPr>
        <w:t>ajustar</w:t>
      </w:r>
      <w:r w:rsidR="0092488E" w:rsidRPr="005677C6">
        <w:rPr>
          <w:rFonts w:ascii="Cambria" w:hAnsi="Cambria"/>
          <w:sz w:val="20"/>
          <w:szCs w:val="20"/>
          <w:lang w:val="es-CO"/>
        </w:rPr>
        <w:t xml:space="preserve"> e</w:t>
      </w:r>
      <w:r w:rsidR="0092488E" w:rsidRPr="005677C6">
        <w:rPr>
          <w:rStyle w:val="eop"/>
          <w:rFonts w:ascii="Cambria" w:eastAsia="Trebuchet MS" w:hAnsi="Cambria" w:cs="Segoe UI"/>
          <w:sz w:val="20"/>
          <w:szCs w:val="20"/>
          <w:lang w:val="es-CO"/>
        </w:rPr>
        <w:t>l nombre del beneficiario “Antonio José Zapata Arredondo”, dado que se advirtió un error y se realizó la corrección póstuma de su nombre a “Antonio José Zapata Correa”. Adicionalmente, reorganizaron el orden de la lista de personas beneficiarias del ASA e incluyeron dos parágrafos aclaratorios. Posteriormente, el 3 de septiembre de 2025, las partes sol</w:t>
      </w:r>
      <w:r w:rsidR="00A0347C" w:rsidRPr="005677C6">
        <w:rPr>
          <w:rStyle w:val="eop"/>
          <w:rFonts w:ascii="Cambria" w:eastAsia="Trebuchet MS" w:hAnsi="Cambria" w:cs="Segoe UI"/>
          <w:sz w:val="20"/>
          <w:szCs w:val="20"/>
          <w:lang w:val="es-CO"/>
        </w:rPr>
        <w:t>i</w:t>
      </w:r>
      <w:r w:rsidR="0092488E" w:rsidRPr="005677C6">
        <w:rPr>
          <w:rStyle w:val="eop"/>
          <w:rFonts w:ascii="Cambria" w:eastAsia="Trebuchet MS" w:hAnsi="Cambria" w:cs="Segoe UI"/>
          <w:sz w:val="20"/>
          <w:szCs w:val="20"/>
          <w:lang w:val="es-CO"/>
        </w:rPr>
        <w:t>citaron conjuntamente la enmienda del Informe de Homologaci</w:t>
      </w:r>
      <w:r w:rsidR="006B5712">
        <w:rPr>
          <w:rStyle w:val="eop"/>
          <w:rFonts w:ascii="Cambria" w:eastAsia="Trebuchet MS" w:hAnsi="Cambria" w:cs="Segoe UI"/>
          <w:sz w:val="20"/>
          <w:szCs w:val="20"/>
          <w:lang w:val="es-CO"/>
        </w:rPr>
        <w:t>ó</w:t>
      </w:r>
      <w:r w:rsidR="0092488E" w:rsidRPr="005677C6">
        <w:rPr>
          <w:rStyle w:val="eop"/>
          <w:rFonts w:ascii="Cambria" w:eastAsia="Trebuchet MS" w:hAnsi="Cambria" w:cs="Segoe UI"/>
          <w:sz w:val="20"/>
          <w:szCs w:val="20"/>
          <w:lang w:val="es-CO"/>
        </w:rPr>
        <w:t>n No. 221/23 sin supeditar</w:t>
      </w:r>
      <w:r w:rsidR="00C910EC" w:rsidRPr="005677C6">
        <w:rPr>
          <w:rStyle w:val="eop"/>
          <w:rFonts w:ascii="Cambria" w:eastAsia="Trebuchet MS" w:hAnsi="Cambria" w:cs="Segoe UI"/>
          <w:sz w:val="20"/>
          <w:szCs w:val="20"/>
          <w:lang w:val="es-CO"/>
        </w:rPr>
        <w:t>lo</w:t>
      </w:r>
      <w:r w:rsidR="0092488E" w:rsidRPr="005677C6">
        <w:rPr>
          <w:rStyle w:val="eop"/>
          <w:rFonts w:ascii="Cambria" w:eastAsia="Trebuchet MS" w:hAnsi="Cambria" w:cs="Segoe UI"/>
          <w:sz w:val="20"/>
          <w:szCs w:val="20"/>
          <w:lang w:val="es-CO"/>
        </w:rPr>
        <w:t xml:space="preserve"> </w:t>
      </w:r>
      <w:r w:rsidR="00C910EC" w:rsidRPr="005677C6">
        <w:rPr>
          <w:rStyle w:val="eop"/>
          <w:rFonts w:ascii="Cambria" w:eastAsia="Trebuchet MS" w:hAnsi="Cambria" w:cs="Segoe UI"/>
          <w:sz w:val="20"/>
          <w:szCs w:val="20"/>
          <w:lang w:val="es-CO"/>
        </w:rPr>
        <w:t>a</w:t>
      </w:r>
      <w:r w:rsidR="0092488E" w:rsidRPr="005677C6">
        <w:rPr>
          <w:rStyle w:val="eop"/>
          <w:rFonts w:ascii="Cambria" w:eastAsia="Trebuchet MS" w:hAnsi="Cambria" w:cs="Segoe UI"/>
          <w:sz w:val="20"/>
          <w:szCs w:val="20"/>
          <w:lang w:val="es-CO"/>
        </w:rPr>
        <w:t>l tr</w:t>
      </w:r>
      <w:r w:rsidR="00C910EC" w:rsidRPr="005677C6">
        <w:rPr>
          <w:rStyle w:val="eop"/>
          <w:rFonts w:ascii="Cambria" w:eastAsia="Trebuchet MS" w:hAnsi="Cambria" w:cs="Segoe UI"/>
          <w:sz w:val="20"/>
          <w:szCs w:val="20"/>
          <w:lang w:val="es-CO"/>
        </w:rPr>
        <w:t>á</w:t>
      </w:r>
      <w:r w:rsidR="0092488E" w:rsidRPr="005677C6">
        <w:rPr>
          <w:rStyle w:val="eop"/>
          <w:rFonts w:ascii="Cambria" w:eastAsia="Trebuchet MS" w:hAnsi="Cambria" w:cs="Segoe UI"/>
          <w:sz w:val="20"/>
          <w:szCs w:val="20"/>
          <w:lang w:val="es-CO"/>
        </w:rPr>
        <w:t>mite al mecanismo de supervisión del Informe Anual. Al respecto, la Comisi</w:t>
      </w:r>
      <w:r w:rsidR="006B5712">
        <w:rPr>
          <w:rStyle w:val="eop"/>
          <w:rFonts w:ascii="Cambria" w:eastAsia="Trebuchet MS" w:hAnsi="Cambria" w:cs="Segoe UI"/>
          <w:sz w:val="20"/>
          <w:szCs w:val="20"/>
          <w:lang w:val="es-CO"/>
        </w:rPr>
        <w:t>ó</w:t>
      </w:r>
      <w:r w:rsidR="0092488E" w:rsidRPr="005677C6">
        <w:rPr>
          <w:rStyle w:val="eop"/>
          <w:rFonts w:ascii="Cambria" w:eastAsia="Trebuchet MS" w:hAnsi="Cambria" w:cs="Segoe UI"/>
          <w:sz w:val="20"/>
          <w:szCs w:val="20"/>
          <w:lang w:val="es-CO"/>
        </w:rPr>
        <w:t xml:space="preserve">n verificó que no se incluyeron personas que no habían sido reconocidas en el universo original de beneficiarios y que se trata de un ajuste de forma. </w:t>
      </w:r>
    </w:p>
    <w:p w14:paraId="5D343674" w14:textId="77777777" w:rsidR="00931F13" w:rsidRPr="000907C1" w:rsidRDefault="00931F13" w:rsidP="000907C1">
      <w:pPr>
        <w:jc w:val="both"/>
        <w:rPr>
          <w:rFonts w:asciiTheme="majorHAnsi" w:eastAsia="Times New Roman" w:hAnsiTheme="majorHAnsi"/>
          <w:sz w:val="20"/>
          <w:szCs w:val="20"/>
          <w:lang w:val="es-ES_tradnl"/>
        </w:rPr>
      </w:pPr>
    </w:p>
    <w:p w14:paraId="3719D748" w14:textId="77777777" w:rsidR="00931F13" w:rsidRPr="000907C1" w:rsidRDefault="00931F13" w:rsidP="005213E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jc w:val="both"/>
        <w:rPr>
          <w:rFonts w:asciiTheme="majorHAnsi" w:eastAsia="MS Mincho" w:hAnsiTheme="majorHAnsi"/>
          <w:b/>
          <w:sz w:val="20"/>
          <w:szCs w:val="20"/>
          <w:lang w:val="es-ES"/>
        </w:rPr>
      </w:pPr>
      <w:r w:rsidRPr="000907C1">
        <w:rPr>
          <w:rFonts w:asciiTheme="majorHAnsi" w:eastAsia="MS Mincho" w:hAnsiTheme="majorHAnsi"/>
          <w:b/>
          <w:sz w:val="20"/>
          <w:szCs w:val="20"/>
          <w:lang w:val="es-ES"/>
        </w:rPr>
        <w:t xml:space="preserve">LOS HECHOS ALEGADOS </w:t>
      </w:r>
    </w:p>
    <w:p w14:paraId="7564C882" w14:textId="77777777" w:rsidR="00BA00CC" w:rsidRPr="000907C1" w:rsidRDefault="00BA00CC" w:rsidP="000907C1">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Theme="majorHAnsi" w:eastAsia="MS Mincho" w:hAnsiTheme="majorHAnsi"/>
          <w:b/>
          <w:sz w:val="20"/>
          <w:szCs w:val="20"/>
          <w:lang w:val="es-ES"/>
        </w:rPr>
      </w:pPr>
    </w:p>
    <w:p w14:paraId="13204E48" w14:textId="19D8078D" w:rsidR="00BA00CC" w:rsidRPr="006428C5" w:rsidRDefault="00BA00CC" w:rsidP="007772E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r w:rsidRPr="006428C5">
        <w:rPr>
          <w:rFonts w:asciiTheme="majorHAnsi" w:eastAsia="Times New Roman" w:hAnsiTheme="majorHAnsi"/>
          <w:sz w:val="20"/>
          <w:szCs w:val="20"/>
          <w:bdr w:val="none" w:sz="0" w:space="0" w:color="auto" w:frame="1"/>
          <w:lang w:val="es-AR"/>
        </w:rPr>
        <w:t xml:space="preserve">Según lo alegado por el peticionario, </w:t>
      </w:r>
      <w:r w:rsidR="006B73E0" w:rsidRPr="006428C5">
        <w:rPr>
          <w:rFonts w:asciiTheme="majorHAnsi" w:hAnsiTheme="majorHAnsi"/>
          <w:sz w:val="20"/>
          <w:szCs w:val="20"/>
          <w:lang w:val="es-AR"/>
        </w:rPr>
        <w:t>el 5 de diciembre de 1993 fueron detenidos los hermanos Zapata Álvarez por el supuesto hurto de ganado en una finca de la región antioqueña y trasladados a la Cárcel Municipal de Granada. El 8 de diciembre del mismo año a la 1:10 a.m. unos diez hombres armados ingresaron a la Cárcel Municipal, intimidaron a los dos guardianes de turno que custodiaban a los detenidos, y se llevaron a seis internos, incluidos los hermanos Zapata Álvarez. Indic</w:t>
      </w:r>
      <w:r w:rsidR="00DE76D4" w:rsidRPr="006428C5">
        <w:rPr>
          <w:rFonts w:asciiTheme="majorHAnsi" w:hAnsiTheme="majorHAnsi"/>
          <w:sz w:val="20"/>
          <w:szCs w:val="20"/>
          <w:lang w:val="es-AR"/>
        </w:rPr>
        <w:t>ó</w:t>
      </w:r>
      <w:r w:rsidR="006B73E0" w:rsidRPr="006428C5">
        <w:rPr>
          <w:rFonts w:asciiTheme="majorHAnsi" w:hAnsiTheme="majorHAnsi"/>
          <w:sz w:val="20"/>
          <w:szCs w:val="20"/>
          <w:lang w:val="es-AR"/>
        </w:rPr>
        <w:t xml:space="preserve"> que horas más tarde estas seis personas fueron halladas muertas en el Municipio de </w:t>
      </w:r>
      <w:r w:rsidR="008524ED" w:rsidRPr="006428C5">
        <w:rPr>
          <w:rFonts w:asciiTheme="majorHAnsi" w:hAnsiTheme="majorHAnsi"/>
          <w:sz w:val="20"/>
          <w:szCs w:val="20"/>
          <w:lang w:val="es-AR"/>
        </w:rPr>
        <w:t>Cocorná</w:t>
      </w:r>
      <w:r w:rsidR="006B73E0" w:rsidRPr="006428C5">
        <w:rPr>
          <w:rFonts w:asciiTheme="majorHAnsi" w:hAnsiTheme="majorHAnsi"/>
          <w:sz w:val="20"/>
          <w:szCs w:val="20"/>
          <w:lang w:val="es-AR"/>
        </w:rPr>
        <w:t xml:space="preserve"> con evidencias de laceraciones producidas con armas de fuego.</w:t>
      </w:r>
    </w:p>
    <w:p w14:paraId="255EF06B" w14:textId="77777777" w:rsidR="006B73E0" w:rsidRPr="006428C5" w:rsidRDefault="006B73E0" w:rsidP="007772E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p>
    <w:p w14:paraId="5967D834" w14:textId="19756517" w:rsidR="00BA00CC" w:rsidRPr="006428C5" w:rsidRDefault="00407C98" w:rsidP="007772E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r w:rsidRPr="006428C5">
        <w:rPr>
          <w:rFonts w:asciiTheme="majorHAnsi" w:hAnsiTheme="majorHAnsi"/>
          <w:sz w:val="20"/>
          <w:szCs w:val="20"/>
          <w:lang w:val="es-AR"/>
        </w:rPr>
        <w:t>El peticionario señaló</w:t>
      </w:r>
      <w:r w:rsidR="00FA1AB6" w:rsidRPr="006428C5">
        <w:rPr>
          <w:rFonts w:asciiTheme="majorHAnsi" w:hAnsiTheme="majorHAnsi"/>
          <w:sz w:val="20"/>
          <w:szCs w:val="20"/>
          <w:lang w:val="es-AR"/>
        </w:rPr>
        <w:t xml:space="preserve"> que</w:t>
      </w:r>
      <w:r w:rsidR="00DE76D4" w:rsidRPr="006428C5">
        <w:rPr>
          <w:rFonts w:asciiTheme="majorHAnsi" w:hAnsiTheme="majorHAnsi"/>
          <w:sz w:val="20"/>
          <w:szCs w:val="20"/>
          <w:lang w:val="es-AR"/>
        </w:rPr>
        <w:t xml:space="preserve"> los familiares de los hermanos Zapata Álvarez interpusieron ante el Tribunal Contencioso Administrativo de Antioquia una demanda de reparación directa contra la Nación- Ministerio de Justicia, Ministerio de Defensa, Policía Nacional, e Instituto Nacional Penitenciario y Carcelario –INPEC. Mediante fallo de 28 de abril del 2000, la Sala Octava de Decisión del Tribunal Administrativo de Antioquia declaró como responsables a las instituciones demandadas, y las condenó a las mismas instituciones a reparar los perjuicios morales y materiales ocasionados a los familiares de los hermanos Zapata Álvarez. El 8 de septiembre de 2000, los familiares interpusieron un recurso de apelación por la falta de reconocimiento de daños pecuniarios a los demás hermanos de los fallecidos. Sin embargo, tan pronto como fue presentado el recurso de apelación, radicaron su solicitud de desistimiento, que fue aceptada por el Tribunal el 1º de noviembre de 2000, de manera que se declaró el archivo del proceso y quedó firme la sanción monetaria que debía ser pagada a las personas reconocidas como víctimas con la sentencia emitida el 28 de abril del 2000.</w:t>
      </w:r>
    </w:p>
    <w:p w14:paraId="0C4D9F65" w14:textId="77777777" w:rsidR="006A4337" w:rsidRPr="006428C5" w:rsidRDefault="006A4337" w:rsidP="007772E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p>
    <w:p w14:paraId="3F0EFF71" w14:textId="50B53562" w:rsidR="006A4337" w:rsidRPr="006428C5" w:rsidRDefault="006A4337" w:rsidP="007772E0">
      <w:pPr>
        <w:pStyle w:val="ListParagraph"/>
        <w:numPr>
          <w:ilvl w:val="0"/>
          <w:numId w:val="61"/>
        </w:numPr>
        <w:ind w:left="0" w:firstLine="720"/>
        <w:jc w:val="both"/>
        <w:rPr>
          <w:rFonts w:asciiTheme="majorHAnsi" w:eastAsia="Arial Unicode MS" w:hAnsiTheme="majorHAnsi" w:cs="Times New Roman"/>
          <w:color w:val="auto"/>
          <w:sz w:val="20"/>
          <w:szCs w:val="20"/>
          <w:lang w:val="es-AR" w:eastAsia="en-US"/>
        </w:rPr>
      </w:pPr>
      <w:r w:rsidRPr="006428C5">
        <w:rPr>
          <w:rFonts w:asciiTheme="majorHAnsi" w:hAnsiTheme="majorHAnsi"/>
          <w:sz w:val="20"/>
          <w:szCs w:val="20"/>
          <w:lang w:val="es-AR"/>
        </w:rPr>
        <w:t xml:space="preserve">El peticionario informó que el 11 de septiembre de 2001 el Tribunal Administrativo admitió en grado de consulta la sentencia condenatoria ante el Consejo de Estado, debido a que el valor de la indemnización monetaria superaba la mínima cuantía. Lo anterior se basó en la Ley 446 de 1998 que establece que cuando el pago de una indemnización monetaria fuese superior a 300 salarios mínimos, debe ser consultada con el superior aun cuando esta no hubiera sido apelada. </w:t>
      </w:r>
      <w:r w:rsidRPr="006428C5">
        <w:rPr>
          <w:rFonts w:asciiTheme="majorHAnsi" w:hAnsiTheme="majorHAnsi"/>
          <w:sz w:val="20"/>
          <w:szCs w:val="20"/>
          <w:lang w:val="es-US"/>
        </w:rPr>
        <w:t xml:space="preserve"> </w:t>
      </w:r>
      <w:r w:rsidRPr="006428C5">
        <w:rPr>
          <w:rFonts w:asciiTheme="majorHAnsi" w:eastAsia="Arial Unicode MS" w:hAnsiTheme="majorHAnsi" w:cs="Times New Roman"/>
          <w:color w:val="auto"/>
          <w:sz w:val="20"/>
          <w:szCs w:val="20"/>
          <w:lang w:val="es-AR" w:eastAsia="en-US"/>
        </w:rPr>
        <w:t>Manifiest</w:t>
      </w:r>
      <w:r w:rsidR="00497728" w:rsidRPr="006428C5">
        <w:rPr>
          <w:rFonts w:asciiTheme="majorHAnsi" w:eastAsia="Arial Unicode MS" w:hAnsiTheme="majorHAnsi" w:cs="Times New Roman"/>
          <w:color w:val="auto"/>
          <w:sz w:val="20"/>
          <w:szCs w:val="20"/>
          <w:lang w:val="es-AR" w:eastAsia="en-US"/>
        </w:rPr>
        <w:t>ó</w:t>
      </w:r>
      <w:r w:rsidRPr="006428C5">
        <w:rPr>
          <w:rFonts w:asciiTheme="majorHAnsi" w:eastAsia="Arial Unicode MS" w:hAnsiTheme="majorHAnsi" w:cs="Times New Roman"/>
          <w:color w:val="auto"/>
          <w:sz w:val="20"/>
          <w:szCs w:val="20"/>
          <w:lang w:val="es-AR" w:eastAsia="en-US"/>
        </w:rPr>
        <w:t xml:space="preserve"> el peticionario que el 22 de noviembre de 2001 se presentó un recurso de reposición y el 27 de noviembre de 2001 un recurso de apelación contra la referida decisión del Tribunal Administrativo. Adicionalmente, se interpuso una acción de tutela, pero el Tribunal Administrativo la declaró no procedente el 21 de junio de 2002; en la decisión del recurso de reposición, mantuvo el criterio de que debía ser consultado ante el Consejo de Estado en razón a la cuantía de la indemnización.</w:t>
      </w:r>
    </w:p>
    <w:p w14:paraId="7FDE17A2" w14:textId="3460C759" w:rsidR="00F87B80" w:rsidRPr="006428C5" w:rsidRDefault="00F87B80" w:rsidP="007772E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p>
    <w:p w14:paraId="063D8C67" w14:textId="7920F2DC" w:rsidR="00F87B80" w:rsidRPr="006428C5" w:rsidRDefault="007527F6" w:rsidP="007772E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center" w:pos="5400"/>
        </w:tabs>
        <w:suppressAutoHyphens/>
        <w:ind w:left="0" w:firstLine="720"/>
        <w:jc w:val="both"/>
        <w:rPr>
          <w:rFonts w:asciiTheme="majorHAnsi" w:hAnsiTheme="majorHAnsi"/>
          <w:sz w:val="20"/>
          <w:szCs w:val="20"/>
          <w:lang w:val="es-AR"/>
        </w:rPr>
      </w:pPr>
      <w:r w:rsidRPr="006428C5">
        <w:rPr>
          <w:rFonts w:asciiTheme="majorHAnsi" w:hAnsiTheme="majorHAnsi"/>
          <w:sz w:val="20"/>
          <w:szCs w:val="20"/>
          <w:lang w:val="es-AR"/>
        </w:rPr>
        <w:t>El peticionario alegó que,</w:t>
      </w:r>
      <w:r w:rsidR="00497728" w:rsidRPr="006428C5">
        <w:rPr>
          <w:rFonts w:asciiTheme="majorHAnsi" w:hAnsiTheme="majorHAnsi"/>
          <w:sz w:val="20"/>
          <w:szCs w:val="20"/>
          <w:lang w:val="es-AR"/>
        </w:rPr>
        <w:t xml:space="preserve"> el</w:t>
      </w:r>
      <w:r w:rsidRPr="006428C5">
        <w:rPr>
          <w:rFonts w:asciiTheme="majorHAnsi" w:hAnsiTheme="majorHAnsi"/>
          <w:sz w:val="20"/>
          <w:szCs w:val="20"/>
          <w:lang w:val="es-AR"/>
        </w:rPr>
        <w:t xml:space="preserve"> </w:t>
      </w:r>
      <w:r w:rsidR="00497728" w:rsidRPr="006428C5">
        <w:rPr>
          <w:rFonts w:asciiTheme="majorHAnsi" w:hAnsiTheme="majorHAnsi"/>
          <w:sz w:val="20"/>
          <w:szCs w:val="20"/>
          <w:lang w:val="es-AR"/>
        </w:rPr>
        <w:t>15 de noviembre de 2002 se presentó otro recurso de reposición ante el Consejo de Estado contra el auto que admitió el grado de consulta, que fue rechazado también en razón de la cuantía de la indemnización. El 30 de mayo de 2003 se solicitó al Consejo de Estado que enmendara la actuación procesal que le permitía conocer el caso, pero fue negada el 11 de septiembre de 2003. Finalmente, el 9 de mayo de 2012 el Consejo de Estado falló contra los demandantes del proceso de reparación directa; ordenó la revocatoria de la sentencia del 28 de abril de 2000 del Tribunal Administrativo de Antioquia; y declaró la absolución de las entidades condenadas a pagar la indemnización tasada previamente en primera instancia.</w:t>
      </w:r>
    </w:p>
    <w:p w14:paraId="668FC0CE" w14:textId="77777777" w:rsidR="00C312A9" w:rsidRPr="006428C5" w:rsidRDefault="00C312A9" w:rsidP="000907C1">
      <w:pPr>
        <w:pStyle w:val="ListParagraph"/>
        <w:rPr>
          <w:rFonts w:asciiTheme="majorHAnsi" w:hAnsiTheme="majorHAnsi"/>
          <w:sz w:val="20"/>
          <w:szCs w:val="20"/>
          <w:lang w:val="es-AR"/>
        </w:rPr>
      </w:pPr>
    </w:p>
    <w:p w14:paraId="6DD75534" w14:textId="714206C0" w:rsidR="0034364D" w:rsidRPr="006428C5" w:rsidRDefault="000D3C78" w:rsidP="007F44AA">
      <w:pPr>
        <w:pStyle w:val="ListParagraph"/>
        <w:numPr>
          <w:ilvl w:val="0"/>
          <w:numId w:val="61"/>
        </w:numPr>
        <w:ind w:left="0" w:firstLine="720"/>
        <w:jc w:val="both"/>
        <w:rPr>
          <w:rFonts w:asciiTheme="majorHAnsi" w:eastAsia="Arial Unicode MS" w:hAnsiTheme="majorHAnsi" w:cs="Times New Roman"/>
          <w:color w:val="auto"/>
          <w:sz w:val="20"/>
          <w:szCs w:val="20"/>
          <w:lang w:val="es-AR" w:eastAsia="en-US"/>
        </w:rPr>
      </w:pPr>
      <w:r w:rsidRPr="006428C5">
        <w:rPr>
          <w:rFonts w:asciiTheme="majorHAnsi" w:hAnsiTheme="majorHAnsi"/>
          <w:sz w:val="20"/>
          <w:szCs w:val="20"/>
          <w:lang w:val="es-AR"/>
        </w:rPr>
        <w:t xml:space="preserve">El peticionario señaló </w:t>
      </w:r>
      <w:r w:rsidR="00C312A9" w:rsidRPr="006428C5">
        <w:rPr>
          <w:rFonts w:asciiTheme="majorHAnsi" w:hAnsiTheme="majorHAnsi"/>
          <w:sz w:val="20"/>
          <w:szCs w:val="20"/>
          <w:lang w:val="es-AR"/>
        </w:rPr>
        <w:t xml:space="preserve">que Consejo de Estado determinó que la demanda carecía de legitimación, toda vez que las obligaciones de cuidado y custodia de los retenidos correspondían a la autoridad carcelaria municipal y no a la Policía Nacional, cuya función era velar por la seguridad y protección de los habitantes en el territorio nacional; estableció además que la Policía Nacional había sido diligente al informar </w:t>
      </w:r>
      <w:r w:rsidR="00C312A9" w:rsidRPr="006428C5">
        <w:rPr>
          <w:rFonts w:asciiTheme="majorHAnsi" w:hAnsiTheme="majorHAnsi"/>
          <w:sz w:val="20"/>
          <w:szCs w:val="20"/>
          <w:lang w:val="es-AR"/>
        </w:rPr>
        <w:lastRenderedPageBreak/>
        <w:t>al Director de la Cárcel Municipal sobre las irregularidades que se presentaban en dicho establecimiento. Finalmente, el Consejo de Estado aclaró que la creación, dirección, organización, administración y vigilancia de cárceles departamentales y municipales dependían de los respectivos Departamentos y Municipios; y que el Municipio no había sido parte dentro de la demanda de reparación directa instaurada.</w:t>
      </w:r>
    </w:p>
    <w:p w14:paraId="5095E831" w14:textId="77777777" w:rsidR="00C02F9A" w:rsidRPr="006428C5" w:rsidRDefault="00C02F9A" w:rsidP="007F44AA">
      <w:pPr>
        <w:pStyle w:val="ListParagraph"/>
        <w:ind w:left="0" w:firstLine="720"/>
        <w:rPr>
          <w:rFonts w:asciiTheme="majorHAnsi" w:eastAsia="Arial Unicode MS" w:hAnsiTheme="majorHAnsi" w:cs="Times New Roman"/>
          <w:color w:val="auto"/>
          <w:sz w:val="20"/>
          <w:szCs w:val="20"/>
          <w:lang w:val="es-AR" w:eastAsia="en-US"/>
        </w:rPr>
      </w:pPr>
    </w:p>
    <w:p w14:paraId="5CF0A324" w14:textId="187A1AC5" w:rsidR="00AC6E5E" w:rsidRPr="006428C5" w:rsidRDefault="00C02F9A" w:rsidP="007F44A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AR"/>
        </w:rPr>
      </w:pPr>
      <w:r w:rsidRPr="006428C5">
        <w:rPr>
          <w:rFonts w:asciiTheme="majorHAnsi" w:hAnsiTheme="majorHAnsi"/>
          <w:sz w:val="20"/>
          <w:szCs w:val="20"/>
          <w:lang w:val="es-AR"/>
        </w:rPr>
        <w:t>El peticionario informó que la señora Arnovia del Socorro Cardona Escobar, familiar de Isidro León Ramírez Ciro, otro de los detenidos que fue secuestrado y asesinado bajo las mismas circunstancias que los hermanos Zapata Álvarez, también interpuso una demanda de reparación directa. Dicho caso fue estudiado por el Consejo de Estado, que falló de forma diametralmente distinta al reconocer a los familiares del señor Ramírez Ciro el pago de la indemnización monetaria. El peticionario consideró que dichas actuaciones representan una violación de los derechos al debido proceso y a la igualdad ante la ley, pues la sentencia de primera instancia ya se encontraba ejecutoriada; y que, en definitiva, la actitud permisiva de los funcionarios del Estado fue la que generó la vulneración de los derechos a la vida y a la integridad personal de las personas detenidas.</w:t>
      </w:r>
      <w:r w:rsidR="007072CF" w:rsidRPr="006428C5">
        <w:rPr>
          <w:rFonts w:asciiTheme="majorHAnsi" w:hAnsiTheme="majorHAnsi"/>
          <w:sz w:val="20"/>
          <w:szCs w:val="20"/>
          <w:lang w:val="es-AR"/>
        </w:rPr>
        <w:t xml:space="preserve"> </w:t>
      </w:r>
    </w:p>
    <w:p w14:paraId="1F61C066" w14:textId="77777777" w:rsidR="000907C1" w:rsidRPr="000907C1" w:rsidRDefault="000907C1" w:rsidP="000907C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AR"/>
        </w:rPr>
      </w:pPr>
    </w:p>
    <w:p w14:paraId="16AF7D90" w14:textId="3F80C3DF" w:rsidR="00AC6E5E" w:rsidRPr="000907C1" w:rsidRDefault="00AC6E5E" w:rsidP="005213E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1418" w:hanging="709"/>
        <w:jc w:val="both"/>
        <w:rPr>
          <w:rFonts w:asciiTheme="majorHAnsi" w:eastAsia="MS Mincho" w:hAnsiTheme="majorHAnsi"/>
          <w:b/>
          <w:sz w:val="20"/>
          <w:szCs w:val="20"/>
          <w:lang w:val="es-ES"/>
        </w:rPr>
      </w:pPr>
      <w:r w:rsidRPr="000907C1">
        <w:rPr>
          <w:rFonts w:asciiTheme="majorHAnsi" w:eastAsia="MS Mincho" w:hAnsiTheme="majorHAnsi"/>
          <w:b/>
          <w:sz w:val="20"/>
          <w:szCs w:val="20"/>
          <w:lang w:val="es-ES"/>
        </w:rPr>
        <w:t>SOLUCIÓN AMISTOSA</w:t>
      </w:r>
    </w:p>
    <w:p w14:paraId="6570BCDA" w14:textId="77777777" w:rsidR="00AC6E5E" w:rsidRPr="000907C1" w:rsidRDefault="00AC6E5E" w:rsidP="000907C1">
      <w:pPr>
        <w:pStyle w:val="ListParagraph"/>
        <w:ind w:firstLine="720"/>
        <w:jc w:val="both"/>
        <w:rPr>
          <w:rFonts w:asciiTheme="majorHAnsi" w:eastAsia="Times New Roman" w:hAnsiTheme="majorHAnsi"/>
          <w:sz w:val="20"/>
          <w:szCs w:val="20"/>
          <w:bdr w:val="none" w:sz="0" w:space="0" w:color="auto" w:frame="1"/>
          <w:lang w:val="es-AR"/>
        </w:rPr>
      </w:pPr>
    </w:p>
    <w:p w14:paraId="60D315DF" w14:textId="1224EB8B" w:rsidR="00A75114" w:rsidRPr="006428C5" w:rsidRDefault="00AC6E5E" w:rsidP="007772E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sz w:val="20"/>
          <w:szCs w:val="20"/>
          <w:bdr w:val="none" w:sz="0" w:space="0" w:color="auto"/>
          <w:lang w:val="es-ES_tradnl"/>
        </w:rPr>
      </w:pPr>
      <w:r w:rsidRPr="006428C5">
        <w:rPr>
          <w:rFonts w:asciiTheme="majorHAnsi" w:eastAsia="Times New Roman" w:hAnsiTheme="majorHAnsi"/>
          <w:sz w:val="20"/>
          <w:szCs w:val="20"/>
          <w:lang w:val="es-ES_tradnl"/>
        </w:rPr>
        <w:t xml:space="preserve">El </w:t>
      </w:r>
      <w:r w:rsidR="00EE55D6" w:rsidRPr="006428C5">
        <w:rPr>
          <w:rFonts w:asciiTheme="majorHAnsi" w:eastAsia="Times New Roman" w:hAnsiTheme="majorHAnsi"/>
          <w:sz w:val="20"/>
          <w:szCs w:val="20"/>
          <w:lang w:val="es-ES_tradnl"/>
        </w:rPr>
        <w:t>2 de marzo de 2023</w:t>
      </w:r>
      <w:r w:rsidRPr="006428C5">
        <w:rPr>
          <w:rFonts w:asciiTheme="majorHAnsi" w:eastAsia="Times New Roman" w:hAnsiTheme="majorHAnsi"/>
          <w:sz w:val="20"/>
          <w:szCs w:val="20"/>
          <w:lang w:val="es-ES_tradnl"/>
        </w:rPr>
        <w:t>,</w:t>
      </w:r>
      <w:r w:rsidR="007A35EC" w:rsidRPr="006428C5">
        <w:rPr>
          <w:rFonts w:asciiTheme="majorHAnsi" w:eastAsia="Times New Roman" w:hAnsiTheme="majorHAnsi"/>
          <w:sz w:val="20"/>
          <w:szCs w:val="20"/>
          <w:lang w:val="es-ES_tradnl"/>
        </w:rPr>
        <w:t xml:space="preserve"> en la ciudad de Bogotá D.C.</w:t>
      </w:r>
      <w:r w:rsidRPr="006428C5">
        <w:rPr>
          <w:rFonts w:asciiTheme="majorHAnsi" w:eastAsia="Times New Roman" w:hAnsiTheme="majorHAnsi"/>
          <w:sz w:val="20"/>
          <w:szCs w:val="20"/>
          <w:lang w:val="es-ES_tradnl"/>
        </w:rPr>
        <w:t>, las partes firmaron un acuerdo de solución amistosa</w:t>
      </w:r>
      <w:r w:rsidR="00FA1808" w:rsidRPr="006428C5">
        <w:rPr>
          <w:rFonts w:asciiTheme="majorHAnsi" w:eastAsia="Times New Roman" w:hAnsiTheme="majorHAnsi"/>
          <w:sz w:val="20"/>
          <w:szCs w:val="20"/>
          <w:lang w:val="es-ES"/>
        </w:rPr>
        <w:t>, en cuyo texto se establece lo siguiente</w:t>
      </w:r>
      <w:r w:rsidRPr="006428C5">
        <w:rPr>
          <w:rFonts w:asciiTheme="majorHAnsi" w:eastAsia="Times New Roman" w:hAnsiTheme="majorHAnsi"/>
          <w:sz w:val="20"/>
          <w:szCs w:val="20"/>
          <w:lang w:val="es-ES"/>
        </w:rPr>
        <w:t>:</w:t>
      </w:r>
    </w:p>
    <w:p w14:paraId="155B5102" w14:textId="77777777" w:rsidR="00C02F9A" w:rsidRPr="006428C5" w:rsidRDefault="00C02F9A" w:rsidP="000907C1">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0"/>
          <w:szCs w:val="20"/>
          <w:bdr w:val="none" w:sz="0" w:space="0" w:color="auto"/>
          <w:lang w:val="es-ES_tradnl"/>
        </w:rPr>
      </w:pPr>
    </w:p>
    <w:p w14:paraId="1CFAF031" w14:textId="22A88FBE" w:rsidR="00BA00CC" w:rsidRPr="00A5610B" w:rsidRDefault="00E3436C"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r w:rsidRPr="00A5610B">
        <w:rPr>
          <w:rFonts w:asciiTheme="majorHAnsi" w:eastAsia="MS Mincho" w:hAnsiTheme="majorHAnsi"/>
          <w:b/>
          <w:sz w:val="18"/>
          <w:szCs w:val="18"/>
          <w:lang w:val="es-AR"/>
        </w:rPr>
        <w:t>ACUERDO DE SOLUCIÓN AMISTOSA</w:t>
      </w:r>
    </w:p>
    <w:p w14:paraId="186080B8" w14:textId="00F9FE02" w:rsidR="007A35EC" w:rsidRPr="00A5610B" w:rsidRDefault="00E3436C"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r w:rsidRPr="00A5610B">
        <w:rPr>
          <w:rFonts w:asciiTheme="majorHAnsi" w:eastAsia="MS Mincho" w:hAnsiTheme="majorHAnsi"/>
          <w:b/>
          <w:sz w:val="18"/>
          <w:szCs w:val="18"/>
          <w:lang w:val="es-AR"/>
        </w:rPr>
        <w:t xml:space="preserve">CASO </w:t>
      </w:r>
      <w:r w:rsidR="007A35EC" w:rsidRPr="00A5610B">
        <w:rPr>
          <w:rFonts w:asciiTheme="majorHAnsi" w:eastAsia="MS Mincho" w:hAnsiTheme="majorHAnsi"/>
          <w:b/>
          <w:sz w:val="18"/>
          <w:szCs w:val="18"/>
          <w:lang w:val="es-AR"/>
        </w:rPr>
        <w:t>14.003 MARÍA REGINA OCAMPO LOAIZA Y OTROS</w:t>
      </w:r>
    </w:p>
    <w:p w14:paraId="119241C9" w14:textId="77777777" w:rsidR="000907C1" w:rsidRPr="00A5610B" w:rsidRDefault="000907C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p>
    <w:p w14:paraId="6698C498" w14:textId="21FE8C55" w:rsidR="008F5061" w:rsidRPr="00A5610B" w:rsidRDefault="00E3436C"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 xml:space="preserve">El </w:t>
      </w:r>
      <w:r w:rsidR="007A35EC" w:rsidRPr="00A5610B">
        <w:rPr>
          <w:rFonts w:asciiTheme="majorHAnsi" w:eastAsia="MS Mincho" w:hAnsiTheme="majorHAnsi"/>
          <w:sz w:val="18"/>
          <w:szCs w:val="18"/>
          <w:lang w:val="es-AR"/>
        </w:rPr>
        <w:t>2 de marzo en la ciudad de Bogotá D.C., se reunieron de una parte, Mauricio Alejandro Moncayo Valencia, Director de Defensa Jurídica Internacional (E) de la Agencia Nacional de Defensa Jurídica del Estado, quien actúa en nombre y representación del Estado colombiano</w:t>
      </w:r>
      <w:r w:rsidR="00F46B15" w:rsidRPr="00A5610B">
        <w:rPr>
          <w:rFonts w:asciiTheme="majorHAnsi" w:eastAsia="MS Mincho" w:hAnsiTheme="majorHAnsi"/>
          <w:sz w:val="18"/>
          <w:szCs w:val="18"/>
          <w:lang w:val="es-AR"/>
        </w:rPr>
        <w:t>,</w:t>
      </w:r>
      <w:r w:rsidR="007A35EC" w:rsidRPr="00A5610B">
        <w:rPr>
          <w:rFonts w:asciiTheme="majorHAnsi" w:eastAsia="MS Mincho" w:hAnsiTheme="majorHAnsi"/>
          <w:sz w:val="18"/>
          <w:szCs w:val="18"/>
          <w:lang w:val="es-AR"/>
        </w:rPr>
        <w:t xml:space="preserve"> en adelante “el Estado colombiano”, y de</w:t>
      </w:r>
      <w:r w:rsidR="00B76653" w:rsidRPr="00A5610B">
        <w:rPr>
          <w:rFonts w:asciiTheme="majorHAnsi" w:eastAsia="MS Mincho" w:hAnsiTheme="majorHAnsi"/>
          <w:sz w:val="18"/>
          <w:szCs w:val="18"/>
          <w:lang w:val="es-AR"/>
        </w:rPr>
        <w:t xml:space="preserve"> otra parte, la firma Villegas Abogados Asociados, representada en este acto por Sandra Villegas Arévalo, quien actúa como representante de las víctimas, en conjunto denominadas “las partes”, las cuales han decidido suscribir el presente Acuerdo de Solución Amistosa en el marco del Caso 14.003 María Regina Ocampo Loaiza y Otros, en curso ante la Comisión Interamericana de Derechos Humanos.</w:t>
      </w:r>
    </w:p>
    <w:p w14:paraId="0DBAE8EB" w14:textId="77AEBE12" w:rsidR="008F5061" w:rsidRPr="00A5610B" w:rsidRDefault="00220140"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r w:rsidRPr="00A5610B">
        <w:rPr>
          <w:rFonts w:asciiTheme="majorHAnsi" w:eastAsia="MS Mincho" w:hAnsiTheme="majorHAnsi"/>
          <w:b/>
          <w:sz w:val="18"/>
          <w:szCs w:val="18"/>
          <w:lang w:val="es-AR"/>
        </w:rPr>
        <w:t>PRIMERA PARTE: CONCEPTOS</w:t>
      </w:r>
    </w:p>
    <w:p w14:paraId="56862FD9" w14:textId="77777777" w:rsidR="000D3C78" w:rsidRPr="00A5610B" w:rsidRDefault="000D3C78"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p>
    <w:p w14:paraId="565122A7" w14:textId="60CC52F6" w:rsidR="0008288D" w:rsidRPr="00A5610B" w:rsidRDefault="00220140"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Para los fiens del presente Acuerdo, se entenderá po</w:t>
      </w:r>
      <w:r w:rsidR="006247A9" w:rsidRPr="00A5610B">
        <w:rPr>
          <w:rFonts w:asciiTheme="majorHAnsi" w:eastAsia="MS Mincho" w:hAnsiTheme="majorHAnsi"/>
          <w:sz w:val="18"/>
          <w:szCs w:val="18"/>
          <w:lang w:val="es-AR"/>
        </w:rPr>
        <w:t>r</w:t>
      </w:r>
      <w:r w:rsidRPr="00A5610B">
        <w:rPr>
          <w:rFonts w:asciiTheme="majorHAnsi" w:eastAsia="MS Mincho" w:hAnsiTheme="majorHAnsi"/>
          <w:sz w:val="18"/>
          <w:szCs w:val="18"/>
          <w:lang w:val="es-AR"/>
        </w:rPr>
        <w:t>:</w:t>
      </w:r>
    </w:p>
    <w:p w14:paraId="19978FF8"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52794A3E" w14:textId="667AE672" w:rsidR="00220140" w:rsidRPr="00A5610B" w:rsidRDefault="006247A9"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CIDH o Comisión Interamericana:</w:t>
      </w:r>
      <w:r w:rsidRPr="00A5610B">
        <w:rPr>
          <w:rFonts w:asciiTheme="majorHAnsi" w:eastAsia="MS Mincho" w:hAnsiTheme="majorHAnsi"/>
          <w:sz w:val="18"/>
          <w:szCs w:val="18"/>
          <w:lang w:val="es-AR"/>
        </w:rPr>
        <w:t xml:space="preserve"> Comisión Interamericana de Derechos Humanos</w:t>
      </w:r>
      <w:r w:rsidR="005B415F" w:rsidRPr="00A5610B">
        <w:rPr>
          <w:rFonts w:asciiTheme="majorHAnsi" w:eastAsia="MS Mincho" w:hAnsiTheme="majorHAnsi"/>
          <w:sz w:val="18"/>
          <w:szCs w:val="18"/>
          <w:lang w:val="es-AR"/>
        </w:rPr>
        <w:t>.</w:t>
      </w:r>
    </w:p>
    <w:p w14:paraId="13E79CF3"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79D51A7F" w14:textId="377CE195" w:rsidR="006247A9" w:rsidRPr="00A5610B" w:rsidRDefault="006247A9"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Daño moral:</w:t>
      </w:r>
      <w:r w:rsidRPr="00A5610B">
        <w:rPr>
          <w:rFonts w:asciiTheme="majorHAnsi" w:eastAsia="MS Mincho" w:hAnsiTheme="majorHAnsi"/>
          <w:sz w:val="18"/>
          <w:szCs w:val="18"/>
          <w:lang w:val="es-AR"/>
        </w:rPr>
        <w:t xml:space="preserve"> Efectos lesivos de los hechos del caso que no tienen carácter económico o patrimonial, los cuales se manifiestan a través del dolor, la aflicción, tristeza, congoja y zozobra de las víctimas.</w:t>
      </w:r>
    </w:p>
    <w:p w14:paraId="4CE6D9A9"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274F3D0D" w14:textId="4F38FBA4" w:rsidR="006247A9" w:rsidRPr="00A5610B" w:rsidRDefault="006247A9"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Daño material:</w:t>
      </w:r>
      <w:r w:rsidRPr="00A5610B">
        <w:rPr>
          <w:rFonts w:asciiTheme="majorHAnsi" w:eastAsia="MS Mincho" w:hAnsiTheme="majorHAnsi"/>
          <w:sz w:val="18"/>
          <w:szCs w:val="18"/>
          <w:lang w:val="es-AR"/>
        </w:rPr>
        <w:t xml:space="preserve"> Supone la pérdida o detrimento de los ingresos de la víctima, los gastos efectuados con motivo de los hechos y las consecuencias de carácter precuniario que tengan un nexo causal co</w:t>
      </w:r>
      <w:r w:rsidR="005A5449" w:rsidRPr="00A5610B">
        <w:rPr>
          <w:rFonts w:asciiTheme="majorHAnsi" w:eastAsia="MS Mincho" w:hAnsiTheme="majorHAnsi"/>
          <w:sz w:val="18"/>
          <w:szCs w:val="18"/>
          <w:lang w:val="es-AR"/>
        </w:rPr>
        <w:t>n</w:t>
      </w:r>
      <w:r w:rsidRPr="00A5610B">
        <w:rPr>
          <w:rFonts w:asciiTheme="majorHAnsi" w:eastAsia="MS Mincho" w:hAnsiTheme="majorHAnsi"/>
          <w:sz w:val="18"/>
          <w:szCs w:val="18"/>
          <w:lang w:val="es-AR"/>
        </w:rPr>
        <w:t xml:space="preserve"> los hechos del caso</w:t>
      </w:r>
      <w:r w:rsidRPr="00A5610B">
        <w:rPr>
          <w:rStyle w:val="FootnoteReference"/>
          <w:rFonts w:asciiTheme="majorHAnsi" w:eastAsia="MS Mincho" w:hAnsiTheme="majorHAnsi"/>
          <w:sz w:val="18"/>
          <w:szCs w:val="18"/>
          <w:lang w:val="es-AR"/>
        </w:rPr>
        <w:footnoteReference w:id="3"/>
      </w:r>
      <w:r w:rsidR="001977B5" w:rsidRPr="00A5610B">
        <w:rPr>
          <w:rFonts w:asciiTheme="majorHAnsi" w:eastAsia="MS Mincho" w:hAnsiTheme="majorHAnsi"/>
          <w:sz w:val="18"/>
          <w:szCs w:val="18"/>
          <w:lang w:val="es-AR"/>
        </w:rPr>
        <w:t>.</w:t>
      </w:r>
    </w:p>
    <w:p w14:paraId="581A94D9"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2D802AC0" w14:textId="573A70F4" w:rsidR="001977B5" w:rsidRPr="00A5610B" w:rsidRDefault="001977B5"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Daño inmaterial:</w:t>
      </w:r>
      <w:r w:rsidRPr="00A5610B">
        <w:rPr>
          <w:rFonts w:asciiTheme="majorHAnsi" w:eastAsia="MS Mincho" w:hAnsiTheme="majorHAnsi"/>
          <w:sz w:val="18"/>
          <w:szCs w:val="18"/>
          <w:lang w:val="es-AR"/>
        </w:rPr>
        <w:t xml:space="preserve"> Comprende tanto los sufrimientos y las aflicciones causados a las víctimas, el menoscabo de valores muy significativos para las personas, así como las alteraciones, de carácter no pecuniario, en las condiciones de existencia de la víctima o de su familia</w:t>
      </w:r>
      <w:r w:rsidRPr="00A5610B">
        <w:rPr>
          <w:rStyle w:val="FootnoteReference"/>
          <w:rFonts w:asciiTheme="majorHAnsi" w:eastAsia="MS Mincho" w:hAnsiTheme="majorHAnsi"/>
          <w:sz w:val="18"/>
          <w:szCs w:val="18"/>
          <w:lang w:val="es-AR"/>
        </w:rPr>
        <w:footnoteReference w:id="4"/>
      </w:r>
      <w:r w:rsidR="00B65E1C" w:rsidRPr="00A5610B">
        <w:rPr>
          <w:rFonts w:asciiTheme="majorHAnsi" w:eastAsia="MS Mincho" w:hAnsiTheme="majorHAnsi"/>
          <w:sz w:val="18"/>
          <w:szCs w:val="18"/>
          <w:lang w:val="es-AR"/>
        </w:rPr>
        <w:t>.</w:t>
      </w:r>
    </w:p>
    <w:p w14:paraId="780C1CCD"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710784B2" w14:textId="03B9CE5A" w:rsidR="00B65E1C" w:rsidRPr="00A5610B" w:rsidRDefault="00B65E1C"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Estado o Estado Colombiano:</w:t>
      </w:r>
      <w:r w:rsidRPr="00A5610B">
        <w:rPr>
          <w:rFonts w:asciiTheme="majorHAnsi" w:eastAsia="MS Mincho" w:hAnsiTheme="majorHAnsi"/>
          <w:sz w:val="18"/>
          <w:szCs w:val="18"/>
          <w:lang w:val="es-AR"/>
        </w:rPr>
        <w:t xml:space="preserve"> De conformidad </w:t>
      </w:r>
      <w:r w:rsidR="001862F1" w:rsidRPr="00A5610B">
        <w:rPr>
          <w:rFonts w:asciiTheme="majorHAnsi" w:eastAsia="MS Mincho" w:hAnsiTheme="majorHAnsi"/>
          <w:sz w:val="18"/>
          <w:szCs w:val="18"/>
          <w:lang w:val="es-AR"/>
        </w:rPr>
        <w:t>con</w:t>
      </w:r>
      <w:r w:rsidRPr="00A5610B">
        <w:rPr>
          <w:rFonts w:asciiTheme="majorHAnsi" w:eastAsia="MS Mincho" w:hAnsiTheme="majorHAnsi"/>
          <w:sz w:val="18"/>
          <w:szCs w:val="18"/>
          <w:lang w:val="es-AR"/>
        </w:rPr>
        <w:t xml:space="preserve"> el Derecho Internacional Público</w:t>
      </w:r>
      <w:r w:rsidR="001862F1" w:rsidRPr="00A5610B">
        <w:rPr>
          <w:rFonts w:asciiTheme="majorHAnsi" w:eastAsia="MS Mincho" w:hAnsiTheme="majorHAnsi"/>
          <w:sz w:val="18"/>
          <w:szCs w:val="18"/>
          <w:lang w:val="es-AR"/>
        </w:rPr>
        <w:t xml:space="preserve"> se entenderá que es el sujeto signatario de la Convención Americana sobre Derechos Humanos, en adelante “Convención </w:t>
      </w:r>
      <w:r w:rsidR="00E478AF" w:rsidRPr="00A5610B">
        <w:rPr>
          <w:rFonts w:asciiTheme="majorHAnsi" w:eastAsia="MS Mincho" w:hAnsiTheme="majorHAnsi"/>
          <w:sz w:val="18"/>
          <w:szCs w:val="18"/>
          <w:lang w:val="es-AR"/>
        </w:rPr>
        <w:t>Americana” o “CADH”.</w:t>
      </w:r>
    </w:p>
    <w:p w14:paraId="0A2DF923"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435AD7A3" w14:textId="20BB6E29" w:rsidR="00E478AF" w:rsidRPr="00A5610B" w:rsidRDefault="001922E0"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lastRenderedPageBreak/>
        <w:t xml:space="preserve">Medidas de satisfacción: </w:t>
      </w:r>
      <w:r w:rsidRPr="00A5610B">
        <w:rPr>
          <w:rFonts w:asciiTheme="majorHAnsi" w:eastAsia="MS Mincho" w:hAnsiTheme="majorHAnsi"/>
          <w:sz w:val="18"/>
          <w:szCs w:val="18"/>
          <w:lang w:val="es-AR"/>
        </w:rPr>
        <w:t>Medidas no pecuniarias que tienen como fin procurar la recuperación de las vítimas del daño que se les ha causado</w:t>
      </w:r>
      <w:r w:rsidRPr="00A5610B">
        <w:rPr>
          <w:rStyle w:val="FootnoteReference"/>
          <w:rFonts w:asciiTheme="majorHAnsi" w:eastAsia="MS Mincho" w:hAnsiTheme="majorHAnsi"/>
          <w:sz w:val="18"/>
          <w:szCs w:val="18"/>
          <w:lang w:val="es-AR"/>
        </w:rPr>
        <w:footnoteReference w:id="5"/>
      </w:r>
      <w:r w:rsidRPr="00A5610B">
        <w:rPr>
          <w:rFonts w:asciiTheme="majorHAnsi" w:eastAsia="MS Mincho" w:hAnsiTheme="majorHAnsi"/>
          <w:sz w:val="18"/>
          <w:szCs w:val="18"/>
          <w:lang w:val="es-AR"/>
        </w:rPr>
        <w:t>.</w:t>
      </w:r>
    </w:p>
    <w:p w14:paraId="517DE872"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5DF1F151" w14:textId="7EB4C5FF" w:rsidR="001922E0" w:rsidRPr="00A5610B" w:rsidRDefault="00370B4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Partes:</w:t>
      </w:r>
      <w:r w:rsidRPr="00A5610B">
        <w:rPr>
          <w:rFonts w:asciiTheme="majorHAnsi" w:eastAsia="MS Mincho" w:hAnsiTheme="majorHAnsi"/>
          <w:sz w:val="18"/>
          <w:szCs w:val="18"/>
          <w:lang w:val="es-AR"/>
        </w:rPr>
        <w:t xml:space="preserve"> Estado de Colombia, familiares del señor Martin Emilio Zapata Álvarez y Héctor Gabriel Xapata Álvarez, así como sus representantes.</w:t>
      </w:r>
    </w:p>
    <w:p w14:paraId="036D71CF" w14:textId="664B372D" w:rsidR="00370B4A" w:rsidRPr="00A5610B" w:rsidRDefault="00370B4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Reconocimiento de responsabilidad:</w:t>
      </w:r>
      <w:r w:rsidRPr="00A5610B">
        <w:rPr>
          <w:rFonts w:asciiTheme="majorHAnsi" w:eastAsia="MS Mincho" w:hAnsiTheme="majorHAnsi"/>
          <w:sz w:val="18"/>
          <w:szCs w:val="18"/>
          <w:lang w:val="es-AR"/>
        </w:rPr>
        <w:t xml:space="preserve"> Aceptación por las acciones y omisiones atribuidos</w:t>
      </w:r>
      <w:r w:rsidR="001730EA" w:rsidRPr="00A5610B">
        <w:rPr>
          <w:rFonts w:asciiTheme="majorHAnsi" w:eastAsia="MS Mincho" w:hAnsiTheme="majorHAnsi"/>
          <w:sz w:val="18"/>
          <w:szCs w:val="18"/>
          <w:lang w:val="es-AR"/>
        </w:rPr>
        <w:t xml:space="preserve"> (sic)</w:t>
      </w:r>
      <w:r w:rsidRPr="00A5610B">
        <w:rPr>
          <w:rFonts w:asciiTheme="majorHAnsi" w:eastAsia="MS Mincho" w:hAnsiTheme="majorHAnsi"/>
          <w:sz w:val="18"/>
          <w:szCs w:val="18"/>
          <w:lang w:val="es-AR"/>
        </w:rPr>
        <w:t xml:space="preserve"> al Estado y que violan una o varias de sus obligaciones bajo el derecho internacional de los derechos humanos.</w:t>
      </w:r>
    </w:p>
    <w:p w14:paraId="6E90AA69"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57904AB2" w14:textId="3EE68205" w:rsidR="00370B4A" w:rsidRPr="00A5610B" w:rsidRDefault="00370B4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Reparación integral:</w:t>
      </w:r>
      <w:r w:rsidR="00AC3F72" w:rsidRPr="00A5610B">
        <w:rPr>
          <w:rFonts w:asciiTheme="majorHAnsi" w:eastAsia="MS Mincho" w:hAnsiTheme="majorHAnsi"/>
          <w:sz w:val="18"/>
          <w:szCs w:val="18"/>
          <w:lang w:val="es-AR"/>
        </w:rPr>
        <w:t xml:space="preserve"> Todas aquellas medidas que objetiva y simbólicamente restituyan a la víctima al estado anterior de la comisión del daño.</w:t>
      </w:r>
    </w:p>
    <w:p w14:paraId="2C16C7AB"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5C71AC84" w14:textId="00F6BA66" w:rsidR="00AC3F72" w:rsidRPr="00A5610B" w:rsidRDefault="00AC3F7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Representante de las víctimas:</w:t>
      </w:r>
      <w:r w:rsidRPr="00A5610B">
        <w:rPr>
          <w:rFonts w:asciiTheme="majorHAnsi" w:eastAsia="MS Mincho" w:hAnsiTheme="majorHAnsi"/>
          <w:sz w:val="18"/>
          <w:szCs w:val="18"/>
          <w:lang w:val="es-AR"/>
        </w:rPr>
        <w:t xml:space="preserve"> Firma Villegas Abogados Asociados, representada en este acto por Sandra Villegas Arévalo.</w:t>
      </w:r>
    </w:p>
    <w:p w14:paraId="14599547"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1F9C253E" w14:textId="4BC07D71" w:rsidR="00AC3F72" w:rsidRPr="00A5610B" w:rsidRDefault="00AC3F7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Solución Amistosa:</w:t>
      </w:r>
      <w:r w:rsidRPr="00A5610B">
        <w:rPr>
          <w:rFonts w:asciiTheme="majorHAnsi" w:eastAsia="MS Mincho" w:hAnsiTheme="majorHAnsi"/>
          <w:sz w:val="18"/>
          <w:szCs w:val="18"/>
          <w:lang w:val="es-AR"/>
        </w:rPr>
        <w:t xml:space="preserve"> Mecanismo alternativo de solución de conflictos, utilizado para el arreglo pacífico y consensuado ante la Comisión Interamericana.</w:t>
      </w:r>
    </w:p>
    <w:p w14:paraId="32992351"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7E35B987" w14:textId="37ECB2B1" w:rsidR="00AC3F72" w:rsidRPr="00A5610B" w:rsidRDefault="00AC3F7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r w:rsidRPr="00A5610B">
        <w:rPr>
          <w:rFonts w:asciiTheme="majorHAnsi" w:eastAsia="MS Mincho" w:hAnsiTheme="majorHAnsi"/>
          <w:b/>
          <w:bCs/>
          <w:sz w:val="18"/>
          <w:szCs w:val="18"/>
          <w:u w:val="single"/>
          <w:lang w:val="es-AR"/>
        </w:rPr>
        <w:t>Víctimas:</w:t>
      </w:r>
      <w:r w:rsidRPr="00A5610B">
        <w:rPr>
          <w:rFonts w:asciiTheme="majorHAnsi" w:eastAsia="MS Mincho" w:hAnsiTheme="majorHAnsi"/>
          <w:sz w:val="18"/>
          <w:szCs w:val="18"/>
          <w:lang w:val="es-AR"/>
        </w:rPr>
        <w:t xml:space="preserve"> Los familiares del señor Martin Emilio Zapata Álvarez y Héctor Gabriel Zapata Álvarez que se detallan en la tercera parte.</w:t>
      </w:r>
    </w:p>
    <w:p w14:paraId="0E900918" w14:textId="77777777" w:rsidR="0053123D" w:rsidRPr="00A5610B" w:rsidRDefault="0053123D"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18"/>
          <w:szCs w:val="18"/>
          <w:lang w:val="es-AR"/>
        </w:rPr>
      </w:pPr>
    </w:p>
    <w:p w14:paraId="01AB31E5" w14:textId="45DCCBB3" w:rsidR="006F6DAD" w:rsidRPr="00A5610B" w:rsidRDefault="00AC3F7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r w:rsidRPr="00A5610B">
        <w:rPr>
          <w:rFonts w:asciiTheme="majorHAnsi" w:eastAsia="MS Mincho" w:hAnsiTheme="majorHAnsi"/>
          <w:b/>
          <w:sz w:val="18"/>
          <w:szCs w:val="18"/>
          <w:lang w:val="es-AR"/>
        </w:rPr>
        <w:t>SEGUNDA PARTE: ANTECEDENTES</w:t>
      </w:r>
    </w:p>
    <w:p w14:paraId="1FA5CDC6" w14:textId="77777777" w:rsidR="009C5C94" w:rsidRPr="00A5610B" w:rsidRDefault="009C5C94"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18"/>
          <w:szCs w:val="18"/>
          <w:lang w:val="es-AR"/>
        </w:rPr>
      </w:pPr>
    </w:p>
    <w:p w14:paraId="772C0B1A" w14:textId="46B99A8F" w:rsidR="008A651A" w:rsidRPr="00A5610B" w:rsidRDefault="00AC3F72"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 xml:space="preserve">El 7 de noviembre de 2008, la Comisión Interamericana de Derechos Humanos recibió la denuncia internacional contra el Estado colombiano por la falta de reparación integral a la señora María Regina Ocampo Loaiza y su familia, </w:t>
      </w:r>
      <w:r w:rsidR="008A651A" w:rsidRPr="00A5610B">
        <w:rPr>
          <w:rFonts w:asciiTheme="majorHAnsi" w:eastAsia="MS Mincho" w:hAnsiTheme="majorHAnsi"/>
          <w:sz w:val="18"/>
          <w:szCs w:val="18"/>
          <w:lang w:val="es-AR"/>
        </w:rPr>
        <w:t>por la vulneración a los derechos de los señores Martín Emilio Zapata Álvarez y Héctor Gabriel Zapata Álvarez.</w:t>
      </w:r>
    </w:p>
    <w:p w14:paraId="596B4CAB" w14:textId="77777777" w:rsidR="0053123D" w:rsidRPr="00A5610B" w:rsidRDefault="0053123D" w:rsidP="0053123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93" w:right="720"/>
        <w:jc w:val="both"/>
        <w:rPr>
          <w:rFonts w:asciiTheme="majorHAnsi" w:eastAsia="MS Mincho" w:hAnsiTheme="majorHAnsi"/>
          <w:sz w:val="18"/>
          <w:szCs w:val="18"/>
          <w:lang w:val="es-AR"/>
        </w:rPr>
      </w:pPr>
    </w:p>
    <w:p w14:paraId="4A76CDD9" w14:textId="04692B78" w:rsidR="008A651A" w:rsidRPr="00A5610B" w:rsidRDefault="008A651A"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Los hechos del caso ocurrieron en la Cárcel Municipal de Granada – Antioquia, donde se encontraban privados de la libertad los señores Martín Emilio Zapata Álvarez y Héctor Gabriel Zapata Álvarez, quienes fueron sustraídos del establecimiento carcelario el 5 de diciembre de 1993, presuntamente por un grupo al margen de la ley</w:t>
      </w:r>
      <w:r w:rsidRPr="00A5610B">
        <w:rPr>
          <w:rStyle w:val="FootnoteReference"/>
          <w:rFonts w:asciiTheme="majorHAnsi" w:eastAsia="MS Mincho" w:hAnsiTheme="majorHAnsi"/>
          <w:sz w:val="18"/>
          <w:szCs w:val="18"/>
          <w:lang w:val="es-AR"/>
        </w:rPr>
        <w:footnoteReference w:id="6"/>
      </w:r>
      <w:r w:rsidR="006A6A22" w:rsidRPr="00A5610B">
        <w:rPr>
          <w:rFonts w:asciiTheme="majorHAnsi" w:eastAsia="MS Mincho" w:hAnsiTheme="majorHAnsi"/>
          <w:sz w:val="18"/>
          <w:szCs w:val="18"/>
          <w:lang w:val="es-AR"/>
        </w:rPr>
        <w:t>.</w:t>
      </w:r>
    </w:p>
    <w:p w14:paraId="51B54AEC" w14:textId="77777777" w:rsidR="0053123D" w:rsidRPr="00A5610B" w:rsidRDefault="0053123D" w:rsidP="0053123D">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18"/>
          <w:szCs w:val="18"/>
          <w:lang w:val="es-AR"/>
        </w:rPr>
      </w:pPr>
    </w:p>
    <w:p w14:paraId="4A06069F" w14:textId="3444394C" w:rsidR="006A6A22" w:rsidRPr="00A5610B" w:rsidRDefault="006A6A22"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El 8 de diciembre de 1993, en la vereda “El Choco” del municipio de Cocorná Antioquia se llevó a cabo el levantamiento de dos cuerpos que después fueron identificados como Martín Emilio Zapata Álvarez y Héctor Gabriel Zapata Álvarez</w:t>
      </w:r>
      <w:r w:rsidR="00B82E20" w:rsidRPr="00A5610B">
        <w:rPr>
          <w:rStyle w:val="FootnoteReference"/>
          <w:rFonts w:asciiTheme="majorHAnsi" w:eastAsia="MS Mincho" w:hAnsiTheme="majorHAnsi"/>
          <w:sz w:val="18"/>
          <w:szCs w:val="18"/>
          <w:lang w:val="es-AR"/>
        </w:rPr>
        <w:footnoteReference w:id="7"/>
      </w:r>
      <w:r w:rsidRPr="00A5610B">
        <w:rPr>
          <w:rFonts w:asciiTheme="majorHAnsi" w:eastAsia="MS Mincho" w:hAnsiTheme="majorHAnsi"/>
          <w:sz w:val="18"/>
          <w:szCs w:val="18"/>
          <w:lang w:val="es-AR"/>
        </w:rPr>
        <w:t>.</w:t>
      </w:r>
    </w:p>
    <w:p w14:paraId="3856E509" w14:textId="77777777" w:rsidR="0053123D" w:rsidRPr="00A5610B" w:rsidRDefault="0053123D" w:rsidP="0053123D">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18"/>
          <w:szCs w:val="18"/>
          <w:lang w:val="es-AR"/>
        </w:rPr>
      </w:pPr>
    </w:p>
    <w:p w14:paraId="1458E23B" w14:textId="09081AA9" w:rsidR="006A6A22" w:rsidRPr="00A5610B" w:rsidRDefault="006A6A22"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Por los hechos referidos, la Fiscalía General de la Nación inició de manera oficiosa la investigación pena</w:t>
      </w:r>
      <w:r w:rsidR="003D051D" w:rsidRPr="00A5610B">
        <w:rPr>
          <w:rFonts w:asciiTheme="majorHAnsi" w:eastAsia="MS Mincho" w:hAnsiTheme="majorHAnsi"/>
          <w:sz w:val="18"/>
          <w:szCs w:val="18"/>
          <w:lang w:val="es-AR"/>
        </w:rPr>
        <w:t>l</w:t>
      </w:r>
      <w:r w:rsidRPr="00A5610B">
        <w:rPr>
          <w:rStyle w:val="FootnoteReference"/>
          <w:rFonts w:asciiTheme="majorHAnsi" w:eastAsia="MS Mincho" w:hAnsiTheme="majorHAnsi"/>
          <w:sz w:val="18"/>
          <w:szCs w:val="18"/>
          <w:lang w:val="es-AR"/>
        </w:rPr>
        <w:footnoteReference w:id="8"/>
      </w:r>
      <w:r w:rsidR="00494217" w:rsidRPr="00A5610B">
        <w:rPr>
          <w:rFonts w:asciiTheme="majorHAnsi" w:eastAsia="MS Mincho" w:hAnsiTheme="majorHAnsi"/>
          <w:sz w:val="18"/>
          <w:szCs w:val="18"/>
          <w:lang w:val="es-AR"/>
        </w:rPr>
        <w:t>. Actualmente, el proceso se encuentra a cargo de la Fiscalía 73, adscrita a la Dirección de Apoyo a la Investigación y Análisis contra la Criminalidad Organizada y la Delegada para la Seguridad Ciudadana. El 24 de junio de 2022 el ente investigador formuló los cargos por el delito de “homicidio en persona protegida”, “secuestro simple y detención ilegal” y “privación del debido proceso” para dos postulados del Ejército de Liberación Nacional (ELN)</w:t>
      </w:r>
      <w:r w:rsidR="00494217" w:rsidRPr="00A5610B">
        <w:rPr>
          <w:rStyle w:val="FootnoteReference"/>
          <w:rFonts w:asciiTheme="majorHAnsi" w:eastAsia="MS Mincho" w:hAnsiTheme="majorHAnsi"/>
          <w:sz w:val="18"/>
          <w:szCs w:val="18"/>
          <w:lang w:val="es-AR"/>
        </w:rPr>
        <w:footnoteReference w:id="9"/>
      </w:r>
      <w:r w:rsidR="00C6153F" w:rsidRPr="00A5610B">
        <w:rPr>
          <w:rFonts w:asciiTheme="majorHAnsi" w:eastAsia="MS Mincho" w:hAnsiTheme="majorHAnsi"/>
          <w:sz w:val="18"/>
          <w:szCs w:val="18"/>
          <w:lang w:val="es-AR"/>
        </w:rPr>
        <w:t>.</w:t>
      </w:r>
    </w:p>
    <w:p w14:paraId="16F37C65" w14:textId="77777777" w:rsidR="0053123D" w:rsidRPr="00A5610B" w:rsidRDefault="0053123D" w:rsidP="0053123D">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18"/>
          <w:szCs w:val="18"/>
          <w:lang w:val="es-AR"/>
        </w:rPr>
      </w:pPr>
    </w:p>
    <w:p w14:paraId="586E4B73" w14:textId="70CAEB6B" w:rsidR="00C6153F" w:rsidRPr="00A5610B" w:rsidRDefault="00C6153F"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Por los mismo</w:t>
      </w:r>
      <w:r w:rsidR="00613041">
        <w:rPr>
          <w:rFonts w:asciiTheme="majorHAnsi" w:eastAsia="MS Mincho" w:hAnsiTheme="majorHAnsi"/>
          <w:sz w:val="18"/>
          <w:szCs w:val="18"/>
          <w:lang w:val="es-AR"/>
        </w:rPr>
        <w:t>s</w:t>
      </w:r>
      <w:r w:rsidRPr="00A5610B">
        <w:rPr>
          <w:rFonts w:asciiTheme="majorHAnsi" w:eastAsia="MS Mincho" w:hAnsiTheme="majorHAnsi"/>
          <w:sz w:val="18"/>
          <w:szCs w:val="18"/>
          <w:lang w:val="es-AR"/>
        </w:rPr>
        <w:t xml:space="preserve"> hechos, la Fiscalía 160 Seccional Antioquia adelanta una investigación por la retención de otras personas que fueron sustraídas junto a los señores Martín Emilio Zapata Álvarez y Héctor Gabriel Zapata Álvarez el </w:t>
      </w:r>
      <w:r w:rsidR="00B82E20" w:rsidRPr="00A5610B">
        <w:rPr>
          <w:rFonts w:asciiTheme="majorHAnsi" w:eastAsia="MS Mincho" w:hAnsiTheme="majorHAnsi"/>
          <w:sz w:val="18"/>
          <w:szCs w:val="18"/>
          <w:lang w:val="es-AR"/>
        </w:rPr>
        <w:t>5 de diciembre de 199</w:t>
      </w:r>
      <w:r w:rsidR="004604EA" w:rsidRPr="00A5610B">
        <w:rPr>
          <w:rFonts w:asciiTheme="majorHAnsi" w:eastAsia="MS Mincho" w:hAnsiTheme="majorHAnsi"/>
          <w:sz w:val="18"/>
          <w:szCs w:val="18"/>
          <w:lang w:val="es-AR"/>
        </w:rPr>
        <w:t>3</w:t>
      </w:r>
      <w:r w:rsidR="00B82E20" w:rsidRPr="00A5610B">
        <w:rPr>
          <w:rStyle w:val="FootnoteReference"/>
          <w:rFonts w:asciiTheme="majorHAnsi" w:eastAsia="MS Mincho" w:hAnsiTheme="majorHAnsi"/>
          <w:sz w:val="18"/>
          <w:szCs w:val="18"/>
          <w:lang w:val="es-AR"/>
        </w:rPr>
        <w:footnoteReference w:id="10"/>
      </w:r>
      <w:r w:rsidR="00B82E20" w:rsidRPr="00A5610B">
        <w:rPr>
          <w:rFonts w:asciiTheme="majorHAnsi" w:eastAsia="MS Mincho" w:hAnsiTheme="majorHAnsi"/>
          <w:sz w:val="18"/>
          <w:szCs w:val="18"/>
          <w:lang w:val="es-AR"/>
        </w:rPr>
        <w:t xml:space="preserve">. </w:t>
      </w:r>
      <w:r w:rsidR="00FC37C4" w:rsidRPr="00A5610B">
        <w:rPr>
          <w:rFonts w:asciiTheme="majorHAnsi" w:eastAsia="MS Mincho" w:hAnsiTheme="majorHAnsi"/>
          <w:sz w:val="18"/>
          <w:szCs w:val="18"/>
          <w:lang w:val="es-AR"/>
        </w:rPr>
        <w:t>Esta investigación se encuentra activa en etapa de instrucción, tendiente al esclarecimiento de los</w:t>
      </w:r>
      <w:r w:rsidR="008F7FD8" w:rsidRPr="00A5610B">
        <w:rPr>
          <w:rFonts w:asciiTheme="majorHAnsi" w:eastAsia="MS Mincho" w:hAnsiTheme="majorHAnsi"/>
          <w:sz w:val="18"/>
          <w:szCs w:val="18"/>
          <w:lang w:val="es-AR"/>
        </w:rPr>
        <w:t xml:space="preserve"> </w:t>
      </w:r>
      <w:r w:rsidR="00FC37C4" w:rsidRPr="00A5610B">
        <w:rPr>
          <w:rFonts w:asciiTheme="majorHAnsi" w:eastAsia="MS Mincho" w:hAnsiTheme="majorHAnsi"/>
          <w:sz w:val="18"/>
          <w:szCs w:val="18"/>
          <w:lang w:val="es-AR"/>
        </w:rPr>
        <w:t>hechos y la identificación de los autres y par</w:t>
      </w:r>
      <w:r w:rsidR="008F7FD8" w:rsidRPr="00A5610B">
        <w:rPr>
          <w:rFonts w:asciiTheme="majorHAnsi" w:eastAsia="MS Mincho" w:hAnsiTheme="majorHAnsi"/>
          <w:sz w:val="18"/>
          <w:szCs w:val="18"/>
          <w:lang w:val="es-AR"/>
        </w:rPr>
        <w:t>t</w:t>
      </w:r>
      <w:r w:rsidR="00FC37C4" w:rsidRPr="00A5610B">
        <w:rPr>
          <w:rFonts w:asciiTheme="majorHAnsi" w:eastAsia="MS Mincho" w:hAnsiTheme="majorHAnsi"/>
          <w:sz w:val="18"/>
          <w:szCs w:val="18"/>
          <w:lang w:val="es-AR"/>
        </w:rPr>
        <w:t>icipes del ilícito</w:t>
      </w:r>
      <w:r w:rsidR="00FC37C4" w:rsidRPr="00A5610B">
        <w:rPr>
          <w:rStyle w:val="FootnoteReference"/>
          <w:rFonts w:asciiTheme="majorHAnsi" w:eastAsia="MS Mincho" w:hAnsiTheme="majorHAnsi"/>
          <w:sz w:val="18"/>
          <w:szCs w:val="18"/>
          <w:lang w:val="es-AR"/>
        </w:rPr>
        <w:footnoteReference w:id="11"/>
      </w:r>
      <w:r w:rsidR="00054A10" w:rsidRPr="00A5610B">
        <w:rPr>
          <w:rFonts w:asciiTheme="majorHAnsi" w:eastAsia="MS Mincho" w:hAnsiTheme="majorHAnsi"/>
          <w:sz w:val="18"/>
          <w:szCs w:val="18"/>
          <w:lang w:val="es-AR"/>
        </w:rPr>
        <w:t>.</w:t>
      </w:r>
    </w:p>
    <w:p w14:paraId="0511EA96" w14:textId="77777777" w:rsidR="002546D6" w:rsidRPr="00A5610B" w:rsidRDefault="002546D6" w:rsidP="0053123D">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18"/>
          <w:szCs w:val="18"/>
          <w:lang w:val="es-AR"/>
        </w:rPr>
      </w:pPr>
    </w:p>
    <w:p w14:paraId="08F21095" w14:textId="74A6217C" w:rsidR="00054A10" w:rsidRPr="00A5610B" w:rsidRDefault="00054A10"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 xml:space="preserve">Mediante Informe No. 133/20 del 1 de junio de 2020, la Comisión Interamericana de Derechos Humanos, declaró la admisibilidad de la petición respecto a los derechos a la vida, integridad personal, garantías judiciales, igualdad ante la ley y protección judicial, reconocidos en los artóiculos </w:t>
      </w:r>
      <w:r w:rsidRPr="00A5610B">
        <w:rPr>
          <w:rFonts w:asciiTheme="majorHAnsi" w:eastAsia="MS Mincho" w:hAnsiTheme="majorHAnsi"/>
          <w:sz w:val="18"/>
          <w:szCs w:val="18"/>
          <w:lang w:val="es-AR"/>
        </w:rPr>
        <w:lastRenderedPageBreak/>
        <w:t>4, 5, 8, 24 y 25 de la Convención Americana sobre Derechos Humanos en concordancia con el artículo 1 del mismo instrumento.</w:t>
      </w:r>
    </w:p>
    <w:p w14:paraId="245F7840" w14:textId="77777777" w:rsidR="0053123D" w:rsidRPr="00A5610B" w:rsidRDefault="0053123D" w:rsidP="0053123D">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18"/>
          <w:szCs w:val="18"/>
          <w:lang w:val="es-AR"/>
        </w:rPr>
      </w:pPr>
    </w:p>
    <w:p w14:paraId="6724A20A" w14:textId="32514AA5" w:rsidR="00054A10" w:rsidRPr="00A5610B" w:rsidRDefault="00054A10" w:rsidP="005213E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18"/>
          <w:szCs w:val="18"/>
          <w:lang w:val="es-AR"/>
        </w:rPr>
      </w:pPr>
      <w:r w:rsidRPr="00A5610B">
        <w:rPr>
          <w:rFonts w:asciiTheme="majorHAnsi" w:eastAsia="MS Mincho" w:hAnsiTheme="majorHAnsi"/>
          <w:sz w:val="18"/>
          <w:szCs w:val="18"/>
          <w:lang w:val="es-AR"/>
        </w:rPr>
        <w:t>El 20 de diciembre de 2021, el Estado colombiano y la representante de las víctimas suscribieron un acta de entendimiento para la búsqueda de una solución amistosa, en la que se estableción un cronograma de trabajo con el fin de construir el presente acuerdo de solución amistosa.</w:t>
      </w:r>
    </w:p>
    <w:p w14:paraId="43863474" w14:textId="77777777" w:rsidR="008613B1" w:rsidRDefault="008613B1" w:rsidP="008613B1">
      <w:pPr>
        <w:pStyle w:val="ListParagraph"/>
        <w:rPr>
          <w:rFonts w:asciiTheme="majorHAnsi" w:eastAsia="MS Mincho" w:hAnsiTheme="majorHAnsi"/>
          <w:sz w:val="20"/>
          <w:szCs w:val="20"/>
          <w:lang w:val="es-AR"/>
        </w:rPr>
      </w:pPr>
    </w:p>
    <w:p w14:paraId="7A18FFD2" w14:textId="11327D8B" w:rsidR="006F6DAD" w:rsidRPr="0092488E" w:rsidRDefault="00054A10"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lang w:val="es-AR"/>
        </w:rPr>
      </w:pPr>
      <w:r w:rsidRPr="0092488E">
        <w:rPr>
          <w:rFonts w:asciiTheme="majorHAnsi" w:eastAsia="MS Mincho" w:hAnsiTheme="majorHAnsi"/>
          <w:b/>
          <w:sz w:val="20"/>
          <w:szCs w:val="20"/>
          <w:lang w:val="es-AR"/>
        </w:rPr>
        <w:t>TER</w:t>
      </w:r>
      <w:r w:rsidR="00BA094A" w:rsidRPr="0092488E">
        <w:rPr>
          <w:rFonts w:asciiTheme="majorHAnsi" w:eastAsia="MS Mincho" w:hAnsiTheme="majorHAnsi"/>
          <w:b/>
          <w:sz w:val="20"/>
          <w:szCs w:val="20"/>
          <w:lang w:val="es-AR"/>
        </w:rPr>
        <w:t>C</w:t>
      </w:r>
      <w:r w:rsidRPr="0092488E">
        <w:rPr>
          <w:rFonts w:asciiTheme="majorHAnsi" w:eastAsia="MS Mincho" w:hAnsiTheme="majorHAnsi"/>
          <w:b/>
          <w:sz w:val="20"/>
          <w:szCs w:val="20"/>
          <w:lang w:val="es-AR"/>
        </w:rPr>
        <w:t>ERA PARTE: BENEFICIARIOS Y BENEFICIARIAS</w:t>
      </w:r>
    </w:p>
    <w:p w14:paraId="18B64890" w14:textId="77777777" w:rsidR="00054A10" w:rsidRPr="0092488E" w:rsidRDefault="00054A10" w:rsidP="008613B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b/>
          <w:sz w:val="20"/>
          <w:szCs w:val="20"/>
          <w:lang w:val="es-AR"/>
        </w:rPr>
      </w:pPr>
    </w:p>
    <w:p w14:paraId="70CB572D" w14:textId="29ED7D19" w:rsidR="00267B76" w:rsidRPr="0092488E" w:rsidRDefault="006F6DAD" w:rsidP="008613B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92488E">
        <w:rPr>
          <w:rFonts w:asciiTheme="majorHAnsi" w:eastAsia="MS Mincho" w:hAnsiTheme="majorHAnsi"/>
          <w:sz w:val="20"/>
          <w:szCs w:val="20"/>
          <w:lang w:val="es-AR"/>
        </w:rPr>
        <w:t xml:space="preserve">El Estado </w:t>
      </w:r>
      <w:r w:rsidR="00FF78AA" w:rsidRPr="0092488E">
        <w:rPr>
          <w:rFonts w:asciiTheme="majorHAnsi" w:eastAsia="MS Mincho" w:hAnsiTheme="majorHAnsi"/>
          <w:sz w:val="20"/>
          <w:szCs w:val="20"/>
          <w:lang w:val="es-AR"/>
        </w:rPr>
        <w:t>colombiano reconoce como víctimas del presente acuerdo a las siguientes personas:</w:t>
      </w:r>
    </w:p>
    <w:p w14:paraId="16E4F82F" w14:textId="77777777" w:rsidR="008613B1" w:rsidRPr="0092488E"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rPr>
          <w:rFonts w:asciiTheme="majorHAnsi" w:eastAsia="MS Mincho" w:hAnsiTheme="majorHAnsi"/>
          <w:sz w:val="20"/>
          <w:szCs w:val="20"/>
          <w:lang w:val="es-AR"/>
        </w:rPr>
      </w:pPr>
    </w:p>
    <w:tbl>
      <w:tblPr>
        <w:tblStyle w:val="TableGrid"/>
        <w:tblW w:w="0" w:type="auto"/>
        <w:jc w:val="center"/>
        <w:tblLook w:val="04A0" w:firstRow="1" w:lastRow="0" w:firstColumn="1" w:lastColumn="0" w:noHBand="0" w:noVBand="1"/>
      </w:tblPr>
      <w:tblGrid>
        <w:gridCol w:w="2914"/>
        <w:gridCol w:w="2544"/>
        <w:gridCol w:w="1755"/>
      </w:tblGrid>
      <w:tr w:rsidR="00564051" w:rsidRPr="0092488E" w14:paraId="3A5FB04B" w14:textId="77777777" w:rsidTr="00564051">
        <w:trPr>
          <w:jc w:val="center"/>
        </w:trPr>
        <w:tc>
          <w:tcPr>
            <w:tcW w:w="7213" w:type="dxa"/>
            <w:gridSpan w:val="3"/>
            <w:shd w:val="clear" w:color="auto" w:fill="D9D9D9" w:themeFill="background1" w:themeFillShade="D9"/>
            <w:vAlign w:val="center"/>
          </w:tcPr>
          <w:p w14:paraId="46A17058"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FAMILIARES MARTIN EMILIO ZAPATA ÁLVAREZ</w:t>
            </w:r>
          </w:p>
        </w:tc>
      </w:tr>
      <w:tr w:rsidR="00564051" w:rsidRPr="0092488E" w14:paraId="0BD271D6" w14:textId="77777777" w:rsidTr="00564051">
        <w:trPr>
          <w:jc w:val="center"/>
        </w:trPr>
        <w:tc>
          <w:tcPr>
            <w:tcW w:w="2914" w:type="dxa"/>
            <w:shd w:val="clear" w:color="auto" w:fill="D9D9D9" w:themeFill="background1" w:themeFillShade="D9"/>
            <w:vAlign w:val="center"/>
          </w:tcPr>
          <w:p w14:paraId="03FAFC4D"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Nombre</w:t>
            </w:r>
          </w:p>
        </w:tc>
        <w:tc>
          <w:tcPr>
            <w:tcW w:w="2544" w:type="dxa"/>
            <w:shd w:val="clear" w:color="auto" w:fill="D9D9D9" w:themeFill="background1" w:themeFillShade="D9"/>
            <w:vAlign w:val="center"/>
          </w:tcPr>
          <w:p w14:paraId="4EADBB49"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Documento</w:t>
            </w:r>
          </w:p>
        </w:tc>
        <w:tc>
          <w:tcPr>
            <w:tcW w:w="1755" w:type="dxa"/>
            <w:shd w:val="clear" w:color="auto" w:fill="D9D9D9" w:themeFill="background1" w:themeFillShade="D9"/>
            <w:vAlign w:val="center"/>
          </w:tcPr>
          <w:p w14:paraId="79F6CAE3"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Parentesco</w:t>
            </w:r>
          </w:p>
        </w:tc>
      </w:tr>
      <w:tr w:rsidR="00564051" w:rsidRPr="0092488E" w14:paraId="7CE64748" w14:textId="77777777" w:rsidTr="00564051">
        <w:trPr>
          <w:jc w:val="center"/>
        </w:trPr>
        <w:tc>
          <w:tcPr>
            <w:tcW w:w="2914" w:type="dxa"/>
            <w:vAlign w:val="center"/>
          </w:tcPr>
          <w:p w14:paraId="2365CC87" w14:textId="77777777" w:rsidR="00564051" w:rsidRPr="0092488E" w:rsidRDefault="00564051" w:rsidP="00EA215A">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Lucila Morales Grajales</w:t>
            </w:r>
            <w:r w:rsidRPr="0092488E">
              <w:rPr>
                <w:rStyle w:val="FootnoteReference"/>
                <w:rFonts w:ascii="Cambria" w:eastAsia="Arial MT" w:hAnsi="Cambria" w:cs="Arial MT"/>
                <w:sz w:val="18"/>
                <w:szCs w:val="18"/>
              </w:rPr>
              <w:footnoteReference w:id="12"/>
            </w:r>
          </w:p>
        </w:tc>
        <w:tc>
          <w:tcPr>
            <w:tcW w:w="2544" w:type="dxa"/>
            <w:vAlign w:val="center"/>
          </w:tcPr>
          <w:p w14:paraId="136409D9" w14:textId="7DDF48BA" w:rsidR="00564051" w:rsidRPr="0092488E" w:rsidRDefault="000924F3" w:rsidP="000924F3">
            <w:pPr>
              <w:widowControl w:val="0"/>
              <w:tabs>
                <w:tab w:val="left" w:pos="1762"/>
              </w:tabs>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7FDA8326" w14:textId="77777777" w:rsidR="00564051" w:rsidRPr="0092488E" w:rsidRDefault="00564051"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Esposa</w:t>
            </w:r>
          </w:p>
        </w:tc>
      </w:tr>
      <w:tr w:rsidR="000924F3" w:rsidRPr="0092488E" w14:paraId="66C8C7BB" w14:textId="77777777" w:rsidTr="003517D8">
        <w:trPr>
          <w:jc w:val="center"/>
        </w:trPr>
        <w:tc>
          <w:tcPr>
            <w:tcW w:w="2914" w:type="dxa"/>
            <w:vAlign w:val="center"/>
          </w:tcPr>
          <w:p w14:paraId="29498660"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Yudys Faisury Zapata Morales</w:t>
            </w:r>
          </w:p>
        </w:tc>
        <w:tc>
          <w:tcPr>
            <w:tcW w:w="2544" w:type="dxa"/>
          </w:tcPr>
          <w:p w14:paraId="04B4D60A" w14:textId="5E033513" w:rsidR="000924F3" w:rsidRPr="0092488E" w:rsidRDefault="000924F3" w:rsidP="000924F3">
            <w:pPr>
              <w:widowControl w:val="0"/>
              <w:tabs>
                <w:tab w:val="left" w:pos="1762"/>
              </w:tabs>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2883E3D9"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Hija</w:t>
            </w:r>
          </w:p>
        </w:tc>
      </w:tr>
      <w:tr w:rsidR="000924F3" w:rsidRPr="0092488E" w14:paraId="32E679A3" w14:textId="77777777" w:rsidTr="003517D8">
        <w:trPr>
          <w:jc w:val="center"/>
        </w:trPr>
        <w:tc>
          <w:tcPr>
            <w:tcW w:w="2914" w:type="dxa"/>
            <w:vAlign w:val="center"/>
          </w:tcPr>
          <w:p w14:paraId="3FA35136"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Rodolfo Zapata Morales</w:t>
            </w:r>
          </w:p>
        </w:tc>
        <w:tc>
          <w:tcPr>
            <w:tcW w:w="2544" w:type="dxa"/>
          </w:tcPr>
          <w:p w14:paraId="776F5D41" w14:textId="3C17F40B"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06598240"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Hijo</w:t>
            </w:r>
          </w:p>
        </w:tc>
      </w:tr>
      <w:tr w:rsidR="000924F3" w:rsidRPr="0092488E" w14:paraId="7D30FDEF" w14:textId="77777777" w:rsidTr="003517D8">
        <w:trPr>
          <w:jc w:val="center"/>
        </w:trPr>
        <w:tc>
          <w:tcPr>
            <w:tcW w:w="2914" w:type="dxa"/>
            <w:vAlign w:val="center"/>
          </w:tcPr>
          <w:p w14:paraId="4ED53862"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Antonio José Zapata Correa</w:t>
            </w:r>
            <w:r w:rsidRPr="0092488E">
              <w:rPr>
                <w:rStyle w:val="FootnoteReference"/>
                <w:rFonts w:ascii="Cambria" w:eastAsia="Arial MT" w:hAnsi="Cambria" w:cs="Arial MT"/>
                <w:sz w:val="18"/>
                <w:szCs w:val="18"/>
              </w:rPr>
              <w:footnoteReference w:id="13"/>
            </w:r>
          </w:p>
        </w:tc>
        <w:tc>
          <w:tcPr>
            <w:tcW w:w="2544" w:type="dxa"/>
          </w:tcPr>
          <w:p w14:paraId="64E0DD18" w14:textId="7DFA112D"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218EC53A"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Padre</w:t>
            </w:r>
          </w:p>
        </w:tc>
      </w:tr>
      <w:tr w:rsidR="000924F3" w:rsidRPr="0092488E" w14:paraId="62832740" w14:textId="77777777" w:rsidTr="003517D8">
        <w:trPr>
          <w:jc w:val="center"/>
        </w:trPr>
        <w:tc>
          <w:tcPr>
            <w:tcW w:w="2914" w:type="dxa"/>
            <w:vAlign w:val="center"/>
          </w:tcPr>
          <w:p w14:paraId="5B8ABF0C"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Carmen Julia Álvarez Salazar</w:t>
            </w:r>
            <w:r w:rsidRPr="0092488E">
              <w:rPr>
                <w:rStyle w:val="FootnoteReference"/>
                <w:rFonts w:ascii="Cambria" w:eastAsia="Arial MT" w:hAnsi="Cambria" w:cs="Arial MT"/>
                <w:sz w:val="18"/>
                <w:szCs w:val="18"/>
              </w:rPr>
              <w:footnoteReference w:id="14"/>
            </w:r>
          </w:p>
        </w:tc>
        <w:tc>
          <w:tcPr>
            <w:tcW w:w="2544" w:type="dxa"/>
          </w:tcPr>
          <w:p w14:paraId="74D007B2" w14:textId="7D71DA9D"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BC43DC9"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Madre</w:t>
            </w:r>
          </w:p>
        </w:tc>
      </w:tr>
      <w:tr w:rsidR="000924F3" w:rsidRPr="0092488E" w14:paraId="7A0B5A13" w14:textId="77777777" w:rsidTr="003517D8">
        <w:trPr>
          <w:jc w:val="center"/>
        </w:trPr>
        <w:tc>
          <w:tcPr>
            <w:tcW w:w="2914" w:type="dxa"/>
            <w:vAlign w:val="center"/>
          </w:tcPr>
          <w:p w14:paraId="5C85BD5B"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Darío de Jesús Zapata Álvarez</w:t>
            </w:r>
          </w:p>
        </w:tc>
        <w:tc>
          <w:tcPr>
            <w:tcW w:w="2544" w:type="dxa"/>
          </w:tcPr>
          <w:p w14:paraId="11BE369C" w14:textId="13DCAF33"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4941BD63"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Hermano</w:t>
            </w:r>
          </w:p>
        </w:tc>
      </w:tr>
      <w:tr w:rsidR="000924F3" w:rsidRPr="0092488E" w14:paraId="0407680C" w14:textId="77777777" w:rsidTr="003517D8">
        <w:trPr>
          <w:jc w:val="center"/>
        </w:trPr>
        <w:tc>
          <w:tcPr>
            <w:tcW w:w="2914" w:type="dxa"/>
            <w:vAlign w:val="center"/>
          </w:tcPr>
          <w:p w14:paraId="208B8650" w14:textId="77777777" w:rsidR="000924F3" w:rsidRPr="0092488E" w:rsidRDefault="000924F3" w:rsidP="000924F3">
            <w:pPr>
              <w:widowControl w:val="0"/>
              <w:autoSpaceDE w:val="0"/>
              <w:autoSpaceDN w:val="0"/>
              <w:ind w:right="161"/>
              <w:jc w:val="both"/>
              <w:rPr>
                <w:rFonts w:ascii="Cambria" w:eastAsia="Arial MT" w:hAnsi="Cambria" w:cs="Arial MT"/>
                <w:sz w:val="18"/>
                <w:szCs w:val="18"/>
                <w:lang w:val="pt-PT"/>
              </w:rPr>
            </w:pPr>
            <w:r w:rsidRPr="0092488E">
              <w:rPr>
                <w:rFonts w:ascii="Cambria" w:eastAsia="Arial MT" w:hAnsi="Cambria" w:cs="Arial MT"/>
                <w:sz w:val="18"/>
                <w:szCs w:val="18"/>
                <w:lang w:val="pt-PT"/>
              </w:rPr>
              <w:t xml:space="preserve">Virginia de Jesús Zapata Álvarez </w:t>
            </w:r>
          </w:p>
        </w:tc>
        <w:tc>
          <w:tcPr>
            <w:tcW w:w="2544" w:type="dxa"/>
          </w:tcPr>
          <w:p w14:paraId="23AC64D6" w14:textId="1439FC3D"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27A51AF1"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2CF970B3" w14:textId="77777777" w:rsidTr="003517D8">
        <w:trPr>
          <w:jc w:val="center"/>
        </w:trPr>
        <w:tc>
          <w:tcPr>
            <w:tcW w:w="2914" w:type="dxa"/>
            <w:vAlign w:val="center"/>
          </w:tcPr>
          <w:p w14:paraId="2B2F3554"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Ana de Jesús Zapata Álvarez</w:t>
            </w:r>
          </w:p>
        </w:tc>
        <w:tc>
          <w:tcPr>
            <w:tcW w:w="2544" w:type="dxa"/>
          </w:tcPr>
          <w:p w14:paraId="4D1DAE5B" w14:textId="0F8E794B"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06B6C6E8"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40DF23D3" w14:textId="77777777" w:rsidTr="003517D8">
        <w:trPr>
          <w:jc w:val="center"/>
        </w:trPr>
        <w:tc>
          <w:tcPr>
            <w:tcW w:w="2914" w:type="dxa"/>
            <w:vAlign w:val="center"/>
          </w:tcPr>
          <w:p w14:paraId="78654244"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Diocelina Zapata Álvarez</w:t>
            </w:r>
          </w:p>
        </w:tc>
        <w:tc>
          <w:tcPr>
            <w:tcW w:w="2544" w:type="dxa"/>
          </w:tcPr>
          <w:p w14:paraId="5FAC103B" w14:textId="67CFF082"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6F78611"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3092C4D3" w14:textId="77777777" w:rsidTr="003517D8">
        <w:trPr>
          <w:jc w:val="center"/>
        </w:trPr>
        <w:tc>
          <w:tcPr>
            <w:tcW w:w="2914" w:type="dxa"/>
            <w:vAlign w:val="center"/>
          </w:tcPr>
          <w:p w14:paraId="4B6E33D6"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Hernán de Jesús Zapata Álvarez</w:t>
            </w:r>
            <w:r w:rsidRPr="0092488E">
              <w:rPr>
                <w:rStyle w:val="FootnoteReference"/>
                <w:rFonts w:ascii="Cambria" w:eastAsia="Arial MT" w:hAnsi="Cambria" w:cs="Arial MT"/>
                <w:sz w:val="18"/>
                <w:szCs w:val="18"/>
              </w:rPr>
              <w:footnoteReference w:id="15"/>
            </w:r>
          </w:p>
        </w:tc>
        <w:tc>
          <w:tcPr>
            <w:tcW w:w="2544" w:type="dxa"/>
          </w:tcPr>
          <w:p w14:paraId="5DC77EF1" w14:textId="2F4AA942"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495DDA76"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Hermano</w:t>
            </w:r>
          </w:p>
        </w:tc>
      </w:tr>
      <w:tr w:rsidR="00564051" w:rsidRPr="0092488E" w14:paraId="4A0D9D3A" w14:textId="77777777" w:rsidTr="00564051">
        <w:trPr>
          <w:jc w:val="center"/>
        </w:trPr>
        <w:tc>
          <w:tcPr>
            <w:tcW w:w="7213" w:type="dxa"/>
            <w:gridSpan w:val="3"/>
            <w:shd w:val="clear" w:color="auto" w:fill="D9D9D9" w:themeFill="background1" w:themeFillShade="D9"/>
            <w:vAlign w:val="center"/>
          </w:tcPr>
          <w:p w14:paraId="099591F8"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FAMILIARES HECTOR GABRIEL ZAPATA ÁLVAREZ</w:t>
            </w:r>
          </w:p>
        </w:tc>
      </w:tr>
      <w:tr w:rsidR="00564051" w:rsidRPr="0092488E" w14:paraId="45D4A8D9" w14:textId="77777777" w:rsidTr="00564051">
        <w:trPr>
          <w:jc w:val="center"/>
        </w:trPr>
        <w:tc>
          <w:tcPr>
            <w:tcW w:w="2914" w:type="dxa"/>
            <w:shd w:val="clear" w:color="auto" w:fill="D9D9D9" w:themeFill="background1" w:themeFillShade="D9"/>
            <w:vAlign w:val="center"/>
          </w:tcPr>
          <w:p w14:paraId="07559483"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Nombre</w:t>
            </w:r>
          </w:p>
        </w:tc>
        <w:tc>
          <w:tcPr>
            <w:tcW w:w="2544" w:type="dxa"/>
            <w:shd w:val="clear" w:color="auto" w:fill="D9D9D9" w:themeFill="background1" w:themeFillShade="D9"/>
            <w:vAlign w:val="center"/>
          </w:tcPr>
          <w:p w14:paraId="792F2247"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Documento</w:t>
            </w:r>
          </w:p>
        </w:tc>
        <w:tc>
          <w:tcPr>
            <w:tcW w:w="1755" w:type="dxa"/>
            <w:shd w:val="clear" w:color="auto" w:fill="D9D9D9" w:themeFill="background1" w:themeFillShade="D9"/>
            <w:vAlign w:val="center"/>
          </w:tcPr>
          <w:p w14:paraId="204302F1" w14:textId="77777777" w:rsidR="00564051" w:rsidRPr="0092488E" w:rsidRDefault="00564051" w:rsidP="00EA215A">
            <w:pPr>
              <w:widowControl w:val="0"/>
              <w:autoSpaceDE w:val="0"/>
              <w:autoSpaceDN w:val="0"/>
              <w:ind w:right="161"/>
              <w:jc w:val="center"/>
              <w:rPr>
                <w:rFonts w:ascii="Cambria" w:eastAsia="Arial MT" w:hAnsi="Cambria" w:cs="Arial MT"/>
                <w:b/>
                <w:bCs/>
                <w:sz w:val="18"/>
                <w:szCs w:val="18"/>
              </w:rPr>
            </w:pPr>
            <w:r w:rsidRPr="0092488E">
              <w:rPr>
                <w:rFonts w:ascii="Cambria" w:eastAsia="Arial MT" w:hAnsi="Cambria" w:cs="Arial MT"/>
                <w:b/>
                <w:bCs/>
                <w:sz w:val="18"/>
                <w:szCs w:val="18"/>
              </w:rPr>
              <w:t>Parentesco</w:t>
            </w:r>
          </w:p>
        </w:tc>
      </w:tr>
      <w:tr w:rsidR="000924F3" w:rsidRPr="0092488E" w14:paraId="01387547" w14:textId="77777777" w:rsidTr="00BC6C7F">
        <w:trPr>
          <w:jc w:val="center"/>
        </w:trPr>
        <w:tc>
          <w:tcPr>
            <w:tcW w:w="2914" w:type="dxa"/>
            <w:vAlign w:val="center"/>
          </w:tcPr>
          <w:p w14:paraId="0A5E69B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Regina Ocampo Loaiza</w:t>
            </w:r>
          </w:p>
        </w:tc>
        <w:tc>
          <w:tcPr>
            <w:tcW w:w="2544" w:type="dxa"/>
          </w:tcPr>
          <w:p w14:paraId="630B80DA" w14:textId="58CBF4F8"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4B5B1B70"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Compañera permanente</w:t>
            </w:r>
          </w:p>
        </w:tc>
      </w:tr>
      <w:tr w:rsidR="000924F3" w:rsidRPr="0092488E" w14:paraId="3E9DEB51" w14:textId="77777777" w:rsidTr="00BC6C7F">
        <w:trPr>
          <w:jc w:val="center"/>
        </w:trPr>
        <w:tc>
          <w:tcPr>
            <w:tcW w:w="2914" w:type="dxa"/>
            <w:vAlign w:val="center"/>
          </w:tcPr>
          <w:p w14:paraId="6DF7D33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Fabiola Morales Grajales</w:t>
            </w:r>
          </w:p>
        </w:tc>
        <w:tc>
          <w:tcPr>
            <w:tcW w:w="2544" w:type="dxa"/>
          </w:tcPr>
          <w:p w14:paraId="57700967" w14:textId="2381AB62"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0025A0FE"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Esposa</w:t>
            </w:r>
          </w:p>
        </w:tc>
      </w:tr>
      <w:tr w:rsidR="000924F3" w:rsidRPr="0092488E" w14:paraId="7021E1B9" w14:textId="77777777" w:rsidTr="00BC6C7F">
        <w:trPr>
          <w:jc w:val="center"/>
        </w:trPr>
        <w:tc>
          <w:tcPr>
            <w:tcW w:w="2914" w:type="dxa"/>
            <w:vAlign w:val="center"/>
          </w:tcPr>
          <w:p w14:paraId="4B59615C"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Leidy Yohanna Zapata Ocampo</w:t>
            </w:r>
          </w:p>
        </w:tc>
        <w:tc>
          <w:tcPr>
            <w:tcW w:w="2544" w:type="dxa"/>
          </w:tcPr>
          <w:p w14:paraId="3EF8F3F8" w14:textId="4098878C"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FB439FF"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Hija</w:t>
            </w:r>
          </w:p>
        </w:tc>
      </w:tr>
      <w:tr w:rsidR="000924F3" w:rsidRPr="0092488E" w14:paraId="4FBE3173" w14:textId="77777777" w:rsidTr="00BC6C7F">
        <w:trPr>
          <w:jc w:val="center"/>
        </w:trPr>
        <w:tc>
          <w:tcPr>
            <w:tcW w:w="2914" w:type="dxa"/>
            <w:vAlign w:val="center"/>
          </w:tcPr>
          <w:p w14:paraId="5EDD5A3C"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Héctor Ricardo Zapata Ocampo</w:t>
            </w:r>
          </w:p>
        </w:tc>
        <w:tc>
          <w:tcPr>
            <w:tcW w:w="2544" w:type="dxa"/>
          </w:tcPr>
          <w:p w14:paraId="6CDB9C84" w14:textId="3694E17F"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4010634C"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Hijo</w:t>
            </w:r>
          </w:p>
        </w:tc>
      </w:tr>
      <w:tr w:rsidR="000924F3" w:rsidRPr="0092488E" w14:paraId="4875BED3" w14:textId="77777777" w:rsidTr="00BC6C7F">
        <w:trPr>
          <w:jc w:val="center"/>
        </w:trPr>
        <w:tc>
          <w:tcPr>
            <w:tcW w:w="2914" w:type="dxa"/>
            <w:vAlign w:val="center"/>
          </w:tcPr>
          <w:p w14:paraId="4E7BF69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Norelia Zapata Morales</w:t>
            </w:r>
          </w:p>
        </w:tc>
        <w:tc>
          <w:tcPr>
            <w:tcW w:w="2544" w:type="dxa"/>
          </w:tcPr>
          <w:p w14:paraId="04B1168B" w14:textId="089BA499"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18BA91BD"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Hija</w:t>
            </w:r>
          </w:p>
        </w:tc>
      </w:tr>
      <w:tr w:rsidR="000924F3" w:rsidRPr="0092488E" w14:paraId="6B61E0D5" w14:textId="77777777" w:rsidTr="00BC6C7F">
        <w:trPr>
          <w:jc w:val="center"/>
        </w:trPr>
        <w:tc>
          <w:tcPr>
            <w:tcW w:w="2914" w:type="dxa"/>
            <w:vAlign w:val="center"/>
          </w:tcPr>
          <w:p w14:paraId="68268336"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Nora Zapata Morales</w:t>
            </w:r>
          </w:p>
        </w:tc>
        <w:tc>
          <w:tcPr>
            <w:tcW w:w="2544" w:type="dxa"/>
          </w:tcPr>
          <w:p w14:paraId="2884914D" w14:textId="560644CB"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00C6F2EB"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Hija</w:t>
            </w:r>
          </w:p>
        </w:tc>
      </w:tr>
      <w:tr w:rsidR="000924F3" w:rsidRPr="0092488E" w14:paraId="0258B110" w14:textId="77777777" w:rsidTr="00BC6C7F">
        <w:trPr>
          <w:jc w:val="center"/>
        </w:trPr>
        <w:tc>
          <w:tcPr>
            <w:tcW w:w="2914" w:type="dxa"/>
            <w:vAlign w:val="center"/>
          </w:tcPr>
          <w:p w14:paraId="24FB45D1"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Luz Arelly Zapata Morales</w:t>
            </w:r>
          </w:p>
        </w:tc>
        <w:tc>
          <w:tcPr>
            <w:tcW w:w="2544" w:type="dxa"/>
          </w:tcPr>
          <w:p w14:paraId="56B21A4C" w14:textId="4989F6F6"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09A7B85E"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Hija</w:t>
            </w:r>
          </w:p>
        </w:tc>
      </w:tr>
      <w:tr w:rsidR="000924F3" w:rsidRPr="0092488E" w14:paraId="109768A3" w14:textId="77777777" w:rsidTr="00BC6C7F">
        <w:trPr>
          <w:jc w:val="center"/>
        </w:trPr>
        <w:tc>
          <w:tcPr>
            <w:tcW w:w="2914" w:type="dxa"/>
            <w:vAlign w:val="center"/>
          </w:tcPr>
          <w:p w14:paraId="1F8D6E28"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Germán de Jesús Zapata Morales</w:t>
            </w:r>
            <w:r w:rsidRPr="0092488E">
              <w:rPr>
                <w:rStyle w:val="FootnoteReference"/>
                <w:rFonts w:ascii="Cambria" w:eastAsia="Arial MT" w:hAnsi="Cambria" w:cs="Arial MT"/>
                <w:sz w:val="18"/>
                <w:szCs w:val="18"/>
              </w:rPr>
              <w:footnoteReference w:id="16"/>
            </w:r>
            <w:r w:rsidRPr="0092488E">
              <w:rPr>
                <w:rFonts w:ascii="Cambria" w:eastAsia="Arial MT" w:hAnsi="Cambria" w:cs="Arial MT"/>
                <w:sz w:val="18"/>
                <w:szCs w:val="18"/>
              </w:rPr>
              <w:t xml:space="preserve"> </w:t>
            </w:r>
          </w:p>
        </w:tc>
        <w:tc>
          <w:tcPr>
            <w:tcW w:w="2544" w:type="dxa"/>
          </w:tcPr>
          <w:p w14:paraId="0FC7C8FB" w14:textId="4CD425B1"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7E76047F"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Hijo</w:t>
            </w:r>
          </w:p>
        </w:tc>
      </w:tr>
      <w:tr w:rsidR="000924F3" w:rsidRPr="0092488E" w14:paraId="2E2A90AE" w14:textId="77777777" w:rsidTr="00BC6C7F">
        <w:trPr>
          <w:jc w:val="center"/>
        </w:trPr>
        <w:tc>
          <w:tcPr>
            <w:tcW w:w="2914" w:type="dxa"/>
            <w:vAlign w:val="center"/>
          </w:tcPr>
          <w:p w14:paraId="1B95E94B"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Alexander de Jesús Zapata Morales</w:t>
            </w:r>
            <w:r w:rsidRPr="0092488E">
              <w:rPr>
                <w:rStyle w:val="FootnoteReference"/>
                <w:rFonts w:ascii="Cambria" w:eastAsia="Arial MT" w:hAnsi="Cambria" w:cs="Arial MT"/>
                <w:sz w:val="18"/>
                <w:szCs w:val="18"/>
              </w:rPr>
              <w:footnoteReference w:id="17"/>
            </w:r>
          </w:p>
        </w:tc>
        <w:tc>
          <w:tcPr>
            <w:tcW w:w="2544" w:type="dxa"/>
          </w:tcPr>
          <w:p w14:paraId="61239EF0" w14:textId="01B6C77A"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2E953BF9"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Hijo</w:t>
            </w:r>
          </w:p>
        </w:tc>
      </w:tr>
      <w:tr w:rsidR="000924F3" w:rsidRPr="0092488E" w14:paraId="6A084A4F" w14:textId="77777777" w:rsidTr="00BC6C7F">
        <w:trPr>
          <w:jc w:val="center"/>
        </w:trPr>
        <w:tc>
          <w:tcPr>
            <w:tcW w:w="2914" w:type="dxa"/>
            <w:vAlign w:val="center"/>
          </w:tcPr>
          <w:p w14:paraId="31FD3928"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Antonio José Zapata Correa</w:t>
            </w:r>
            <w:r w:rsidRPr="0092488E">
              <w:rPr>
                <w:rStyle w:val="FootnoteReference"/>
                <w:rFonts w:ascii="Cambria" w:eastAsia="Arial MT" w:hAnsi="Cambria" w:cs="Arial MT"/>
                <w:sz w:val="18"/>
                <w:szCs w:val="18"/>
              </w:rPr>
              <w:footnoteReference w:id="18"/>
            </w:r>
          </w:p>
        </w:tc>
        <w:tc>
          <w:tcPr>
            <w:tcW w:w="2544" w:type="dxa"/>
          </w:tcPr>
          <w:p w14:paraId="5A86741E" w14:textId="5C0F546E"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732192C3"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Padre</w:t>
            </w:r>
          </w:p>
        </w:tc>
      </w:tr>
      <w:tr w:rsidR="000924F3" w:rsidRPr="0092488E" w14:paraId="75DE1278" w14:textId="77777777" w:rsidTr="00BC6C7F">
        <w:trPr>
          <w:jc w:val="center"/>
        </w:trPr>
        <w:tc>
          <w:tcPr>
            <w:tcW w:w="2914" w:type="dxa"/>
            <w:vAlign w:val="center"/>
          </w:tcPr>
          <w:p w14:paraId="5B17A21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Carmen Julia Álvarez Salazar</w:t>
            </w:r>
            <w:r w:rsidRPr="0092488E">
              <w:rPr>
                <w:rStyle w:val="FootnoteReference"/>
                <w:rFonts w:ascii="Cambria" w:eastAsia="Arial MT" w:hAnsi="Cambria" w:cs="Arial MT"/>
                <w:sz w:val="18"/>
                <w:szCs w:val="18"/>
              </w:rPr>
              <w:footnoteReference w:id="19"/>
            </w:r>
          </w:p>
        </w:tc>
        <w:tc>
          <w:tcPr>
            <w:tcW w:w="2544" w:type="dxa"/>
          </w:tcPr>
          <w:p w14:paraId="34B36EE8" w14:textId="5326FA3F"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2B2867B"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Madre</w:t>
            </w:r>
          </w:p>
        </w:tc>
      </w:tr>
      <w:tr w:rsidR="000924F3" w:rsidRPr="0092488E" w14:paraId="631AB2C5" w14:textId="77777777" w:rsidTr="00BC6C7F">
        <w:trPr>
          <w:jc w:val="center"/>
        </w:trPr>
        <w:tc>
          <w:tcPr>
            <w:tcW w:w="2914" w:type="dxa"/>
            <w:vAlign w:val="center"/>
          </w:tcPr>
          <w:p w14:paraId="6377741C"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Darío de Jesús Zapata Álvarez</w:t>
            </w:r>
          </w:p>
        </w:tc>
        <w:tc>
          <w:tcPr>
            <w:tcW w:w="2544" w:type="dxa"/>
          </w:tcPr>
          <w:p w14:paraId="78AE5360" w14:textId="195B1E27"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52C177B8"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Hermano</w:t>
            </w:r>
          </w:p>
        </w:tc>
      </w:tr>
      <w:tr w:rsidR="000924F3" w:rsidRPr="0092488E" w14:paraId="4CEB202E" w14:textId="77777777" w:rsidTr="00BC6C7F">
        <w:trPr>
          <w:jc w:val="center"/>
        </w:trPr>
        <w:tc>
          <w:tcPr>
            <w:tcW w:w="2914" w:type="dxa"/>
            <w:vAlign w:val="center"/>
          </w:tcPr>
          <w:p w14:paraId="1249231C" w14:textId="77777777" w:rsidR="000924F3" w:rsidRPr="0092488E" w:rsidRDefault="000924F3" w:rsidP="000924F3">
            <w:pPr>
              <w:widowControl w:val="0"/>
              <w:autoSpaceDE w:val="0"/>
              <w:autoSpaceDN w:val="0"/>
              <w:ind w:right="161"/>
              <w:jc w:val="both"/>
              <w:rPr>
                <w:rFonts w:ascii="Cambria" w:eastAsia="Arial MT" w:hAnsi="Cambria" w:cs="Arial MT"/>
                <w:sz w:val="18"/>
                <w:szCs w:val="18"/>
                <w:lang w:val="pt-PT"/>
              </w:rPr>
            </w:pPr>
            <w:r w:rsidRPr="0092488E">
              <w:rPr>
                <w:rFonts w:ascii="Cambria" w:eastAsia="Arial MT" w:hAnsi="Cambria" w:cs="Arial MT"/>
                <w:sz w:val="18"/>
                <w:szCs w:val="18"/>
                <w:lang w:val="pt-PT"/>
              </w:rPr>
              <w:t>Virginia de Jesús Zapata Álvarez</w:t>
            </w:r>
          </w:p>
        </w:tc>
        <w:tc>
          <w:tcPr>
            <w:tcW w:w="2544" w:type="dxa"/>
          </w:tcPr>
          <w:p w14:paraId="1AD4A019" w14:textId="57A07AC9"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A0E9806"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51D89B6E" w14:textId="77777777" w:rsidTr="00BC6C7F">
        <w:trPr>
          <w:jc w:val="center"/>
        </w:trPr>
        <w:tc>
          <w:tcPr>
            <w:tcW w:w="2914" w:type="dxa"/>
            <w:vAlign w:val="center"/>
          </w:tcPr>
          <w:p w14:paraId="733E642B"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 xml:space="preserve">Ana de Jesús Zapata Álvarez </w:t>
            </w:r>
          </w:p>
        </w:tc>
        <w:tc>
          <w:tcPr>
            <w:tcW w:w="2544" w:type="dxa"/>
          </w:tcPr>
          <w:p w14:paraId="3B95AF32" w14:textId="429348D6"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786EE874"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2EBF1DDB" w14:textId="77777777" w:rsidTr="00BC6C7F">
        <w:trPr>
          <w:trHeight w:val="86"/>
          <w:jc w:val="center"/>
        </w:trPr>
        <w:tc>
          <w:tcPr>
            <w:tcW w:w="2914" w:type="dxa"/>
            <w:vAlign w:val="center"/>
          </w:tcPr>
          <w:p w14:paraId="7DCFBD5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María Diocelina Zapata Álvarez</w:t>
            </w:r>
          </w:p>
        </w:tc>
        <w:tc>
          <w:tcPr>
            <w:tcW w:w="2544" w:type="dxa"/>
          </w:tcPr>
          <w:p w14:paraId="25A0F3BA" w14:textId="275E0F16"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2AB2F71F" w14:textId="77777777" w:rsidR="000924F3" w:rsidRPr="0092488E" w:rsidRDefault="000924F3" w:rsidP="000924F3">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Hermana</w:t>
            </w:r>
          </w:p>
        </w:tc>
      </w:tr>
      <w:tr w:rsidR="000924F3" w:rsidRPr="0092488E" w14:paraId="383609D0" w14:textId="77777777" w:rsidTr="00BC6C7F">
        <w:trPr>
          <w:jc w:val="center"/>
        </w:trPr>
        <w:tc>
          <w:tcPr>
            <w:tcW w:w="2914" w:type="dxa"/>
            <w:vAlign w:val="center"/>
          </w:tcPr>
          <w:p w14:paraId="74E919DF" w14:textId="77777777" w:rsidR="000924F3" w:rsidRPr="0092488E" w:rsidRDefault="000924F3" w:rsidP="000924F3">
            <w:pPr>
              <w:widowControl w:val="0"/>
              <w:autoSpaceDE w:val="0"/>
              <w:autoSpaceDN w:val="0"/>
              <w:ind w:right="161"/>
              <w:jc w:val="both"/>
              <w:rPr>
                <w:rFonts w:ascii="Cambria" w:eastAsia="Arial MT" w:hAnsi="Cambria" w:cs="Arial MT"/>
                <w:sz w:val="18"/>
                <w:szCs w:val="18"/>
              </w:rPr>
            </w:pPr>
            <w:r w:rsidRPr="0092488E">
              <w:rPr>
                <w:rFonts w:ascii="Cambria" w:eastAsia="Arial MT" w:hAnsi="Cambria" w:cs="Arial MT"/>
                <w:sz w:val="18"/>
                <w:szCs w:val="18"/>
              </w:rPr>
              <w:t>Hernán de Jesús Zapata Álvarez</w:t>
            </w:r>
            <w:r w:rsidRPr="0092488E">
              <w:rPr>
                <w:rStyle w:val="FootnoteReference"/>
                <w:rFonts w:ascii="Cambria" w:eastAsia="Arial MT" w:hAnsi="Cambria" w:cs="Arial MT"/>
                <w:sz w:val="18"/>
                <w:szCs w:val="18"/>
              </w:rPr>
              <w:footnoteReference w:id="20"/>
            </w:r>
          </w:p>
        </w:tc>
        <w:tc>
          <w:tcPr>
            <w:tcW w:w="2544" w:type="dxa"/>
          </w:tcPr>
          <w:p w14:paraId="2D926C82" w14:textId="5E75948F" w:rsidR="000924F3" w:rsidRPr="0092488E" w:rsidRDefault="000924F3" w:rsidP="000924F3">
            <w:pPr>
              <w:widowControl w:val="0"/>
              <w:autoSpaceDE w:val="0"/>
              <w:autoSpaceDN w:val="0"/>
              <w:ind w:right="161"/>
              <w:jc w:val="center"/>
              <w:rPr>
                <w:rFonts w:ascii="Cambria" w:eastAsia="Arial MT" w:hAnsi="Cambria" w:cs="Arial MT"/>
                <w:sz w:val="18"/>
                <w:szCs w:val="18"/>
              </w:rPr>
            </w:pPr>
            <w:r w:rsidRPr="0092488E">
              <w:rPr>
                <w:rFonts w:ascii="Cambria" w:eastAsia="Arial MT" w:hAnsi="Cambria" w:cs="Arial MT"/>
                <w:sz w:val="18"/>
                <w:szCs w:val="18"/>
              </w:rPr>
              <w:t>[…]</w:t>
            </w:r>
          </w:p>
        </w:tc>
        <w:tc>
          <w:tcPr>
            <w:tcW w:w="1755" w:type="dxa"/>
            <w:vAlign w:val="center"/>
          </w:tcPr>
          <w:p w14:paraId="655991AA" w14:textId="77777777" w:rsidR="000924F3" w:rsidRPr="0092488E" w:rsidRDefault="000924F3" w:rsidP="00056E3B">
            <w:pPr>
              <w:widowControl w:val="0"/>
              <w:autoSpaceDE w:val="0"/>
              <w:autoSpaceDN w:val="0"/>
              <w:ind w:right="-65"/>
              <w:jc w:val="center"/>
              <w:rPr>
                <w:rFonts w:ascii="Cambria" w:eastAsia="Arial MT" w:hAnsi="Cambria" w:cs="Arial MT"/>
                <w:sz w:val="18"/>
                <w:szCs w:val="18"/>
              </w:rPr>
            </w:pPr>
            <w:r w:rsidRPr="0092488E">
              <w:rPr>
                <w:rFonts w:ascii="Cambria" w:eastAsia="Arial MT" w:hAnsi="Cambria" w:cs="Arial MT"/>
                <w:sz w:val="18"/>
                <w:szCs w:val="18"/>
              </w:rPr>
              <w:t>Hermano</w:t>
            </w:r>
          </w:p>
        </w:tc>
      </w:tr>
    </w:tbl>
    <w:p w14:paraId="777B4126" w14:textId="77777777" w:rsidR="00BF5866" w:rsidRPr="0092488E" w:rsidRDefault="00BF5866" w:rsidP="000907C1">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Theme="majorHAnsi" w:eastAsia="MS Mincho" w:hAnsiTheme="majorHAnsi"/>
          <w:sz w:val="20"/>
          <w:szCs w:val="20"/>
          <w:lang w:val="es-AR"/>
        </w:rPr>
      </w:pPr>
    </w:p>
    <w:p w14:paraId="31D7089A" w14:textId="2D286296" w:rsidR="0047449A" w:rsidRPr="0092488E" w:rsidRDefault="0047449A" w:rsidP="0047449A">
      <w:pPr>
        <w:ind w:left="720" w:right="720"/>
        <w:jc w:val="both"/>
        <w:rPr>
          <w:rFonts w:ascii="Cambria" w:hAnsi="Cambria"/>
          <w:sz w:val="18"/>
          <w:szCs w:val="18"/>
          <w:lang w:val="es-CO"/>
        </w:rPr>
      </w:pPr>
      <w:r w:rsidRPr="0092488E">
        <w:rPr>
          <w:rFonts w:ascii="Cambria" w:hAnsi="Cambria"/>
          <w:b/>
          <w:bCs/>
          <w:sz w:val="18"/>
          <w:szCs w:val="18"/>
          <w:lang w:val="es-CO"/>
        </w:rPr>
        <w:lastRenderedPageBreak/>
        <w:t xml:space="preserve">PARÁGRAFO PRIMERO: </w:t>
      </w:r>
      <w:r w:rsidR="00F0299A" w:rsidRPr="0092488E">
        <w:rPr>
          <w:rFonts w:ascii="Cambria" w:hAnsi="Cambria"/>
          <w:sz w:val="18"/>
          <w:szCs w:val="18"/>
          <w:lang w:val="es-CO"/>
        </w:rPr>
        <w:t>l</w:t>
      </w:r>
      <w:r w:rsidRPr="0092488E">
        <w:rPr>
          <w:rFonts w:ascii="Cambria" w:hAnsi="Cambria"/>
          <w:sz w:val="18"/>
          <w:szCs w:val="18"/>
          <w:lang w:val="es-CO"/>
        </w:rPr>
        <w:t xml:space="preserve">a </w:t>
      </w:r>
      <w:r w:rsidR="00A5610B" w:rsidRPr="0092488E">
        <w:rPr>
          <w:rFonts w:ascii="Cambria" w:hAnsi="Cambria"/>
          <w:sz w:val="18"/>
          <w:szCs w:val="18"/>
          <w:lang w:val="es-CO"/>
        </w:rPr>
        <w:t>p</w:t>
      </w:r>
      <w:r w:rsidRPr="0092488E">
        <w:rPr>
          <w:rFonts w:ascii="Cambria" w:hAnsi="Cambria"/>
          <w:sz w:val="18"/>
          <w:szCs w:val="18"/>
          <w:lang w:val="es-CO"/>
        </w:rPr>
        <w:t>eticionaria declara con la firma del presente Acuerdo de Solución Amistosa que las personas enunciadas anteriormente corresponden a la totalidad de los familiares de los señores Martín Emilio Zapata Álvarez y/o Héctor Gabriel Zapata Álvarez, legitimados en la causa e interesados</w:t>
      </w:r>
      <w:r w:rsidRPr="0047449A">
        <w:rPr>
          <w:rFonts w:ascii="Cambria" w:hAnsi="Cambria"/>
          <w:sz w:val="18"/>
          <w:szCs w:val="18"/>
          <w:lang w:val="es-CO"/>
        </w:rPr>
        <w:t xml:space="preserve"> </w:t>
      </w:r>
      <w:r w:rsidRPr="0092488E">
        <w:rPr>
          <w:rFonts w:ascii="Cambria" w:hAnsi="Cambria"/>
          <w:sz w:val="18"/>
          <w:szCs w:val="18"/>
          <w:lang w:val="es-CO"/>
        </w:rPr>
        <w:t>en adelantar este proceso y que los mismos estaban vivos para el momento de la ocurrencia de los hechos</w:t>
      </w:r>
      <w:r w:rsidRPr="0092488E">
        <w:rPr>
          <w:rFonts w:ascii="Cambria" w:hAnsi="Cambria"/>
          <w:sz w:val="18"/>
          <w:szCs w:val="18"/>
          <w:vertAlign w:val="superscript"/>
        </w:rPr>
        <w:footnoteReference w:id="21"/>
      </w:r>
      <w:r w:rsidRPr="0092488E">
        <w:rPr>
          <w:rFonts w:ascii="Cambria" w:hAnsi="Cambria"/>
          <w:sz w:val="18"/>
          <w:szCs w:val="18"/>
          <w:lang w:val="es-CO"/>
        </w:rPr>
        <w:t>.</w:t>
      </w:r>
    </w:p>
    <w:p w14:paraId="2171DD21" w14:textId="77777777" w:rsidR="0047449A" w:rsidRPr="0092488E" w:rsidRDefault="0047449A" w:rsidP="0047449A">
      <w:pPr>
        <w:ind w:left="720" w:right="720"/>
        <w:jc w:val="both"/>
        <w:rPr>
          <w:rFonts w:ascii="Cambria" w:hAnsi="Cambria"/>
          <w:sz w:val="18"/>
          <w:szCs w:val="18"/>
          <w:lang w:val="es-CO"/>
        </w:rPr>
      </w:pPr>
    </w:p>
    <w:p w14:paraId="283D0505" w14:textId="75C39A7B" w:rsidR="0047449A" w:rsidRPr="0047449A" w:rsidRDefault="0047449A" w:rsidP="0047449A">
      <w:pPr>
        <w:ind w:left="720" w:right="720"/>
        <w:jc w:val="both"/>
        <w:rPr>
          <w:rFonts w:ascii="Cambria" w:hAnsi="Cambria"/>
          <w:b/>
          <w:bCs/>
          <w:sz w:val="18"/>
          <w:szCs w:val="18"/>
          <w:lang w:val="es-CO"/>
        </w:rPr>
      </w:pPr>
      <w:r w:rsidRPr="0092488E">
        <w:rPr>
          <w:rFonts w:ascii="Cambria" w:hAnsi="Cambria"/>
          <w:b/>
          <w:bCs/>
          <w:sz w:val="18"/>
          <w:szCs w:val="18"/>
          <w:lang w:val="es-CO"/>
        </w:rPr>
        <w:t>PARÁGRAFO SEGUNDO:</w:t>
      </w:r>
      <w:r w:rsidRPr="0092488E">
        <w:rPr>
          <w:rFonts w:ascii="Cambria" w:hAnsi="Cambria"/>
          <w:sz w:val="18"/>
          <w:szCs w:val="18"/>
          <w:lang w:val="es-CO"/>
        </w:rPr>
        <w:t xml:space="preserve"> </w:t>
      </w:r>
      <w:r w:rsidR="00F0299A" w:rsidRPr="0092488E">
        <w:rPr>
          <w:rFonts w:ascii="Cambria" w:hAnsi="Cambria"/>
          <w:sz w:val="18"/>
          <w:szCs w:val="18"/>
          <w:lang w:val="es-CO"/>
        </w:rPr>
        <w:t>l</w:t>
      </w:r>
      <w:r w:rsidRPr="0092488E">
        <w:rPr>
          <w:rFonts w:ascii="Cambria" w:hAnsi="Cambria"/>
          <w:sz w:val="18"/>
          <w:szCs w:val="18"/>
          <w:lang w:val="es-CO"/>
        </w:rPr>
        <w:t>as víctimas reconocidas en el presente Acuerdo de Solución Amistosa se beneficiarán, siempre que acrediten</w:t>
      </w:r>
      <w:r w:rsidR="009261BE" w:rsidRPr="0092488E">
        <w:rPr>
          <w:rFonts w:ascii="Cambria" w:hAnsi="Cambria"/>
          <w:sz w:val="18"/>
          <w:szCs w:val="18"/>
          <w:lang w:val="es-CO"/>
        </w:rPr>
        <w:t>,</w:t>
      </w:r>
      <w:r w:rsidRPr="0092488E">
        <w:rPr>
          <w:rFonts w:ascii="Cambria" w:hAnsi="Cambria"/>
          <w:sz w:val="18"/>
          <w:szCs w:val="18"/>
          <w:lang w:val="es-CO"/>
        </w:rPr>
        <w:t xml:space="preserve"> respecto de los señores Martín Emilio Zapata Álvarez y/o Héctor Gabriel Zapata Álvarez: (i) el vínculo por afinidad</w:t>
      </w:r>
      <w:r w:rsidRPr="0092488E">
        <w:rPr>
          <w:rStyle w:val="FootnoteReference"/>
          <w:rFonts w:ascii="Cambria" w:hAnsi="Cambria"/>
          <w:sz w:val="18"/>
          <w:szCs w:val="18"/>
        </w:rPr>
        <w:footnoteReference w:id="22"/>
      </w:r>
      <w:r w:rsidRPr="0092488E">
        <w:rPr>
          <w:rFonts w:ascii="Cambria" w:hAnsi="Cambria"/>
          <w:sz w:val="18"/>
          <w:szCs w:val="18"/>
          <w:lang w:val="es-CO"/>
        </w:rPr>
        <w:t>; o, (ii) el vínculo por consanguinidad.</w:t>
      </w:r>
    </w:p>
    <w:p w14:paraId="0E212380" w14:textId="77777777" w:rsidR="008613B1" w:rsidRPr="0047449A"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13"/>
        <w:jc w:val="both"/>
        <w:rPr>
          <w:rFonts w:asciiTheme="majorHAnsi" w:eastAsia="MS Mincho" w:hAnsiTheme="majorHAnsi"/>
          <w:b/>
          <w:sz w:val="20"/>
          <w:szCs w:val="20"/>
          <w:lang w:val="es-CO"/>
        </w:rPr>
      </w:pPr>
    </w:p>
    <w:p w14:paraId="6DE34AFE" w14:textId="285B9827" w:rsidR="008B5435" w:rsidRPr="006428C5" w:rsidRDefault="001A7C68"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lang w:val="es-AR"/>
        </w:rPr>
      </w:pPr>
      <w:r w:rsidRPr="006428C5">
        <w:rPr>
          <w:rFonts w:asciiTheme="majorHAnsi" w:eastAsia="MS Mincho" w:hAnsiTheme="majorHAnsi"/>
          <w:b/>
          <w:sz w:val="20"/>
          <w:szCs w:val="20"/>
          <w:lang w:val="es-AR"/>
        </w:rPr>
        <w:t>CUARTA PARTE: RECONOCIMIENTO DE RESPONSABILIDAD</w:t>
      </w:r>
    </w:p>
    <w:p w14:paraId="5CE8E1EA"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lang w:val="es-AR"/>
        </w:rPr>
      </w:pPr>
    </w:p>
    <w:p w14:paraId="17EF98C1" w14:textId="77777777" w:rsidR="001A7C68" w:rsidRPr="006428C5" w:rsidRDefault="008B5435"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 xml:space="preserve">El Estado </w:t>
      </w:r>
      <w:r w:rsidR="001A7C68" w:rsidRPr="006428C5">
        <w:rPr>
          <w:rFonts w:asciiTheme="majorHAnsi" w:eastAsia="MS Mincho" w:hAnsiTheme="majorHAnsi"/>
          <w:sz w:val="20"/>
          <w:szCs w:val="20"/>
          <w:lang w:val="es-AR"/>
        </w:rPr>
        <w:t>colombiano reconoce su responsabilidad internacional por la violación de los artículos 4 (derecho a la vida), 5 (derecho a la integridad personal), 8 (derecho a las garantías judiciales), y 25 (derecho a la protección judicial) de la Convención Americana en relación con el artículo 1.1. del mismo instrumento (obligación de garantizar), en perjuicio de los familiares de los señores Martin Emilio Zapata Álvarez y/o Héctor Gabriel Zapata Álvarez.</w:t>
      </w:r>
      <w:r w:rsidR="00A75114" w:rsidRPr="006428C5">
        <w:rPr>
          <w:rFonts w:asciiTheme="majorHAnsi" w:eastAsia="MS Mincho" w:hAnsiTheme="majorHAnsi"/>
          <w:sz w:val="20"/>
          <w:szCs w:val="20"/>
          <w:lang w:val="es-AR"/>
        </w:rPr>
        <w:t xml:space="preserve">  </w:t>
      </w:r>
    </w:p>
    <w:p w14:paraId="269B76CF" w14:textId="6D2FAE5D" w:rsidR="000D3C78" w:rsidRPr="006428C5" w:rsidRDefault="001A7C68"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lang w:val="es-AR"/>
        </w:rPr>
      </w:pPr>
      <w:r w:rsidRPr="006428C5">
        <w:rPr>
          <w:rFonts w:asciiTheme="majorHAnsi" w:eastAsia="MS Mincho" w:hAnsiTheme="majorHAnsi"/>
          <w:b/>
          <w:sz w:val="20"/>
          <w:szCs w:val="20"/>
          <w:lang w:val="es-AR"/>
        </w:rPr>
        <w:t>QUINTA PARTE: MEDIDAS DE SATISFACCIÓN</w:t>
      </w:r>
    </w:p>
    <w:p w14:paraId="59411640"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sz w:val="20"/>
          <w:szCs w:val="20"/>
          <w:lang w:val="es-AR"/>
        </w:rPr>
      </w:pPr>
    </w:p>
    <w:p w14:paraId="619DE657" w14:textId="30FF87D1" w:rsidR="001A7C68" w:rsidRPr="006428C5" w:rsidRDefault="00660EA4"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 xml:space="preserve">El </w:t>
      </w:r>
      <w:r w:rsidR="001A7C68" w:rsidRPr="006428C5">
        <w:rPr>
          <w:rFonts w:asciiTheme="majorHAnsi" w:eastAsia="MS Mincho" w:hAnsiTheme="majorHAnsi"/>
          <w:sz w:val="20"/>
          <w:szCs w:val="20"/>
          <w:lang w:val="es-AR"/>
        </w:rPr>
        <w:t>Estado colombiano se compromete a realizar la siguiente medida de satisfacción:</w:t>
      </w:r>
    </w:p>
    <w:p w14:paraId="560A2C59"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7F9D22CA" w14:textId="5F5440DA" w:rsidR="00C14F47" w:rsidRPr="006428C5" w:rsidRDefault="00C14F47" w:rsidP="005213E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right="720" w:hanging="292"/>
        <w:jc w:val="both"/>
        <w:rPr>
          <w:rFonts w:asciiTheme="majorHAnsi" w:eastAsia="MS Mincho" w:hAnsiTheme="majorHAnsi"/>
          <w:b/>
          <w:bCs/>
          <w:sz w:val="20"/>
          <w:szCs w:val="20"/>
          <w:lang w:val="es-AR"/>
        </w:rPr>
      </w:pPr>
      <w:r w:rsidRPr="006428C5">
        <w:rPr>
          <w:rFonts w:asciiTheme="majorHAnsi" w:eastAsia="MS Mincho" w:hAnsiTheme="majorHAnsi"/>
          <w:b/>
          <w:bCs/>
          <w:sz w:val="20"/>
          <w:szCs w:val="20"/>
          <w:lang w:val="es-AR"/>
        </w:rPr>
        <w:t>Acto de Reconocimiento de Responsabilidad</w:t>
      </w:r>
    </w:p>
    <w:p w14:paraId="3E48C1F6" w14:textId="77777777" w:rsidR="008613B1" w:rsidRPr="006428C5" w:rsidRDefault="008613B1" w:rsidP="008613B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10" w:right="720"/>
        <w:jc w:val="both"/>
        <w:rPr>
          <w:rFonts w:asciiTheme="majorHAnsi" w:eastAsia="MS Mincho" w:hAnsiTheme="majorHAnsi"/>
          <w:b/>
          <w:bCs/>
          <w:sz w:val="20"/>
          <w:szCs w:val="20"/>
          <w:lang w:val="es-AR"/>
        </w:rPr>
      </w:pPr>
    </w:p>
    <w:p w14:paraId="28450775" w14:textId="0845E13F" w:rsidR="00C14F47" w:rsidRPr="006428C5" w:rsidRDefault="00C14F47" w:rsidP="000907C1">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El Estado colombiano realizará un acto público de reconocimiento de responsabilidad, de manera virtual, con la participación de los representantes de las victimas. El acto se reali</w:t>
      </w:r>
      <w:r w:rsidR="00B7616C" w:rsidRPr="006428C5">
        <w:rPr>
          <w:rFonts w:asciiTheme="majorHAnsi" w:eastAsia="MS Mincho" w:hAnsiTheme="majorHAnsi"/>
          <w:sz w:val="20"/>
          <w:szCs w:val="20"/>
          <w:lang w:val="es-AR"/>
        </w:rPr>
        <w:t>z</w:t>
      </w:r>
      <w:r w:rsidRPr="006428C5">
        <w:rPr>
          <w:rFonts w:asciiTheme="majorHAnsi" w:eastAsia="MS Mincho" w:hAnsiTheme="majorHAnsi"/>
          <w:sz w:val="20"/>
          <w:szCs w:val="20"/>
          <w:lang w:val="es-AR"/>
        </w:rPr>
        <w:t xml:space="preserve">ará de conformidad con los términos del reconocimiento de responsabilidad señalado en este </w:t>
      </w:r>
      <w:r w:rsidR="00251F76" w:rsidRPr="006428C5">
        <w:rPr>
          <w:rFonts w:asciiTheme="majorHAnsi" w:eastAsia="MS Mincho" w:hAnsiTheme="majorHAnsi"/>
          <w:sz w:val="20"/>
          <w:szCs w:val="20"/>
          <w:lang w:val="es-AR"/>
        </w:rPr>
        <w:t>A</w:t>
      </w:r>
      <w:r w:rsidRPr="006428C5">
        <w:rPr>
          <w:rFonts w:asciiTheme="majorHAnsi" w:eastAsia="MS Mincho" w:hAnsiTheme="majorHAnsi"/>
          <w:sz w:val="20"/>
          <w:szCs w:val="20"/>
          <w:lang w:val="es-AR"/>
        </w:rPr>
        <w:t>cuerdo.</w:t>
      </w:r>
    </w:p>
    <w:p w14:paraId="7BDEF06B"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lang w:val="es-AR"/>
        </w:rPr>
      </w:pPr>
    </w:p>
    <w:p w14:paraId="59EA878E" w14:textId="32BA4477" w:rsidR="00C14F47" w:rsidRPr="006428C5" w:rsidRDefault="00C14F47" w:rsidP="000907C1">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La presente medida estará a cargo de la Agencia Nacional de Defensa Jurídica del Estado.</w:t>
      </w:r>
    </w:p>
    <w:p w14:paraId="2EE14BFE"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lang w:val="es-AR"/>
        </w:rPr>
      </w:pPr>
    </w:p>
    <w:p w14:paraId="6A0F8022" w14:textId="142D230C" w:rsidR="00C14F47" w:rsidRPr="006428C5" w:rsidRDefault="00C14F47" w:rsidP="005213E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right="720" w:hanging="292"/>
        <w:jc w:val="both"/>
        <w:rPr>
          <w:rFonts w:asciiTheme="majorHAnsi" w:eastAsia="MS Mincho" w:hAnsiTheme="majorHAnsi"/>
          <w:b/>
          <w:bCs/>
          <w:sz w:val="20"/>
          <w:szCs w:val="20"/>
          <w:lang w:val="es-AR"/>
        </w:rPr>
      </w:pPr>
      <w:r w:rsidRPr="006428C5">
        <w:rPr>
          <w:rFonts w:asciiTheme="majorHAnsi" w:eastAsia="MS Mincho" w:hAnsiTheme="majorHAnsi"/>
          <w:b/>
          <w:bCs/>
          <w:sz w:val="20"/>
          <w:szCs w:val="20"/>
          <w:lang w:val="es-AR"/>
        </w:rPr>
        <w:t>Publicación del Informe de Artículo 49</w:t>
      </w:r>
    </w:p>
    <w:p w14:paraId="22A639AF" w14:textId="77777777" w:rsidR="008613B1" w:rsidRPr="006428C5" w:rsidRDefault="008613B1" w:rsidP="008613B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10" w:right="720"/>
        <w:jc w:val="both"/>
        <w:rPr>
          <w:rFonts w:asciiTheme="majorHAnsi" w:eastAsia="MS Mincho" w:hAnsiTheme="majorHAnsi"/>
          <w:b/>
          <w:bCs/>
          <w:sz w:val="20"/>
          <w:szCs w:val="20"/>
          <w:lang w:val="es-AR"/>
        </w:rPr>
      </w:pPr>
    </w:p>
    <w:p w14:paraId="3946BCBB" w14:textId="5DFFBC80" w:rsidR="00C14F47" w:rsidRPr="006428C5" w:rsidRDefault="005438E6"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El Estado colombiano realizará la publicación de los apartes pertinentes del info</w:t>
      </w:r>
      <w:r w:rsidR="00105D37" w:rsidRPr="006428C5">
        <w:rPr>
          <w:rFonts w:asciiTheme="majorHAnsi" w:eastAsia="MS Mincho" w:hAnsiTheme="majorHAnsi"/>
          <w:sz w:val="20"/>
          <w:szCs w:val="20"/>
          <w:lang w:val="es-AR"/>
        </w:rPr>
        <w:t>rme</w:t>
      </w:r>
      <w:r w:rsidRPr="006428C5">
        <w:rPr>
          <w:rFonts w:asciiTheme="majorHAnsi" w:eastAsia="MS Mincho" w:hAnsiTheme="majorHAnsi"/>
          <w:sz w:val="20"/>
          <w:szCs w:val="20"/>
          <w:lang w:val="es-AR"/>
        </w:rPr>
        <w:t xml:space="preserve"> de solución amistosa una vez sea homologado por la Comisión Interamericana, en la página web de la Agencia Nacional de Defensa Jurídica del Estado, por el término de seis (6) meses.</w:t>
      </w:r>
    </w:p>
    <w:p w14:paraId="36EF50BE"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7D7B152F" w14:textId="15F9657D" w:rsidR="005438E6" w:rsidRPr="006428C5" w:rsidRDefault="005438E6"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r w:rsidRPr="006428C5">
        <w:rPr>
          <w:rFonts w:asciiTheme="majorHAnsi" w:eastAsia="MS Mincho" w:hAnsiTheme="majorHAnsi"/>
          <w:b/>
          <w:bCs/>
          <w:sz w:val="20"/>
          <w:szCs w:val="20"/>
          <w:lang w:val="es-AR"/>
        </w:rPr>
        <w:t>SEXTA PARTE: MEDIDAS DE JUSTICIA</w:t>
      </w:r>
    </w:p>
    <w:p w14:paraId="1BB7256F"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p>
    <w:p w14:paraId="0A622F5E" w14:textId="5C23CF91" w:rsidR="00C14F47" w:rsidRPr="006428C5" w:rsidRDefault="00661D8B"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La Fiscalía General de la Nación en el marco de sus competencias continuará adelantando con la debida diligencia las actuaciones judiciales que permitan el impulso de la investigación y la posible identificación e individualización de los responsables de los hechos.</w:t>
      </w:r>
    </w:p>
    <w:p w14:paraId="64DEC903"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70F38A9C" w14:textId="51D2620A" w:rsidR="00661D8B" w:rsidRPr="006428C5" w:rsidRDefault="00661D8B"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En desarrollo de lo anterior, la Fiscalía General de la Nación y los peticionarios realizarán semestralmente una reunión para dar a conocer los avances en materia de justicia.</w:t>
      </w:r>
    </w:p>
    <w:p w14:paraId="0F07ED55"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02013FAE" w14:textId="4F7185A3" w:rsidR="00661D8B" w:rsidRPr="006428C5" w:rsidRDefault="00661D8B"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La reunión semestral a realizar será convocada directamente por la Fiscalía General de la Nación</w:t>
      </w:r>
      <w:r w:rsidRPr="006428C5">
        <w:rPr>
          <w:rStyle w:val="FootnoteReference"/>
          <w:rFonts w:asciiTheme="majorHAnsi" w:eastAsia="MS Mincho" w:hAnsiTheme="majorHAnsi"/>
          <w:sz w:val="20"/>
          <w:szCs w:val="20"/>
          <w:lang w:val="es-AR"/>
        </w:rPr>
        <w:footnoteReference w:id="23"/>
      </w:r>
      <w:r w:rsidR="008613B1" w:rsidRPr="006428C5">
        <w:rPr>
          <w:rFonts w:asciiTheme="majorHAnsi" w:eastAsia="MS Mincho" w:hAnsiTheme="majorHAnsi"/>
          <w:sz w:val="20"/>
          <w:szCs w:val="20"/>
          <w:lang w:val="es-AR"/>
        </w:rPr>
        <w:t>.</w:t>
      </w:r>
    </w:p>
    <w:p w14:paraId="51F052A0" w14:textId="77777777" w:rsidR="00CE2077" w:rsidRPr="006428C5" w:rsidRDefault="00CE2077" w:rsidP="00CE207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lang w:val="es-AR"/>
        </w:rPr>
      </w:pPr>
    </w:p>
    <w:p w14:paraId="225D2137" w14:textId="3E28853C" w:rsidR="00661D8B" w:rsidRPr="006428C5" w:rsidRDefault="00661D8B"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r w:rsidRPr="006428C5">
        <w:rPr>
          <w:rFonts w:asciiTheme="majorHAnsi" w:eastAsia="MS Mincho" w:hAnsiTheme="majorHAnsi"/>
          <w:b/>
          <w:bCs/>
          <w:sz w:val="20"/>
          <w:szCs w:val="20"/>
          <w:lang w:val="es-AR"/>
        </w:rPr>
        <w:lastRenderedPageBreak/>
        <w:t>SÉPTIMA PARTE: MEDIDAS DE COMPENSACIÓN</w:t>
      </w:r>
    </w:p>
    <w:p w14:paraId="338C20D8"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p>
    <w:p w14:paraId="7B9EE439" w14:textId="21D4D457" w:rsidR="00661D8B" w:rsidRPr="006428C5" w:rsidRDefault="00661D8B"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 xml:space="preserve">El Estado se compromete a dar inicio al trámite de la Ley 288 de 1996 “Por medio de la cual se establecen instrumentos para la indemnización de perjuicios </w:t>
      </w:r>
      <w:r w:rsidR="00481E7A" w:rsidRPr="006428C5">
        <w:rPr>
          <w:rFonts w:asciiTheme="majorHAnsi" w:eastAsia="MS Mincho" w:hAnsiTheme="majorHAnsi"/>
          <w:sz w:val="20"/>
          <w:szCs w:val="20"/>
          <w:lang w:val="es-AR"/>
        </w:rPr>
        <w:t>a las víctimas de violaciones de derechos humanos en virtud de lo dispuesto por determinados órganos internacionales de Derechos Humanos”. Este se iniciará una vez se homologue el presente acuerdo de solución amistosa mediante la expedición del Informe de Art</w:t>
      </w:r>
      <w:r w:rsidR="00097285" w:rsidRPr="006428C5">
        <w:rPr>
          <w:rFonts w:asciiTheme="majorHAnsi" w:eastAsia="MS Mincho" w:hAnsiTheme="majorHAnsi"/>
          <w:sz w:val="20"/>
          <w:szCs w:val="20"/>
          <w:lang w:val="es-AR"/>
        </w:rPr>
        <w:t>í</w:t>
      </w:r>
      <w:r w:rsidR="00481E7A" w:rsidRPr="006428C5">
        <w:rPr>
          <w:rFonts w:asciiTheme="majorHAnsi" w:eastAsia="MS Mincho" w:hAnsiTheme="majorHAnsi"/>
          <w:sz w:val="20"/>
          <w:szCs w:val="20"/>
          <w:lang w:val="es-AR"/>
        </w:rPr>
        <w:t>culo 49 de la Convención Americana, con el propósito de reparar los perjuicios ocasionados a los familiares de las víctimas como consecuencia de las afectaciones generadas por los hechos del presente caso.</w:t>
      </w:r>
    </w:p>
    <w:p w14:paraId="7CE2C739"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10273C8B" w14:textId="2301C9B3" w:rsidR="00481E7A" w:rsidRPr="006428C5" w:rsidRDefault="00481E7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La Agencia Nacional de Defensa Jurídica del Estado será la entidad encargada de asumir el trámite de la Ley 288 de 1996.</w:t>
      </w:r>
    </w:p>
    <w:p w14:paraId="16A39266"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59D34BD1" w14:textId="1C3419A4" w:rsidR="00481E7A" w:rsidRPr="006428C5" w:rsidRDefault="00481E7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Para efectos de la indemnización de los perjuicios y su comprobación, se acudirá a los criterios y montos reconocidos por la jurispridencia vigente del Consejo de Estado.</w:t>
      </w:r>
    </w:p>
    <w:p w14:paraId="15C8601A"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113C8988" w14:textId="106DDC0C" w:rsidR="00481E7A" w:rsidRPr="006428C5" w:rsidRDefault="00602D5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r w:rsidRPr="006428C5">
        <w:rPr>
          <w:rFonts w:asciiTheme="majorHAnsi" w:eastAsia="MS Mincho" w:hAnsiTheme="majorHAnsi"/>
          <w:b/>
          <w:bCs/>
          <w:sz w:val="20"/>
          <w:szCs w:val="20"/>
          <w:lang w:val="es-AR"/>
        </w:rPr>
        <w:t>OCTAVA</w:t>
      </w:r>
      <w:r w:rsidR="000D479A" w:rsidRPr="006428C5">
        <w:rPr>
          <w:rFonts w:asciiTheme="majorHAnsi" w:eastAsia="MS Mincho" w:hAnsiTheme="majorHAnsi"/>
          <w:b/>
          <w:bCs/>
          <w:sz w:val="20"/>
          <w:szCs w:val="20"/>
          <w:lang w:val="es-AR"/>
        </w:rPr>
        <w:t xml:space="preserve"> PARTE</w:t>
      </w:r>
      <w:r w:rsidRPr="006428C5">
        <w:rPr>
          <w:rStyle w:val="FootnoteReference"/>
          <w:rFonts w:asciiTheme="majorHAnsi" w:eastAsia="MS Mincho" w:hAnsiTheme="majorHAnsi"/>
          <w:b/>
          <w:bCs/>
          <w:sz w:val="20"/>
          <w:szCs w:val="20"/>
          <w:lang w:val="es-AR"/>
        </w:rPr>
        <w:footnoteReference w:id="24"/>
      </w:r>
      <w:r w:rsidR="000D479A" w:rsidRPr="006428C5">
        <w:rPr>
          <w:rFonts w:asciiTheme="majorHAnsi" w:eastAsia="MS Mincho" w:hAnsiTheme="majorHAnsi"/>
          <w:b/>
          <w:bCs/>
          <w:sz w:val="20"/>
          <w:szCs w:val="20"/>
          <w:lang w:val="es-AR"/>
        </w:rPr>
        <w:t>: HOMOLOGACIÓN Y SEGUIMIENTO</w:t>
      </w:r>
    </w:p>
    <w:p w14:paraId="13677FF7"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lang w:val="es-AR"/>
        </w:rPr>
      </w:pPr>
    </w:p>
    <w:p w14:paraId="126F5C52" w14:textId="04A4E2D4" w:rsidR="000D479A" w:rsidRPr="006428C5" w:rsidRDefault="000D479A"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Las partes solicitan a la Comisión Interamericana la homologación del presente Acuerdo y su seguimiento.</w:t>
      </w:r>
    </w:p>
    <w:p w14:paraId="449E860E" w14:textId="77777777" w:rsidR="008613B1" w:rsidRPr="006428C5" w:rsidRDefault="008613B1"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08D5EDF5" w14:textId="767708E5" w:rsidR="008613B1" w:rsidRDefault="000D479A" w:rsidP="00303F9F">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r w:rsidRPr="006428C5">
        <w:rPr>
          <w:rFonts w:asciiTheme="majorHAnsi" w:eastAsia="MS Mincho" w:hAnsiTheme="majorHAnsi"/>
          <w:sz w:val="20"/>
          <w:szCs w:val="20"/>
          <w:lang w:val="es-AR"/>
        </w:rPr>
        <w:t>Leído como fue este Acuerdo y estando las partes enteradas del alcance y contenido legal del mismo, se firma el 2 de marzo de 2023.</w:t>
      </w:r>
    </w:p>
    <w:p w14:paraId="7E350382" w14:textId="77777777" w:rsidR="00602D52" w:rsidRDefault="00602D52"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789CE43B" w14:textId="77777777" w:rsidR="002546D6" w:rsidRPr="000907C1" w:rsidRDefault="002546D6" w:rsidP="000907C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lang w:val="es-AR"/>
        </w:rPr>
      </w:pPr>
    </w:p>
    <w:p w14:paraId="313CE048" w14:textId="77777777" w:rsidR="00B333BF" w:rsidRPr="000907C1" w:rsidRDefault="00B333BF" w:rsidP="005213ED">
      <w:pPr>
        <w:pStyle w:val="ListParagraph"/>
        <w:numPr>
          <w:ilvl w:val="0"/>
          <w:numId w:val="57"/>
        </w:numPr>
        <w:ind w:left="1440"/>
        <w:jc w:val="both"/>
        <w:rPr>
          <w:rFonts w:asciiTheme="majorHAnsi" w:eastAsia="MS Mincho" w:hAnsiTheme="majorHAnsi"/>
          <w:b/>
          <w:sz w:val="20"/>
          <w:szCs w:val="20"/>
          <w:lang w:val="es-ES"/>
        </w:rPr>
      </w:pPr>
      <w:r w:rsidRPr="000907C1">
        <w:rPr>
          <w:rFonts w:asciiTheme="majorHAnsi" w:eastAsia="MS Mincho" w:hAnsiTheme="majorHAnsi"/>
          <w:b/>
          <w:sz w:val="20"/>
          <w:szCs w:val="20"/>
          <w:lang w:val="es-ES"/>
        </w:rPr>
        <w:t>DETERMINACIÓN DE COMPATIBILIDAD Y CUMPLIMIENTO</w:t>
      </w:r>
    </w:p>
    <w:p w14:paraId="07750366" w14:textId="77777777" w:rsidR="00B333BF" w:rsidRPr="000907C1" w:rsidRDefault="00B333BF" w:rsidP="000907C1">
      <w:pPr>
        <w:tabs>
          <w:tab w:val="num" w:pos="1440"/>
        </w:tabs>
        <w:jc w:val="both"/>
        <w:rPr>
          <w:rFonts w:asciiTheme="majorHAnsi" w:eastAsia="MS Mincho" w:hAnsiTheme="majorHAnsi"/>
          <w:b/>
          <w:sz w:val="20"/>
          <w:szCs w:val="20"/>
          <w:lang w:val="es-ES"/>
        </w:rPr>
      </w:pPr>
    </w:p>
    <w:p w14:paraId="357154B4" w14:textId="6C0A5D36" w:rsidR="006F639B" w:rsidRPr="000907C1" w:rsidRDefault="00B333BF"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0907C1">
        <w:rPr>
          <w:rFonts w:asciiTheme="majorHAnsi" w:eastAsia="MS Mincho" w:hAnsiTheme="majorHAnsi"/>
          <w:sz w:val="20"/>
          <w:szCs w:val="20"/>
          <w:bdr w:val="none" w:sz="0" w:space="0" w:color="auto" w:frame="1"/>
          <w:lang w:val="es-AR"/>
        </w:rPr>
        <w:t>La CIDH reitera que</w:t>
      </w:r>
      <w:r w:rsidR="005A12ED">
        <w:rPr>
          <w:rFonts w:asciiTheme="majorHAnsi" w:eastAsia="MS Mincho" w:hAnsiTheme="majorHAnsi"/>
          <w:sz w:val="20"/>
          <w:szCs w:val="20"/>
          <w:bdr w:val="none" w:sz="0" w:space="0" w:color="auto" w:frame="1"/>
          <w:lang w:val="es-AR"/>
        </w:rPr>
        <w:t>,</w:t>
      </w:r>
      <w:r w:rsidRPr="000907C1">
        <w:rPr>
          <w:rFonts w:asciiTheme="majorHAnsi" w:eastAsia="MS Mincho" w:hAnsiTheme="majorHAnsi"/>
          <w:sz w:val="20"/>
          <w:szCs w:val="20"/>
          <w:bdr w:val="none" w:sz="0" w:space="0" w:color="auto" w:frame="1"/>
          <w:lang w:val="es-AR"/>
        </w:rPr>
        <w:t xml:space="preserve"> de acuerdo </w:t>
      </w:r>
      <w:r w:rsidR="005A12ED">
        <w:rPr>
          <w:rFonts w:asciiTheme="majorHAnsi" w:eastAsia="MS Mincho" w:hAnsiTheme="majorHAnsi"/>
          <w:sz w:val="20"/>
          <w:szCs w:val="20"/>
          <w:bdr w:val="none" w:sz="0" w:space="0" w:color="auto" w:frame="1"/>
          <w:lang w:val="es-AR"/>
        </w:rPr>
        <w:t>con</w:t>
      </w:r>
      <w:r w:rsidRPr="000907C1">
        <w:rPr>
          <w:rFonts w:asciiTheme="majorHAnsi" w:eastAsia="MS Mincho" w:hAnsiTheme="majorHAnsi"/>
          <w:sz w:val="20"/>
          <w:szCs w:val="20"/>
          <w:bdr w:val="none" w:sz="0" w:space="0" w:color="auto" w:frame="1"/>
          <w:lang w:val="es-AR"/>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0907C1">
        <w:rPr>
          <w:rFonts w:asciiTheme="majorHAnsi" w:eastAsia="MS Mincho" w:hAnsiTheme="majorHAnsi"/>
          <w:i/>
          <w:sz w:val="20"/>
          <w:szCs w:val="20"/>
          <w:bdr w:val="none" w:sz="0" w:space="0" w:color="auto" w:frame="1"/>
          <w:lang w:val="es-AR"/>
        </w:rPr>
        <w:t>pacta sunt servanda</w:t>
      </w:r>
      <w:r w:rsidRPr="000907C1">
        <w:rPr>
          <w:rFonts w:asciiTheme="majorHAnsi" w:eastAsia="MS Mincho" w:hAnsiTheme="majorHAnsi"/>
          <w:sz w:val="20"/>
          <w:szCs w:val="20"/>
          <w:bdr w:val="none" w:sz="0" w:space="0" w:color="auto" w:frame="1"/>
          <w:lang w:val="es-AR"/>
        </w:rPr>
        <w:t>, por el cual los Estados deben cumplir de buena fe las obligaciones asumidas en los tratados</w:t>
      </w:r>
      <w:r w:rsidRPr="000907C1">
        <w:rPr>
          <w:rFonts w:asciiTheme="majorHAnsi" w:hAnsiTheme="majorHAnsi"/>
          <w:sz w:val="20"/>
          <w:szCs w:val="20"/>
          <w:bdr w:val="none" w:sz="0" w:space="0" w:color="auto" w:frame="1"/>
          <w:vertAlign w:val="superscript"/>
          <w:lang w:val="es-AR"/>
        </w:rPr>
        <w:footnoteReference w:id="25"/>
      </w:r>
      <w:r w:rsidRPr="000907C1">
        <w:rPr>
          <w:rFonts w:asciiTheme="majorHAnsi" w:eastAsia="MS Mincho" w:hAnsiTheme="majorHAnsi"/>
          <w:sz w:val="20"/>
          <w:szCs w:val="20"/>
          <w:bdr w:val="none" w:sz="0" w:space="0" w:color="auto" w:frame="1"/>
          <w:lang w:val="es-AR"/>
        </w:rPr>
        <w:t>. También desea reiterar 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2C18440D" w14:textId="77777777" w:rsidR="006F639B" w:rsidRPr="000907C1" w:rsidRDefault="006F639B" w:rsidP="007F44A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p>
    <w:p w14:paraId="462B65F3" w14:textId="7D2FB549" w:rsidR="006F639B" w:rsidRPr="000907C1" w:rsidRDefault="00B333BF"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0907C1">
        <w:rPr>
          <w:rFonts w:asciiTheme="majorHAnsi" w:eastAsia="MS Mincho" w:hAnsiTheme="majorHAnsi"/>
          <w:sz w:val="20"/>
          <w:szCs w:val="20"/>
          <w:lang w:val="es-ES"/>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09F2E5D6" w14:textId="77777777" w:rsidR="006F639B" w:rsidRPr="000907C1" w:rsidRDefault="006F639B" w:rsidP="007F44AA">
      <w:pPr>
        <w:pStyle w:val="ListParagraph"/>
        <w:ind w:left="0" w:firstLine="720"/>
        <w:rPr>
          <w:rStyle w:val="eop"/>
          <w:rFonts w:asciiTheme="majorHAnsi" w:hAnsiTheme="majorHAnsi" w:cs="Segoe UI"/>
          <w:sz w:val="20"/>
          <w:szCs w:val="20"/>
          <w:highlight w:val="yellow"/>
          <w:lang w:val="es-CO"/>
        </w:rPr>
      </w:pPr>
    </w:p>
    <w:p w14:paraId="02B5DFC9" w14:textId="64A6DC9F" w:rsidR="006F639B" w:rsidRPr="005213ED" w:rsidRDefault="004234FC"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Style w:val="eop"/>
          <w:rFonts w:asciiTheme="majorHAnsi" w:eastAsia="MS Mincho" w:hAnsiTheme="majorHAnsi"/>
          <w:sz w:val="20"/>
          <w:szCs w:val="20"/>
          <w:lang w:val="es-ES"/>
        </w:rPr>
      </w:pPr>
      <w:r w:rsidRPr="005213ED">
        <w:rPr>
          <w:rStyle w:val="eop"/>
          <w:rFonts w:asciiTheme="majorHAnsi" w:hAnsiTheme="majorHAnsi" w:cs="Segoe UI"/>
          <w:sz w:val="20"/>
          <w:szCs w:val="20"/>
          <w:lang w:val="es-CO"/>
        </w:rPr>
        <w:t xml:space="preserve">De conformidad </w:t>
      </w:r>
      <w:r w:rsidR="00602D52" w:rsidRPr="005213ED">
        <w:rPr>
          <w:rStyle w:val="eop"/>
          <w:rFonts w:asciiTheme="majorHAnsi" w:hAnsiTheme="majorHAnsi" w:cs="Segoe UI"/>
          <w:sz w:val="20"/>
          <w:szCs w:val="20"/>
          <w:lang w:val="es-CO"/>
        </w:rPr>
        <w:t>con la cláusula octava de</w:t>
      </w:r>
      <w:r w:rsidRPr="005213ED">
        <w:rPr>
          <w:rFonts w:asciiTheme="majorHAnsi" w:eastAsia="MS Mincho" w:hAnsiTheme="majorHAnsi" w:cstheme="minorHAnsi"/>
          <w:color w:val="000000" w:themeColor="text1"/>
          <w:sz w:val="20"/>
          <w:szCs w:val="20"/>
          <w:lang w:val="es-CO"/>
        </w:rPr>
        <w:t>l acuerdo suscrito entre las partes</w:t>
      </w:r>
      <w:r w:rsidR="00B96B57">
        <w:rPr>
          <w:rFonts w:asciiTheme="majorHAnsi" w:eastAsia="MS Mincho" w:hAnsiTheme="majorHAnsi" w:cstheme="minorHAnsi"/>
          <w:color w:val="000000" w:themeColor="text1"/>
          <w:sz w:val="20"/>
          <w:szCs w:val="20"/>
          <w:lang w:val="es-CO"/>
        </w:rPr>
        <w:t>,</w:t>
      </w:r>
      <w:r w:rsidRPr="005213ED">
        <w:rPr>
          <w:rFonts w:asciiTheme="majorHAnsi" w:eastAsia="MS Mincho" w:hAnsiTheme="majorHAnsi" w:cstheme="minorHAnsi"/>
          <w:color w:val="000000" w:themeColor="text1"/>
          <w:sz w:val="20"/>
          <w:szCs w:val="20"/>
          <w:lang w:val="es-CO"/>
        </w:rPr>
        <w:t xml:space="preserve"> mediante </w:t>
      </w:r>
      <w:r w:rsidR="00602D52" w:rsidRPr="005213ED">
        <w:rPr>
          <w:rFonts w:asciiTheme="majorHAnsi" w:eastAsia="MS Mincho" w:hAnsiTheme="majorHAnsi" w:cstheme="minorHAnsi"/>
          <w:color w:val="000000" w:themeColor="text1"/>
          <w:sz w:val="20"/>
          <w:szCs w:val="20"/>
          <w:lang w:val="es-CO"/>
        </w:rPr>
        <w:t>la</w:t>
      </w:r>
      <w:r w:rsidRPr="005213ED">
        <w:rPr>
          <w:rFonts w:asciiTheme="majorHAnsi" w:eastAsia="MS Mincho" w:hAnsiTheme="majorHAnsi" w:cstheme="minorHAnsi"/>
          <w:color w:val="000000" w:themeColor="text1"/>
          <w:sz w:val="20"/>
          <w:szCs w:val="20"/>
          <w:lang w:val="es-CO"/>
        </w:rPr>
        <w:t xml:space="preserve"> cual </w:t>
      </w:r>
      <w:r w:rsidR="00B96B57">
        <w:rPr>
          <w:rFonts w:asciiTheme="majorHAnsi" w:eastAsia="MS Mincho" w:hAnsiTheme="majorHAnsi" w:cstheme="minorHAnsi"/>
          <w:color w:val="000000" w:themeColor="text1"/>
          <w:sz w:val="20"/>
          <w:szCs w:val="20"/>
          <w:lang w:val="es-CO"/>
        </w:rPr>
        <w:t>requirieron</w:t>
      </w:r>
      <w:r w:rsidR="00B96B57" w:rsidRPr="005213ED">
        <w:rPr>
          <w:rFonts w:asciiTheme="majorHAnsi" w:eastAsia="MS Mincho" w:hAnsiTheme="majorHAnsi" w:cstheme="minorHAnsi"/>
          <w:color w:val="000000" w:themeColor="text1"/>
          <w:sz w:val="20"/>
          <w:szCs w:val="20"/>
          <w:lang w:val="es-CO"/>
        </w:rPr>
        <w:t xml:space="preserve"> </w:t>
      </w:r>
      <w:r w:rsidRPr="005213ED">
        <w:rPr>
          <w:rFonts w:asciiTheme="majorHAnsi" w:eastAsia="MS Mincho" w:hAnsiTheme="majorHAnsi" w:cstheme="minorHAnsi"/>
          <w:color w:val="000000" w:themeColor="text1"/>
          <w:sz w:val="20"/>
          <w:szCs w:val="20"/>
          <w:lang w:val="es-CO"/>
        </w:rPr>
        <w:t xml:space="preserve">a la Comisión la homologación del acuerdo de solución amistosa contemplado en el artículo 49 de la Convención Americana, </w:t>
      </w:r>
      <w:r w:rsidRPr="005213ED">
        <w:rPr>
          <w:rStyle w:val="eop"/>
          <w:rFonts w:asciiTheme="majorHAnsi" w:hAnsiTheme="majorHAnsi" w:cs="Segoe UI"/>
          <w:sz w:val="20"/>
          <w:szCs w:val="20"/>
          <w:lang w:val="es-CO"/>
        </w:rPr>
        <w:t xml:space="preserve">y tomando en consideración la solicitud de las partes del </w:t>
      </w:r>
      <w:r w:rsidRPr="005213ED">
        <w:rPr>
          <w:rStyle w:val="normaltextrun"/>
          <w:rFonts w:asciiTheme="majorHAnsi" w:hAnsiTheme="majorHAnsi"/>
          <w:sz w:val="20"/>
          <w:szCs w:val="20"/>
          <w:shd w:val="clear" w:color="auto" w:fill="FFFFFF"/>
          <w:lang w:val="es-CO"/>
        </w:rPr>
        <w:t>21 de junio de 2023</w:t>
      </w:r>
      <w:r w:rsidR="004B7FB6" w:rsidRPr="005213ED">
        <w:rPr>
          <w:rStyle w:val="normaltextrun"/>
          <w:rFonts w:asciiTheme="majorHAnsi" w:hAnsiTheme="majorHAnsi"/>
          <w:sz w:val="20"/>
          <w:szCs w:val="20"/>
          <w:shd w:val="clear" w:color="auto" w:fill="FFFFFF"/>
          <w:lang w:val="es-CO"/>
        </w:rPr>
        <w:t xml:space="preserve"> </w:t>
      </w:r>
      <w:r w:rsidRPr="005213ED">
        <w:rPr>
          <w:rStyle w:val="eop"/>
          <w:rFonts w:asciiTheme="majorHAnsi" w:hAnsiTheme="majorHAnsi" w:cs="Segoe UI"/>
          <w:sz w:val="20"/>
          <w:szCs w:val="20"/>
          <w:lang w:val="es-CO"/>
        </w:rPr>
        <w:t xml:space="preserve">para avanzar por esta vía, </w:t>
      </w:r>
      <w:r w:rsidRPr="005213ED">
        <w:rPr>
          <w:rFonts w:asciiTheme="majorHAnsi" w:eastAsia="MS Mincho" w:hAnsiTheme="majorHAnsi" w:cstheme="minorHAnsi"/>
          <w:color w:val="000000" w:themeColor="text1"/>
          <w:sz w:val="20"/>
          <w:szCs w:val="20"/>
          <w:lang w:val="es-CO"/>
        </w:rPr>
        <w:t>corresponde en este momento valorar el cumplimiento de los compromisos establecidos en este instrumento</w:t>
      </w:r>
      <w:r w:rsidRPr="005213ED">
        <w:rPr>
          <w:rStyle w:val="eop"/>
          <w:rFonts w:asciiTheme="majorHAnsi" w:hAnsiTheme="majorHAnsi" w:cs="Segoe UI"/>
          <w:sz w:val="20"/>
          <w:szCs w:val="20"/>
          <w:lang w:val="es-CO"/>
        </w:rPr>
        <w:t>.</w:t>
      </w:r>
    </w:p>
    <w:p w14:paraId="1656D2E0" w14:textId="77777777" w:rsidR="006F639B" w:rsidRPr="005213ED" w:rsidRDefault="006F639B" w:rsidP="007F44AA">
      <w:pPr>
        <w:pStyle w:val="ListParagraph"/>
        <w:ind w:left="0" w:firstLine="720"/>
        <w:rPr>
          <w:rFonts w:asciiTheme="majorHAnsi" w:eastAsiaTheme="minorHAnsi" w:hAnsiTheme="majorHAnsi"/>
          <w:sz w:val="20"/>
          <w:szCs w:val="20"/>
          <w:lang w:val="es-CO" w:eastAsia="en-US"/>
        </w:rPr>
      </w:pPr>
    </w:p>
    <w:p w14:paraId="401B4BFD" w14:textId="481FD1C0" w:rsidR="00301EE6" w:rsidRPr="00301EE6" w:rsidRDefault="004234FC"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5213ED">
        <w:rPr>
          <w:rFonts w:asciiTheme="majorHAnsi" w:eastAsiaTheme="minorHAnsi" w:hAnsiTheme="majorHAnsi"/>
          <w:sz w:val="20"/>
          <w:szCs w:val="20"/>
          <w:lang w:val="es-CO" w:eastAsia="en-US"/>
        </w:rPr>
        <w:t xml:space="preserve">La </w:t>
      </w:r>
      <w:r w:rsidR="00D60A12">
        <w:rPr>
          <w:rFonts w:asciiTheme="majorHAnsi" w:eastAsiaTheme="minorHAnsi" w:hAnsiTheme="majorHAnsi"/>
          <w:sz w:val="20"/>
          <w:szCs w:val="20"/>
          <w:lang w:val="es-CO" w:eastAsia="en-US"/>
        </w:rPr>
        <w:t>C</w:t>
      </w:r>
      <w:r w:rsidR="00396064" w:rsidRPr="005213ED">
        <w:rPr>
          <w:rFonts w:asciiTheme="majorHAnsi" w:eastAsiaTheme="minorHAnsi" w:hAnsiTheme="majorHAnsi"/>
          <w:sz w:val="20"/>
          <w:szCs w:val="20"/>
          <w:lang w:val="es-CO" w:eastAsia="en-US"/>
        </w:rPr>
        <w:t xml:space="preserve">omisión </w:t>
      </w:r>
      <w:r w:rsidR="00D60A12">
        <w:rPr>
          <w:rFonts w:asciiTheme="majorHAnsi" w:eastAsiaTheme="minorHAnsi" w:hAnsiTheme="majorHAnsi"/>
          <w:sz w:val="20"/>
          <w:szCs w:val="20"/>
          <w:lang w:val="es-CO" w:eastAsia="en-US"/>
        </w:rPr>
        <w:t>I</w:t>
      </w:r>
      <w:r w:rsidR="00396064" w:rsidRPr="005213ED">
        <w:rPr>
          <w:rFonts w:asciiTheme="majorHAnsi" w:eastAsiaTheme="minorHAnsi" w:hAnsiTheme="majorHAnsi"/>
          <w:sz w:val="20"/>
          <w:szCs w:val="20"/>
          <w:lang w:val="es-CO" w:eastAsia="en-US"/>
        </w:rPr>
        <w:t>nteramericana considera que las cláusulas primera (conceptos), segunda (antecedentes), tercera (beneficiarios y beneficiarias), y cuarta (reconocimiento de responsabilidad) del acuerdo son de carácter declarativo, por lo que no corresponde supervisar su cumplimiento</w:t>
      </w:r>
      <w:r w:rsidRPr="005213ED">
        <w:rPr>
          <w:rFonts w:asciiTheme="majorHAnsi" w:eastAsiaTheme="minorHAnsi" w:hAnsiTheme="majorHAnsi"/>
          <w:sz w:val="20"/>
          <w:szCs w:val="20"/>
          <w:lang w:val="es-CO" w:eastAsia="en-US"/>
        </w:rPr>
        <w:t xml:space="preserve">. Al respecto, la Comisión valora la cláusula declarativa cuarta, en la cual el Estado colombiano reconoce su responsabilidad </w:t>
      </w:r>
      <w:r w:rsidRPr="005213ED">
        <w:rPr>
          <w:rFonts w:asciiTheme="majorHAnsi" w:eastAsiaTheme="minorHAnsi" w:hAnsiTheme="majorHAnsi"/>
          <w:sz w:val="20"/>
          <w:szCs w:val="20"/>
          <w:lang w:val="es-CO" w:eastAsia="en-US"/>
        </w:rPr>
        <w:lastRenderedPageBreak/>
        <w:t xml:space="preserve">internacional </w:t>
      </w:r>
      <w:r w:rsidR="00BF090A" w:rsidRPr="005213ED">
        <w:rPr>
          <w:rFonts w:asciiTheme="majorHAnsi" w:eastAsia="MS Mincho" w:hAnsiTheme="majorHAnsi"/>
          <w:sz w:val="20"/>
          <w:szCs w:val="20"/>
          <w:lang w:val="es-AR"/>
        </w:rPr>
        <w:t>por la violación de los artículos 4 (derecho a la vida), 5 (derecho a la integridad personal), 8 (derecho a las garantías judiciales), y 25 (derecho a la protección judicial) de la Convención Americana en relación con el artículo 1.1. del mismo instrumento (obligación de garantizar), en perjuicio de los familiares de los señores Martin Emilio Zapata Álvarez y/o Héctor Gabriel Zapata Álvarez.</w:t>
      </w:r>
    </w:p>
    <w:p w14:paraId="723F0D29" w14:textId="77777777" w:rsidR="00301EE6" w:rsidRPr="00303F9F" w:rsidRDefault="00301EE6" w:rsidP="00303F9F">
      <w:pPr>
        <w:rPr>
          <w:rFonts w:asciiTheme="majorHAnsi" w:eastAsia="MS Mincho" w:hAnsiTheme="majorHAnsi"/>
          <w:sz w:val="20"/>
          <w:szCs w:val="20"/>
          <w:lang w:val="es-CO"/>
        </w:rPr>
      </w:pPr>
    </w:p>
    <w:p w14:paraId="41949A6F" w14:textId="1E58776B" w:rsidR="00BA3286" w:rsidRPr="00301EE6" w:rsidRDefault="00A426FE"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Style w:val="normaltextrun"/>
          <w:rFonts w:asciiTheme="majorHAnsi" w:eastAsia="MS Mincho" w:hAnsiTheme="majorHAnsi"/>
          <w:sz w:val="20"/>
          <w:szCs w:val="20"/>
          <w:lang w:val="es-ES"/>
        </w:rPr>
      </w:pPr>
      <w:r w:rsidRPr="00301EE6">
        <w:rPr>
          <w:rFonts w:asciiTheme="majorHAnsi" w:eastAsia="MS Mincho" w:hAnsiTheme="majorHAnsi"/>
          <w:sz w:val="20"/>
          <w:szCs w:val="20"/>
          <w:lang w:val="es-CO"/>
        </w:rPr>
        <w:t xml:space="preserve">En relación con el literal </w:t>
      </w:r>
      <w:r w:rsidRPr="00301EE6">
        <w:rPr>
          <w:rFonts w:asciiTheme="majorHAnsi" w:eastAsia="MS Mincho" w:hAnsiTheme="majorHAnsi"/>
          <w:i/>
          <w:iCs/>
          <w:sz w:val="20"/>
          <w:szCs w:val="20"/>
          <w:lang w:val="es-CO"/>
        </w:rPr>
        <w:t>(i</w:t>
      </w:r>
      <w:r w:rsidR="00396064" w:rsidRPr="00301EE6">
        <w:rPr>
          <w:rFonts w:asciiTheme="majorHAnsi" w:eastAsia="MS Mincho" w:hAnsiTheme="majorHAnsi"/>
          <w:i/>
          <w:iCs/>
          <w:sz w:val="20"/>
          <w:szCs w:val="20"/>
          <w:lang w:val="es-CO"/>
        </w:rPr>
        <w:t>) acto de reconocimiento de responsabilidad</w:t>
      </w:r>
      <w:r w:rsidRPr="00301EE6">
        <w:rPr>
          <w:rFonts w:asciiTheme="majorHAnsi" w:eastAsia="MS Mincho" w:hAnsiTheme="majorHAnsi"/>
          <w:sz w:val="20"/>
          <w:szCs w:val="20"/>
          <w:lang w:val="es-CO"/>
        </w:rPr>
        <w:t xml:space="preserve">, de la cláusula quinta sobre medidas de satisfacción, según lo informado conjuntamente por las partes, </w:t>
      </w:r>
      <w:r w:rsidRPr="00301EE6">
        <w:rPr>
          <w:rFonts w:asciiTheme="majorHAnsi" w:eastAsia="MS Mincho" w:hAnsiTheme="majorHAnsi"/>
          <w:sz w:val="20"/>
          <w:szCs w:val="20"/>
          <w:lang w:val="es-MX"/>
        </w:rPr>
        <w:t xml:space="preserve">el </w:t>
      </w:r>
      <w:r w:rsidR="00612681">
        <w:rPr>
          <w:rFonts w:asciiTheme="majorHAnsi" w:eastAsia="MS Mincho" w:hAnsiTheme="majorHAnsi"/>
          <w:sz w:val="20"/>
          <w:szCs w:val="20"/>
          <w:lang w:val="es-MX"/>
        </w:rPr>
        <w:t>evento</w:t>
      </w:r>
      <w:r w:rsidR="00612681" w:rsidRPr="00301EE6">
        <w:rPr>
          <w:rFonts w:asciiTheme="majorHAnsi" w:eastAsia="MS Mincho" w:hAnsiTheme="majorHAnsi"/>
          <w:sz w:val="20"/>
          <w:szCs w:val="20"/>
          <w:lang w:val="es-MX"/>
        </w:rPr>
        <w:t xml:space="preserve"> </w:t>
      </w:r>
      <w:r w:rsidRPr="00301EE6">
        <w:rPr>
          <w:rFonts w:asciiTheme="majorHAnsi" w:eastAsia="MS Mincho" w:hAnsiTheme="majorHAnsi"/>
          <w:sz w:val="20"/>
          <w:szCs w:val="20"/>
          <w:lang w:val="es-MX"/>
        </w:rPr>
        <w:t xml:space="preserve">se realizó el </w:t>
      </w:r>
      <w:r w:rsidR="00645DD6" w:rsidRPr="00301EE6">
        <w:rPr>
          <w:rFonts w:asciiTheme="majorHAnsi" w:eastAsia="MS Mincho" w:hAnsiTheme="majorHAnsi"/>
          <w:sz w:val="20"/>
          <w:szCs w:val="20"/>
          <w:lang w:val="es-CO"/>
        </w:rPr>
        <w:t>17 de mayo de 2023</w:t>
      </w:r>
      <w:r w:rsidRPr="00301EE6">
        <w:rPr>
          <w:rFonts w:asciiTheme="majorHAnsi" w:eastAsia="MS Mincho" w:hAnsiTheme="majorHAnsi"/>
          <w:sz w:val="20"/>
          <w:szCs w:val="20"/>
          <w:lang w:val="es-MX"/>
        </w:rPr>
        <w:t xml:space="preserve">. Según lo reportado en el informe conjunto de </w:t>
      </w:r>
      <w:r w:rsidR="0015511E" w:rsidRPr="00301EE6">
        <w:rPr>
          <w:rStyle w:val="normaltextrun"/>
          <w:rFonts w:asciiTheme="majorHAnsi" w:hAnsiTheme="majorHAnsi"/>
          <w:sz w:val="20"/>
          <w:szCs w:val="20"/>
          <w:shd w:val="clear" w:color="auto" w:fill="FFFFFF"/>
          <w:lang w:val="es-CO"/>
        </w:rPr>
        <w:t>21 de junio de 2023</w:t>
      </w:r>
      <w:r w:rsidRPr="00301EE6">
        <w:rPr>
          <w:rFonts w:asciiTheme="majorHAnsi" w:eastAsia="MS Mincho" w:hAnsiTheme="majorHAnsi"/>
          <w:sz w:val="20"/>
          <w:szCs w:val="20"/>
          <w:lang w:val="es-MX"/>
        </w:rPr>
        <w:t>, las partes acordaron con posterioridad a la firma del ASA</w:t>
      </w:r>
      <w:r w:rsidR="00A404BD" w:rsidRPr="00301EE6">
        <w:rPr>
          <w:rFonts w:asciiTheme="majorHAnsi" w:eastAsia="MS Mincho" w:hAnsiTheme="majorHAnsi"/>
          <w:sz w:val="20"/>
          <w:szCs w:val="20"/>
          <w:lang w:val="es-MX"/>
        </w:rPr>
        <w:t>,</w:t>
      </w:r>
      <w:r w:rsidRPr="00301EE6">
        <w:rPr>
          <w:rFonts w:asciiTheme="majorHAnsi" w:eastAsia="MS Mincho" w:hAnsiTheme="majorHAnsi"/>
          <w:sz w:val="20"/>
          <w:szCs w:val="20"/>
          <w:lang w:val="es-MX"/>
        </w:rPr>
        <w:t xml:space="preserve"> que el acto se realizaría </w:t>
      </w:r>
      <w:r w:rsidR="0015511E" w:rsidRPr="00301EE6">
        <w:rPr>
          <w:rFonts w:asciiTheme="majorHAnsi" w:eastAsia="MS Mincho" w:hAnsiTheme="majorHAnsi"/>
          <w:sz w:val="20"/>
          <w:szCs w:val="20"/>
          <w:lang w:val="es-CO"/>
        </w:rPr>
        <w:t>en el marco del “</w:t>
      </w:r>
      <w:hyperlink r:id="rId17" w:history="1">
        <w:r w:rsidR="0015511E" w:rsidRPr="00301EE6">
          <w:rPr>
            <w:rStyle w:val="Hyperlink"/>
            <w:rFonts w:asciiTheme="majorHAnsi" w:eastAsia="MS Mincho" w:hAnsiTheme="majorHAnsi"/>
            <w:sz w:val="20"/>
            <w:szCs w:val="20"/>
            <w:lang w:val="es-CO"/>
          </w:rPr>
          <w:t>Conversatorio de Soluciones Amistosas en Colombia: Un paso más cerca de las víctimas</w:t>
        </w:r>
      </w:hyperlink>
      <w:r w:rsidR="0015511E" w:rsidRPr="00301EE6">
        <w:rPr>
          <w:rFonts w:asciiTheme="majorHAnsi" w:eastAsia="MS Mincho" w:hAnsiTheme="majorHAnsi"/>
          <w:sz w:val="20"/>
          <w:szCs w:val="20"/>
          <w:lang w:val="es-CO"/>
        </w:rPr>
        <w:t>” en la Universidad Externado de Colombia</w:t>
      </w:r>
      <w:r w:rsidRPr="00301EE6">
        <w:rPr>
          <w:rFonts w:asciiTheme="majorHAnsi" w:eastAsia="MS Mincho" w:hAnsiTheme="majorHAnsi"/>
          <w:sz w:val="20"/>
          <w:szCs w:val="20"/>
          <w:lang w:val="es-MX"/>
        </w:rPr>
        <w:t xml:space="preserve"> e indicaron la existencia de una comunicación permanente y fluida entre el Estado y los peticionarios, con quienes concertaron cada uno de los detalles para el cumplimiento de la medida</w:t>
      </w:r>
      <w:r w:rsidR="00F16752">
        <w:rPr>
          <w:rFonts w:asciiTheme="majorHAnsi" w:eastAsia="MS Mincho" w:hAnsiTheme="majorHAnsi"/>
          <w:sz w:val="20"/>
          <w:szCs w:val="20"/>
          <w:lang w:val="es-MX"/>
        </w:rPr>
        <w:t>,</w:t>
      </w:r>
      <w:r w:rsidRPr="00301EE6">
        <w:rPr>
          <w:rFonts w:asciiTheme="majorHAnsi" w:eastAsia="MS Mincho" w:hAnsiTheme="majorHAnsi"/>
          <w:sz w:val="20"/>
          <w:szCs w:val="20"/>
          <w:lang w:val="es-MX"/>
        </w:rPr>
        <w:t xml:space="preserve"> como la fecha, hora, orden del día y logística requerida para </w:t>
      </w:r>
      <w:r w:rsidR="00F16752">
        <w:rPr>
          <w:rFonts w:asciiTheme="majorHAnsi" w:eastAsia="MS Mincho" w:hAnsiTheme="majorHAnsi"/>
          <w:sz w:val="20"/>
          <w:szCs w:val="20"/>
          <w:lang w:val="es-MX"/>
        </w:rPr>
        <w:t>su</w:t>
      </w:r>
      <w:r w:rsidR="00F16752" w:rsidRPr="00301EE6">
        <w:rPr>
          <w:rFonts w:asciiTheme="majorHAnsi" w:eastAsia="MS Mincho" w:hAnsiTheme="majorHAnsi"/>
          <w:sz w:val="20"/>
          <w:szCs w:val="20"/>
          <w:lang w:val="es-MX"/>
        </w:rPr>
        <w:t xml:space="preserve"> </w:t>
      </w:r>
      <w:r w:rsidRPr="00301EE6">
        <w:rPr>
          <w:rFonts w:asciiTheme="majorHAnsi" w:eastAsia="MS Mincho" w:hAnsiTheme="majorHAnsi"/>
          <w:sz w:val="20"/>
          <w:szCs w:val="20"/>
          <w:lang w:val="es-MX"/>
        </w:rPr>
        <w:t xml:space="preserve">desarrollo. </w:t>
      </w:r>
      <w:r w:rsidR="00C70427" w:rsidRPr="00301EE6">
        <w:rPr>
          <w:rFonts w:asciiTheme="majorHAnsi" w:eastAsia="MS Mincho" w:hAnsiTheme="majorHAnsi"/>
          <w:sz w:val="20"/>
          <w:szCs w:val="20"/>
          <w:lang w:val="es-CO"/>
        </w:rPr>
        <w:t>Al respecto, se aportó una copia de la invitación extendida a la víctima y sus representantes e invitados para acompañar dicho evento, en el cual participaron la señora Luz Arelly Zapata Morales, familiar de Héctor Gabriel Zapata Álvarez y Mart</w:t>
      </w:r>
      <w:r w:rsidR="00F16752">
        <w:rPr>
          <w:rFonts w:asciiTheme="majorHAnsi" w:eastAsia="MS Mincho" w:hAnsiTheme="majorHAnsi"/>
          <w:sz w:val="20"/>
          <w:szCs w:val="20"/>
          <w:lang w:val="es-CO"/>
        </w:rPr>
        <w:t>í</w:t>
      </w:r>
      <w:r w:rsidR="00C70427" w:rsidRPr="00301EE6">
        <w:rPr>
          <w:rFonts w:asciiTheme="majorHAnsi" w:eastAsia="MS Mincho" w:hAnsiTheme="majorHAnsi"/>
          <w:sz w:val="20"/>
          <w:szCs w:val="20"/>
          <w:lang w:val="es-CO"/>
        </w:rPr>
        <w:t xml:space="preserve">n Emilio Zapata Álvarez, el Doctor Juan David Villegas Mora, en su condición de vocero de las víctimas </w:t>
      </w:r>
      <w:r w:rsidR="00BA3286" w:rsidRPr="00301EE6">
        <w:rPr>
          <w:rFonts w:eastAsiaTheme="minorHAnsi"/>
          <w:sz w:val="20"/>
          <w:szCs w:val="20"/>
          <w:lang w:val="es-CO" w:eastAsia="en-US"/>
        </w:rPr>
        <w:t>así como la Agencia Nacional de Defensa Jurídica del Estado</w:t>
      </w:r>
      <w:r w:rsidR="00BA3286" w:rsidRPr="00301EE6">
        <w:rPr>
          <w:rFonts w:eastAsiaTheme="minorHAnsi"/>
          <w:sz w:val="20"/>
          <w:szCs w:val="20"/>
          <w:lang w:val="es-CO"/>
        </w:rPr>
        <w:t xml:space="preserve">, </w:t>
      </w:r>
      <w:r w:rsidR="00BA3286" w:rsidRPr="00301EE6">
        <w:rPr>
          <w:sz w:val="20"/>
          <w:szCs w:val="20"/>
          <w:lang w:val="es-CO"/>
        </w:rPr>
        <w:t xml:space="preserve">el Comisionado y Relator para Colombia, Joel Hernández García y el Secretario Adjunto para el Sistema de Peticiones y Casos, Jorge </w:t>
      </w:r>
      <w:r w:rsidR="00571CB8" w:rsidRPr="00301EE6">
        <w:rPr>
          <w:sz w:val="20"/>
          <w:szCs w:val="20"/>
          <w:lang w:val="es-CO"/>
        </w:rPr>
        <w:t xml:space="preserve">H. </w:t>
      </w:r>
      <w:r w:rsidR="00BA3286" w:rsidRPr="00301EE6">
        <w:rPr>
          <w:sz w:val="20"/>
          <w:szCs w:val="20"/>
          <w:lang w:val="es-CO"/>
        </w:rPr>
        <w:t>Meza.</w:t>
      </w:r>
    </w:p>
    <w:p w14:paraId="7DAD9D8B" w14:textId="77777777" w:rsidR="006F639B" w:rsidRPr="000907C1" w:rsidRDefault="006F639B" w:rsidP="00F42509">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7B17D4A5" w14:textId="42EA07D5" w:rsidR="00F22009" w:rsidRPr="00D91F96" w:rsidRDefault="001B2DFF"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D91F96">
        <w:rPr>
          <w:rFonts w:asciiTheme="majorHAnsi" w:eastAsia="MS Mincho" w:hAnsiTheme="majorHAnsi"/>
          <w:sz w:val="20"/>
          <w:szCs w:val="20"/>
          <w:lang w:val="es-CO"/>
        </w:rPr>
        <w:t xml:space="preserve">De igual forma, las partes dieron cuenta del contenido del orden del día que incluyó la presentación de </w:t>
      </w:r>
      <w:r w:rsidR="00E540F6" w:rsidRPr="00D91F96">
        <w:rPr>
          <w:rFonts w:asciiTheme="majorHAnsi" w:eastAsia="MS Mincho" w:hAnsiTheme="majorHAnsi"/>
          <w:sz w:val="20"/>
          <w:szCs w:val="20"/>
          <w:lang w:val="es-CO"/>
        </w:rPr>
        <w:t xml:space="preserve">fotos y una canción en memoria de las víctimas, </w:t>
      </w:r>
      <w:r w:rsidRPr="00D91F96">
        <w:rPr>
          <w:rFonts w:asciiTheme="majorHAnsi" w:eastAsia="MS Mincho" w:hAnsiTheme="majorHAnsi"/>
          <w:sz w:val="20"/>
          <w:szCs w:val="20"/>
          <w:lang w:val="es-CO"/>
        </w:rPr>
        <w:t xml:space="preserve">la intervención </w:t>
      </w:r>
      <w:r w:rsidR="00E540F6" w:rsidRPr="00D91F96">
        <w:rPr>
          <w:rFonts w:asciiTheme="majorHAnsi" w:eastAsia="MS Mincho" w:hAnsiTheme="majorHAnsi"/>
          <w:sz w:val="20"/>
          <w:szCs w:val="20"/>
          <w:lang w:val="es-CO"/>
        </w:rPr>
        <w:t>de la señora Luz Arelly Zapata Morales,</w:t>
      </w:r>
      <w:r w:rsidRPr="00D91F96">
        <w:rPr>
          <w:rFonts w:asciiTheme="majorHAnsi" w:eastAsia="MS Mincho" w:hAnsiTheme="majorHAnsi"/>
          <w:sz w:val="20"/>
          <w:szCs w:val="20"/>
          <w:lang w:val="es-CO"/>
        </w:rPr>
        <w:t xml:space="preserve"> hij</w:t>
      </w:r>
      <w:r w:rsidR="00E540F6" w:rsidRPr="00D91F96">
        <w:rPr>
          <w:rFonts w:asciiTheme="majorHAnsi" w:eastAsia="MS Mincho" w:hAnsiTheme="majorHAnsi"/>
          <w:sz w:val="20"/>
          <w:szCs w:val="20"/>
          <w:lang w:val="es-CO"/>
        </w:rPr>
        <w:t>a</w:t>
      </w:r>
      <w:r w:rsidRPr="00D91F96">
        <w:rPr>
          <w:rFonts w:asciiTheme="majorHAnsi" w:eastAsia="MS Mincho" w:hAnsiTheme="majorHAnsi"/>
          <w:sz w:val="20"/>
          <w:szCs w:val="20"/>
          <w:lang w:val="es-CO"/>
        </w:rPr>
        <w:t xml:space="preserve"> del señor </w:t>
      </w:r>
      <w:r w:rsidR="00E540F6" w:rsidRPr="00D91F96">
        <w:rPr>
          <w:rFonts w:asciiTheme="majorHAnsi" w:eastAsia="MS Mincho" w:hAnsiTheme="majorHAnsi"/>
          <w:sz w:val="20"/>
          <w:szCs w:val="20"/>
          <w:lang w:val="es-AR"/>
        </w:rPr>
        <w:t>Héctor Gabriel Zapata Álvare</w:t>
      </w:r>
      <w:r w:rsidR="00F22009" w:rsidRPr="00D91F96">
        <w:rPr>
          <w:rFonts w:asciiTheme="majorHAnsi" w:eastAsia="MS Mincho" w:hAnsiTheme="majorHAnsi"/>
          <w:sz w:val="20"/>
          <w:szCs w:val="20"/>
          <w:lang w:val="es-AR"/>
        </w:rPr>
        <w:t>z y sobrina del señor Mart</w:t>
      </w:r>
      <w:r w:rsidR="0064500D">
        <w:rPr>
          <w:rFonts w:asciiTheme="majorHAnsi" w:eastAsia="MS Mincho" w:hAnsiTheme="majorHAnsi"/>
          <w:sz w:val="20"/>
          <w:szCs w:val="20"/>
          <w:lang w:val="es-AR"/>
        </w:rPr>
        <w:t>í</w:t>
      </w:r>
      <w:r w:rsidR="00F22009" w:rsidRPr="00D91F96">
        <w:rPr>
          <w:rFonts w:asciiTheme="majorHAnsi" w:eastAsia="MS Mincho" w:hAnsiTheme="majorHAnsi"/>
          <w:sz w:val="20"/>
          <w:szCs w:val="20"/>
          <w:lang w:val="es-AR"/>
        </w:rPr>
        <w:t>n Emilio Zap</w:t>
      </w:r>
      <w:r w:rsidR="00F956F1" w:rsidRPr="00D91F96">
        <w:rPr>
          <w:rFonts w:asciiTheme="majorHAnsi" w:eastAsia="MS Mincho" w:hAnsiTheme="majorHAnsi"/>
          <w:sz w:val="20"/>
          <w:szCs w:val="20"/>
          <w:lang w:val="es-AR"/>
        </w:rPr>
        <w:t>a</w:t>
      </w:r>
      <w:r w:rsidR="00F22009" w:rsidRPr="00D91F96">
        <w:rPr>
          <w:rFonts w:asciiTheme="majorHAnsi" w:eastAsia="MS Mincho" w:hAnsiTheme="majorHAnsi"/>
          <w:sz w:val="20"/>
          <w:szCs w:val="20"/>
          <w:lang w:val="es-AR"/>
        </w:rPr>
        <w:t>ta Álvarez</w:t>
      </w:r>
      <w:r w:rsidR="002E01E3" w:rsidRPr="00D91F96">
        <w:rPr>
          <w:rFonts w:asciiTheme="majorHAnsi" w:eastAsia="MS Mincho" w:hAnsiTheme="majorHAnsi"/>
          <w:sz w:val="20"/>
          <w:szCs w:val="20"/>
          <w:lang w:val="es-AR"/>
        </w:rPr>
        <w:t>,</w:t>
      </w:r>
      <w:r w:rsidR="00E540F6" w:rsidRPr="00D91F96">
        <w:rPr>
          <w:rFonts w:asciiTheme="majorHAnsi" w:eastAsia="MS Mincho" w:hAnsiTheme="majorHAnsi"/>
          <w:sz w:val="20"/>
          <w:szCs w:val="20"/>
          <w:lang w:val="es-CO"/>
        </w:rPr>
        <w:t xml:space="preserve"> </w:t>
      </w:r>
      <w:r w:rsidRPr="00D91F96">
        <w:rPr>
          <w:rFonts w:asciiTheme="majorHAnsi" w:eastAsia="MS Mincho" w:hAnsiTheme="majorHAnsi"/>
          <w:sz w:val="20"/>
          <w:szCs w:val="20"/>
          <w:lang w:val="es-CO"/>
        </w:rPr>
        <w:t>y de la Directora de Defensa Jurídica Internacional de ANDJE quien, en nombre del Estado colombiano, pidió perdón a las víctimas y a sus familiares por lo ocurrido, y reconoció la responsabilidad en los términos establecidos en el Acuerdo de Solución Amistosa suscrito entre las partes.</w:t>
      </w:r>
    </w:p>
    <w:p w14:paraId="18B8F319" w14:textId="77777777" w:rsidR="00F22009" w:rsidRPr="00D91F96" w:rsidRDefault="00F22009" w:rsidP="00F42509">
      <w:pPr>
        <w:pStyle w:val="ListParagraph"/>
        <w:rPr>
          <w:rFonts w:asciiTheme="majorHAnsi" w:eastAsia="MS Mincho" w:hAnsiTheme="majorHAnsi"/>
          <w:sz w:val="20"/>
          <w:szCs w:val="20"/>
          <w:lang w:val="es-CO"/>
        </w:rPr>
      </w:pPr>
    </w:p>
    <w:p w14:paraId="374A10FB" w14:textId="77777777" w:rsidR="006F639B" w:rsidRPr="00776AEC" w:rsidRDefault="00F22009"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w:t>
      </w:r>
      <w:r w:rsidR="000A0AB7" w:rsidRPr="00776AEC">
        <w:rPr>
          <w:rFonts w:asciiTheme="majorHAnsi" w:eastAsia="MS Mincho" w:hAnsiTheme="majorHAnsi"/>
          <w:color w:val="000000"/>
          <w:sz w:val="20"/>
          <w:szCs w:val="20"/>
        </w:rPr>
        <w:br/>
      </w:r>
      <w:r w:rsidR="000A0AB7" w:rsidRPr="00776AEC">
        <w:rPr>
          <w:rFonts w:asciiTheme="majorHAnsi" w:eastAsia="MS Mincho" w:hAnsiTheme="majorHAnsi"/>
          <w:color w:val="000000"/>
          <w:sz w:val="20"/>
          <w:szCs w:val="20"/>
        </w:rPr>
        <w:br/>
      </w:r>
      <w:r w:rsidR="0058086F" w:rsidRPr="00776AEC">
        <w:rPr>
          <w:rFonts w:asciiTheme="majorHAnsi" w:eastAsia="MS Mincho" w:hAnsiTheme="majorHAnsi"/>
          <w:color w:val="000000"/>
          <w:sz w:val="20"/>
          <w:szCs w:val="20"/>
        </w:rPr>
        <w:t>Para el Estado colombiano el deber de protección para las personas privadas de la libertad es reforzado, ya que existe una relación de especial sujeción al poder estatal. En este sentido, la obligación del Estado consiste en prever y controlar los peligros que pueda sufrir la persona retenida desde el momento mismo en que se produce la privación material de la libertad, hasta el momento en que es devuelta a la sociedad, así como la abstención de cualquier conducta que pueda vulnerar o poner en peligro los derechos que no estén limitados por su situación especial</w:t>
      </w:r>
      <w:r w:rsidR="006F639B" w:rsidRPr="00776AEC">
        <w:rPr>
          <w:rFonts w:asciiTheme="majorHAnsi" w:eastAsia="MS Mincho" w:hAnsiTheme="majorHAnsi"/>
          <w:color w:val="000000"/>
          <w:sz w:val="20"/>
          <w:szCs w:val="20"/>
        </w:rPr>
        <w:t>.</w:t>
      </w:r>
    </w:p>
    <w:p w14:paraId="1D8F79A0" w14:textId="12168668" w:rsidR="006F639B" w:rsidRPr="00776AEC" w:rsidRDefault="000A0AB7"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br/>
      </w:r>
      <w:r w:rsidR="00C964FC" w:rsidRPr="00776AEC">
        <w:rPr>
          <w:rFonts w:asciiTheme="majorHAnsi" w:eastAsia="MS Mincho" w:hAnsiTheme="majorHAnsi"/>
          <w:color w:val="000000"/>
          <w:sz w:val="20"/>
          <w:szCs w:val="20"/>
        </w:rPr>
        <w:t>Estos hechos denotan una falta de diligencia en la investigación de lo sucedido, lo que se agrava con que los señores Martin Emilio y Héctor Gabriel Zapata se encontraban bajo la custodia del Estado en un centro carcelario, y por esa razón, al encontrarse en una relación de especial sujeción al poder estatal, la administración debía responder de manera plena por su seguridad y protección.</w:t>
      </w:r>
    </w:p>
    <w:p w14:paraId="052EF251" w14:textId="77777777" w:rsidR="008613B1" w:rsidRPr="00776AEC" w:rsidRDefault="008613B1"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087DE80F" w14:textId="613C2CC3" w:rsidR="006F639B" w:rsidRPr="00776AEC" w:rsidRDefault="00C964FC"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Teniendo en cuenta lo anterior, y, en especial, reconociendo las obligaciones que tenemos como Estado, en mi calidad de Directora de la Agencia Nacional de Defensa Jurídica del Estado, reconozco la responsabilidad internacional por la violación de los derechos reconocidos en los artículos 4 (derecho a la vida), 5 (derecho a la</w:t>
      </w:r>
      <w:r w:rsidR="00317B20" w:rsidRPr="00776AEC">
        <w:rPr>
          <w:rFonts w:asciiTheme="majorHAnsi" w:eastAsia="MS Mincho" w:hAnsiTheme="majorHAnsi"/>
          <w:color w:val="000000"/>
          <w:sz w:val="20"/>
          <w:szCs w:val="20"/>
        </w:rPr>
        <w:t xml:space="preserve"> integridad persona), 8 (garantías judiciales), y 25 (protección judicial) de la Convención Americana sobre Derechos Humanos en relación con el artículo 1.1. del mismo instrumento.</w:t>
      </w:r>
    </w:p>
    <w:p w14:paraId="7E95B325" w14:textId="77777777" w:rsidR="008473E8" w:rsidRPr="00776AEC" w:rsidRDefault="008473E8"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35647C33" w14:textId="7512B92E" w:rsidR="006F639B" w:rsidRPr="00776AEC" w:rsidRDefault="006F639B"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Este espacio de hoy es un símbolo de perdón y de reconciliación. A ustedes familiares y amigos de Martín Emilio y Héctor Gabriel Zapata, en nombre del Estado colombiano les pedimos su perdón. Toda nuestra solidaridad con su dolor.</w:t>
      </w:r>
    </w:p>
    <w:p w14:paraId="6A571CE8" w14:textId="77777777" w:rsidR="008613B1" w:rsidRDefault="008613B1"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5278E9DC" w14:textId="77777777" w:rsidR="002546D6" w:rsidRPr="00776AEC" w:rsidRDefault="002546D6"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236275F3" w14:textId="03CC06F0" w:rsidR="00BC3F7B" w:rsidRPr="00776AEC" w:rsidRDefault="00BC3F7B"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lastRenderedPageBreak/>
        <w:t>Hoy, la invitación del Estado es a que busquemos en conjunto con la familia de los señores Zapata Álvarez, un verdadero espacio y muestra de genuina reconciliación, con el compromiso de que estos dolorosos hechos no se repitan. Es por ello, que como Estado reconocemos la gran pérdida de la señora Luz Arelly Zapata Morales, hija y sobrina del señor Héctor Gabriel Zapata Álvarez y Martín Emilio Zapata Álvarez, y de todos sus familiares</w:t>
      </w:r>
      <w:r w:rsidR="008613B1" w:rsidRPr="00776AEC">
        <w:rPr>
          <w:rFonts w:asciiTheme="majorHAnsi" w:eastAsia="MS Mincho" w:hAnsiTheme="majorHAnsi"/>
          <w:color w:val="000000"/>
          <w:sz w:val="20"/>
          <w:szCs w:val="20"/>
        </w:rPr>
        <w:t>.</w:t>
      </w:r>
      <w:r w:rsidR="00776AEC" w:rsidRPr="00776AEC">
        <w:rPr>
          <w:rFonts w:asciiTheme="majorHAnsi" w:eastAsia="MS Mincho" w:hAnsiTheme="majorHAnsi"/>
          <w:color w:val="000000"/>
          <w:sz w:val="20"/>
          <w:szCs w:val="20"/>
        </w:rPr>
        <w:t xml:space="preserve"> […]</w:t>
      </w:r>
    </w:p>
    <w:p w14:paraId="44F31319" w14:textId="77777777" w:rsidR="008613B1" w:rsidRPr="00776AEC" w:rsidRDefault="008613B1"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38774DC5" w14:textId="2B8B93B3" w:rsidR="006F639B" w:rsidRPr="00776AEC" w:rsidRDefault="006F639B"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Finalmente, los invito a que como sociedad entendamos que después de hechos como estos, nuestro rol es dignificar la memoria de los señores Martin Emilio y Héctor Gabriel Zapata Álvarez a través de la búsqueda de que nunca más se repitan hechos tan dolorosos. Este es un compromiso que como Estado ratificamos el día de hoy y es un legado que debe permanecer por siempre.</w:t>
      </w:r>
    </w:p>
    <w:p w14:paraId="24AE1644" w14:textId="77777777" w:rsidR="008613B1" w:rsidRPr="00776AEC" w:rsidRDefault="008613B1"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p>
    <w:p w14:paraId="384E1532" w14:textId="4598F92F" w:rsidR="000414AD" w:rsidRPr="00776AEC" w:rsidRDefault="00F22009" w:rsidP="00776AEC">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w:t>
      </w:r>
    </w:p>
    <w:p w14:paraId="189C48AF" w14:textId="77777777" w:rsidR="008613B1" w:rsidRPr="008D6F24" w:rsidRDefault="008613B1" w:rsidP="000907C1">
      <w:pPr>
        <w:pStyle w:val="paragraph"/>
        <w:spacing w:before="0" w:beforeAutospacing="0" w:after="0" w:afterAutospacing="0"/>
        <w:ind w:left="630"/>
        <w:jc w:val="both"/>
        <w:textAlignment w:val="baseline"/>
        <w:rPr>
          <w:rFonts w:asciiTheme="majorHAnsi" w:eastAsia="MS Mincho" w:hAnsiTheme="majorHAnsi"/>
          <w:color w:val="000000"/>
          <w:sz w:val="20"/>
          <w:szCs w:val="20"/>
        </w:rPr>
      </w:pPr>
    </w:p>
    <w:p w14:paraId="1538E510" w14:textId="704DD34E" w:rsidR="00E56999" w:rsidRPr="008D6F24" w:rsidRDefault="00E56999" w:rsidP="007772E0">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8D6F24">
        <w:rPr>
          <w:rFonts w:asciiTheme="majorHAnsi" w:eastAsia="MS Mincho" w:hAnsiTheme="majorHAnsi"/>
          <w:sz w:val="20"/>
          <w:szCs w:val="20"/>
          <w:lang w:val="es-ES"/>
        </w:rPr>
        <w:t>Por su parte, el Comisionado Joel Hernández, Relator de la CIDH para Colombia</w:t>
      </w:r>
      <w:r w:rsidR="0077537F">
        <w:rPr>
          <w:rFonts w:asciiTheme="majorHAnsi" w:eastAsia="MS Mincho" w:hAnsiTheme="majorHAnsi"/>
          <w:sz w:val="20"/>
          <w:szCs w:val="20"/>
          <w:lang w:val="es-ES"/>
        </w:rPr>
        <w:t>,</w:t>
      </w:r>
      <w:r w:rsidRPr="008D6F24">
        <w:rPr>
          <w:rFonts w:asciiTheme="majorHAnsi" w:eastAsia="MS Mincho" w:hAnsiTheme="majorHAnsi"/>
          <w:sz w:val="20"/>
          <w:szCs w:val="20"/>
          <w:lang w:val="es-ES"/>
        </w:rPr>
        <w:t xml:space="preserve"> indicó lo siguiente:</w:t>
      </w:r>
    </w:p>
    <w:p w14:paraId="49C39B72" w14:textId="77777777" w:rsidR="00E56999" w:rsidRPr="008D6F24" w:rsidRDefault="00E56999" w:rsidP="008D6F2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3EA8E297" w14:textId="77777777"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lang w:val="es-ES"/>
        </w:rPr>
      </w:pPr>
      <w:r w:rsidRPr="008D6F24">
        <w:rPr>
          <w:rFonts w:asciiTheme="majorHAnsi" w:eastAsia="MS Mincho" w:hAnsiTheme="majorHAnsi"/>
          <w:sz w:val="20"/>
          <w:szCs w:val="20"/>
          <w:lang w:val="es-ES"/>
        </w:rPr>
        <w:t>[…]</w:t>
      </w:r>
    </w:p>
    <w:p w14:paraId="7009A1BB" w14:textId="77777777"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lang w:val="es-ES"/>
        </w:rPr>
      </w:pPr>
    </w:p>
    <w:p w14:paraId="712B9C90" w14:textId="280E76B3"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r w:rsidRPr="008D6F24">
        <w:rPr>
          <w:rFonts w:asciiTheme="majorHAnsi" w:hAnsiTheme="majorHAnsi"/>
          <w:sz w:val="20"/>
          <w:szCs w:val="20"/>
          <w:lang w:val="es-CO"/>
        </w:rPr>
        <w:t>Hemos escuchado ya el reconocimiento de responsabilidad internacional que ha formulado la doctora Zamora y creo que algo que hay que destacar muy importante, es la omisión en que incurrió el Estado en su deber de proteger a dos personas privadas de libertad, dos personas cuya vida e integridad personal se encontraban a cargo del Estado, porque es precisamente cuando una persona ingresa a un recinto penitenciario, independientemente de las causas, en ese momento el Estado tiene la custodia de la vida e integridad y el Estado fall</w:t>
      </w:r>
      <w:r w:rsidR="0077537F">
        <w:rPr>
          <w:rFonts w:asciiTheme="majorHAnsi" w:hAnsiTheme="majorHAnsi"/>
          <w:sz w:val="20"/>
          <w:szCs w:val="20"/>
          <w:lang w:val="es-CO"/>
        </w:rPr>
        <w:t>ó</w:t>
      </w:r>
      <w:r w:rsidRPr="008D6F24">
        <w:rPr>
          <w:rFonts w:asciiTheme="majorHAnsi" w:hAnsiTheme="majorHAnsi"/>
          <w:sz w:val="20"/>
          <w:szCs w:val="20"/>
          <w:lang w:val="es-CO"/>
        </w:rPr>
        <w:t>, no solamente en proteger el derecho a la vida, a la integridad</w:t>
      </w:r>
      <w:r w:rsidR="008D6F24" w:rsidRPr="008D6F24">
        <w:rPr>
          <w:rFonts w:asciiTheme="majorHAnsi" w:hAnsiTheme="majorHAnsi"/>
          <w:sz w:val="20"/>
          <w:szCs w:val="20"/>
          <w:lang w:val="es-CO"/>
        </w:rPr>
        <w:t>,</w:t>
      </w:r>
      <w:r w:rsidRPr="008D6F24">
        <w:rPr>
          <w:rFonts w:asciiTheme="majorHAnsi" w:hAnsiTheme="majorHAnsi"/>
          <w:sz w:val="20"/>
          <w:szCs w:val="20"/>
          <w:lang w:val="es-CO"/>
        </w:rPr>
        <w:t xml:space="preserve"> pero también en el derecho a las víctimas a tener acceso a la justicia, a la protección judicial y a las garantías judiciales contempladas en la Convención Americana </w:t>
      </w:r>
      <w:r w:rsidR="00456218">
        <w:rPr>
          <w:rFonts w:asciiTheme="majorHAnsi" w:hAnsiTheme="majorHAnsi"/>
          <w:sz w:val="20"/>
          <w:szCs w:val="20"/>
          <w:lang w:val="es-CO"/>
        </w:rPr>
        <w:t>sobre</w:t>
      </w:r>
      <w:r w:rsidRPr="008D6F24">
        <w:rPr>
          <w:rFonts w:asciiTheme="majorHAnsi" w:hAnsiTheme="majorHAnsi"/>
          <w:sz w:val="20"/>
          <w:szCs w:val="20"/>
          <w:lang w:val="es-CO"/>
        </w:rPr>
        <w:t xml:space="preserve"> Derechos Humanos.</w:t>
      </w:r>
    </w:p>
    <w:p w14:paraId="07C1B458" w14:textId="77777777" w:rsidR="0059020B" w:rsidRPr="000907C1"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highlight w:val="yellow"/>
          <w:lang w:val="es-CO"/>
        </w:rPr>
      </w:pPr>
    </w:p>
    <w:p w14:paraId="7DD36FA7" w14:textId="61E18C98"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r w:rsidRPr="008D6F24">
        <w:rPr>
          <w:rFonts w:asciiTheme="majorHAnsi" w:hAnsiTheme="majorHAnsi"/>
          <w:sz w:val="20"/>
          <w:szCs w:val="20"/>
          <w:lang w:val="es-CO"/>
        </w:rPr>
        <w:t>Este es un acto muy importante, forma parte de este proceso de reparación y creemos que escuchar de ustedes su verdad, la verdad de los hechos</w:t>
      </w:r>
      <w:r w:rsidR="00456218">
        <w:rPr>
          <w:rFonts w:asciiTheme="majorHAnsi" w:hAnsiTheme="majorHAnsi"/>
          <w:sz w:val="20"/>
          <w:szCs w:val="20"/>
          <w:lang w:val="es-CO"/>
        </w:rPr>
        <w:t>,</w:t>
      </w:r>
      <w:r w:rsidRPr="008D6F24">
        <w:rPr>
          <w:rFonts w:asciiTheme="majorHAnsi" w:hAnsiTheme="majorHAnsi"/>
          <w:sz w:val="20"/>
          <w:szCs w:val="20"/>
          <w:lang w:val="es-CO"/>
        </w:rPr>
        <w:t xml:space="preserve"> pero al mismo tiempo escuchar el reconocimiento de responsabilidad y el pedido de perdón tienen un efecto reparador y empieza a sanar las heridas para empezar una nueva etapa en su vida.</w:t>
      </w:r>
    </w:p>
    <w:p w14:paraId="512DF950" w14:textId="77777777"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p>
    <w:p w14:paraId="0A500054" w14:textId="05B5228A" w:rsidR="0059020B" w:rsidRPr="008D6F24" w:rsidRDefault="0059020B" w:rsidP="008D6F24">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r w:rsidRPr="008D6F24">
        <w:rPr>
          <w:rFonts w:asciiTheme="majorHAnsi" w:hAnsiTheme="majorHAnsi"/>
          <w:sz w:val="20"/>
          <w:szCs w:val="20"/>
          <w:lang w:val="es-CO"/>
        </w:rPr>
        <w:t>Hemos también constatado c</w:t>
      </w:r>
      <w:r w:rsidR="000F6C1C">
        <w:rPr>
          <w:rFonts w:asciiTheme="majorHAnsi" w:hAnsiTheme="majorHAnsi"/>
          <w:sz w:val="20"/>
          <w:szCs w:val="20"/>
          <w:lang w:val="es-CO"/>
        </w:rPr>
        <w:t>ó</w:t>
      </w:r>
      <w:r w:rsidRPr="008D6F24">
        <w:rPr>
          <w:rFonts w:asciiTheme="majorHAnsi" w:hAnsiTheme="majorHAnsi"/>
          <w:sz w:val="20"/>
          <w:szCs w:val="20"/>
          <w:lang w:val="es-CO"/>
        </w:rPr>
        <w:t xml:space="preserve">mo el mecanismo al que recurrieron en la Comisión Interamericana les ha permitido tener un rol predominante en la concertación de las medidas de reparación, es entonces un acuerdo que les pertenece a ustedes y es un acuerdo </w:t>
      </w:r>
      <w:r w:rsidR="00B3034D">
        <w:rPr>
          <w:rFonts w:asciiTheme="majorHAnsi" w:hAnsiTheme="majorHAnsi"/>
          <w:sz w:val="20"/>
          <w:szCs w:val="20"/>
          <w:lang w:val="es-CO"/>
        </w:rPr>
        <w:t xml:space="preserve">en el </w:t>
      </w:r>
      <w:r w:rsidRPr="008D6F24">
        <w:rPr>
          <w:rFonts w:asciiTheme="majorHAnsi" w:hAnsiTheme="majorHAnsi"/>
          <w:sz w:val="20"/>
          <w:szCs w:val="20"/>
          <w:lang w:val="es-CO"/>
        </w:rPr>
        <w:t>que el Estado ha expresado su compromiso de cumplir.</w:t>
      </w:r>
    </w:p>
    <w:p w14:paraId="5D6A228C" w14:textId="77777777" w:rsidR="0059020B" w:rsidRPr="00B3034D" w:rsidRDefault="0059020B" w:rsidP="008613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p>
    <w:p w14:paraId="1C41FCDC" w14:textId="539868F2" w:rsidR="0059020B" w:rsidRPr="00B3034D" w:rsidRDefault="0059020B" w:rsidP="008613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lang w:val="es-CO"/>
        </w:rPr>
      </w:pPr>
      <w:r w:rsidRPr="00B3034D">
        <w:rPr>
          <w:rFonts w:asciiTheme="majorHAnsi" w:hAnsiTheme="majorHAnsi"/>
          <w:sz w:val="20"/>
          <w:szCs w:val="20"/>
          <w:lang w:val="es-CO"/>
        </w:rPr>
        <w:t>Cumple ahora la Comisión</w:t>
      </w:r>
      <w:r w:rsidR="00B3034D" w:rsidRPr="00B3034D">
        <w:rPr>
          <w:rFonts w:asciiTheme="majorHAnsi" w:hAnsiTheme="majorHAnsi"/>
          <w:sz w:val="20"/>
          <w:szCs w:val="20"/>
          <w:lang w:val="es-CO"/>
        </w:rPr>
        <w:t xml:space="preserve"> al</w:t>
      </w:r>
      <w:r w:rsidRPr="00B3034D">
        <w:rPr>
          <w:rFonts w:asciiTheme="majorHAnsi" w:hAnsiTheme="majorHAnsi"/>
          <w:sz w:val="20"/>
          <w:szCs w:val="20"/>
          <w:lang w:val="es-CO"/>
        </w:rPr>
        <w:t xml:space="preserve"> acompañarles en las siguientes etapas, en la etapa de homologación y en la etapa de supervisión. Lo haremos con el mismo sentido de responsabilidad que nos animan cada uno de los casos que llegan al sistema y lo hacemos también con este entusiasmo de encontrar hoy, en el Estado colombiano, una manifiesta voluntad de colaboración, de asumir sus responsabilidades y de proteger a las víctimas.</w:t>
      </w:r>
    </w:p>
    <w:p w14:paraId="45E35EE0" w14:textId="77777777" w:rsidR="0059020B" w:rsidRPr="00B3034D" w:rsidRDefault="0059020B" w:rsidP="008613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lang w:val="es-CO"/>
        </w:rPr>
      </w:pPr>
    </w:p>
    <w:p w14:paraId="5E6FCF70" w14:textId="24027352" w:rsidR="00E56999" w:rsidRPr="000907C1" w:rsidRDefault="0059020B" w:rsidP="008613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lang w:val="es-ES"/>
        </w:rPr>
      </w:pPr>
      <w:r w:rsidRPr="00B3034D">
        <w:rPr>
          <w:rFonts w:asciiTheme="majorHAnsi" w:eastAsia="MS Mincho" w:hAnsiTheme="majorHAnsi"/>
          <w:sz w:val="20"/>
          <w:szCs w:val="20"/>
          <w:lang w:val="es-ES"/>
        </w:rPr>
        <w:t>[…]</w:t>
      </w:r>
    </w:p>
    <w:p w14:paraId="3987DB8D" w14:textId="77777777" w:rsidR="00E56999" w:rsidRPr="000907C1" w:rsidRDefault="00E56999" w:rsidP="000907C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3B7BC9C3" w14:textId="325C59AA" w:rsidR="00641AFA" w:rsidRPr="00114DBC" w:rsidRDefault="00842546" w:rsidP="007F44A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114DBC">
        <w:rPr>
          <w:rFonts w:ascii="Cambria" w:eastAsiaTheme="minorHAnsi" w:hAnsi="Cambria" w:cs="Cambria"/>
          <w:color w:val="000000"/>
          <w:sz w:val="20"/>
          <w:szCs w:val="20"/>
          <w:lang w:val="es-CO"/>
        </w:rPr>
        <w:t xml:space="preserve">El acto de reconocimiento quedó registrado en la página web de </w:t>
      </w:r>
      <w:r w:rsidRPr="0092488E">
        <w:rPr>
          <w:rFonts w:ascii="Cambria" w:eastAsiaTheme="minorHAnsi" w:hAnsi="Cambria" w:cs="Cambria"/>
          <w:i/>
          <w:iCs/>
          <w:color w:val="000000"/>
          <w:sz w:val="20"/>
          <w:szCs w:val="20"/>
          <w:lang w:val="es-CO"/>
        </w:rPr>
        <w:t>YouTube</w:t>
      </w:r>
      <w:r w:rsidRPr="00114DBC">
        <w:rPr>
          <w:rFonts w:ascii="Cambria" w:eastAsiaTheme="minorHAnsi" w:hAnsi="Cambria" w:cs="Cambria"/>
          <w:color w:val="000000"/>
          <w:sz w:val="20"/>
          <w:szCs w:val="20"/>
          <w:lang w:val="es-CO"/>
        </w:rPr>
        <w:t xml:space="preserve"> de la Agencia Nacional de Defensa Jurídica del Estado</w:t>
      </w:r>
      <w:r w:rsidRPr="00114DBC">
        <w:rPr>
          <w:rStyle w:val="FootnoteReference"/>
          <w:rFonts w:ascii="Cambria" w:eastAsiaTheme="minorHAnsi" w:hAnsi="Cambria" w:cs="Cambria"/>
          <w:color w:val="000000"/>
          <w:sz w:val="20"/>
          <w:szCs w:val="20"/>
          <w:lang w:val="es-CO"/>
        </w:rPr>
        <w:footnoteReference w:id="26"/>
      </w:r>
      <w:r w:rsidRPr="00114DBC">
        <w:rPr>
          <w:rFonts w:ascii="Cambria" w:eastAsiaTheme="minorHAnsi" w:hAnsi="Cambria" w:cs="Cambria"/>
          <w:color w:val="000000"/>
          <w:sz w:val="20"/>
          <w:szCs w:val="20"/>
          <w:lang w:val="es-CO"/>
        </w:rPr>
        <w:t xml:space="preserve">. </w:t>
      </w:r>
      <w:r w:rsidR="0059020B" w:rsidRPr="00114DBC">
        <w:rPr>
          <w:rFonts w:asciiTheme="majorHAnsi" w:eastAsia="MS Mincho" w:hAnsiTheme="majorHAnsi"/>
          <w:sz w:val="20"/>
          <w:szCs w:val="20"/>
          <w:lang w:val="es-ES"/>
        </w:rPr>
        <w:t>Por lo anterior, tomando en consideración los elementos de información anteriormente descritos, la Comisión considera que el numeral I de la cláusula quinta del acuerdo se encuentra cumplido totalmente y así lo declara.</w:t>
      </w:r>
    </w:p>
    <w:p w14:paraId="47A594E4" w14:textId="77777777" w:rsidR="00641AFA" w:rsidRPr="000907C1" w:rsidRDefault="00641AFA" w:rsidP="007F44AA">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Theme="majorHAnsi" w:eastAsia="MS Mincho" w:hAnsiTheme="majorHAnsi"/>
          <w:sz w:val="20"/>
          <w:szCs w:val="20"/>
          <w:highlight w:val="yellow"/>
          <w:lang w:val="es-ES"/>
        </w:rPr>
      </w:pPr>
    </w:p>
    <w:p w14:paraId="11282188" w14:textId="10FACDD2" w:rsidR="005761DD" w:rsidRPr="00190671" w:rsidRDefault="00641AFA" w:rsidP="007F44A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190671">
        <w:rPr>
          <w:rFonts w:asciiTheme="majorHAnsi" w:eastAsia="MS Mincho" w:hAnsiTheme="majorHAnsi"/>
          <w:sz w:val="20"/>
          <w:szCs w:val="20"/>
          <w:lang w:val="es-ES"/>
        </w:rPr>
        <w:lastRenderedPageBreak/>
        <w:t xml:space="preserve">Por otro lado, en relación con el numeral II de la cláusula quinta </w:t>
      </w:r>
      <w:r w:rsidR="00396064" w:rsidRPr="00190671">
        <w:rPr>
          <w:rFonts w:asciiTheme="majorHAnsi" w:eastAsia="MS Mincho" w:hAnsiTheme="majorHAnsi"/>
          <w:sz w:val="20"/>
          <w:szCs w:val="20"/>
          <w:lang w:val="es-ES"/>
        </w:rPr>
        <w:t>(publicación del informe de artículo 49</w:t>
      </w:r>
      <w:r w:rsidRPr="00190671">
        <w:rPr>
          <w:rFonts w:asciiTheme="majorHAnsi" w:eastAsia="MS Mincho" w:hAnsiTheme="majorHAnsi"/>
          <w:sz w:val="20"/>
          <w:szCs w:val="20"/>
          <w:lang w:val="es-ES"/>
        </w:rPr>
        <w:t xml:space="preserve">), la cláusula sexta </w:t>
      </w:r>
      <w:r w:rsidR="00396064" w:rsidRPr="00190671">
        <w:rPr>
          <w:rFonts w:asciiTheme="majorHAnsi" w:eastAsia="MS Mincho" w:hAnsiTheme="majorHAnsi"/>
          <w:sz w:val="20"/>
          <w:szCs w:val="20"/>
          <w:lang w:val="es-ES"/>
        </w:rPr>
        <w:t xml:space="preserve">(medidas de justicia) </w:t>
      </w:r>
      <w:r w:rsidRPr="00190671">
        <w:rPr>
          <w:rFonts w:asciiTheme="majorHAnsi" w:eastAsia="MS Mincho" w:hAnsiTheme="majorHAnsi"/>
          <w:sz w:val="20"/>
          <w:szCs w:val="20"/>
          <w:lang w:val="es-ES"/>
        </w:rPr>
        <w:t>y la cláusula séptima (</w:t>
      </w:r>
      <w:r w:rsidR="00396064" w:rsidRPr="00190671">
        <w:rPr>
          <w:rFonts w:asciiTheme="majorHAnsi" w:eastAsia="MS Mincho" w:hAnsiTheme="majorHAnsi"/>
          <w:sz w:val="20"/>
          <w:szCs w:val="20"/>
          <w:lang w:val="es-ES"/>
        </w:rPr>
        <w:t xml:space="preserve">medidas de compensación) </w:t>
      </w:r>
      <w:r w:rsidRPr="00190671">
        <w:rPr>
          <w:rFonts w:asciiTheme="majorHAnsi" w:eastAsia="MS Mincho" w:hAnsiTheme="majorHAnsi"/>
          <w:sz w:val="20"/>
          <w:szCs w:val="20"/>
          <w:lang w:val="es-ES"/>
        </w:rPr>
        <w:t>del acuerdo de solución amistosa y, en virtud de la solicitud conjunta de las partes de avanzar con la homologación del acuerdo de manera anterior a su ejecución, la Comisión observa que dichas medidas deberán cumplirse con posterioridad a la publicación del presente informe, por lo que estima que estas medidas se encuentran pendientes de cumplimiento y así lo declara.</w:t>
      </w:r>
    </w:p>
    <w:p w14:paraId="4B9B2B6F" w14:textId="77777777" w:rsidR="005761DD" w:rsidRPr="000907C1" w:rsidRDefault="005761DD" w:rsidP="000907C1">
      <w:pPr>
        <w:pStyle w:val="ListParagraph"/>
        <w:rPr>
          <w:rFonts w:asciiTheme="majorHAnsi" w:eastAsia="MS Mincho" w:hAnsiTheme="majorHAnsi"/>
          <w:sz w:val="20"/>
          <w:szCs w:val="20"/>
          <w:lang w:val="es-ES"/>
        </w:rPr>
      </w:pPr>
    </w:p>
    <w:p w14:paraId="14AB13E4" w14:textId="0AAFB757" w:rsidR="008D768D" w:rsidRPr="0092488E" w:rsidRDefault="005761DD" w:rsidP="007F44A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 xml:space="preserve">Por lo anteriormente descrito, la Comisión concluye que el numeral I de la cláusula quinta </w:t>
      </w:r>
      <w:r w:rsidR="00620C25" w:rsidRPr="0092488E">
        <w:rPr>
          <w:rFonts w:asciiTheme="majorHAnsi" w:eastAsia="MS Mincho" w:hAnsiTheme="majorHAnsi"/>
          <w:sz w:val="20"/>
          <w:szCs w:val="20"/>
          <w:lang w:val="es-ES"/>
        </w:rPr>
        <w:t xml:space="preserve">(acto de reconocimiento de responsabilidad) </w:t>
      </w:r>
      <w:r w:rsidRPr="0092488E">
        <w:rPr>
          <w:rFonts w:asciiTheme="majorHAnsi" w:eastAsia="MS Mincho" w:hAnsiTheme="majorHAnsi"/>
          <w:sz w:val="20"/>
          <w:szCs w:val="20"/>
          <w:lang w:val="es-ES"/>
        </w:rPr>
        <w:t>se encuentra cumplido totalmente y así lo declara. Por otro lado, la Comisión considera que el numeral II (</w:t>
      </w:r>
      <w:r w:rsidR="00620C25" w:rsidRPr="0092488E">
        <w:rPr>
          <w:rFonts w:asciiTheme="majorHAnsi" w:eastAsia="MS Mincho" w:hAnsiTheme="majorHAnsi"/>
          <w:sz w:val="20"/>
          <w:szCs w:val="20"/>
          <w:lang w:val="es-ES"/>
        </w:rPr>
        <w:t>p</w:t>
      </w:r>
      <w:r w:rsidRPr="0092488E">
        <w:rPr>
          <w:rFonts w:asciiTheme="majorHAnsi" w:eastAsia="MS Mincho" w:hAnsiTheme="majorHAnsi"/>
          <w:sz w:val="20"/>
          <w:szCs w:val="20"/>
          <w:lang w:val="es-ES"/>
        </w:rPr>
        <w:t xml:space="preserve">ublicación del </w:t>
      </w:r>
      <w:r w:rsidR="00620C25" w:rsidRPr="0092488E">
        <w:rPr>
          <w:rFonts w:asciiTheme="majorHAnsi" w:eastAsia="MS Mincho" w:hAnsiTheme="majorHAnsi"/>
          <w:sz w:val="20"/>
          <w:szCs w:val="20"/>
          <w:lang w:val="es-ES"/>
        </w:rPr>
        <w:t>i</w:t>
      </w:r>
      <w:r w:rsidRPr="0092488E">
        <w:rPr>
          <w:rFonts w:asciiTheme="majorHAnsi" w:eastAsia="MS Mincho" w:hAnsiTheme="majorHAnsi"/>
          <w:sz w:val="20"/>
          <w:szCs w:val="20"/>
          <w:lang w:val="es-ES"/>
        </w:rPr>
        <w:t xml:space="preserve">nforme de </w:t>
      </w:r>
      <w:r w:rsidR="00620C25" w:rsidRPr="0092488E">
        <w:rPr>
          <w:rFonts w:asciiTheme="majorHAnsi" w:eastAsia="MS Mincho" w:hAnsiTheme="majorHAnsi"/>
          <w:sz w:val="20"/>
          <w:szCs w:val="20"/>
          <w:lang w:val="es-ES"/>
        </w:rPr>
        <w:t>a</w:t>
      </w:r>
      <w:r w:rsidR="00D12BBB" w:rsidRPr="0092488E">
        <w:rPr>
          <w:rFonts w:asciiTheme="majorHAnsi" w:eastAsia="MS Mincho" w:hAnsiTheme="majorHAnsi"/>
          <w:sz w:val="20"/>
          <w:szCs w:val="20"/>
          <w:lang w:val="es-ES"/>
        </w:rPr>
        <w:t>rtículo</w:t>
      </w:r>
      <w:r w:rsidRPr="0092488E">
        <w:rPr>
          <w:rFonts w:asciiTheme="majorHAnsi" w:eastAsia="MS Mincho" w:hAnsiTheme="majorHAnsi"/>
          <w:sz w:val="20"/>
          <w:szCs w:val="20"/>
          <w:lang w:val="es-ES"/>
        </w:rPr>
        <w:t xml:space="preserve"> 49) de la cláusula quinta (</w:t>
      </w:r>
      <w:r w:rsidR="00620C25" w:rsidRPr="0092488E">
        <w:rPr>
          <w:rFonts w:asciiTheme="majorHAnsi" w:eastAsia="MS Mincho" w:hAnsiTheme="majorHAnsi"/>
          <w:sz w:val="20"/>
          <w:szCs w:val="20"/>
          <w:lang w:val="es-ES"/>
        </w:rPr>
        <w:t>m</w:t>
      </w:r>
      <w:r w:rsidRPr="0092488E">
        <w:rPr>
          <w:rFonts w:asciiTheme="majorHAnsi" w:eastAsia="MS Mincho" w:hAnsiTheme="majorHAnsi"/>
          <w:sz w:val="20"/>
          <w:szCs w:val="20"/>
          <w:lang w:val="es-ES"/>
        </w:rPr>
        <w:t xml:space="preserve">edidas de </w:t>
      </w:r>
      <w:r w:rsidR="00620C25" w:rsidRPr="0092488E">
        <w:rPr>
          <w:rFonts w:asciiTheme="majorHAnsi" w:eastAsia="MS Mincho" w:hAnsiTheme="majorHAnsi"/>
          <w:sz w:val="20"/>
          <w:szCs w:val="20"/>
          <w:lang w:val="es-ES"/>
        </w:rPr>
        <w:t>s</w:t>
      </w:r>
      <w:r w:rsidRPr="0092488E">
        <w:rPr>
          <w:rFonts w:asciiTheme="majorHAnsi" w:eastAsia="MS Mincho" w:hAnsiTheme="majorHAnsi"/>
          <w:sz w:val="20"/>
          <w:szCs w:val="20"/>
          <w:lang w:val="es-ES"/>
        </w:rPr>
        <w:t>atisfacción) así como las cláusulas sexta (</w:t>
      </w:r>
      <w:r w:rsidR="00620C25" w:rsidRPr="0092488E">
        <w:rPr>
          <w:rFonts w:asciiTheme="majorHAnsi" w:eastAsia="MS Mincho" w:hAnsiTheme="majorHAnsi"/>
          <w:sz w:val="20"/>
          <w:szCs w:val="20"/>
          <w:lang w:val="es-ES"/>
        </w:rPr>
        <w:t>m</w:t>
      </w:r>
      <w:r w:rsidRPr="0092488E">
        <w:rPr>
          <w:rFonts w:asciiTheme="majorHAnsi" w:eastAsia="MS Mincho" w:hAnsiTheme="majorHAnsi"/>
          <w:sz w:val="20"/>
          <w:szCs w:val="20"/>
          <w:lang w:val="es-ES"/>
        </w:rPr>
        <w:t xml:space="preserve">edidas de </w:t>
      </w:r>
      <w:r w:rsidR="00620C25" w:rsidRPr="0092488E">
        <w:rPr>
          <w:rFonts w:asciiTheme="majorHAnsi" w:eastAsia="MS Mincho" w:hAnsiTheme="majorHAnsi"/>
          <w:sz w:val="20"/>
          <w:szCs w:val="20"/>
          <w:lang w:val="es-ES"/>
        </w:rPr>
        <w:t>j</w:t>
      </w:r>
      <w:r w:rsidRPr="0092488E">
        <w:rPr>
          <w:rFonts w:asciiTheme="majorHAnsi" w:eastAsia="MS Mincho" w:hAnsiTheme="majorHAnsi"/>
          <w:sz w:val="20"/>
          <w:szCs w:val="20"/>
          <w:lang w:val="es-ES"/>
        </w:rPr>
        <w:t>usticia) y séptima (</w:t>
      </w:r>
      <w:r w:rsidR="00620C25" w:rsidRPr="0092488E">
        <w:rPr>
          <w:rFonts w:asciiTheme="majorHAnsi" w:eastAsia="MS Mincho" w:hAnsiTheme="majorHAnsi"/>
          <w:sz w:val="20"/>
          <w:szCs w:val="20"/>
          <w:lang w:val="es-ES"/>
        </w:rPr>
        <w:t>m</w:t>
      </w:r>
      <w:r w:rsidRPr="0092488E">
        <w:rPr>
          <w:rFonts w:asciiTheme="majorHAnsi" w:eastAsia="MS Mincho" w:hAnsiTheme="majorHAnsi"/>
          <w:sz w:val="20"/>
          <w:szCs w:val="20"/>
          <w:lang w:val="es-ES"/>
        </w:rPr>
        <w:t xml:space="preserve">edidas de </w:t>
      </w:r>
      <w:r w:rsidR="00620C25" w:rsidRPr="0092488E">
        <w:rPr>
          <w:rFonts w:asciiTheme="majorHAnsi" w:eastAsia="MS Mincho" w:hAnsiTheme="majorHAnsi"/>
          <w:sz w:val="20"/>
          <w:szCs w:val="20"/>
          <w:lang w:val="es-ES"/>
        </w:rPr>
        <w:t>c</w:t>
      </w:r>
      <w:r w:rsidRPr="0092488E">
        <w:rPr>
          <w:rFonts w:asciiTheme="majorHAnsi" w:eastAsia="MS Mincho" w:hAnsiTheme="majorHAnsi"/>
          <w:sz w:val="20"/>
          <w:szCs w:val="20"/>
          <w:lang w:val="es-ES"/>
        </w:rPr>
        <w:t xml:space="preserve">ompensación) se encuentran pendientes de cumplimiento. En ese sentido, la Comisión </w:t>
      </w:r>
      <w:r w:rsidR="00514EE9" w:rsidRPr="0092488E">
        <w:rPr>
          <w:rFonts w:asciiTheme="majorHAnsi" w:eastAsia="MS Mincho" w:hAnsiTheme="majorHAnsi"/>
          <w:sz w:val="20"/>
          <w:szCs w:val="20"/>
          <w:lang w:val="es-ES"/>
        </w:rPr>
        <w:t xml:space="preserve">pondera </w:t>
      </w:r>
      <w:r w:rsidRPr="0092488E">
        <w:rPr>
          <w:rFonts w:asciiTheme="majorHAnsi" w:eastAsia="MS Mincho" w:hAnsiTheme="majorHAnsi"/>
          <w:sz w:val="20"/>
          <w:szCs w:val="20"/>
          <w:lang w:val="es-ES"/>
        </w:rPr>
        <w:t>que el acuerdo de solución amistosa tiene un nivel de cumplimiento parcial y así lo declara.</w:t>
      </w:r>
    </w:p>
    <w:p w14:paraId="66D12A87" w14:textId="77777777" w:rsidR="004F0650" w:rsidRPr="0092488E" w:rsidRDefault="004F0650" w:rsidP="000907C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25A2850B" w14:textId="6E1E9D10" w:rsidR="00C70EB2" w:rsidRPr="0092488E" w:rsidRDefault="00D37A1B" w:rsidP="007F44A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ES"/>
        </w:rPr>
      </w:pPr>
      <w:r w:rsidRPr="0092488E">
        <w:rPr>
          <w:rFonts w:asciiTheme="majorHAnsi" w:eastAsia="MS Mincho" w:hAnsiTheme="majorHAnsi"/>
          <w:sz w:val="20"/>
          <w:szCs w:val="20"/>
          <w:lang w:val="es-ES_tradnl"/>
        </w:rPr>
        <w:t>Finalmente, l</w:t>
      </w:r>
      <w:r w:rsidRPr="0092488E">
        <w:rPr>
          <w:rFonts w:asciiTheme="majorHAnsi" w:eastAsia="MS Mincho" w:hAnsiTheme="majorHAnsi"/>
          <w:sz w:val="20"/>
          <w:szCs w:val="20"/>
          <w:lang w:val="es-ES"/>
        </w:rPr>
        <w:t xml:space="preserve">a CIDH </w:t>
      </w:r>
      <w:r w:rsidR="00514EE9" w:rsidRPr="0092488E">
        <w:rPr>
          <w:rFonts w:asciiTheme="majorHAnsi" w:eastAsia="MS Mincho" w:hAnsiTheme="majorHAnsi"/>
          <w:sz w:val="20"/>
          <w:szCs w:val="20"/>
          <w:lang w:val="es-ES"/>
        </w:rPr>
        <w:t xml:space="preserve">advierte </w:t>
      </w:r>
      <w:r w:rsidRPr="0092488E">
        <w:rPr>
          <w:rFonts w:asciiTheme="majorHAnsi" w:eastAsia="MS Mincho" w:hAnsiTheme="majorHAnsi"/>
          <w:sz w:val="20"/>
          <w:szCs w:val="20"/>
          <w:lang w:val="es-ES"/>
        </w:rPr>
        <w:t>que el resto del contenido del acuerdo de solución amistosa es de carácter declarativo</w:t>
      </w:r>
      <w:r w:rsidRPr="0092488E">
        <w:rPr>
          <w:rFonts w:asciiTheme="majorHAnsi" w:eastAsia="MS Mincho" w:hAnsiTheme="majorHAnsi"/>
          <w:sz w:val="20"/>
          <w:szCs w:val="20"/>
          <w:lang w:val="es-ES_tradnl"/>
        </w:rPr>
        <w:t xml:space="preserve">, </w:t>
      </w:r>
      <w:r w:rsidR="00390964" w:rsidRPr="0092488E">
        <w:rPr>
          <w:rFonts w:eastAsia="MS Mincho"/>
          <w:sz w:val="20"/>
          <w:szCs w:val="20"/>
          <w:lang w:val="es-CO"/>
        </w:rPr>
        <w:t>por lo que no le corresponde su supervisión</w:t>
      </w:r>
      <w:r w:rsidR="008103B8" w:rsidRPr="0092488E">
        <w:rPr>
          <w:rFonts w:asciiTheme="majorHAnsi" w:eastAsia="MS Mincho" w:hAnsiTheme="majorHAnsi"/>
          <w:sz w:val="20"/>
          <w:szCs w:val="20"/>
          <w:lang w:val="es-ES_tradnl"/>
        </w:rPr>
        <w:t>.</w:t>
      </w:r>
    </w:p>
    <w:p w14:paraId="66D6B94F" w14:textId="77777777" w:rsidR="00D37A1B" w:rsidRPr="0092488E" w:rsidRDefault="00D37A1B" w:rsidP="000907C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568FF306" w14:textId="77777777" w:rsidR="00D37A1B" w:rsidRPr="0092488E" w:rsidRDefault="00D37A1B" w:rsidP="005213ED">
      <w:pPr>
        <w:pStyle w:val="ListParagraph"/>
        <w:numPr>
          <w:ilvl w:val="0"/>
          <w:numId w:val="57"/>
        </w:numPr>
        <w:ind w:left="1440"/>
        <w:rPr>
          <w:rFonts w:asciiTheme="majorHAnsi" w:eastAsia="MS Mincho" w:hAnsiTheme="majorHAnsi"/>
          <w:b/>
          <w:sz w:val="20"/>
          <w:szCs w:val="20"/>
          <w:lang w:val="es-ES"/>
        </w:rPr>
      </w:pPr>
      <w:r w:rsidRPr="0092488E">
        <w:rPr>
          <w:rFonts w:asciiTheme="majorHAnsi" w:eastAsia="MS Mincho" w:hAnsiTheme="majorHAnsi"/>
          <w:b/>
          <w:sz w:val="20"/>
          <w:szCs w:val="20"/>
          <w:lang w:val="es-ES"/>
        </w:rPr>
        <w:t>CONCLUSIONES</w:t>
      </w:r>
    </w:p>
    <w:p w14:paraId="6B6B1986" w14:textId="77777777" w:rsidR="00D37A1B" w:rsidRPr="0092488E" w:rsidRDefault="00D37A1B" w:rsidP="000907C1">
      <w:pPr>
        <w:pStyle w:val="ListParagraph"/>
        <w:tabs>
          <w:tab w:val="left" w:pos="1440"/>
        </w:tabs>
        <w:ind w:left="0" w:firstLine="720"/>
        <w:jc w:val="both"/>
        <w:rPr>
          <w:rFonts w:asciiTheme="majorHAnsi" w:eastAsia="MS Mincho" w:hAnsiTheme="majorHAnsi"/>
          <w:sz w:val="20"/>
          <w:szCs w:val="20"/>
          <w:lang w:val="es-ES"/>
        </w:rPr>
      </w:pPr>
    </w:p>
    <w:p w14:paraId="06BF1C8C" w14:textId="1F1DD8A4" w:rsidR="00D37A1B" w:rsidRPr="0092488E" w:rsidRDefault="00D37A1B" w:rsidP="000907C1">
      <w:pPr>
        <w:tabs>
          <w:tab w:val="left" w:pos="1440"/>
        </w:tabs>
        <w:ind w:firstLine="720"/>
        <w:jc w:val="both"/>
        <w:rPr>
          <w:rFonts w:asciiTheme="majorHAnsi" w:eastAsia="MS Mincho" w:hAnsiTheme="majorHAnsi" w:cs="Cambria"/>
          <w:color w:val="000000"/>
          <w:sz w:val="20"/>
          <w:szCs w:val="20"/>
          <w:u w:color="000000"/>
          <w:lang w:val="es-ES_tradnl" w:eastAsia="es-ES"/>
        </w:rPr>
      </w:pPr>
      <w:r w:rsidRPr="0092488E">
        <w:rPr>
          <w:rFonts w:asciiTheme="majorHAnsi" w:eastAsia="MS Mincho" w:hAnsiTheme="majorHAnsi" w:cs="Cambria"/>
          <w:color w:val="000000"/>
          <w:sz w:val="20"/>
          <w:szCs w:val="20"/>
          <w:u w:color="000000"/>
          <w:lang w:val="es-ES_tradnl" w:eastAsia="es-ES"/>
        </w:rPr>
        <w:t xml:space="preserve">1. </w:t>
      </w:r>
      <w:r w:rsidRPr="0092488E">
        <w:rPr>
          <w:rFonts w:asciiTheme="majorHAnsi" w:eastAsia="MS Mincho" w:hAnsiTheme="majorHAnsi" w:cs="Cambria"/>
          <w:color w:val="000000"/>
          <w:sz w:val="20"/>
          <w:szCs w:val="20"/>
          <w:u w:color="000000"/>
          <w:lang w:val="es-ES_tradnl" w:eastAsia="es-ES"/>
        </w:rPr>
        <w:tab/>
        <w:t xml:space="preserve">Con base en las </w:t>
      </w:r>
      <w:r w:rsidR="0092488E">
        <w:rPr>
          <w:rFonts w:asciiTheme="majorHAnsi" w:eastAsia="MS Mincho" w:hAnsiTheme="majorHAnsi" w:cs="Cambria"/>
          <w:color w:val="000000"/>
          <w:sz w:val="20"/>
          <w:szCs w:val="20"/>
          <w:u w:color="000000"/>
          <w:lang w:val="es-ES_tradnl" w:eastAsia="es-ES"/>
        </w:rPr>
        <w:t>razones</w:t>
      </w:r>
      <w:r w:rsidRPr="0092488E">
        <w:rPr>
          <w:rFonts w:asciiTheme="majorHAnsi" w:eastAsia="MS Mincho" w:hAnsiTheme="majorHAnsi" w:cs="Cambria"/>
          <w:color w:val="000000"/>
          <w:sz w:val="20"/>
          <w:szCs w:val="20"/>
          <w:u w:color="000000"/>
          <w:lang w:val="es-ES_tradnl" w:eastAsia="es-ES"/>
        </w:rPr>
        <w:t xml:space="preserve">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6CB6EBDE" w14:textId="77777777" w:rsidR="00D37A1B" w:rsidRPr="0092488E" w:rsidRDefault="00D37A1B" w:rsidP="000907C1">
      <w:pPr>
        <w:tabs>
          <w:tab w:val="left" w:pos="1440"/>
        </w:tabs>
        <w:ind w:firstLine="720"/>
        <w:jc w:val="both"/>
        <w:rPr>
          <w:rFonts w:asciiTheme="majorHAnsi" w:eastAsia="MS Mincho" w:hAnsiTheme="majorHAnsi" w:cs="Cambria"/>
          <w:color w:val="000000"/>
          <w:sz w:val="20"/>
          <w:szCs w:val="20"/>
          <w:u w:color="000000"/>
          <w:lang w:val="es-ES_tradnl" w:eastAsia="es-ES"/>
        </w:rPr>
      </w:pPr>
    </w:p>
    <w:p w14:paraId="408388A7" w14:textId="77777777" w:rsidR="00D37A1B" w:rsidRPr="0092488E" w:rsidRDefault="00DA0340" w:rsidP="000907C1">
      <w:pPr>
        <w:tabs>
          <w:tab w:val="left" w:pos="1440"/>
        </w:tabs>
        <w:ind w:firstLine="720"/>
        <w:jc w:val="both"/>
        <w:rPr>
          <w:rFonts w:asciiTheme="majorHAnsi" w:eastAsia="MS Mincho" w:hAnsiTheme="majorHAnsi" w:cs="Cambria"/>
          <w:color w:val="000000"/>
          <w:sz w:val="20"/>
          <w:szCs w:val="20"/>
          <w:u w:color="000000"/>
          <w:lang w:val="es-ES_tradnl" w:eastAsia="es-ES"/>
        </w:rPr>
      </w:pPr>
      <w:r w:rsidRPr="0092488E">
        <w:rPr>
          <w:rFonts w:asciiTheme="majorHAnsi" w:eastAsia="MS Mincho" w:hAnsiTheme="majorHAnsi" w:cs="Cambria"/>
          <w:color w:val="000000"/>
          <w:sz w:val="20"/>
          <w:szCs w:val="20"/>
          <w:u w:color="000000"/>
          <w:lang w:val="es-ES_tradnl" w:eastAsia="es-ES"/>
        </w:rPr>
        <w:t xml:space="preserve">2. </w:t>
      </w:r>
      <w:r w:rsidR="00D37A1B" w:rsidRPr="0092488E">
        <w:rPr>
          <w:rFonts w:asciiTheme="majorHAnsi" w:eastAsia="MS Mincho" w:hAnsiTheme="majorHAnsi" w:cs="Cambria"/>
          <w:color w:val="000000"/>
          <w:sz w:val="20"/>
          <w:szCs w:val="20"/>
          <w:u w:color="000000"/>
          <w:lang w:val="es-ES_tradnl" w:eastAsia="es-ES"/>
        </w:rPr>
        <w:tab/>
        <w:t xml:space="preserve">En virtud de las consideraciones y conclusiones expuestas en este informe, </w:t>
      </w:r>
    </w:p>
    <w:p w14:paraId="111E42D1" w14:textId="77777777" w:rsidR="00D37A1B" w:rsidRPr="0092488E" w:rsidRDefault="00D37A1B" w:rsidP="000907C1">
      <w:pPr>
        <w:ind w:firstLine="720"/>
        <w:jc w:val="both"/>
        <w:rPr>
          <w:rFonts w:asciiTheme="majorHAnsi" w:eastAsia="MS Mincho" w:hAnsiTheme="majorHAnsi"/>
          <w:sz w:val="20"/>
          <w:szCs w:val="20"/>
          <w:lang w:val="es-ES_tradnl"/>
        </w:rPr>
      </w:pPr>
    </w:p>
    <w:p w14:paraId="50F5FEBA" w14:textId="77777777" w:rsidR="00D37A1B" w:rsidRPr="0092488E" w:rsidRDefault="00D37A1B" w:rsidP="00CE2077">
      <w:pPr>
        <w:tabs>
          <w:tab w:val="left" w:pos="1440"/>
        </w:tabs>
        <w:ind w:left="709"/>
        <w:rPr>
          <w:rFonts w:asciiTheme="majorHAnsi" w:eastAsia="MS Mincho" w:hAnsiTheme="majorHAnsi"/>
          <w:b/>
          <w:bCs/>
          <w:sz w:val="20"/>
          <w:szCs w:val="20"/>
          <w:lang w:val="es-ES"/>
        </w:rPr>
      </w:pPr>
      <w:r w:rsidRPr="0092488E">
        <w:rPr>
          <w:rFonts w:asciiTheme="majorHAnsi" w:eastAsia="MS Mincho" w:hAnsiTheme="majorHAnsi"/>
          <w:b/>
          <w:bCs/>
          <w:sz w:val="20"/>
          <w:szCs w:val="20"/>
          <w:lang w:val="es-ES"/>
        </w:rPr>
        <w:t>LA COMISIÓN INTERAMERICANA DE DERECHOS HUMANOS</w:t>
      </w:r>
    </w:p>
    <w:p w14:paraId="083A0542" w14:textId="77777777" w:rsidR="00D37A1B" w:rsidRPr="0092488E" w:rsidRDefault="00D37A1B" w:rsidP="00CE2077">
      <w:pPr>
        <w:tabs>
          <w:tab w:val="left" w:pos="1440"/>
        </w:tabs>
        <w:ind w:left="709"/>
        <w:jc w:val="both"/>
        <w:rPr>
          <w:rFonts w:asciiTheme="majorHAnsi" w:eastAsia="MS Mincho" w:hAnsiTheme="majorHAnsi"/>
          <w:b/>
          <w:bCs/>
          <w:sz w:val="20"/>
          <w:szCs w:val="20"/>
          <w:lang w:val="es-ES"/>
        </w:rPr>
      </w:pPr>
    </w:p>
    <w:p w14:paraId="34E866BB" w14:textId="77777777" w:rsidR="00D37A1B" w:rsidRPr="0092488E" w:rsidRDefault="00D37A1B" w:rsidP="00CE2077">
      <w:pPr>
        <w:ind w:left="709"/>
        <w:jc w:val="both"/>
        <w:rPr>
          <w:rFonts w:asciiTheme="majorHAnsi" w:eastAsia="MS Mincho" w:hAnsiTheme="majorHAnsi"/>
          <w:sz w:val="20"/>
          <w:szCs w:val="20"/>
          <w:lang w:val="es-ES"/>
        </w:rPr>
      </w:pPr>
      <w:r w:rsidRPr="0092488E">
        <w:rPr>
          <w:rFonts w:asciiTheme="majorHAnsi" w:eastAsia="MS Mincho" w:hAnsiTheme="majorHAnsi"/>
          <w:b/>
          <w:bCs/>
          <w:sz w:val="20"/>
          <w:szCs w:val="20"/>
          <w:lang w:val="es-ES"/>
        </w:rPr>
        <w:t>DECIDE:</w:t>
      </w:r>
    </w:p>
    <w:p w14:paraId="52B9DEC9" w14:textId="77777777" w:rsidR="00D37A1B" w:rsidRPr="0092488E" w:rsidRDefault="00D37A1B" w:rsidP="000907C1">
      <w:pPr>
        <w:tabs>
          <w:tab w:val="left" w:pos="1260"/>
        </w:tabs>
        <w:ind w:firstLine="720"/>
        <w:jc w:val="both"/>
        <w:rPr>
          <w:rFonts w:asciiTheme="majorHAnsi" w:eastAsia="MS Mincho" w:hAnsiTheme="majorHAnsi"/>
          <w:sz w:val="20"/>
          <w:szCs w:val="20"/>
          <w:lang w:val="es-ES"/>
        </w:rPr>
      </w:pPr>
    </w:p>
    <w:p w14:paraId="3FA4B078" w14:textId="63C3B934" w:rsidR="00D37A1B" w:rsidRPr="0092488E" w:rsidRDefault="00D37A1B" w:rsidP="005213E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 xml:space="preserve">Aprobar los términos del acuerdo suscrito por las partes el </w:t>
      </w:r>
      <w:r w:rsidR="004F0650" w:rsidRPr="0092488E">
        <w:rPr>
          <w:rFonts w:asciiTheme="majorHAnsi" w:eastAsia="MS Mincho" w:hAnsiTheme="majorHAnsi"/>
          <w:sz w:val="20"/>
          <w:szCs w:val="20"/>
          <w:lang w:val="es-AR"/>
        </w:rPr>
        <w:t>2 de marzo de 2023</w:t>
      </w:r>
      <w:r w:rsidR="00F07CE9" w:rsidRPr="0092488E">
        <w:rPr>
          <w:rFonts w:asciiTheme="majorHAnsi" w:eastAsia="Times New Roman" w:hAnsiTheme="majorHAnsi"/>
          <w:sz w:val="20"/>
          <w:szCs w:val="20"/>
          <w:lang w:val="es-ES_tradnl"/>
        </w:rPr>
        <w:t>.</w:t>
      </w:r>
      <w:r w:rsidRPr="0092488E">
        <w:rPr>
          <w:rFonts w:asciiTheme="majorHAnsi" w:eastAsia="Times New Roman" w:hAnsiTheme="majorHAnsi"/>
          <w:sz w:val="20"/>
          <w:szCs w:val="20"/>
          <w:lang w:val="es-ES_tradnl"/>
        </w:rPr>
        <w:t xml:space="preserve"> </w:t>
      </w:r>
    </w:p>
    <w:p w14:paraId="2C12B134" w14:textId="77777777" w:rsidR="00D37A1B" w:rsidRPr="0092488E" w:rsidRDefault="00D37A1B" w:rsidP="000907C1">
      <w:pPr>
        <w:pStyle w:val="ListParagraph"/>
        <w:rPr>
          <w:rFonts w:asciiTheme="majorHAnsi" w:eastAsia="MS Mincho" w:hAnsiTheme="majorHAnsi"/>
          <w:sz w:val="20"/>
          <w:szCs w:val="20"/>
          <w:lang w:val="es-ES"/>
        </w:rPr>
      </w:pPr>
    </w:p>
    <w:p w14:paraId="6424E7EA" w14:textId="4E62E424" w:rsidR="00D37A1B" w:rsidRPr="0092488E" w:rsidRDefault="00D37A1B" w:rsidP="005213E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 xml:space="preserve">Declarar el cumplimiento total </w:t>
      </w:r>
      <w:r w:rsidR="00C70EB2" w:rsidRPr="0092488E">
        <w:rPr>
          <w:rFonts w:asciiTheme="majorHAnsi" w:eastAsia="MS Mincho" w:hAnsiTheme="majorHAnsi"/>
          <w:sz w:val="20"/>
          <w:szCs w:val="20"/>
          <w:lang w:val="es-ES"/>
        </w:rPr>
        <w:t>de</w:t>
      </w:r>
      <w:r w:rsidR="004F0650" w:rsidRPr="0092488E">
        <w:rPr>
          <w:rFonts w:asciiTheme="majorHAnsi" w:eastAsia="MS Mincho" w:hAnsiTheme="majorHAnsi"/>
          <w:sz w:val="20"/>
          <w:szCs w:val="20"/>
          <w:lang w:val="es-ES"/>
        </w:rPr>
        <w:t>l</w:t>
      </w:r>
      <w:r w:rsidR="00C70EB2" w:rsidRPr="0092488E">
        <w:rPr>
          <w:rFonts w:asciiTheme="majorHAnsi" w:eastAsia="MS Mincho" w:hAnsiTheme="majorHAnsi"/>
          <w:sz w:val="20"/>
          <w:szCs w:val="20"/>
          <w:lang w:val="es-ES"/>
        </w:rPr>
        <w:t xml:space="preserve"> </w:t>
      </w:r>
      <w:r w:rsidR="004F0650" w:rsidRPr="0092488E">
        <w:rPr>
          <w:rFonts w:asciiTheme="majorHAnsi" w:eastAsia="MS Mincho" w:hAnsiTheme="majorHAnsi"/>
          <w:sz w:val="20"/>
          <w:szCs w:val="20"/>
          <w:lang w:val="es-CO"/>
        </w:rPr>
        <w:t>numeral I</w:t>
      </w:r>
      <w:r w:rsidR="004F0650" w:rsidRPr="0092488E">
        <w:rPr>
          <w:rFonts w:asciiTheme="majorHAnsi" w:eastAsia="MS Mincho" w:hAnsiTheme="majorHAnsi"/>
          <w:i/>
          <w:iCs/>
          <w:sz w:val="20"/>
          <w:szCs w:val="20"/>
          <w:lang w:val="es-CO"/>
        </w:rPr>
        <w:t xml:space="preserve"> </w:t>
      </w:r>
      <w:r w:rsidR="004F0650" w:rsidRPr="0092488E">
        <w:rPr>
          <w:rFonts w:asciiTheme="majorHAnsi" w:eastAsia="MS Mincho" w:hAnsiTheme="majorHAnsi"/>
          <w:sz w:val="20"/>
          <w:szCs w:val="20"/>
          <w:lang w:val="es-CO"/>
        </w:rPr>
        <w:t>de la cláusula quint</w:t>
      </w:r>
      <w:r w:rsidR="004F0650" w:rsidRPr="0092488E">
        <w:rPr>
          <w:rFonts w:asciiTheme="majorHAnsi" w:eastAsia="MS Mincho" w:hAnsiTheme="majorHAnsi"/>
          <w:sz w:val="20"/>
          <w:szCs w:val="20"/>
          <w:lang w:val="es-ES_tradnl"/>
        </w:rPr>
        <w:t xml:space="preserve">a </w:t>
      </w:r>
      <w:r w:rsidR="00F07CE9" w:rsidRPr="0092488E">
        <w:rPr>
          <w:rFonts w:asciiTheme="majorHAnsi" w:eastAsia="MS Mincho" w:hAnsiTheme="majorHAnsi"/>
          <w:sz w:val="20"/>
          <w:szCs w:val="20"/>
          <w:lang w:val="es-ES_tradnl"/>
        </w:rPr>
        <w:t>(</w:t>
      </w:r>
      <w:r w:rsidR="00C54336" w:rsidRPr="0092488E">
        <w:rPr>
          <w:rFonts w:asciiTheme="majorHAnsi" w:eastAsia="MS Mincho" w:hAnsiTheme="majorHAnsi"/>
          <w:sz w:val="20"/>
          <w:szCs w:val="20"/>
          <w:lang w:val="es-ES"/>
        </w:rPr>
        <w:t>a</w:t>
      </w:r>
      <w:r w:rsidR="00D61A76" w:rsidRPr="0092488E">
        <w:rPr>
          <w:rFonts w:asciiTheme="majorHAnsi" w:eastAsia="MS Mincho" w:hAnsiTheme="majorHAnsi"/>
          <w:sz w:val="20"/>
          <w:szCs w:val="20"/>
          <w:lang w:val="es-ES"/>
        </w:rPr>
        <w:t xml:space="preserve">cto de </w:t>
      </w:r>
      <w:r w:rsidR="00C54336" w:rsidRPr="0092488E">
        <w:rPr>
          <w:rFonts w:asciiTheme="majorHAnsi" w:eastAsia="MS Mincho" w:hAnsiTheme="majorHAnsi"/>
          <w:sz w:val="20"/>
          <w:szCs w:val="20"/>
          <w:lang w:val="es-ES"/>
        </w:rPr>
        <w:t>r</w:t>
      </w:r>
      <w:r w:rsidR="00D61A76" w:rsidRPr="0092488E">
        <w:rPr>
          <w:rFonts w:asciiTheme="majorHAnsi" w:eastAsia="MS Mincho" w:hAnsiTheme="majorHAnsi"/>
          <w:sz w:val="20"/>
          <w:szCs w:val="20"/>
          <w:lang w:val="es-ES"/>
        </w:rPr>
        <w:t xml:space="preserve">econocimiento de </w:t>
      </w:r>
      <w:r w:rsidR="00C54336" w:rsidRPr="0092488E">
        <w:rPr>
          <w:rFonts w:asciiTheme="majorHAnsi" w:eastAsia="MS Mincho" w:hAnsiTheme="majorHAnsi"/>
          <w:sz w:val="20"/>
          <w:szCs w:val="20"/>
          <w:lang w:val="es-ES"/>
        </w:rPr>
        <w:t>r</w:t>
      </w:r>
      <w:r w:rsidR="00D61A76" w:rsidRPr="0092488E">
        <w:rPr>
          <w:rFonts w:asciiTheme="majorHAnsi" w:eastAsia="MS Mincho" w:hAnsiTheme="majorHAnsi"/>
          <w:sz w:val="20"/>
          <w:szCs w:val="20"/>
          <w:lang w:val="es-ES"/>
        </w:rPr>
        <w:t>esponsabilidad</w:t>
      </w:r>
      <w:r w:rsidR="00F07CE9" w:rsidRPr="0092488E">
        <w:rPr>
          <w:rFonts w:asciiTheme="majorHAnsi" w:eastAsia="MS Mincho" w:hAnsiTheme="majorHAnsi"/>
          <w:sz w:val="20"/>
          <w:szCs w:val="20"/>
          <w:lang w:val="es-ES_tradnl"/>
        </w:rPr>
        <w:t>)</w:t>
      </w:r>
      <w:r w:rsidR="00903984" w:rsidRPr="0092488E">
        <w:rPr>
          <w:rFonts w:asciiTheme="majorHAnsi" w:eastAsia="MS Mincho" w:hAnsiTheme="majorHAnsi"/>
          <w:sz w:val="20"/>
          <w:szCs w:val="20"/>
          <w:lang w:val="es-ES_tradnl"/>
        </w:rPr>
        <w:t xml:space="preserve"> del acuerdo de solución amistosa, </w:t>
      </w:r>
      <w:r w:rsidR="00390964" w:rsidRPr="0092488E">
        <w:rPr>
          <w:rFonts w:asciiTheme="majorHAnsi" w:eastAsia="MS Mincho" w:hAnsiTheme="majorHAnsi"/>
          <w:sz w:val="20"/>
          <w:szCs w:val="20"/>
          <w:lang w:val="es-ES_tradnl"/>
        </w:rPr>
        <w:t>según</w:t>
      </w:r>
      <w:r w:rsidR="00903984" w:rsidRPr="0092488E">
        <w:rPr>
          <w:rFonts w:asciiTheme="majorHAnsi" w:eastAsia="MS Mincho" w:hAnsiTheme="majorHAnsi"/>
          <w:sz w:val="20"/>
          <w:szCs w:val="20"/>
          <w:lang w:val="es-ES_tradnl"/>
        </w:rPr>
        <w:t xml:space="preserve"> al análisis contenido en el presente informe</w:t>
      </w:r>
      <w:r w:rsidR="00F07CE9" w:rsidRPr="0092488E">
        <w:rPr>
          <w:rFonts w:asciiTheme="majorHAnsi" w:eastAsia="MS Mincho" w:hAnsiTheme="majorHAnsi"/>
          <w:sz w:val="20"/>
          <w:szCs w:val="20"/>
          <w:lang w:val="es-ES_tradnl"/>
        </w:rPr>
        <w:t>.</w:t>
      </w:r>
    </w:p>
    <w:p w14:paraId="78D401D6" w14:textId="77777777" w:rsidR="00123475" w:rsidRPr="0092488E" w:rsidRDefault="00123475" w:rsidP="000907C1">
      <w:pPr>
        <w:rPr>
          <w:rFonts w:asciiTheme="majorHAnsi" w:eastAsia="MS Mincho" w:hAnsiTheme="majorHAnsi"/>
          <w:sz w:val="20"/>
          <w:szCs w:val="20"/>
          <w:lang w:val="es-ES"/>
        </w:rPr>
      </w:pPr>
    </w:p>
    <w:p w14:paraId="78576FC4" w14:textId="6AD2E8BF" w:rsidR="00123475" w:rsidRPr="0092488E" w:rsidRDefault="00123475" w:rsidP="005213E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Declarar pendiente</w:t>
      </w:r>
      <w:r w:rsidR="00A45232" w:rsidRPr="0092488E">
        <w:rPr>
          <w:rFonts w:asciiTheme="majorHAnsi" w:eastAsia="MS Mincho" w:hAnsiTheme="majorHAnsi"/>
          <w:sz w:val="20"/>
          <w:szCs w:val="20"/>
          <w:lang w:val="es-ES"/>
        </w:rPr>
        <w:t xml:space="preserve">s </w:t>
      </w:r>
      <w:r w:rsidRPr="0092488E">
        <w:rPr>
          <w:rFonts w:asciiTheme="majorHAnsi" w:eastAsia="MS Mincho" w:hAnsiTheme="majorHAnsi"/>
          <w:sz w:val="20"/>
          <w:szCs w:val="20"/>
          <w:lang w:val="es-ES"/>
        </w:rPr>
        <w:t xml:space="preserve">de cumplimiento </w:t>
      </w:r>
      <w:r w:rsidR="00A45232" w:rsidRPr="0092488E">
        <w:rPr>
          <w:rFonts w:asciiTheme="majorHAnsi" w:eastAsia="MS Mincho" w:hAnsiTheme="majorHAnsi"/>
          <w:sz w:val="20"/>
          <w:szCs w:val="20"/>
          <w:lang w:val="es-ES"/>
        </w:rPr>
        <w:t>el numeral II (</w:t>
      </w:r>
      <w:r w:rsidR="00C54336" w:rsidRPr="0092488E">
        <w:rPr>
          <w:rFonts w:asciiTheme="majorHAnsi" w:eastAsia="MS Mincho" w:hAnsiTheme="majorHAnsi"/>
          <w:sz w:val="20"/>
          <w:szCs w:val="20"/>
          <w:lang w:val="es-ES"/>
        </w:rPr>
        <w:t>p</w:t>
      </w:r>
      <w:r w:rsidR="00A45232" w:rsidRPr="0092488E">
        <w:rPr>
          <w:rFonts w:asciiTheme="majorHAnsi" w:eastAsia="MS Mincho" w:hAnsiTheme="majorHAnsi"/>
          <w:sz w:val="20"/>
          <w:szCs w:val="20"/>
          <w:lang w:val="es-ES"/>
        </w:rPr>
        <w:t xml:space="preserve">ublicación del </w:t>
      </w:r>
      <w:r w:rsidR="00C54336" w:rsidRPr="0092488E">
        <w:rPr>
          <w:rFonts w:asciiTheme="majorHAnsi" w:eastAsia="MS Mincho" w:hAnsiTheme="majorHAnsi"/>
          <w:sz w:val="20"/>
          <w:szCs w:val="20"/>
          <w:lang w:val="es-ES"/>
        </w:rPr>
        <w:t>I</w:t>
      </w:r>
      <w:r w:rsidR="00A45232" w:rsidRPr="0092488E">
        <w:rPr>
          <w:rFonts w:asciiTheme="majorHAnsi" w:eastAsia="MS Mincho" w:hAnsiTheme="majorHAnsi"/>
          <w:sz w:val="20"/>
          <w:szCs w:val="20"/>
          <w:lang w:val="es-ES"/>
        </w:rPr>
        <w:t xml:space="preserve">nforme de </w:t>
      </w:r>
      <w:r w:rsidR="00620C25" w:rsidRPr="0092488E">
        <w:rPr>
          <w:rFonts w:asciiTheme="majorHAnsi" w:eastAsia="MS Mincho" w:hAnsiTheme="majorHAnsi"/>
          <w:sz w:val="20"/>
          <w:szCs w:val="20"/>
          <w:lang w:val="es-ES"/>
        </w:rPr>
        <w:t>a</w:t>
      </w:r>
      <w:r w:rsidR="006D2FF3" w:rsidRPr="0092488E">
        <w:rPr>
          <w:rFonts w:asciiTheme="majorHAnsi" w:eastAsia="MS Mincho" w:hAnsiTheme="majorHAnsi"/>
          <w:sz w:val="20"/>
          <w:szCs w:val="20"/>
          <w:lang w:val="es-ES"/>
        </w:rPr>
        <w:t>rtículo</w:t>
      </w:r>
      <w:r w:rsidR="00A45232" w:rsidRPr="0092488E">
        <w:rPr>
          <w:rFonts w:asciiTheme="majorHAnsi" w:eastAsia="MS Mincho" w:hAnsiTheme="majorHAnsi"/>
          <w:sz w:val="20"/>
          <w:szCs w:val="20"/>
          <w:lang w:val="es-ES"/>
        </w:rPr>
        <w:t xml:space="preserve"> 49) de la cláusula quinta (</w:t>
      </w:r>
      <w:r w:rsidR="001D1B45" w:rsidRPr="0092488E">
        <w:rPr>
          <w:rFonts w:asciiTheme="majorHAnsi" w:eastAsia="MS Mincho" w:hAnsiTheme="majorHAnsi"/>
          <w:sz w:val="20"/>
          <w:szCs w:val="20"/>
          <w:lang w:val="es-ES"/>
        </w:rPr>
        <w:t>m</w:t>
      </w:r>
      <w:r w:rsidR="00A45232" w:rsidRPr="0092488E">
        <w:rPr>
          <w:rFonts w:asciiTheme="majorHAnsi" w:eastAsia="MS Mincho" w:hAnsiTheme="majorHAnsi"/>
          <w:sz w:val="20"/>
          <w:szCs w:val="20"/>
          <w:lang w:val="es-ES"/>
        </w:rPr>
        <w:t xml:space="preserve">edidas de </w:t>
      </w:r>
      <w:r w:rsidR="001D1B45" w:rsidRPr="0092488E">
        <w:rPr>
          <w:rFonts w:asciiTheme="majorHAnsi" w:eastAsia="MS Mincho" w:hAnsiTheme="majorHAnsi"/>
          <w:sz w:val="20"/>
          <w:szCs w:val="20"/>
          <w:lang w:val="es-ES"/>
        </w:rPr>
        <w:t>s</w:t>
      </w:r>
      <w:r w:rsidR="00A45232" w:rsidRPr="0092488E">
        <w:rPr>
          <w:rFonts w:asciiTheme="majorHAnsi" w:eastAsia="MS Mincho" w:hAnsiTheme="majorHAnsi"/>
          <w:sz w:val="20"/>
          <w:szCs w:val="20"/>
          <w:lang w:val="es-ES"/>
        </w:rPr>
        <w:t>atisfacción) así como las cláusulas sexta (</w:t>
      </w:r>
      <w:r w:rsidR="001D1B45" w:rsidRPr="0092488E">
        <w:rPr>
          <w:rFonts w:asciiTheme="majorHAnsi" w:eastAsia="MS Mincho" w:hAnsiTheme="majorHAnsi"/>
          <w:sz w:val="20"/>
          <w:szCs w:val="20"/>
          <w:lang w:val="es-ES"/>
        </w:rPr>
        <w:t>m</w:t>
      </w:r>
      <w:r w:rsidR="00A45232" w:rsidRPr="0092488E">
        <w:rPr>
          <w:rFonts w:asciiTheme="majorHAnsi" w:eastAsia="MS Mincho" w:hAnsiTheme="majorHAnsi"/>
          <w:sz w:val="20"/>
          <w:szCs w:val="20"/>
          <w:lang w:val="es-ES"/>
        </w:rPr>
        <w:t xml:space="preserve">edidas de </w:t>
      </w:r>
      <w:r w:rsidR="001D1B45" w:rsidRPr="0092488E">
        <w:rPr>
          <w:rFonts w:asciiTheme="majorHAnsi" w:eastAsia="MS Mincho" w:hAnsiTheme="majorHAnsi"/>
          <w:sz w:val="20"/>
          <w:szCs w:val="20"/>
          <w:lang w:val="es-ES"/>
        </w:rPr>
        <w:t>j</w:t>
      </w:r>
      <w:r w:rsidR="00A45232" w:rsidRPr="0092488E">
        <w:rPr>
          <w:rFonts w:asciiTheme="majorHAnsi" w:eastAsia="MS Mincho" w:hAnsiTheme="majorHAnsi"/>
          <w:sz w:val="20"/>
          <w:szCs w:val="20"/>
          <w:lang w:val="es-ES"/>
        </w:rPr>
        <w:t>usticia) y séptima (</w:t>
      </w:r>
      <w:r w:rsidR="001D1B45" w:rsidRPr="0092488E">
        <w:rPr>
          <w:rFonts w:asciiTheme="majorHAnsi" w:eastAsia="MS Mincho" w:hAnsiTheme="majorHAnsi"/>
          <w:sz w:val="20"/>
          <w:szCs w:val="20"/>
          <w:lang w:val="es-ES"/>
        </w:rPr>
        <w:t>m</w:t>
      </w:r>
      <w:r w:rsidR="00A45232" w:rsidRPr="0092488E">
        <w:rPr>
          <w:rFonts w:asciiTheme="majorHAnsi" w:eastAsia="MS Mincho" w:hAnsiTheme="majorHAnsi"/>
          <w:sz w:val="20"/>
          <w:szCs w:val="20"/>
          <w:lang w:val="es-ES"/>
        </w:rPr>
        <w:t xml:space="preserve">edidas de </w:t>
      </w:r>
      <w:r w:rsidR="001D1B45" w:rsidRPr="0092488E">
        <w:rPr>
          <w:rFonts w:asciiTheme="majorHAnsi" w:eastAsia="MS Mincho" w:hAnsiTheme="majorHAnsi"/>
          <w:sz w:val="20"/>
          <w:szCs w:val="20"/>
          <w:lang w:val="es-ES"/>
        </w:rPr>
        <w:t>c</w:t>
      </w:r>
      <w:r w:rsidR="00A45232" w:rsidRPr="0092488E">
        <w:rPr>
          <w:rFonts w:asciiTheme="majorHAnsi" w:eastAsia="MS Mincho" w:hAnsiTheme="majorHAnsi"/>
          <w:sz w:val="20"/>
          <w:szCs w:val="20"/>
          <w:lang w:val="es-ES"/>
        </w:rPr>
        <w:t xml:space="preserve">ompensación) </w:t>
      </w:r>
      <w:r w:rsidRPr="0092488E">
        <w:rPr>
          <w:rFonts w:asciiTheme="majorHAnsi" w:eastAsia="MS Mincho" w:hAnsiTheme="majorHAnsi"/>
          <w:sz w:val="20"/>
          <w:szCs w:val="20"/>
          <w:lang w:val="es-ES"/>
        </w:rPr>
        <w:t xml:space="preserve">del acuerdo de solución amistosa, </w:t>
      </w:r>
      <w:r w:rsidR="00390964" w:rsidRPr="0092488E">
        <w:rPr>
          <w:rFonts w:asciiTheme="majorHAnsi" w:eastAsia="MS Mincho" w:hAnsiTheme="majorHAnsi"/>
          <w:sz w:val="20"/>
          <w:szCs w:val="20"/>
          <w:lang w:val="es-ES"/>
        </w:rPr>
        <w:t>según e</w:t>
      </w:r>
      <w:r w:rsidRPr="0092488E">
        <w:rPr>
          <w:rFonts w:asciiTheme="majorHAnsi" w:eastAsia="MS Mincho" w:hAnsiTheme="majorHAnsi"/>
          <w:sz w:val="20"/>
          <w:szCs w:val="20"/>
          <w:lang w:val="es-ES"/>
        </w:rPr>
        <w:t>l análisis contenido en el presente informe.</w:t>
      </w:r>
    </w:p>
    <w:p w14:paraId="4D67AA50" w14:textId="77777777" w:rsidR="00D37A1B" w:rsidRPr="0092488E" w:rsidRDefault="00D37A1B" w:rsidP="000907C1">
      <w:pPr>
        <w:rPr>
          <w:rFonts w:asciiTheme="majorHAnsi" w:eastAsia="MS Mincho" w:hAnsiTheme="majorHAnsi"/>
          <w:sz w:val="20"/>
          <w:szCs w:val="20"/>
          <w:lang w:val="es-ES"/>
        </w:rPr>
      </w:pPr>
    </w:p>
    <w:p w14:paraId="1CFD9F7F" w14:textId="1DCFC839" w:rsidR="00D37A1B" w:rsidRPr="0092488E" w:rsidRDefault="00D37A1B" w:rsidP="005213E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 xml:space="preserve">Continuar con la supervisión </w:t>
      </w:r>
      <w:r w:rsidR="00A45232" w:rsidRPr="0092488E">
        <w:rPr>
          <w:rFonts w:asciiTheme="majorHAnsi" w:eastAsia="MS Mincho" w:hAnsiTheme="majorHAnsi"/>
          <w:sz w:val="20"/>
          <w:szCs w:val="20"/>
          <w:lang w:val="es-ES"/>
        </w:rPr>
        <w:t>del numeral II (</w:t>
      </w:r>
      <w:r w:rsidR="001D1B45" w:rsidRPr="0092488E">
        <w:rPr>
          <w:rFonts w:asciiTheme="majorHAnsi" w:eastAsia="MS Mincho" w:hAnsiTheme="majorHAnsi"/>
          <w:sz w:val="20"/>
          <w:szCs w:val="20"/>
          <w:lang w:val="es-ES"/>
        </w:rPr>
        <w:t>p</w:t>
      </w:r>
      <w:r w:rsidR="00A45232" w:rsidRPr="0092488E">
        <w:rPr>
          <w:rFonts w:asciiTheme="majorHAnsi" w:eastAsia="MS Mincho" w:hAnsiTheme="majorHAnsi"/>
          <w:sz w:val="20"/>
          <w:szCs w:val="20"/>
          <w:lang w:val="es-ES"/>
        </w:rPr>
        <w:t xml:space="preserve">ublicación del </w:t>
      </w:r>
      <w:r w:rsidR="00620C25" w:rsidRPr="0092488E">
        <w:rPr>
          <w:rFonts w:asciiTheme="majorHAnsi" w:eastAsia="MS Mincho" w:hAnsiTheme="majorHAnsi"/>
          <w:sz w:val="20"/>
          <w:szCs w:val="20"/>
          <w:lang w:val="es-ES"/>
        </w:rPr>
        <w:t>i</w:t>
      </w:r>
      <w:r w:rsidR="00A45232" w:rsidRPr="0092488E">
        <w:rPr>
          <w:rFonts w:asciiTheme="majorHAnsi" w:eastAsia="MS Mincho" w:hAnsiTheme="majorHAnsi"/>
          <w:sz w:val="20"/>
          <w:szCs w:val="20"/>
          <w:lang w:val="es-ES"/>
        </w:rPr>
        <w:t xml:space="preserve">nforme de </w:t>
      </w:r>
      <w:r w:rsidR="00620C25" w:rsidRPr="0092488E">
        <w:rPr>
          <w:rFonts w:asciiTheme="majorHAnsi" w:eastAsia="MS Mincho" w:hAnsiTheme="majorHAnsi"/>
          <w:sz w:val="20"/>
          <w:szCs w:val="20"/>
          <w:lang w:val="es-ES"/>
        </w:rPr>
        <w:t>a</w:t>
      </w:r>
      <w:r w:rsidR="001D1B45" w:rsidRPr="0092488E">
        <w:rPr>
          <w:rFonts w:asciiTheme="majorHAnsi" w:eastAsia="MS Mincho" w:hAnsiTheme="majorHAnsi"/>
          <w:sz w:val="20"/>
          <w:szCs w:val="20"/>
          <w:lang w:val="es-ES"/>
        </w:rPr>
        <w:t>rtículo</w:t>
      </w:r>
      <w:r w:rsidR="00A45232" w:rsidRPr="0092488E">
        <w:rPr>
          <w:rFonts w:asciiTheme="majorHAnsi" w:eastAsia="MS Mincho" w:hAnsiTheme="majorHAnsi"/>
          <w:sz w:val="20"/>
          <w:szCs w:val="20"/>
          <w:lang w:val="es-ES"/>
        </w:rPr>
        <w:t xml:space="preserve"> 49) de la cláusula quinta (medidas de satisfacción) así como las cláusulas sexta (medidas de justicia) y séptima (medidas de compensación)</w:t>
      </w:r>
      <w:r w:rsidR="00123475" w:rsidRPr="0092488E">
        <w:rPr>
          <w:rFonts w:asciiTheme="majorHAnsi" w:eastAsia="MS Mincho" w:hAnsiTheme="majorHAnsi"/>
          <w:sz w:val="20"/>
          <w:szCs w:val="20"/>
          <w:lang w:val="es-ES"/>
        </w:rPr>
        <w:t xml:space="preserve"> </w:t>
      </w:r>
      <w:r w:rsidRPr="0092488E">
        <w:rPr>
          <w:rFonts w:asciiTheme="majorHAnsi" w:eastAsia="MS Mincho" w:hAnsiTheme="majorHAnsi"/>
          <w:sz w:val="20"/>
          <w:szCs w:val="20"/>
          <w:lang w:val="es-ES"/>
        </w:rPr>
        <w:t>del acuerdo de solución amistosa</w:t>
      </w:r>
      <w:r w:rsidR="00C70EB2" w:rsidRPr="0092488E">
        <w:rPr>
          <w:rFonts w:asciiTheme="majorHAnsi" w:eastAsia="MS Mincho" w:hAnsiTheme="majorHAnsi"/>
          <w:sz w:val="20"/>
          <w:szCs w:val="20"/>
          <w:lang w:val="es-ES"/>
        </w:rPr>
        <w:t xml:space="preserve"> </w:t>
      </w:r>
      <w:r w:rsidRPr="0092488E">
        <w:rPr>
          <w:rFonts w:asciiTheme="majorHAnsi" w:eastAsia="MS Mincho" w:hAnsiTheme="majorHAnsi"/>
          <w:sz w:val="20"/>
          <w:szCs w:val="20"/>
          <w:lang w:val="es-ES"/>
        </w:rPr>
        <w:t>hasta su total cumplimiento</w:t>
      </w:r>
      <w:r w:rsidR="00390964" w:rsidRPr="0092488E">
        <w:rPr>
          <w:rFonts w:asciiTheme="majorHAnsi" w:eastAsia="MS Mincho" w:hAnsiTheme="majorHAnsi"/>
          <w:sz w:val="20"/>
          <w:szCs w:val="20"/>
          <w:lang w:val="es-ES"/>
        </w:rPr>
        <w:t>,</w:t>
      </w:r>
      <w:r w:rsidRPr="0092488E">
        <w:rPr>
          <w:rFonts w:asciiTheme="majorHAnsi" w:eastAsia="MS Mincho" w:hAnsiTheme="majorHAnsi"/>
          <w:sz w:val="20"/>
          <w:szCs w:val="20"/>
          <w:lang w:val="es-ES"/>
        </w:rPr>
        <w:t xml:space="preserve"> según el análisis contenido en este Informe. Con tal finalidad, recordar a las partes su compromiso de informar periódicamente a la CIDH sobre su cumplimiento.</w:t>
      </w:r>
    </w:p>
    <w:p w14:paraId="48DC9C35" w14:textId="77777777" w:rsidR="00D37A1B" w:rsidRPr="0092488E" w:rsidRDefault="00D37A1B" w:rsidP="000907C1">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Theme="majorHAnsi" w:eastAsia="MS Mincho" w:hAnsiTheme="majorHAnsi"/>
          <w:sz w:val="20"/>
          <w:szCs w:val="20"/>
          <w:lang w:val="es-ES"/>
        </w:rPr>
      </w:pPr>
    </w:p>
    <w:p w14:paraId="679526A1" w14:textId="63E72A94" w:rsidR="00DA0340" w:rsidRPr="0092488E" w:rsidRDefault="00D37A1B" w:rsidP="005213E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lang w:val="es-ES"/>
        </w:rPr>
      </w:pPr>
      <w:r w:rsidRPr="0092488E">
        <w:rPr>
          <w:rFonts w:asciiTheme="majorHAnsi" w:eastAsia="MS Mincho" w:hAnsiTheme="majorHAnsi"/>
          <w:sz w:val="20"/>
          <w:szCs w:val="20"/>
          <w:lang w:val="es-ES"/>
        </w:rPr>
        <w:t>Hacer público el presente informe e incluirlo en su Informe Anual a la Asamblea General de la OEA.</w:t>
      </w:r>
    </w:p>
    <w:p w14:paraId="6B1A3332" w14:textId="77777777" w:rsidR="000562F5" w:rsidRPr="0092488E" w:rsidRDefault="000562F5" w:rsidP="000562F5">
      <w:pPr>
        <w:pStyle w:val="ListParagraph"/>
        <w:rPr>
          <w:rFonts w:asciiTheme="majorHAnsi" w:eastAsia="MS Mincho" w:hAnsiTheme="majorHAnsi"/>
          <w:sz w:val="20"/>
          <w:szCs w:val="20"/>
          <w:lang w:val="es-ES"/>
        </w:rPr>
      </w:pPr>
    </w:p>
    <w:p w14:paraId="77507EBA" w14:textId="38825F0D" w:rsidR="000067B0" w:rsidRPr="0092488E" w:rsidRDefault="000067B0" w:rsidP="000067B0">
      <w:pPr>
        <w:pStyle w:val="paragraph"/>
        <w:spacing w:before="0" w:beforeAutospacing="0" w:after="0" w:afterAutospacing="0"/>
        <w:ind w:firstLine="720"/>
        <w:jc w:val="both"/>
        <w:textAlignment w:val="baseline"/>
        <w:rPr>
          <w:rStyle w:val="eop"/>
          <w:rFonts w:ascii="Cambria" w:eastAsia="Trebuchet MS" w:hAnsi="Cambria" w:cs="Segoe UI"/>
          <w:sz w:val="20"/>
          <w:szCs w:val="20"/>
        </w:rPr>
      </w:pPr>
      <w:r w:rsidRPr="0092488E">
        <w:rPr>
          <w:rStyle w:val="normaltextrun"/>
          <w:rFonts w:ascii="Cambria" w:hAnsi="Cambria" w:cs="Segoe UI"/>
          <w:sz w:val="20"/>
          <w:szCs w:val="20"/>
          <w:lang w:val="es-CL"/>
        </w:rPr>
        <w:t>Aprobado por la Comisión Interamericana de Derechos Humanos a los 2</w:t>
      </w:r>
      <w:r w:rsidR="00205052" w:rsidRPr="0092488E">
        <w:rPr>
          <w:rStyle w:val="normaltextrun"/>
          <w:rFonts w:ascii="Cambria" w:hAnsi="Cambria" w:cs="Segoe UI"/>
          <w:sz w:val="20"/>
          <w:szCs w:val="20"/>
          <w:lang w:val="es-CL"/>
        </w:rPr>
        <w:t>2</w:t>
      </w:r>
      <w:r w:rsidRPr="0092488E">
        <w:rPr>
          <w:rStyle w:val="normaltextrun"/>
          <w:rFonts w:ascii="Cambria" w:hAnsi="Cambria" w:cs="Segoe UI"/>
          <w:sz w:val="20"/>
          <w:szCs w:val="20"/>
          <w:lang w:val="es-CL"/>
        </w:rPr>
        <w:t xml:space="preserve"> días del mes de octubre de 2023.  (Firmado): Margarette May Macaulay, Presidenta; Esmeralda Arosemena de Troitiño, Primera Vicepresidenta; Roberta Clarke, Segunda Vicepresidenta; Julissa Mantilla Falcón, Stuardo Ralón Orellana y José Luis Caballero Ochoa, Miembros de la Comisión. </w:t>
      </w:r>
      <w:r w:rsidRPr="0092488E">
        <w:rPr>
          <w:rStyle w:val="eop"/>
          <w:rFonts w:ascii="Cambria" w:eastAsia="Trebuchet MS" w:hAnsi="Cambria" w:cs="Segoe UI"/>
          <w:sz w:val="20"/>
          <w:szCs w:val="20"/>
        </w:rPr>
        <w:t>  </w:t>
      </w:r>
    </w:p>
    <w:p w14:paraId="7C080AED" w14:textId="77777777" w:rsidR="00BF55CF" w:rsidRPr="0092488E" w:rsidRDefault="00BF55CF" w:rsidP="000067B0">
      <w:pPr>
        <w:pStyle w:val="paragraph"/>
        <w:spacing w:before="0" w:beforeAutospacing="0" w:after="0" w:afterAutospacing="0"/>
        <w:ind w:firstLine="720"/>
        <w:jc w:val="both"/>
        <w:textAlignment w:val="baseline"/>
        <w:rPr>
          <w:rStyle w:val="eop"/>
          <w:rFonts w:ascii="Cambria" w:eastAsia="Trebuchet MS" w:hAnsi="Cambria" w:cs="Segoe UI"/>
          <w:sz w:val="20"/>
          <w:szCs w:val="20"/>
        </w:rPr>
      </w:pPr>
    </w:p>
    <w:p w14:paraId="3272FCDC" w14:textId="300B7381" w:rsidR="00E87A0C" w:rsidRDefault="00BF55CF" w:rsidP="000067B0">
      <w:pPr>
        <w:pStyle w:val="paragraph"/>
        <w:spacing w:before="0" w:beforeAutospacing="0" w:after="0" w:afterAutospacing="0"/>
        <w:ind w:firstLine="720"/>
        <w:jc w:val="both"/>
        <w:textAlignment w:val="baseline"/>
        <w:rPr>
          <w:rStyle w:val="eop"/>
          <w:rFonts w:ascii="Cambria" w:eastAsia="Trebuchet MS" w:hAnsi="Cambria" w:cs="Segoe UI"/>
          <w:sz w:val="20"/>
          <w:szCs w:val="20"/>
        </w:rPr>
      </w:pPr>
      <w:r w:rsidRPr="005677C6">
        <w:rPr>
          <w:rStyle w:val="eop"/>
          <w:rFonts w:ascii="Cambria" w:eastAsia="Trebuchet MS" w:hAnsi="Cambria" w:cs="Segoe UI"/>
          <w:sz w:val="20"/>
          <w:szCs w:val="20"/>
        </w:rPr>
        <w:lastRenderedPageBreak/>
        <w:t xml:space="preserve">El </w:t>
      </w:r>
      <w:r w:rsidR="00773E9D" w:rsidRPr="005677C6">
        <w:rPr>
          <w:rStyle w:val="eop"/>
          <w:rFonts w:ascii="Cambria" w:eastAsia="Trebuchet MS" w:hAnsi="Cambria" w:cs="Segoe UI"/>
          <w:sz w:val="20"/>
          <w:szCs w:val="20"/>
        </w:rPr>
        <w:t>10 de noviembre de 2023</w:t>
      </w:r>
      <w:r w:rsidRPr="005677C6">
        <w:rPr>
          <w:rStyle w:val="eop"/>
          <w:rFonts w:ascii="Cambria" w:eastAsia="Trebuchet MS" w:hAnsi="Cambria" w:cs="Segoe UI"/>
          <w:sz w:val="20"/>
          <w:szCs w:val="20"/>
        </w:rPr>
        <w:t>,</w:t>
      </w:r>
      <w:r w:rsidR="00773E9D" w:rsidRPr="005677C6">
        <w:rPr>
          <w:rStyle w:val="eop"/>
          <w:rFonts w:ascii="Cambria" w:eastAsia="Trebuchet MS" w:hAnsi="Cambria" w:cs="Segoe UI"/>
          <w:sz w:val="20"/>
          <w:szCs w:val="20"/>
        </w:rPr>
        <w:t xml:space="preserve"> se notificó a las partes el Informe </w:t>
      </w:r>
      <w:r w:rsidR="00633BC2" w:rsidRPr="005677C6">
        <w:rPr>
          <w:rStyle w:val="eop"/>
          <w:rFonts w:ascii="Cambria" w:eastAsia="Trebuchet MS" w:hAnsi="Cambria" w:cs="Segoe UI"/>
          <w:sz w:val="20"/>
          <w:szCs w:val="20"/>
        </w:rPr>
        <w:t>de Soluci</w:t>
      </w:r>
      <w:r w:rsidR="006B5712">
        <w:rPr>
          <w:rStyle w:val="eop"/>
          <w:rFonts w:ascii="Cambria" w:eastAsia="Trebuchet MS" w:hAnsi="Cambria" w:cs="Segoe UI"/>
          <w:sz w:val="20"/>
          <w:szCs w:val="20"/>
        </w:rPr>
        <w:t>ó</w:t>
      </w:r>
      <w:r w:rsidR="00633BC2" w:rsidRPr="005677C6">
        <w:rPr>
          <w:rStyle w:val="eop"/>
          <w:rFonts w:ascii="Cambria" w:eastAsia="Trebuchet MS" w:hAnsi="Cambria" w:cs="Segoe UI"/>
          <w:sz w:val="20"/>
          <w:szCs w:val="20"/>
        </w:rPr>
        <w:t xml:space="preserve">n Amistosa No. </w:t>
      </w:r>
      <w:r w:rsidR="00CB09C6" w:rsidRPr="005677C6">
        <w:rPr>
          <w:rStyle w:val="eop"/>
          <w:rFonts w:ascii="Cambria" w:eastAsia="Trebuchet MS" w:hAnsi="Cambria" w:cs="Segoe UI"/>
          <w:sz w:val="20"/>
          <w:szCs w:val="20"/>
        </w:rPr>
        <w:t>221</w:t>
      </w:r>
      <w:r w:rsidR="00633BC2" w:rsidRPr="005677C6">
        <w:rPr>
          <w:rStyle w:val="eop"/>
          <w:rFonts w:ascii="Cambria" w:eastAsia="Trebuchet MS" w:hAnsi="Cambria" w:cs="Segoe UI"/>
          <w:sz w:val="20"/>
          <w:szCs w:val="20"/>
        </w:rPr>
        <w:t xml:space="preserve">/23. Es de indicar que </w:t>
      </w:r>
      <w:r w:rsidR="007F44AA" w:rsidRPr="005677C6">
        <w:rPr>
          <w:rStyle w:val="eop"/>
          <w:rFonts w:ascii="Cambria" w:eastAsia="Trebuchet MS" w:hAnsi="Cambria" w:cs="Segoe UI"/>
          <w:sz w:val="20"/>
          <w:szCs w:val="20"/>
        </w:rPr>
        <w:t xml:space="preserve">en este informe enmendado </w:t>
      </w:r>
      <w:r w:rsidR="00633BC2" w:rsidRPr="005677C6">
        <w:rPr>
          <w:rStyle w:val="eop"/>
          <w:rFonts w:ascii="Cambria" w:eastAsia="Trebuchet MS" w:hAnsi="Cambria" w:cs="Segoe UI"/>
          <w:sz w:val="20"/>
          <w:szCs w:val="20"/>
        </w:rPr>
        <w:t xml:space="preserve">se </w:t>
      </w:r>
      <w:r w:rsidR="00C23792" w:rsidRPr="005677C6">
        <w:rPr>
          <w:rStyle w:val="eop"/>
          <w:rFonts w:ascii="Cambria" w:eastAsia="Trebuchet MS" w:hAnsi="Cambria" w:cs="Segoe UI"/>
          <w:sz w:val="20"/>
          <w:szCs w:val="20"/>
        </w:rPr>
        <w:t>ajustó la cláusula tercera del acuerdo de solución amistosa de conformidad con el Otro</w:t>
      </w:r>
      <w:r w:rsidR="009C1500" w:rsidRPr="005677C6">
        <w:rPr>
          <w:rStyle w:val="eop"/>
          <w:rFonts w:ascii="Cambria" w:eastAsia="Trebuchet MS" w:hAnsi="Cambria" w:cs="Segoe UI"/>
          <w:sz w:val="20"/>
          <w:szCs w:val="20"/>
        </w:rPr>
        <w:t>s</w:t>
      </w:r>
      <w:r w:rsidR="00C23792" w:rsidRPr="005677C6">
        <w:rPr>
          <w:rStyle w:val="eop"/>
          <w:rFonts w:ascii="Cambria" w:eastAsia="Trebuchet MS" w:hAnsi="Cambria" w:cs="Segoe UI"/>
          <w:sz w:val="20"/>
          <w:szCs w:val="20"/>
        </w:rPr>
        <w:t>í suscrito por las partes el 6 de agosto de 2025 sobre e</w:t>
      </w:r>
      <w:r w:rsidRPr="005677C6">
        <w:rPr>
          <w:rStyle w:val="eop"/>
          <w:rFonts w:ascii="Cambria" w:eastAsia="Trebuchet MS" w:hAnsi="Cambria" w:cs="Segoe UI"/>
          <w:sz w:val="20"/>
          <w:szCs w:val="20"/>
        </w:rPr>
        <w:t xml:space="preserve">l </w:t>
      </w:r>
      <w:r w:rsidR="00C23792" w:rsidRPr="005677C6">
        <w:rPr>
          <w:rStyle w:val="eop"/>
          <w:rFonts w:ascii="Cambria" w:eastAsia="Trebuchet MS" w:hAnsi="Cambria" w:cs="Segoe UI"/>
          <w:sz w:val="20"/>
          <w:szCs w:val="20"/>
        </w:rPr>
        <w:t>ASA firmado</w:t>
      </w:r>
      <w:r w:rsidRPr="005677C6">
        <w:rPr>
          <w:rStyle w:val="eop"/>
          <w:rFonts w:ascii="Cambria" w:eastAsia="Trebuchet MS" w:hAnsi="Cambria" w:cs="Segoe UI"/>
          <w:sz w:val="20"/>
          <w:szCs w:val="20"/>
        </w:rPr>
        <w:t xml:space="preserve"> el 2 de marzo de 2023</w:t>
      </w:r>
      <w:r w:rsidR="00C23792" w:rsidRPr="005677C6">
        <w:rPr>
          <w:rStyle w:val="eop"/>
          <w:rFonts w:ascii="Cambria" w:eastAsia="Trebuchet MS" w:hAnsi="Cambria" w:cs="Segoe UI"/>
          <w:sz w:val="20"/>
          <w:szCs w:val="20"/>
        </w:rPr>
        <w:t>.</w:t>
      </w:r>
    </w:p>
    <w:p w14:paraId="15F74B85" w14:textId="77777777" w:rsidR="002A67A2" w:rsidRPr="005677C6" w:rsidRDefault="002A67A2" w:rsidP="000067B0">
      <w:pPr>
        <w:pStyle w:val="paragraph"/>
        <w:spacing w:before="0" w:beforeAutospacing="0" w:after="0" w:afterAutospacing="0"/>
        <w:ind w:firstLine="720"/>
        <w:jc w:val="both"/>
        <w:textAlignment w:val="baseline"/>
        <w:rPr>
          <w:rStyle w:val="eop"/>
          <w:rFonts w:ascii="Cambria" w:eastAsia="Trebuchet MS" w:hAnsi="Cambria" w:cs="Segoe UI"/>
          <w:sz w:val="20"/>
          <w:szCs w:val="20"/>
        </w:rPr>
      </w:pPr>
    </w:p>
    <w:p w14:paraId="1F968DF9" w14:textId="6CEC399B" w:rsidR="003B7DC0" w:rsidRPr="006D0674" w:rsidRDefault="003B7DC0" w:rsidP="000067B0">
      <w:pPr>
        <w:pStyle w:val="paragraph"/>
        <w:spacing w:before="0" w:beforeAutospacing="0" w:after="0" w:afterAutospacing="0"/>
        <w:ind w:firstLine="720"/>
        <w:jc w:val="both"/>
        <w:textAlignment w:val="baseline"/>
        <w:rPr>
          <w:rStyle w:val="normaltextrun"/>
          <w:rFonts w:ascii="Cambria" w:hAnsi="Cambria" w:cs="Segoe UI"/>
          <w:sz w:val="20"/>
          <w:szCs w:val="20"/>
          <w:lang w:val="es-CO"/>
        </w:rPr>
      </w:pPr>
      <w:r w:rsidRPr="005677C6">
        <w:rPr>
          <w:rStyle w:val="normaltextrun"/>
          <w:rFonts w:ascii="Cambria" w:hAnsi="Cambria" w:cs="Segoe UI"/>
          <w:sz w:val="20"/>
          <w:szCs w:val="20"/>
          <w:lang w:val="es-CL"/>
        </w:rPr>
        <w:t xml:space="preserve">Enmienda aprobada por la Comisión Interamericana de Derechos Humanos a los </w:t>
      </w:r>
      <w:r w:rsidR="003E500B" w:rsidRPr="005677C6">
        <w:rPr>
          <w:rStyle w:val="normaltextrun"/>
          <w:rFonts w:ascii="Cambria" w:hAnsi="Cambria" w:cs="Segoe UI"/>
          <w:sz w:val="20"/>
          <w:szCs w:val="20"/>
          <w:lang w:val="es-CL"/>
        </w:rPr>
        <w:t>14</w:t>
      </w:r>
      <w:r w:rsidRPr="005677C6">
        <w:rPr>
          <w:rStyle w:val="normaltextrun"/>
          <w:rFonts w:ascii="Cambria" w:hAnsi="Cambria" w:cs="Segoe UI"/>
          <w:sz w:val="20"/>
          <w:szCs w:val="20"/>
          <w:lang w:val="es-CL"/>
        </w:rPr>
        <w:t xml:space="preserve"> días del mes de octubre de 202</w:t>
      </w:r>
      <w:r w:rsidR="003E500B" w:rsidRPr="005677C6">
        <w:rPr>
          <w:rStyle w:val="normaltextrun"/>
          <w:rFonts w:ascii="Cambria" w:hAnsi="Cambria" w:cs="Segoe UI"/>
          <w:sz w:val="20"/>
          <w:szCs w:val="20"/>
          <w:lang w:val="es-CL"/>
        </w:rPr>
        <w:t>5</w:t>
      </w:r>
      <w:r w:rsidRPr="005677C6">
        <w:rPr>
          <w:rStyle w:val="normaltextrun"/>
          <w:rFonts w:ascii="Cambria" w:hAnsi="Cambria" w:cs="Segoe UI"/>
          <w:sz w:val="20"/>
          <w:szCs w:val="20"/>
          <w:lang w:val="es-CL"/>
        </w:rPr>
        <w:t>. (Firmado):</w:t>
      </w:r>
      <w:r w:rsidR="003E500B" w:rsidRPr="005677C6">
        <w:rPr>
          <w:rStyle w:val="normaltextrun"/>
          <w:rFonts w:ascii="Cambria" w:hAnsi="Cambria" w:cs="Segoe UI"/>
          <w:sz w:val="20"/>
          <w:szCs w:val="20"/>
          <w:lang w:val="es-CL"/>
        </w:rPr>
        <w:t xml:space="preserve"> </w:t>
      </w:r>
      <w:r w:rsidR="00CE2077">
        <w:rPr>
          <w:rStyle w:val="normaltextrun"/>
          <w:rFonts w:ascii="Cambria" w:hAnsi="Cambria" w:cs="Segoe UI"/>
          <w:sz w:val="20"/>
          <w:szCs w:val="20"/>
          <w:lang w:val="es-CL"/>
        </w:rPr>
        <w:t>J</w:t>
      </w:r>
      <w:r w:rsidR="006D0674" w:rsidRPr="005677C6">
        <w:rPr>
          <w:rFonts w:ascii="Cambria" w:hAnsi="Cambria" w:cs="Segoe UI"/>
          <w:sz w:val="20"/>
          <w:szCs w:val="20"/>
          <w:lang w:val="es-CO"/>
        </w:rPr>
        <w:t xml:space="preserve">osé Luis Caballero Ochoa, Presidente; Andrea Pochak, Primera Vicepresidenta; Arif Bulkan, Segundo Vicepresidente; </w:t>
      </w:r>
      <w:r w:rsidR="00CE2077" w:rsidRPr="00A4601B">
        <w:rPr>
          <w:rFonts w:ascii="Cambria" w:hAnsi="Cambria" w:cs="Calibri"/>
          <w:sz w:val="20"/>
          <w:szCs w:val="20"/>
        </w:rPr>
        <w:t>Gloria Monique de Mees, Roberta Clarke</w:t>
      </w:r>
      <w:r w:rsidR="00CE2077">
        <w:rPr>
          <w:rFonts w:ascii="Cambria" w:hAnsi="Cambria" w:cs="Calibri"/>
          <w:sz w:val="20"/>
          <w:szCs w:val="20"/>
        </w:rPr>
        <w:t>, y</w:t>
      </w:r>
      <w:r w:rsidR="00CE2077" w:rsidRPr="00A4601B">
        <w:rPr>
          <w:rFonts w:ascii="Cambria" w:hAnsi="Cambria" w:cs="Calibri"/>
          <w:sz w:val="20"/>
          <w:szCs w:val="20"/>
        </w:rPr>
        <w:t xml:space="preserve"> Edgar Stuardo Ralón Orellana</w:t>
      </w:r>
      <w:r w:rsidR="006D0674" w:rsidRPr="005677C6">
        <w:rPr>
          <w:rFonts w:ascii="Cambria" w:hAnsi="Cambria" w:cs="Segoe UI"/>
          <w:sz w:val="20"/>
          <w:szCs w:val="20"/>
          <w:lang w:val="es-CO"/>
        </w:rPr>
        <w:t>, miembros de la Comisión.</w:t>
      </w:r>
    </w:p>
    <w:sectPr w:rsidR="003B7DC0" w:rsidRPr="006D0674"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DB84" w14:textId="77777777" w:rsidR="00F26F32" w:rsidRDefault="00F26F32">
      <w:r>
        <w:separator/>
      </w:r>
    </w:p>
  </w:endnote>
  <w:endnote w:type="continuationSeparator" w:id="0">
    <w:p w14:paraId="06B88919" w14:textId="77777777" w:rsidR="00F26F32" w:rsidRDefault="00F2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5222B58" w14:textId="77777777" w:rsidR="00660EA4" w:rsidRPr="00934A2C" w:rsidRDefault="00660EA4">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DA4E3E">
          <w:rPr>
            <w:noProof/>
            <w:sz w:val="16"/>
            <w:szCs w:val="22"/>
          </w:rPr>
          <w:t>3</w:t>
        </w:r>
        <w:r w:rsidRPr="00934A2C">
          <w:rPr>
            <w:noProof/>
            <w:sz w:val="16"/>
            <w:szCs w:val="22"/>
          </w:rPr>
          <w:fldChar w:fldCharType="end"/>
        </w:r>
      </w:p>
    </w:sdtContent>
  </w:sdt>
  <w:p w14:paraId="1AE5B7F2" w14:textId="77777777" w:rsidR="00660EA4" w:rsidRDefault="00660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391B" w14:textId="77777777" w:rsidR="00660EA4" w:rsidRPr="00934A2C" w:rsidRDefault="00660EA4">
    <w:pPr>
      <w:pStyle w:val="Footer"/>
      <w:jc w:val="center"/>
      <w:rPr>
        <w:sz w:val="16"/>
        <w:szCs w:val="22"/>
      </w:rPr>
    </w:pPr>
  </w:p>
  <w:p w14:paraId="469A8CA3" w14:textId="77777777" w:rsidR="00660EA4" w:rsidRDefault="0066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335D" w14:textId="77777777" w:rsidR="00F26F32" w:rsidRPr="000F35ED" w:rsidRDefault="00F26F32">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6F0E625" w14:textId="77777777" w:rsidR="00F26F32" w:rsidRPr="000F35ED" w:rsidRDefault="00F26F32" w:rsidP="000F35ED">
      <w:pPr>
        <w:rPr>
          <w:rFonts w:asciiTheme="majorHAnsi" w:hAnsiTheme="majorHAnsi"/>
          <w:sz w:val="16"/>
          <w:szCs w:val="16"/>
        </w:rPr>
      </w:pPr>
      <w:r w:rsidRPr="000F35ED">
        <w:rPr>
          <w:rFonts w:asciiTheme="majorHAnsi" w:hAnsiTheme="majorHAnsi"/>
          <w:sz w:val="16"/>
          <w:szCs w:val="16"/>
        </w:rPr>
        <w:separator/>
      </w:r>
    </w:p>
    <w:p w14:paraId="22B9E33F" w14:textId="77777777" w:rsidR="00F26F32" w:rsidRPr="000F35ED" w:rsidRDefault="00F26F32"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E4C33CE" w14:textId="77777777" w:rsidR="00F26F32" w:rsidRPr="000F35ED" w:rsidRDefault="00F26F32"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4EF0F76" w14:textId="5378BA8C" w:rsidR="009F2BDE" w:rsidRPr="009F2BDE" w:rsidRDefault="009F2BDE" w:rsidP="008613B1">
      <w:pPr>
        <w:pStyle w:val="FootnoteText"/>
        <w:ind w:firstLine="720"/>
        <w:jc w:val="both"/>
        <w:rPr>
          <w:rFonts w:asciiTheme="majorHAnsi" w:hAnsiTheme="majorHAnsi"/>
          <w:sz w:val="16"/>
          <w:szCs w:val="16"/>
          <w:lang w:val="es-CO"/>
        </w:rPr>
      </w:pPr>
      <w:r w:rsidRPr="000907C1">
        <w:rPr>
          <w:rStyle w:val="FootnoteReference"/>
          <w:rFonts w:asciiTheme="majorHAnsi" w:hAnsiTheme="majorHAnsi"/>
          <w:sz w:val="16"/>
          <w:szCs w:val="16"/>
        </w:rPr>
        <w:footnoteRef/>
      </w:r>
      <w:r w:rsidRPr="000907C1">
        <w:rPr>
          <w:rFonts w:asciiTheme="majorHAnsi" w:hAnsiTheme="majorHAnsi"/>
          <w:sz w:val="16"/>
          <w:szCs w:val="16"/>
          <w:lang w:val="es-CO"/>
        </w:rPr>
        <w:t xml:space="preserve"> </w:t>
      </w:r>
      <w:r w:rsidR="002F45F9" w:rsidRPr="000907C1">
        <w:rPr>
          <w:rFonts w:asciiTheme="majorHAnsi" w:eastAsia="Cambria" w:hAnsiTheme="majorHAnsi"/>
          <w:sz w:val="16"/>
          <w:szCs w:val="16"/>
          <w:lang w:val="es-CO"/>
        </w:rPr>
        <w:t>El Comisionado Carlos Bernal Pulido, de nacionalidad colombiana, no participó de la discusión y decisión del presente caso, conforme al artículo 17.2.a) del Reglamento de la CIDH.</w:t>
      </w:r>
    </w:p>
  </w:footnote>
  <w:footnote w:id="3">
    <w:p w14:paraId="5143D774" w14:textId="66DCFD02" w:rsidR="006247A9" w:rsidRPr="0053123D" w:rsidRDefault="006247A9" w:rsidP="008613B1">
      <w:pPr>
        <w:pStyle w:val="FootnoteText"/>
        <w:ind w:firstLine="706"/>
        <w:jc w:val="both"/>
        <w:rPr>
          <w:rFonts w:ascii="Cambria" w:hAnsi="Cambria"/>
          <w:sz w:val="16"/>
          <w:szCs w:val="16"/>
          <w:lang w:val="es-CO"/>
        </w:rPr>
      </w:pPr>
      <w:r w:rsidRPr="0053123D">
        <w:rPr>
          <w:rStyle w:val="FootnoteReference"/>
          <w:rFonts w:ascii="Cambria" w:hAnsi="Cambria"/>
          <w:sz w:val="16"/>
          <w:szCs w:val="16"/>
        </w:rPr>
        <w:footnoteRef/>
      </w:r>
      <w:r w:rsidRPr="0053123D">
        <w:rPr>
          <w:rFonts w:ascii="Cambria" w:hAnsi="Cambria"/>
          <w:sz w:val="16"/>
          <w:szCs w:val="16"/>
          <w:lang w:val="es-CO"/>
        </w:rPr>
        <w:t xml:space="preserve"> </w:t>
      </w:r>
      <w:r w:rsidR="001977B5" w:rsidRPr="0053123D">
        <w:rPr>
          <w:rFonts w:ascii="Cambria" w:hAnsi="Cambria"/>
          <w:sz w:val="16"/>
          <w:szCs w:val="16"/>
          <w:lang w:val="es-CO"/>
        </w:rPr>
        <w:t>Corte IDH</w:t>
      </w:r>
      <w:r w:rsidR="00F103AC">
        <w:rPr>
          <w:rFonts w:ascii="Cambria" w:hAnsi="Cambria"/>
          <w:sz w:val="16"/>
          <w:szCs w:val="16"/>
          <w:lang w:val="es-CO"/>
        </w:rPr>
        <w:t>,</w:t>
      </w:r>
      <w:r w:rsidR="001977B5" w:rsidRPr="0053123D">
        <w:rPr>
          <w:rFonts w:ascii="Cambria" w:hAnsi="Cambria"/>
          <w:sz w:val="16"/>
          <w:szCs w:val="16"/>
          <w:lang w:val="es-CO"/>
        </w:rPr>
        <w:t xml:space="preserve"> Caso de las Hermanas Serrano Cruz Vs</w:t>
      </w:r>
      <w:r w:rsidR="005A5449" w:rsidRPr="0053123D">
        <w:rPr>
          <w:rFonts w:ascii="Cambria" w:hAnsi="Cambria"/>
          <w:sz w:val="16"/>
          <w:szCs w:val="16"/>
          <w:lang w:val="es-CO"/>
        </w:rPr>
        <w:t>.</w:t>
      </w:r>
      <w:r w:rsidR="001977B5" w:rsidRPr="0053123D">
        <w:rPr>
          <w:rFonts w:ascii="Cambria" w:hAnsi="Cambria"/>
          <w:sz w:val="16"/>
          <w:szCs w:val="16"/>
          <w:lang w:val="es-CO"/>
        </w:rPr>
        <w:t xml:space="preserve"> El Salvador, Fondo, reparaciones y Costas</w:t>
      </w:r>
      <w:r w:rsidR="00F103AC">
        <w:rPr>
          <w:rFonts w:ascii="Cambria" w:hAnsi="Cambria"/>
          <w:sz w:val="16"/>
          <w:szCs w:val="16"/>
          <w:lang w:val="es-CO"/>
        </w:rPr>
        <w:t>,</w:t>
      </w:r>
      <w:r w:rsidR="001977B5" w:rsidRPr="0053123D">
        <w:rPr>
          <w:rFonts w:ascii="Cambria" w:hAnsi="Cambria"/>
          <w:sz w:val="16"/>
          <w:szCs w:val="16"/>
          <w:lang w:val="es-CO"/>
        </w:rPr>
        <w:t xml:space="preserve"> Sentencia de 1 de marzo de 2005, Serie C No.120, párrafo 150. </w:t>
      </w:r>
    </w:p>
  </w:footnote>
  <w:footnote w:id="4">
    <w:p w14:paraId="1052CFA7" w14:textId="0F916DD7" w:rsidR="001977B5" w:rsidRPr="0053123D" w:rsidRDefault="001977B5" w:rsidP="008613B1">
      <w:pPr>
        <w:pStyle w:val="FootnoteText"/>
        <w:ind w:firstLine="706"/>
        <w:jc w:val="both"/>
        <w:rPr>
          <w:rFonts w:ascii="Cambria" w:hAnsi="Cambria"/>
          <w:sz w:val="16"/>
          <w:szCs w:val="16"/>
          <w:lang w:val="es-CO"/>
        </w:rPr>
      </w:pPr>
      <w:r w:rsidRPr="0053123D">
        <w:rPr>
          <w:rStyle w:val="FootnoteReference"/>
          <w:rFonts w:ascii="Cambria" w:hAnsi="Cambria"/>
          <w:sz w:val="16"/>
          <w:szCs w:val="16"/>
        </w:rPr>
        <w:footnoteRef/>
      </w:r>
      <w:r w:rsidRPr="0092488E">
        <w:rPr>
          <w:rFonts w:ascii="Cambria" w:hAnsi="Cambria"/>
          <w:sz w:val="16"/>
          <w:szCs w:val="16"/>
          <w:lang w:val="pt-BR"/>
        </w:rPr>
        <w:t xml:space="preserve"> Corte IDH</w:t>
      </w:r>
      <w:r w:rsidR="00F103AC" w:rsidRPr="0092488E">
        <w:rPr>
          <w:rFonts w:ascii="Cambria" w:hAnsi="Cambria"/>
          <w:sz w:val="16"/>
          <w:szCs w:val="16"/>
          <w:lang w:val="pt-BR"/>
        </w:rPr>
        <w:t>,</w:t>
      </w:r>
      <w:r w:rsidRPr="0092488E">
        <w:rPr>
          <w:rFonts w:ascii="Cambria" w:hAnsi="Cambria"/>
          <w:sz w:val="16"/>
          <w:szCs w:val="16"/>
          <w:lang w:val="pt-BR"/>
        </w:rPr>
        <w:t xml:space="preserve"> Caso Caesar Vs</w:t>
      </w:r>
      <w:r w:rsidR="005A5449" w:rsidRPr="0092488E">
        <w:rPr>
          <w:rFonts w:ascii="Cambria" w:hAnsi="Cambria"/>
          <w:sz w:val="16"/>
          <w:szCs w:val="16"/>
          <w:lang w:val="pt-BR"/>
        </w:rPr>
        <w:t>.</w:t>
      </w:r>
      <w:r w:rsidRPr="0092488E">
        <w:rPr>
          <w:rFonts w:ascii="Cambria" w:hAnsi="Cambria"/>
          <w:sz w:val="16"/>
          <w:szCs w:val="16"/>
          <w:lang w:val="pt-BR"/>
        </w:rPr>
        <w:t xml:space="preserve"> </w:t>
      </w:r>
      <w:r w:rsidRPr="0053123D">
        <w:rPr>
          <w:rFonts w:ascii="Cambria" w:hAnsi="Cambria"/>
          <w:sz w:val="16"/>
          <w:szCs w:val="16"/>
          <w:lang w:val="es-CO"/>
        </w:rPr>
        <w:t>Trinidad y Tobago, Fondo, Reparaciones y Costas</w:t>
      </w:r>
      <w:r w:rsidR="00F103AC">
        <w:rPr>
          <w:rFonts w:ascii="Cambria" w:hAnsi="Cambria"/>
          <w:sz w:val="16"/>
          <w:szCs w:val="16"/>
          <w:lang w:val="es-CO"/>
        </w:rPr>
        <w:t>,</w:t>
      </w:r>
      <w:r w:rsidRPr="0053123D">
        <w:rPr>
          <w:rFonts w:ascii="Cambria" w:hAnsi="Cambria"/>
          <w:sz w:val="16"/>
          <w:szCs w:val="16"/>
          <w:lang w:val="es-CO"/>
        </w:rPr>
        <w:t xml:space="preserve"> Sentencia del 11 de marzo de 2005</w:t>
      </w:r>
      <w:r w:rsidR="00F103AC">
        <w:rPr>
          <w:rFonts w:ascii="Cambria" w:hAnsi="Cambria"/>
          <w:sz w:val="16"/>
          <w:szCs w:val="16"/>
          <w:lang w:val="es-CO"/>
        </w:rPr>
        <w:t>,</w:t>
      </w:r>
      <w:r w:rsidRPr="0053123D">
        <w:rPr>
          <w:rFonts w:ascii="Cambria" w:hAnsi="Cambria"/>
          <w:sz w:val="16"/>
          <w:szCs w:val="16"/>
          <w:lang w:val="es-CO"/>
        </w:rPr>
        <w:t xml:space="preserve"> Serie C No. 123, párrafo 125.</w:t>
      </w:r>
    </w:p>
  </w:footnote>
  <w:footnote w:id="5">
    <w:p w14:paraId="30A414FF" w14:textId="3FA1AA0C" w:rsidR="001922E0" w:rsidRPr="001922E0" w:rsidRDefault="001922E0" w:rsidP="008613B1">
      <w:pPr>
        <w:pStyle w:val="FootnoteText"/>
        <w:ind w:firstLine="706"/>
        <w:jc w:val="both"/>
        <w:rPr>
          <w:rFonts w:ascii="Cambria" w:hAnsi="Cambria"/>
          <w:sz w:val="16"/>
          <w:szCs w:val="16"/>
          <w:lang w:val="es-CO"/>
        </w:rPr>
      </w:pPr>
      <w:r w:rsidRPr="0053123D">
        <w:rPr>
          <w:rStyle w:val="FootnoteReference"/>
          <w:rFonts w:ascii="Cambria" w:hAnsi="Cambria"/>
          <w:sz w:val="16"/>
          <w:szCs w:val="16"/>
        </w:rPr>
        <w:footnoteRef/>
      </w:r>
      <w:r w:rsidRPr="0053123D">
        <w:rPr>
          <w:rFonts w:ascii="Cambria" w:hAnsi="Cambria"/>
          <w:sz w:val="16"/>
          <w:szCs w:val="16"/>
          <w:lang w:val="es-CO"/>
        </w:rPr>
        <w:t xml:space="preserve"> Algunos ejemplos de esta modalidad de</w:t>
      </w:r>
      <w:r w:rsidR="002B5D31" w:rsidRPr="0053123D">
        <w:rPr>
          <w:rFonts w:ascii="Cambria" w:hAnsi="Cambria"/>
          <w:sz w:val="16"/>
          <w:szCs w:val="16"/>
          <w:lang w:val="es-CO"/>
        </w:rPr>
        <w:t xml:space="preserve"> </w:t>
      </w:r>
      <w:r w:rsidRPr="0053123D">
        <w:rPr>
          <w:rFonts w:ascii="Cambria" w:hAnsi="Cambria"/>
          <w:sz w:val="16"/>
          <w:szCs w:val="16"/>
          <w:lang w:val="es-CO"/>
        </w:rPr>
        <w:t>medidas son: el conocimiento público de la verdad y actos de desagravio.</w:t>
      </w:r>
    </w:p>
  </w:footnote>
  <w:footnote w:id="6">
    <w:p w14:paraId="57F1518B" w14:textId="3008FBE4" w:rsidR="008A651A" w:rsidRPr="00FC37C4" w:rsidRDefault="008A651A" w:rsidP="008613B1">
      <w:pPr>
        <w:pStyle w:val="FootnoteText"/>
        <w:ind w:firstLine="709"/>
        <w:jc w:val="both"/>
        <w:rPr>
          <w:rFonts w:ascii="Cambria" w:hAnsi="Cambria"/>
          <w:sz w:val="16"/>
          <w:szCs w:val="16"/>
          <w:lang w:val="es-CO"/>
        </w:rPr>
      </w:pPr>
      <w:r w:rsidRPr="00FC37C4">
        <w:rPr>
          <w:rStyle w:val="FootnoteReference"/>
          <w:rFonts w:ascii="Cambria" w:hAnsi="Cambria"/>
          <w:sz w:val="16"/>
          <w:szCs w:val="16"/>
        </w:rPr>
        <w:footnoteRef/>
      </w:r>
      <w:r w:rsidRPr="00FC37C4">
        <w:rPr>
          <w:rFonts w:ascii="Cambria" w:hAnsi="Cambria"/>
          <w:sz w:val="16"/>
          <w:szCs w:val="16"/>
          <w:lang w:val="es-CO"/>
        </w:rPr>
        <w:t xml:space="preserve"> </w:t>
      </w:r>
      <w:r w:rsidR="006A6A22" w:rsidRPr="00FC37C4">
        <w:rPr>
          <w:rFonts w:ascii="Cambria" w:hAnsi="Cambria"/>
          <w:sz w:val="16"/>
          <w:szCs w:val="16"/>
          <w:lang w:val="es-CO"/>
        </w:rPr>
        <w:t>Informe de Admisibilidad 133/20, párr.</w:t>
      </w:r>
      <w:r w:rsidR="00794F80">
        <w:rPr>
          <w:rFonts w:ascii="Cambria" w:hAnsi="Cambria"/>
          <w:sz w:val="16"/>
          <w:szCs w:val="16"/>
          <w:lang w:val="es-CO"/>
        </w:rPr>
        <w:t xml:space="preserve"> </w:t>
      </w:r>
      <w:r w:rsidR="006A6A22" w:rsidRPr="00FC37C4">
        <w:rPr>
          <w:rFonts w:ascii="Cambria" w:hAnsi="Cambria"/>
          <w:sz w:val="16"/>
          <w:szCs w:val="16"/>
          <w:lang w:val="es-CO"/>
        </w:rPr>
        <w:t xml:space="preserve">1. </w:t>
      </w:r>
    </w:p>
  </w:footnote>
  <w:footnote w:id="7">
    <w:p w14:paraId="2C029673" w14:textId="11860801" w:rsidR="00B82E20" w:rsidRPr="00B82E20" w:rsidRDefault="00B82E20" w:rsidP="008613B1">
      <w:pPr>
        <w:pStyle w:val="FootnoteText"/>
        <w:ind w:firstLine="709"/>
        <w:jc w:val="both"/>
        <w:rPr>
          <w:lang w:val="es-ES"/>
        </w:rPr>
      </w:pPr>
      <w:r w:rsidRPr="00FC37C4">
        <w:rPr>
          <w:rStyle w:val="FootnoteReference"/>
          <w:rFonts w:ascii="Cambria" w:hAnsi="Cambria"/>
          <w:sz w:val="16"/>
          <w:szCs w:val="16"/>
        </w:rPr>
        <w:footnoteRef/>
      </w:r>
      <w:r w:rsidRPr="00FC37C4">
        <w:rPr>
          <w:rFonts w:ascii="Cambria" w:hAnsi="Cambria"/>
          <w:sz w:val="16"/>
          <w:szCs w:val="16"/>
          <w:lang w:val="es-CO"/>
        </w:rPr>
        <w:t xml:space="preserve"> </w:t>
      </w:r>
      <w:r w:rsidR="003C19D5" w:rsidRPr="00616649">
        <w:rPr>
          <w:rFonts w:ascii="Cambria" w:hAnsi="Cambria"/>
          <w:sz w:val="16"/>
          <w:szCs w:val="16"/>
          <w:lang w:val="es-CO"/>
        </w:rPr>
        <w:t>Informe Ejecutivo Fiscalía. Código FGN-20-F-24. Remitido con oficio de la Fiscalía General de la Nación Radicado No.2018700049291 del 22 de junio de 2018.</w:t>
      </w:r>
    </w:p>
  </w:footnote>
  <w:footnote w:id="8">
    <w:p w14:paraId="6ECDD9D1" w14:textId="39FC2CE4" w:rsidR="00616649" w:rsidRPr="00616649" w:rsidRDefault="006A6A22" w:rsidP="008613B1">
      <w:pPr>
        <w:pStyle w:val="FootnoteText"/>
        <w:ind w:firstLine="709"/>
        <w:jc w:val="both"/>
        <w:rPr>
          <w:rFonts w:ascii="Cambria" w:hAnsi="Cambria"/>
          <w:sz w:val="16"/>
          <w:szCs w:val="16"/>
          <w:lang w:val="es-CO"/>
        </w:rPr>
      </w:pPr>
      <w:r w:rsidRPr="00616649">
        <w:rPr>
          <w:rStyle w:val="FootnoteReference"/>
          <w:rFonts w:ascii="Cambria" w:hAnsi="Cambria"/>
          <w:sz w:val="16"/>
          <w:szCs w:val="16"/>
        </w:rPr>
        <w:footnoteRef/>
      </w:r>
      <w:r w:rsidRPr="00616649">
        <w:rPr>
          <w:rFonts w:ascii="Cambria" w:hAnsi="Cambria"/>
          <w:sz w:val="16"/>
          <w:szCs w:val="16"/>
          <w:lang w:val="es-CO"/>
        </w:rPr>
        <w:t xml:space="preserve"> </w:t>
      </w:r>
      <w:r w:rsidR="003C19D5" w:rsidRPr="00FC37C4">
        <w:rPr>
          <w:rFonts w:ascii="Cambria" w:hAnsi="Cambria"/>
          <w:sz w:val="16"/>
          <w:szCs w:val="16"/>
          <w:lang w:val="es-ES"/>
        </w:rPr>
        <w:t xml:space="preserve">Informe </w:t>
      </w:r>
      <w:r w:rsidR="003C19D5">
        <w:rPr>
          <w:rFonts w:ascii="Cambria" w:hAnsi="Cambria"/>
          <w:sz w:val="16"/>
          <w:szCs w:val="16"/>
          <w:lang w:val="es-ES"/>
        </w:rPr>
        <w:t xml:space="preserve">de </w:t>
      </w:r>
      <w:r w:rsidR="003C19D5" w:rsidRPr="00FC37C4">
        <w:rPr>
          <w:rFonts w:ascii="Cambria" w:hAnsi="Cambria"/>
          <w:sz w:val="16"/>
          <w:szCs w:val="16"/>
          <w:lang w:val="es-ES"/>
        </w:rPr>
        <w:t>Admisibilidad 133/20, párr. 15.</w:t>
      </w:r>
    </w:p>
  </w:footnote>
  <w:footnote w:id="9">
    <w:p w14:paraId="53D015C6" w14:textId="771D47B1" w:rsidR="00494217" w:rsidRPr="00C6153F" w:rsidRDefault="00494217" w:rsidP="008613B1">
      <w:pPr>
        <w:pStyle w:val="FootnoteText"/>
        <w:ind w:firstLine="709"/>
        <w:jc w:val="both"/>
        <w:rPr>
          <w:rFonts w:ascii="Cambria" w:hAnsi="Cambria"/>
          <w:sz w:val="16"/>
          <w:szCs w:val="16"/>
          <w:lang w:val="es-CO"/>
        </w:rPr>
      </w:pPr>
      <w:r w:rsidRPr="00C6153F">
        <w:rPr>
          <w:rStyle w:val="FootnoteReference"/>
          <w:rFonts w:ascii="Cambria" w:hAnsi="Cambria"/>
          <w:sz w:val="16"/>
          <w:szCs w:val="16"/>
        </w:rPr>
        <w:footnoteRef/>
      </w:r>
      <w:r w:rsidRPr="00C6153F">
        <w:rPr>
          <w:rFonts w:ascii="Cambria" w:hAnsi="Cambria"/>
          <w:sz w:val="16"/>
          <w:szCs w:val="16"/>
          <w:lang w:val="es-CO"/>
        </w:rPr>
        <w:t xml:space="preserve"> Fiscalía General de la Nación. Oficio Radicado No. 2023</w:t>
      </w:r>
      <w:r w:rsidR="00C6153F" w:rsidRPr="00C6153F">
        <w:rPr>
          <w:rFonts w:ascii="Cambria" w:hAnsi="Cambria"/>
          <w:sz w:val="16"/>
          <w:szCs w:val="16"/>
          <w:lang w:val="es-CO"/>
        </w:rPr>
        <w:t>1700011641 del 20 de febrero de 2023.</w:t>
      </w:r>
    </w:p>
  </w:footnote>
  <w:footnote w:id="10">
    <w:p w14:paraId="77ED7B13" w14:textId="64DDB1DC" w:rsidR="00B82E20" w:rsidRPr="00B82E20" w:rsidRDefault="00B82E20" w:rsidP="008613B1">
      <w:pPr>
        <w:pStyle w:val="FootnoteText"/>
        <w:ind w:firstLine="709"/>
        <w:jc w:val="both"/>
        <w:rPr>
          <w:rFonts w:ascii="Cambria" w:hAnsi="Cambria"/>
          <w:sz w:val="16"/>
          <w:szCs w:val="16"/>
          <w:lang w:val="es-CO"/>
        </w:rPr>
      </w:pPr>
      <w:r w:rsidRPr="00B82E20">
        <w:rPr>
          <w:rStyle w:val="FootnoteReference"/>
          <w:rFonts w:ascii="Cambria" w:hAnsi="Cambria"/>
          <w:sz w:val="16"/>
          <w:szCs w:val="16"/>
        </w:rPr>
        <w:footnoteRef/>
      </w:r>
      <w:r w:rsidRPr="00B82E20">
        <w:rPr>
          <w:rFonts w:ascii="Cambria" w:hAnsi="Cambria"/>
          <w:sz w:val="16"/>
          <w:szCs w:val="16"/>
          <w:lang w:val="es-CO"/>
        </w:rPr>
        <w:t xml:space="preserve"> Ibidem.</w:t>
      </w:r>
    </w:p>
  </w:footnote>
  <w:footnote w:id="11">
    <w:p w14:paraId="1F008A65" w14:textId="60E59E14" w:rsidR="00FC37C4" w:rsidRPr="008607F8" w:rsidRDefault="00FC37C4" w:rsidP="008613B1">
      <w:pPr>
        <w:pStyle w:val="FootnoteText"/>
        <w:ind w:firstLine="709"/>
        <w:jc w:val="both"/>
        <w:rPr>
          <w:rFonts w:ascii="Cambria" w:hAnsi="Cambria"/>
          <w:sz w:val="16"/>
          <w:szCs w:val="16"/>
          <w:highlight w:val="yellow"/>
          <w:lang w:val="es-CO"/>
        </w:rPr>
      </w:pPr>
      <w:r w:rsidRPr="0053123D">
        <w:rPr>
          <w:rStyle w:val="FootnoteReference"/>
          <w:rFonts w:ascii="Cambria" w:hAnsi="Cambria"/>
          <w:sz w:val="16"/>
          <w:szCs w:val="16"/>
        </w:rPr>
        <w:footnoteRef/>
      </w:r>
      <w:r w:rsidRPr="0053123D">
        <w:rPr>
          <w:rFonts w:ascii="Cambria" w:hAnsi="Cambria"/>
          <w:sz w:val="16"/>
          <w:szCs w:val="16"/>
          <w:lang w:val="es-CO"/>
        </w:rPr>
        <w:t xml:space="preserve"> Fiscalía General de la Nación. Oficio Radicado No. 20221700087151 del 18 de novimbre de 2022.</w:t>
      </w:r>
    </w:p>
  </w:footnote>
  <w:footnote w:id="12">
    <w:p w14:paraId="0C234F5A" w14:textId="77E153DD" w:rsidR="00564051" w:rsidRPr="0092488E" w:rsidRDefault="00564051" w:rsidP="008A6D77">
      <w:pPr>
        <w:pStyle w:val="FootnoteText"/>
        <w:ind w:firstLine="720"/>
        <w:jc w:val="both"/>
        <w:rPr>
          <w:rFonts w:ascii="Cambria" w:hAnsi="Cambria"/>
          <w:sz w:val="16"/>
          <w:szCs w:val="16"/>
          <w:lang w:val="es-MX"/>
        </w:rPr>
      </w:pPr>
      <w:r w:rsidRPr="0092488E">
        <w:rPr>
          <w:rStyle w:val="FootnoteReference"/>
          <w:rFonts w:ascii="Cambria" w:hAnsi="Cambria"/>
          <w:sz w:val="16"/>
          <w:szCs w:val="16"/>
        </w:rPr>
        <w:footnoteRef/>
      </w:r>
      <w:r w:rsidRPr="0092488E">
        <w:rPr>
          <w:rFonts w:ascii="Cambria" w:hAnsi="Cambria"/>
          <w:sz w:val="16"/>
          <w:szCs w:val="16"/>
          <w:lang w:val="es-CO"/>
        </w:rPr>
        <w:t xml:space="preserve"> En cuyo caso los valores a reconocer en virtud de la compensación económica en el marco del trámite previsto en la Ley 288 de 1996, se reconocerá</w:t>
      </w:r>
      <w:r w:rsidR="00BA094A" w:rsidRPr="0092488E">
        <w:rPr>
          <w:rFonts w:ascii="Cambria" w:hAnsi="Cambria"/>
          <w:sz w:val="16"/>
          <w:szCs w:val="16"/>
          <w:lang w:val="es-CO"/>
        </w:rPr>
        <w:t>n</w:t>
      </w:r>
      <w:r w:rsidRPr="0092488E">
        <w:rPr>
          <w:rFonts w:ascii="Cambria" w:hAnsi="Cambria"/>
          <w:sz w:val="16"/>
          <w:szCs w:val="16"/>
          <w:lang w:val="es-CO"/>
        </w:rPr>
        <w:t xml:space="preserve"> a sus causantes de acuerdo con la escritura pública de liquidación de la sucesión o la sentencia aprobatoria de la participación respectiva.</w:t>
      </w:r>
    </w:p>
  </w:footnote>
  <w:footnote w:id="13">
    <w:p w14:paraId="41A7DA8E" w14:textId="77777777" w:rsidR="000924F3" w:rsidRPr="0092488E" w:rsidRDefault="000924F3" w:rsidP="008A6D77">
      <w:pPr>
        <w:pStyle w:val="FootnoteText"/>
        <w:ind w:firstLine="720"/>
        <w:jc w:val="both"/>
        <w:rPr>
          <w:rFonts w:ascii="Cambria" w:hAnsi="Cambria"/>
          <w:i/>
          <w:iCs/>
          <w:sz w:val="16"/>
          <w:szCs w:val="16"/>
          <w:lang w:val="pt-BR"/>
        </w:rPr>
      </w:pPr>
      <w:r w:rsidRPr="0092488E">
        <w:rPr>
          <w:rStyle w:val="FootnoteReference"/>
          <w:rFonts w:ascii="Cambria" w:hAnsi="Cambria"/>
          <w:sz w:val="16"/>
          <w:szCs w:val="16"/>
        </w:rPr>
        <w:footnoteRef/>
      </w:r>
      <w:r w:rsidRPr="0092488E">
        <w:rPr>
          <w:rFonts w:ascii="Cambria" w:hAnsi="Cambria"/>
          <w:sz w:val="16"/>
          <w:szCs w:val="16"/>
          <w:lang w:val="pt-BR"/>
        </w:rPr>
        <w:t xml:space="preserve"> </w:t>
      </w:r>
      <w:r w:rsidRPr="0092488E">
        <w:rPr>
          <w:rFonts w:ascii="Cambria" w:hAnsi="Cambria"/>
          <w:i/>
          <w:iCs/>
          <w:sz w:val="16"/>
          <w:szCs w:val="16"/>
          <w:lang w:val="pt-BR"/>
        </w:rPr>
        <w:t>Ibidem.</w:t>
      </w:r>
    </w:p>
  </w:footnote>
  <w:footnote w:id="14">
    <w:p w14:paraId="5F784F87" w14:textId="77777777" w:rsidR="000924F3" w:rsidRPr="0092488E" w:rsidRDefault="000924F3" w:rsidP="008A6D77">
      <w:pPr>
        <w:pStyle w:val="FootnoteText"/>
        <w:ind w:firstLine="720"/>
        <w:jc w:val="both"/>
        <w:rPr>
          <w:rFonts w:ascii="Cambria" w:hAnsi="Cambria"/>
          <w:sz w:val="16"/>
          <w:szCs w:val="16"/>
          <w:lang w:val="pt-PT"/>
        </w:rPr>
      </w:pPr>
      <w:r w:rsidRPr="0092488E">
        <w:rPr>
          <w:rStyle w:val="FootnoteReference"/>
          <w:rFonts w:ascii="Cambria" w:hAnsi="Cambria"/>
          <w:sz w:val="16"/>
          <w:szCs w:val="16"/>
        </w:rPr>
        <w:footnoteRef/>
      </w:r>
      <w:r w:rsidRPr="0092488E">
        <w:rPr>
          <w:rFonts w:ascii="Cambria" w:hAnsi="Cambria"/>
          <w:sz w:val="16"/>
          <w:szCs w:val="16"/>
          <w:lang w:val="pt-PT"/>
        </w:rPr>
        <w:t xml:space="preserve"> </w:t>
      </w:r>
      <w:r w:rsidRPr="0092488E">
        <w:rPr>
          <w:rFonts w:ascii="Cambria" w:hAnsi="Cambria"/>
          <w:i/>
          <w:iCs/>
          <w:sz w:val="16"/>
          <w:szCs w:val="16"/>
          <w:lang w:val="pt-PT"/>
        </w:rPr>
        <w:t>Ibidem</w:t>
      </w:r>
      <w:r w:rsidRPr="0092488E">
        <w:rPr>
          <w:rFonts w:ascii="Cambria" w:hAnsi="Cambria"/>
          <w:sz w:val="16"/>
          <w:szCs w:val="16"/>
          <w:lang w:val="pt-PT"/>
        </w:rPr>
        <w:t xml:space="preserve">. </w:t>
      </w:r>
    </w:p>
  </w:footnote>
  <w:footnote w:id="15">
    <w:p w14:paraId="258FD4FF" w14:textId="59FE71BC" w:rsidR="000924F3" w:rsidRPr="0092488E" w:rsidRDefault="000924F3" w:rsidP="008A6D77">
      <w:pPr>
        <w:pStyle w:val="FootnoteText"/>
        <w:ind w:firstLine="720"/>
        <w:jc w:val="both"/>
        <w:rPr>
          <w:rFonts w:ascii="Cambria" w:hAnsi="Cambria"/>
          <w:sz w:val="16"/>
          <w:szCs w:val="16"/>
          <w:lang w:val="pt-PT"/>
        </w:rPr>
      </w:pPr>
      <w:r w:rsidRPr="0092488E">
        <w:rPr>
          <w:rStyle w:val="FootnoteReference"/>
          <w:rFonts w:ascii="Cambria" w:hAnsi="Cambria"/>
          <w:sz w:val="16"/>
          <w:szCs w:val="16"/>
        </w:rPr>
        <w:footnoteRef/>
      </w:r>
      <w:r w:rsidRPr="0092488E">
        <w:rPr>
          <w:rFonts w:ascii="Cambria" w:hAnsi="Cambria"/>
          <w:sz w:val="16"/>
          <w:szCs w:val="16"/>
          <w:lang w:val="pt-PT"/>
        </w:rPr>
        <w:t xml:space="preserve"> </w:t>
      </w:r>
      <w:r w:rsidRPr="0092488E">
        <w:rPr>
          <w:rFonts w:ascii="Cambria" w:hAnsi="Cambria"/>
          <w:i/>
          <w:iCs/>
          <w:sz w:val="16"/>
          <w:szCs w:val="16"/>
          <w:lang w:val="pt-PT"/>
        </w:rPr>
        <w:t>Ibidem</w:t>
      </w:r>
      <w:r w:rsidR="008A6D77" w:rsidRPr="0092488E">
        <w:rPr>
          <w:rFonts w:ascii="Cambria" w:hAnsi="Cambria"/>
          <w:i/>
          <w:iCs/>
          <w:sz w:val="16"/>
          <w:szCs w:val="16"/>
          <w:lang w:val="pt-PT"/>
        </w:rPr>
        <w:t>.</w:t>
      </w:r>
    </w:p>
  </w:footnote>
  <w:footnote w:id="16">
    <w:p w14:paraId="19EB0425" w14:textId="115E0F65" w:rsidR="000924F3" w:rsidRPr="0092488E" w:rsidRDefault="000924F3" w:rsidP="008A6D77">
      <w:pPr>
        <w:pStyle w:val="FootnoteText"/>
        <w:ind w:firstLine="720"/>
        <w:jc w:val="both"/>
        <w:rPr>
          <w:rFonts w:ascii="Cambria" w:hAnsi="Cambria"/>
          <w:sz w:val="16"/>
          <w:szCs w:val="16"/>
          <w:lang w:val="pt-PT"/>
        </w:rPr>
      </w:pPr>
      <w:r w:rsidRPr="0092488E">
        <w:rPr>
          <w:rStyle w:val="FootnoteReference"/>
          <w:rFonts w:ascii="Cambria" w:hAnsi="Cambria"/>
          <w:sz w:val="16"/>
          <w:szCs w:val="16"/>
        </w:rPr>
        <w:footnoteRef/>
      </w:r>
      <w:r w:rsidRPr="0092488E">
        <w:rPr>
          <w:rFonts w:ascii="Cambria" w:hAnsi="Cambria"/>
          <w:sz w:val="16"/>
          <w:szCs w:val="16"/>
          <w:lang w:val="pt-PT"/>
        </w:rPr>
        <w:t xml:space="preserve"> </w:t>
      </w:r>
      <w:r w:rsidRPr="0092488E">
        <w:rPr>
          <w:rFonts w:ascii="Cambria" w:hAnsi="Cambria"/>
          <w:i/>
          <w:iCs/>
          <w:sz w:val="16"/>
          <w:szCs w:val="16"/>
          <w:lang w:val="pt-PT"/>
        </w:rPr>
        <w:t>Ibidem</w:t>
      </w:r>
      <w:r w:rsidR="008A6D77" w:rsidRPr="0092488E">
        <w:rPr>
          <w:rFonts w:ascii="Cambria" w:hAnsi="Cambria"/>
          <w:i/>
          <w:iCs/>
          <w:sz w:val="16"/>
          <w:szCs w:val="16"/>
          <w:lang w:val="pt-PT"/>
        </w:rPr>
        <w:t>.</w:t>
      </w:r>
    </w:p>
  </w:footnote>
  <w:footnote w:id="17">
    <w:p w14:paraId="680ABA2F" w14:textId="60813DDA" w:rsidR="000924F3" w:rsidRPr="0092488E" w:rsidRDefault="000924F3" w:rsidP="008A6D77">
      <w:pPr>
        <w:pStyle w:val="FootnoteText"/>
        <w:ind w:firstLine="720"/>
        <w:jc w:val="both"/>
        <w:rPr>
          <w:rFonts w:ascii="Cambria" w:hAnsi="Cambria"/>
          <w:sz w:val="16"/>
          <w:szCs w:val="16"/>
          <w:lang w:val="pt-PT"/>
        </w:rPr>
      </w:pPr>
      <w:r w:rsidRPr="0092488E">
        <w:rPr>
          <w:rStyle w:val="FootnoteReference"/>
          <w:rFonts w:ascii="Cambria" w:hAnsi="Cambria"/>
          <w:sz w:val="16"/>
          <w:szCs w:val="16"/>
        </w:rPr>
        <w:footnoteRef/>
      </w:r>
      <w:r w:rsidRPr="0092488E">
        <w:rPr>
          <w:rFonts w:ascii="Cambria" w:hAnsi="Cambria"/>
          <w:sz w:val="16"/>
          <w:szCs w:val="16"/>
          <w:lang w:val="pt-PT"/>
        </w:rPr>
        <w:t xml:space="preserve"> </w:t>
      </w:r>
      <w:r w:rsidRPr="0092488E">
        <w:rPr>
          <w:rFonts w:ascii="Cambria" w:hAnsi="Cambria"/>
          <w:i/>
          <w:iCs/>
          <w:sz w:val="16"/>
          <w:szCs w:val="16"/>
          <w:lang w:val="pt-PT"/>
        </w:rPr>
        <w:t>Ibidem</w:t>
      </w:r>
      <w:r w:rsidR="008A6D77" w:rsidRPr="0092488E">
        <w:rPr>
          <w:rFonts w:ascii="Cambria" w:hAnsi="Cambria"/>
          <w:i/>
          <w:iCs/>
          <w:sz w:val="16"/>
          <w:szCs w:val="16"/>
          <w:lang w:val="pt-PT"/>
        </w:rPr>
        <w:t>.</w:t>
      </w:r>
    </w:p>
  </w:footnote>
  <w:footnote w:id="18">
    <w:p w14:paraId="7E95867F" w14:textId="592EBBD2" w:rsidR="000924F3" w:rsidRPr="0092488E" w:rsidRDefault="000924F3" w:rsidP="008A6D77">
      <w:pPr>
        <w:pStyle w:val="FootnoteText"/>
        <w:ind w:firstLine="720"/>
        <w:jc w:val="both"/>
        <w:rPr>
          <w:rFonts w:ascii="Cambria" w:hAnsi="Cambria"/>
          <w:sz w:val="16"/>
          <w:szCs w:val="16"/>
          <w:lang w:val="es-CO"/>
        </w:rPr>
      </w:pPr>
      <w:r w:rsidRPr="0092488E">
        <w:rPr>
          <w:rStyle w:val="FootnoteReference"/>
          <w:rFonts w:ascii="Cambria" w:hAnsi="Cambria"/>
          <w:sz w:val="16"/>
          <w:szCs w:val="16"/>
        </w:rPr>
        <w:footnoteRef/>
      </w:r>
      <w:r w:rsidRPr="0092488E">
        <w:rPr>
          <w:rFonts w:ascii="Cambria" w:hAnsi="Cambria"/>
          <w:sz w:val="16"/>
          <w:szCs w:val="16"/>
          <w:lang w:val="es-CO"/>
        </w:rPr>
        <w:t xml:space="preserve"> </w:t>
      </w:r>
      <w:r w:rsidRPr="0092488E">
        <w:rPr>
          <w:rFonts w:ascii="Cambria" w:hAnsi="Cambria"/>
          <w:i/>
          <w:iCs/>
          <w:sz w:val="16"/>
          <w:szCs w:val="16"/>
          <w:lang w:val="es-CO"/>
        </w:rPr>
        <w:t>Ibidem</w:t>
      </w:r>
      <w:r w:rsidR="008A6D77" w:rsidRPr="0092488E">
        <w:rPr>
          <w:rFonts w:ascii="Cambria" w:hAnsi="Cambria"/>
          <w:i/>
          <w:iCs/>
          <w:sz w:val="16"/>
          <w:szCs w:val="16"/>
          <w:lang w:val="es-CO"/>
        </w:rPr>
        <w:t>.</w:t>
      </w:r>
    </w:p>
  </w:footnote>
  <w:footnote w:id="19">
    <w:p w14:paraId="4955A5C8" w14:textId="70E84925" w:rsidR="000924F3" w:rsidRPr="0092488E" w:rsidRDefault="000924F3" w:rsidP="008A6D77">
      <w:pPr>
        <w:pStyle w:val="FootnoteText"/>
        <w:ind w:firstLine="720"/>
        <w:jc w:val="both"/>
        <w:rPr>
          <w:rFonts w:ascii="Cambria" w:hAnsi="Cambria"/>
          <w:sz w:val="16"/>
          <w:szCs w:val="16"/>
          <w:lang w:val="es-CO"/>
        </w:rPr>
      </w:pPr>
      <w:r w:rsidRPr="0092488E">
        <w:rPr>
          <w:rStyle w:val="FootnoteReference"/>
          <w:rFonts w:ascii="Cambria" w:hAnsi="Cambria"/>
          <w:sz w:val="16"/>
          <w:szCs w:val="16"/>
        </w:rPr>
        <w:footnoteRef/>
      </w:r>
      <w:r w:rsidRPr="0092488E">
        <w:rPr>
          <w:rFonts w:ascii="Cambria" w:hAnsi="Cambria"/>
          <w:sz w:val="16"/>
          <w:szCs w:val="16"/>
          <w:lang w:val="es-CO"/>
        </w:rPr>
        <w:t xml:space="preserve"> </w:t>
      </w:r>
      <w:r w:rsidRPr="0092488E">
        <w:rPr>
          <w:rFonts w:ascii="Cambria" w:hAnsi="Cambria"/>
          <w:i/>
          <w:iCs/>
          <w:sz w:val="16"/>
          <w:szCs w:val="16"/>
          <w:lang w:val="es-CO"/>
        </w:rPr>
        <w:t>Ibidem</w:t>
      </w:r>
      <w:r w:rsidR="008A6D77" w:rsidRPr="0092488E">
        <w:rPr>
          <w:rFonts w:ascii="Cambria" w:hAnsi="Cambria"/>
          <w:i/>
          <w:iCs/>
          <w:sz w:val="16"/>
          <w:szCs w:val="16"/>
          <w:lang w:val="es-CO"/>
        </w:rPr>
        <w:t>.</w:t>
      </w:r>
    </w:p>
  </w:footnote>
  <w:footnote w:id="20">
    <w:p w14:paraId="75C5B601" w14:textId="1F8A760A" w:rsidR="000924F3" w:rsidRPr="0092488E" w:rsidRDefault="000924F3" w:rsidP="008A6D77">
      <w:pPr>
        <w:pStyle w:val="FootnoteText"/>
        <w:ind w:firstLine="720"/>
        <w:jc w:val="both"/>
        <w:rPr>
          <w:rFonts w:ascii="Cambria" w:hAnsi="Cambria"/>
          <w:sz w:val="16"/>
          <w:szCs w:val="16"/>
          <w:lang w:val="es-CO"/>
        </w:rPr>
      </w:pPr>
      <w:r w:rsidRPr="0092488E">
        <w:rPr>
          <w:rStyle w:val="FootnoteReference"/>
          <w:rFonts w:ascii="Cambria" w:hAnsi="Cambria"/>
          <w:sz w:val="16"/>
          <w:szCs w:val="16"/>
        </w:rPr>
        <w:footnoteRef/>
      </w:r>
      <w:r w:rsidRPr="0092488E">
        <w:rPr>
          <w:rFonts w:ascii="Cambria" w:hAnsi="Cambria"/>
          <w:sz w:val="16"/>
          <w:szCs w:val="16"/>
          <w:lang w:val="es-CO"/>
        </w:rPr>
        <w:t xml:space="preserve"> </w:t>
      </w:r>
      <w:r w:rsidRPr="0092488E">
        <w:rPr>
          <w:rFonts w:ascii="Cambria" w:hAnsi="Cambria"/>
          <w:i/>
          <w:iCs/>
          <w:sz w:val="16"/>
          <w:szCs w:val="16"/>
          <w:lang w:val="es-CO"/>
        </w:rPr>
        <w:t>Ibidem</w:t>
      </w:r>
      <w:r w:rsidR="008A6D77" w:rsidRPr="0092488E">
        <w:rPr>
          <w:rFonts w:ascii="Cambria" w:hAnsi="Cambria"/>
          <w:i/>
          <w:iCs/>
          <w:sz w:val="16"/>
          <w:szCs w:val="16"/>
          <w:lang w:val="es-CO"/>
        </w:rPr>
        <w:t>.</w:t>
      </w:r>
    </w:p>
  </w:footnote>
  <w:footnote w:id="21">
    <w:p w14:paraId="47F655FA" w14:textId="67DB7C57" w:rsidR="0047449A" w:rsidRPr="0092488E" w:rsidRDefault="0047449A" w:rsidP="008A6D77">
      <w:pPr>
        <w:pStyle w:val="FootnoteText"/>
        <w:ind w:firstLine="720"/>
        <w:jc w:val="both"/>
        <w:rPr>
          <w:rFonts w:ascii="Cambria" w:hAnsi="Cambria"/>
          <w:sz w:val="16"/>
          <w:szCs w:val="16"/>
          <w:lang w:val="es-MX"/>
        </w:rPr>
      </w:pPr>
      <w:r w:rsidRPr="0092488E">
        <w:rPr>
          <w:rStyle w:val="FootnoteReference"/>
          <w:rFonts w:ascii="Cambria" w:hAnsi="Cambria"/>
          <w:sz w:val="16"/>
          <w:szCs w:val="16"/>
        </w:rPr>
        <w:footnoteRef/>
      </w:r>
      <w:r w:rsidRPr="0092488E">
        <w:rPr>
          <w:rFonts w:ascii="Cambria" w:hAnsi="Cambria"/>
          <w:sz w:val="16"/>
          <w:szCs w:val="16"/>
          <w:lang w:val="es-CO"/>
        </w:rPr>
        <w:t xml:space="preserve"> Corte IDH</w:t>
      </w:r>
      <w:r w:rsidR="005E51B7" w:rsidRPr="0092488E">
        <w:rPr>
          <w:rFonts w:ascii="Cambria" w:hAnsi="Cambria"/>
          <w:sz w:val="16"/>
          <w:szCs w:val="16"/>
          <w:lang w:val="es-CO"/>
        </w:rPr>
        <w:t>,</w:t>
      </w:r>
      <w:r w:rsidRPr="0092488E">
        <w:rPr>
          <w:rFonts w:ascii="Cambria" w:hAnsi="Cambria"/>
          <w:sz w:val="16"/>
          <w:szCs w:val="16"/>
          <w:lang w:val="es-CO"/>
        </w:rPr>
        <w:t xml:space="preserve"> </w:t>
      </w:r>
      <w:r w:rsidRPr="0092488E">
        <w:rPr>
          <w:rFonts w:ascii="Cambria" w:hAnsi="Cambria"/>
          <w:sz w:val="16"/>
          <w:szCs w:val="16"/>
          <w:lang w:val="es-MX"/>
        </w:rPr>
        <w:t xml:space="preserve">Caso de las Comunidades Afrodescendientes desplazadas de la Cuenca del Río Cacarica (Operación Génesis) </w:t>
      </w:r>
      <w:r w:rsidR="005E51B7" w:rsidRPr="0092488E">
        <w:rPr>
          <w:rFonts w:ascii="Cambria" w:hAnsi="Cambria"/>
          <w:sz w:val="16"/>
          <w:szCs w:val="16"/>
          <w:lang w:val="es-MX"/>
        </w:rPr>
        <w:t>V</w:t>
      </w:r>
      <w:r w:rsidRPr="0092488E">
        <w:rPr>
          <w:rFonts w:ascii="Cambria" w:hAnsi="Cambria"/>
          <w:sz w:val="16"/>
          <w:szCs w:val="16"/>
          <w:lang w:val="es-MX"/>
        </w:rPr>
        <w:t>s. Colombia</w:t>
      </w:r>
      <w:r w:rsidR="005E51B7" w:rsidRPr="0092488E">
        <w:rPr>
          <w:rFonts w:ascii="Cambria" w:hAnsi="Cambria"/>
          <w:sz w:val="16"/>
          <w:szCs w:val="16"/>
          <w:lang w:val="es-MX"/>
        </w:rPr>
        <w:t>,</w:t>
      </w:r>
      <w:r w:rsidRPr="0092488E">
        <w:rPr>
          <w:rFonts w:ascii="Cambria" w:hAnsi="Cambria"/>
          <w:sz w:val="16"/>
          <w:szCs w:val="16"/>
          <w:lang w:val="es-MX"/>
        </w:rPr>
        <w:t xml:space="preserve"> Excepciones Preliminares, Fondo, Reparaciones y Costas</w:t>
      </w:r>
      <w:r w:rsidR="005E51B7" w:rsidRPr="0092488E">
        <w:rPr>
          <w:rFonts w:ascii="Cambria" w:hAnsi="Cambria"/>
          <w:sz w:val="16"/>
          <w:szCs w:val="16"/>
          <w:lang w:val="es-MX"/>
        </w:rPr>
        <w:t>,</w:t>
      </w:r>
      <w:r w:rsidRPr="0092488E">
        <w:rPr>
          <w:rFonts w:ascii="Cambria" w:hAnsi="Cambria"/>
          <w:sz w:val="16"/>
          <w:szCs w:val="16"/>
          <w:lang w:val="es-MX"/>
        </w:rPr>
        <w:t xml:space="preserve"> Sentencia del 20 de noviembre de 2023</w:t>
      </w:r>
      <w:r w:rsidR="005E51B7" w:rsidRPr="0092488E">
        <w:rPr>
          <w:rFonts w:ascii="Cambria" w:hAnsi="Cambria"/>
          <w:sz w:val="16"/>
          <w:szCs w:val="16"/>
          <w:lang w:val="es-MX"/>
        </w:rPr>
        <w:t>,</w:t>
      </w:r>
      <w:r w:rsidRPr="0092488E">
        <w:rPr>
          <w:rFonts w:ascii="Cambria" w:hAnsi="Cambria"/>
          <w:sz w:val="16"/>
          <w:szCs w:val="16"/>
          <w:lang w:val="es-MX"/>
        </w:rPr>
        <w:t xml:space="preserve"> Serie C No. 270, párr. 425. </w:t>
      </w:r>
    </w:p>
  </w:footnote>
  <w:footnote w:id="22">
    <w:p w14:paraId="504D2465" w14:textId="6A3E09AB" w:rsidR="0047449A" w:rsidRPr="0092488E" w:rsidRDefault="0047449A" w:rsidP="008A6D77">
      <w:pPr>
        <w:pStyle w:val="FootnoteText"/>
        <w:ind w:firstLine="720"/>
        <w:jc w:val="both"/>
        <w:rPr>
          <w:rFonts w:ascii="Cambria" w:hAnsi="Cambria"/>
          <w:sz w:val="16"/>
          <w:szCs w:val="16"/>
          <w:lang w:val="es-ES_tradnl"/>
        </w:rPr>
      </w:pPr>
      <w:r w:rsidRPr="0092488E">
        <w:rPr>
          <w:rStyle w:val="FootnoteReference"/>
          <w:rFonts w:ascii="Cambria" w:hAnsi="Cambria"/>
          <w:sz w:val="16"/>
          <w:szCs w:val="16"/>
        </w:rPr>
        <w:footnoteRef/>
      </w:r>
      <w:r w:rsidRPr="0092488E">
        <w:rPr>
          <w:rFonts w:ascii="Cambria" w:hAnsi="Cambria"/>
          <w:sz w:val="16"/>
          <w:szCs w:val="16"/>
          <w:lang w:val="es-CO"/>
        </w:rPr>
        <w:t xml:space="preserve"> Se pone de presente que, conforme a la jurisprudencia del Consejo de Estado, es posible la coexistencia del cónyuge y la compañera o compañero permanente. En tales casos, ambos tienen el mismo derecho frente a la indemnización, siempre y cuando acrediten los requisitos establecidos legal y jurisprudencialmente para tal efecto</w:t>
      </w:r>
      <w:r w:rsidRPr="0092488E">
        <w:rPr>
          <w:rFonts w:ascii="Cambria" w:hAnsi="Cambria"/>
          <w:sz w:val="16"/>
          <w:szCs w:val="16"/>
          <w:lang w:val="es-MX"/>
        </w:rPr>
        <w:t xml:space="preserve"> (CE, S3, Rads. 11577, 15110, 10517, entre otros).</w:t>
      </w:r>
    </w:p>
  </w:footnote>
  <w:footnote w:id="23">
    <w:p w14:paraId="111CF7C0" w14:textId="35C3EE01" w:rsidR="00661D8B" w:rsidRPr="005B0726" w:rsidRDefault="00661D8B" w:rsidP="008613B1">
      <w:pPr>
        <w:pStyle w:val="FootnoteText"/>
        <w:ind w:firstLine="709"/>
        <w:jc w:val="both"/>
        <w:rPr>
          <w:rFonts w:ascii="Cambria" w:hAnsi="Cambria"/>
          <w:sz w:val="16"/>
          <w:szCs w:val="16"/>
          <w:lang w:val="es-CO"/>
        </w:rPr>
      </w:pPr>
      <w:r w:rsidRPr="0092488E">
        <w:rPr>
          <w:rStyle w:val="FootnoteReference"/>
          <w:rFonts w:ascii="Cambria" w:hAnsi="Cambria"/>
          <w:sz w:val="16"/>
          <w:szCs w:val="16"/>
        </w:rPr>
        <w:footnoteRef/>
      </w:r>
      <w:r w:rsidRPr="0092488E">
        <w:rPr>
          <w:rFonts w:ascii="Cambria" w:hAnsi="Cambria"/>
          <w:sz w:val="16"/>
          <w:szCs w:val="16"/>
          <w:lang w:val="es-CO"/>
        </w:rPr>
        <w:t xml:space="preserve"> Fiscalía General de la Nación. Oficio del 20 de febrero de 2023. Radicado No. 202317.</w:t>
      </w:r>
    </w:p>
  </w:footnote>
  <w:footnote w:id="24">
    <w:p w14:paraId="3EE2E4A4" w14:textId="3FC05206" w:rsidR="00602D52" w:rsidRPr="0092488E" w:rsidRDefault="00602D52" w:rsidP="00602D52">
      <w:pPr>
        <w:pStyle w:val="FootnoteText"/>
        <w:ind w:firstLine="720"/>
        <w:jc w:val="both"/>
        <w:rPr>
          <w:rFonts w:asciiTheme="majorHAnsi" w:hAnsiTheme="majorHAnsi"/>
          <w:sz w:val="16"/>
          <w:szCs w:val="16"/>
          <w:lang w:val="es-CO"/>
        </w:rPr>
      </w:pPr>
      <w:r w:rsidRPr="0092488E">
        <w:rPr>
          <w:rStyle w:val="FootnoteReference"/>
          <w:rFonts w:asciiTheme="majorHAnsi" w:hAnsiTheme="majorHAnsi"/>
          <w:sz w:val="16"/>
          <w:szCs w:val="16"/>
        </w:rPr>
        <w:footnoteRef/>
      </w:r>
      <w:r w:rsidRPr="0092488E">
        <w:rPr>
          <w:rFonts w:asciiTheme="majorHAnsi" w:hAnsiTheme="majorHAnsi"/>
          <w:sz w:val="16"/>
          <w:szCs w:val="16"/>
          <w:lang w:val="es-CO"/>
        </w:rPr>
        <w:t xml:space="preserve"> En el ASA original se enumeró esta cláusula como séptima, pero la Comisión entiende que se trata de un error material y ajusta la numeración conforme a la secuencia correspondiente para facilitar su supervisión. </w:t>
      </w:r>
    </w:p>
  </w:footnote>
  <w:footnote w:id="25">
    <w:p w14:paraId="21E84DD0" w14:textId="77777777" w:rsidR="00B333BF" w:rsidRPr="009F2BDE" w:rsidRDefault="00B333BF" w:rsidP="008613B1">
      <w:pPr>
        <w:pStyle w:val="FootnoteText"/>
        <w:ind w:firstLine="709"/>
        <w:jc w:val="both"/>
        <w:rPr>
          <w:rFonts w:asciiTheme="majorHAnsi" w:hAnsiTheme="majorHAnsi"/>
          <w:sz w:val="16"/>
          <w:szCs w:val="16"/>
          <w:bdr w:val="none" w:sz="0" w:space="0" w:color="auto" w:frame="1"/>
          <w:lang w:val="es-CO"/>
        </w:rPr>
      </w:pPr>
      <w:r w:rsidRPr="005B0726">
        <w:rPr>
          <w:rStyle w:val="FootnoteReference"/>
          <w:rFonts w:ascii="Cambria" w:hAnsi="Cambria"/>
          <w:sz w:val="16"/>
          <w:szCs w:val="16"/>
        </w:rPr>
        <w:footnoteRef/>
      </w:r>
      <w:r w:rsidRPr="005B0726">
        <w:rPr>
          <w:rFonts w:ascii="Cambria" w:hAnsi="Cambria"/>
          <w:sz w:val="16"/>
          <w:szCs w:val="16"/>
          <w:lang w:val="es-CO"/>
        </w:rPr>
        <w:t xml:space="preserve"> Convención de Viena sobre el Derecho de los Tratados, U.N. Doc A/CONF.39/27 (1969), Artículo 26: </w:t>
      </w:r>
      <w:r w:rsidRPr="005B0726">
        <w:rPr>
          <w:rFonts w:ascii="Cambria" w:hAnsi="Cambria"/>
          <w:b/>
          <w:bCs/>
          <w:sz w:val="16"/>
          <w:szCs w:val="16"/>
          <w:lang w:val="es-CO"/>
        </w:rPr>
        <w:t>"Pacta sunt servanda".</w:t>
      </w:r>
      <w:r w:rsidRPr="005B0726">
        <w:rPr>
          <w:rFonts w:ascii="Cambria" w:hAnsi="Cambria"/>
          <w:sz w:val="16"/>
          <w:szCs w:val="16"/>
          <w:lang w:val="es-CO"/>
        </w:rPr>
        <w:t xml:space="preserve"> </w:t>
      </w:r>
      <w:r w:rsidRPr="005B0726">
        <w:rPr>
          <w:rFonts w:ascii="Cambria" w:hAnsi="Cambria"/>
          <w:i/>
          <w:sz w:val="16"/>
          <w:szCs w:val="16"/>
          <w:lang w:val="es-CO"/>
        </w:rPr>
        <w:t>Todo tratado en vigor obliga a las partes y debe ser cumplido por ellas de buena fe</w:t>
      </w:r>
      <w:r w:rsidRPr="005B0726">
        <w:rPr>
          <w:rFonts w:ascii="Cambria" w:hAnsi="Cambria"/>
          <w:sz w:val="16"/>
          <w:szCs w:val="16"/>
          <w:lang w:val="es-CO"/>
        </w:rPr>
        <w:t>.</w:t>
      </w:r>
    </w:p>
  </w:footnote>
  <w:footnote w:id="26">
    <w:p w14:paraId="0D63E8CA" w14:textId="223F1D86" w:rsidR="00842546" w:rsidRPr="00A60F1E" w:rsidRDefault="00842546" w:rsidP="00842546">
      <w:pPr>
        <w:pStyle w:val="Heading1"/>
        <w:numPr>
          <w:ilvl w:val="0"/>
          <w:numId w:val="0"/>
        </w:numPr>
        <w:shd w:val="clear" w:color="auto" w:fill="FFFFFF"/>
        <w:spacing w:before="0"/>
        <w:ind w:firstLine="720"/>
        <w:jc w:val="both"/>
        <w:rPr>
          <w:rFonts w:ascii="Cambria" w:hAnsi="Cambria"/>
          <w:b w:val="0"/>
          <w:bCs w:val="0"/>
          <w:color w:val="0F0F0F"/>
          <w:sz w:val="16"/>
          <w:szCs w:val="16"/>
          <w:lang w:val="es-CO"/>
        </w:rPr>
      </w:pPr>
      <w:r w:rsidRPr="00A60F1E">
        <w:rPr>
          <w:rStyle w:val="FootnoteReference"/>
          <w:rFonts w:ascii="Cambria" w:hAnsi="Cambria"/>
          <w:b w:val="0"/>
          <w:bCs w:val="0"/>
          <w:color w:val="auto"/>
          <w:sz w:val="16"/>
          <w:szCs w:val="16"/>
        </w:rPr>
        <w:footnoteRef/>
      </w:r>
      <w:r w:rsidRPr="00A60F1E">
        <w:rPr>
          <w:rFonts w:ascii="Cambria" w:hAnsi="Cambria"/>
          <w:b w:val="0"/>
          <w:bCs w:val="0"/>
          <w:color w:val="auto"/>
          <w:sz w:val="16"/>
          <w:szCs w:val="16"/>
          <w:lang w:val="es-CO"/>
        </w:rPr>
        <w:t xml:space="preserve"> Ver, ANDJE, YouTube, Acto de Reconocimiento </w:t>
      </w:r>
      <w:r w:rsidR="00A21CB2">
        <w:rPr>
          <w:rFonts w:ascii="Cambria" w:hAnsi="Cambria"/>
          <w:b w:val="0"/>
          <w:bCs w:val="0"/>
          <w:color w:val="auto"/>
          <w:sz w:val="16"/>
          <w:szCs w:val="16"/>
          <w:lang w:val="es-CO"/>
        </w:rPr>
        <w:t>–</w:t>
      </w:r>
      <w:r w:rsidRPr="00A60F1E">
        <w:rPr>
          <w:rFonts w:ascii="Cambria" w:hAnsi="Cambria"/>
          <w:b w:val="0"/>
          <w:bCs w:val="0"/>
          <w:color w:val="auto"/>
          <w:sz w:val="16"/>
          <w:szCs w:val="16"/>
          <w:lang w:val="es-CO"/>
        </w:rPr>
        <w:t xml:space="preserve"> </w:t>
      </w:r>
      <w:r w:rsidR="00A21CB2">
        <w:rPr>
          <w:rFonts w:ascii="Cambria" w:hAnsi="Cambria"/>
          <w:b w:val="0"/>
          <w:bCs w:val="0"/>
          <w:color w:val="auto"/>
          <w:sz w:val="16"/>
          <w:szCs w:val="16"/>
          <w:lang w:val="es-CO"/>
        </w:rPr>
        <w:t>Maria Regina Ocampo</w:t>
      </w:r>
      <w:r w:rsidRPr="00A60F1E">
        <w:rPr>
          <w:rFonts w:ascii="Cambria" w:hAnsi="Cambria"/>
          <w:b w:val="0"/>
          <w:bCs w:val="0"/>
          <w:color w:val="auto"/>
          <w:sz w:val="16"/>
          <w:szCs w:val="16"/>
          <w:lang w:val="es-CO"/>
        </w:rPr>
        <w:t xml:space="preserve">: </w:t>
      </w:r>
      <w:hyperlink r:id="rId1" w:history="1">
        <w:r w:rsidR="00A21CB2" w:rsidRPr="006C74C7">
          <w:rPr>
            <w:rStyle w:val="Hyperlink"/>
            <w:rFonts w:ascii="Cambria" w:hAnsi="Cambria"/>
            <w:b w:val="0"/>
            <w:bCs w:val="0"/>
            <w:sz w:val="16"/>
            <w:szCs w:val="16"/>
            <w:lang w:val="es-CO"/>
          </w:rPr>
          <w:t>https://www.youtube.com/watch?v=I9lUqnvQft4</w:t>
        </w:r>
      </w:hyperlink>
      <w:r w:rsidR="00A21CB2">
        <w:rPr>
          <w:rFonts w:ascii="Cambria" w:hAnsi="Cambria"/>
          <w:b w:val="0"/>
          <w:bCs w:val="0"/>
          <w:color w:val="auto"/>
          <w:sz w:val="16"/>
          <w:szCs w:val="16"/>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E7A8" w14:textId="77777777" w:rsidR="00660EA4" w:rsidRDefault="00660EA4" w:rsidP="00660EA4">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271DBC73" w14:textId="77777777" w:rsidR="00660EA4" w:rsidRDefault="0066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483E" w14:textId="77777777" w:rsidR="00660EA4" w:rsidRDefault="00660EA4" w:rsidP="00A50FCF">
    <w:pPr>
      <w:pStyle w:val="Header"/>
      <w:tabs>
        <w:tab w:val="clear" w:pos="4320"/>
        <w:tab w:val="clear" w:pos="8640"/>
      </w:tabs>
      <w:jc w:val="center"/>
      <w:rPr>
        <w:sz w:val="22"/>
        <w:szCs w:val="22"/>
      </w:rPr>
    </w:pPr>
    <w:r>
      <w:rPr>
        <w:noProof/>
        <w:sz w:val="22"/>
        <w:szCs w:val="22"/>
      </w:rPr>
      <w:drawing>
        <wp:inline distT="0" distB="0" distL="0" distR="0" wp14:anchorId="56175AED" wp14:editId="5908084B">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EA35787" w14:textId="77777777" w:rsidR="00660EA4" w:rsidRPr="00EC7D62" w:rsidRDefault="00032DD7" w:rsidP="00A50FCF">
    <w:pPr>
      <w:pStyle w:val="Header"/>
      <w:tabs>
        <w:tab w:val="clear" w:pos="4320"/>
        <w:tab w:val="clear" w:pos="8640"/>
      </w:tabs>
      <w:jc w:val="center"/>
      <w:rPr>
        <w:sz w:val="22"/>
        <w:szCs w:val="22"/>
      </w:rPr>
    </w:pPr>
    <w:r>
      <w:rPr>
        <w:noProof/>
        <w:sz w:val="22"/>
        <w:szCs w:val="22"/>
        <w:bdr w:val="nil"/>
      </w:rPr>
      <w:pict w14:anchorId="0CB3174A">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075C974A"/>
    <w:lvl w:ilvl="0" w:tplc="77FC7A98">
      <w:start w:val="1"/>
      <w:numFmt w:val="decimal"/>
      <w:lvlText w:val="%1."/>
      <w:lvlJc w:val="left"/>
      <w:pPr>
        <w:tabs>
          <w:tab w:val="num" w:pos="720"/>
        </w:tabs>
        <w:ind w:left="0" w:firstLine="720"/>
      </w:pPr>
      <w:rPr>
        <w:rFonts w:hint="default"/>
        <w:color w:val="auto"/>
        <w:lang w:val="es-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34D2040"/>
    <w:multiLevelType w:val="hybridMultilevel"/>
    <w:tmpl w:val="5EB25A2A"/>
    <w:lvl w:ilvl="0" w:tplc="6434BB8C">
      <w:start w:val="1"/>
      <w:numFmt w:val="decimal"/>
      <w:lvlText w:val="%1."/>
      <w:lvlJc w:val="left"/>
      <w:pPr>
        <w:ind w:left="1350" w:hanging="360"/>
      </w:pPr>
      <w:rPr>
        <w:rFonts w:hint="default"/>
      </w:r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9C17B3"/>
    <w:multiLevelType w:val="hybridMultilevel"/>
    <w:tmpl w:val="512C93E8"/>
    <w:lvl w:ilvl="0" w:tplc="71D43FF6">
      <w:start w:val="4"/>
      <w:numFmt w:val="decimal"/>
      <w:lvlText w:val="%1."/>
      <w:lvlJc w:val="left"/>
      <w:pPr>
        <w:ind w:left="720" w:hanging="360"/>
      </w:pPr>
      <w:rPr>
        <w:rFonts w:ascii="Cambria" w:hAnsi="Cambr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8509AF"/>
    <w:multiLevelType w:val="hybridMultilevel"/>
    <w:tmpl w:val="9E70B0FA"/>
    <w:lvl w:ilvl="0" w:tplc="000C419E">
      <w:start w:val="1"/>
      <w:numFmt w:val="upperRoman"/>
      <w:lvlText w:val="%1."/>
      <w:lvlJc w:val="left"/>
      <w:pPr>
        <w:ind w:left="1710" w:hanging="720"/>
      </w:pPr>
      <w:rPr>
        <w:rFonts w:hint="default"/>
      </w:r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58A3BE5"/>
    <w:multiLevelType w:val="hybridMultilevel"/>
    <w:tmpl w:val="A4BE7484"/>
    <w:lvl w:ilvl="0" w:tplc="5C8E13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71D5CC1"/>
    <w:multiLevelType w:val="hybridMultilevel"/>
    <w:tmpl w:val="629A4018"/>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633561017">
    <w:abstractNumId w:val="3"/>
  </w:num>
  <w:num w:numId="2" w16cid:durableId="1740597919">
    <w:abstractNumId w:val="5"/>
  </w:num>
  <w:num w:numId="3" w16cid:durableId="246504900">
    <w:abstractNumId w:val="55"/>
  </w:num>
  <w:num w:numId="4" w16cid:durableId="866917285">
    <w:abstractNumId w:val="22"/>
  </w:num>
  <w:num w:numId="5" w16cid:durableId="1542672104">
    <w:abstractNumId w:val="48"/>
  </w:num>
  <w:num w:numId="6" w16cid:durableId="616063099">
    <w:abstractNumId w:val="28"/>
  </w:num>
  <w:num w:numId="7" w16cid:durableId="70783021">
    <w:abstractNumId w:val="7"/>
  </w:num>
  <w:num w:numId="8" w16cid:durableId="1011958067">
    <w:abstractNumId w:val="18"/>
  </w:num>
  <w:num w:numId="9" w16cid:durableId="1707218621">
    <w:abstractNumId w:val="43"/>
  </w:num>
  <w:num w:numId="10" w16cid:durableId="868028365">
    <w:abstractNumId w:val="0"/>
  </w:num>
  <w:num w:numId="11" w16cid:durableId="2135057333">
    <w:abstractNumId w:val="38"/>
  </w:num>
  <w:num w:numId="12" w16cid:durableId="1642031920">
    <w:abstractNumId w:val="39"/>
  </w:num>
  <w:num w:numId="13" w16cid:durableId="1326546145">
    <w:abstractNumId w:val="44"/>
  </w:num>
  <w:num w:numId="14" w16cid:durableId="635375885">
    <w:abstractNumId w:val="1"/>
  </w:num>
  <w:num w:numId="15" w16cid:durableId="394352089">
    <w:abstractNumId w:val="2"/>
  </w:num>
  <w:num w:numId="16" w16cid:durableId="1406100731">
    <w:abstractNumId w:val="8"/>
  </w:num>
  <w:num w:numId="17" w16cid:durableId="1829711464">
    <w:abstractNumId w:val="9"/>
  </w:num>
  <w:num w:numId="18" w16cid:durableId="1346588290">
    <w:abstractNumId w:val="10"/>
  </w:num>
  <w:num w:numId="19" w16cid:durableId="2051493065">
    <w:abstractNumId w:val="11"/>
  </w:num>
  <w:num w:numId="20" w16cid:durableId="263612655">
    <w:abstractNumId w:val="12"/>
  </w:num>
  <w:num w:numId="21" w16cid:durableId="1632901384">
    <w:abstractNumId w:val="13"/>
  </w:num>
  <w:num w:numId="22" w16cid:durableId="154103853">
    <w:abstractNumId w:val="14"/>
  </w:num>
  <w:num w:numId="23" w16cid:durableId="118886404">
    <w:abstractNumId w:val="15"/>
  </w:num>
  <w:num w:numId="24" w16cid:durableId="1759668799">
    <w:abstractNumId w:val="16"/>
  </w:num>
  <w:num w:numId="25" w16cid:durableId="1635864975">
    <w:abstractNumId w:val="19"/>
  </w:num>
  <w:num w:numId="26" w16cid:durableId="713194106">
    <w:abstractNumId w:val="20"/>
  </w:num>
  <w:num w:numId="27" w16cid:durableId="2105374021">
    <w:abstractNumId w:val="24"/>
  </w:num>
  <w:num w:numId="28" w16cid:durableId="1142387307">
    <w:abstractNumId w:val="25"/>
  </w:num>
  <w:num w:numId="29" w16cid:durableId="1820462044">
    <w:abstractNumId w:val="26"/>
  </w:num>
  <w:num w:numId="30" w16cid:durableId="1383366326">
    <w:abstractNumId w:val="27"/>
  </w:num>
  <w:num w:numId="31" w16cid:durableId="1450247507">
    <w:abstractNumId w:val="29"/>
  </w:num>
  <w:num w:numId="32" w16cid:durableId="1335302634">
    <w:abstractNumId w:val="30"/>
  </w:num>
  <w:num w:numId="33" w16cid:durableId="706494897">
    <w:abstractNumId w:val="31"/>
  </w:num>
  <w:num w:numId="34" w16cid:durableId="154230988">
    <w:abstractNumId w:val="32"/>
  </w:num>
  <w:num w:numId="35" w16cid:durableId="1543206483">
    <w:abstractNumId w:val="34"/>
  </w:num>
  <w:num w:numId="36" w16cid:durableId="557474470">
    <w:abstractNumId w:val="35"/>
  </w:num>
  <w:num w:numId="37" w16cid:durableId="1409883210">
    <w:abstractNumId w:val="36"/>
  </w:num>
  <w:num w:numId="38" w16cid:durableId="361900794">
    <w:abstractNumId w:val="37"/>
  </w:num>
  <w:num w:numId="39" w16cid:durableId="1597396573">
    <w:abstractNumId w:val="40"/>
  </w:num>
  <w:num w:numId="40" w16cid:durableId="1890265559">
    <w:abstractNumId w:val="41"/>
  </w:num>
  <w:num w:numId="41" w16cid:durableId="1391270847">
    <w:abstractNumId w:val="46"/>
  </w:num>
  <w:num w:numId="42" w16cid:durableId="291177843">
    <w:abstractNumId w:val="49"/>
  </w:num>
  <w:num w:numId="43" w16cid:durableId="1977249529">
    <w:abstractNumId w:val="50"/>
  </w:num>
  <w:num w:numId="44" w16cid:durableId="1885216622">
    <w:abstractNumId w:val="52"/>
  </w:num>
  <w:num w:numId="45" w16cid:durableId="1651442381">
    <w:abstractNumId w:val="54"/>
  </w:num>
  <w:num w:numId="46" w16cid:durableId="1335568163">
    <w:abstractNumId w:val="56"/>
  </w:num>
  <w:num w:numId="47" w16cid:durableId="1924411158">
    <w:abstractNumId w:val="57"/>
  </w:num>
  <w:num w:numId="48" w16cid:durableId="1491166970">
    <w:abstractNumId w:val="58"/>
  </w:num>
  <w:num w:numId="49" w16cid:durableId="130943002">
    <w:abstractNumId w:val="59"/>
  </w:num>
  <w:num w:numId="50" w16cid:durableId="1225028047">
    <w:abstractNumId w:val="60"/>
  </w:num>
  <w:num w:numId="51" w16cid:durableId="1131940806">
    <w:abstractNumId w:val="21"/>
  </w:num>
  <w:num w:numId="52" w16cid:durableId="1278441265">
    <w:abstractNumId w:val="42"/>
  </w:num>
  <w:num w:numId="53" w16cid:durableId="451246887">
    <w:abstractNumId w:val="51"/>
  </w:num>
  <w:num w:numId="54" w16cid:durableId="205332580">
    <w:abstractNumId w:val="45"/>
  </w:num>
  <w:num w:numId="55" w16cid:durableId="1565411389">
    <w:abstractNumId w:val="53"/>
  </w:num>
  <w:num w:numId="56" w16cid:durableId="106602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7241157">
    <w:abstractNumId w:val="47"/>
  </w:num>
  <w:num w:numId="58" w16cid:durableId="792821412">
    <w:abstractNumId w:val="6"/>
  </w:num>
  <w:num w:numId="59" w16cid:durableId="1366371193">
    <w:abstractNumId w:val="33"/>
  </w:num>
  <w:num w:numId="60" w16cid:durableId="1970160005">
    <w:abstractNumId w:val="4"/>
  </w:num>
  <w:num w:numId="61" w16cid:durableId="739210879">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2B10"/>
    <w:rsid w:val="000067B0"/>
    <w:rsid w:val="00006E1F"/>
    <w:rsid w:val="000070D7"/>
    <w:rsid w:val="0001788C"/>
    <w:rsid w:val="00027E1A"/>
    <w:rsid w:val="00032DD7"/>
    <w:rsid w:val="000341E1"/>
    <w:rsid w:val="00040C3A"/>
    <w:rsid w:val="000414AD"/>
    <w:rsid w:val="00043CC3"/>
    <w:rsid w:val="00054633"/>
    <w:rsid w:val="00054A10"/>
    <w:rsid w:val="000562F5"/>
    <w:rsid w:val="00056E3B"/>
    <w:rsid w:val="000716C5"/>
    <w:rsid w:val="00073681"/>
    <w:rsid w:val="00075E23"/>
    <w:rsid w:val="00082676"/>
    <w:rsid w:val="0008288D"/>
    <w:rsid w:val="000907C1"/>
    <w:rsid w:val="000924F3"/>
    <w:rsid w:val="0009344A"/>
    <w:rsid w:val="00097285"/>
    <w:rsid w:val="000A0AB7"/>
    <w:rsid w:val="000A392E"/>
    <w:rsid w:val="000A575F"/>
    <w:rsid w:val="000B23AC"/>
    <w:rsid w:val="000D10DB"/>
    <w:rsid w:val="000D3C78"/>
    <w:rsid w:val="000D479A"/>
    <w:rsid w:val="000D4EDB"/>
    <w:rsid w:val="000E5EB5"/>
    <w:rsid w:val="000E7111"/>
    <w:rsid w:val="000F1C4B"/>
    <w:rsid w:val="000F35ED"/>
    <w:rsid w:val="000F6C1C"/>
    <w:rsid w:val="00100EE4"/>
    <w:rsid w:val="00105D37"/>
    <w:rsid w:val="00107131"/>
    <w:rsid w:val="0010736F"/>
    <w:rsid w:val="00110B20"/>
    <w:rsid w:val="00113845"/>
    <w:rsid w:val="00113F73"/>
    <w:rsid w:val="00114DBC"/>
    <w:rsid w:val="00121CC2"/>
    <w:rsid w:val="00123475"/>
    <w:rsid w:val="00133EE5"/>
    <w:rsid w:val="00152FAB"/>
    <w:rsid w:val="00153BB1"/>
    <w:rsid w:val="0015511E"/>
    <w:rsid w:val="00167A34"/>
    <w:rsid w:val="001730EA"/>
    <w:rsid w:val="001742F6"/>
    <w:rsid w:val="001856C6"/>
    <w:rsid w:val="001862F1"/>
    <w:rsid w:val="00190671"/>
    <w:rsid w:val="001922E0"/>
    <w:rsid w:val="001931A3"/>
    <w:rsid w:val="001977B5"/>
    <w:rsid w:val="001A1251"/>
    <w:rsid w:val="001A293F"/>
    <w:rsid w:val="001A5B95"/>
    <w:rsid w:val="001A7870"/>
    <w:rsid w:val="001A7C68"/>
    <w:rsid w:val="001B09BC"/>
    <w:rsid w:val="001B2DFF"/>
    <w:rsid w:val="001C1B41"/>
    <w:rsid w:val="001C23BE"/>
    <w:rsid w:val="001D12CA"/>
    <w:rsid w:val="001D1B45"/>
    <w:rsid w:val="001D65EF"/>
    <w:rsid w:val="001E1C62"/>
    <w:rsid w:val="00203DE5"/>
    <w:rsid w:val="00204342"/>
    <w:rsid w:val="00205052"/>
    <w:rsid w:val="00205999"/>
    <w:rsid w:val="00220140"/>
    <w:rsid w:val="002250A3"/>
    <w:rsid w:val="00235217"/>
    <w:rsid w:val="0024498C"/>
    <w:rsid w:val="00246D1F"/>
    <w:rsid w:val="00247403"/>
    <w:rsid w:val="00247542"/>
    <w:rsid w:val="00251F76"/>
    <w:rsid w:val="002546D6"/>
    <w:rsid w:val="00255338"/>
    <w:rsid w:val="00263F73"/>
    <w:rsid w:val="00266B61"/>
    <w:rsid w:val="0026712A"/>
    <w:rsid w:val="00267B76"/>
    <w:rsid w:val="002704DB"/>
    <w:rsid w:val="002723C6"/>
    <w:rsid w:val="002753D7"/>
    <w:rsid w:val="00293769"/>
    <w:rsid w:val="002A0AAE"/>
    <w:rsid w:val="002A5820"/>
    <w:rsid w:val="002A67A2"/>
    <w:rsid w:val="002B5259"/>
    <w:rsid w:val="002B5D31"/>
    <w:rsid w:val="002C11DF"/>
    <w:rsid w:val="002C612A"/>
    <w:rsid w:val="002C7250"/>
    <w:rsid w:val="002D2A39"/>
    <w:rsid w:val="002D2B26"/>
    <w:rsid w:val="002D38C7"/>
    <w:rsid w:val="002D7EA2"/>
    <w:rsid w:val="002E01E3"/>
    <w:rsid w:val="002E187C"/>
    <w:rsid w:val="002F45F9"/>
    <w:rsid w:val="00300920"/>
    <w:rsid w:val="00301EE6"/>
    <w:rsid w:val="00302733"/>
    <w:rsid w:val="00303F9F"/>
    <w:rsid w:val="00310E6B"/>
    <w:rsid w:val="00314078"/>
    <w:rsid w:val="0031535D"/>
    <w:rsid w:val="0031543C"/>
    <w:rsid w:val="00317B20"/>
    <w:rsid w:val="0033169F"/>
    <w:rsid w:val="00335EEB"/>
    <w:rsid w:val="0034364D"/>
    <w:rsid w:val="00346C95"/>
    <w:rsid w:val="00356185"/>
    <w:rsid w:val="00360380"/>
    <w:rsid w:val="00362208"/>
    <w:rsid w:val="00364C7A"/>
    <w:rsid w:val="00370B4A"/>
    <w:rsid w:val="0037337A"/>
    <w:rsid w:val="00373C91"/>
    <w:rsid w:val="00373EE7"/>
    <w:rsid w:val="00374721"/>
    <w:rsid w:val="0037519E"/>
    <w:rsid w:val="0037573B"/>
    <w:rsid w:val="00386CF0"/>
    <w:rsid w:val="00390964"/>
    <w:rsid w:val="00396064"/>
    <w:rsid w:val="00396EA9"/>
    <w:rsid w:val="003A0496"/>
    <w:rsid w:val="003A3EFB"/>
    <w:rsid w:val="003B2C83"/>
    <w:rsid w:val="003B7DC0"/>
    <w:rsid w:val="003C19D5"/>
    <w:rsid w:val="003C676B"/>
    <w:rsid w:val="003D051D"/>
    <w:rsid w:val="003D3BC2"/>
    <w:rsid w:val="003E500B"/>
    <w:rsid w:val="003E58E0"/>
    <w:rsid w:val="003E6CA1"/>
    <w:rsid w:val="00402835"/>
    <w:rsid w:val="00407C98"/>
    <w:rsid w:val="00416593"/>
    <w:rsid w:val="004165C2"/>
    <w:rsid w:val="004234FC"/>
    <w:rsid w:val="00432E4A"/>
    <w:rsid w:val="00441ECB"/>
    <w:rsid w:val="00443B18"/>
    <w:rsid w:val="00456218"/>
    <w:rsid w:val="004604EA"/>
    <w:rsid w:val="00467B7E"/>
    <w:rsid w:val="004718E6"/>
    <w:rsid w:val="0047449A"/>
    <w:rsid w:val="00477592"/>
    <w:rsid w:val="00481E7A"/>
    <w:rsid w:val="00486F1C"/>
    <w:rsid w:val="0049419D"/>
    <w:rsid w:val="00494217"/>
    <w:rsid w:val="00497728"/>
    <w:rsid w:val="004B4A5C"/>
    <w:rsid w:val="004B7FB6"/>
    <w:rsid w:val="004C16FE"/>
    <w:rsid w:val="004C20D2"/>
    <w:rsid w:val="004C4B62"/>
    <w:rsid w:val="004C54C9"/>
    <w:rsid w:val="004C68B0"/>
    <w:rsid w:val="004D6025"/>
    <w:rsid w:val="004E155D"/>
    <w:rsid w:val="004E2649"/>
    <w:rsid w:val="004F0650"/>
    <w:rsid w:val="004F74A8"/>
    <w:rsid w:val="004F7560"/>
    <w:rsid w:val="00501399"/>
    <w:rsid w:val="00503C77"/>
    <w:rsid w:val="0050633D"/>
    <w:rsid w:val="005070F9"/>
    <w:rsid w:val="00507BC4"/>
    <w:rsid w:val="005107CA"/>
    <w:rsid w:val="0051089C"/>
    <w:rsid w:val="005128E4"/>
    <w:rsid w:val="005133DB"/>
    <w:rsid w:val="00514EE9"/>
    <w:rsid w:val="00520A22"/>
    <w:rsid w:val="005213ED"/>
    <w:rsid w:val="0052499E"/>
    <w:rsid w:val="00525560"/>
    <w:rsid w:val="0053123D"/>
    <w:rsid w:val="00532CDE"/>
    <w:rsid w:val="00540463"/>
    <w:rsid w:val="005438E6"/>
    <w:rsid w:val="00544C49"/>
    <w:rsid w:val="005516A1"/>
    <w:rsid w:val="00553A98"/>
    <w:rsid w:val="00564051"/>
    <w:rsid w:val="00564560"/>
    <w:rsid w:val="005670BE"/>
    <w:rsid w:val="005677C6"/>
    <w:rsid w:val="00571CB8"/>
    <w:rsid w:val="0057402A"/>
    <w:rsid w:val="005761DD"/>
    <w:rsid w:val="005771D0"/>
    <w:rsid w:val="005802E9"/>
    <w:rsid w:val="0058086F"/>
    <w:rsid w:val="0058525D"/>
    <w:rsid w:val="0059020B"/>
    <w:rsid w:val="0059191A"/>
    <w:rsid w:val="005921FF"/>
    <w:rsid w:val="005A12ED"/>
    <w:rsid w:val="005A5449"/>
    <w:rsid w:val="005A6559"/>
    <w:rsid w:val="005A6D0E"/>
    <w:rsid w:val="005B0726"/>
    <w:rsid w:val="005B415F"/>
    <w:rsid w:val="005B52B0"/>
    <w:rsid w:val="005B6806"/>
    <w:rsid w:val="005C4225"/>
    <w:rsid w:val="005D1045"/>
    <w:rsid w:val="005D34F8"/>
    <w:rsid w:val="005E311A"/>
    <w:rsid w:val="005E51B7"/>
    <w:rsid w:val="005E7793"/>
    <w:rsid w:val="005F0DAD"/>
    <w:rsid w:val="005F0F33"/>
    <w:rsid w:val="00600DEB"/>
    <w:rsid w:val="00602D52"/>
    <w:rsid w:val="00610435"/>
    <w:rsid w:val="00612681"/>
    <w:rsid w:val="00613041"/>
    <w:rsid w:val="00613B23"/>
    <w:rsid w:val="00616649"/>
    <w:rsid w:val="00620C25"/>
    <w:rsid w:val="006247A9"/>
    <w:rsid w:val="00627C9F"/>
    <w:rsid w:val="006311E9"/>
    <w:rsid w:val="00632354"/>
    <w:rsid w:val="00633BC2"/>
    <w:rsid w:val="006348BC"/>
    <w:rsid w:val="00634D32"/>
    <w:rsid w:val="00634E5B"/>
    <w:rsid w:val="00641AFA"/>
    <w:rsid w:val="00642810"/>
    <w:rsid w:val="006428C5"/>
    <w:rsid w:val="00644E85"/>
    <w:rsid w:val="0064500D"/>
    <w:rsid w:val="00645DD6"/>
    <w:rsid w:val="00652333"/>
    <w:rsid w:val="00653854"/>
    <w:rsid w:val="006574F0"/>
    <w:rsid w:val="00660EA4"/>
    <w:rsid w:val="00661D8B"/>
    <w:rsid w:val="00663ECD"/>
    <w:rsid w:val="00667AE7"/>
    <w:rsid w:val="006763C0"/>
    <w:rsid w:val="0068009E"/>
    <w:rsid w:val="00692219"/>
    <w:rsid w:val="00693727"/>
    <w:rsid w:val="00695A2A"/>
    <w:rsid w:val="006A17D2"/>
    <w:rsid w:val="006A4337"/>
    <w:rsid w:val="006A6A22"/>
    <w:rsid w:val="006A73E6"/>
    <w:rsid w:val="006B060C"/>
    <w:rsid w:val="006B2D5C"/>
    <w:rsid w:val="006B5712"/>
    <w:rsid w:val="006B73E0"/>
    <w:rsid w:val="006B7AAC"/>
    <w:rsid w:val="006C0FF0"/>
    <w:rsid w:val="006C4EB1"/>
    <w:rsid w:val="006D0674"/>
    <w:rsid w:val="006D2FF3"/>
    <w:rsid w:val="006E0166"/>
    <w:rsid w:val="006E7B34"/>
    <w:rsid w:val="006F639B"/>
    <w:rsid w:val="006F6DAD"/>
    <w:rsid w:val="0070697F"/>
    <w:rsid w:val="007072CF"/>
    <w:rsid w:val="00715A5A"/>
    <w:rsid w:val="007175B3"/>
    <w:rsid w:val="0072199C"/>
    <w:rsid w:val="00722C9F"/>
    <w:rsid w:val="007253B8"/>
    <w:rsid w:val="00726291"/>
    <w:rsid w:val="0073741F"/>
    <w:rsid w:val="007527C3"/>
    <w:rsid w:val="007527F6"/>
    <w:rsid w:val="00754FD8"/>
    <w:rsid w:val="0076643F"/>
    <w:rsid w:val="00773E9D"/>
    <w:rsid w:val="0077537F"/>
    <w:rsid w:val="00776858"/>
    <w:rsid w:val="00776AEC"/>
    <w:rsid w:val="007772E0"/>
    <w:rsid w:val="00777F63"/>
    <w:rsid w:val="00794F80"/>
    <w:rsid w:val="007A35EC"/>
    <w:rsid w:val="007A5817"/>
    <w:rsid w:val="007A6C88"/>
    <w:rsid w:val="007B60E9"/>
    <w:rsid w:val="007B6CC3"/>
    <w:rsid w:val="007B7326"/>
    <w:rsid w:val="007C3334"/>
    <w:rsid w:val="007C5480"/>
    <w:rsid w:val="007C7156"/>
    <w:rsid w:val="007D2B98"/>
    <w:rsid w:val="007E21BC"/>
    <w:rsid w:val="007F44AA"/>
    <w:rsid w:val="00803F1C"/>
    <w:rsid w:val="0080600E"/>
    <w:rsid w:val="0080746C"/>
    <w:rsid w:val="008103B8"/>
    <w:rsid w:val="0081626A"/>
    <w:rsid w:val="00817612"/>
    <w:rsid w:val="008338A4"/>
    <w:rsid w:val="00835425"/>
    <w:rsid w:val="00837C45"/>
    <w:rsid w:val="008413B3"/>
    <w:rsid w:val="00842546"/>
    <w:rsid w:val="00844730"/>
    <w:rsid w:val="008457C2"/>
    <w:rsid w:val="008473E8"/>
    <w:rsid w:val="008524ED"/>
    <w:rsid w:val="00857A82"/>
    <w:rsid w:val="008607F8"/>
    <w:rsid w:val="008613B1"/>
    <w:rsid w:val="00867987"/>
    <w:rsid w:val="00871E07"/>
    <w:rsid w:val="0087268F"/>
    <w:rsid w:val="00873836"/>
    <w:rsid w:val="008807B8"/>
    <w:rsid w:val="00880A23"/>
    <w:rsid w:val="00885737"/>
    <w:rsid w:val="00890650"/>
    <w:rsid w:val="0089331B"/>
    <w:rsid w:val="00897E12"/>
    <w:rsid w:val="008A06BA"/>
    <w:rsid w:val="008A651A"/>
    <w:rsid w:val="008A6D77"/>
    <w:rsid w:val="008A7E0F"/>
    <w:rsid w:val="008B12F5"/>
    <w:rsid w:val="008B5435"/>
    <w:rsid w:val="008C05DB"/>
    <w:rsid w:val="008C18CE"/>
    <w:rsid w:val="008C688C"/>
    <w:rsid w:val="008D6F24"/>
    <w:rsid w:val="008D768D"/>
    <w:rsid w:val="008D7F0A"/>
    <w:rsid w:val="008E3759"/>
    <w:rsid w:val="008F1912"/>
    <w:rsid w:val="008F5061"/>
    <w:rsid w:val="008F6195"/>
    <w:rsid w:val="008F7FD8"/>
    <w:rsid w:val="0090270B"/>
    <w:rsid w:val="00903984"/>
    <w:rsid w:val="009041DC"/>
    <w:rsid w:val="0090440C"/>
    <w:rsid w:val="00904BDB"/>
    <w:rsid w:val="009147D6"/>
    <w:rsid w:val="00917B5A"/>
    <w:rsid w:val="00920A58"/>
    <w:rsid w:val="00920A8C"/>
    <w:rsid w:val="0092488E"/>
    <w:rsid w:val="00925B4B"/>
    <w:rsid w:val="009261BE"/>
    <w:rsid w:val="00931F13"/>
    <w:rsid w:val="00934A2C"/>
    <w:rsid w:val="0095721D"/>
    <w:rsid w:val="0096706E"/>
    <w:rsid w:val="00970259"/>
    <w:rsid w:val="00975C4E"/>
    <w:rsid w:val="009762FA"/>
    <w:rsid w:val="00981FBA"/>
    <w:rsid w:val="00984BD6"/>
    <w:rsid w:val="00997BC5"/>
    <w:rsid w:val="009A2941"/>
    <w:rsid w:val="009A3BE8"/>
    <w:rsid w:val="009A4F41"/>
    <w:rsid w:val="009A6535"/>
    <w:rsid w:val="009B381B"/>
    <w:rsid w:val="009B3CD3"/>
    <w:rsid w:val="009B64E7"/>
    <w:rsid w:val="009C1500"/>
    <w:rsid w:val="009C5C94"/>
    <w:rsid w:val="009C64C4"/>
    <w:rsid w:val="009D1753"/>
    <w:rsid w:val="009D7611"/>
    <w:rsid w:val="009E0B61"/>
    <w:rsid w:val="009E53DE"/>
    <w:rsid w:val="009E5C10"/>
    <w:rsid w:val="009F2BDE"/>
    <w:rsid w:val="00A01268"/>
    <w:rsid w:val="00A0347C"/>
    <w:rsid w:val="00A15E9B"/>
    <w:rsid w:val="00A21CB2"/>
    <w:rsid w:val="00A328B3"/>
    <w:rsid w:val="00A404BD"/>
    <w:rsid w:val="00A424CA"/>
    <w:rsid w:val="00A426FE"/>
    <w:rsid w:val="00A45232"/>
    <w:rsid w:val="00A50FCF"/>
    <w:rsid w:val="00A528D1"/>
    <w:rsid w:val="00A5610B"/>
    <w:rsid w:val="00A5697B"/>
    <w:rsid w:val="00A61072"/>
    <w:rsid w:val="00A610CD"/>
    <w:rsid w:val="00A75114"/>
    <w:rsid w:val="00A76CB1"/>
    <w:rsid w:val="00A87204"/>
    <w:rsid w:val="00A920C2"/>
    <w:rsid w:val="00AA09A2"/>
    <w:rsid w:val="00AA7996"/>
    <w:rsid w:val="00AB1665"/>
    <w:rsid w:val="00AC19CB"/>
    <w:rsid w:val="00AC3F72"/>
    <w:rsid w:val="00AC6E5E"/>
    <w:rsid w:val="00AC72C2"/>
    <w:rsid w:val="00AE4E6C"/>
    <w:rsid w:val="00AE5488"/>
    <w:rsid w:val="00AE6F91"/>
    <w:rsid w:val="00AF5571"/>
    <w:rsid w:val="00B02079"/>
    <w:rsid w:val="00B07341"/>
    <w:rsid w:val="00B15823"/>
    <w:rsid w:val="00B15B50"/>
    <w:rsid w:val="00B176B1"/>
    <w:rsid w:val="00B23C54"/>
    <w:rsid w:val="00B25AFE"/>
    <w:rsid w:val="00B3034D"/>
    <w:rsid w:val="00B30539"/>
    <w:rsid w:val="00B314DB"/>
    <w:rsid w:val="00B333BF"/>
    <w:rsid w:val="00B361F2"/>
    <w:rsid w:val="00B3718B"/>
    <w:rsid w:val="00B42533"/>
    <w:rsid w:val="00B44BD6"/>
    <w:rsid w:val="00B4632A"/>
    <w:rsid w:val="00B530F1"/>
    <w:rsid w:val="00B543BC"/>
    <w:rsid w:val="00B65E1C"/>
    <w:rsid w:val="00B7616C"/>
    <w:rsid w:val="00B76653"/>
    <w:rsid w:val="00B8165A"/>
    <w:rsid w:val="00B82E20"/>
    <w:rsid w:val="00B96B57"/>
    <w:rsid w:val="00BA00CC"/>
    <w:rsid w:val="00BA0946"/>
    <w:rsid w:val="00BA094A"/>
    <w:rsid w:val="00BA276C"/>
    <w:rsid w:val="00BA3286"/>
    <w:rsid w:val="00BB306F"/>
    <w:rsid w:val="00BB3FCF"/>
    <w:rsid w:val="00BC3F7B"/>
    <w:rsid w:val="00BC5BF4"/>
    <w:rsid w:val="00BD0E39"/>
    <w:rsid w:val="00BD4B89"/>
    <w:rsid w:val="00BD60E1"/>
    <w:rsid w:val="00BF090A"/>
    <w:rsid w:val="00BF55CF"/>
    <w:rsid w:val="00BF5866"/>
    <w:rsid w:val="00BF6FD8"/>
    <w:rsid w:val="00BF7900"/>
    <w:rsid w:val="00C01502"/>
    <w:rsid w:val="00C02F9A"/>
    <w:rsid w:val="00C03667"/>
    <w:rsid w:val="00C03680"/>
    <w:rsid w:val="00C054DF"/>
    <w:rsid w:val="00C14F47"/>
    <w:rsid w:val="00C21762"/>
    <w:rsid w:val="00C22E0B"/>
    <w:rsid w:val="00C23792"/>
    <w:rsid w:val="00C24543"/>
    <w:rsid w:val="00C256A2"/>
    <w:rsid w:val="00C312A9"/>
    <w:rsid w:val="00C45D94"/>
    <w:rsid w:val="00C51515"/>
    <w:rsid w:val="00C54336"/>
    <w:rsid w:val="00C5660B"/>
    <w:rsid w:val="00C6153F"/>
    <w:rsid w:val="00C66B72"/>
    <w:rsid w:val="00C70427"/>
    <w:rsid w:val="00C70EB2"/>
    <w:rsid w:val="00C75819"/>
    <w:rsid w:val="00C910EC"/>
    <w:rsid w:val="00C94D58"/>
    <w:rsid w:val="00C9567A"/>
    <w:rsid w:val="00C964FC"/>
    <w:rsid w:val="00CB09C6"/>
    <w:rsid w:val="00CB2074"/>
    <w:rsid w:val="00CB212D"/>
    <w:rsid w:val="00CB2660"/>
    <w:rsid w:val="00CC01F3"/>
    <w:rsid w:val="00CC5E90"/>
    <w:rsid w:val="00CD046C"/>
    <w:rsid w:val="00CE076C"/>
    <w:rsid w:val="00CE2077"/>
    <w:rsid w:val="00CE3309"/>
    <w:rsid w:val="00CE5199"/>
    <w:rsid w:val="00CE66D5"/>
    <w:rsid w:val="00CF637A"/>
    <w:rsid w:val="00D059DE"/>
    <w:rsid w:val="00D12BBB"/>
    <w:rsid w:val="00D13FCE"/>
    <w:rsid w:val="00D15BC3"/>
    <w:rsid w:val="00D223BE"/>
    <w:rsid w:val="00D306D1"/>
    <w:rsid w:val="00D3107E"/>
    <w:rsid w:val="00D34786"/>
    <w:rsid w:val="00D37A1B"/>
    <w:rsid w:val="00D37BFC"/>
    <w:rsid w:val="00D47A8E"/>
    <w:rsid w:val="00D52D14"/>
    <w:rsid w:val="00D53604"/>
    <w:rsid w:val="00D54467"/>
    <w:rsid w:val="00D60A12"/>
    <w:rsid w:val="00D60AA9"/>
    <w:rsid w:val="00D61A76"/>
    <w:rsid w:val="00D67FA8"/>
    <w:rsid w:val="00D702DC"/>
    <w:rsid w:val="00D712D3"/>
    <w:rsid w:val="00D71422"/>
    <w:rsid w:val="00D72DC6"/>
    <w:rsid w:val="00D7558D"/>
    <w:rsid w:val="00D81D92"/>
    <w:rsid w:val="00D8414F"/>
    <w:rsid w:val="00D91F96"/>
    <w:rsid w:val="00D938CC"/>
    <w:rsid w:val="00DA0340"/>
    <w:rsid w:val="00DA0F7A"/>
    <w:rsid w:val="00DA1791"/>
    <w:rsid w:val="00DA30ED"/>
    <w:rsid w:val="00DA4E3E"/>
    <w:rsid w:val="00DA7B5F"/>
    <w:rsid w:val="00DC11E7"/>
    <w:rsid w:val="00DC7023"/>
    <w:rsid w:val="00DC769A"/>
    <w:rsid w:val="00DD3D86"/>
    <w:rsid w:val="00DE19BC"/>
    <w:rsid w:val="00DE76D4"/>
    <w:rsid w:val="00DF1EC4"/>
    <w:rsid w:val="00DF7EF7"/>
    <w:rsid w:val="00E0340B"/>
    <w:rsid w:val="00E04A90"/>
    <w:rsid w:val="00E12797"/>
    <w:rsid w:val="00E17AE1"/>
    <w:rsid w:val="00E219C7"/>
    <w:rsid w:val="00E3436C"/>
    <w:rsid w:val="00E36B0E"/>
    <w:rsid w:val="00E41616"/>
    <w:rsid w:val="00E43101"/>
    <w:rsid w:val="00E43157"/>
    <w:rsid w:val="00E461CE"/>
    <w:rsid w:val="00E46BE7"/>
    <w:rsid w:val="00E478AF"/>
    <w:rsid w:val="00E5039F"/>
    <w:rsid w:val="00E540F6"/>
    <w:rsid w:val="00E56999"/>
    <w:rsid w:val="00E720CA"/>
    <w:rsid w:val="00E72FBA"/>
    <w:rsid w:val="00E804EE"/>
    <w:rsid w:val="00E84EB5"/>
    <w:rsid w:val="00E85662"/>
    <w:rsid w:val="00E8789F"/>
    <w:rsid w:val="00E87A0C"/>
    <w:rsid w:val="00E97B71"/>
    <w:rsid w:val="00EA3D34"/>
    <w:rsid w:val="00EB3B9A"/>
    <w:rsid w:val="00EB3E7F"/>
    <w:rsid w:val="00EB454D"/>
    <w:rsid w:val="00EC592F"/>
    <w:rsid w:val="00ED76BE"/>
    <w:rsid w:val="00EE55D6"/>
    <w:rsid w:val="00EF619B"/>
    <w:rsid w:val="00F00B55"/>
    <w:rsid w:val="00F0299A"/>
    <w:rsid w:val="00F02AD1"/>
    <w:rsid w:val="00F07CE9"/>
    <w:rsid w:val="00F103AC"/>
    <w:rsid w:val="00F16752"/>
    <w:rsid w:val="00F20C31"/>
    <w:rsid w:val="00F216EF"/>
    <w:rsid w:val="00F22009"/>
    <w:rsid w:val="00F253CC"/>
    <w:rsid w:val="00F26F32"/>
    <w:rsid w:val="00F37106"/>
    <w:rsid w:val="00F40738"/>
    <w:rsid w:val="00F42509"/>
    <w:rsid w:val="00F46B15"/>
    <w:rsid w:val="00F519CF"/>
    <w:rsid w:val="00F52EC1"/>
    <w:rsid w:val="00F56BA5"/>
    <w:rsid w:val="00F60E22"/>
    <w:rsid w:val="00F61A31"/>
    <w:rsid w:val="00F77CB1"/>
    <w:rsid w:val="00F81395"/>
    <w:rsid w:val="00F87B80"/>
    <w:rsid w:val="00F917D1"/>
    <w:rsid w:val="00F956F1"/>
    <w:rsid w:val="00F9653B"/>
    <w:rsid w:val="00F97443"/>
    <w:rsid w:val="00FA04E2"/>
    <w:rsid w:val="00FA1808"/>
    <w:rsid w:val="00FA1AB6"/>
    <w:rsid w:val="00FB62CF"/>
    <w:rsid w:val="00FC37C4"/>
    <w:rsid w:val="00FC4FE1"/>
    <w:rsid w:val="00FD1428"/>
    <w:rsid w:val="00FD3C3B"/>
    <w:rsid w:val="00FD7F67"/>
    <w:rsid w:val="00FE0D33"/>
    <w:rsid w:val="00FE6B45"/>
    <w:rsid w:val="00FF1B5A"/>
    <w:rsid w:val="00FF2687"/>
    <w:rsid w:val="00FF55F3"/>
    <w:rsid w:val="00FF5851"/>
    <w:rsid w:val="00FF5B33"/>
    <w:rsid w:val="00FF78AA"/>
    <w:rsid w:val="00FF7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styleId="CommentReference">
    <w:name w:val="annotation reference"/>
    <w:basedOn w:val="DefaultParagraphFont"/>
    <w:uiPriority w:val="99"/>
    <w:semiHidden/>
    <w:unhideWhenUsed/>
    <w:rsid w:val="00931F13"/>
    <w:rPr>
      <w:sz w:val="16"/>
      <w:szCs w:val="16"/>
    </w:rPr>
  </w:style>
  <w:style w:type="paragraph" w:styleId="CommentText">
    <w:name w:val="annotation text"/>
    <w:basedOn w:val="Normal"/>
    <w:link w:val="CommentTextChar"/>
    <w:uiPriority w:val="99"/>
    <w:semiHidden/>
    <w:unhideWhenUsed/>
    <w:rsid w:val="00931F13"/>
    <w:rPr>
      <w:sz w:val="20"/>
      <w:szCs w:val="20"/>
    </w:rPr>
  </w:style>
  <w:style w:type="character" w:customStyle="1" w:styleId="CommentTextChar">
    <w:name w:val="Comment Text Char"/>
    <w:basedOn w:val="DefaultParagraphFont"/>
    <w:link w:val="CommentText"/>
    <w:uiPriority w:val="99"/>
    <w:semiHidden/>
    <w:rsid w:val="00931F13"/>
    <w:rPr>
      <w:lang w:val="en-US" w:eastAsia="en-US"/>
    </w:rPr>
  </w:style>
  <w:style w:type="paragraph" w:styleId="Revision">
    <w:name w:val="Revision"/>
    <w:hidden/>
    <w:uiPriority w:val="99"/>
    <w:semiHidden/>
    <w:rsid w:val="00396EA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FA1808"/>
    <w:rPr>
      <w:b/>
      <w:bCs/>
    </w:rPr>
  </w:style>
  <w:style w:type="character" w:customStyle="1" w:styleId="CommentSubjectChar">
    <w:name w:val="Comment Subject Char"/>
    <w:basedOn w:val="CommentTextChar"/>
    <w:link w:val="CommentSubject"/>
    <w:uiPriority w:val="99"/>
    <w:semiHidden/>
    <w:rsid w:val="00FA1808"/>
    <w:rPr>
      <w:b/>
      <w:bCs/>
      <w:lang w:val="en-US" w:eastAsia="en-US"/>
    </w:rPr>
  </w:style>
  <w:style w:type="table" w:styleId="TableGrid">
    <w:name w:val="Table Grid"/>
    <w:basedOn w:val="TableNormal"/>
    <w:uiPriority w:val="39"/>
    <w:rsid w:val="00FF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7B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MX"/>
    </w:rPr>
  </w:style>
  <w:style w:type="character" w:customStyle="1" w:styleId="normaltextrun">
    <w:name w:val="normaltextrun"/>
    <w:basedOn w:val="DefaultParagraphFont"/>
    <w:rsid w:val="00267B76"/>
  </w:style>
  <w:style w:type="table" w:customStyle="1" w:styleId="Tablaconcuadrcula1">
    <w:name w:val="Tabla con cuadrícula1"/>
    <w:basedOn w:val="TableNormal"/>
    <w:next w:val="TableGrid"/>
    <w:uiPriority w:val="39"/>
    <w:rsid w:val="00267B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234FC"/>
  </w:style>
  <w:style w:type="character" w:styleId="UnresolvedMention">
    <w:name w:val="Unresolved Mention"/>
    <w:basedOn w:val="DefaultParagraphFont"/>
    <w:uiPriority w:val="99"/>
    <w:semiHidden/>
    <w:unhideWhenUsed/>
    <w:rsid w:val="003E58E0"/>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84254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styleId="FollowedHyperlink">
    <w:name w:val="FollowedHyperlink"/>
    <w:basedOn w:val="DefaultParagraphFont"/>
    <w:uiPriority w:val="99"/>
    <w:semiHidden/>
    <w:unhideWhenUsed/>
    <w:rsid w:val="00205999"/>
    <w:rPr>
      <w:color w:val="800080" w:themeColor="followedHyperlink"/>
      <w:u w:val="single"/>
    </w:rPr>
  </w:style>
  <w:style w:type="character" w:customStyle="1" w:styleId="FootnoteTextChar2">
    <w:name w:val="Footnote Text Char2"/>
    <w:aliases w:val="fn Char,Footnote Text Char1 Char,Footnote Text Char1 Char Char Char,Footnote Text Char Char1 Char Char Char,Footnote Text Char1 Char Char Char Char Char,Footnote Text Char Char1 Char Char Char Char Char"/>
    <w:basedOn w:val="DefaultParagraphFont"/>
    <w:semiHidden/>
    <w:qFormat/>
    <w:rsid w:val="00564051"/>
    <w:rPr>
      <w:rFonts w:ascii="Times New Roman" w:eastAsia="Times New Roman" w:hAnsi="Times New Roman" w:cs="Times New Roman"/>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bA5pc0HBiuE"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I9lUqnvQft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FC48B-744E-4BE7-8FE3-D560219AF595}">
  <ds:schemaRefs>
    <ds:schemaRef ds:uri="http://schemas.openxmlformats.org/officeDocument/2006/bibliography"/>
  </ds:schemaRefs>
</ds:datastoreItem>
</file>

<file path=customXml/itemProps2.xml><?xml version="1.0" encoding="utf-8"?>
<ds:datastoreItem xmlns:ds="http://schemas.openxmlformats.org/officeDocument/2006/customXml" ds:itemID="{1C30A050-6B08-4A58-95BA-74609DC4AF5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D9ABABE-CC6B-429F-B33F-F845E3C94AAD}">
  <ds:schemaRefs>
    <ds:schemaRef ds:uri="http://schemas.microsoft.com/sharepoint/v3/contenttype/forms"/>
  </ds:schemaRefs>
</ds:datastoreItem>
</file>

<file path=customXml/itemProps4.xml><?xml version="1.0" encoding="utf-8"?>
<ds:datastoreItem xmlns:ds="http://schemas.openxmlformats.org/officeDocument/2006/customXml" ds:itemID="{05840BB7-6693-46B0-BAAF-2AB56790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221/23</dc:title>
  <dc:creator/>
  <cp:lastModifiedBy/>
  <cp:revision>1</cp:revision>
  <dcterms:created xsi:type="dcterms:W3CDTF">2025-11-26T16:57:00Z</dcterms:created>
  <dcterms:modified xsi:type="dcterms:W3CDTF">2025-12-02T17:44:00Z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