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19AB7B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95843">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6732CCE3" w:rsidR="007B05C4" w:rsidRDefault="005B52B0" w:rsidP="00997BC5">
                            <w:pPr>
                              <w:spacing w:line="276" w:lineRule="auto"/>
                              <w:rPr>
                                <w:rFonts w:asciiTheme="majorHAnsi" w:hAnsiTheme="majorHAnsi" w:cs="Arial"/>
                                <w:b/>
                                <w:color w:val="0D0D0D" w:themeColor="text1" w:themeTint="F2"/>
                                <w:sz w:val="36"/>
                                <w:szCs w:val="22"/>
                                <w:lang w:val="es-ES_tradnl"/>
                              </w:rPr>
                            </w:pPr>
                            <w:r w:rsidRPr="00FC6427">
                              <w:rPr>
                                <w:rFonts w:asciiTheme="majorHAnsi" w:hAnsiTheme="majorHAnsi" w:cs="Arial"/>
                                <w:b/>
                                <w:color w:val="0D0D0D" w:themeColor="text1" w:themeTint="F2"/>
                                <w:sz w:val="36"/>
                                <w:szCs w:val="22"/>
                                <w:lang w:val="es-ES_tradnl"/>
                              </w:rPr>
                              <w:t xml:space="preserve">PETICIÓN </w:t>
                            </w:r>
                            <w:r w:rsidR="00FC6427" w:rsidRPr="00FC6427">
                              <w:rPr>
                                <w:rFonts w:asciiTheme="majorHAnsi" w:hAnsiTheme="majorHAnsi" w:cs="Arial"/>
                                <w:b/>
                                <w:color w:val="0D0D0D" w:themeColor="text1" w:themeTint="F2"/>
                                <w:sz w:val="36"/>
                                <w:szCs w:val="22"/>
                                <w:lang w:val="es-ES_tradnl"/>
                              </w:rPr>
                              <w:t>1585</w:t>
                            </w:r>
                            <w:r w:rsidR="00B11747" w:rsidRPr="00FC6427">
                              <w:rPr>
                                <w:rFonts w:asciiTheme="majorHAnsi" w:hAnsiTheme="majorHAnsi" w:cs="Arial"/>
                                <w:b/>
                                <w:color w:val="0D0D0D" w:themeColor="text1" w:themeTint="F2"/>
                                <w:sz w:val="36"/>
                                <w:szCs w:val="22"/>
                                <w:lang w:val="es-ES_tradnl"/>
                              </w:rPr>
                              <w:t>-</w:t>
                            </w:r>
                            <w:r w:rsidR="00FC6427" w:rsidRPr="00FC6427">
                              <w:rPr>
                                <w:rFonts w:asciiTheme="majorHAnsi" w:hAnsiTheme="majorHAnsi" w:cs="Arial"/>
                                <w:b/>
                                <w:color w:val="0D0D0D" w:themeColor="text1" w:themeTint="F2"/>
                                <w:sz w:val="36"/>
                                <w:szCs w:val="22"/>
                                <w:lang w:val="es-ES_tradnl"/>
                              </w:rPr>
                              <w:t>15</w:t>
                            </w:r>
                          </w:p>
                          <w:p w14:paraId="70CF6833" w14:textId="6FBC997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3E4067A4" w:rsidR="00EB197F" w:rsidRPr="00FC6427" w:rsidRDefault="00FC6427" w:rsidP="00997BC5">
                            <w:pPr>
                              <w:spacing w:line="276" w:lineRule="auto"/>
                              <w:rPr>
                                <w:rFonts w:asciiTheme="majorHAnsi" w:hAnsiTheme="majorHAnsi" w:cs="Arial"/>
                                <w:color w:val="0D0D0D" w:themeColor="text1" w:themeTint="F2"/>
                                <w:szCs w:val="22"/>
                                <w:lang w:val="es-ES_tradnl"/>
                              </w:rPr>
                            </w:pPr>
                            <w:r w:rsidRPr="00FC6427">
                              <w:rPr>
                                <w:rFonts w:asciiTheme="majorHAnsi" w:hAnsiTheme="majorHAnsi" w:cs="Arial"/>
                                <w:color w:val="0D0D0D" w:themeColor="text1" w:themeTint="F2"/>
                                <w:szCs w:val="22"/>
                                <w:lang w:val="es-ES_tradnl"/>
                              </w:rPr>
                              <w:t>ANALÍA JULIETA VIGANÓ</w:t>
                            </w:r>
                          </w:p>
                          <w:p w14:paraId="575DFD52" w14:textId="3FDF45C5" w:rsidR="005B52B0" w:rsidRPr="00EB197F" w:rsidRDefault="00FC6427"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19AB7B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95843">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6732CCE3" w:rsidR="007B05C4" w:rsidRDefault="005B52B0" w:rsidP="00997BC5">
                      <w:pPr>
                        <w:spacing w:line="276" w:lineRule="auto"/>
                        <w:rPr>
                          <w:rFonts w:asciiTheme="majorHAnsi" w:hAnsiTheme="majorHAnsi" w:cs="Arial"/>
                          <w:b/>
                          <w:color w:val="0D0D0D" w:themeColor="text1" w:themeTint="F2"/>
                          <w:sz w:val="36"/>
                          <w:szCs w:val="22"/>
                          <w:lang w:val="es-ES_tradnl"/>
                        </w:rPr>
                      </w:pPr>
                      <w:r w:rsidRPr="00FC6427">
                        <w:rPr>
                          <w:rFonts w:asciiTheme="majorHAnsi" w:hAnsiTheme="majorHAnsi" w:cs="Arial"/>
                          <w:b/>
                          <w:color w:val="0D0D0D" w:themeColor="text1" w:themeTint="F2"/>
                          <w:sz w:val="36"/>
                          <w:szCs w:val="22"/>
                          <w:lang w:val="es-ES_tradnl"/>
                        </w:rPr>
                        <w:t xml:space="preserve">PETICIÓN </w:t>
                      </w:r>
                      <w:r w:rsidR="00FC6427" w:rsidRPr="00FC6427">
                        <w:rPr>
                          <w:rFonts w:asciiTheme="majorHAnsi" w:hAnsiTheme="majorHAnsi" w:cs="Arial"/>
                          <w:b/>
                          <w:color w:val="0D0D0D" w:themeColor="text1" w:themeTint="F2"/>
                          <w:sz w:val="36"/>
                          <w:szCs w:val="22"/>
                          <w:lang w:val="es-ES_tradnl"/>
                        </w:rPr>
                        <w:t>1585</w:t>
                      </w:r>
                      <w:r w:rsidR="00B11747" w:rsidRPr="00FC6427">
                        <w:rPr>
                          <w:rFonts w:asciiTheme="majorHAnsi" w:hAnsiTheme="majorHAnsi" w:cs="Arial"/>
                          <w:b/>
                          <w:color w:val="0D0D0D" w:themeColor="text1" w:themeTint="F2"/>
                          <w:sz w:val="36"/>
                          <w:szCs w:val="22"/>
                          <w:lang w:val="es-ES_tradnl"/>
                        </w:rPr>
                        <w:t>-</w:t>
                      </w:r>
                      <w:r w:rsidR="00FC6427" w:rsidRPr="00FC6427">
                        <w:rPr>
                          <w:rFonts w:asciiTheme="majorHAnsi" w:hAnsiTheme="majorHAnsi" w:cs="Arial"/>
                          <w:b/>
                          <w:color w:val="0D0D0D" w:themeColor="text1" w:themeTint="F2"/>
                          <w:sz w:val="36"/>
                          <w:szCs w:val="22"/>
                          <w:lang w:val="es-ES_tradnl"/>
                        </w:rPr>
                        <w:t>15</w:t>
                      </w:r>
                    </w:p>
                    <w:p w14:paraId="70CF6833" w14:textId="6FBC997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3E4067A4" w:rsidR="00EB197F" w:rsidRPr="00FC6427" w:rsidRDefault="00FC6427" w:rsidP="00997BC5">
                      <w:pPr>
                        <w:spacing w:line="276" w:lineRule="auto"/>
                        <w:rPr>
                          <w:rFonts w:asciiTheme="majorHAnsi" w:hAnsiTheme="majorHAnsi" w:cs="Arial"/>
                          <w:color w:val="0D0D0D" w:themeColor="text1" w:themeTint="F2"/>
                          <w:szCs w:val="22"/>
                          <w:lang w:val="es-ES_tradnl"/>
                        </w:rPr>
                      </w:pPr>
                      <w:r w:rsidRPr="00FC6427">
                        <w:rPr>
                          <w:rFonts w:asciiTheme="majorHAnsi" w:hAnsiTheme="majorHAnsi" w:cs="Arial"/>
                          <w:color w:val="0D0D0D" w:themeColor="text1" w:themeTint="F2"/>
                          <w:szCs w:val="22"/>
                          <w:lang w:val="es-ES_tradnl"/>
                        </w:rPr>
                        <w:t>ANALÍA JULIETA VIGANÓ</w:t>
                      </w:r>
                    </w:p>
                    <w:p w14:paraId="575DFD52" w14:textId="3FDF45C5" w:rsidR="005B52B0" w:rsidRPr="00EB197F" w:rsidRDefault="00FC6427"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4B97ABB" w:rsidR="00627C9F" w:rsidRPr="00D73735" w:rsidRDefault="00834D49" w:rsidP="007A5817">
                            <w:pPr>
                              <w:spacing w:line="276" w:lineRule="auto"/>
                              <w:jc w:val="right"/>
                              <w:rPr>
                                <w:rFonts w:asciiTheme="minorHAnsi" w:hAnsiTheme="minorHAnsi"/>
                                <w:color w:val="FFFFFF" w:themeColor="background1"/>
                                <w:sz w:val="22"/>
                                <w:lang w:val="es-ES"/>
                              </w:rPr>
                            </w:pPr>
                            <w:r w:rsidRPr="00D73735">
                              <w:rPr>
                                <w:rFonts w:asciiTheme="minorHAnsi" w:hAnsiTheme="minorHAnsi"/>
                                <w:color w:val="FFFFFF" w:themeColor="background1"/>
                                <w:sz w:val="22"/>
                                <w:lang w:val="es-ES"/>
                              </w:rPr>
                              <w:t>OEA/Ser.L/V/II</w:t>
                            </w:r>
                          </w:p>
                          <w:p w14:paraId="6A41611B" w14:textId="1F44EB91" w:rsidR="00627C9F" w:rsidRPr="00D73735" w:rsidRDefault="00627C9F" w:rsidP="007A5817">
                            <w:pPr>
                              <w:spacing w:line="276" w:lineRule="auto"/>
                              <w:jc w:val="right"/>
                              <w:rPr>
                                <w:rFonts w:asciiTheme="minorHAnsi" w:hAnsiTheme="minorHAnsi"/>
                                <w:color w:val="FFFFFF" w:themeColor="background1"/>
                                <w:sz w:val="22"/>
                                <w:lang w:val="es-ES"/>
                              </w:rPr>
                            </w:pPr>
                            <w:r w:rsidRPr="00D73735">
                              <w:rPr>
                                <w:rFonts w:asciiTheme="minorHAnsi" w:hAnsiTheme="minorHAnsi"/>
                                <w:color w:val="FFFFFF" w:themeColor="background1"/>
                                <w:sz w:val="22"/>
                                <w:lang w:val="es-ES"/>
                              </w:rPr>
                              <w:t xml:space="preserve">Doc. </w:t>
                            </w:r>
                            <w:r w:rsidR="00095843" w:rsidRPr="00D73735">
                              <w:rPr>
                                <w:rFonts w:asciiTheme="minorHAnsi" w:hAnsiTheme="minorHAnsi"/>
                                <w:color w:val="FFFFFF" w:themeColor="background1"/>
                                <w:sz w:val="22"/>
                                <w:lang w:val="es-ES"/>
                              </w:rPr>
                              <w:t>140</w:t>
                            </w:r>
                          </w:p>
                          <w:p w14:paraId="69373ED2" w14:textId="76467E31" w:rsidR="00627C9F" w:rsidRPr="00C25ADB" w:rsidRDefault="000958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4B97ABB" w:rsidR="00627C9F" w:rsidRPr="00D73735" w:rsidRDefault="00834D49" w:rsidP="007A5817">
                      <w:pPr>
                        <w:spacing w:line="276" w:lineRule="auto"/>
                        <w:jc w:val="right"/>
                        <w:rPr>
                          <w:rFonts w:asciiTheme="minorHAnsi" w:hAnsiTheme="minorHAnsi"/>
                          <w:color w:val="FFFFFF" w:themeColor="background1"/>
                          <w:sz w:val="22"/>
                          <w:lang w:val="es-ES"/>
                        </w:rPr>
                      </w:pPr>
                      <w:r w:rsidRPr="00D73735">
                        <w:rPr>
                          <w:rFonts w:asciiTheme="minorHAnsi" w:hAnsiTheme="minorHAnsi"/>
                          <w:color w:val="FFFFFF" w:themeColor="background1"/>
                          <w:sz w:val="22"/>
                          <w:lang w:val="es-ES"/>
                        </w:rPr>
                        <w:t>OEA/Ser.L/V/II</w:t>
                      </w:r>
                    </w:p>
                    <w:p w14:paraId="6A41611B" w14:textId="1F44EB91" w:rsidR="00627C9F" w:rsidRPr="00D73735" w:rsidRDefault="00627C9F" w:rsidP="007A5817">
                      <w:pPr>
                        <w:spacing w:line="276" w:lineRule="auto"/>
                        <w:jc w:val="right"/>
                        <w:rPr>
                          <w:rFonts w:asciiTheme="minorHAnsi" w:hAnsiTheme="minorHAnsi"/>
                          <w:color w:val="FFFFFF" w:themeColor="background1"/>
                          <w:sz w:val="22"/>
                          <w:lang w:val="es-ES"/>
                        </w:rPr>
                      </w:pPr>
                      <w:r w:rsidRPr="00D73735">
                        <w:rPr>
                          <w:rFonts w:asciiTheme="minorHAnsi" w:hAnsiTheme="minorHAnsi"/>
                          <w:color w:val="FFFFFF" w:themeColor="background1"/>
                          <w:sz w:val="22"/>
                          <w:lang w:val="es-ES"/>
                        </w:rPr>
                        <w:t xml:space="preserve">Doc. </w:t>
                      </w:r>
                      <w:r w:rsidR="00095843" w:rsidRPr="00D73735">
                        <w:rPr>
                          <w:rFonts w:asciiTheme="minorHAnsi" w:hAnsiTheme="minorHAnsi"/>
                          <w:color w:val="FFFFFF" w:themeColor="background1"/>
                          <w:sz w:val="22"/>
                          <w:lang w:val="es-ES"/>
                        </w:rPr>
                        <w:t>140</w:t>
                      </w:r>
                    </w:p>
                    <w:p w14:paraId="69373ED2" w14:textId="76467E31" w:rsidR="00627C9F" w:rsidRPr="00C25ADB" w:rsidRDefault="000958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2DB3B44D"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95843">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095843">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09584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2DB3B44D"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95843">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095843">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09584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7F583" w14:textId="77777777" w:rsidR="00EC572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95843" w:rsidRPr="00095843">
                              <w:rPr>
                                <w:rFonts w:asciiTheme="majorHAnsi" w:hAnsiTheme="majorHAnsi"/>
                                <w:color w:val="595959" w:themeColor="text1" w:themeTint="A6"/>
                                <w:sz w:val="18"/>
                                <w:szCs w:val="18"/>
                                <w:lang w:val="pt-BR"/>
                              </w:rPr>
                              <w:t>134</w:t>
                            </w:r>
                            <w:r w:rsidR="007B05C4" w:rsidRPr="00095843">
                              <w:rPr>
                                <w:rFonts w:asciiTheme="majorHAnsi" w:hAnsiTheme="majorHAnsi"/>
                                <w:color w:val="595959" w:themeColor="text1" w:themeTint="A6"/>
                                <w:sz w:val="18"/>
                                <w:szCs w:val="18"/>
                                <w:lang w:val="pt-BR"/>
                              </w:rPr>
                              <w:t>/</w:t>
                            </w:r>
                            <w:r w:rsidR="00095843" w:rsidRPr="00095843">
                              <w:rPr>
                                <w:rFonts w:asciiTheme="majorHAnsi" w:hAnsiTheme="majorHAnsi"/>
                                <w:color w:val="595959" w:themeColor="text1" w:themeTint="A6"/>
                                <w:sz w:val="18"/>
                                <w:szCs w:val="18"/>
                                <w:lang w:val="pt-BR"/>
                              </w:rPr>
                              <w:t>25</w:t>
                            </w:r>
                            <w:r w:rsidRPr="0009584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86990">
                              <w:rPr>
                                <w:rFonts w:asciiTheme="majorHAnsi" w:hAnsiTheme="majorHAnsi"/>
                                <w:color w:val="595959" w:themeColor="text1" w:themeTint="A6"/>
                                <w:sz w:val="18"/>
                                <w:szCs w:val="18"/>
                                <w:lang w:val="es-ES"/>
                              </w:rPr>
                              <w:t>1585-15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19D02213" w:rsidR="00113F73" w:rsidRPr="007B05C4" w:rsidRDefault="0018699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Analía Julieta Viganó</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1C1D77">
                              <w:rPr>
                                <w:rFonts w:asciiTheme="majorHAnsi" w:hAnsiTheme="majorHAnsi"/>
                                <w:color w:val="595959" w:themeColor="text1" w:themeTint="A6"/>
                                <w:sz w:val="18"/>
                                <w:szCs w:val="18"/>
                                <w:lang w:val="es-ES"/>
                              </w:rPr>
                              <w:t>21 de julio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0B7F583" w14:textId="77777777" w:rsidR="00EC572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95843" w:rsidRPr="00095843">
                        <w:rPr>
                          <w:rFonts w:asciiTheme="majorHAnsi" w:hAnsiTheme="majorHAnsi"/>
                          <w:color w:val="595959" w:themeColor="text1" w:themeTint="A6"/>
                          <w:sz w:val="18"/>
                          <w:szCs w:val="18"/>
                          <w:lang w:val="pt-BR"/>
                        </w:rPr>
                        <w:t>134</w:t>
                      </w:r>
                      <w:r w:rsidR="007B05C4" w:rsidRPr="00095843">
                        <w:rPr>
                          <w:rFonts w:asciiTheme="majorHAnsi" w:hAnsiTheme="majorHAnsi"/>
                          <w:color w:val="595959" w:themeColor="text1" w:themeTint="A6"/>
                          <w:sz w:val="18"/>
                          <w:szCs w:val="18"/>
                          <w:lang w:val="pt-BR"/>
                        </w:rPr>
                        <w:t>/</w:t>
                      </w:r>
                      <w:r w:rsidR="00095843" w:rsidRPr="00095843">
                        <w:rPr>
                          <w:rFonts w:asciiTheme="majorHAnsi" w:hAnsiTheme="majorHAnsi"/>
                          <w:color w:val="595959" w:themeColor="text1" w:themeTint="A6"/>
                          <w:sz w:val="18"/>
                          <w:szCs w:val="18"/>
                          <w:lang w:val="pt-BR"/>
                        </w:rPr>
                        <w:t>25</w:t>
                      </w:r>
                      <w:r w:rsidRPr="00095843">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86990">
                        <w:rPr>
                          <w:rFonts w:asciiTheme="majorHAnsi" w:hAnsiTheme="majorHAnsi"/>
                          <w:color w:val="595959" w:themeColor="text1" w:themeTint="A6"/>
                          <w:sz w:val="18"/>
                          <w:szCs w:val="18"/>
                          <w:lang w:val="es-ES"/>
                        </w:rPr>
                        <w:t>1585-15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
                    <w:p w14:paraId="0D1B22CF" w14:textId="19D02213" w:rsidR="00113F73" w:rsidRPr="007B05C4" w:rsidRDefault="00186990"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Analía Julieta Viganó</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1C1D77">
                        <w:rPr>
                          <w:rFonts w:asciiTheme="majorHAnsi" w:hAnsiTheme="majorHAnsi"/>
                          <w:color w:val="595959" w:themeColor="text1" w:themeTint="A6"/>
                          <w:sz w:val="18"/>
                          <w:szCs w:val="18"/>
                          <w:lang w:val="es-ES"/>
                        </w:rPr>
                        <w:t>21 de julio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25778CA" w:rsidR="00D72DC6" w:rsidRPr="00D72DC6" w:rsidRDefault="00507188" w:rsidP="00F02AD1">
                            <w:pPr>
                              <w:rPr>
                                <w:color w:val="FFFFFF" w:themeColor="background1"/>
                                <w14:textFill>
                                  <w14:noFill/>
                                </w14:textFill>
                              </w:rPr>
                            </w:pPr>
                            <w:r>
                              <w:rPr>
                                <w:noProof/>
                                <w:color w:val="FFFFFF" w:themeColor="background1"/>
                              </w:rPr>
                              <w:drawing>
                                <wp:inline distT="0" distB="0" distL="0" distR="0" wp14:anchorId="70C18218" wp14:editId="4AA8D31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025778CA" w:rsidR="00D72DC6" w:rsidRPr="00D72DC6" w:rsidRDefault="00507188" w:rsidP="00F02AD1">
                      <w:pPr>
                        <w:rPr>
                          <w:color w:val="FFFFFF" w:themeColor="background1"/>
                          <w14:textFill>
                            <w14:noFill/>
                          </w14:textFill>
                        </w:rPr>
                      </w:pPr>
                      <w:r>
                        <w:rPr>
                          <w:noProof/>
                          <w:color w:val="FFFFFF" w:themeColor="background1"/>
                        </w:rPr>
                        <w:drawing>
                          <wp:inline distT="0" distB="0" distL="0" distR="0" wp14:anchorId="70C18218" wp14:editId="4AA8D31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42BE15F" w:rsidR="003239B8" w:rsidRPr="00D13530" w:rsidRDefault="00E55A05" w:rsidP="00D13530">
            <w:pPr>
              <w:jc w:val="both"/>
              <w:rPr>
                <w:rFonts w:ascii="Cambria" w:hAnsi="Cambria"/>
                <w:bCs/>
                <w:sz w:val="20"/>
                <w:szCs w:val="20"/>
                <w:lang w:val="es-PE"/>
              </w:rPr>
            </w:pPr>
            <w:r w:rsidRPr="00E55A05">
              <w:rPr>
                <w:rFonts w:ascii="Cambria" w:hAnsi="Cambria"/>
                <w:bCs/>
                <w:sz w:val="20"/>
                <w:szCs w:val="20"/>
              </w:rPr>
              <w:t>Laura Alejandra Calógero</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0450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6FB4237" w:rsidR="003239B8" w:rsidRPr="00D4708F" w:rsidRDefault="00D4708F" w:rsidP="008D2290">
            <w:pPr>
              <w:jc w:val="both"/>
              <w:rPr>
                <w:rFonts w:ascii="Cambria" w:hAnsi="Cambria"/>
                <w:bCs/>
                <w:sz w:val="20"/>
                <w:szCs w:val="20"/>
                <w:lang w:val="es-PE"/>
              </w:rPr>
            </w:pPr>
            <w:r w:rsidRPr="00D4708F">
              <w:rPr>
                <w:rFonts w:ascii="Cambria" w:hAnsi="Cambria"/>
                <w:bCs/>
                <w:sz w:val="20"/>
                <w:szCs w:val="20"/>
                <w:lang w:val="es-PE"/>
              </w:rPr>
              <w:t>Analía Julieta Viganó</w:t>
            </w:r>
          </w:p>
        </w:tc>
      </w:tr>
      <w:tr w:rsidR="007B32BA"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7B32BA" w:rsidRPr="000D05CB" w:rsidRDefault="007B32BA" w:rsidP="007B32B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9285552" w:rsidR="007B32BA" w:rsidRPr="000D05CB" w:rsidRDefault="007B32BA" w:rsidP="007B32BA">
            <w:pPr>
              <w:jc w:val="both"/>
              <w:rPr>
                <w:rFonts w:ascii="Cambria" w:hAnsi="Cambria"/>
                <w:bCs/>
                <w:sz w:val="20"/>
                <w:szCs w:val="20"/>
              </w:rPr>
            </w:pPr>
            <w:r>
              <w:rPr>
                <w:rFonts w:ascii="Cambria" w:hAnsi="Cambria"/>
                <w:bCs/>
                <w:sz w:val="20"/>
                <w:szCs w:val="20"/>
              </w:rPr>
              <w:t>Argentina</w:t>
            </w:r>
            <w:r w:rsidRPr="000D05CB">
              <w:rPr>
                <w:rStyle w:val="FootnoteReference"/>
                <w:rFonts w:ascii="Cambria" w:hAnsi="Cambria"/>
                <w:bCs/>
                <w:sz w:val="20"/>
                <w:szCs w:val="20"/>
              </w:rPr>
              <w:footnoteReference w:id="2"/>
            </w:r>
          </w:p>
        </w:tc>
      </w:tr>
      <w:tr w:rsidR="007B32BA" w:rsidRPr="0004234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7B32BA" w:rsidRPr="000D05CB" w:rsidRDefault="007B32BA" w:rsidP="007B32B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220688D8" w:rsidR="007B32BA" w:rsidRPr="008025EA" w:rsidRDefault="004A4288" w:rsidP="007B32BA">
            <w:pPr>
              <w:jc w:val="both"/>
              <w:rPr>
                <w:rFonts w:ascii="Cambria" w:hAnsi="Cambria"/>
                <w:bCs/>
                <w:sz w:val="20"/>
                <w:szCs w:val="20"/>
                <w:lang w:val="es-MX"/>
              </w:rPr>
            </w:pPr>
            <w:r>
              <w:rPr>
                <w:rFonts w:ascii="Cambria" w:hAnsi="Cambria"/>
                <w:sz w:val="20"/>
                <w:szCs w:val="20"/>
                <w:lang w:val="es-AR"/>
              </w:rPr>
              <w:t>Artículos 8 (garantías judiciales), 21 (propiedad privada)</w:t>
            </w:r>
            <w:r w:rsidR="002A46C2">
              <w:rPr>
                <w:rFonts w:ascii="Cambria" w:hAnsi="Cambria"/>
                <w:sz w:val="20"/>
                <w:szCs w:val="20"/>
                <w:lang w:val="es-AR"/>
              </w:rPr>
              <w:t>, 23 (derechos políticos), 24 (igualdad ante la ley)</w:t>
            </w:r>
            <w:r>
              <w:rPr>
                <w:rFonts w:ascii="Cambria" w:hAnsi="Cambria"/>
                <w:sz w:val="20"/>
                <w:szCs w:val="20"/>
                <w:lang w:val="es-AR"/>
              </w:rPr>
              <w:t xml:space="preserve"> y 25</w:t>
            </w:r>
            <w:r w:rsidR="004447C7">
              <w:rPr>
                <w:rFonts w:ascii="Cambria" w:hAnsi="Cambria"/>
                <w:sz w:val="20"/>
                <w:szCs w:val="20"/>
                <w:lang w:val="es-AR"/>
              </w:rPr>
              <w:t xml:space="preserve"> (protección judicial)</w:t>
            </w:r>
            <w:r w:rsidR="008025EA">
              <w:rPr>
                <w:rFonts w:ascii="Cambria" w:hAnsi="Cambria"/>
                <w:sz w:val="20"/>
                <w:szCs w:val="20"/>
                <w:lang w:val="es-AR"/>
              </w:rPr>
              <w:t xml:space="preserve"> </w:t>
            </w:r>
            <w:r w:rsidR="008025EA" w:rsidRPr="00CB1CEA">
              <w:rPr>
                <w:rFonts w:ascii="Cambria" w:hAnsi="Cambria"/>
                <w:sz w:val="20"/>
                <w:szCs w:val="20"/>
                <w:lang w:val="es-AR"/>
              </w:rPr>
              <w:t>de la Convención Americana sobre Derechos Humanos</w:t>
            </w:r>
            <w:r w:rsidR="008025EA" w:rsidRPr="00DF4403">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5597755" w:rsidR="004C2312" w:rsidRPr="003239B8" w:rsidRDefault="00193270" w:rsidP="002625EA">
            <w:pPr>
              <w:jc w:val="both"/>
              <w:rPr>
                <w:rFonts w:ascii="Cambria" w:hAnsi="Cambria"/>
                <w:bCs/>
                <w:sz w:val="20"/>
                <w:szCs w:val="20"/>
                <w:lang w:val="es-ES"/>
              </w:rPr>
            </w:pPr>
            <w:r>
              <w:rPr>
                <w:rFonts w:ascii="Cambria" w:hAnsi="Cambria"/>
                <w:bCs/>
                <w:sz w:val="20"/>
                <w:szCs w:val="20"/>
                <w:lang w:val="es-ES"/>
              </w:rPr>
              <w:t>6 de octubre de 2015</w:t>
            </w:r>
          </w:p>
        </w:tc>
      </w:tr>
      <w:tr w:rsidR="00131425" w:rsidRPr="00FC642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21E06D7" w:rsidR="00131425" w:rsidRPr="003239B8" w:rsidRDefault="00025C2B" w:rsidP="002625EA">
            <w:pPr>
              <w:jc w:val="both"/>
              <w:rPr>
                <w:rFonts w:ascii="Cambria" w:hAnsi="Cambria"/>
                <w:bCs/>
                <w:sz w:val="20"/>
                <w:szCs w:val="20"/>
                <w:lang w:val="es-ES"/>
              </w:rPr>
            </w:pPr>
            <w:r>
              <w:rPr>
                <w:rFonts w:ascii="Cambria" w:hAnsi="Cambria"/>
                <w:bCs/>
                <w:sz w:val="20"/>
                <w:szCs w:val="20"/>
                <w:lang w:val="es-ES"/>
              </w:rPr>
              <w:t>4 de noviembre de 2015</w:t>
            </w:r>
          </w:p>
        </w:tc>
      </w:tr>
      <w:tr w:rsidR="004C2312" w:rsidRPr="00FC642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45F53D2" w:rsidR="004C2312" w:rsidRPr="003239B8" w:rsidRDefault="004A4750" w:rsidP="008D2290">
            <w:pPr>
              <w:jc w:val="both"/>
              <w:rPr>
                <w:rFonts w:ascii="Cambria" w:hAnsi="Cambria"/>
                <w:bCs/>
                <w:sz w:val="20"/>
                <w:szCs w:val="20"/>
                <w:lang w:val="es-ES"/>
              </w:rPr>
            </w:pPr>
            <w:r>
              <w:rPr>
                <w:rFonts w:ascii="Cambria" w:hAnsi="Cambria"/>
                <w:bCs/>
                <w:sz w:val="20"/>
                <w:szCs w:val="20"/>
                <w:lang w:val="es-ES"/>
              </w:rPr>
              <w:t>18 de octubre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801790A" w:rsidR="004C2312" w:rsidRPr="003239B8" w:rsidRDefault="00740CB7" w:rsidP="008D2290">
            <w:pPr>
              <w:jc w:val="both"/>
              <w:rPr>
                <w:rFonts w:ascii="Cambria" w:hAnsi="Cambria"/>
                <w:bCs/>
                <w:sz w:val="20"/>
                <w:szCs w:val="20"/>
                <w:lang w:val="es-ES"/>
              </w:rPr>
            </w:pPr>
            <w:r>
              <w:rPr>
                <w:rFonts w:ascii="Cambria" w:hAnsi="Cambria"/>
                <w:bCs/>
                <w:sz w:val="20"/>
                <w:szCs w:val="20"/>
                <w:lang w:val="es-ES"/>
              </w:rPr>
              <w:t>5 de abril de 2022</w:t>
            </w:r>
          </w:p>
        </w:tc>
      </w:tr>
      <w:tr w:rsidR="001E49E7" w:rsidRPr="00042340"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DD60997" w:rsidR="001E49E7" w:rsidRPr="003239B8" w:rsidRDefault="004A4750" w:rsidP="002625EA">
            <w:pPr>
              <w:jc w:val="both"/>
              <w:rPr>
                <w:rFonts w:ascii="Cambria" w:hAnsi="Cambria"/>
                <w:bCs/>
                <w:sz w:val="20"/>
                <w:szCs w:val="20"/>
                <w:lang w:val="es-ES"/>
              </w:rPr>
            </w:pPr>
            <w:r>
              <w:rPr>
                <w:rFonts w:ascii="Cambria" w:hAnsi="Cambria"/>
                <w:bCs/>
                <w:sz w:val="20"/>
                <w:szCs w:val="20"/>
                <w:lang w:val="es-ES"/>
              </w:rPr>
              <w:t>18 de septiembre de 2020</w:t>
            </w:r>
            <w:r w:rsidR="00740CB7">
              <w:rPr>
                <w:rFonts w:ascii="Cambria" w:hAnsi="Cambria"/>
                <w:bCs/>
                <w:sz w:val="20"/>
                <w:szCs w:val="20"/>
                <w:lang w:val="es-ES"/>
              </w:rPr>
              <w:t xml:space="preserve"> y 16 de abril de 2024</w:t>
            </w:r>
          </w:p>
        </w:tc>
      </w:tr>
      <w:tr w:rsidR="001E49E7" w:rsidRPr="00042340"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7BDE0CAD" w:rsidR="001E49E7" w:rsidRPr="003239B8" w:rsidRDefault="004A4750" w:rsidP="002625EA">
            <w:pPr>
              <w:jc w:val="both"/>
              <w:rPr>
                <w:rFonts w:ascii="Cambria" w:hAnsi="Cambria"/>
                <w:bCs/>
                <w:sz w:val="20"/>
                <w:szCs w:val="20"/>
                <w:lang w:val="es-ES"/>
              </w:rPr>
            </w:pPr>
            <w:r>
              <w:rPr>
                <w:rFonts w:ascii="Cambria" w:hAnsi="Cambria"/>
                <w:bCs/>
                <w:sz w:val="20"/>
                <w:szCs w:val="20"/>
                <w:lang w:val="es-ES"/>
              </w:rPr>
              <w:t>28 de septiembre de 2020</w:t>
            </w:r>
            <w:r w:rsidR="00740CB7">
              <w:rPr>
                <w:rFonts w:ascii="Cambria" w:hAnsi="Cambria"/>
                <w:bCs/>
                <w:sz w:val="20"/>
                <w:szCs w:val="20"/>
                <w:lang w:val="es-ES"/>
              </w:rPr>
              <w:t xml:space="preserve"> y 14 de mayo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540F17" w14:paraId="072532AD" w14:textId="77777777" w:rsidTr="007041B7">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0" w:type="dxa"/>
            <w:vAlign w:val="center"/>
          </w:tcPr>
          <w:p w14:paraId="7707F3E9" w14:textId="538FFBCD" w:rsidR="003239B8" w:rsidRPr="00B3745F" w:rsidRDefault="0018699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7041B7">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0" w:type="dxa"/>
            <w:vAlign w:val="center"/>
          </w:tcPr>
          <w:p w14:paraId="12C931CB" w14:textId="217AAEA3" w:rsidR="003239B8" w:rsidRPr="00B3745F" w:rsidRDefault="00186990"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7041B7">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0" w:type="dxa"/>
            <w:vAlign w:val="center"/>
          </w:tcPr>
          <w:p w14:paraId="6F8B059B" w14:textId="2CE0FFC9" w:rsidR="003239B8" w:rsidRPr="00B3745F" w:rsidRDefault="00186990" w:rsidP="008D2290">
            <w:pPr>
              <w:rPr>
                <w:rFonts w:ascii="Cambria" w:hAnsi="Cambria"/>
                <w:bCs/>
                <w:sz w:val="20"/>
                <w:szCs w:val="20"/>
              </w:rPr>
            </w:pPr>
            <w:r>
              <w:rPr>
                <w:rFonts w:ascii="Cambria" w:hAnsi="Cambria"/>
                <w:bCs/>
                <w:sz w:val="20"/>
                <w:szCs w:val="20"/>
              </w:rPr>
              <w:t>Sí</w:t>
            </w:r>
          </w:p>
        </w:tc>
      </w:tr>
      <w:tr w:rsidR="00186990" w:rsidRPr="00042340" w14:paraId="30ABEC3E" w14:textId="77777777" w:rsidTr="007041B7">
        <w:trPr>
          <w:cantSplit/>
        </w:trPr>
        <w:tc>
          <w:tcPr>
            <w:tcW w:w="3567" w:type="dxa"/>
            <w:tcBorders>
              <w:top w:val="single" w:sz="6" w:space="0" w:color="auto"/>
              <w:bottom w:val="single" w:sz="6" w:space="0" w:color="auto"/>
            </w:tcBorders>
            <w:shd w:val="clear" w:color="auto" w:fill="386294"/>
            <w:vAlign w:val="center"/>
          </w:tcPr>
          <w:p w14:paraId="47B529D2" w14:textId="77777777" w:rsidR="00186990" w:rsidRPr="00B3745F" w:rsidRDefault="00186990" w:rsidP="001869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70" w:type="dxa"/>
            <w:vAlign w:val="center"/>
          </w:tcPr>
          <w:p w14:paraId="0C122F44" w14:textId="282D99CF" w:rsidR="00186990" w:rsidRPr="00B3745F" w:rsidRDefault="00186990" w:rsidP="00186990">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5 de septiembre de 1984)</w:t>
            </w:r>
          </w:p>
        </w:tc>
      </w:tr>
    </w:tbl>
    <w:p w14:paraId="4E92C444" w14:textId="6F155DC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w:t>
      </w:r>
      <w:r w:rsidR="00DA2142">
        <w:rPr>
          <w:rFonts w:asciiTheme="majorHAnsi" w:hAnsiTheme="majorHAnsi"/>
          <w:b/>
          <w:sz w:val="20"/>
          <w:szCs w:val="20"/>
          <w:lang w:val="es-ES"/>
        </w:rPr>
        <w:t>tim</w:t>
      </w:r>
      <w:r w:rsidRPr="003239B8">
        <w:rPr>
          <w:rFonts w:asciiTheme="majorHAnsi" w:hAnsiTheme="majorHAnsi"/>
          <w:b/>
          <w:sz w:val="20"/>
          <w:szCs w:val="20"/>
          <w:lang w:val="es-ES"/>
        </w:rPr>
        <w:t xml:space="preserve">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5C00E6" w14:paraId="1231C988" w14:textId="77777777" w:rsidTr="007041B7">
        <w:trPr>
          <w:cantSplit/>
        </w:trPr>
        <w:tc>
          <w:tcPr>
            <w:tcW w:w="3565"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240941E6" w14:textId="141C561D" w:rsidR="00EE00E9" w:rsidRPr="00DC24E3" w:rsidRDefault="000C2940" w:rsidP="008D2290">
            <w:pPr>
              <w:jc w:val="both"/>
              <w:rPr>
                <w:rFonts w:ascii="Cambria" w:hAnsi="Cambria"/>
                <w:bCs/>
                <w:sz w:val="20"/>
                <w:szCs w:val="20"/>
                <w:lang w:val="es-ES"/>
              </w:rPr>
            </w:pPr>
            <w:r>
              <w:rPr>
                <w:rFonts w:ascii="Cambria" w:hAnsi="Cambria"/>
                <w:bCs/>
                <w:sz w:val="20"/>
                <w:szCs w:val="20"/>
                <w:lang w:val="es-ES"/>
              </w:rPr>
              <w:t>No</w:t>
            </w:r>
          </w:p>
        </w:tc>
      </w:tr>
      <w:tr w:rsidR="003239B8" w:rsidRPr="00042340" w14:paraId="15FAA7D1" w14:textId="77777777" w:rsidTr="007041B7">
        <w:trPr>
          <w:cantSplit/>
        </w:trPr>
        <w:tc>
          <w:tcPr>
            <w:tcW w:w="3565"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2" w:type="dxa"/>
            <w:vAlign w:val="center"/>
          </w:tcPr>
          <w:p w14:paraId="6310C8F7" w14:textId="6EFF4536" w:rsidR="003239B8" w:rsidRPr="004447C7" w:rsidRDefault="004447C7" w:rsidP="008D2290">
            <w:pPr>
              <w:jc w:val="both"/>
              <w:rPr>
                <w:rFonts w:ascii="Cambria" w:hAnsi="Cambria"/>
                <w:bCs/>
                <w:sz w:val="20"/>
                <w:szCs w:val="20"/>
                <w:lang w:val="es-PE"/>
              </w:rPr>
            </w:pPr>
            <w:r>
              <w:rPr>
                <w:rFonts w:ascii="Cambria" w:hAnsi="Cambria"/>
                <w:sz w:val="20"/>
                <w:szCs w:val="20"/>
                <w:lang w:val="es-AR"/>
              </w:rPr>
              <w:t xml:space="preserve">Artículos 8 (garantías judiciales), 23 (derechos políticos), 24 (igualdad ante la ley) y 25 (protección judicial) </w:t>
            </w:r>
            <w:r w:rsidRPr="00CB1CEA">
              <w:rPr>
                <w:rFonts w:ascii="Cambria" w:hAnsi="Cambria"/>
                <w:sz w:val="20"/>
                <w:szCs w:val="20"/>
                <w:lang w:val="es-AR"/>
              </w:rPr>
              <w:t>de la Convención Americana</w:t>
            </w:r>
            <w:r w:rsidR="0043548F">
              <w:rPr>
                <w:rFonts w:ascii="Cambria" w:hAnsi="Cambria"/>
                <w:sz w:val="20"/>
                <w:szCs w:val="20"/>
                <w:lang w:val="es-AR"/>
              </w:rPr>
              <w:t>, en relación con su artículo 1.1 (obligación de respetar los derechos)</w:t>
            </w:r>
          </w:p>
        </w:tc>
      </w:tr>
      <w:tr w:rsidR="003239B8" w:rsidRPr="007041B7" w14:paraId="4EFD141E" w14:textId="77777777" w:rsidTr="007041B7">
        <w:trPr>
          <w:cantSplit/>
        </w:trPr>
        <w:tc>
          <w:tcPr>
            <w:tcW w:w="3565"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69C53E8A" w14:textId="7E3A3828" w:rsidR="003239B8" w:rsidRPr="00DC24E3" w:rsidRDefault="000C2940" w:rsidP="008D2290">
            <w:pPr>
              <w:rPr>
                <w:rFonts w:ascii="Cambria" w:hAnsi="Cambria"/>
                <w:bCs/>
                <w:sz w:val="20"/>
                <w:szCs w:val="20"/>
                <w:lang w:val="es-ES"/>
              </w:rPr>
            </w:pPr>
            <w:r>
              <w:rPr>
                <w:rFonts w:ascii="Cambria" w:hAnsi="Cambria"/>
                <w:bCs/>
                <w:sz w:val="20"/>
                <w:szCs w:val="20"/>
                <w:lang w:val="es-ES"/>
              </w:rPr>
              <w:t>Sí</w:t>
            </w:r>
          </w:p>
        </w:tc>
      </w:tr>
      <w:tr w:rsidR="003239B8" w:rsidRPr="007041B7" w14:paraId="52B5BA17" w14:textId="77777777" w:rsidTr="007041B7">
        <w:trPr>
          <w:cantSplit/>
        </w:trPr>
        <w:tc>
          <w:tcPr>
            <w:tcW w:w="3565"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2" w:type="dxa"/>
            <w:vAlign w:val="center"/>
          </w:tcPr>
          <w:p w14:paraId="4A2A4569" w14:textId="76B1770D" w:rsidR="003239B8" w:rsidRPr="000C2940" w:rsidRDefault="000C2940" w:rsidP="008D2290">
            <w:pPr>
              <w:rPr>
                <w:rFonts w:ascii="Cambria" w:hAnsi="Cambria"/>
                <w:bCs/>
                <w:sz w:val="20"/>
                <w:szCs w:val="20"/>
                <w:lang w:val="es-PE"/>
              </w:rPr>
            </w:pPr>
            <w:r w:rsidRPr="000C2940">
              <w:rPr>
                <w:rFonts w:ascii="Cambria" w:hAnsi="Cambria"/>
                <w:bCs/>
                <w:sz w:val="20"/>
                <w:szCs w:val="20"/>
                <w:lang w:val="es-PE"/>
              </w:rPr>
              <w:t>Sí</w:t>
            </w:r>
          </w:p>
        </w:tc>
      </w:tr>
    </w:tbl>
    <w:p w14:paraId="3B28D627" w14:textId="77777777" w:rsidR="00435E44" w:rsidRDefault="00435E44" w:rsidP="00BE0737">
      <w:pPr>
        <w:spacing w:before="240" w:after="240"/>
        <w:ind w:firstLine="720"/>
        <w:jc w:val="both"/>
        <w:rPr>
          <w:rFonts w:asciiTheme="majorHAnsi" w:hAnsiTheme="majorHAnsi"/>
          <w:b/>
          <w:sz w:val="20"/>
          <w:szCs w:val="20"/>
          <w:lang w:val="es-UY"/>
        </w:rPr>
      </w:pPr>
    </w:p>
    <w:p w14:paraId="774C912F" w14:textId="77777777" w:rsidR="00435E44" w:rsidRDefault="00435E44" w:rsidP="00BE0737">
      <w:pPr>
        <w:spacing w:before="240" w:after="240"/>
        <w:ind w:firstLine="720"/>
        <w:jc w:val="both"/>
        <w:rPr>
          <w:rFonts w:asciiTheme="majorHAnsi" w:hAnsiTheme="majorHAnsi"/>
          <w:b/>
          <w:sz w:val="20"/>
          <w:szCs w:val="20"/>
          <w:lang w:val="es-UY"/>
        </w:rPr>
      </w:pPr>
    </w:p>
    <w:p w14:paraId="4B82B518" w14:textId="77777777" w:rsidR="00435E44" w:rsidRDefault="00435E44" w:rsidP="00BE0737">
      <w:pPr>
        <w:spacing w:before="240" w:after="240"/>
        <w:ind w:firstLine="720"/>
        <w:jc w:val="both"/>
        <w:rPr>
          <w:rFonts w:asciiTheme="majorHAnsi" w:hAnsiTheme="majorHAnsi"/>
          <w:b/>
          <w:sz w:val="20"/>
          <w:szCs w:val="20"/>
          <w:lang w:val="es-UY"/>
        </w:rPr>
      </w:pPr>
    </w:p>
    <w:p w14:paraId="3728D106" w14:textId="77777777" w:rsidR="00435E44" w:rsidRDefault="00435E44" w:rsidP="00BE0737">
      <w:pPr>
        <w:spacing w:before="240" w:after="240"/>
        <w:ind w:firstLine="720"/>
        <w:jc w:val="both"/>
        <w:rPr>
          <w:rFonts w:asciiTheme="majorHAnsi" w:hAnsiTheme="majorHAnsi"/>
          <w:b/>
          <w:sz w:val="20"/>
          <w:szCs w:val="20"/>
          <w:lang w:val="es-UY"/>
        </w:rPr>
      </w:pPr>
    </w:p>
    <w:p w14:paraId="18E6423B" w14:textId="706A4011" w:rsidR="003239B8" w:rsidRPr="00BE0737" w:rsidRDefault="00223A29" w:rsidP="00BE0737">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sidRPr="00BE0737">
        <w:rPr>
          <w:rFonts w:asciiTheme="majorHAnsi" w:hAnsiTheme="majorHAnsi"/>
          <w:b/>
          <w:sz w:val="20"/>
          <w:szCs w:val="20"/>
          <w:lang w:val="es-ES"/>
        </w:rPr>
        <w:t>POSICIÓN DE LAS PARTES</w:t>
      </w:r>
    </w:p>
    <w:p w14:paraId="16FB6418" w14:textId="1E2F4239" w:rsidR="0083100C" w:rsidRPr="00BE0737" w:rsidRDefault="00F94E6F" w:rsidP="00BE0737">
      <w:pPr>
        <w:spacing w:before="240" w:after="240"/>
        <w:ind w:firstLine="720"/>
        <w:jc w:val="both"/>
        <w:rPr>
          <w:rFonts w:asciiTheme="majorHAnsi" w:hAnsiTheme="majorHAnsi"/>
          <w:b/>
          <w:sz w:val="20"/>
          <w:szCs w:val="20"/>
          <w:lang w:val="es-ES"/>
        </w:rPr>
      </w:pPr>
      <w:r w:rsidRPr="00BE0737">
        <w:rPr>
          <w:rFonts w:asciiTheme="majorHAnsi" w:hAnsiTheme="majorHAnsi"/>
          <w:b/>
          <w:sz w:val="20"/>
          <w:szCs w:val="20"/>
          <w:lang w:val="es-ES"/>
        </w:rPr>
        <w:t>L</w:t>
      </w:r>
      <w:r w:rsidR="0083100C" w:rsidRPr="00BE0737">
        <w:rPr>
          <w:rFonts w:asciiTheme="majorHAnsi" w:hAnsiTheme="majorHAnsi"/>
          <w:b/>
          <w:sz w:val="20"/>
          <w:szCs w:val="20"/>
          <w:lang w:val="es-ES"/>
        </w:rPr>
        <w:t>a parte peticionaria</w:t>
      </w:r>
    </w:p>
    <w:p w14:paraId="09EE34D5" w14:textId="6C64DECE" w:rsidR="003A1A4B" w:rsidRPr="00BE0737" w:rsidRDefault="003A1A4B"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La peticionaria alega que la señora</w:t>
      </w:r>
      <w:r w:rsidR="00D3214B" w:rsidRPr="00BE0737">
        <w:rPr>
          <w:rFonts w:asciiTheme="majorHAnsi" w:hAnsiTheme="majorHAnsi"/>
          <w:sz w:val="20"/>
          <w:szCs w:val="20"/>
          <w:lang w:val="es-ES"/>
        </w:rPr>
        <w:t xml:space="preserve"> Analía Julieta</w:t>
      </w:r>
      <w:r w:rsidRPr="00BE0737">
        <w:rPr>
          <w:rFonts w:asciiTheme="majorHAnsi" w:hAnsiTheme="majorHAnsi"/>
          <w:sz w:val="20"/>
          <w:szCs w:val="20"/>
          <w:lang w:val="es-ES"/>
        </w:rPr>
        <w:t xml:space="preserve"> Viganó </w:t>
      </w:r>
      <w:r w:rsidR="00D3214B" w:rsidRPr="00BE0737">
        <w:rPr>
          <w:rFonts w:asciiTheme="majorHAnsi" w:hAnsiTheme="majorHAnsi"/>
          <w:sz w:val="20"/>
          <w:szCs w:val="20"/>
          <w:lang w:val="es-ES"/>
        </w:rPr>
        <w:t xml:space="preserve">(en adelante “la Sra. Viganó” o “la presunta víctima”) </w:t>
      </w:r>
      <w:r w:rsidRPr="00BE0737">
        <w:rPr>
          <w:rFonts w:asciiTheme="majorHAnsi" w:hAnsiTheme="majorHAnsi"/>
          <w:sz w:val="20"/>
          <w:szCs w:val="20"/>
          <w:lang w:val="es-ES"/>
        </w:rPr>
        <w:t>fue víctima de discriminación en el proceso de designación de jueces nacionales de primera instancia del trabajo, como consecuencia de su vínculo matrimonial con un dirigente sindical opositor al gobierno argentino de entonces</w:t>
      </w:r>
      <w:r w:rsidR="005A5559" w:rsidRPr="00BE0737">
        <w:rPr>
          <w:rStyle w:val="FootnoteReference"/>
          <w:rFonts w:asciiTheme="majorHAnsi" w:hAnsiTheme="majorHAnsi"/>
          <w:sz w:val="20"/>
          <w:szCs w:val="20"/>
          <w:lang w:val="es-ES"/>
        </w:rPr>
        <w:footnoteReference w:id="5"/>
      </w:r>
      <w:r w:rsidRPr="00BE0737">
        <w:rPr>
          <w:rFonts w:asciiTheme="majorHAnsi" w:hAnsiTheme="majorHAnsi"/>
          <w:sz w:val="20"/>
          <w:szCs w:val="20"/>
          <w:lang w:val="es-ES"/>
        </w:rPr>
        <w:t>. Señala que a pesar de contar con 35 años de trayectoria judicial y de haber obtenido el primer lugar en el orden de mérito del Concurso N.º 185 convocado por el Consejo de la Magistratura de la Nación para cubrir diecisiete vacantes, fue sistemáticamente excluida de las propuestas de designación elevadas por el Poder Ejecutivo Nacional.</w:t>
      </w:r>
    </w:p>
    <w:p w14:paraId="485BEC64" w14:textId="7E629FA1" w:rsidR="002E4D38" w:rsidRPr="00BE0737" w:rsidRDefault="003D5E4B"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Según expone</w:t>
      </w:r>
      <w:r w:rsidR="00703601" w:rsidRPr="00BE0737">
        <w:rPr>
          <w:rFonts w:asciiTheme="majorHAnsi" w:hAnsiTheme="majorHAnsi"/>
          <w:sz w:val="20"/>
          <w:szCs w:val="20"/>
          <w:lang w:val="es-ES"/>
        </w:rPr>
        <w:t xml:space="preserve"> la peticionaria</w:t>
      </w:r>
      <w:r w:rsidRPr="00BE0737">
        <w:rPr>
          <w:rFonts w:asciiTheme="majorHAnsi" w:hAnsiTheme="majorHAnsi"/>
          <w:sz w:val="20"/>
          <w:szCs w:val="20"/>
          <w:lang w:val="es-ES"/>
        </w:rPr>
        <w:t xml:space="preserve">, en </w:t>
      </w:r>
      <w:r w:rsidR="008227EE" w:rsidRPr="00BE0737">
        <w:rPr>
          <w:rFonts w:asciiTheme="majorHAnsi" w:hAnsiTheme="majorHAnsi"/>
          <w:sz w:val="20"/>
          <w:szCs w:val="20"/>
          <w:lang w:val="es-ES"/>
        </w:rPr>
        <w:t>el referido</w:t>
      </w:r>
      <w:r w:rsidRPr="00BE0737">
        <w:rPr>
          <w:rFonts w:asciiTheme="majorHAnsi" w:hAnsiTheme="majorHAnsi"/>
          <w:sz w:val="20"/>
          <w:szCs w:val="20"/>
          <w:lang w:val="es-ES"/>
        </w:rPr>
        <w:t xml:space="preserve"> concurso </w:t>
      </w:r>
      <w:r w:rsidR="0025692E" w:rsidRPr="00BE0737">
        <w:rPr>
          <w:rFonts w:asciiTheme="majorHAnsi" w:hAnsiTheme="majorHAnsi"/>
          <w:sz w:val="20"/>
          <w:szCs w:val="20"/>
          <w:lang w:val="es-ES"/>
        </w:rPr>
        <w:t xml:space="preserve">la presunta víctima </w:t>
      </w:r>
      <w:r w:rsidRPr="00BE0737">
        <w:rPr>
          <w:rFonts w:asciiTheme="majorHAnsi" w:hAnsiTheme="majorHAnsi"/>
          <w:sz w:val="20"/>
          <w:szCs w:val="20"/>
          <w:lang w:val="es-ES"/>
        </w:rPr>
        <w:t>obtuvo 181 puntos, superando por 4.5 puntos al segundo lugar y con amplia diferencia respecto al resto de los postulantes. Sin embargo, el Poder Ejecutivo omitió proponer su nombre al Senado, optando por candidatos ubicados en posiciones inferiores. Indica que esta omisión se dio en un contexto de conflicto público entre el oficialismo y su esposo, Julio Juan Piumato, secretario general de la Unión de Empleados Judiciales de la Nación (UEJN) y referente de la Confederación General del Trabajo (CGT) opositora. Alega que su exclusión fue una represalia indirecta por esta vinculación sindical.</w:t>
      </w:r>
    </w:p>
    <w:p w14:paraId="57175065" w14:textId="3AF8841A" w:rsidR="002E4D38" w:rsidRPr="00BE0737" w:rsidRDefault="002E4D38" w:rsidP="00BE07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BE0737">
        <w:rPr>
          <w:rFonts w:asciiTheme="majorHAnsi" w:hAnsiTheme="majorHAnsi"/>
          <w:i/>
          <w:iCs/>
          <w:sz w:val="20"/>
          <w:szCs w:val="20"/>
          <w:lang w:val="es-ES"/>
        </w:rPr>
        <w:t>Procesos internos</w:t>
      </w:r>
    </w:p>
    <w:p w14:paraId="43213AED" w14:textId="482D3017" w:rsidR="00E64D14" w:rsidRPr="00BE0737" w:rsidRDefault="003D5E4B"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Ante esta situación, el 13 de noviembre de 2012 la </w:t>
      </w:r>
      <w:r w:rsidR="002F6492" w:rsidRPr="00BE0737">
        <w:rPr>
          <w:rFonts w:asciiTheme="majorHAnsi" w:hAnsiTheme="majorHAnsi"/>
          <w:sz w:val="20"/>
          <w:szCs w:val="20"/>
          <w:lang w:val="es-ES"/>
        </w:rPr>
        <w:t>presunta víctima</w:t>
      </w:r>
      <w:r w:rsidRPr="00BE0737">
        <w:rPr>
          <w:rFonts w:asciiTheme="majorHAnsi" w:hAnsiTheme="majorHAnsi"/>
          <w:sz w:val="20"/>
          <w:szCs w:val="20"/>
          <w:lang w:val="es-ES"/>
        </w:rPr>
        <w:t xml:space="preserve"> presentó una acción de amparo con medida cautelar, solicitando que se suspendieran las entrevistas ante el Senado en relación con el Concurso N.º 185</w:t>
      </w:r>
      <w:r w:rsidR="00E97B2B" w:rsidRPr="00BE0737">
        <w:rPr>
          <w:rFonts w:asciiTheme="majorHAnsi" w:hAnsiTheme="majorHAnsi"/>
          <w:sz w:val="20"/>
          <w:szCs w:val="20"/>
          <w:lang w:val="es-ES"/>
        </w:rPr>
        <w:t>;</w:t>
      </w:r>
      <w:r w:rsidRPr="00BE0737">
        <w:rPr>
          <w:rFonts w:asciiTheme="majorHAnsi" w:hAnsiTheme="majorHAnsi"/>
          <w:sz w:val="20"/>
          <w:szCs w:val="20"/>
          <w:lang w:val="es-ES"/>
        </w:rPr>
        <w:t xml:space="preserve"> y que se ordenara su inclusión en la propuesta de designación. </w:t>
      </w:r>
      <w:r w:rsidR="00D76D56" w:rsidRPr="00BE0737">
        <w:rPr>
          <w:rFonts w:asciiTheme="majorHAnsi" w:hAnsiTheme="majorHAnsi"/>
          <w:sz w:val="20"/>
          <w:szCs w:val="20"/>
          <w:lang w:val="es-ES"/>
        </w:rPr>
        <w:t>Sin embargo, e</w:t>
      </w:r>
      <w:r w:rsidR="00B12D6C" w:rsidRPr="00BE0737">
        <w:rPr>
          <w:rFonts w:asciiTheme="majorHAnsi" w:hAnsiTheme="majorHAnsi"/>
          <w:sz w:val="20"/>
          <w:szCs w:val="20"/>
          <w:lang w:val="es-ES"/>
        </w:rPr>
        <w:t>l 9 de diciembre de 2013 el Juzgado Contencioso Administrativo Federal N.º 1 rechazó</w:t>
      </w:r>
      <w:r w:rsidR="007D0B60" w:rsidRPr="00BE0737">
        <w:rPr>
          <w:rFonts w:asciiTheme="majorHAnsi" w:hAnsiTheme="majorHAnsi"/>
          <w:sz w:val="20"/>
          <w:szCs w:val="20"/>
          <w:lang w:val="es-ES"/>
        </w:rPr>
        <w:t xml:space="preserve"> la acción</w:t>
      </w:r>
      <w:r w:rsidRPr="00BE0737">
        <w:rPr>
          <w:rFonts w:asciiTheme="majorHAnsi" w:hAnsiTheme="majorHAnsi"/>
          <w:sz w:val="20"/>
          <w:szCs w:val="20"/>
          <w:lang w:val="es-ES"/>
        </w:rPr>
        <w:t xml:space="preserve"> con fundamento en la supuesta “pérdida de objeto”, dado que ya se habían designado</w:t>
      </w:r>
      <w:r w:rsidR="007D0B60" w:rsidRPr="00BE0737">
        <w:rPr>
          <w:rFonts w:asciiTheme="majorHAnsi" w:hAnsiTheme="majorHAnsi"/>
          <w:sz w:val="20"/>
          <w:szCs w:val="20"/>
          <w:lang w:val="es-ES"/>
        </w:rPr>
        <w:t xml:space="preserve"> los</w:t>
      </w:r>
      <w:r w:rsidRPr="00BE0737">
        <w:rPr>
          <w:rFonts w:asciiTheme="majorHAnsi" w:hAnsiTheme="majorHAnsi"/>
          <w:sz w:val="20"/>
          <w:szCs w:val="20"/>
          <w:lang w:val="es-ES"/>
        </w:rPr>
        <w:t xml:space="preserve"> jueces para varias vacantes. </w:t>
      </w:r>
      <w:r w:rsidR="00D76D56" w:rsidRPr="00BE0737">
        <w:rPr>
          <w:rFonts w:asciiTheme="majorHAnsi" w:hAnsiTheme="majorHAnsi"/>
          <w:sz w:val="20"/>
          <w:szCs w:val="20"/>
          <w:lang w:val="es-ES"/>
        </w:rPr>
        <w:t xml:space="preserve">Aunque apeló la decisión, el </w:t>
      </w:r>
      <w:r w:rsidR="004A7504" w:rsidRPr="00BE0737">
        <w:rPr>
          <w:rFonts w:asciiTheme="majorHAnsi" w:hAnsiTheme="majorHAnsi"/>
          <w:sz w:val="20"/>
          <w:szCs w:val="20"/>
          <w:lang w:val="es-ES"/>
        </w:rPr>
        <w:t>3</w:t>
      </w:r>
      <w:r w:rsidR="00D76D56" w:rsidRPr="00BE0737">
        <w:rPr>
          <w:rFonts w:asciiTheme="majorHAnsi" w:hAnsiTheme="majorHAnsi"/>
          <w:sz w:val="20"/>
          <w:szCs w:val="20"/>
          <w:lang w:val="es-ES"/>
        </w:rPr>
        <w:t xml:space="preserve"> de </w:t>
      </w:r>
      <w:r w:rsidR="004A7504" w:rsidRPr="00BE0737">
        <w:rPr>
          <w:rFonts w:asciiTheme="majorHAnsi" w:hAnsiTheme="majorHAnsi"/>
          <w:sz w:val="20"/>
          <w:szCs w:val="20"/>
          <w:lang w:val="es-ES"/>
        </w:rPr>
        <w:t>abril</w:t>
      </w:r>
      <w:r w:rsidR="00D76D56" w:rsidRPr="00BE0737">
        <w:rPr>
          <w:rFonts w:asciiTheme="majorHAnsi" w:hAnsiTheme="majorHAnsi"/>
          <w:sz w:val="20"/>
          <w:szCs w:val="20"/>
          <w:lang w:val="es-ES"/>
        </w:rPr>
        <w:t xml:space="preserve"> de 2014 la</w:t>
      </w:r>
      <w:r w:rsidRPr="00BE0737">
        <w:rPr>
          <w:rFonts w:asciiTheme="majorHAnsi" w:hAnsiTheme="majorHAnsi"/>
          <w:sz w:val="20"/>
          <w:szCs w:val="20"/>
          <w:lang w:val="es-ES"/>
        </w:rPr>
        <w:t xml:space="preserve"> Cámara Nacional de Apelaciones en lo Contencioso Administrativo Federal confirmó el rechazo, reiterando que el caso se había tornado abstracto. La medida cautelar solicitada también fue denegada en ambas instancias.</w:t>
      </w:r>
      <w:r w:rsidR="00E64D14" w:rsidRPr="00BE0737">
        <w:rPr>
          <w:rFonts w:asciiTheme="majorHAnsi" w:hAnsiTheme="majorHAnsi"/>
          <w:sz w:val="20"/>
          <w:szCs w:val="20"/>
          <w:lang w:val="es-ES"/>
        </w:rPr>
        <w:t xml:space="preserve"> </w:t>
      </w:r>
      <w:r w:rsidRPr="00BE0737">
        <w:rPr>
          <w:rFonts w:asciiTheme="majorHAnsi" w:hAnsiTheme="majorHAnsi"/>
          <w:sz w:val="20"/>
          <w:szCs w:val="20"/>
          <w:lang w:val="es-ES"/>
        </w:rPr>
        <w:t xml:space="preserve">Contra esta decisión, la peticionaria presentó recurso extraordinario federal, que fue declarado inadmisible por la </w:t>
      </w:r>
      <w:r w:rsidR="00FA67BD" w:rsidRPr="00BE0737">
        <w:rPr>
          <w:rFonts w:asciiTheme="majorHAnsi" w:hAnsiTheme="majorHAnsi"/>
          <w:sz w:val="20"/>
          <w:szCs w:val="20"/>
          <w:lang w:val="es-ES"/>
        </w:rPr>
        <w:t xml:space="preserve">citada </w:t>
      </w:r>
      <w:r w:rsidRPr="00BE0737">
        <w:rPr>
          <w:rFonts w:asciiTheme="majorHAnsi" w:hAnsiTheme="majorHAnsi"/>
          <w:sz w:val="20"/>
          <w:szCs w:val="20"/>
          <w:lang w:val="es-ES"/>
        </w:rPr>
        <w:t>Cámara el 20 de agosto de 2014</w:t>
      </w:r>
      <w:r w:rsidR="003B4D38" w:rsidRPr="00BE0737">
        <w:rPr>
          <w:rFonts w:asciiTheme="majorHAnsi" w:hAnsiTheme="majorHAnsi"/>
          <w:sz w:val="20"/>
          <w:szCs w:val="20"/>
          <w:lang w:val="es-ES"/>
        </w:rPr>
        <w:t xml:space="preserve">, </w:t>
      </w:r>
      <w:r w:rsidR="0000743A" w:rsidRPr="00BE0737">
        <w:rPr>
          <w:rFonts w:asciiTheme="majorHAnsi" w:hAnsiTheme="majorHAnsi"/>
          <w:sz w:val="20"/>
          <w:szCs w:val="20"/>
          <w:lang w:val="es-ES"/>
        </w:rPr>
        <w:t>reiterando que el objeto de la acción había devenido en abstracto y que la alegada arbitrariedad de la decisión controvertida no resultaba susceptible de consideración</w:t>
      </w:r>
      <w:r w:rsidR="008340F5" w:rsidRPr="00BE0737">
        <w:rPr>
          <w:rFonts w:asciiTheme="majorHAnsi" w:hAnsiTheme="majorHAnsi"/>
          <w:sz w:val="20"/>
          <w:szCs w:val="20"/>
          <w:lang w:val="es-ES"/>
        </w:rPr>
        <w:t>.</w:t>
      </w:r>
      <w:r w:rsidRPr="00BE0737">
        <w:rPr>
          <w:rFonts w:asciiTheme="majorHAnsi" w:hAnsiTheme="majorHAnsi"/>
          <w:sz w:val="20"/>
          <w:szCs w:val="20"/>
          <w:lang w:val="es-ES"/>
        </w:rPr>
        <w:t xml:space="preserve"> </w:t>
      </w:r>
    </w:p>
    <w:p w14:paraId="0407DFC0" w14:textId="2A9A7406" w:rsidR="002E4D38" w:rsidRPr="00BE0737" w:rsidRDefault="003D5E4B"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Frente a ello, </w:t>
      </w:r>
      <w:r w:rsidR="003017BE" w:rsidRPr="00BE0737">
        <w:rPr>
          <w:rFonts w:asciiTheme="majorHAnsi" w:hAnsiTheme="majorHAnsi"/>
          <w:sz w:val="20"/>
          <w:szCs w:val="20"/>
          <w:lang w:val="es-ES"/>
        </w:rPr>
        <w:t xml:space="preserve">el 3 de septiembre de 2014 </w:t>
      </w:r>
      <w:r w:rsidRPr="00BE0737">
        <w:rPr>
          <w:rFonts w:asciiTheme="majorHAnsi" w:hAnsiTheme="majorHAnsi"/>
          <w:sz w:val="20"/>
          <w:szCs w:val="20"/>
          <w:lang w:val="es-ES"/>
        </w:rPr>
        <w:t xml:space="preserve">interpuso </w:t>
      </w:r>
      <w:r w:rsidR="00AC544A" w:rsidRPr="00BE0737">
        <w:rPr>
          <w:rFonts w:asciiTheme="majorHAnsi" w:hAnsiTheme="majorHAnsi"/>
          <w:sz w:val="20"/>
          <w:szCs w:val="20"/>
          <w:lang w:val="es-ES"/>
        </w:rPr>
        <w:t xml:space="preserve">un </w:t>
      </w:r>
      <w:r w:rsidRPr="00BE0737">
        <w:rPr>
          <w:rFonts w:asciiTheme="majorHAnsi" w:hAnsiTheme="majorHAnsi"/>
          <w:sz w:val="20"/>
          <w:szCs w:val="20"/>
          <w:lang w:val="es-ES"/>
        </w:rPr>
        <w:t>recurso de queja</w:t>
      </w:r>
      <w:r w:rsidR="005F7D53" w:rsidRPr="00BE0737">
        <w:rPr>
          <w:rFonts w:asciiTheme="majorHAnsi" w:hAnsiTheme="majorHAnsi"/>
          <w:sz w:val="20"/>
          <w:szCs w:val="20"/>
          <w:lang w:val="es-ES"/>
        </w:rPr>
        <w:t>,</w:t>
      </w:r>
      <w:r w:rsidRPr="00BE0737">
        <w:rPr>
          <w:rFonts w:asciiTheme="majorHAnsi" w:hAnsiTheme="majorHAnsi"/>
          <w:sz w:val="20"/>
          <w:szCs w:val="20"/>
          <w:lang w:val="es-ES"/>
        </w:rPr>
        <w:t xml:space="preserve"> </w:t>
      </w:r>
      <w:r w:rsidR="005F7D53" w:rsidRPr="00BE0737">
        <w:rPr>
          <w:rFonts w:asciiTheme="majorHAnsi" w:hAnsiTheme="majorHAnsi"/>
          <w:sz w:val="20"/>
          <w:szCs w:val="20"/>
          <w:lang w:val="es-ES"/>
        </w:rPr>
        <w:t>pero</w:t>
      </w:r>
      <w:r w:rsidR="003017BE" w:rsidRPr="00BE0737">
        <w:rPr>
          <w:rFonts w:asciiTheme="majorHAnsi" w:hAnsiTheme="majorHAnsi"/>
          <w:sz w:val="20"/>
          <w:szCs w:val="20"/>
          <w:lang w:val="es-ES"/>
        </w:rPr>
        <w:t xml:space="preserve"> el 30 de diciembre de 2014 la Corte Suprema de Justicia de la Nación la rechazo</w:t>
      </w:r>
      <w:r w:rsidR="008340F5" w:rsidRPr="00BE0737">
        <w:rPr>
          <w:rFonts w:asciiTheme="majorHAnsi" w:hAnsiTheme="majorHAnsi"/>
          <w:sz w:val="20"/>
          <w:szCs w:val="20"/>
          <w:lang w:val="es-ES"/>
        </w:rPr>
        <w:t xml:space="preserve">, indicado que </w:t>
      </w:r>
      <w:r w:rsidR="00B81847" w:rsidRPr="00BE0737">
        <w:rPr>
          <w:rFonts w:asciiTheme="majorHAnsi" w:hAnsiTheme="majorHAnsi"/>
          <w:sz w:val="20"/>
          <w:szCs w:val="20"/>
          <w:lang w:val="es-ES"/>
        </w:rPr>
        <w:t xml:space="preserve">el escrito “no cumple con los requisitos vinculados a la cantidad de páginas y al acompañamiento de copias establecidas en los artículos 4 y 7, inciso c, del reglamento aprobado por la acordada 3/2007”. </w:t>
      </w:r>
      <w:r w:rsidRPr="00BE0737">
        <w:rPr>
          <w:rFonts w:asciiTheme="majorHAnsi" w:hAnsiTheme="majorHAnsi"/>
          <w:sz w:val="20"/>
          <w:szCs w:val="20"/>
          <w:lang w:val="es-ES"/>
        </w:rPr>
        <w:t>Contra dicha denegatoria, interpuso un recurso de reposición con aclaratoria el 12 de enero de 2015, el cual fue desestimado el 7 de abril de 2015.</w:t>
      </w:r>
    </w:p>
    <w:p w14:paraId="0E4E5D4F" w14:textId="3F5964F9" w:rsidR="002E4D38" w:rsidRPr="00BE0737" w:rsidRDefault="002E4D38" w:rsidP="00BE07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BE0737">
        <w:rPr>
          <w:rFonts w:asciiTheme="majorHAnsi" w:hAnsiTheme="majorHAnsi"/>
          <w:i/>
          <w:iCs/>
          <w:sz w:val="20"/>
          <w:szCs w:val="20"/>
          <w:lang w:val="es-ES"/>
        </w:rPr>
        <w:t>Alegatos finales</w:t>
      </w:r>
    </w:p>
    <w:p w14:paraId="735B46FD" w14:textId="471688FC" w:rsidR="007B5437" w:rsidRDefault="002E4D38"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Con base en las consideraciones previamente expuestas, la parte peticionaria </w:t>
      </w:r>
      <w:r w:rsidR="007B5437" w:rsidRPr="00BE0737">
        <w:rPr>
          <w:rFonts w:asciiTheme="majorHAnsi" w:hAnsiTheme="majorHAnsi"/>
          <w:sz w:val="20"/>
          <w:szCs w:val="20"/>
          <w:lang w:val="es-ES"/>
        </w:rPr>
        <w:t xml:space="preserve">denuncia que el Poder Judicial incurrió en dilaciones indebidas y decisiones arbitrarias, evitando pronunciarse sobre el fondo del asunto </w:t>
      </w:r>
      <w:r w:rsidR="0001437A" w:rsidRPr="00BE0737">
        <w:rPr>
          <w:rFonts w:asciiTheme="majorHAnsi" w:hAnsiTheme="majorHAnsi"/>
          <w:sz w:val="20"/>
          <w:szCs w:val="20"/>
          <w:lang w:val="es-ES"/>
        </w:rPr>
        <w:t>–</w:t>
      </w:r>
      <w:r w:rsidR="007B5437" w:rsidRPr="00BE0737">
        <w:rPr>
          <w:rFonts w:asciiTheme="majorHAnsi" w:hAnsiTheme="majorHAnsi"/>
          <w:sz w:val="20"/>
          <w:szCs w:val="20"/>
          <w:lang w:val="es-ES"/>
        </w:rPr>
        <w:t>esto es, la supuesta discriminación</w:t>
      </w:r>
      <w:r w:rsidR="0001437A" w:rsidRPr="00BE0737">
        <w:rPr>
          <w:rFonts w:asciiTheme="majorHAnsi" w:hAnsiTheme="majorHAnsi"/>
          <w:sz w:val="20"/>
          <w:szCs w:val="20"/>
          <w:lang w:val="es-ES"/>
        </w:rPr>
        <w:t xml:space="preserve">– </w:t>
      </w:r>
      <w:r w:rsidR="007B5437" w:rsidRPr="00BE0737">
        <w:rPr>
          <w:rFonts w:asciiTheme="majorHAnsi" w:hAnsiTheme="majorHAnsi"/>
          <w:sz w:val="20"/>
          <w:szCs w:val="20"/>
          <w:lang w:val="es-ES"/>
        </w:rPr>
        <w:t xml:space="preserve">y basándose en fundamentos meramente formales. Argumenta que aún quedaban vacantes sin cubrir en el concurso al momento de interponer su demanda, por lo que no existía pérdida de objeto real. Añade que los fallos omitieron considerar </w:t>
      </w:r>
      <w:r w:rsidR="00BE0418" w:rsidRPr="00BE0737">
        <w:rPr>
          <w:rFonts w:asciiTheme="majorHAnsi" w:hAnsiTheme="majorHAnsi"/>
          <w:sz w:val="20"/>
          <w:szCs w:val="20"/>
          <w:lang w:val="es-ES"/>
        </w:rPr>
        <w:t>los</w:t>
      </w:r>
      <w:r w:rsidR="007B5437" w:rsidRPr="00BE0737">
        <w:rPr>
          <w:rFonts w:asciiTheme="majorHAnsi" w:hAnsiTheme="majorHAnsi"/>
          <w:sz w:val="20"/>
          <w:szCs w:val="20"/>
          <w:lang w:val="es-ES"/>
        </w:rPr>
        <w:t xml:space="preserve"> antecedentes</w:t>
      </w:r>
      <w:r w:rsidR="00BE0418" w:rsidRPr="00BE0737">
        <w:rPr>
          <w:rFonts w:asciiTheme="majorHAnsi" w:hAnsiTheme="majorHAnsi"/>
          <w:sz w:val="20"/>
          <w:szCs w:val="20"/>
          <w:lang w:val="es-ES"/>
        </w:rPr>
        <w:t xml:space="preserve"> de la presunta víctima</w:t>
      </w:r>
      <w:r w:rsidR="007B5437" w:rsidRPr="00BE0737">
        <w:rPr>
          <w:rFonts w:asciiTheme="majorHAnsi" w:hAnsiTheme="majorHAnsi"/>
          <w:sz w:val="20"/>
          <w:szCs w:val="20"/>
          <w:lang w:val="es-ES"/>
        </w:rPr>
        <w:t>, el mérito obtenido, y el hecho de que personas con menor puntaje o con sanciones disciplinarias fueron finalmente designadas.</w:t>
      </w:r>
    </w:p>
    <w:p w14:paraId="5A302720" w14:textId="77777777" w:rsidR="00435E44" w:rsidRPr="00BE0737" w:rsidRDefault="00435E44" w:rsidP="00435E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p>
    <w:p w14:paraId="5AC0F68B" w14:textId="19B48C23" w:rsidR="002E4D38" w:rsidRPr="00BE0737" w:rsidRDefault="00BC3678"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lastRenderedPageBreak/>
        <w:t xml:space="preserve">Asimismo, </w:t>
      </w:r>
      <w:r w:rsidR="00C250BC" w:rsidRPr="00BE0737">
        <w:rPr>
          <w:rFonts w:asciiTheme="majorHAnsi" w:hAnsiTheme="majorHAnsi"/>
          <w:sz w:val="20"/>
          <w:szCs w:val="20"/>
          <w:lang w:val="es-ES"/>
        </w:rPr>
        <w:t xml:space="preserve">la peticionaria </w:t>
      </w:r>
      <w:r w:rsidR="00DD3E83" w:rsidRPr="00BE0737">
        <w:rPr>
          <w:rFonts w:asciiTheme="majorHAnsi" w:hAnsiTheme="majorHAnsi"/>
          <w:sz w:val="20"/>
          <w:szCs w:val="20"/>
          <w:lang w:val="es-ES"/>
        </w:rPr>
        <w:t>sostiene</w:t>
      </w:r>
      <w:r w:rsidR="003D5E4B" w:rsidRPr="00BE0737">
        <w:rPr>
          <w:rFonts w:asciiTheme="majorHAnsi" w:hAnsiTheme="majorHAnsi"/>
          <w:sz w:val="20"/>
          <w:szCs w:val="20"/>
          <w:lang w:val="es-ES"/>
        </w:rPr>
        <w:t xml:space="preserve"> que </w:t>
      </w:r>
      <w:r w:rsidR="00F7399F" w:rsidRPr="00BE0737">
        <w:rPr>
          <w:rFonts w:asciiTheme="majorHAnsi" w:hAnsiTheme="majorHAnsi"/>
          <w:sz w:val="20"/>
          <w:szCs w:val="20"/>
          <w:lang w:val="es-ES"/>
        </w:rPr>
        <w:t xml:space="preserve">el uso de criterios discrecionales en </w:t>
      </w:r>
      <w:r w:rsidR="003D5E4B" w:rsidRPr="00BE0737">
        <w:rPr>
          <w:rFonts w:asciiTheme="majorHAnsi" w:hAnsiTheme="majorHAnsi"/>
          <w:sz w:val="20"/>
          <w:szCs w:val="20"/>
          <w:lang w:val="es-ES"/>
        </w:rPr>
        <w:t>el proceso de designación</w:t>
      </w:r>
      <w:r w:rsidR="00F7399F" w:rsidRPr="00BE0737">
        <w:rPr>
          <w:rFonts w:asciiTheme="majorHAnsi" w:hAnsiTheme="majorHAnsi"/>
          <w:sz w:val="20"/>
          <w:szCs w:val="20"/>
          <w:lang w:val="es-ES"/>
        </w:rPr>
        <w:t xml:space="preserve"> y </w:t>
      </w:r>
      <w:r w:rsidRPr="00BE0737">
        <w:rPr>
          <w:rFonts w:asciiTheme="majorHAnsi" w:hAnsiTheme="majorHAnsi"/>
          <w:sz w:val="20"/>
          <w:szCs w:val="20"/>
          <w:lang w:val="es-ES"/>
        </w:rPr>
        <w:t>la ausencia de un</w:t>
      </w:r>
      <w:r w:rsidR="00F7399F" w:rsidRPr="00BE0737">
        <w:rPr>
          <w:rFonts w:asciiTheme="majorHAnsi" w:hAnsiTheme="majorHAnsi"/>
          <w:sz w:val="20"/>
          <w:szCs w:val="20"/>
          <w:lang w:val="es-ES"/>
        </w:rPr>
        <w:t xml:space="preserve"> control judicial efectivo</w:t>
      </w:r>
      <w:r w:rsidR="003D5E4B" w:rsidRPr="00BE0737">
        <w:rPr>
          <w:rFonts w:asciiTheme="majorHAnsi" w:hAnsiTheme="majorHAnsi"/>
          <w:sz w:val="20"/>
          <w:szCs w:val="20"/>
          <w:lang w:val="es-ES"/>
        </w:rPr>
        <w:t xml:space="preserve"> permitió que se ejerciera una represalia encubierta</w:t>
      </w:r>
      <w:r w:rsidR="00F7399F" w:rsidRPr="00BE0737">
        <w:rPr>
          <w:rFonts w:asciiTheme="majorHAnsi" w:hAnsiTheme="majorHAnsi"/>
          <w:sz w:val="20"/>
          <w:szCs w:val="20"/>
          <w:lang w:val="es-ES"/>
        </w:rPr>
        <w:t xml:space="preserve"> contra la señora Viganó,</w:t>
      </w:r>
      <w:r w:rsidR="003D5E4B" w:rsidRPr="00BE0737">
        <w:rPr>
          <w:rFonts w:asciiTheme="majorHAnsi" w:hAnsiTheme="majorHAnsi"/>
          <w:sz w:val="20"/>
          <w:szCs w:val="20"/>
          <w:lang w:val="es-ES"/>
        </w:rPr>
        <w:t xml:space="preserve"> basada en su entorno familiar. Considera que ello vulneró su derecho de acceso a cargos públicos en condiciones de igualdad</w:t>
      </w:r>
      <w:r w:rsidR="00F7399F" w:rsidRPr="00BE0737">
        <w:rPr>
          <w:rFonts w:asciiTheme="majorHAnsi" w:hAnsiTheme="majorHAnsi"/>
          <w:sz w:val="20"/>
          <w:szCs w:val="20"/>
          <w:lang w:val="es-ES"/>
        </w:rPr>
        <w:t>,</w:t>
      </w:r>
      <w:r w:rsidR="003D5E4B" w:rsidRPr="00BE0737">
        <w:rPr>
          <w:rFonts w:asciiTheme="majorHAnsi" w:hAnsiTheme="majorHAnsi"/>
          <w:sz w:val="20"/>
          <w:szCs w:val="20"/>
          <w:lang w:val="es-ES"/>
        </w:rPr>
        <w:t xml:space="preserve"> su derecho a la igualdad y no discriminación</w:t>
      </w:r>
      <w:r w:rsidR="00F7399F" w:rsidRPr="00BE0737">
        <w:rPr>
          <w:rFonts w:asciiTheme="majorHAnsi" w:hAnsiTheme="majorHAnsi"/>
          <w:sz w:val="20"/>
          <w:szCs w:val="20"/>
          <w:lang w:val="es-ES"/>
        </w:rPr>
        <w:t xml:space="preserve"> </w:t>
      </w:r>
      <w:r w:rsidR="003D5E4B" w:rsidRPr="00BE0737">
        <w:rPr>
          <w:rFonts w:asciiTheme="majorHAnsi" w:hAnsiTheme="majorHAnsi"/>
          <w:sz w:val="20"/>
          <w:szCs w:val="20"/>
          <w:lang w:val="es-ES"/>
        </w:rPr>
        <w:t>y su derecho a la tutela judicial efectiva.</w:t>
      </w:r>
    </w:p>
    <w:p w14:paraId="43C63819" w14:textId="3E70DEDD" w:rsidR="002E4D38" w:rsidRPr="00BE0737" w:rsidRDefault="003D5E4B"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También afirma que la falta de designación afectó </w:t>
      </w:r>
      <w:r w:rsidR="00BE0418" w:rsidRPr="00BE0737">
        <w:rPr>
          <w:rFonts w:asciiTheme="majorHAnsi" w:hAnsiTheme="majorHAnsi"/>
          <w:sz w:val="20"/>
          <w:szCs w:val="20"/>
          <w:lang w:val="es-ES"/>
        </w:rPr>
        <w:t>la</w:t>
      </w:r>
      <w:r w:rsidRPr="00BE0737">
        <w:rPr>
          <w:rFonts w:asciiTheme="majorHAnsi" w:hAnsiTheme="majorHAnsi"/>
          <w:sz w:val="20"/>
          <w:szCs w:val="20"/>
          <w:lang w:val="es-ES"/>
        </w:rPr>
        <w:t xml:space="preserve"> estabilidad laboral y profesional</w:t>
      </w:r>
      <w:r w:rsidR="00BE0418" w:rsidRPr="00BE0737">
        <w:rPr>
          <w:rFonts w:asciiTheme="majorHAnsi" w:hAnsiTheme="majorHAnsi"/>
          <w:sz w:val="20"/>
          <w:szCs w:val="20"/>
          <w:lang w:val="es-ES"/>
        </w:rPr>
        <w:t xml:space="preserve"> de la presunta víctima</w:t>
      </w:r>
      <w:r w:rsidRPr="00BE0737">
        <w:rPr>
          <w:rFonts w:asciiTheme="majorHAnsi" w:hAnsiTheme="majorHAnsi"/>
          <w:sz w:val="20"/>
          <w:szCs w:val="20"/>
          <w:lang w:val="es-ES"/>
        </w:rPr>
        <w:t xml:space="preserve">, </w:t>
      </w:r>
      <w:r w:rsidR="00BE0418" w:rsidRPr="00BE0737">
        <w:rPr>
          <w:rFonts w:asciiTheme="majorHAnsi" w:hAnsiTheme="majorHAnsi"/>
          <w:sz w:val="20"/>
          <w:szCs w:val="20"/>
          <w:lang w:val="es-ES"/>
        </w:rPr>
        <w:t>ya que</w:t>
      </w:r>
      <w:r w:rsidRPr="00BE0737">
        <w:rPr>
          <w:rFonts w:asciiTheme="majorHAnsi" w:hAnsiTheme="majorHAnsi"/>
          <w:sz w:val="20"/>
          <w:szCs w:val="20"/>
          <w:lang w:val="es-ES"/>
        </w:rPr>
        <w:t xml:space="preserve"> si bien fue designada como jueza subrogante en 2013, esa designación fue sin acuerdo del Senado y en condiciones de precariedad institucional. Refiere que la situación persistió hasta 2016, año en que fue finalmente designada como jueza titular mediante el Decreto 794/16.</w:t>
      </w:r>
      <w:r w:rsidR="00F7399F" w:rsidRPr="00BE0737">
        <w:rPr>
          <w:rFonts w:asciiTheme="majorHAnsi" w:hAnsiTheme="majorHAnsi"/>
          <w:sz w:val="20"/>
          <w:szCs w:val="20"/>
          <w:lang w:val="es-ES"/>
        </w:rPr>
        <w:t xml:space="preserve"> Por lo expuesto</w:t>
      </w:r>
      <w:r w:rsidRPr="00BE0737">
        <w:rPr>
          <w:rFonts w:asciiTheme="majorHAnsi" w:hAnsiTheme="majorHAnsi"/>
          <w:sz w:val="20"/>
          <w:szCs w:val="20"/>
          <w:lang w:val="es-ES"/>
        </w:rPr>
        <w:t xml:space="preserve">, solicita que la Comisión Interamericana declare la responsabilidad internacional del Estado argentino por haber tolerado un mecanismo institucional que permitió la exclusión discriminatoria y sin fundamento de su candidatura judicial, sin otorgar un recurso judicial efectivo para su reparación. </w:t>
      </w:r>
    </w:p>
    <w:p w14:paraId="129AF6A6" w14:textId="614247FB" w:rsidR="00EF76F5" w:rsidRPr="00BE0737" w:rsidRDefault="00D47A99" w:rsidP="00BE07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BE0737">
        <w:rPr>
          <w:rFonts w:asciiTheme="majorHAnsi" w:hAnsiTheme="majorHAnsi"/>
          <w:b/>
          <w:bCs/>
          <w:sz w:val="20"/>
          <w:szCs w:val="20"/>
          <w:lang w:val="es-ES"/>
        </w:rPr>
        <w:t>E</w:t>
      </w:r>
      <w:r w:rsidR="002E4D38" w:rsidRPr="00BE0737">
        <w:rPr>
          <w:rFonts w:asciiTheme="majorHAnsi" w:hAnsiTheme="majorHAnsi"/>
          <w:b/>
          <w:bCs/>
          <w:sz w:val="20"/>
          <w:szCs w:val="20"/>
          <w:lang w:val="es-ES"/>
        </w:rPr>
        <w:t>l Estado argentino</w:t>
      </w:r>
    </w:p>
    <w:p w14:paraId="283D030E" w14:textId="70BD01F6" w:rsidR="001A0E4D" w:rsidRPr="00BE0737" w:rsidRDefault="00B72014"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Por su parte, e</w:t>
      </w:r>
      <w:r w:rsidR="00413D3D" w:rsidRPr="00BE0737">
        <w:rPr>
          <w:rFonts w:asciiTheme="majorHAnsi" w:hAnsiTheme="majorHAnsi"/>
          <w:sz w:val="20"/>
          <w:szCs w:val="20"/>
          <w:lang w:val="es-ES"/>
        </w:rPr>
        <w:t>l Estad</w:t>
      </w:r>
      <w:r w:rsidR="001A0E4D" w:rsidRPr="00BE0737">
        <w:rPr>
          <w:rFonts w:asciiTheme="majorHAnsi" w:hAnsiTheme="majorHAnsi"/>
          <w:sz w:val="20"/>
          <w:szCs w:val="20"/>
          <w:lang w:val="es-ES"/>
        </w:rPr>
        <w:t xml:space="preserve">o replica </w:t>
      </w:r>
      <w:r w:rsidR="00E51EB8" w:rsidRPr="00BE0737">
        <w:rPr>
          <w:rFonts w:asciiTheme="majorHAnsi" w:hAnsiTheme="majorHAnsi"/>
          <w:sz w:val="20"/>
          <w:szCs w:val="20"/>
          <w:lang w:val="es-ES"/>
        </w:rPr>
        <w:t xml:space="preserve">que la parte peticionaria no agotó correctamente los recursos internos, al no ajustar sus presentaciones a los requisitos legales aplicables en el trámite de la acción de amparo. Refiere que si bien interpuso recurso extraordinario federal y recurso de queja, estos no fueron correctamente articulados ni con requisitos procesales para su interposición, lo que impidió su tratamiento sustantivo. </w:t>
      </w:r>
    </w:p>
    <w:p w14:paraId="0CCAD2F0" w14:textId="30F383FC" w:rsidR="00E51EB8" w:rsidRPr="00BE0737" w:rsidRDefault="001A0E4D"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Asimismo,</w:t>
      </w:r>
      <w:r w:rsidR="00413D3D" w:rsidRPr="00BE0737">
        <w:rPr>
          <w:rFonts w:asciiTheme="majorHAnsi" w:hAnsiTheme="majorHAnsi"/>
          <w:sz w:val="20"/>
          <w:szCs w:val="20"/>
          <w:lang w:val="es-ES"/>
        </w:rPr>
        <w:t xml:space="preserve"> sostiene </w:t>
      </w:r>
      <w:r w:rsidR="00E51EB8" w:rsidRPr="00BE0737">
        <w:rPr>
          <w:rFonts w:asciiTheme="majorHAnsi" w:hAnsiTheme="majorHAnsi"/>
          <w:sz w:val="20"/>
          <w:szCs w:val="20"/>
          <w:lang w:val="es-ES"/>
        </w:rPr>
        <w:t>que la petición fue presentada fuera del plazo de seis meses previsto en el artículo 46.1.b</w:t>
      </w:r>
      <w:r w:rsidR="00F56397" w:rsidRPr="00BE0737">
        <w:rPr>
          <w:rFonts w:asciiTheme="majorHAnsi" w:hAnsiTheme="majorHAnsi"/>
          <w:sz w:val="20"/>
          <w:szCs w:val="20"/>
          <w:lang w:val="es-ES"/>
        </w:rPr>
        <w:t>)</w:t>
      </w:r>
      <w:r w:rsidR="00E51EB8" w:rsidRPr="00BE0737">
        <w:rPr>
          <w:rFonts w:asciiTheme="majorHAnsi" w:hAnsiTheme="majorHAnsi"/>
          <w:sz w:val="20"/>
          <w:szCs w:val="20"/>
          <w:lang w:val="es-ES"/>
        </w:rPr>
        <w:t xml:space="preserve"> de la Convención Americana. Explica que la Corte Suprema de Justicia de la Nación rechazó la queja interpuesta por la peticionaria el 30 de diciembre de 2014, y que la presentación ante la CIDH recién se efectuó en octubre de 2015</w:t>
      </w:r>
      <w:r w:rsidR="00F56397" w:rsidRPr="00BE0737">
        <w:rPr>
          <w:rFonts w:asciiTheme="majorHAnsi" w:hAnsiTheme="majorHAnsi"/>
          <w:sz w:val="20"/>
          <w:szCs w:val="20"/>
          <w:lang w:val="es-ES"/>
        </w:rPr>
        <w:t>;</w:t>
      </w:r>
      <w:r w:rsidR="00E51EB8" w:rsidRPr="00BE0737">
        <w:rPr>
          <w:rFonts w:asciiTheme="majorHAnsi" w:hAnsiTheme="majorHAnsi"/>
          <w:sz w:val="20"/>
          <w:szCs w:val="20"/>
          <w:lang w:val="es-ES"/>
        </w:rPr>
        <w:t xml:space="preserve"> es decir, diez meses después de la notificación de dicha decisión. Añade que la presentación posterior de un recurso de reposición o revocatoria, resuelto el 7 de abril de 2015, no puede considerarse un medio válido para interrumpir el cómputo del plazo, dado que tales recursos son improcedentes en el sistema procesal argentino, y su presentación resultó irrazonable, conforme a la jurisprudencia tanto nacional como interamericana.</w:t>
      </w:r>
    </w:p>
    <w:p w14:paraId="281AFC45" w14:textId="399E40DB" w:rsidR="00BE5397" w:rsidRPr="00BE0737" w:rsidRDefault="00C4744B"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Por otro lado, </w:t>
      </w:r>
      <w:r w:rsidR="00413D3D" w:rsidRPr="00BE0737">
        <w:rPr>
          <w:rFonts w:asciiTheme="majorHAnsi" w:hAnsiTheme="majorHAnsi"/>
          <w:sz w:val="20"/>
          <w:szCs w:val="20"/>
          <w:lang w:val="es-ES"/>
        </w:rPr>
        <w:t xml:space="preserve">el Estado alega que la pretensión que motivó la petición ya fue satisfecha, ya que la Dra. </w:t>
      </w:r>
      <w:r w:rsidR="00517BF8" w:rsidRPr="00BE0737">
        <w:rPr>
          <w:rFonts w:asciiTheme="majorHAnsi" w:hAnsiTheme="majorHAnsi"/>
          <w:sz w:val="20"/>
          <w:szCs w:val="20"/>
          <w:lang w:val="es-ES"/>
        </w:rPr>
        <w:t xml:space="preserve">Analía Julieta </w:t>
      </w:r>
      <w:r w:rsidR="00413D3D" w:rsidRPr="00BE0737">
        <w:rPr>
          <w:rFonts w:asciiTheme="majorHAnsi" w:hAnsiTheme="majorHAnsi"/>
          <w:sz w:val="20"/>
          <w:szCs w:val="20"/>
          <w:lang w:val="es-ES"/>
        </w:rPr>
        <w:t>Viganó fue finalmente designada como Jueza Nacional de Primera Instancia del Trabajo en 2016, mediante Decreto 794/16, y actualmente ejerce el cargo en el Juzgado del Trabajo N.º 31. Señala que, conforme al artículo 48.1.b de la Convención y el artículo 42.1 del Reglamento de la CIDH, corresponde archivar la petición cuando no subsisten los motivos originales del reclamo. Añade que el sistema de casos individuales no tiene por objeto analizar situaciones institucionales abstractas, sino hechos concretos que representen una violación vigente o con proyección actual de daño, lo que no se verifica en este caso.</w:t>
      </w:r>
    </w:p>
    <w:p w14:paraId="01255594" w14:textId="4013603B" w:rsidR="00BE5397" w:rsidRPr="00BE0737" w:rsidRDefault="00980326"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Adicionalmente</w:t>
      </w:r>
      <w:r w:rsidR="00BE5397" w:rsidRPr="00BE0737">
        <w:rPr>
          <w:rFonts w:asciiTheme="majorHAnsi" w:hAnsiTheme="majorHAnsi"/>
          <w:sz w:val="20"/>
          <w:szCs w:val="20"/>
          <w:lang w:val="es-ES"/>
        </w:rPr>
        <w:t>, Argentina</w:t>
      </w:r>
      <w:r w:rsidR="00413D3D" w:rsidRPr="00BE0737">
        <w:rPr>
          <w:rFonts w:asciiTheme="majorHAnsi" w:hAnsiTheme="majorHAnsi"/>
          <w:sz w:val="20"/>
          <w:szCs w:val="20"/>
          <w:lang w:val="es-ES"/>
        </w:rPr>
        <w:t xml:space="preserve"> rechaza que se haya configurado una violación de los derechos alegados. En particular, argumenta que el sistema de selección judicial en Argentina no garantiza automáticamente la designación del postulante con mayor puntaje, ya que el proceso culmina con un acto federal complejo que incluye la propuesta del Poder Ejecutivo y el acuerdo del Senado, en el cual se ponderan criterios múltiples de idoneidad, no limitados al mérito técnico. Cita jurisprudencia de la Corte Suprema según la cual la idoneidad para el ingreso a la función pública no es abstracta, sino relativa al conjunto de funciones del cargo, y sostiene que el derecho internacional no impone un modelo único de selección judicial basado exclusivamente en resultados concursales. Añade que no existen pruebas suficientes que permitan acreditar discriminación política, y que la sola existencia de sospechas o suspicacias no alcanza para imputar responsabilidad internacional.</w:t>
      </w:r>
    </w:p>
    <w:p w14:paraId="04DC9A57" w14:textId="541D94D4" w:rsidR="00BE5397" w:rsidRPr="00BE0737" w:rsidRDefault="00413D3D" w:rsidP="00BE07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En definitiva, el Estado concluye que la petición no presenta hechos que configuren una violación de derechos humanos, que la situación alegada ya fue reparada mediante la efectiva designación de la peticionaria, y que el procedimiento seguido fue respetuoso del marco constitucional y convencional vigente en la República Argentina. Por todo ello, solicita a la Comisión que archive la petición</w:t>
      </w:r>
      <w:r w:rsidR="00C82CBA" w:rsidRPr="00BE0737">
        <w:rPr>
          <w:rFonts w:asciiTheme="majorHAnsi" w:hAnsiTheme="majorHAnsi"/>
          <w:sz w:val="20"/>
          <w:szCs w:val="20"/>
          <w:lang w:val="es-ES"/>
        </w:rPr>
        <w:t>.</w:t>
      </w:r>
    </w:p>
    <w:p w14:paraId="6991025D" w14:textId="7FC60134" w:rsidR="00980326" w:rsidRPr="00BE0737" w:rsidRDefault="00980326" w:rsidP="00BE07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lastRenderedPageBreak/>
        <w:t xml:space="preserve">Finalmente, el Estado plantea lo que denomina “el traslado extemporáneo de la petición”. Afirma que, a pesar de que el </w:t>
      </w:r>
      <w:r w:rsidR="00F9759E" w:rsidRPr="00BE0737">
        <w:rPr>
          <w:rFonts w:asciiTheme="majorHAnsi" w:hAnsiTheme="majorHAnsi"/>
          <w:bCs/>
          <w:sz w:val="20"/>
          <w:szCs w:val="20"/>
          <w:lang w:val="es-ES"/>
        </w:rPr>
        <w:t xml:space="preserve">6 de octubre de 2015 </w:t>
      </w:r>
      <w:r w:rsidRPr="00BE0737">
        <w:rPr>
          <w:rFonts w:asciiTheme="majorHAnsi" w:hAnsiTheme="majorHAnsi"/>
          <w:sz w:val="20"/>
          <w:szCs w:val="20"/>
          <w:lang w:val="es-ES"/>
        </w:rPr>
        <w:t xml:space="preserve">la Secretaría Ejecutiva de la CIDH recibió la petición, el traslado de dicho documento recién se realizó el </w:t>
      </w:r>
      <w:r w:rsidR="00F9759E" w:rsidRPr="00BE0737">
        <w:rPr>
          <w:rFonts w:asciiTheme="majorHAnsi" w:hAnsiTheme="majorHAnsi"/>
          <w:bCs/>
          <w:sz w:val="20"/>
          <w:szCs w:val="20"/>
          <w:lang w:val="es-ES"/>
        </w:rPr>
        <w:t>18 de octubre de 2021</w:t>
      </w:r>
      <w:r w:rsidRPr="00BE0737">
        <w:rPr>
          <w:rFonts w:asciiTheme="majorHAnsi" w:hAnsiTheme="majorHAnsi"/>
          <w:sz w:val="20"/>
          <w:szCs w:val="20"/>
          <w:lang w:val="es-ES"/>
        </w:rPr>
        <w:t>. A juicio del Estado, la demora en tramitar la petición genera una grave problemática que afecta el adecuado ejercicio de su derecho a la defensa.</w:t>
      </w:r>
    </w:p>
    <w:p w14:paraId="6F4D4171" w14:textId="1050BFD9" w:rsidR="003239B8" w:rsidRPr="00BE0737" w:rsidRDefault="003239B8" w:rsidP="00BE07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lang w:val="es-ES"/>
        </w:rPr>
      </w:pPr>
      <w:r w:rsidRPr="00BE0737">
        <w:rPr>
          <w:rFonts w:asciiTheme="majorHAnsi" w:eastAsia="Cambria" w:hAnsiTheme="majorHAnsi" w:cs="Cambria"/>
          <w:b/>
          <w:bCs/>
          <w:color w:val="000000"/>
          <w:sz w:val="20"/>
          <w:szCs w:val="20"/>
          <w:u w:color="000000"/>
          <w:lang w:val="es-ES" w:eastAsia="es-ES"/>
        </w:rPr>
        <w:t>VI.</w:t>
      </w:r>
      <w:r w:rsidRPr="00BE0737">
        <w:rPr>
          <w:rFonts w:asciiTheme="majorHAnsi" w:eastAsia="Cambria" w:hAnsiTheme="majorHAnsi" w:cs="Cambria"/>
          <w:b/>
          <w:bCs/>
          <w:color w:val="000000"/>
          <w:sz w:val="20"/>
          <w:szCs w:val="20"/>
          <w:u w:color="000000"/>
          <w:lang w:val="es-ES" w:eastAsia="es-ES"/>
        </w:rPr>
        <w:tab/>
      </w:r>
      <w:r w:rsidR="004A6A54" w:rsidRPr="00BE0737">
        <w:rPr>
          <w:rFonts w:asciiTheme="majorHAnsi" w:hAnsiTheme="majorHAnsi"/>
          <w:b/>
          <w:bCs/>
          <w:sz w:val="20"/>
          <w:szCs w:val="20"/>
          <w:lang w:val="es-ES"/>
        </w:rPr>
        <w:t xml:space="preserve">ANÁLISIS DE </w:t>
      </w:r>
      <w:r w:rsidR="00C21FEF" w:rsidRPr="00BE0737">
        <w:rPr>
          <w:rFonts w:asciiTheme="majorHAnsi" w:hAnsiTheme="majorHAnsi"/>
          <w:b/>
          <w:sz w:val="20"/>
          <w:szCs w:val="20"/>
          <w:lang w:val="es-ES"/>
        </w:rPr>
        <w:t>AGOTAMIENTO DE LOS RECURSOS INTERNOS Y PLAZO DE PRESENTACIÓN</w:t>
      </w:r>
      <w:r w:rsidR="00C21FEF" w:rsidRPr="00BE0737">
        <w:rPr>
          <w:rFonts w:asciiTheme="majorHAnsi" w:eastAsia="Cambria" w:hAnsiTheme="majorHAnsi" w:cs="Cambria"/>
          <w:b/>
          <w:bCs/>
          <w:color w:val="000000"/>
          <w:sz w:val="20"/>
          <w:szCs w:val="20"/>
          <w:u w:color="000000"/>
          <w:lang w:val="es-ES" w:eastAsia="es-ES"/>
        </w:rPr>
        <w:t xml:space="preserve"> </w:t>
      </w:r>
    </w:p>
    <w:p w14:paraId="77ED64C9" w14:textId="31BC3284" w:rsidR="00A00983" w:rsidRPr="00EF3D84" w:rsidRDefault="00A00983" w:rsidP="00EF3D84">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eastAsia="Arial Unicode MS" w:hAnsiTheme="majorHAnsi" w:cs="Times New Roman"/>
          <w:color w:val="auto"/>
          <w:sz w:val="20"/>
          <w:szCs w:val="20"/>
          <w:lang w:val="es-ES" w:eastAsia="en-US"/>
        </w:rPr>
        <w:t xml:space="preserve">La Comisión observa que </w:t>
      </w:r>
      <w:r w:rsidR="00EE5413" w:rsidRPr="00BE0737">
        <w:rPr>
          <w:rFonts w:asciiTheme="majorHAnsi" w:eastAsia="Arial Unicode MS" w:hAnsiTheme="majorHAnsi" w:cs="Times New Roman"/>
          <w:color w:val="auto"/>
          <w:sz w:val="20"/>
          <w:szCs w:val="20"/>
          <w:lang w:val="es-ES" w:eastAsia="en-US"/>
        </w:rPr>
        <w:t>la peticionaria reclama principalmente que la señora Viganó excluida por razones discriminatorias del proceso de designación de jueces laborales, pese a su mérito y trayectoria, por su vínculo con un dirigente sindical opositor</w:t>
      </w:r>
      <w:r w:rsidRPr="00BE0737">
        <w:rPr>
          <w:rFonts w:asciiTheme="majorHAnsi" w:eastAsia="Arial Unicode MS" w:hAnsiTheme="majorHAnsi" w:cs="Times New Roman"/>
          <w:color w:val="auto"/>
          <w:sz w:val="20"/>
          <w:szCs w:val="20"/>
          <w:lang w:val="es-ES" w:eastAsia="en-US"/>
        </w:rPr>
        <w:t xml:space="preserve">. Para agotar la jurisdicción interna, </w:t>
      </w:r>
      <w:r w:rsidR="00827314" w:rsidRPr="00BE0737">
        <w:rPr>
          <w:rFonts w:asciiTheme="majorHAnsi" w:eastAsia="Arial Unicode MS" w:hAnsiTheme="majorHAnsi" w:cs="Times New Roman"/>
          <w:color w:val="auto"/>
          <w:sz w:val="20"/>
          <w:szCs w:val="20"/>
          <w:lang w:val="es-ES" w:eastAsia="en-US"/>
        </w:rPr>
        <w:t>la presunta víctima</w:t>
      </w:r>
      <w:r w:rsidRPr="00BE0737">
        <w:rPr>
          <w:rFonts w:asciiTheme="majorHAnsi" w:eastAsia="Arial Unicode MS" w:hAnsiTheme="majorHAnsi" w:cs="Times New Roman"/>
          <w:color w:val="auto"/>
          <w:sz w:val="20"/>
          <w:szCs w:val="20"/>
          <w:lang w:val="es-ES" w:eastAsia="en-US"/>
        </w:rPr>
        <w:t xml:space="preserve"> inició un </w:t>
      </w:r>
      <w:r w:rsidR="00827314" w:rsidRPr="00BE0737">
        <w:rPr>
          <w:rFonts w:asciiTheme="majorHAnsi" w:eastAsia="Arial Unicode MS" w:hAnsiTheme="majorHAnsi" w:cs="Times New Roman"/>
          <w:color w:val="auto"/>
          <w:sz w:val="20"/>
          <w:szCs w:val="20"/>
          <w:lang w:val="es-ES" w:eastAsia="en-US"/>
        </w:rPr>
        <w:t>proceso de amparo</w:t>
      </w:r>
      <w:r w:rsidR="00CA4228" w:rsidRPr="00BE0737">
        <w:rPr>
          <w:rFonts w:asciiTheme="majorHAnsi" w:eastAsia="Arial Unicode MS" w:hAnsiTheme="majorHAnsi" w:cs="Times New Roman"/>
          <w:color w:val="auto"/>
          <w:sz w:val="20"/>
          <w:szCs w:val="20"/>
          <w:lang w:val="es-ES" w:eastAsia="en-US"/>
        </w:rPr>
        <w:t>;</w:t>
      </w:r>
      <w:r w:rsidRPr="00BE0737">
        <w:rPr>
          <w:rFonts w:asciiTheme="majorHAnsi" w:eastAsia="Arial Unicode MS" w:hAnsiTheme="majorHAnsi" w:cs="Times New Roman"/>
          <w:color w:val="auto"/>
          <w:sz w:val="20"/>
          <w:szCs w:val="20"/>
          <w:lang w:val="es-ES" w:eastAsia="en-US"/>
        </w:rPr>
        <w:t xml:space="preserve"> y tras una decisión desfavorable por parte de </w:t>
      </w:r>
      <w:r w:rsidR="00827314" w:rsidRPr="00BE0737">
        <w:rPr>
          <w:rFonts w:asciiTheme="majorHAnsi" w:eastAsia="Arial Unicode MS" w:hAnsiTheme="majorHAnsi" w:cs="Times New Roman"/>
          <w:color w:val="auto"/>
          <w:sz w:val="20"/>
          <w:szCs w:val="20"/>
          <w:lang w:val="es-ES" w:eastAsia="en-US"/>
        </w:rPr>
        <w:t xml:space="preserve">la </w:t>
      </w:r>
      <w:r w:rsidR="00827314" w:rsidRPr="00BE0737">
        <w:rPr>
          <w:rFonts w:asciiTheme="majorHAnsi" w:hAnsiTheme="majorHAnsi"/>
          <w:sz w:val="20"/>
          <w:szCs w:val="20"/>
          <w:lang w:val="es-ES"/>
        </w:rPr>
        <w:t>Cámara Nacional de Apelaciones en lo Contencioso Administrativo Federal</w:t>
      </w:r>
      <w:r w:rsidRPr="00BE0737">
        <w:rPr>
          <w:rFonts w:asciiTheme="majorHAnsi" w:eastAsia="Arial Unicode MS" w:hAnsiTheme="majorHAnsi" w:cs="Times New Roman"/>
          <w:color w:val="auto"/>
          <w:sz w:val="20"/>
          <w:szCs w:val="20"/>
          <w:lang w:val="es-ES" w:eastAsia="en-US"/>
        </w:rPr>
        <w:t>, interpuso un recurso de queja y otro de reposición</w:t>
      </w:r>
      <w:r w:rsidR="00E64D14" w:rsidRPr="00BE0737">
        <w:rPr>
          <w:rFonts w:asciiTheme="majorHAnsi" w:eastAsia="Arial Unicode MS" w:hAnsiTheme="majorHAnsi" w:cs="Times New Roman"/>
          <w:color w:val="auto"/>
          <w:sz w:val="20"/>
          <w:szCs w:val="20"/>
          <w:lang w:val="es-ES" w:eastAsia="en-US"/>
        </w:rPr>
        <w:t>, pero la Corte Suprema también los desestimó.</w:t>
      </w:r>
      <w:r w:rsidR="004649FD" w:rsidRPr="00BE0737">
        <w:rPr>
          <w:rFonts w:asciiTheme="majorHAnsi" w:eastAsia="Arial Unicode MS" w:hAnsiTheme="majorHAnsi" w:cs="Times New Roman"/>
          <w:color w:val="auto"/>
          <w:sz w:val="20"/>
          <w:szCs w:val="20"/>
          <w:lang w:val="es-ES" w:eastAsia="en-US"/>
        </w:rPr>
        <w:t xml:space="preserve"> La última decisión se emitió el </w:t>
      </w:r>
      <w:r w:rsidR="004649FD" w:rsidRPr="00BE0737">
        <w:rPr>
          <w:rFonts w:asciiTheme="majorHAnsi" w:hAnsiTheme="majorHAnsi"/>
          <w:sz w:val="20"/>
          <w:szCs w:val="20"/>
          <w:lang w:val="es-ES"/>
        </w:rPr>
        <w:t>7 de abril de 2015.</w:t>
      </w:r>
    </w:p>
    <w:p w14:paraId="73860AA6" w14:textId="17A8A703" w:rsidR="00EA7E1D" w:rsidRPr="00EF3D84" w:rsidRDefault="00867C39" w:rsidP="00EF3D84">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hAnsiTheme="majorHAnsi"/>
          <w:sz w:val="20"/>
          <w:szCs w:val="20"/>
          <w:lang w:val="es-ES"/>
        </w:rPr>
        <w:t xml:space="preserve">En este escenario, el Estado </w:t>
      </w:r>
      <w:r w:rsidR="00EA7E1D" w:rsidRPr="00BE0737">
        <w:rPr>
          <w:rFonts w:asciiTheme="majorHAnsi" w:hAnsiTheme="majorHAnsi"/>
          <w:sz w:val="20"/>
          <w:szCs w:val="20"/>
          <w:lang w:val="es-ES"/>
        </w:rPr>
        <w:t xml:space="preserve">plantea que la presunta víctima no agotó los recursos de la jurisdicción interna correctamente, pues su recurso extraordinario federal y de queja no cumplieron con los requisitos procesales exigidos por la legislación interna. Asimismo, sostiene que </w:t>
      </w:r>
      <w:r w:rsidR="00E64D14" w:rsidRPr="00BE0737">
        <w:rPr>
          <w:rFonts w:asciiTheme="majorHAnsi" w:hAnsiTheme="majorHAnsi"/>
          <w:sz w:val="20"/>
          <w:szCs w:val="20"/>
          <w:lang w:val="es-ES"/>
        </w:rPr>
        <w:t>la petición es extemporánea. A su criterio, el plazo de seis meses previsto en el artículo 46.1.b) de la Convención debe contarse a partir de la resolución del recurso de queja, dado que la vía de reposición era improcedente por definición</w:t>
      </w:r>
      <w:r w:rsidR="00160790" w:rsidRPr="00BE0737">
        <w:rPr>
          <w:rFonts w:asciiTheme="majorHAnsi" w:hAnsiTheme="majorHAnsi"/>
          <w:sz w:val="20"/>
          <w:szCs w:val="20"/>
          <w:lang w:val="es-ES"/>
        </w:rPr>
        <w:t>,</w:t>
      </w:r>
      <w:r w:rsidR="00E64D14" w:rsidRPr="00BE0737">
        <w:rPr>
          <w:rFonts w:asciiTheme="majorHAnsi" w:hAnsiTheme="majorHAnsi"/>
          <w:sz w:val="20"/>
          <w:szCs w:val="20"/>
          <w:lang w:val="es-ES"/>
        </w:rPr>
        <w:t xml:space="preserve"> y por ende, no configuraba un supuesto atendible de continuidad procesal. </w:t>
      </w:r>
      <w:r w:rsidR="004649FD" w:rsidRPr="00BE0737">
        <w:rPr>
          <w:rFonts w:asciiTheme="majorHAnsi" w:hAnsiTheme="majorHAnsi"/>
          <w:sz w:val="20"/>
          <w:szCs w:val="20"/>
          <w:lang w:val="es-ES"/>
        </w:rPr>
        <w:t xml:space="preserve">Adicionalmente, </w:t>
      </w:r>
    </w:p>
    <w:p w14:paraId="5ED0DCD1" w14:textId="05D46CBA" w:rsidR="001534CB" w:rsidRPr="00EF3D84" w:rsidRDefault="00867C39" w:rsidP="00EF3D84">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hAnsiTheme="majorHAnsi"/>
          <w:sz w:val="20"/>
          <w:szCs w:val="20"/>
          <w:lang w:val="es-ES"/>
        </w:rPr>
        <w:t xml:space="preserve">A pesar de lo expuesto por Argentina, la Comisión advierte que el Estado no aporta información o argumentos más exhaustivos que permitan corroborar que, efectivamente, </w:t>
      </w:r>
      <w:r w:rsidR="00CF05CE" w:rsidRPr="00BE0737">
        <w:rPr>
          <w:rFonts w:asciiTheme="majorHAnsi" w:hAnsiTheme="majorHAnsi"/>
          <w:sz w:val="20"/>
          <w:szCs w:val="20"/>
          <w:lang w:val="es-ES"/>
        </w:rPr>
        <w:t>haya existido un uso indebido de la jurisdicción interna. En relación con el recurso extraordinario federal, aprecia que la Cámara Nacional de Apelaciones en lo Contencioso Administrativo Federal lo rechazó por cuestiones sustantiv</w:t>
      </w:r>
      <w:r w:rsidR="002526EF" w:rsidRPr="00BE0737">
        <w:rPr>
          <w:rFonts w:asciiTheme="majorHAnsi" w:hAnsiTheme="majorHAnsi"/>
          <w:sz w:val="20"/>
          <w:szCs w:val="20"/>
          <w:lang w:val="es-ES"/>
        </w:rPr>
        <w:t>a</w:t>
      </w:r>
      <w:r w:rsidR="00CF05CE" w:rsidRPr="00BE0737">
        <w:rPr>
          <w:rFonts w:asciiTheme="majorHAnsi" w:hAnsiTheme="majorHAnsi"/>
          <w:sz w:val="20"/>
          <w:szCs w:val="20"/>
          <w:lang w:val="es-ES"/>
        </w:rPr>
        <w:t>s, reiterando los argumentos empleados por las instancias previas.</w:t>
      </w:r>
    </w:p>
    <w:p w14:paraId="079BDCFB" w14:textId="392B7DDC" w:rsidR="00CF05CE" w:rsidRPr="00EF3D84" w:rsidRDefault="002526EF" w:rsidP="00EF3D84">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eastAsia="Arial Unicode MS" w:hAnsiTheme="majorHAnsi" w:cs="Times New Roman"/>
          <w:color w:val="auto"/>
          <w:sz w:val="20"/>
          <w:szCs w:val="20"/>
          <w:lang w:val="es-ES" w:eastAsia="en-US"/>
        </w:rPr>
        <w:t>En cuanto al recuro de queja, la Comisión aprecia que la Corte Suprema de Justicia lo desestimó por un formalismo referido al número de páginas</w:t>
      </w:r>
      <w:r w:rsidR="00660693" w:rsidRPr="00BE0737">
        <w:rPr>
          <w:rFonts w:asciiTheme="majorHAnsi" w:eastAsia="Arial Unicode MS" w:hAnsiTheme="majorHAnsi" w:cs="Times New Roman"/>
          <w:color w:val="auto"/>
          <w:sz w:val="20"/>
          <w:szCs w:val="20"/>
          <w:lang w:val="es-ES" w:eastAsia="en-US"/>
        </w:rPr>
        <w:t xml:space="preserve"> del escrito y la cantidad de copias.</w:t>
      </w:r>
      <w:r w:rsidR="00000DEA" w:rsidRPr="00BE0737">
        <w:rPr>
          <w:rFonts w:asciiTheme="majorHAnsi" w:eastAsia="Arial Unicode MS" w:hAnsiTheme="majorHAnsi" w:cs="Times New Roman"/>
          <w:color w:val="auto"/>
          <w:sz w:val="20"/>
          <w:szCs w:val="20"/>
          <w:lang w:val="es-ES" w:eastAsia="en-US"/>
        </w:rPr>
        <w:t xml:space="preserve"> La CIDH ha establecido anteriormente que “</w:t>
      </w:r>
      <w:r w:rsidR="00000DEA" w:rsidRPr="00BE0737">
        <w:rPr>
          <w:rFonts w:asciiTheme="majorHAnsi" w:eastAsia="Arial Unicode MS" w:hAnsiTheme="majorHAnsi" w:cs="Times New Roman"/>
          <w:i/>
          <w:iCs/>
          <w:color w:val="auto"/>
          <w:sz w:val="20"/>
          <w:szCs w:val="20"/>
          <w:lang w:val="es-ES" w:eastAsia="en-US"/>
        </w:rPr>
        <w:t>no puede considerar que el peticionario ha cumplido debidamente con el requisito del agotamiento previo de los recursos internos si los mismos han sido rechazados con fundamentos procesales razonables y no arbitrarios</w:t>
      </w:r>
      <w:r w:rsidR="00000DEA" w:rsidRPr="00BE0737">
        <w:rPr>
          <w:rFonts w:asciiTheme="majorHAnsi" w:eastAsia="Arial Unicode MS" w:hAnsiTheme="majorHAnsi" w:cs="Times New Roman"/>
          <w:color w:val="auto"/>
          <w:sz w:val="20"/>
          <w:szCs w:val="20"/>
          <w:lang w:val="es-ES" w:eastAsia="en-US"/>
        </w:rPr>
        <w:t>”</w:t>
      </w:r>
      <w:r w:rsidR="001D4CBE" w:rsidRPr="00BE0737">
        <w:rPr>
          <w:rStyle w:val="FootnoteReference"/>
          <w:rFonts w:asciiTheme="majorHAnsi" w:eastAsia="Arial Unicode MS" w:hAnsiTheme="majorHAnsi" w:cs="Times New Roman"/>
          <w:color w:val="auto"/>
          <w:sz w:val="20"/>
          <w:szCs w:val="20"/>
          <w:lang w:val="es-ES" w:eastAsia="en-US"/>
        </w:rPr>
        <w:footnoteReference w:id="6"/>
      </w:r>
      <w:r w:rsidR="00000DEA" w:rsidRPr="00BE0737">
        <w:rPr>
          <w:rFonts w:asciiTheme="majorHAnsi" w:eastAsia="Arial Unicode MS" w:hAnsiTheme="majorHAnsi" w:cs="Times New Roman"/>
          <w:color w:val="auto"/>
          <w:sz w:val="20"/>
          <w:szCs w:val="20"/>
          <w:lang w:val="es-ES" w:eastAsia="en-US"/>
        </w:rPr>
        <w:t>. En el presente asunto, la Comisión nota que la información disponible sobre el rechazo de los últimos recursos no resulta suficiente para desacreditar la interposición del recurso de queja como una vía válidamente agotados. Coherente con su</w:t>
      </w:r>
      <w:r w:rsidR="00CE1930" w:rsidRPr="00BE0737">
        <w:rPr>
          <w:rFonts w:asciiTheme="majorHAnsi" w:eastAsia="Arial Unicode MS" w:hAnsiTheme="majorHAnsi" w:cs="Times New Roman"/>
          <w:color w:val="auto"/>
          <w:sz w:val="20"/>
          <w:szCs w:val="20"/>
          <w:lang w:val="es-ES" w:eastAsia="en-US"/>
        </w:rPr>
        <w:t>s precedentes</w:t>
      </w:r>
      <w:r w:rsidR="00000DEA" w:rsidRPr="00BE0737">
        <w:rPr>
          <w:rFonts w:asciiTheme="majorHAnsi" w:eastAsia="Arial Unicode MS" w:hAnsiTheme="majorHAnsi" w:cs="Times New Roman"/>
          <w:color w:val="auto"/>
          <w:sz w:val="20"/>
          <w:szCs w:val="20"/>
          <w:lang w:val="es-ES" w:eastAsia="en-US"/>
        </w:rPr>
        <w:t xml:space="preserve"> en asuntos similares, la CIDH considera que</w:t>
      </w:r>
      <w:r w:rsidR="00CE1930" w:rsidRPr="00BE0737">
        <w:rPr>
          <w:rFonts w:asciiTheme="majorHAnsi" w:eastAsia="Arial Unicode MS" w:hAnsiTheme="majorHAnsi" w:cs="Times New Roman"/>
          <w:color w:val="auto"/>
          <w:sz w:val="20"/>
          <w:szCs w:val="20"/>
          <w:lang w:val="es-ES" w:eastAsia="en-US"/>
        </w:rPr>
        <w:t xml:space="preserve"> </w:t>
      </w:r>
      <w:r w:rsidR="00CE1930" w:rsidRPr="00BE0737">
        <w:rPr>
          <w:rFonts w:asciiTheme="majorHAnsi" w:hAnsiTheme="majorHAnsi"/>
          <w:sz w:val="20"/>
          <w:szCs w:val="20"/>
          <w:lang w:val="es-ES"/>
        </w:rPr>
        <w:t>considera que la relación entre los últimos recursos y los requisitos formales de la Acordada No. 4/2007 podrá ser evaluada en la etapa de fondo</w:t>
      </w:r>
      <w:r w:rsidR="00383B7C" w:rsidRPr="00BE0737">
        <w:rPr>
          <w:rFonts w:asciiTheme="majorHAnsi" w:hAnsiTheme="majorHAnsi"/>
          <w:sz w:val="20"/>
          <w:szCs w:val="20"/>
          <w:lang w:val="es-ES"/>
        </w:rPr>
        <w:t xml:space="preserve"> para determinar si es coherente con las normas de la Convención Americana</w:t>
      </w:r>
      <w:r w:rsidR="00E072C3" w:rsidRPr="00BE0737">
        <w:rPr>
          <w:rStyle w:val="FootnoteReference"/>
          <w:rFonts w:asciiTheme="majorHAnsi" w:hAnsiTheme="majorHAnsi"/>
          <w:sz w:val="20"/>
          <w:szCs w:val="20"/>
          <w:lang w:val="es-ES"/>
        </w:rPr>
        <w:footnoteReference w:id="7"/>
      </w:r>
      <w:r w:rsidR="00383B7C" w:rsidRPr="00BE0737">
        <w:rPr>
          <w:rFonts w:asciiTheme="majorHAnsi" w:hAnsiTheme="majorHAnsi"/>
          <w:sz w:val="20"/>
          <w:szCs w:val="20"/>
          <w:lang w:val="es-ES"/>
        </w:rPr>
        <w:t xml:space="preserve">. </w:t>
      </w:r>
    </w:p>
    <w:p w14:paraId="050A02A4" w14:textId="3AD6A41B" w:rsidR="001D4CBE" w:rsidRPr="00EF3D84" w:rsidRDefault="00383B7C" w:rsidP="00EF3D84">
      <w:pPr>
        <w:pStyle w:val="ListParagraph"/>
        <w:numPr>
          <w:ilvl w:val="0"/>
          <w:numId w:val="103"/>
        </w:numPr>
        <w:spacing w:before="240" w:after="240"/>
        <w:jc w:val="both"/>
        <w:rPr>
          <w:rFonts w:asciiTheme="majorHAnsi" w:hAnsiTheme="majorHAnsi"/>
          <w:sz w:val="20"/>
          <w:szCs w:val="20"/>
          <w:lang w:val="es-ES"/>
        </w:rPr>
      </w:pPr>
      <w:r w:rsidRPr="00BE0737">
        <w:rPr>
          <w:rFonts w:asciiTheme="majorHAnsi" w:eastAsia="Arial Unicode MS" w:hAnsiTheme="majorHAnsi" w:cs="Times New Roman"/>
          <w:color w:val="auto"/>
          <w:sz w:val="20"/>
          <w:szCs w:val="20"/>
          <w:lang w:val="es-ES" w:eastAsia="en-US"/>
        </w:rPr>
        <w:t>Dado el escenario descrito previamente, y de acuerdo con sus decisiones previas</w:t>
      </w:r>
      <w:r w:rsidR="00CF05CE" w:rsidRPr="00BE0737">
        <w:rPr>
          <w:rFonts w:asciiTheme="majorHAnsi" w:eastAsia="Arial Unicode MS" w:hAnsiTheme="majorHAnsi" w:cs="Times New Roman"/>
          <w:color w:val="auto"/>
          <w:sz w:val="20"/>
          <w:szCs w:val="20"/>
          <w:lang w:val="es-ES" w:eastAsia="en-US"/>
        </w:rPr>
        <w:t xml:space="preserve">, </w:t>
      </w:r>
      <w:r w:rsidR="00867C39" w:rsidRPr="00BE0737">
        <w:rPr>
          <w:rFonts w:asciiTheme="majorHAnsi" w:hAnsiTheme="majorHAnsi"/>
          <w:sz w:val="20"/>
          <w:szCs w:val="20"/>
          <w:lang w:val="es-ES"/>
        </w:rPr>
        <w:t>la Comisión</w:t>
      </w:r>
      <w:r w:rsidRPr="00BE0737">
        <w:rPr>
          <w:rFonts w:asciiTheme="majorHAnsi" w:hAnsiTheme="majorHAnsi"/>
          <w:sz w:val="20"/>
          <w:szCs w:val="20"/>
          <w:lang w:val="es-ES"/>
        </w:rPr>
        <w:t xml:space="preserve"> también</w:t>
      </w:r>
      <w:r w:rsidR="00867C39" w:rsidRPr="00BE0737">
        <w:rPr>
          <w:rFonts w:asciiTheme="majorHAnsi" w:hAnsiTheme="majorHAnsi"/>
          <w:sz w:val="20"/>
          <w:szCs w:val="20"/>
          <w:lang w:val="es-ES"/>
        </w:rPr>
        <w:t xml:space="preserve"> considera que la interposición de un recurso de reposición para cuestionar la desestimación del recurso de queja, por meras cuestiones formales relativas al número de páginas del escrito, representó el último intento razonable de acceder a la justicia y obtener un pronunciamiento definitivo que analice </w:t>
      </w:r>
      <w:r w:rsidR="00BD00A2" w:rsidRPr="00BE0737">
        <w:rPr>
          <w:rFonts w:asciiTheme="majorHAnsi" w:hAnsiTheme="majorHAnsi"/>
          <w:sz w:val="20"/>
          <w:szCs w:val="20"/>
          <w:lang w:val="es-ES"/>
        </w:rPr>
        <w:t>la sentencia recurrida</w:t>
      </w:r>
      <w:r w:rsidR="00867C39" w:rsidRPr="00BE0737">
        <w:rPr>
          <w:rStyle w:val="FootnoteReference"/>
          <w:rFonts w:asciiTheme="majorHAnsi" w:eastAsia="Arial Unicode MS" w:hAnsiTheme="majorHAnsi" w:cs="Times New Roman"/>
          <w:color w:val="auto"/>
          <w:sz w:val="20"/>
          <w:szCs w:val="20"/>
          <w:lang w:val="es-ES" w:eastAsia="en-US"/>
        </w:rPr>
        <w:footnoteReference w:id="8"/>
      </w:r>
      <w:r w:rsidR="00867C39" w:rsidRPr="00BE0737">
        <w:rPr>
          <w:rFonts w:asciiTheme="majorHAnsi" w:hAnsiTheme="majorHAnsi"/>
          <w:sz w:val="20"/>
          <w:szCs w:val="20"/>
          <w:lang w:val="es-ES"/>
        </w:rPr>
        <w:t>.</w:t>
      </w:r>
    </w:p>
    <w:p w14:paraId="4CAFCD66" w14:textId="1C979154" w:rsidR="00867C39" w:rsidRPr="00EF3D84" w:rsidRDefault="001D4CBE" w:rsidP="00EF3D84">
      <w:pPr>
        <w:pStyle w:val="ListParagraph"/>
        <w:numPr>
          <w:ilvl w:val="0"/>
          <w:numId w:val="103"/>
        </w:numPr>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Por las razones expuestas, la Comisión considera que el presente asunto cumple el requisito previsto en el artículo 46.1.a) de la Convención Americana. Asimismo, dado que la petición se presentó el 6 de octubre de 2015, y que la sentencia de la Corte Suprema de Justicia que rechazó el recurso de reposición se </w:t>
      </w:r>
      <w:r w:rsidRPr="00BE0737">
        <w:rPr>
          <w:rFonts w:asciiTheme="majorHAnsi" w:hAnsiTheme="majorHAnsi"/>
          <w:sz w:val="20"/>
          <w:szCs w:val="20"/>
          <w:lang w:val="es-ES"/>
        </w:rPr>
        <w:lastRenderedPageBreak/>
        <w:t>emitió el 7 de abril de 2015</w:t>
      </w:r>
      <w:r w:rsidR="00723B7A" w:rsidRPr="00BE0737">
        <w:rPr>
          <w:rFonts w:asciiTheme="majorHAnsi" w:hAnsiTheme="majorHAnsi"/>
          <w:sz w:val="20"/>
          <w:szCs w:val="20"/>
          <w:lang w:val="es-ES"/>
        </w:rPr>
        <w:t xml:space="preserve">, esta petición también satisface la regla de plazo contemplada en la disposición 46.1.b) del mismo tratado.  </w:t>
      </w:r>
    </w:p>
    <w:p w14:paraId="67FFE260" w14:textId="77777777" w:rsidR="0065113A" w:rsidRPr="00BE0737" w:rsidRDefault="0065113A" w:rsidP="00BE0737">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hAnsiTheme="majorHAnsi"/>
          <w:sz w:val="20"/>
          <w:szCs w:val="20"/>
          <w:lang w:val="es-ES"/>
        </w:rPr>
        <w:t>Por último,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BE0737">
        <w:rPr>
          <w:rFonts w:asciiTheme="majorHAnsi" w:hAnsiTheme="majorHAnsi"/>
          <w:sz w:val="20"/>
          <w:szCs w:val="20"/>
          <w:vertAlign w:val="superscript"/>
          <w:lang w:val="es-ES"/>
        </w:rPr>
        <w:footnoteReference w:id="9"/>
      </w:r>
      <w:r w:rsidRPr="00BE0737">
        <w:rPr>
          <w:rFonts w:asciiTheme="majorHAnsi" w:hAnsiTheme="majorHAnsi"/>
          <w:sz w:val="20"/>
          <w:szCs w:val="20"/>
          <w:lang w:val="es-ES"/>
        </w:rPr>
        <w:t>. Asimismo, la CIDH en su Informe de Admisibilidad No. 79/08</w:t>
      </w:r>
      <w:r w:rsidRPr="00BE0737">
        <w:rPr>
          <w:rStyle w:val="FootnoteReference"/>
          <w:rFonts w:asciiTheme="majorHAnsi" w:hAnsiTheme="majorHAnsi"/>
          <w:sz w:val="20"/>
          <w:szCs w:val="20"/>
          <w:lang w:val="es-ES"/>
        </w:rPr>
        <w:footnoteReference w:id="10"/>
      </w:r>
      <w:r w:rsidRPr="00BE0737">
        <w:rPr>
          <w:rFonts w:asciiTheme="majorHAnsi" w:hAnsiTheme="majorHAnsi"/>
          <w:sz w:val="20"/>
          <w:szCs w:val="20"/>
          <w:lang w:val="es-ES"/>
        </w:rPr>
        <w:t>, aclaró que:</w:t>
      </w:r>
    </w:p>
    <w:p w14:paraId="3206E636" w14:textId="492E20AE" w:rsidR="0065113A" w:rsidRPr="00EF3D84" w:rsidRDefault="00B13230" w:rsidP="00B13230">
      <w:pPr>
        <w:spacing w:before="240" w:after="240"/>
        <w:ind w:left="720" w:right="720"/>
        <w:jc w:val="both"/>
        <w:rPr>
          <w:rFonts w:asciiTheme="majorHAnsi" w:hAnsiTheme="majorHAnsi"/>
          <w:sz w:val="18"/>
          <w:szCs w:val="18"/>
          <w:lang w:val="es-ES"/>
        </w:rPr>
      </w:pPr>
      <w:r w:rsidRPr="00B13230">
        <w:rPr>
          <w:rFonts w:asciiTheme="majorHAnsi" w:hAnsiTheme="majorHAnsi"/>
          <w:sz w:val="18"/>
          <w:szCs w:val="18"/>
          <w:lang w:val="es-ES"/>
        </w:rPr>
        <w:t>[</w:t>
      </w:r>
      <w:r>
        <w:rPr>
          <w:rFonts w:asciiTheme="majorHAnsi" w:hAnsiTheme="majorHAnsi"/>
          <w:sz w:val="18"/>
          <w:szCs w:val="18"/>
          <w:lang w:val="es-ES"/>
        </w:rPr>
        <w:t>E</w:t>
      </w:r>
      <w:r w:rsidRPr="00B13230">
        <w:rPr>
          <w:rFonts w:asciiTheme="majorHAnsi" w:hAnsiTheme="majorHAnsi"/>
          <w:sz w:val="18"/>
          <w:szCs w:val="18"/>
          <w:lang w:val="es-ES"/>
        </w:rPr>
        <w:t>]</w:t>
      </w:r>
      <w:r w:rsidR="0065113A" w:rsidRPr="00EF3D84">
        <w:rPr>
          <w:rFonts w:asciiTheme="majorHAnsi" w:hAnsiTheme="majorHAnsi"/>
          <w:sz w:val="18"/>
          <w:szCs w:val="18"/>
          <w:lang w:val="es-ES"/>
        </w:rPr>
        <w:t>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0065113A" w:rsidRPr="00EF3D84">
        <w:rPr>
          <w:rFonts w:asciiTheme="majorHAnsi" w:hAnsiTheme="majorHAnsi"/>
          <w:i/>
          <w:iCs/>
          <w:sz w:val="18"/>
          <w:szCs w:val="18"/>
          <w:lang w:val="es-ES"/>
        </w:rPr>
        <w:t>en la tramitación de casos individuales ante la Comisión, no existe el concepto de caducidad de instancia como una medida ipso jure, por el mero transcurso del tiempo</w:t>
      </w:r>
      <w:r w:rsidR="0065113A" w:rsidRPr="00EF3D84">
        <w:rPr>
          <w:rFonts w:asciiTheme="majorHAnsi" w:hAnsiTheme="majorHAnsi"/>
          <w:sz w:val="18"/>
          <w:szCs w:val="18"/>
          <w:lang w:val="es-ES"/>
        </w:rPr>
        <w:t xml:space="preserve">” </w:t>
      </w:r>
    </w:p>
    <w:p w14:paraId="4DBA7305" w14:textId="77777777" w:rsidR="0065113A" w:rsidRPr="00BE0737" w:rsidRDefault="0065113A" w:rsidP="00BE0737">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hAnsiTheme="majorHAnsi"/>
          <w:sz w:val="20"/>
          <w:szCs w:val="20"/>
          <w:lang w:val="es-ES"/>
        </w:rPr>
        <w:t>Asimismo, en refuerzo de lo anterior, la Corte Interamericana de Derechos Humanos ha establecido precisamente respecto a este punto que:</w:t>
      </w:r>
    </w:p>
    <w:p w14:paraId="04DB52A6" w14:textId="77777777" w:rsidR="0065113A" w:rsidRPr="00EF3D84" w:rsidRDefault="0065113A" w:rsidP="00EF3D84">
      <w:pPr>
        <w:suppressAutoHyphens/>
        <w:spacing w:before="240" w:after="240"/>
        <w:ind w:left="720" w:right="720"/>
        <w:jc w:val="both"/>
        <w:rPr>
          <w:rFonts w:asciiTheme="majorHAnsi" w:hAnsiTheme="majorHAnsi"/>
          <w:sz w:val="18"/>
          <w:szCs w:val="18"/>
          <w:lang w:val="es-ES"/>
        </w:rPr>
      </w:pPr>
      <w:r w:rsidRPr="00EF3D84">
        <w:rPr>
          <w:rFonts w:asciiTheme="majorHAnsi" w:hAnsiTheme="majorHAnsi"/>
          <w:sz w:val="18"/>
          <w:szCs w:val="18"/>
          <w:lang w:val="es-E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w:t>
      </w:r>
      <w:r w:rsidRPr="00EF3D84">
        <w:rPr>
          <w:rStyle w:val="FootnoteReference"/>
          <w:rFonts w:asciiTheme="majorHAnsi" w:hAnsiTheme="majorHAnsi"/>
          <w:sz w:val="18"/>
          <w:szCs w:val="18"/>
          <w:lang w:val="es-ES"/>
        </w:rPr>
        <w:footnoteReference w:id="11"/>
      </w:r>
      <w:r w:rsidRPr="00EF3D84">
        <w:rPr>
          <w:rFonts w:asciiTheme="majorHAnsi" w:hAnsiTheme="majorHAnsi"/>
          <w:sz w:val="18"/>
          <w:szCs w:val="18"/>
          <w:lang w:val="es-ES"/>
        </w:rPr>
        <w:t>.</w:t>
      </w:r>
    </w:p>
    <w:p w14:paraId="6CFE56E2" w14:textId="77777777" w:rsidR="0065113A" w:rsidRPr="00BE0737" w:rsidRDefault="0065113A" w:rsidP="00BE0737">
      <w:pPr>
        <w:pStyle w:val="ListParagraph"/>
        <w:numPr>
          <w:ilvl w:val="0"/>
          <w:numId w:val="103"/>
        </w:numPr>
        <w:spacing w:before="240" w:after="240"/>
        <w:jc w:val="both"/>
        <w:rPr>
          <w:rFonts w:asciiTheme="majorHAnsi" w:eastAsia="Arial Unicode MS" w:hAnsiTheme="majorHAnsi" w:cs="Times New Roman"/>
          <w:color w:val="auto"/>
          <w:sz w:val="20"/>
          <w:szCs w:val="20"/>
          <w:lang w:val="es-ES" w:eastAsia="en-US"/>
        </w:rPr>
      </w:pPr>
      <w:r w:rsidRPr="00BE0737">
        <w:rPr>
          <w:rFonts w:asciiTheme="majorHAnsi" w:hAnsiTheme="majorHAnsi"/>
          <w:sz w:val="20"/>
          <w:szCs w:val="20"/>
          <w:lang w:val="es-ES"/>
        </w:rPr>
        <w:t>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w:t>
      </w:r>
    </w:p>
    <w:p w14:paraId="4FFBE378" w14:textId="64322DE9" w:rsidR="003239B8" w:rsidRPr="00BE0737" w:rsidRDefault="003239B8" w:rsidP="00BE0737">
      <w:pPr>
        <w:pStyle w:val="ListParagraph"/>
        <w:spacing w:before="240" w:after="240"/>
        <w:ind w:left="0" w:firstLine="720"/>
        <w:jc w:val="both"/>
        <w:rPr>
          <w:rFonts w:asciiTheme="majorHAnsi" w:hAnsiTheme="majorHAnsi"/>
          <w:b/>
          <w:sz w:val="20"/>
          <w:szCs w:val="20"/>
          <w:lang w:val="es-ES"/>
        </w:rPr>
      </w:pPr>
      <w:r w:rsidRPr="00BE0737">
        <w:rPr>
          <w:rFonts w:asciiTheme="majorHAnsi" w:hAnsiTheme="majorHAnsi"/>
          <w:b/>
          <w:bCs/>
          <w:sz w:val="20"/>
          <w:szCs w:val="20"/>
          <w:lang w:val="es-ES"/>
        </w:rPr>
        <w:t>VII.</w:t>
      </w:r>
      <w:r w:rsidRPr="00BE0737">
        <w:rPr>
          <w:rFonts w:asciiTheme="majorHAnsi" w:hAnsiTheme="majorHAnsi"/>
          <w:b/>
          <w:bCs/>
          <w:sz w:val="20"/>
          <w:szCs w:val="20"/>
          <w:lang w:val="es-ES"/>
        </w:rPr>
        <w:tab/>
      </w:r>
      <w:r w:rsidR="004A6A54" w:rsidRPr="00BE0737">
        <w:rPr>
          <w:rFonts w:asciiTheme="majorHAnsi" w:hAnsiTheme="majorHAnsi"/>
          <w:b/>
          <w:bCs/>
          <w:sz w:val="20"/>
          <w:szCs w:val="20"/>
          <w:lang w:val="es-ES"/>
        </w:rPr>
        <w:t xml:space="preserve">ANÁLISIS DE </w:t>
      </w:r>
      <w:r w:rsidR="00C21FEF" w:rsidRPr="00BE0737">
        <w:rPr>
          <w:rFonts w:asciiTheme="majorHAnsi" w:hAnsiTheme="majorHAnsi"/>
          <w:b/>
          <w:bCs/>
          <w:sz w:val="20"/>
          <w:szCs w:val="20"/>
          <w:lang w:val="es-ES"/>
        </w:rPr>
        <w:t>CARACTERIZACIÓN DE LOS HECHOS ALEGADOS</w:t>
      </w:r>
    </w:p>
    <w:p w14:paraId="721557F4" w14:textId="1AED6ACC" w:rsidR="00647D7B" w:rsidRPr="00B13230" w:rsidRDefault="000B3D7A" w:rsidP="00B13230">
      <w:pPr>
        <w:pStyle w:val="ListParagraph"/>
        <w:numPr>
          <w:ilvl w:val="0"/>
          <w:numId w:val="103"/>
        </w:numPr>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BE0737">
        <w:rPr>
          <w:rFonts w:asciiTheme="majorHAnsi" w:hAnsiTheme="majorHAnsi"/>
          <w:i/>
          <w:iCs/>
          <w:sz w:val="20"/>
          <w:szCs w:val="20"/>
          <w:lang w:val="es-ES"/>
        </w:rPr>
        <w:t>prima facie</w:t>
      </w:r>
      <w:r w:rsidRPr="00BE0737">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vulneración de derechos. </w:t>
      </w:r>
    </w:p>
    <w:p w14:paraId="5FB69C10" w14:textId="3A490D3E" w:rsidR="0081249F" w:rsidRPr="00B13230" w:rsidRDefault="00C372A9" w:rsidP="00B13230">
      <w:pPr>
        <w:pStyle w:val="ListParagraph"/>
        <w:numPr>
          <w:ilvl w:val="0"/>
          <w:numId w:val="103"/>
        </w:numPr>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En el presente asunto, </w:t>
      </w:r>
      <w:r w:rsidR="002A0FBF" w:rsidRPr="00BE0737">
        <w:rPr>
          <w:rFonts w:asciiTheme="majorHAnsi" w:hAnsiTheme="majorHAnsi"/>
          <w:sz w:val="20"/>
          <w:szCs w:val="20"/>
          <w:lang w:val="es-ES"/>
        </w:rPr>
        <w:t>l</w:t>
      </w:r>
      <w:r w:rsidRPr="00BE0737">
        <w:rPr>
          <w:rFonts w:asciiTheme="majorHAnsi" w:hAnsiTheme="majorHAnsi"/>
          <w:sz w:val="20"/>
          <w:szCs w:val="20"/>
          <w:lang w:val="es-ES"/>
        </w:rPr>
        <w:t xml:space="preserve">a Comisión observa que la peticionaria plantea que pese a haber obtenido el primer lugar en el orden de mérito del Concurso N.º 185 convocado por el Consejo de la Magistratura de la Nación para cubrir diecisiete vacantes judiciales, </w:t>
      </w:r>
      <w:r w:rsidR="00381368" w:rsidRPr="00BE0737">
        <w:rPr>
          <w:rFonts w:asciiTheme="majorHAnsi" w:hAnsiTheme="majorHAnsi"/>
          <w:sz w:val="20"/>
          <w:szCs w:val="20"/>
          <w:lang w:val="es-ES"/>
        </w:rPr>
        <w:t>la señora Viganó</w:t>
      </w:r>
      <w:r w:rsidRPr="00BE0737">
        <w:rPr>
          <w:rFonts w:asciiTheme="majorHAnsi" w:hAnsiTheme="majorHAnsi"/>
          <w:sz w:val="20"/>
          <w:szCs w:val="20"/>
          <w:lang w:val="es-ES"/>
        </w:rPr>
        <w:t xml:space="preserve"> excluida de manera reiterada de las propuestas de designación efectuadas por el Poder Ejecutivo Nacional, sin justificación objetiva ni transparente. Alega que dicha exclusión se produjo en represalia indirecta por su vínculo matrimonial con un dirigente sindical opositor al gobierno argentino de entonces, lo que configuraría una discriminación política encubierta y una desviación de poder.</w:t>
      </w:r>
    </w:p>
    <w:p w14:paraId="5D660E8E" w14:textId="692C8B14" w:rsidR="00C372A9" w:rsidRPr="00B13230" w:rsidRDefault="0081249F" w:rsidP="00B13230">
      <w:pPr>
        <w:pStyle w:val="ListParagraph"/>
        <w:numPr>
          <w:ilvl w:val="0"/>
          <w:numId w:val="103"/>
        </w:numPr>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Al respecto, la Comisión recuerda que de acuerdo con la jurisprudencia de la Corte IDH, </w:t>
      </w:r>
      <w:r w:rsidR="002A0FBF" w:rsidRPr="00BE0737">
        <w:rPr>
          <w:rFonts w:asciiTheme="majorHAnsi" w:hAnsiTheme="majorHAnsi"/>
          <w:sz w:val="20"/>
          <w:szCs w:val="20"/>
          <w:lang w:val="es-ES"/>
        </w:rPr>
        <w:t xml:space="preserve">cuando el Estado ejerce una facultad legal con finalidad diferente a la establecida, persiguiendo un objetivo ulterior (político o discriminatorio), se configura desviación de poder, lo cual implica una vulneración del </w:t>
      </w:r>
      <w:r w:rsidR="002A0FBF" w:rsidRPr="00BE0737">
        <w:rPr>
          <w:rFonts w:asciiTheme="majorHAnsi" w:hAnsiTheme="majorHAnsi"/>
          <w:sz w:val="20"/>
          <w:szCs w:val="20"/>
          <w:lang w:val="es-ES"/>
        </w:rPr>
        <w:lastRenderedPageBreak/>
        <w:t>derecho a la igualdad, libertad de pensamiento y participación política</w:t>
      </w:r>
      <w:r w:rsidR="00B10BE6" w:rsidRPr="00BE0737">
        <w:rPr>
          <w:rStyle w:val="FootnoteReference"/>
          <w:rFonts w:asciiTheme="majorHAnsi" w:hAnsiTheme="majorHAnsi"/>
          <w:sz w:val="20"/>
          <w:szCs w:val="20"/>
          <w:lang w:val="es-ES"/>
        </w:rPr>
        <w:footnoteReference w:id="12"/>
      </w:r>
      <w:r w:rsidR="002A0FBF" w:rsidRPr="00BE0737">
        <w:rPr>
          <w:rFonts w:asciiTheme="majorHAnsi" w:hAnsiTheme="majorHAnsi"/>
          <w:sz w:val="20"/>
          <w:szCs w:val="20"/>
          <w:lang w:val="es-ES"/>
        </w:rPr>
        <w:t>.</w:t>
      </w:r>
      <w:r w:rsidR="00C372A9" w:rsidRPr="00BE0737">
        <w:rPr>
          <w:rFonts w:asciiTheme="majorHAnsi" w:hAnsiTheme="majorHAnsi"/>
          <w:sz w:val="20"/>
          <w:szCs w:val="20"/>
          <w:lang w:val="es-ES"/>
        </w:rPr>
        <w:t xml:space="preserve"> </w:t>
      </w:r>
      <w:r w:rsidR="002A0FBF" w:rsidRPr="00BE0737">
        <w:rPr>
          <w:rFonts w:asciiTheme="majorHAnsi" w:hAnsiTheme="majorHAnsi"/>
          <w:sz w:val="20"/>
          <w:szCs w:val="20"/>
          <w:lang w:val="es-ES"/>
        </w:rPr>
        <w:t>Con base en lo expuesto, a criterio de la CIDH</w:t>
      </w:r>
      <w:r w:rsidR="00C372A9" w:rsidRPr="00BE0737">
        <w:rPr>
          <w:rFonts w:asciiTheme="majorHAnsi" w:hAnsiTheme="majorHAnsi"/>
          <w:sz w:val="20"/>
          <w:szCs w:val="20"/>
          <w:lang w:val="es-ES"/>
        </w:rPr>
        <w:t xml:space="preserve">, </w:t>
      </w:r>
      <w:r w:rsidR="002A0FBF" w:rsidRPr="00BE0737">
        <w:rPr>
          <w:rFonts w:asciiTheme="majorHAnsi" w:hAnsiTheme="majorHAnsi"/>
          <w:sz w:val="20"/>
          <w:szCs w:val="20"/>
          <w:lang w:val="es-ES"/>
        </w:rPr>
        <w:t>los alegatos de la parte peticionaria de ser ciertos</w:t>
      </w:r>
      <w:r w:rsidR="00C372A9" w:rsidRPr="00BE0737">
        <w:rPr>
          <w:rFonts w:asciiTheme="majorHAnsi" w:hAnsiTheme="majorHAnsi"/>
          <w:sz w:val="20"/>
          <w:szCs w:val="20"/>
          <w:lang w:val="es-ES"/>
        </w:rPr>
        <w:t xml:space="preserve"> podrían caracterizar una violación del derecho de acceso en condiciones generales de igualdad a funciones públicas consagrado en el artículo 23.1.c</w:t>
      </w:r>
      <w:r w:rsidR="002E0DC0" w:rsidRPr="00BE0737">
        <w:rPr>
          <w:rFonts w:asciiTheme="majorHAnsi" w:hAnsiTheme="majorHAnsi"/>
          <w:sz w:val="20"/>
          <w:szCs w:val="20"/>
          <w:lang w:val="es-ES"/>
        </w:rPr>
        <w:t>)</w:t>
      </w:r>
      <w:r w:rsidR="00C372A9" w:rsidRPr="00BE0737">
        <w:rPr>
          <w:rFonts w:asciiTheme="majorHAnsi" w:hAnsiTheme="majorHAnsi"/>
          <w:sz w:val="20"/>
          <w:szCs w:val="20"/>
          <w:lang w:val="es-ES"/>
        </w:rPr>
        <w:t xml:space="preserve"> de la Convención Americana, </w:t>
      </w:r>
      <w:r w:rsidR="00783937" w:rsidRPr="00BE0737">
        <w:rPr>
          <w:rFonts w:asciiTheme="majorHAnsi" w:hAnsiTheme="majorHAnsi"/>
          <w:sz w:val="20"/>
          <w:szCs w:val="20"/>
          <w:lang w:val="es-ES"/>
        </w:rPr>
        <w:t>así como al artículo 24 del mismo instrumento</w:t>
      </w:r>
      <w:r w:rsidR="00C372A9" w:rsidRPr="00BE0737">
        <w:rPr>
          <w:rFonts w:asciiTheme="majorHAnsi" w:hAnsiTheme="majorHAnsi"/>
          <w:sz w:val="20"/>
          <w:szCs w:val="20"/>
          <w:lang w:val="es-ES"/>
        </w:rPr>
        <w:t>.</w:t>
      </w:r>
    </w:p>
    <w:p w14:paraId="0FE9A17C" w14:textId="6F3AE3BB" w:rsidR="00783937" w:rsidRPr="00BE0737" w:rsidRDefault="00163012" w:rsidP="00BE0737">
      <w:pPr>
        <w:pStyle w:val="ListParagraph"/>
        <w:numPr>
          <w:ilvl w:val="0"/>
          <w:numId w:val="103"/>
        </w:numPr>
        <w:spacing w:before="240" w:after="240"/>
        <w:jc w:val="both"/>
        <w:rPr>
          <w:rFonts w:asciiTheme="majorHAnsi" w:hAnsiTheme="majorHAnsi"/>
          <w:sz w:val="20"/>
          <w:szCs w:val="20"/>
          <w:lang w:val="es-ES"/>
        </w:rPr>
      </w:pPr>
      <w:r w:rsidRPr="00BE0737">
        <w:rPr>
          <w:rFonts w:asciiTheme="majorHAnsi" w:hAnsiTheme="majorHAnsi"/>
          <w:sz w:val="20"/>
          <w:szCs w:val="20"/>
          <w:lang w:val="es-ES"/>
        </w:rPr>
        <w:t>Adicionalmente</w:t>
      </w:r>
      <w:r w:rsidR="00C372A9" w:rsidRPr="00BE0737">
        <w:rPr>
          <w:rFonts w:asciiTheme="majorHAnsi" w:hAnsiTheme="majorHAnsi"/>
          <w:sz w:val="20"/>
          <w:szCs w:val="20"/>
          <w:lang w:val="es-ES"/>
        </w:rPr>
        <w:t xml:space="preserve">, la Comisión considera que los alegatos relativos a la falta de un recurso judicial efectivo que permitiera impugnar la exclusión alegada de manera sustantiva, así como la supuesta negativa de los tribunales internos a examinar el fondo del asunto, podrían caracterizar una posible vulneración de los derechos reconocidos en los artículos 8 y 25 de la Convención Americana. En particular, se alega que las autoridades judiciales rechazaron la acción de amparo con base en argumentos formales sobre la supuesta pérdida de objeto, sin analizar los indicios de discriminación ni ofrecer tutela adecuada frente a decisiones presuntamente arbitrarias en el marco de un procedimiento de designación pública. </w:t>
      </w:r>
    </w:p>
    <w:p w14:paraId="1B396F91" w14:textId="6912F093" w:rsidR="00C372A9" w:rsidRPr="00BE0737" w:rsidRDefault="00C05F0F" w:rsidP="00BE0737">
      <w:pPr>
        <w:pStyle w:val="ListParagraph"/>
        <w:numPr>
          <w:ilvl w:val="0"/>
          <w:numId w:val="103"/>
        </w:numP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Por las razone reseñadas previamente, la Comisión considera que los alegatos de los peticionarios ameritan un análisis de fondo, pues, de corroborarse lo afirmado en la petición, esto podrían configurar posibles violaciones a los artículos 8, 23, 24 y 25 de la Convención Americana, en relación con su artículo 1.1.</w:t>
      </w:r>
    </w:p>
    <w:p w14:paraId="0AE2BDD5" w14:textId="22330AFE" w:rsidR="008C5E2D" w:rsidRPr="00C40027" w:rsidRDefault="00647D7B" w:rsidP="00BE07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240" w:after="240"/>
        <w:contextualSpacing/>
        <w:jc w:val="both"/>
        <w:rPr>
          <w:rFonts w:asciiTheme="majorHAnsi" w:eastAsiaTheme="majorEastAsia" w:hAnsiTheme="majorHAnsi" w:cstheme="majorBidi"/>
          <w:sz w:val="20"/>
          <w:szCs w:val="20"/>
          <w:lang w:val="es-ES"/>
        </w:rPr>
      </w:pPr>
      <w:r w:rsidRPr="00BE0737">
        <w:rPr>
          <w:rFonts w:asciiTheme="majorHAnsi" w:hAnsiTheme="majorHAnsi"/>
          <w:sz w:val="20"/>
          <w:szCs w:val="20"/>
          <w:lang w:val="es-ES"/>
        </w:rPr>
        <w:t xml:space="preserve">Respecto al artículo 21 (derecho a la propiedad privada) de la Convención Americana, la Comisión considera que la parte peticionaria no aporta argumentos o información que permitan, </w:t>
      </w:r>
      <w:r w:rsidRPr="00BE0737">
        <w:rPr>
          <w:rFonts w:asciiTheme="majorHAnsi" w:hAnsiTheme="majorHAnsi"/>
          <w:i/>
          <w:iCs/>
          <w:sz w:val="20"/>
          <w:szCs w:val="20"/>
          <w:lang w:val="es-ES"/>
        </w:rPr>
        <w:t>prima facie</w:t>
      </w:r>
      <w:r w:rsidRPr="00BE0737">
        <w:rPr>
          <w:rFonts w:asciiTheme="majorHAnsi" w:hAnsiTheme="majorHAnsi"/>
          <w:sz w:val="20"/>
          <w:szCs w:val="20"/>
          <w:lang w:val="es-ES"/>
        </w:rPr>
        <w:t>, identificar que su posible vulneración le sea internacionalmente atribuible al Estado argentino.</w:t>
      </w:r>
    </w:p>
    <w:p w14:paraId="436A26ED" w14:textId="77777777" w:rsidR="00161BB5" w:rsidRDefault="00161BB5" w:rsidP="00161BB5">
      <w:pPr>
        <w:pStyle w:val="ListParagraph"/>
        <w:ind w:left="0" w:firstLine="720"/>
        <w:jc w:val="both"/>
        <w:rPr>
          <w:rFonts w:asciiTheme="majorHAnsi" w:hAnsiTheme="majorHAnsi"/>
          <w:b/>
          <w:bCs/>
          <w:sz w:val="20"/>
          <w:szCs w:val="20"/>
          <w:lang w:val="es-ES"/>
        </w:rPr>
      </w:pPr>
    </w:p>
    <w:p w14:paraId="29BB41F5" w14:textId="323F59F0" w:rsidR="003239B8" w:rsidRPr="00BE0737" w:rsidRDefault="003239B8" w:rsidP="00161BB5">
      <w:pPr>
        <w:pStyle w:val="ListParagraph"/>
        <w:ind w:left="0" w:firstLine="720"/>
        <w:jc w:val="both"/>
        <w:rPr>
          <w:rFonts w:asciiTheme="majorHAnsi" w:hAnsiTheme="majorHAnsi"/>
          <w:b/>
          <w:bCs/>
          <w:sz w:val="20"/>
          <w:szCs w:val="20"/>
          <w:lang w:val="es-ES"/>
        </w:rPr>
      </w:pPr>
      <w:r w:rsidRPr="00BE0737">
        <w:rPr>
          <w:rFonts w:asciiTheme="majorHAnsi" w:hAnsiTheme="majorHAnsi"/>
          <w:b/>
          <w:bCs/>
          <w:sz w:val="20"/>
          <w:szCs w:val="20"/>
          <w:lang w:val="es-ES"/>
        </w:rPr>
        <w:t xml:space="preserve">VIII. </w:t>
      </w:r>
      <w:r w:rsidRPr="00BE0737">
        <w:rPr>
          <w:rFonts w:asciiTheme="majorHAnsi" w:hAnsiTheme="majorHAnsi"/>
          <w:b/>
          <w:bCs/>
          <w:sz w:val="20"/>
          <w:szCs w:val="20"/>
          <w:lang w:val="es-ES"/>
        </w:rPr>
        <w:tab/>
        <w:t>DECISIÓN</w:t>
      </w:r>
    </w:p>
    <w:p w14:paraId="0FDE1D10" w14:textId="2734FF6F" w:rsidR="003239B8" w:rsidRPr="00BE0737" w:rsidRDefault="003239B8" w:rsidP="00BE073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 xml:space="preserve">Declarar admisible la presente petición en relación con </w:t>
      </w:r>
      <w:r w:rsidR="00647D7B" w:rsidRPr="00BE0737">
        <w:rPr>
          <w:rFonts w:asciiTheme="majorHAnsi" w:hAnsiTheme="majorHAnsi"/>
          <w:sz w:val="20"/>
          <w:szCs w:val="20"/>
          <w:lang w:val="es-ES"/>
        </w:rPr>
        <w:t>8, 23, 24 y 25 de la Convención</w:t>
      </w:r>
      <w:r w:rsidR="00A758AA" w:rsidRPr="00BE0737">
        <w:rPr>
          <w:rFonts w:asciiTheme="majorHAnsi" w:hAnsiTheme="majorHAnsi"/>
          <w:sz w:val="20"/>
          <w:szCs w:val="20"/>
          <w:lang w:val="es-ES"/>
        </w:rPr>
        <w:t>;</w:t>
      </w:r>
    </w:p>
    <w:p w14:paraId="570DA61C" w14:textId="52E24A98" w:rsidR="000419AD" w:rsidRPr="00BE0737" w:rsidRDefault="000419AD" w:rsidP="00BE0737">
      <w:pPr>
        <w:pStyle w:val="ListParagraph"/>
        <w:numPr>
          <w:ilvl w:val="0"/>
          <w:numId w:val="109"/>
        </w:numPr>
        <w:spacing w:before="240" w:after="240"/>
        <w:rPr>
          <w:rFonts w:asciiTheme="majorHAnsi" w:eastAsia="Arial Unicode MS" w:hAnsiTheme="majorHAnsi" w:cs="Times New Roman"/>
          <w:color w:val="auto"/>
          <w:sz w:val="20"/>
          <w:szCs w:val="20"/>
          <w:lang w:val="es-ES" w:eastAsia="en-US"/>
        </w:rPr>
      </w:pPr>
      <w:r w:rsidRPr="00BE0737">
        <w:rPr>
          <w:rFonts w:asciiTheme="majorHAnsi" w:eastAsia="Arial Unicode MS" w:hAnsiTheme="majorHAnsi" w:cs="Times New Roman"/>
          <w:color w:val="auto"/>
          <w:sz w:val="20"/>
          <w:szCs w:val="20"/>
          <w:lang w:val="es-ES" w:eastAsia="en-US"/>
        </w:rPr>
        <w:t>Decla</w:t>
      </w:r>
      <w:r w:rsidRPr="001B5915">
        <w:rPr>
          <w:rFonts w:asciiTheme="majorHAnsi" w:eastAsia="Arial Unicode MS" w:hAnsiTheme="majorHAnsi" w:cs="Times New Roman"/>
          <w:color w:val="auto"/>
          <w:sz w:val="20"/>
          <w:szCs w:val="20"/>
          <w:lang w:val="es-ES" w:eastAsia="en-US"/>
        </w:rPr>
        <w:t>rar inadmisible la pre</w:t>
      </w:r>
      <w:r w:rsidRPr="00BE0737">
        <w:rPr>
          <w:rFonts w:asciiTheme="majorHAnsi" w:eastAsia="Arial Unicode MS" w:hAnsiTheme="majorHAnsi" w:cs="Times New Roman"/>
          <w:color w:val="auto"/>
          <w:sz w:val="20"/>
          <w:szCs w:val="20"/>
          <w:lang w:val="es-ES" w:eastAsia="en-US"/>
        </w:rPr>
        <w:t xml:space="preserve">sente petición en relación con </w:t>
      </w:r>
      <w:r w:rsidR="00647D7B" w:rsidRPr="00BE0737">
        <w:rPr>
          <w:rFonts w:asciiTheme="majorHAnsi" w:eastAsia="Arial Unicode MS" w:hAnsiTheme="majorHAnsi" w:cs="Times New Roman"/>
          <w:color w:val="auto"/>
          <w:sz w:val="20"/>
          <w:szCs w:val="20"/>
          <w:lang w:val="es-ES" w:eastAsia="en-US"/>
        </w:rPr>
        <w:t>el artículo 21 de la Convención</w:t>
      </w:r>
      <w:r w:rsidR="00C33E01">
        <w:rPr>
          <w:rFonts w:asciiTheme="majorHAnsi" w:eastAsia="Arial Unicode MS" w:hAnsiTheme="majorHAnsi" w:cs="Times New Roman"/>
          <w:color w:val="auto"/>
          <w:sz w:val="20"/>
          <w:szCs w:val="20"/>
          <w:lang w:val="es-ES" w:eastAsia="en-US"/>
        </w:rPr>
        <w:t>,</w:t>
      </w:r>
      <w:r w:rsidR="004A6A54" w:rsidRPr="00BE0737">
        <w:rPr>
          <w:rFonts w:asciiTheme="majorHAnsi" w:eastAsia="Arial Unicode MS" w:hAnsiTheme="majorHAnsi" w:cs="Times New Roman"/>
          <w:color w:val="auto"/>
          <w:sz w:val="20"/>
          <w:szCs w:val="20"/>
          <w:lang w:val="es-ES" w:eastAsia="en-US"/>
        </w:rPr>
        <w:t xml:space="preserve"> y</w:t>
      </w:r>
      <w:r w:rsidR="00C33E01">
        <w:rPr>
          <w:rFonts w:asciiTheme="majorHAnsi" w:eastAsia="Arial Unicode MS" w:hAnsiTheme="majorHAnsi" w:cs="Times New Roman"/>
          <w:color w:val="auto"/>
          <w:sz w:val="20"/>
          <w:szCs w:val="20"/>
          <w:lang w:val="es-ES" w:eastAsia="en-US"/>
        </w:rPr>
        <w:t>;</w:t>
      </w:r>
    </w:p>
    <w:p w14:paraId="12A7002C" w14:textId="77777777" w:rsidR="004A6A54" w:rsidRDefault="004A6A54" w:rsidP="00BE073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BE073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AC80CA6" w14:textId="1DDC5FEE" w:rsidR="00722C9F" w:rsidRPr="00042340" w:rsidRDefault="005A16C4" w:rsidP="00042340">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w:t>
      </w:r>
      <w:r w:rsidRPr="00F73DBF">
        <w:rPr>
          <w:rStyle w:val="normaltextrun"/>
          <w:rFonts w:ascii="Cambria" w:hAnsi="Cambria" w:cs="Segoe UI"/>
          <w:sz w:val="20"/>
          <w:szCs w:val="20"/>
          <w:lang w:val="es-CL"/>
        </w:rPr>
        <w:t xml:space="preserve">rechos Humanos a los 21 días del mes de </w:t>
      </w:r>
      <w:r w:rsidR="00F73DBF" w:rsidRPr="00F73DBF">
        <w:rPr>
          <w:rStyle w:val="normaltextrun"/>
          <w:rFonts w:ascii="Cambria" w:hAnsi="Cambria" w:cs="Segoe UI"/>
          <w:sz w:val="20"/>
          <w:szCs w:val="20"/>
          <w:lang w:val="es-CL"/>
        </w:rPr>
        <w:t>julio</w:t>
      </w:r>
      <w:r w:rsidRPr="00F73DBF">
        <w:rPr>
          <w:rStyle w:val="normaltextrun"/>
          <w:rFonts w:ascii="Cambria" w:hAnsi="Cambria" w:cs="Segoe UI"/>
          <w:sz w:val="20"/>
          <w:szCs w:val="20"/>
          <w:lang w:val="es-CL"/>
        </w:rPr>
        <w:t xml:space="preserve"> de 20</w:t>
      </w:r>
      <w:r w:rsidR="00F73DBF" w:rsidRPr="00F73DBF">
        <w:rPr>
          <w:rStyle w:val="normaltextrun"/>
          <w:rFonts w:ascii="Cambria" w:hAnsi="Cambria" w:cs="Segoe UI"/>
          <w:sz w:val="20"/>
          <w:szCs w:val="20"/>
          <w:lang w:val="es-CL"/>
        </w:rPr>
        <w:t>25</w:t>
      </w:r>
      <w:r w:rsidRPr="00F73DBF">
        <w:rPr>
          <w:rStyle w:val="normaltextrun"/>
          <w:rFonts w:ascii="Cambria" w:hAnsi="Cambria" w:cs="Segoe UI"/>
          <w:sz w:val="20"/>
          <w:szCs w:val="20"/>
          <w:lang w:val="es-CL"/>
        </w:rPr>
        <w:t xml:space="preserve">.  (Firmado): Arif Bulkan, Segundo Vicepresidente; Edgar Stuardo Ralón Orellana, Roberta Clarke y Gloria Monique de Mees, </w:t>
      </w:r>
      <w:r w:rsidR="006771B0">
        <w:rPr>
          <w:rStyle w:val="normaltextrun"/>
          <w:rFonts w:ascii="Cambria" w:hAnsi="Cambria" w:cs="Segoe UI"/>
          <w:sz w:val="20"/>
          <w:szCs w:val="20"/>
          <w:lang w:val="es-CL"/>
        </w:rPr>
        <w:t>m</w:t>
      </w:r>
      <w:r w:rsidRPr="00F73DBF">
        <w:rPr>
          <w:rStyle w:val="normaltextrun"/>
          <w:rFonts w:ascii="Cambria" w:hAnsi="Cambria" w:cs="Segoe UI"/>
          <w:sz w:val="20"/>
          <w:szCs w:val="20"/>
          <w:lang w:val="es-CL"/>
        </w:rPr>
        <w:t>iembros de la Comisión.</w:t>
      </w:r>
    </w:p>
    <w:sectPr w:rsidR="00722C9F" w:rsidRPr="0004234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210A" w14:textId="77777777" w:rsidR="00970A6D" w:rsidRDefault="00970A6D">
      <w:r>
        <w:separator/>
      </w:r>
    </w:p>
  </w:endnote>
  <w:endnote w:type="continuationSeparator" w:id="0">
    <w:p w14:paraId="6C8EB208" w14:textId="77777777" w:rsidR="00970A6D" w:rsidRDefault="00970A6D">
      <w:r>
        <w:continuationSeparator/>
      </w:r>
    </w:p>
  </w:endnote>
  <w:endnote w:type="continuationNotice" w:id="1">
    <w:p w14:paraId="6B486F0F" w14:textId="77777777" w:rsidR="00970A6D" w:rsidRDefault="00970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B5F4" w14:textId="77777777" w:rsidR="00970A6D" w:rsidRPr="000F35ED" w:rsidRDefault="00970A6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58AB83" w14:textId="77777777" w:rsidR="00970A6D" w:rsidRPr="000F35ED" w:rsidRDefault="00970A6D" w:rsidP="000F35ED">
      <w:pPr>
        <w:rPr>
          <w:rFonts w:asciiTheme="majorHAnsi" w:hAnsiTheme="majorHAnsi"/>
          <w:sz w:val="16"/>
          <w:szCs w:val="16"/>
        </w:rPr>
      </w:pPr>
      <w:r w:rsidRPr="000F35ED">
        <w:rPr>
          <w:rFonts w:asciiTheme="majorHAnsi" w:hAnsiTheme="majorHAnsi"/>
          <w:sz w:val="16"/>
          <w:szCs w:val="16"/>
        </w:rPr>
        <w:separator/>
      </w:r>
    </w:p>
    <w:p w14:paraId="02B89DBB" w14:textId="77777777" w:rsidR="00970A6D" w:rsidRPr="000F35ED" w:rsidRDefault="00970A6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4F5366F" w14:textId="77777777" w:rsidR="00970A6D" w:rsidRPr="000F35ED" w:rsidRDefault="00970A6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B5E1171" w14:textId="77777777" w:rsidR="007B32BA" w:rsidRPr="00CF02F2" w:rsidRDefault="007B32BA" w:rsidP="0032040B">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 Comisionada</w:t>
      </w:r>
      <w:r w:rsidRPr="009D4060">
        <w:rPr>
          <w:rFonts w:asciiTheme="majorHAnsi" w:hAnsiTheme="majorHAnsi"/>
          <w:sz w:val="16"/>
          <w:szCs w:val="16"/>
          <w:lang w:val="es-ES"/>
        </w:rPr>
        <w:t xml:space="preserve"> </w:t>
      </w:r>
      <w:r>
        <w:rPr>
          <w:rFonts w:asciiTheme="majorHAnsi" w:hAnsiTheme="majorHAnsi"/>
          <w:sz w:val="16"/>
          <w:szCs w:val="16"/>
          <w:lang w:val="es-ES"/>
        </w:rPr>
        <w:t>Andrea Pochak</w:t>
      </w:r>
      <w:r w:rsidRPr="009D4060">
        <w:rPr>
          <w:rFonts w:asciiTheme="majorHAnsi" w:hAnsiTheme="majorHAnsi"/>
          <w:sz w:val="16"/>
          <w:szCs w:val="16"/>
          <w:lang w:val="es-ES"/>
        </w:rPr>
        <w:t xml:space="preserve">, de nacionalidad </w:t>
      </w:r>
      <w:r>
        <w:rPr>
          <w:rFonts w:asciiTheme="majorHAnsi" w:hAnsiTheme="majorHAnsi"/>
          <w:sz w:val="16"/>
          <w:szCs w:val="16"/>
          <w:lang w:val="es-ES"/>
        </w:rPr>
        <w:t>argentina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0012A0F8" w14:textId="19DE681B" w:rsidR="008025EA" w:rsidRPr="00E16652" w:rsidRDefault="008025EA" w:rsidP="00D73735">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w:t>
      </w:r>
      <w:r w:rsidR="00F94E6F">
        <w:rPr>
          <w:rFonts w:asciiTheme="majorHAnsi" w:hAnsiTheme="majorHAnsi"/>
          <w:sz w:val="16"/>
          <w:szCs w:val="16"/>
          <w:lang w:val="es-BO"/>
        </w:rPr>
        <w:t>l</w:t>
      </w:r>
      <w:r w:rsidRPr="00E16652">
        <w:rPr>
          <w:rFonts w:asciiTheme="majorHAnsi" w:hAnsiTheme="majorHAnsi"/>
          <w:sz w:val="16"/>
          <w:szCs w:val="16"/>
          <w:lang w:val="es-BO"/>
        </w:rPr>
        <w:t>a Convención” o “</w:t>
      </w:r>
      <w:r w:rsidR="00F94E6F">
        <w:rPr>
          <w:rFonts w:asciiTheme="majorHAnsi" w:hAnsiTheme="majorHAnsi"/>
          <w:sz w:val="16"/>
          <w:szCs w:val="16"/>
          <w:lang w:val="es-BO"/>
        </w:rPr>
        <w:t xml:space="preserve">la </w:t>
      </w:r>
      <w:r w:rsidRPr="00E16652">
        <w:rPr>
          <w:rFonts w:asciiTheme="majorHAnsi" w:hAnsiTheme="majorHAnsi"/>
          <w:sz w:val="16"/>
          <w:szCs w:val="16"/>
          <w:lang w:val="es-BO"/>
        </w:rPr>
        <w:t>Convención Americana”.</w:t>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74C46F15" w14:textId="6FD56FBF" w:rsidR="005A5559" w:rsidRPr="00E775CD" w:rsidRDefault="005A5559" w:rsidP="00E775CD">
      <w:pPr>
        <w:pStyle w:val="FootnoteText"/>
        <w:ind w:firstLine="720"/>
        <w:jc w:val="both"/>
        <w:rPr>
          <w:rFonts w:asciiTheme="majorHAnsi" w:hAnsiTheme="majorHAnsi"/>
          <w:sz w:val="16"/>
          <w:szCs w:val="16"/>
          <w:lang w:val="es-ES"/>
        </w:rPr>
      </w:pPr>
      <w:r w:rsidRPr="00E775CD">
        <w:rPr>
          <w:rStyle w:val="FootnoteReference"/>
          <w:rFonts w:asciiTheme="majorHAnsi" w:hAnsiTheme="majorHAnsi"/>
          <w:sz w:val="16"/>
          <w:szCs w:val="16"/>
        </w:rPr>
        <w:footnoteRef/>
      </w:r>
      <w:r w:rsidRPr="00E775CD">
        <w:rPr>
          <w:rFonts w:asciiTheme="majorHAnsi" w:hAnsiTheme="majorHAnsi"/>
          <w:sz w:val="16"/>
          <w:szCs w:val="16"/>
          <w:lang w:val="es-ES"/>
        </w:rPr>
        <w:t xml:space="preserve"> </w:t>
      </w:r>
      <w:r w:rsidR="00FA2FDD" w:rsidRPr="00E775CD">
        <w:rPr>
          <w:rFonts w:asciiTheme="majorHAnsi" w:hAnsiTheme="majorHAnsi"/>
          <w:sz w:val="16"/>
          <w:szCs w:val="16"/>
          <w:lang w:val="es-ES"/>
        </w:rPr>
        <w:t>Los hechos denunciados ocurrieron durante la administració</w:t>
      </w:r>
      <w:r w:rsidR="00E775CD" w:rsidRPr="00E775CD">
        <w:rPr>
          <w:rFonts w:asciiTheme="majorHAnsi" w:hAnsiTheme="majorHAnsi"/>
          <w:sz w:val="16"/>
          <w:szCs w:val="16"/>
          <w:lang w:val="es-ES"/>
        </w:rPr>
        <w:t>n</w:t>
      </w:r>
      <w:r w:rsidR="00390B23" w:rsidRPr="00E775CD">
        <w:rPr>
          <w:rFonts w:asciiTheme="majorHAnsi" w:hAnsiTheme="majorHAnsi"/>
          <w:sz w:val="16"/>
          <w:szCs w:val="16"/>
          <w:lang w:val="es-ES"/>
        </w:rPr>
        <w:t xml:space="preserve"> de la Sra. Cristina Fernández de Kirchner</w:t>
      </w:r>
      <w:r w:rsidR="00FA2FDD" w:rsidRPr="00E775CD">
        <w:rPr>
          <w:rFonts w:asciiTheme="majorHAnsi" w:hAnsiTheme="majorHAnsi"/>
          <w:sz w:val="16"/>
          <w:szCs w:val="16"/>
          <w:lang w:val="es-ES"/>
        </w:rPr>
        <w:t xml:space="preserve"> (</w:t>
      </w:r>
      <w:r w:rsidR="00E775CD" w:rsidRPr="00E775CD">
        <w:rPr>
          <w:rFonts w:asciiTheme="majorHAnsi" w:hAnsiTheme="majorHAnsi"/>
          <w:sz w:val="16"/>
          <w:szCs w:val="16"/>
          <w:lang w:val="es-ES"/>
        </w:rPr>
        <w:t>2007-2015)</w:t>
      </w:r>
      <w:r w:rsidR="00390B23" w:rsidRPr="00E775CD">
        <w:rPr>
          <w:rFonts w:asciiTheme="majorHAnsi" w:hAnsiTheme="majorHAnsi"/>
          <w:sz w:val="16"/>
          <w:szCs w:val="16"/>
          <w:lang w:val="es-ES"/>
        </w:rPr>
        <w:t xml:space="preserve">. </w:t>
      </w:r>
    </w:p>
  </w:footnote>
  <w:footnote w:id="6">
    <w:p w14:paraId="624FEB86" w14:textId="2D5BF047" w:rsidR="001D4CBE" w:rsidRPr="001D4CBE" w:rsidRDefault="001D4CBE" w:rsidP="001D4CBE">
      <w:pPr>
        <w:pStyle w:val="FootnoteText"/>
        <w:ind w:firstLine="720"/>
        <w:rPr>
          <w:rFonts w:asciiTheme="majorHAnsi" w:hAnsiTheme="majorHAnsi"/>
          <w:sz w:val="16"/>
          <w:szCs w:val="16"/>
          <w:lang w:val="es-US"/>
        </w:rPr>
      </w:pPr>
      <w:r w:rsidRPr="001D4CBE">
        <w:rPr>
          <w:rStyle w:val="FootnoteReference"/>
          <w:rFonts w:asciiTheme="majorHAnsi" w:hAnsiTheme="majorHAnsi"/>
          <w:sz w:val="16"/>
          <w:szCs w:val="16"/>
        </w:rPr>
        <w:footnoteRef/>
      </w:r>
      <w:r w:rsidRPr="001D4CBE">
        <w:rPr>
          <w:rFonts w:asciiTheme="majorHAnsi" w:hAnsiTheme="majorHAnsi"/>
          <w:sz w:val="16"/>
          <w:szCs w:val="16"/>
          <w:lang w:val="es-PE"/>
        </w:rPr>
        <w:t xml:space="preserve"> CIDH, Informe No. 90/03, Petición 0581/1999</w:t>
      </w:r>
      <w:r w:rsidR="00B7547F">
        <w:rPr>
          <w:rFonts w:asciiTheme="majorHAnsi" w:hAnsiTheme="majorHAnsi"/>
          <w:sz w:val="16"/>
          <w:szCs w:val="16"/>
          <w:lang w:val="es-PE"/>
        </w:rPr>
        <w:t>,</w:t>
      </w:r>
      <w:r w:rsidRPr="001D4CBE">
        <w:rPr>
          <w:rFonts w:asciiTheme="majorHAnsi" w:hAnsiTheme="majorHAnsi"/>
          <w:sz w:val="16"/>
          <w:szCs w:val="16"/>
          <w:lang w:val="es-PE"/>
        </w:rPr>
        <w:t xml:space="preserve"> Inadmisibilidad</w:t>
      </w:r>
      <w:r w:rsidR="00B7547F">
        <w:rPr>
          <w:rFonts w:asciiTheme="majorHAnsi" w:hAnsiTheme="majorHAnsi"/>
          <w:sz w:val="16"/>
          <w:szCs w:val="16"/>
          <w:lang w:val="es-PE"/>
        </w:rPr>
        <w:t>,</w:t>
      </w:r>
      <w:r w:rsidRPr="001D4CBE">
        <w:rPr>
          <w:rFonts w:asciiTheme="majorHAnsi" w:hAnsiTheme="majorHAnsi"/>
          <w:sz w:val="16"/>
          <w:szCs w:val="16"/>
          <w:lang w:val="es-PE"/>
        </w:rPr>
        <w:t xml:space="preserve"> Gustavo Trujillo González</w:t>
      </w:r>
      <w:r w:rsidR="00B7547F">
        <w:rPr>
          <w:rFonts w:asciiTheme="majorHAnsi" w:hAnsiTheme="majorHAnsi"/>
          <w:sz w:val="16"/>
          <w:szCs w:val="16"/>
          <w:lang w:val="es-PE"/>
        </w:rPr>
        <w:t>,</w:t>
      </w:r>
      <w:r w:rsidRPr="001D4CBE">
        <w:rPr>
          <w:rFonts w:asciiTheme="majorHAnsi" w:hAnsiTheme="majorHAnsi"/>
          <w:sz w:val="16"/>
          <w:szCs w:val="16"/>
          <w:lang w:val="es-PE"/>
        </w:rPr>
        <w:t xml:space="preserve"> Perú</w:t>
      </w:r>
      <w:r w:rsidR="00B7547F">
        <w:rPr>
          <w:rFonts w:asciiTheme="majorHAnsi" w:hAnsiTheme="majorHAnsi"/>
          <w:sz w:val="16"/>
          <w:szCs w:val="16"/>
          <w:lang w:val="es-PE"/>
        </w:rPr>
        <w:t>,</w:t>
      </w:r>
      <w:r w:rsidRPr="001D4CBE">
        <w:rPr>
          <w:rFonts w:asciiTheme="majorHAnsi" w:hAnsiTheme="majorHAnsi"/>
          <w:sz w:val="16"/>
          <w:szCs w:val="16"/>
          <w:lang w:val="es-PE"/>
        </w:rPr>
        <w:t xml:space="preserve"> 22 de octubre de 2003, párr. </w:t>
      </w:r>
      <w:r w:rsidRPr="007041B7">
        <w:rPr>
          <w:rFonts w:asciiTheme="majorHAnsi" w:hAnsiTheme="majorHAnsi"/>
          <w:sz w:val="16"/>
          <w:szCs w:val="16"/>
          <w:lang w:val="es-ES"/>
        </w:rPr>
        <w:t>32.</w:t>
      </w:r>
    </w:p>
  </w:footnote>
  <w:footnote w:id="7">
    <w:p w14:paraId="0C2295E0" w14:textId="1A555448" w:rsidR="00E072C3" w:rsidRPr="007041B7" w:rsidRDefault="00E072C3" w:rsidP="00E072C3">
      <w:pPr>
        <w:pStyle w:val="FootnoteText"/>
        <w:ind w:firstLine="720"/>
        <w:jc w:val="both"/>
        <w:rPr>
          <w:rFonts w:asciiTheme="majorHAnsi" w:hAnsiTheme="majorHAnsi"/>
          <w:sz w:val="16"/>
          <w:szCs w:val="16"/>
          <w:lang w:val="es-ES"/>
        </w:rPr>
      </w:pPr>
      <w:r w:rsidRPr="00E072C3">
        <w:rPr>
          <w:rStyle w:val="FootnoteReference"/>
          <w:rFonts w:asciiTheme="majorHAnsi" w:hAnsiTheme="majorHAnsi"/>
          <w:sz w:val="16"/>
          <w:szCs w:val="16"/>
        </w:rPr>
        <w:footnoteRef/>
      </w:r>
      <w:r w:rsidRPr="007041B7">
        <w:rPr>
          <w:rFonts w:asciiTheme="majorHAnsi" w:hAnsiTheme="majorHAnsi"/>
          <w:sz w:val="16"/>
          <w:szCs w:val="16"/>
          <w:lang w:val="es-ES"/>
        </w:rPr>
        <w:t xml:space="preserve"> CIDH, Informe No. 180/20, Petición 270-11</w:t>
      </w:r>
      <w:r w:rsidR="00B7547F">
        <w:rPr>
          <w:rFonts w:asciiTheme="majorHAnsi" w:hAnsiTheme="majorHAnsi"/>
          <w:sz w:val="16"/>
          <w:szCs w:val="16"/>
          <w:lang w:val="es-ES"/>
        </w:rPr>
        <w:t>,</w:t>
      </w:r>
      <w:r w:rsidRPr="007041B7">
        <w:rPr>
          <w:rFonts w:asciiTheme="majorHAnsi" w:hAnsiTheme="majorHAnsi"/>
          <w:sz w:val="16"/>
          <w:szCs w:val="16"/>
          <w:lang w:val="es-ES"/>
        </w:rPr>
        <w:t xml:space="preserve"> Admisibilidad</w:t>
      </w:r>
      <w:r w:rsidR="00B7547F">
        <w:rPr>
          <w:rFonts w:asciiTheme="majorHAnsi" w:hAnsiTheme="majorHAnsi"/>
          <w:sz w:val="16"/>
          <w:szCs w:val="16"/>
          <w:lang w:val="es-ES"/>
        </w:rPr>
        <w:t>,</w:t>
      </w:r>
      <w:r w:rsidRPr="007041B7">
        <w:rPr>
          <w:rFonts w:asciiTheme="majorHAnsi" w:hAnsiTheme="majorHAnsi"/>
          <w:sz w:val="16"/>
          <w:szCs w:val="16"/>
          <w:lang w:val="es-ES"/>
        </w:rPr>
        <w:t xml:space="preserve"> Mateo Amelia Griselda</w:t>
      </w:r>
      <w:r w:rsidR="00B7547F">
        <w:rPr>
          <w:rFonts w:asciiTheme="majorHAnsi" w:hAnsiTheme="majorHAnsi"/>
          <w:sz w:val="16"/>
          <w:szCs w:val="16"/>
          <w:lang w:val="es-ES"/>
        </w:rPr>
        <w:t>,</w:t>
      </w:r>
      <w:r w:rsidRPr="007041B7">
        <w:rPr>
          <w:rFonts w:asciiTheme="majorHAnsi" w:hAnsiTheme="majorHAnsi"/>
          <w:sz w:val="16"/>
          <w:szCs w:val="16"/>
          <w:lang w:val="es-ES"/>
        </w:rPr>
        <w:t xml:space="preserve"> Argentina</w:t>
      </w:r>
      <w:r w:rsidR="00B7547F">
        <w:rPr>
          <w:rFonts w:asciiTheme="majorHAnsi" w:hAnsiTheme="majorHAnsi"/>
          <w:sz w:val="16"/>
          <w:szCs w:val="16"/>
          <w:lang w:val="es-ES"/>
        </w:rPr>
        <w:t>,</w:t>
      </w:r>
      <w:r w:rsidRPr="007041B7">
        <w:rPr>
          <w:rFonts w:asciiTheme="majorHAnsi" w:hAnsiTheme="majorHAnsi"/>
          <w:sz w:val="16"/>
          <w:szCs w:val="16"/>
          <w:lang w:val="es-ES"/>
        </w:rPr>
        <w:t xml:space="preserve"> 6 de julio de 2020, párrafos 6, 10, 13.</w:t>
      </w:r>
    </w:p>
  </w:footnote>
  <w:footnote w:id="8">
    <w:p w14:paraId="48F8BC6B" w14:textId="2839B36B" w:rsidR="00867C39" w:rsidRPr="007041B7" w:rsidRDefault="00867C39" w:rsidP="00867C39">
      <w:pPr>
        <w:pStyle w:val="FootnoteText"/>
        <w:ind w:firstLine="720"/>
        <w:jc w:val="both"/>
        <w:rPr>
          <w:rFonts w:asciiTheme="majorHAnsi" w:hAnsiTheme="majorHAnsi"/>
          <w:sz w:val="16"/>
          <w:szCs w:val="16"/>
          <w:lang w:val="es-ES"/>
        </w:rPr>
      </w:pPr>
      <w:r w:rsidRPr="00C409AB">
        <w:rPr>
          <w:rStyle w:val="FootnoteReference"/>
          <w:rFonts w:asciiTheme="majorHAnsi" w:hAnsiTheme="majorHAnsi"/>
          <w:sz w:val="16"/>
          <w:szCs w:val="16"/>
        </w:rPr>
        <w:footnoteRef/>
      </w:r>
      <w:r w:rsidRPr="00C409AB">
        <w:rPr>
          <w:rFonts w:asciiTheme="majorHAnsi" w:hAnsiTheme="majorHAnsi"/>
          <w:sz w:val="16"/>
          <w:szCs w:val="16"/>
          <w:lang w:val="es-PE"/>
        </w:rPr>
        <w:t xml:space="preserve"> CIDH, Informe No. 245/23</w:t>
      </w:r>
      <w:r w:rsidR="00B7547F">
        <w:rPr>
          <w:rFonts w:asciiTheme="majorHAnsi" w:hAnsiTheme="majorHAnsi"/>
          <w:sz w:val="16"/>
          <w:szCs w:val="16"/>
          <w:lang w:val="es-PE"/>
        </w:rPr>
        <w:t>,</w:t>
      </w:r>
      <w:r w:rsidRPr="00C409AB">
        <w:rPr>
          <w:rFonts w:asciiTheme="majorHAnsi" w:hAnsiTheme="majorHAnsi"/>
          <w:sz w:val="16"/>
          <w:szCs w:val="16"/>
          <w:lang w:val="es-PE"/>
        </w:rPr>
        <w:t xml:space="preserve"> Petición P-1359-11</w:t>
      </w:r>
      <w:r w:rsidR="00B7547F">
        <w:rPr>
          <w:rFonts w:asciiTheme="majorHAnsi" w:hAnsiTheme="majorHAnsi"/>
          <w:sz w:val="16"/>
          <w:szCs w:val="16"/>
          <w:lang w:val="es-PE"/>
        </w:rPr>
        <w:t>,</w:t>
      </w:r>
      <w:r w:rsidRPr="00C409AB">
        <w:rPr>
          <w:rFonts w:asciiTheme="majorHAnsi" w:hAnsiTheme="majorHAnsi"/>
          <w:sz w:val="16"/>
          <w:szCs w:val="16"/>
          <w:lang w:val="es-PE"/>
        </w:rPr>
        <w:t xml:space="preserve"> Admisibilidad</w:t>
      </w:r>
      <w:r w:rsidR="00B7547F">
        <w:rPr>
          <w:rFonts w:asciiTheme="majorHAnsi" w:hAnsiTheme="majorHAnsi"/>
          <w:sz w:val="16"/>
          <w:szCs w:val="16"/>
          <w:lang w:val="es-PE"/>
        </w:rPr>
        <w:t>,</w:t>
      </w:r>
      <w:r w:rsidRPr="00C409AB">
        <w:rPr>
          <w:rFonts w:asciiTheme="majorHAnsi" w:hAnsiTheme="majorHAnsi"/>
          <w:sz w:val="16"/>
          <w:szCs w:val="16"/>
          <w:lang w:val="es-PE"/>
        </w:rPr>
        <w:t xml:space="preserve"> Nelida Manopella y Guillermo Puy. </w:t>
      </w:r>
      <w:r w:rsidRPr="007041B7">
        <w:rPr>
          <w:rFonts w:asciiTheme="majorHAnsi" w:hAnsiTheme="majorHAnsi"/>
          <w:sz w:val="16"/>
          <w:szCs w:val="16"/>
          <w:lang w:val="es-ES"/>
        </w:rPr>
        <w:t>Argentina</w:t>
      </w:r>
      <w:r w:rsidR="00AC26F5">
        <w:rPr>
          <w:rFonts w:asciiTheme="majorHAnsi" w:hAnsiTheme="majorHAnsi"/>
          <w:sz w:val="16"/>
          <w:szCs w:val="16"/>
          <w:lang w:val="es-ES"/>
        </w:rPr>
        <w:t>,</w:t>
      </w:r>
      <w:r w:rsidRPr="007041B7">
        <w:rPr>
          <w:rFonts w:asciiTheme="majorHAnsi" w:hAnsiTheme="majorHAnsi"/>
          <w:sz w:val="16"/>
          <w:szCs w:val="16"/>
          <w:lang w:val="es-ES"/>
        </w:rPr>
        <w:t xml:space="preserve"> 7 de octubre de 2023.</w:t>
      </w:r>
    </w:p>
  </w:footnote>
  <w:footnote w:id="9">
    <w:p w14:paraId="74581F39" w14:textId="632BE57B" w:rsidR="0065113A" w:rsidRPr="00126C9E" w:rsidRDefault="0065113A" w:rsidP="0065113A">
      <w:pPr>
        <w:pStyle w:val="FootnoteText"/>
        <w:ind w:firstLine="720"/>
        <w:jc w:val="both"/>
        <w:rPr>
          <w:rFonts w:asciiTheme="majorHAnsi" w:hAnsiTheme="majorHAnsi"/>
          <w:color w:val="auto"/>
          <w:sz w:val="16"/>
          <w:szCs w:val="16"/>
          <w:lang w:val="es-ES"/>
        </w:rPr>
      </w:pPr>
      <w:r w:rsidRPr="00126C9E">
        <w:rPr>
          <w:rStyle w:val="FootnoteReference"/>
          <w:rFonts w:asciiTheme="majorHAnsi" w:hAnsiTheme="majorHAnsi"/>
          <w:color w:val="auto"/>
          <w:sz w:val="16"/>
          <w:szCs w:val="16"/>
        </w:rPr>
        <w:footnoteRef/>
      </w:r>
      <w:r w:rsidRPr="00126C9E">
        <w:rPr>
          <w:rFonts w:asciiTheme="majorHAnsi" w:hAnsiTheme="majorHAnsi"/>
          <w:color w:val="auto"/>
          <w:sz w:val="16"/>
          <w:szCs w:val="16"/>
          <w:lang w:val="es-ES"/>
        </w:rPr>
        <w:t xml:space="preserve"> Véase por ejemplo CIDH, Informe No. 56/16</w:t>
      </w:r>
      <w:r w:rsidR="00AC26F5">
        <w:rPr>
          <w:rFonts w:asciiTheme="majorHAnsi" w:hAnsiTheme="majorHAnsi"/>
          <w:color w:val="auto"/>
          <w:sz w:val="16"/>
          <w:szCs w:val="16"/>
          <w:lang w:val="es-ES"/>
        </w:rPr>
        <w:t>,</w:t>
      </w:r>
      <w:r w:rsidRPr="00126C9E">
        <w:rPr>
          <w:rFonts w:asciiTheme="majorHAnsi" w:hAnsiTheme="majorHAnsi"/>
          <w:color w:val="auto"/>
          <w:sz w:val="16"/>
          <w:szCs w:val="16"/>
          <w:lang w:val="es-ES"/>
        </w:rPr>
        <w:t xml:space="preserve"> </w:t>
      </w:r>
      <w:r w:rsidRPr="00126C9E">
        <w:rPr>
          <w:rFonts w:asciiTheme="majorHAnsi" w:hAnsiTheme="majorHAnsi"/>
          <w:color w:val="auto"/>
          <w:sz w:val="16"/>
          <w:szCs w:val="16"/>
          <w:lang w:val="es-ES_tradnl"/>
        </w:rPr>
        <w:t>Petición 666-03</w:t>
      </w:r>
      <w:r w:rsidR="00AC26F5">
        <w:rPr>
          <w:rFonts w:asciiTheme="majorHAnsi" w:hAnsiTheme="majorHAnsi"/>
          <w:color w:val="auto"/>
          <w:sz w:val="16"/>
          <w:szCs w:val="16"/>
          <w:lang w:val="es-ES_tradnl"/>
        </w:rPr>
        <w:t>,</w:t>
      </w:r>
      <w:r w:rsidRPr="00126C9E">
        <w:rPr>
          <w:rFonts w:asciiTheme="majorHAnsi" w:hAnsiTheme="majorHAnsi"/>
          <w:color w:val="auto"/>
          <w:sz w:val="16"/>
          <w:szCs w:val="16"/>
          <w:lang w:val="es-ES_tradnl"/>
        </w:rPr>
        <w:t xml:space="preserve"> Admisibilidad</w:t>
      </w:r>
      <w:r w:rsidR="00AC26F5">
        <w:rPr>
          <w:rFonts w:asciiTheme="majorHAnsi" w:hAnsiTheme="majorHAnsi"/>
          <w:color w:val="auto"/>
          <w:sz w:val="16"/>
          <w:szCs w:val="16"/>
          <w:lang w:val="es-ES_tradnl"/>
        </w:rPr>
        <w:t>,</w:t>
      </w:r>
      <w:r w:rsidRPr="00126C9E">
        <w:rPr>
          <w:rFonts w:asciiTheme="majorHAnsi" w:hAnsiTheme="majorHAnsi"/>
          <w:color w:val="auto"/>
          <w:sz w:val="16"/>
          <w:szCs w:val="16"/>
          <w:lang w:val="es-ES_tradnl"/>
        </w:rPr>
        <w:t xml:space="preserve"> Luis Alberto Leiva</w:t>
      </w:r>
      <w:r w:rsidR="00AC26F5">
        <w:rPr>
          <w:rFonts w:asciiTheme="majorHAnsi" w:hAnsiTheme="majorHAnsi"/>
          <w:color w:val="auto"/>
          <w:sz w:val="16"/>
          <w:szCs w:val="16"/>
          <w:lang w:val="es-ES_tradnl"/>
        </w:rPr>
        <w:t>,</w:t>
      </w:r>
      <w:r w:rsidRPr="00126C9E">
        <w:rPr>
          <w:rFonts w:asciiTheme="majorHAnsi" w:hAnsiTheme="majorHAnsi"/>
          <w:color w:val="auto"/>
          <w:sz w:val="16"/>
          <w:szCs w:val="16"/>
          <w:lang w:val="es-ES_tradnl"/>
        </w:rPr>
        <w:t xml:space="preserve"> Argentina</w:t>
      </w:r>
      <w:r w:rsidR="00AC26F5">
        <w:rPr>
          <w:rFonts w:asciiTheme="majorHAnsi" w:hAnsiTheme="majorHAnsi"/>
          <w:color w:val="auto"/>
          <w:sz w:val="16"/>
          <w:szCs w:val="16"/>
          <w:lang w:val="es-ES_tradnl"/>
        </w:rPr>
        <w:t>,</w:t>
      </w:r>
      <w:r w:rsidRPr="00126C9E">
        <w:rPr>
          <w:rFonts w:asciiTheme="majorHAnsi" w:hAnsiTheme="majorHAnsi"/>
          <w:color w:val="auto"/>
          <w:sz w:val="16"/>
          <w:szCs w:val="16"/>
          <w:lang w:val="es-ES_tradnl"/>
        </w:rPr>
        <w:t xml:space="preserve"> </w:t>
      </w:r>
      <w:r w:rsidRPr="00126C9E">
        <w:rPr>
          <w:rFonts w:asciiTheme="majorHAnsi" w:hAnsiTheme="majorHAnsi"/>
          <w:color w:val="auto"/>
          <w:sz w:val="16"/>
          <w:szCs w:val="16"/>
          <w:lang w:val="es-ES"/>
        </w:rPr>
        <w:t xml:space="preserve">6 de diciembre de 2016, párr. 25. </w:t>
      </w:r>
      <w:bookmarkStart w:id="2" w:name="_Hlk113360759"/>
    </w:p>
    <w:bookmarkEnd w:id="2"/>
  </w:footnote>
  <w:footnote w:id="10">
    <w:p w14:paraId="73B2C91C" w14:textId="74653BE3" w:rsidR="0065113A" w:rsidRPr="00126C9E" w:rsidRDefault="0065113A" w:rsidP="0065113A">
      <w:pPr>
        <w:pStyle w:val="FootnoteText"/>
        <w:ind w:firstLine="720"/>
        <w:jc w:val="both"/>
        <w:rPr>
          <w:rFonts w:asciiTheme="majorHAnsi" w:hAnsiTheme="majorHAnsi"/>
          <w:sz w:val="16"/>
          <w:szCs w:val="16"/>
          <w:lang w:val="es-US"/>
        </w:rPr>
      </w:pPr>
      <w:r w:rsidRPr="00126C9E">
        <w:rPr>
          <w:rStyle w:val="FootnoteReference"/>
          <w:rFonts w:asciiTheme="majorHAnsi" w:hAnsiTheme="majorHAnsi"/>
          <w:sz w:val="16"/>
          <w:szCs w:val="16"/>
        </w:rPr>
        <w:footnoteRef/>
      </w:r>
      <w:r w:rsidRPr="00126C9E">
        <w:rPr>
          <w:rFonts w:asciiTheme="majorHAnsi" w:hAnsiTheme="majorHAnsi"/>
          <w:sz w:val="16"/>
          <w:szCs w:val="16"/>
          <w:lang w:val="es-US"/>
        </w:rPr>
        <w:t xml:space="preserve"> CIDH, Informe No. 79/08, Petición 95-01</w:t>
      </w:r>
      <w:r w:rsidR="00AC26F5">
        <w:rPr>
          <w:rFonts w:asciiTheme="majorHAnsi" w:hAnsiTheme="majorHAnsi"/>
          <w:sz w:val="16"/>
          <w:szCs w:val="16"/>
          <w:lang w:val="es-US"/>
        </w:rPr>
        <w:t>,</w:t>
      </w:r>
      <w:r w:rsidRPr="00126C9E">
        <w:rPr>
          <w:rFonts w:asciiTheme="majorHAnsi" w:hAnsiTheme="majorHAnsi"/>
          <w:sz w:val="16"/>
          <w:szCs w:val="16"/>
          <w:lang w:val="es-US"/>
        </w:rPr>
        <w:t xml:space="preserve"> Admisibilidad</w:t>
      </w:r>
      <w:r w:rsidR="00AC26F5">
        <w:rPr>
          <w:rFonts w:asciiTheme="majorHAnsi" w:hAnsiTheme="majorHAnsi"/>
          <w:sz w:val="16"/>
          <w:szCs w:val="16"/>
          <w:lang w:val="es-US"/>
        </w:rPr>
        <w:t>,</w:t>
      </w:r>
      <w:r w:rsidRPr="00126C9E">
        <w:rPr>
          <w:rFonts w:asciiTheme="majorHAnsi" w:hAnsiTheme="majorHAnsi"/>
          <w:sz w:val="16"/>
          <w:szCs w:val="16"/>
          <w:lang w:val="es-US"/>
        </w:rPr>
        <w:t xml:space="preserve"> Marcos Alejandro Martin. Argentina</w:t>
      </w:r>
      <w:r w:rsidR="0073433D">
        <w:rPr>
          <w:rFonts w:asciiTheme="majorHAnsi" w:hAnsiTheme="majorHAnsi"/>
          <w:sz w:val="16"/>
          <w:szCs w:val="16"/>
          <w:lang w:val="es-US"/>
        </w:rPr>
        <w:t>,</w:t>
      </w:r>
      <w:r w:rsidRPr="00126C9E">
        <w:rPr>
          <w:rFonts w:asciiTheme="majorHAnsi" w:hAnsiTheme="majorHAnsi"/>
          <w:sz w:val="16"/>
          <w:szCs w:val="16"/>
          <w:lang w:val="es-US"/>
        </w:rPr>
        <w:t xml:space="preserve"> 17 de octubre de 2008, párr. 27.</w:t>
      </w:r>
    </w:p>
  </w:footnote>
  <w:footnote w:id="11">
    <w:p w14:paraId="2CDA3DAB" w14:textId="5C6D1C5A" w:rsidR="0065113A" w:rsidRPr="00B10BE6" w:rsidRDefault="0065113A" w:rsidP="0065113A">
      <w:pPr>
        <w:pStyle w:val="FootnoteText"/>
        <w:ind w:firstLine="720"/>
        <w:jc w:val="both"/>
        <w:rPr>
          <w:rFonts w:asciiTheme="majorHAnsi" w:hAnsiTheme="majorHAnsi"/>
          <w:sz w:val="16"/>
          <w:szCs w:val="16"/>
          <w:lang w:val="es-US"/>
        </w:rPr>
      </w:pPr>
      <w:r w:rsidRPr="00B10BE6">
        <w:rPr>
          <w:rStyle w:val="FootnoteReference"/>
          <w:rFonts w:asciiTheme="majorHAnsi" w:hAnsiTheme="majorHAnsi"/>
          <w:sz w:val="16"/>
          <w:szCs w:val="16"/>
        </w:rPr>
        <w:footnoteRef/>
      </w:r>
      <w:r w:rsidRPr="007041B7">
        <w:rPr>
          <w:rFonts w:asciiTheme="majorHAnsi" w:hAnsiTheme="majorHAnsi"/>
          <w:sz w:val="16"/>
          <w:szCs w:val="16"/>
          <w:lang w:val="es-ES"/>
        </w:rPr>
        <w:t xml:space="preserve"> </w:t>
      </w:r>
      <w:r w:rsidRPr="007041B7">
        <w:rPr>
          <w:rFonts w:asciiTheme="majorHAnsi" w:hAnsiTheme="majorHAnsi"/>
          <w:color w:val="auto"/>
          <w:sz w:val="16"/>
          <w:szCs w:val="16"/>
          <w:lang w:val="es-ES"/>
        </w:rPr>
        <w:t xml:space="preserve">Corte IDH, </w:t>
      </w:r>
      <w:r w:rsidRPr="007041B7">
        <w:rPr>
          <w:rFonts w:asciiTheme="majorHAnsi" w:hAnsiTheme="majorHAnsi"/>
          <w:i/>
          <w:color w:val="auto"/>
          <w:sz w:val="16"/>
          <w:szCs w:val="16"/>
          <w:lang w:val="es-ES"/>
        </w:rPr>
        <w:t xml:space="preserve">Caso Mémoli vs. Argentina. </w:t>
      </w:r>
      <w:r w:rsidRPr="00B10BE6">
        <w:rPr>
          <w:rFonts w:asciiTheme="majorHAnsi" w:hAnsiTheme="majorHAnsi"/>
          <w:color w:val="auto"/>
          <w:sz w:val="16"/>
          <w:szCs w:val="16"/>
          <w:lang w:val="es-ES"/>
        </w:rPr>
        <w:t xml:space="preserve">Excepciones Preliminares, </w:t>
      </w:r>
      <w:r w:rsidRPr="00B10BE6">
        <w:rPr>
          <w:rFonts w:asciiTheme="majorHAnsi" w:hAnsiTheme="majorHAnsi"/>
          <w:color w:val="auto"/>
          <w:sz w:val="16"/>
          <w:szCs w:val="16"/>
          <w:lang w:val="es-CO"/>
        </w:rPr>
        <w:t>Fondo, Reparaciones y Costas. Sentencia de 22 de agosto de 2013</w:t>
      </w:r>
      <w:r w:rsidR="004447C7">
        <w:rPr>
          <w:rFonts w:asciiTheme="majorHAnsi" w:hAnsiTheme="majorHAnsi"/>
          <w:color w:val="auto"/>
          <w:sz w:val="16"/>
          <w:szCs w:val="16"/>
          <w:lang w:val="es-CO"/>
        </w:rPr>
        <w:t>,</w:t>
      </w:r>
      <w:r w:rsidRPr="00B10BE6">
        <w:rPr>
          <w:rFonts w:asciiTheme="majorHAnsi" w:hAnsiTheme="majorHAnsi"/>
          <w:color w:val="auto"/>
          <w:sz w:val="16"/>
          <w:szCs w:val="16"/>
          <w:lang w:val="es-CO"/>
        </w:rPr>
        <w:t xml:space="preserve"> Serie C No. 295, </w:t>
      </w:r>
      <w:r w:rsidRPr="00B10BE6">
        <w:rPr>
          <w:rFonts w:asciiTheme="majorHAnsi" w:hAnsiTheme="majorHAnsi"/>
          <w:color w:val="auto"/>
          <w:sz w:val="16"/>
          <w:szCs w:val="16"/>
          <w:lang w:val="es-AR"/>
        </w:rPr>
        <w:t>p</w:t>
      </w:r>
      <w:r w:rsidRPr="00B10BE6">
        <w:rPr>
          <w:rFonts w:asciiTheme="majorHAnsi" w:hAnsiTheme="majorHAnsi"/>
          <w:color w:val="auto"/>
          <w:sz w:val="16"/>
          <w:szCs w:val="16"/>
          <w:lang w:val="es-ES_tradnl"/>
        </w:rPr>
        <w:t>árr. 32.</w:t>
      </w:r>
    </w:p>
  </w:footnote>
  <w:footnote w:id="12">
    <w:p w14:paraId="07F61900" w14:textId="7B31EC2F" w:rsidR="00B10BE6" w:rsidRPr="00A55F71" w:rsidRDefault="00B10BE6" w:rsidP="004447C7">
      <w:pPr>
        <w:pStyle w:val="FootnoteText"/>
        <w:ind w:firstLine="720"/>
        <w:jc w:val="both"/>
        <w:rPr>
          <w:rFonts w:asciiTheme="majorHAnsi" w:hAnsiTheme="majorHAnsi"/>
          <w:sz w:val="16"/>
          <w:szCs w:val="16"/>
          <w:lang w:val="es-US"/>
        </w:rPr>
      </w:pPr>
      <w:r w:rsidRPr="00A55F71">
        <w:rPr>
          <w:rStyle w:val="FootnoteReference"/>
          <w:rFonts w:asciiTheme="majorHAnsi" w:hAnsiTheme="majorHAnsi"/>
          <w:sz w:val="16"/>
          <w:szCs w:val="16"/>
        </w:rPr>
        <w:footnoteRef/>
      </w:r>
      <w:r w:rsidRPr="00A55F71">
        <w:rPr>
          <w:rFonts w:asciiTheme="majorHAnsi" w:hAnsiTheme="majorHAnsi"/>
          <w:sz w:val="16"/>
          <w:szCs w:val="16"/>
          <w:lang w:val="es-PE"/>
        </w:rPr>
        <w:t xml:space="preserve"> </w:t>
      </w:r>
      <w:r w:rsidR="00A55F71" w:rsidRPr="00A55F71">
        <w:rPr>
          <w:rFonts w:asciiTheme="majorHAnsi" w:hAnsiTheme="majorHAnsi"/>
          <w:sz w:val="16"/>
          <w:szCs w:val="16"/>
          <w:lang w:val="es-PE"/>
        </w:rPr>
        <w:t>Corte IDH</w:t>
      </w:r>
      <w:r w:rsidR="00A55F71">
        <w:rPr>
          <w:rFonts w:asciiTheme="majorHAnsi" w:hAnsiTheme="majorHAnsi"/>
          <w:sz w:val="16"/>
          <w:szCs w:val="16"/>
          <w:lang w:val="es-PE"/>
        </w:rPr>
        <w:t>,</w:t>
      </w:r>
      <w:r w:rsidR="00A55F71" w:rsidRPr="00A55F71">
        <w:rPr>
          <w:rFonts w:asciiTheme="majorHAnsi" w:hAnsiTheme="majorHAnsi"/>
          <w:sz w:val="16"/>
          <w:szCs w:val="16"/>
          <w:lang w:val="es-PE"/>
        </w:rPr>
        <w:t xml:space="preserve"> </w:t>
      </w:r>
      <w:r w:rsidR="00A55F71" w:rsidRPr="00A55F71">
        <w:rPr>
          <w:rFonts w:asciiTheme="majorHAnsi" w:hAnsiTheme="majorHAnsi"/>
          <w:i/>
          <w:iCs/>
          <w:sz w:val="16"/>
          <w:szCs w:val="16"/>
          <w:lang w:val="es-PE"/>
        </w:rPr>
        <w:t>Caso San Miguel Sosa y otras Vs. Venezuela</w:t>
      </w:r>
      <w:r w:rsidR="00A55F71">
        <w:rPr>
          <w:rFonts w:asciiTheme="majorHAnsi" w:hAnsiTheme="majorHAnsi"/>
          <w:sz w:val="16"/>
          <w:szCs w:val="16"/>
          <w:lang w:val="es-PE"/>
        </w:rPr>
        <w:t>,</w:t>
      </w:r>
      <w:r w:rsidR="00A55F71" w:rsidRPr="00A55F71">
        <w:rPr>
          <w:rFonts w:asciiTheme="majorHAnsi" w:hAnsiTheme="majorHAnsi"/>
          <w:sz w:val="16"/>
          <w:szCs w:val="16"/>
          <w:lang w:val="es-PE"/>
        </w:rPr>
        <w:t xml:space="preserve"> Fondo, Reparaciones y Costas. Sentencia de 8 de febrero de 2018. Serie C No. 348</w:t>
      </w:r>
      <w:r w:rsidR="00A55F71">
        <w:rPr>
          <w:rFonts w:asciiTheme="majorHAnsi" w:hAnsiTheme="majorHAnsi"/>
          <w:sz w:val="16"/>
          <w:szCs w:val="16"/>
          <w:lang w:val="es-PE"/>
        </w:rPr>
        <w:t xml:space="preserve">, párrafos 191 y </w:t>
      </w:r>
      <w:r w:rsidR="00CD1DB4">
        <w:rPr>
          <w:rFonts w:asciiTheme="majorHAnsi" w:hAnsiTheme="majorHAnsi"/>
          <w:sz w:val="16"/>
          <w:szCs w:val="16"/>
          <w:lang w:val="es-PE"/>
        </w:rPr>
        <w:t xml:space="preserve">221; y </w:t>
      </w:r>
      <w:r w:rsidR="004447C7" w:rsidRPr="004447C7">
        <w:rPr>
          <w:rFonts w:asciiTheme="majorHAnsi" w:hAnsiTheme="majorHAnsi"/>
          <w:i/>
          <w:iCs/>
          <w:sz w:val="16"/>
          <w:szCs w:val="16"/>
          <w:lang w:val="es-PE"/>
        </w:rPr>
        <w:t>Caso Granier y otros (Radio Caracas Televisión) Vs. Venezuela</w:t>
      </w:r>
      <w:r w:rsidR="004447C7">
        <w:rPr>
          <w:rFonts w:asciiTheme="majorHAnsi" w:hAnsiTheme="majorHAnsi"/>
          <w:sz w:val="16"/>
          <w:szCs w:val="16"/>
          <w:lang w:val="es-PE"/>
        </w:rPr>
        <w:t>,</w:t>
      </w:r>
      <w:r w:rsidR="004447C7" w:rsidRPr="004447C7">
        <w:rPr>
          <w:rFonts w:asciiTheme="majorHAnsi" w:hAnsiTheme="majorHAnsi"/>
          <w:sz w:val="16"/>
          <w:szCs w:val="16"/>
          <w:lang w:val="es-PE"/>
        </w:rPr>
        <w:t xml:space="preserve"> Excepciones Preliminares, Fondo, Reparaciones y Costas</w:t>
      </w:r>
      <w:r w:rsidR="004447C7">
        <w:rPr>
          <w:rFonts w:asciiTheme="majorHAnsi" w:hAnsiTheme="majorHAnsi"/>
          <w:sz w:val="16"/>
          <w:szCs w:val="16"/>
          <w:lang w:val="es-PE"/>
        </w:rPr>
        <w:t>,</w:t>
      </w:r>
      <w:r w:rsidR="004447C7" w:rsidRPr="004447C7">
        <w:rPr>
          <w:rFonts w:asciiTheme="majorHAnsi" w:hAnsiTheme="majorHAnsi"/>
          <w:sz w:val="16"/>
          <w:szCs w:val="16"/>
          <w:lang w:val="es-PE"/>
        </w:rPr>
        <w:t xml:space="preserve"> Sentencia de 22 de junio de 2015</w:t>
      </w:r>
      <w:r w:rsidR="004447C7">
        <w:rPr>
          <w:rFonts w:asciiTheme="majorHAnsi" w:hAnsiTheme="majorHAnsi"/>
          <w:sz w:val="16"/>
          <w:szCs w:val="16"/>
          <w:lang w:val="es-PE"/>
        </w:rPr>
        <w:t>,</w:t>
      </w:r>
      <w:r w:rsidR="004447C7" w:rsidRPr="004447C7">
        <w:rPr>
          <w:rFonts w:asciiTheme="majorHAnsi" w:hAnsiTheme="majorHAnsi"/>
          <w:sz w:val="16"/>
          <w:szCs w:val="16"/>
          <w:lang w:val="es-PE"/>
        </w:rPr>
        <w:t xml:space="preserve"> Serie C No. 293</w:t>
      </w:r>
      <w:r w:rsidR="004447C7">
        <w:rPr>
          <w:rFonts w:asciiTheme="majorHAnsi" w:hAnsiTheme="majorHAnsi"/>
          <w:sz w:val="16"/>
          <w:szCs w:val="16"/>
          <w:lang w:val="es-PE"/>
        </w:rPr>
        <w:t xml:space="preserve">, párrafos </w:t>
      </w:r>
      <w:r w:rsidR="003D3B27">
        <w:rPr>
          <w:rFonts w:asciiTheme="majorHAnsi" w:hAnsiTheme="majorHAnsi"/>
          <w:sz w:val="16"/>
          <w:szCs w:val="16"/>
          <w:lang w:val="es-PE"/>
        </w:rPr>
        <w:t>1</w:t>
      </w:r>
      <w:r w:rsidR="004447C7">
        <w:rPr>
          <w:rFonts w:asciiTheme="majorHAnsi" w:hAnsiTheme="majorHAnsi"/>
          <w:sz w:val="16"/>
          <w:szCs w:val="16"/>
          <w:lang w:val="es-PE"/>
        </w:rPr>
        <w:t>89-</w:t>
      </w:r>
      <w:r w:rsidR="003D3B27">
        <w:rPr>
          <w:rFonts w:asciiTheme="majorHAnsi" w:hAnsiTheme="majorHAnsi"/>
          <w:sz w:val="16"/>
          <w:szCs w:val="16"/>
          <w:lang w:val="es-PE"/>
        </w:rPr>
        <w:t>197</w:t>
      </w:r>
      <w:r w:rsidR="004447C7">
        <w:rPr>
          <w:rFonts w:asciiTheme="majorHAnsi" w:hAnsiTheme="majorHAnsi"/>
          <w:sz w:val="16"/>
          <w:szCs w:val="16"/>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0450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DEA"/>
    <w:rsid w:val="00006E1F"/>
    <w:rsid w:val="000070D7"/>
    <w:rsid w:val="0000743A"/>
    <w:rsid w:val="0001437A"/>
    <w:rsid w:val="0001788C"/>
    <w:rsid w:val="00025C2B"/>
    <w:rsid w:val="000337EF"/>
    <w:rsid w:val="00040C3A"/>
    <w:rsid w:val="000419AD"/>
    <w:rsid w:val="00042340"/>
    <w:rsid w:val="000433C9"/>
    <w:rsid w:val="0005118B"/>
    <w:rsid w:val="00060FC8"/>
    <w:rsid w:val="000716C5"/>
    <w:rsid w:val="00075E23"/>
    <w:rsid w:val="0009344A"/>
    <w:rsid w:val="00095843"/>
    <w:rsid w:val="000A1974"/>
    <w:rsid w:val="000A392E"/>
    <w:rsid w:val="000A575F"/>
    <w:rsid w:val="000B062C"/>
    <w:rsid w:val="000B3D7A"/>
    <w:rsid w:val="000C2940"/>
    <w:rsid w:val="000D05CB"/>
    <w:rsid w:val="000D10DB"/>
    <w:rsid w:val="000E5EB5"/>
    <w:rsid w:val="000F35ED"/>
    <w:rsid w:val="00107131"/>
    <w:rsid w:val="0010736F"/>
    <w:rsid w:val="00113F73"/>
    <w:rsid w:val="00116743"/>
    <w:rsid w:val="00121CC2"/>
    <w:rsid w:val="00131425"/>
    <w:rsid w:val="00133EE5"/>
    <w:rsid w:val="001534CB"/>
    <w:rsid w:val="00160790"/>
    <w:rsid w:val="00161BB5"/>
    <w:rsid w:val="00163012"/>
    <w:rsid w:val="00167A34"/>
    <w:rsid w:val="00183ADD"/>
    <w:rsid w:val="00186990"/>
    <w:rsid w:val="0019117D"/>
    <w:rsid w:val="00193270"/>
    <w:rsid w:val="0019566B"/>
    <w:rsid w:val="001A0E4D"/>
    <w:rsid w:val="001A7870"/>
    <w:rsid w:val="001B3A00"/>
    <w:rsid w:val="001B5915"/>
    <w:rsid w:val="001C1B41"/>
    <w:rsid w:val="001C1D77"/>
    <w:rsid w:val="001D4CBE"/>
    <w:rsid w:val="001D65EF"/>
    <w:rsid w:val="001D7945"/>
    <w:rsid w:val="001E49E7"/>
    <w:rsid w:val="001F7201"/>
    <w:rsid w:val="00201591"/>
    <w:rsid w:val="00204506"/>
    <w:rsid w:val="00217A33"/>
    <w:rsid w:val="00223A29"/>
    <w:rsid w:val="002250A3"/>
    <w:rsid w:val="00231F30"/>
    <w:rsid w:val="00235217"/>
    <w:rsid w:val="00244867"/>
    <w:rsid w:val="002469D2"/>
    <w:rsid w:val="00246D1F"/>
    <w:rsid w:val="00247403"/>
    <w:rsid w:val="00247542"/>
    <w:rsid w:val="002526EF"/>
    <w:rsid w:val="0025692E"/>
    <w:rsid w:val="0026020D"/>
    <w:rsid w:val="00266B61"/>
    <w:rsid w:val="0026712A"/>
    <w:rsid w:val="002704DB"/>
    <w:rsid w:val="002A0AAE"/>
    <w:rsid w:val="002A0FBF"/>
    <w:rsid w:val="002A46C2"/>
    <w:rsid w:val="002A5820"/>
    <w:rsid w:val="002B4B34"/>
    <w:rsid w:val="002D2B26"/>
    <w:rsid w:val="002D7EA2"/>
    <w:rsid w:val="002E0DC0"/>
    <w:rsid w:val="002E187C"/>
    <w:rsid w:val="002E4D38"/>
    <w:rsid w:val="002F6492"/>
    <w:rsid w:val="003017BE"/>
    <w:rsid w:val="00302733"/>
    <w:rsid w:val="00314078"/>
    <w:rsid w:val="0031535D"/>
    <w:rsid w:val="003239B8"/>
    <w:rsid w:val="0033169F"/>
    <w:rsid w:val="00344977"/>
    <w:rsid w:val="00346C95"/>
    <w:rsid w:val="00356185"/>
    <w:rsid w:val="00360380"/>
    <w:rsid w:val="0037519E"/>
    <w:rsid w:val="00381368"/>
    <w:rsid w:val="00383B7C"/>
    <w:rsid w:val="00386CF0"/>
    <w:rsid w:val="00390B23"/>
    <w:rsid w:val="003A1A4B"/>
    <w:rsid w:val="003A5129"/>
    <w:rsid w:val="003B1B44"/>
    <w:rsid w:val="003B4D38"/>
    <w:rsid w:val="003B70FB"/>
    <w:rsid w:val="003C06F2"/>
    <w:rsid w:val="003C2239"/>
    <w:rsid w:val="003C245C"/>
    <w:rsid w:val="003C676B"/>
    <w:rsid w:val="003D3B27"/>
    <w:rsid w:val="003D3BC2"/>
    <w:rsid w:val="003D5E4B"/>
    <w:rsid w:val="003E6CA1"/>
    <w:rsid w:val="00405F9C"/>
    <w:rsid w:val="004065A8"/>
    <w:rsid w:val="00413D3D"/>
    <w:rsid w:val="004165C2"/>
    <w:rsid w:val="0042231F"/>
    <w:rsid w:val="0043548F"/>
    <w:rsid w:val="00435E44"/>
    <w:rsid w:val="00436B39"/>
    <w:rsid w:val="00441524"/>
    <w:rsid w:val="00441E0D"/>
    <w:rsid w:val="00441ECB"/>
    <w:rsid w:val="004447C7"/>
    <w:rsid w:val="00445193"/>
    <w:rsid w:val="00462C1B"/>
    <w:rsid w:val="004649FD"/>
    <w:rsid w:val="00467B7E"/>
    <w:rsid w:val="00473BB4"/>
    <w:rsid w:val="00477592"/>
    <w:rsid w:val="00486F1C"/>
    <w:rsid w:val="0049419D"/>
    <w:rsid w:val="004A4288"/>
    <w:rsid w:val="004A4750"/>
    <w:rsid w:val="004A6A54"/>
    <w:rsid w:val="004A7504"/>
    <w:rsid w:val="004C20D2"/>
    <w:rsid w:val="004C2312"/>
    <w:rsid w:val="004C4B62"/>
    <w:rsid w:val="004C54C9"/>
    <w:rsid w:val="004D4ABA"/>
    <w:rsid w:val="004D6025"/>
    <w:rsid w:val="004E2649"/>
    <w:rsid w:val="004F626F"/>
    <w:rsid w:val="00501399"/>
    <w:rsid w:val="0050633D"/>
    <w:rsid w:val="00507188"/>
    <w:rsid w:val="00507BC4"/>
    <w:rsid w:val="005128E4"/>
    <w:rsid w:val="005133DB"/>
    <w:rsid w:val="00514504"/>
    <w:rsid w:val="00517BF8"/>
    <w:rsid w:val="0052527A"/>
    <w:rsid w:val="00525560"/>
    <w:rsid w:val="00544C49"/>
    <w:rsid w:val="005516A1"/>
    <w:rsid w:val="005559EF"/>
    <w:rsid w:val="005564B7"/>
    <w:rsid w:val="00563557"/>
    <w:rsid w:val="0057402A"/>
    <w:rsid w:val="00574430"/>
    <w:rsid w:val="005771D0"/>
    <w:rsid w:val="0059191A"/>
    <w:rsid w:val="005921FF"/>
    <w:rsid w:val="00592375"/>
    <w:rsid w:val="005A16C4"/>
    <w:rsid w:val="005A24ED"/>
    <w:rsid w:val="005A254F"/>
    <w:rsid w:val="005A5559"/>
    <w:rsid w:val="005A578A"/>
    <w:rsid w:val="005A6D0E"/>
    <w:rsid w:val="005B52B0"/>
    <w:rsid w:val="005B6806"/>
    <w:rsid w:val="005C00E6"/>
    <w:rsid w:val="005C4225"/>
    <w:rsid w:val="005D38F9"/>
    <w:rsid w:val="005D412C"/>
    <w:rsid w:val="005F0DAD"/>
    <w:rsid w:val="005F0F33"/>
    <w:rsid w:val="005F7D53"/>
    <w:rsid w:val="00600DEB"/>
    <w:rsid w:val="00607F61"/>
    <w:rsid w:val="00625A8C"/>
    <w:rsid w:val="00627C9F"/>
    <w:rsid w:val="006311E9"/>
    <w:rsid w:val="00632354"/>
    <w:rsid w:val="00635421"/>
    <w:rsid w:val="00640A3A"/>
    <w:rsid w:val="00642810"/>
    <w:rsid w:val="00642AF9"/>
    <w:rsid w:val="00647D7B"/>
    <w:rsid w:val="0065113A"/>
    <w:rsid w:val="00652333"/>
    <w:rsid w:val="00660693"/>
    <w:rsid w:val="006771B0"/>
    <w:rsid w:val="0068009E"/>
    <w:rsid w:val="00690102"/>
    <w:rsid w:val="00692219"/>
    <w:rsid w:val="006A05B8"/>
    <w:rsid w:val="006A17D2"/>
    <w:rsid w:val="006A73E6"/>
    <w:rsid w:val="006B2D5C"/>
    <w:rsid w:val="006B3471"/>
    <w:rsid w:val="006C4EB1"/>
    <w:rsid w:val="006D5B19"/>
    <w:rsid w:val="006E0166"/>
    <w:rsid w:val="006E2FFB"/>
    <w:rsid w:val="006E7B34"/>
    <w:rsid w:val="006F287F"/>
    <w:rsid w:val="00703601"/>
    <w:rsid w:val="007041B7"/>
    <w:rsid w:val="0070697F"/>
    <w:rsid w:val="0072199C"/>
    <w:rsid w:val="00722C9F"/>
    <w:rsid w:val="00723B7A"/>
    <w:rsid w:val="007253B8"/>
    <w:rsid w:val="0073433D"/>
    <w:rsid w:val="0073741F"/>
    <w:rsid w:val="00740CB7"/>
    <w:rsid w:val="0074558B"/>
    <w:rsid w:val="0076643F"/>
    <w:rsid w:val="00777F63"/>
    <w:rsid w:val="00783937"/>
    <w:rsid w:val="007A5817"/>
    <w:rsid w:val="007B05C4"/>
    <w:rsid w:val="007B32BA"/>
    <w:rsid w:val="007B5437"/>
    <w:rsid w:val="007B60E9"/>
    <w:rsid w:val="007B6CC3"/>
    <w:rsid w:val="007B76D3"/>
    <w:rsid w:val="007C3334"/>
    <w:rsid w:val="007C7E8C"/>
    <w:rsid w:val="007D0B60"/>
    <w:rsid w:val="007D1E6A"/>
    <w:rsid w:val="007D2B98"/>
    <w:rsid w:val="007E21BC"/>
    <w:rsid w:val="007E7C82"/>
    <w:rsid w:val="007F2AA1"/>
    <w:rsid w:val="007F588D"/>
    <w:rsid w:val="008025EA"/>
    <w:rsid w:val="00803F1C"/>
    <w:rsid w:val="0080600E"/>
    <w:rsid w:val="0081249F"/>
    <w:rsid w:val="00814688"/>
    <w:rsid w:val="00817612"/>
    <w:rsid w:val="008227EE"/>
    <w:rsid w:val="00827314"/>
    <w:rsid w:val="0083100C"/>
    <w:rsid w:val="008338A4"/>
    <w:rsid w:val="008340F5"/>
    <w:rsid w:val="00834D49"/>
    <w:rsid w:val="00837C45"/>
    <w:rsid w:val="00844730"/>
    <w:rsid w:val="008457C2"/>
    <w:rsid w:val="00857A82"/>
    <w:rsid w:val="00867314"/>
    <w:rsid w:val="00867C39"/>
    <w:rsid w:val="00873836"/>
    <w:rsid w:val="00876818"/>
    <w:rsid w:val="00885737"/>
    <w:rsid w:val="00890650"/>
    <w:rsid w:val="00897E12"/>
    <w:rsid w:val="008A7E0F"/>
    <w:rsid w:val="008B12F5"/>
    <w:rsid w:val="008C0B43"/>
    <w:rsid w:val="008C5E2D"/>
    <w:rsid w:val="008D768D"/>
    <w:rsid w:val="008E3759"/>
    <w:rsid w:val="008E3BFE"/>
    <w:rsid w:val="008F1912"/>
    <w:rsid w:val="0090270B"/>
    <w:rsid w:val="009041DC"/>
    <w:rsid w:val="00905AE8"/>
    <w:rsid w:val="00906AF9"/>
    <w:rsid w:val="009119D1"/>
    <w:rsid w:val="00917B5A"/>
    <w:rsid w:val="00920A58"/>
    <w:rsid w:val="00920A8C"/>
    <w:rsid w:val="00932EBC"/>
    <w:rsid w:val="00934A2C"/>
    <w:rsid w:val="00955CCE"/>
    <w:rsid w:val="0096706E"/>
    <w:rsid w:val="00970A6D"/>
    <w:rsid w:val="00972434"/>
    <w:rsid w:val="00974491"/>
    <w:rsid w:val="00975C4E"/>
    <w:rsid w:val="00980326"/>
    <w:rsid w:val="00981FBA"/>
    <w:rsid w:val="00997BC5"/>
    <w:rsid w:val="009A4F41"/>
    <w:rsid w:val="009B381B"/>
    <w:rsid w:val="009D1753"/>
    <w:rsid w:val="009D7611"/>
    <w:rsid w:val="009E0B61"/>
    <w:rsid w:val="009E53DE"/>
    <w:rsid w:val="00A00983"/>
    <w:rsid w:val="00A07250"/>
    <w:rsid w:val="00A11212"/>
    <w:rsid w:val="00A11E44"/>
    <w:rsid w:val="00A23907"/>
    <w:rsid w:val="00A268E2"/>
    <w:rsid w:val="00A30100"/>
    <w:rsid w:val="00A328B3"/>
    <w:rsid w:val="00A50FCF"/>
    <w:rsid w:val="00A528D1"/>
    <w:rsid w:val="00A55F71"/>
    <w:rsid w:val="00A610CD"/>
    <w:rsid w:val="00A72E67"/>
    <w:rsid w:val="00A758AA"/>
    <w:rsid w:val="00A77EE7"/>
    <w:rsid w:val="00AA09A2"/>
    <w:rsid w:val="00AA52AC"/>
    <w:rsid w:val="00AA635C"/>
    <w:rsid w:val="00AA7996"/>
    <w:rsid w:val="00AC19CB"/>
    <w:rsid w:val="00AC26F5"/>
    <w:rsid w:val="00AC2A2C"/>
    <w:rsid w:val="00AC544A"/>
    <w:rsid w:val="00AE5488"/>
    <w:rsid w:val="00AE6F91"/>
    <w:rsid w:val="00AF5571"/>
    <w:rsid w:val="00B02691"/>
    <w:rsid w:val="00B07341"/>
    <w:rsid w:val="00B10BE6"/>
    <w:rsid w:val="00B11747"/>
    <w:rsid w:val="00B12D6C"/>
    <w:rsid w:val="00B13230"/>
    <w:rsid w:val="00B26E75"/>
    <w:rsid w:val="00B30539"/>
    <w:rsid w:val="00B314DB"/>
    <w:rsid w:val="00B361F2"/>
    <w:rsid w:val="00B3718B"/>
    <w:rsid w:val="00B3745F"/>
    <w:rsid w:val="00B4632A"/>
    <w:rsid w:val="00B530F1"/>
    <w:rsid w:val="00B72014"/>
    <w:rsid w:val="00B7547F"/>
    <w:rsid w:val="00B81847"/>
    <w:rsid w:val="00B95335"/>
    <w:rsid w:val="00BA276C"/>
    <w:rsid w:val="00BA4D6D"/>
    <w:rsid w:val="00BB306F"/>
    <w:rsid w:val="00BC3678"/>
    <w:rsid w:val="00BD00A2"/>
    <w:rsid w:val="00BD4B89"/>
    <w:rsid w:val="00BD5922"/>
    <w:rsid w:val="00BE0418"/>
    <w:rsid w:val="00BE0737"/>
    <w:rsid w:val="00BE3DB0"/>
    <w:rsid w:val="00BE5397"/>
    <w:rsid w:val="00BF02CB"/>
    <w:rsid w:val="00BF26A6"/>
    <w:rsid w:val="00BF6FD8"/>
    <w:rsid w:val="00C03680"/>
    <w:rsid w:val="00C054DF"/>
    <w:rsid w:val="00C05F0F"/>
    <w:rsid w:val="00C21762"/>
    <w:rsid w:val="00C21FEF"/>
    <w:rsid w:val="00C23BA4"/>
    <w:rsid w:val="00C24543"/>
    <w:rsid w:val="00C250BC"/>
    <w:rsid w:val="00C256A2"/>
    <w:rsid w:val="00C25ADB"/>
    <w:rsid w:val="00C33E01"/>
    <w:rsid w:val="00C372A9"/>
    <w:rsid w:val="00C40027"/>
    <w:rsid w:val="00C4744B"/>
    <w:rsid w:val="00C51515"/>
    <w:rsid w:val="00C5660B"/>
    <w:rsid w:val="00C66B72"/>
    <w:rsid w:val="00C741C1"/>
    <w:rsid w:val="00C82CBA"/>
    <w:rsid w:val="00C87AC4"/>
    <w:rsid w:val="00C9567A"/>
    <w:rsid w:val="00CA4228"/>
    <w:rsid w:val="00CB212D"/>
    <w:rsid w:val="00CB2660"/>
    <w:rsid w:val="00CC442D"/>
    <w:rsid w:val="00CC5E90"/>
    <w:rsid w:val="00CD046C"/>
    <w:rsid w:val="00CD1DB4"/>
    <w:rsid w:val="00CE076C"/>
    <w:rsid w:val="00CE13B3"/>
    <w:rsid w:val="00CE1930"/>
    <w:rsid w:val="00CE5199"/>
    <w:rsid w:val="00CE66D5"/>
    <w:rsid w:val="00CF05CE"/>
    <w:rsid w:val="00CF637A"/>
    <w:rsid w:val="00D059DE"/>
    <w:rsid w:val="00D05ABD"/>
    <w:rsid w:val="00D13530"/>
    <w:rsid w:val="00D13FCE"/>
    <w:rsid w:val="00D306D1"/>
    <w:rsid w:val="00D30800"/>
    <w:rsid w:val="00D3214B"/>
    <w:rsid w:val="00D34786"/>
    <w:rsid w:val="00D37BFC"/>
    <w:rsid w:val="00D4708F"/>
    <w:rsid w:val="00D47A8E"/>
    <w:rsid w:val="00D47A99"/>
    <w:rsid w:val="00D52D14"/>
    <w:rsid w:val="00D712D3"/>
    <w:rsid w:val="00D71422"/>
    <w:rsid w:val="00D72DC6"/>
    <w:rsid w:val="00D73735"/>
    <w:rsid w:val="00D746C3"/>
    <w:rsid w:val="00D74C0A"/>
    <w:rsid w:val="00D7558D"/>
    <w:rsid w:val="00D76D56"/>
    <w:rsid w:val="00D81D92"/>
    <w:rsid w:val="00D839AA"/>
    <w:rsid w:val="00D876F9"/>
    <w:rsid w:val="00DA2142"/>
    <w:rsid w:val="00DA7B5F"/>
    <w:rsid w:val="00DC11E7"/>
    <w:rsid w:val="00DC24E3"/>
    <w:rsid w:val="00DC7023"/>
    <w:rsid w:val="00DC769A"/>
    <w:rsid w:val="00DD3D86"/>
    <w:rsid w:val="00DD3E83"/>
    <w:rsid w:val="00DD4AD2"/>
    <w:rsid w:val="00DD65ED"/>
    <w:rsid w:val="00DE0841"/>
    <w:rsid w:val="00DF1EC4"/>
    <w:rsid w:val="00E0340B"/>
    <w:rsid w:val="00E04A90"/>
    <w:rsid w:val="00E0551F"/>
    <w:rsid w:val="00E072C3"/>
    <w:rsid w:val="00E219C7"/>
    <w:rsid w:val="00E378A3"/>
    <w:rsid w:val="00E4118C"/>
    <w:rsid w:val="00E43157"/>
    <w:rsid w:val="00E461CE"/>
    <w:rsid w:val="00E51EB8"/>
    <w:rsid w:val="00E54D28"/>
    <w:rsid w:val="00E55A05"/>
    <w:rsid w:val="00E573E4"/>
    <w:rsid w:val="00E64C3D"/>
    <w:rsid w:val="00E64D14"/>
    <w:rsid w:val="00E67C67"/>
    <w:rsid w:val="00E720CA"/>
    <w:rsid w:val="00E775CD"/>
    <w:rsid w:val="00E82DDC"/>
    <w:rsid w:val="00E84EB5"/>
    <w:rsid w:val="00E85662"/>
    <w:rsid w:val="00E8789F"/>
    <w:rsid w:val="00E95CDD"/>
    <w:rsid w:val="00E97B2B"/>
    <w:rsid w:val="00E97B71"/>
    <w:rsid w:val="00EA3D34"/>
    <w:rsid w:val="00EA7E1D"/>
    <w:rsid w:val="00EB197F"/>
    <w:rsid w:val="00EB454D"/>
    <w:rsid w:val="00EC5722"/>
    <w:rsid w:val="00ED549D"/>
    <w:rsid w:val="00ED76BE"/>
    <w:rsid w:val="00EE00E9"/>
    <w:rsid w:val="00EE48AB"/>
    <w:rsid w:val="00EE5413"/>
    <w:rsid w:val="00EF1AAA"/>
    <w:rsid w:val="00EF3D84"/>
    <w:rsid w:val="00EF619B"/>
    <w:rsid w:val="00EF76F5"/>
    <w:rsid w:val="00F00B55"/>
    <w:rsid w:val="00F02AD1"/>
    <w:rsid w:val="00F152EF"/>
    <w:rsid w:val="00F253CC"/>
    <w:rsid w:val="00F3643C"/>
    <w:rsid w:val="00F37106"/>
    <w:rsid w:val="00F44E25"/>
    <w:rsid w:val="00F519CF"/>
    <w:rsid w:val="00F56397"/>
    <w:rsid w:val="00F56BA5"/>
    <w:rsid w:val="00F60E22"/>
    <w:rsid w:val="00F639F1"/>
    <w:rsid w:val="00F7399F"/>
    <w:rsid w:val="00F73DBF"/>
    <w:rsid w:val="00F81395"/>
    <w:rsid w:val="00F81BB8"/>
    <w:rsid w:val="00F90C64"/>
    <w:rsid w:val="00F917D1"/>
    <w:rsid w:val="00F94E6F"/>
    <w:rsid w:val="00F9653B"/>
    <w:rsid w:val="00F9759E"/>
    <w:rsid w:val="00FA2FDD"/>
    <w:rsid w:val="00FA67BD"/>
    <w:rsid w:val="00FB62CF"/>
    <w:rsid w:val="00FC642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B32B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980326"/>
    <w:rPr>
      <w:rFonts w:ascii="Cambria" w:eastAsia="Cambria" w:hAnsi="Cambria" w:cs="Cambria"/>
      <w:color w:val="000000"/>
      <w:sz w:val="24"/>
      <w:szCs w:val="24"/>
      <w:u w:color="000000"/>
      <w:lang w:val="en-US"/>
    </w:rPr>
  </w:style>
  <w:style w:type="paragraph" w:customStyle="1" w:styleId="paragraph">
    <w:name w:val="paragraph"/>
    <w:basedOn w:val="Normal"/>
    <w:rsid w:val="005A16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A16C4"/>
  </w:style>
  <w:style w:type="character" w:customStyle="1" w:styleId="eop">
    <w:name w:val="eop"/>
    <w:basedOn w:val="DefaultParagraphFont"/>
    <w:rsid w:val="005A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80671">
      <w:bodyDiv w:val="1"/>
      <w:marLeft w:val="0"/>
      <w:marRight w:val="0"/>
      <w:marTop w:val="0"/>
      <w:marBottom w:val="0"/>
      <w:divBdr>
        <w:top w:val="none" w:sz="0" w:space="0" w:color="auto"/>
        <w:left w:val="none" w:sz="0" w:space="0" w:color="auto"/>
        <w:bottom w:val="none" w:sz="0" w:space="0" w:color="auto"/>
        <w:right w:val="none" w:sz="0" w:space="0" w:color="auto"/>
      </w:divBdr>
      <w:divsChild>
        <w:div w:id="2103724521">
          <w:marLeft w:val="0"/>
          <w:marRight w:val="0"/>
          <w:marTop w:val="0"/>
          <w:marBottom w:val="0"/>
          <w:divBdr>
            <w:top w:val="none" w:sz="0" w:space="0" w:color="auto"/>
            <w:left w:val="none" w:sz="0" w:space="0" w:color="auto"/>
            <w:bottom w:val="none" w:sz="0" w:space="0" w:color="auto"/>
            <w:right w:val="none" w:sz="0" w:space="0" w:color="auto"/>
          </w:divBdr>
        </w:div>
      </w:divsChild>
    </w:div>
    <w:div w:id="261764742">
      <w:bodyDiv w:val="1"/>
      <w:marLeft w:val="0"/>
      <w:marRight w:val="0"/>
      <w:marTop w:val="0"/>
      <w:marBottom w:val="0"/>
      <w:divBdr>
        <w:top w:val="none" w:sz="0" w:space="0" w:color="auto"/>
        <w:left w:val="none" w:sz="0" w:space="0" w:color="auto"/>
        <w:bottom w:val="none" w:sz="0" w:space="0" w:color="auto"/>
        <w:right w:val="none" w:sz="0" w:space="0" w:color="auto"/>
      </w:divBdr>
    </w:div>
    <w:div w:id="315306038">
      <w:bodyDiv w:val="1"/>
      <w:marLeft w:val="0"/>
      <w:marRight w:val="0"/>
      <w:marTop w:val="0"/>
      <w:marBottom w:val="0"/>
      <w:divBdr>
        <w:top w:val="none" w:sz="0" w:space="0" w:color="auto"/>
        <w:left w:val="none" w:sz="0" w:space="0" w:color="auto"/>
        <w:bottom w:val="none" w:sz="0" w:space="0" w:color="auto"/>
        <w:right w:val="none" w:sz="0" w:space="0" w:color="auto"/>
      </w:divBdr>
    </w:div>
    <w:div w:id="318197053">
      <w:bodyDiv w:val="1"/>
      <w:marLeft w:val="0"/>
      <w:marRight w:val="0"/>
      <w:marTop w:val="0"/>
      <w:marBottom w:val="0"/>
      <w:divBdr>
        <w:top w:val="none" w:sz="0" w:space="0" w:color="auto"/>
        <w:left w:val="none" w:sz="0" w:space="0" w:color="auto"/>
        <w:bottom w:val="none" w:sz="0" w:space="0" w:color="auto"/>
        <w:right w:val="none" w:sz="0" w:space="0" w:color="auto"/>
      </w:divBdr>
      <w:divsChild>
        <w:div w:id="353381806">
          <w:marLeft w:val="0"/>
          <w:marRight w:val="0"/>
          <w:marTop w:val="0"/>
          <w:marBottom w:val="0"/>
          <w:divBdr>
            <w:top w:val="none" w:sz="0" w:space="0" w:color="auto"/>
            <w:left w:val="none" w:sz="0" w:space="0" w:color="auto"/>
            <w:bottom w:val="none" w:sz="0" w:space="0" w:color="auto"/>
            <w:right w:val="none" w:sz="0" w:space="0" w:color="auto"/>
          </w:divBdr>
        </w:div>
      </w:divsChild>
    </w:div>
    <w:div w:id="619340882">
      <w:bodyDiv w:val="1"/>
      <w:marLeft w:val="0"/>
      <w:marRight w:val="0"/>
      <w:marTop w:val="0"/>
      <w:marBottom w:val="0"/>
      <w:divBdr>
        <w:top w:val="none" w:sz="0" w:space="0" w:color="auto"/>
        <w:left w:val="none" w:sz="0" w:space="0" w:color="auto"/>
        <w:bottom w:val="none" w:sz="0" w:space="0" w:color="auto"/>
        <w:right w:val="none" w:sz="0" w:space="0" w:color="auto"/>
      </w:divBdr>
    </w:div>
    <w:div w:id="1019743970">
      <w:bodyDiv w:val="1"/>
      <w:marLeft w:val="0"/>
      <w:marRight w:val="0"/>
      <w:marTop w:val="0"/>
      <w:marBottom w:val="0"/>
      <w:divBdr>
        <w:top w:val="none" w:sz="0" w:space="0" w:color="auto"/>
        <w:left w:val="none" w:sz="0" w:space="0" w:color="auto"/>
        <w:bottom w:val="none" w:sz="0" w:space="0" w:color="auto"/>
        <w:right w:val="none" w:sz="0" w:space="0" w:color="auto"/>
      </w:divBdr>
    </w:div>
    <w:div w:id="116150487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92339923">
      <w:bodyDiv w:val="1"/>
      <w:marLeft w:val="0"/>
      <w:marRight w:val="0"/>
      <w:marTop w:val="0"/>
      <w:marBottom w:val="0"/>
      <w:divBdr>
        <w:top w:val="none" w:sz="0" w:space="0" w:color="auto"/>
        <w:left w:val="none" w:sz="0" w:space="0" w:color="auto"/>
        <w:bottom w:val="none" w:sz="0" w:space="0" w:color="auto"/>
        <w:right w:val="none" w:sz="0" w:space="0" w:color="auto"/>
      </w:divBdr>
    </w:div>
    <w:div w:id="17077509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7410"/>
    <w:rsid w:val="00136030"/>
    <w:rsid w:val="001B68CE"/>
    <w:rsid w:val="00200821"/>
    <w:rsid w:val="00201CE6"/>
    <w:rsid w:val="00217A33"/>
    <w:rsid w:val="00244867"/>
    <w:rsid w:val="0025245B"/>
    <w:rsid w:val="002A3923"/>
    <w:rsid w:val="00394049"/>
    <w:rsid w:val="003E4EFC"/>
    <w:rsid w:val="004B5BBB"/>
    <w:rsid w:val="004F2DF8"/>
    <w:rsid w:val="00590984"/>
    <w:rsid w:val="00625A8C"/>
    <w:rsid w:val="006F24A1"/>
    <w:rsid w:val="0074558B"/>
    <w:rsid w:val="00787C63"/>
    <w:rsid w:val="00972434"/>
    <w:rsid w:val="009A261B"/>
    <w:rsid w:val="009C3CB6"/>
    <w:rsid w:val="00A4418E"/>
    <w:rsid w:val="00AA2E17"/>
    <w:rsid w:val="00AC15A4"/>
    <w:rsid w:val="00AC2A2C"/>
    <w:rsid w:val="00B0336C"/>
    <w:rsid w:val="00B26E75"/>
    <w:rsid w:val="00B30277"/>
    <w:rsid w:val="00BA4D6D"/>
    <w:rsid w:val="00D241E9"/>
    <w:rsid w:val="00D74C0A"/>
    <w:rsid w:val="00D7750D"/>
    <w:rsid w:val="00EC1D3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D754B60E-E9F8-4C6D-9EB4-2280949E4E5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A10A1E9D-11BB-4E59-B834-88D101F4E604}">
  <ds:schemaRefs>
    <ds:schemaRef ds:uri="http://schemas.microsoft.com/sharepoint/v3/contenttype/forms"/>
  </ds:schemaRefs>
</ds:datastoreItem>
</file>

<file path=customXml/itemProps4.xml><?xml version="1.0" encoding="utf-8"?>
<ds:datastoreItem xmlns:ds="http://schemas.openxmlformats.org/officeDocument/2006/customXml" ds:itemID="{F049C1AF-C1FB-4E7B-BA2B-2B405FE0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2992</Words>
  <Characters>17056</Characters>
  <Application>Microsoft Office Word</Application>
  <DocSecurity>0</DocSecurity>
  <Lines>142</Lines>
  <Paragraphs>40</Paragraphs>
  <ScaleCrop>false</ScaleCrop>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2025-08-25T21:00:00Z</dcterms:created>
  <dcterms:modified xsi:type="dcterms:W3CDTF">2025-08-25T21:00:00Z</dcterms:modified>
</cp:coreProperties>
</file>