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C694" w14:textId="77777777" w:rsidR="009F3A2C" w:rsidRPr="00C7542C" w:rsidRDefault="009F3A2C" w:rsidP="009F3A2C">
      <w:pPr>
        <w:jc w:val="both"/>
        <w:rPr>
          <w:rFonts w:asciiTheme="majorHAnsi" w:hAnsiTheme="majorHAnsi" w:cs="Univers"/>
          <w:b/>
          <w:bCs/>
          <w:sz w:val="22"/>
          <w:szCs w:val="22"/>
          <w:lang w:val="es-ES_tradnl"/>
        </w:rPr>
      </w:pPr>
      <w:r w:rsidRPr="00C7542C">
        <w:rPr>
          <w:rFonts w:asciiTheme="majorHAnsi" w:hAnsiTheme="majorHAnsi"/>
          <w:noProof/>
          <w:sz w:val="22"/>
          <w:szCs w:val="22"/>
          <w:lang w:val="es-AR" w:eastAsia="es-AR"/>
        </w:rPr>
        <mc:AlternateContent>
          <mc:Choice Requires="wps">
            <w:drawing>
              <wp:anchor distT="0" distB="0" distL="114300" distR="114300" simplePos="0" relativeHeight="251659264" behindDoc="0" locked="0" layoutInCell="1" allowOverlap="1" wp14:anchorId="22FD671D" wp14:editId="4CF90F90">
                <wp:simplePos x="0" y="0"/>
                <wp:positionH relativeFrom="column">
                  <wp:posOffset>-414670</wp:posOffset>
                </wp:positionH>
                <wp:positionV relativeFrom="paragraph">
                  <wp:posOffset>-435935</wp:posOffset>
                </wp:positionV>
                <wp:extent cx="1543050" cy="8761228"/>
                <wp:effectExtent l="0" t="0" r="6350" b="1905"/>
                <wp:wrapNone/>
                <wp:docPr id="1" name="Rectangle 1"/>
                <wp:cNvGraphicFramePr/>
                <a:graphic xmlns:a="http://schemas.openxmlformats.org/drawingml/2006/main">
                  <a:graphicData uri="http://schemas.microsoft.com/office/word/2010/wordprocessingShape">
                    <wps:wsp>
                      <wps:cNvSpPr/>
                      <wps:spPr>
                        <a:xfrm>
                          <a:off x="0" y="0"/>
                          <a:ext cx="1543050" cy="8761228"/>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0FC1" id="Rectangle 1" o:spid="_x0000_s1026" style="position:absolute;margin-left:-32.65pt;margin-top:-34.35pt;width:121.5pt;height:6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" fillcolor="#4a7194" stroked="f" strokeweight="1pt"/>
            </w:pict>
          </mc:Fallback>
        </mc:AlternateContent>
      </w:r>
      <w:r w:rsidRPr="00C7542C">
        <w:rPr>
          <w:rFonts w:asciiTheme="majorHAnsi" w:hAnsiTheme="majorHAnsi"/>
          <w:noProof/>
          <w:sz w:val="22"/>
          <w:szCs w:val="22"/>
          <w:lang w:val="es-AR" w:eastAsia="es-AR"/>
        </w:rPr>
        <mc:AlternateContent>
          <mc:Choice Requires="wps">
            <w:drawing>
              <wp:anchor distT="0" distB="0" distL="114300" distR="114300" simplePos="0" relativeHeight="251663360" behindDoc="0" locked="0" layoutInCell="1" allowOverlap="1" wp14:anchorId="6071AF77" wp14:editId="0465537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5E824" w14:textId="77777777" w:rsidR="005076F9" w:rsidRDefault="005076F9" w:rsidP="009F3A2C">
                            <w:r>
                              <w:rPr>
                                <w:noProof/>
                                <w:lang w:val="es-AR" w:eastAsia="es-AR"/>
                              </w:rPr>
                              <w:drawing>
                                <wp:inline distT="0" distB="0" distL="0" distR="0" wp14:anchorId="643924FB" wp14:editId="7F4C8F24">
                                  <wp:extent cx="2647666" cy="509676"/>
                                  <wp:effectExtent l="0" t="0" r="635" b="5080"/>
                                  <wp:docPr id="14"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1AF7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5B5E824" w14:textId="77777777" w:rsidR="005076F9" w:rsidRDefault="005076F9" w:rsidP="009F3A2C">
                      <w:r>
                        <w:rPr>
                          <w:noProof/>
                          <w:lang w:val="es-AR" w:eastAsia="es-AR"/>
                        </w:rPr>
                        <w:drawing>
                          <wp:inline distT="0" distB="0" distL="0" distR="0" wp14:anchorId="643924FB" wp14:editId="7F4C8F24">
                            <wp:extent cx="2647666" cy="509676"/>
                            <wp:effectExtent l="0" t="0" r="635" b="5080"/>
                            <wp:docPr id="14"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B18C4C0" w14:textId="77777777" w:rsidR="009F3A2C" w:rsidRPr="00C7542C" w:rsidRDefault="009F3A2C" w:rsidP="009F3A2C">
      <w:pPr>
        <w:tabs>
          <w:tab w:val="center" w:pos="5400"/>
        </w:tabs>
        <w:suppressAutoHyphens/>
        <w:jc w:val="both"/>
        <w:rPr>
          <w:rFonts w:asciiTheme="majorHAnsi" w:hAnsiTheme="majorHAnsi"/>
          <w:sz w:val="22"/>
          <w:szCs w:val="22"/>
        </w:rPr>
      </w:pPr>
    </w:p>
    <w:p w14:paraId="3040E14E" w14:textId="77777777" w:rsidR="009F3A2C" w:rsidRPr="00C7542C" w:rsidRDefault="009F3A2C" w:rsidP="009F3A2C">
      <w:pPr>
        <w:tabs>
          <w:tab w:val="center" w:pos="5400"/>
        </w:tabs>
        <w:suppressAutoHyphens/>
        <w:jc w:val="both"/>
        <w:rPr>
          <w:rFonts w:asciiTheme="majorHAnsi" w:hAnsiTheme="majorHAnsi"/>
          <w:sz w:val="22"/>
          <w:szCs w:val="22"/>
        </w:rPr>
      </w:pPr>
    </w:p>
    <w:p w14:paraId="441038F0" w14:textId="77777777" w:rsidR="009F3A2C" w:rsidRPr="00C7542C" w:rsidRDefault="009F3A2C" w:rsidP="009F3A2C">
      <w:pPr>
        <w:tabs>
          <w:tab w:val="center" w:pos="5400"/>
        </w:tabs>
        <w:suppressAutoHyphens/>
        <w:rPr>
          <w:rFonts w:asciiTheme="majorHAnsi" w:hAnsiTheme="majorHAnsi"/>
          <w:sz w:val="22"/>
          <w:szCs w:val="22"/>
          <w:lang w:val="es-ES_tradnl"/>
        </w:rPr>
      </w:pPr>
    </w:p>
    <w:p w14:paraId="7DAD9121"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06A5A470" w14:textId="4ED22AC6" w:rsidR="009F3A2C" w:rsidRPr="00C7542C" w:rsidRDefault="000E58C0" w:rsidP="009F3A2C">
      <w:pPr>
        <w:tabs>
          <w:tab w:val="center" w:pos="5400"/>
        </w:tabs>
        <w:suppressAutoHyphens/>
        <w:jc w:val="center"/>
        <w:rPr>
          <w:rFonts w:asciiTheme="majorHAnsi" w:hAnsiTheme="majorHAnsi"/>
          <w:sz w:val="22"/>
          <w:szCs w:val="22"/>
          <w:lang w:val="es-ES_tradnl"/>
        </w:rPr>
      </w:pPr>
      <w:r w:rsidRPr="00C7542C">
        <w:rPr>
          <w:rFonts w:asciiTheme="majorHAnsi" w:hAnsiTheme="majorHAnsi"/>
          <w:noProof/>
          <w:sz w:val="22"/>
          <w:szCs w:val="22"/>
          <w:lang w:val="es-AR" w:eastAsia="es-AR"/>
        </w:rPr>
        <mc:AlternateContent>
          <mc:Choice Requires="wps">
            <w:drawing>
              <wp:anchor distT="0" distB="0" distL="114300" distR="114300" simplePos="0" relativeHeight="251662336" behindDoc="0" locked="0" layoutInCell="1" allowOverlap="1" wp14:anchorId="51C444FE" wp14:editId="03C12E32">
                <wp:simplePos x="0" y="0"/>
                <wp:positionH relativeFrom="column">
                  <wp:posOffset>-339365</wp:posOffset>
                </wp:positionH>
                <wp:positionV relativeFrom="paragraph">
                  <wp:posOffset>168196</wp:posOffset>
                </wp:positionV>
                <wp:extent cx="1467636" cy="1291473"/>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7636" cy="1291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DED4B" w14:textId="18677FD3" w:rsidR="005076F9" w:rsidRPr="00751F79" w:rsidRDefault="005076F9" w:rsidP="00751F79">
                            <w:pPr>
                              <w:spacing w:line="276" w:lineRule="auto"/>
                              <w:jc w:val="right"/>
                              <w:rPr>
                                <w:rFonts w:ascii="Cambria" w:hAnsi="Cambria"/>
                                <w:color w:val="FFFFFF" w:themeColor="background1"/>
                                <w:sz w:val="22"/>
                                <w:lang w:val="es-US"/>
                              </w:rPr>
                            </w:pPr>
                            <w:r w:rsidRPr="00751F79">
                              <w:rPr>
                                <w:rFonts w:ascii="Cambria" w:hAnsi="Cambria"/>
                                <w:color w:val="FFFFFF" w:themeColor="background1"/>
                                <w:sz w:val="22"/>
                                <w:lang w:val="es-US"/>
                              </w:rPr>
                              <w:t>OEA/Ser.L/V/II</w:t>
                            </w:r>
                          </w:p>
                          <w:p w14:paraId="00151B42" w14:textId="34ED5F59" w:rsidR="005076F9" w:rsidRPr="00DD3A50" w:rsidRDefault="005076F9" w:rsidP="00751F79">
                            <w:pPr>
                              <w:spacing w:line="276" w:lineRule="auto"/>
                              <w:jc w:val="right"/>
                              <w:rPr>
                                <w:rFonts w:ascii="Cambria" w:hAnsi="Cambria"/>
                                <w:color w:val="FFFFFF" w:themeColor="background1"/>
                                <w:sz w:val="22"/>
                                <w:lang w:val="es-US"/>
                              </w:rPr>
                            </w:pPr>
                            <w:r w:rsidRPr="00751F79">
                              <w:rPr>
                                <w:rFonts w:ascii="Cambria" w:hAnsi="Cambria"/>
                                <w:color w:val="FFFFFF" w:themeColor="background1"/>
                                <w:sz w:val="22"/>
                                <w:lang w:val="es-US"/>
                              </w:rPr>
                              <w:t>Doc</w:t>
                            </w:r>
                            <w:r w:rsidRPr="00DD3A50">
                              <w:rPr>
                                <w:rFonts w:ascii="Cambria" w:hAnsi="Cambria"/>
                                <w:color w:val="FFFFFF" w:themeColor="background1"/>
                                <w:sz w:val="22"/>
                                <w:lang w:val="es-US"/>
                              </w:rPr>
                              <w:t xml:space="preserve">. </w:t>
                            </w:r>
                            <w:r w:rsidR="00751F79">
                              <w:rPr>
                                <w:rFonts w:ascii="Cambria" w:hAnsi="Cambria"/>
                                <w:color w:val="FFFFFF" w:themeColor="background1"/>
                                <w:sz w:val="22"/>
                                <w:lang w:val="es-US"/>
                              </w:rPr>
                              <w:t>116</w:t>
                            </w:r>
                          </w:p>
                          <w:p w14:paraId="44C3719E" w14:textId="523655E8" w:rsidR="005076F9" w:rsidRPr="00722598" w:rsidRDefault="00CF40FE" w:rsidP="00751F79">
                            <w:pPr>
                              <w:spacing w:line="276" w:lineRule="auto"/>
                              <w:jc w:val="right"/>
                              <w:rPr>
                                <w:rFonts w:ascii="Cambria" w:hAnsi="Cambria"/>
                                <w:color w:val="FFFFFF" w:themeColor="background1"/>
                                <w:sz w:val="22"/>
                                <w:lang w:val="es-AR"/>
                              </w:rPr>
                            </w:pPr>
                            <w:r>
                              <w:rPr>
                                <w:rFonts w:ascii="Cambria" w:hAnsi="Cambria"/>
                                <w:color w:val="FFFFFF" w:themeColor="background1"/>
                                <w:sz w:val="22"/>
                                <w:lang w:val="es-AR"/>
                              </w:rPr>
                              <w:t>14 julio</w:t>
                            </w:r>
                            <w:r w:rsidR="005076F9" w:rsidRPr="00722598">
                              <w:rPr>
                                <w:rFonts w:ascii="Cambria" w:hAnsi="Cambria"/>
                                <w:color w:val="FFFFFF" w:themeColor="background1"/>
                                <w:sz w:val="22"/>
                                <w:lang w:val="es-AR"/>
                              </w:rPr>
                              <w:t xml:space="preserve"> 20</w:t>
                            </w:r>
                            <w:r w:rsidR="00722598" w:rsidRPr="00722598">
                              <w:rPr>
                                <w:rFonts w:ascii="Cambria" w:hAnsi="Cambria"/>
                                <w:color w:val="FFFFFF" w:themeColor="background1"/>
                                <w:sz w:val="22"/>
                                <w:lang w:val="es-AR"/>
                              </w:rPr>
                              <w:t>2</w:t>
                            </w:r>
                            <w:r w:rsidR="00B43381">
                              <w:rPr>
                                <w:rFonts w:ascii="Cambria" w:hAnsi="Cambria"/>
                                <w:color w:val="FFFFFF" w:themeColor="background1"/>
                                <w:sz w:val="22"/>
                                <w:lang w:val="es-AR"/>
                              </w:rPr>
                              <w:t>5</w:t>
                            </w:r>
                          </w:p>
                          <w:p w14:paraId="18EA8E8C" w14:textId="77777777" w:rsidR="005076F9" w:rsidRPr="009F3A2C" w:rsidRDefault="005076F9" w:rsidP="00751F79">
                            <w:pPr>
                              <w:spacing w:line="276" w:lineRule="auto"/>
                              <w:jc w:val="right"/>
                              <w:rPr>
                                <w:rFonts w:ascii="Cambria" w:hAnsi="Cambria"/>
                                <w:color w:val="FFFFFF" w:themeColor="background1"/>
                                <w:sz w:val="22"/>
                                <w:lang w:val="es-AR"/>
                              </w:rPr>
                            </w:pPr>
                            <w:r w:rsidRPr="009F3A2C">
                              <w:rPr>
                                <w:rFonts w:ascii="Cambria" w:hAnsi="Cambria"/>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44FE" id="Text Box 8" o:spid="_x0000_s1027" type="#_x0000_t202" style="position:absolute;left:0;text-align:left;margin-left:-26.7pt;margin-top:13.25pt;width:115.55pt;height:10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" filled="f" stroked="f" strokeweight=".5pt">
                <v:textbox>
                  <w:txbxContent>
                    <w:p w14:paraId="1DCDED4B" w14:textId="18677FD3" w:rsidR="005076F9" w:rsidRPr="00751F79" w:rsidRDefault="005076F9" w:rsidP="00751F79">
                      <w:pPr>
                        <w:spacing w:line="276" w:lineRule="auto"/>
                        <w:jc w:val="right"/>
                        <w:rPr>
                          <w:rFonts w:ascii="Cambria" w:hAnsi="Cambria"/>
                          <w:color w:val="FFFFFF" w:themeColor="background1"/>
                          <w:sz w:val="22"/>
                          <w:lang w:val="es-US"/>
                        </w:rPr>
                      </w:pPr>
                      <w:r w:rsidRPr="00751F79">
                        <w:rPr>
                          <w:rFonts w:ascii="Cambria" w:hAnsi="Cambria"/>
                          <w:color w:val="FFFFFF" w:themeColor="background1"/>
                          <w:sz w:val="22"/>
                          <w:lang w:val="es-US"/>
                        </w:rPr>
                        <w:t>OEA/Ser.L/V/II</w:t>
                      </w:r>
                    </w:p>
                    <w:p w14:paraId="00151B42" w14:textId="34ED5F59" w:rsidR="005076F9" w:rsidRPr="00DD3A50" w:rsidRDefault="005076F9" w:rsidP="00751F79">
                      <w:pPr>
                        <w:spacing w:line="276" w:lineRule="auto"/>
                        <w:jc w:val="right"/>
                        <w:rPr>
                          <w:rFonts w:ascii="Cambria" w:hAnsi="Cambria"/>
                          <w:color w:val="FFFFFF" w:themeColor="background1"/>
                          <w:sz w:val="22"/>
                          <w:lang w:val="es-US"/>
                        </w:rPr>
                      </w:pPr>
                      <w:r w:rsidRPr="00751F79">
                        <w:rPr>
                          <w:rFonts w:ascii="Cambria" w:hAnsi="Cambria"/>
                          <w:color w:val="FFFFFF" w:themeColor="background1"/>
                          <w:sz w:val="22"/>
                          <w:lang w:val="es-US"/>
                        </w:rPr>
                        <w:t>Doc</w:t>
                      </w:r>
                      <w:r w:rsidRPr="00DD3A50">
                        <w:rPr>
                          <w:rFonts w:ascii="Cambria" w:hAnsi="Cambria"/>
                          <w:color w:val="FFFFFF" w:themeColor="background1"/>
                          <w:sz w:val="22"/>
                          <w:lang w:val="es-US"/>
                        </w:rPr>
                        <w:t xml:space="preserve">. </w:t>
                      </w:r>
                      <w:r w:rsidR="00751F79">
                        <w:rPr>
                          <w:rFonts w:ascii="Cambria" w:hAnsi="Cambria"/>
                          <w:color w:val="FFFFFF" w:themeColor="background1"/>
                          <w:sz w:val="22"/>
                          <w:lang w:val="es-US"/>
                        </w:rPr>
                        <w:t>116</w:t>
                      </w:r>
                    </w:p>
                    <w:p w14:paraId="44C3719E" w14:textId="523655E8" w:rsidR="005076F9" w:rsidRPr="00722598" w:rsidRDefault="00CF40FE" w:rsidP="00751F79">
                      <w:pPr>
                        <w:spacing w:line="276" w:lineRule="auto"/>
                        <w:jc w:val="right"/>
                        <w:rPr>
                          <w:rFonts w:ascii="Cambria" w:hAnsi="Cambria"/>
                          <w:color w:val="FFFFFF" w:themeColor="background1"/>
                          <w:sz w:val="22"/>
                          <w:lang w:val="es-AR"/>
                        </w:rPr>
                      </w:pPr>
                      <w:r>
                        <w:rPr>
                          <w:rFonts w:ascii="Cambria" w:hAnsi="Cambria"/>
                          <w:color w:val="FFFFFF" w:themeColor="background1"/>
                          <w:sz w:val="22"/>
                          <w:lang w:val="es-AR"/>
                        </w:rPr>
                        <w:t>14 julio</w:t>
                      </w:r>
                      <w:r w:rsidR="005076F9" w:rsidRPr="00722598">
                        <w:rPr>
                          <w:rFonts w:ascii="Cambria" w:hAnsi="Cambria"/>
                          <w:color w:val="FFFFFF" w:themeColor="background1"/>
                          <w:sz w:val="22"/>
                          <w:lang w:val="es-AR"/>
                        </w:rPr>
                        <w:t xml:space="preserve"> 20</w:t>
                      </w:r>
                      <w:r w:rsidR="00722598" w:rsidRPr="00722598">
                        <w:rPr>
                          <w:rFonts w:ascii="Cambria" w:hAnsi="Cambria"/>
                          <w:color w:val="FFFFFF" w:themeColor="background1"/>
                          <w:sz w:val="22"/>
                          <w:lang w:val="es-AR"/>
                        </w:rPr>
                        <w:t>2</w:t>
                      </w:r>
                      <w:r w:rsidR="00B43381">
                        <w:rPr>
                          <w:rFonts w:ascii="Cambria" w:hAnsi="Cambria"/>
                          <w:color w:val="FFFFFF" w:themeColor="background1"/>
                          <w:sz w:val="22"/>
                          <w:lang w:val="es-AR"/>
                        </w:rPr>
                        <w:t>5</w:t>
                      </w:r>
                    </w:p>
                    <w:p w14:paraId="18EA8E8C" w14:textId="77777777" w:rsidR="005076F9" w:rsidRPr="009F3A2C" w:rsidRDefault="005076F9" w:rsidP="00751F79">
                      <w:pPr>
                        <w:spacing w:line="276" w:lineRule="auto"/>
                        <w:jc w:val="right"/>
                        <w:rPr>
                          <w:rFonts w:ascii="Cambria" w:hAnsi="Cambria"/>
                          <w:color w:val="FFFFFF" w:themeColor="background1"/>
                          <w:sz w:val="22"/>
                          <w:lang w:val="es-AR"/>
                        </w:rPr>
                      </w:pPr>
                      <w:r w:rsidRPr="009F3A2C">
                        <w:rPr>
                          <w:rFonts w:ascii="Cambria" w:hAnsi="Cambria"/>
                          <w:color w:val="FFFFFF" w:themeColor="background1"/>
                          <w:sz w:val="22"/>
                          <w:lang w:val="es-AR"/>
                        </w:rPr>
                        <w:t>Original: español</w:t>
                      </w:r>
                    </w:p>
                  </w:txbxContent>
                </v:textbox>
              </v:shape>
            </w:pict>
          </mc:Fallback>
        </mc:AlternateContent>
      </w:r>
      <w:r w:rsidR="009F3A2C" w:rsidRPr="00C7542C">
        <w:rPr>
          <w:rFonts w:asciiTheme="majorHAnsi" w:hAnsiTheme="majorHAnsi"/>
          <w:noProof/>
          <w:sz w:val="22"/>
          <w:szCs w:val="22"/>
          <w:lang w:val="es-AR" w:eastAsia="es-AR"/>
        </w:rPr>
        <mc:AlternateContent>
          <mc:Choice Requires="wps">
            <w:drawing>
              <wp:anchor distT="0" distB="0" distL="114300" distR="114300" simplePos="0" relativeHeight="251660288" behindDoc="0" locked="0" layoutInCell="1" allowOverlap="1" wp14:anchorId="3E3F6035" wp14:editId="472F3F5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2A150" w14:textId="3368C6C5" w:rsidR="005076F9" w:rsidRPr="009F3A2C" w:rsidRDefault="005076F9" w:rsidP="009F3A2C">
                            <w:pPr>
                              <w:spacing w:line="276" w:lineRule="auto"/>
                              <w:rPr>
                                <w:rFonts w:ascii="Cambria" w:hAnsi="Cambria" w:cs="Arial"/>
                                <w:b/>
                                <w:bCs/>
                                <w:color w:val="0D0D0D" w:themeColor="text1" w:themeTint="F2"/>
                                <w:sz w:val="36"/>
                                <w:szCs w:val="22"/>
                                <w:lang w:val="es-ES_tradnl"/>
                              </w:rPr>
                            </w:pPr>
                            <w:r w:rsidRPr="009F3A2C">
                              <w:rPr>
                                <w:rFonts w:ascii="Cambria" w:hAnsi="Cambria" w:cs="Arial"/>
                                <w:b/>
                                <w:bCs/>
                                <w:color w:val="0D0D0D" w:themeColor="text1" w:themeTint="F2"/>
                                <w:sz w:val="36"/>
                                <w:szCs w:val="22"/>
                                <w:lang w:val="es-ES_tradnl"/>
                              </w:rPr>
                              <w:t xml:space="preserve">INFORME </w:t>
                            </w:r>
                            <w:r w:rsidRPr="009F3A2C">
                              <w:rPr>
                                <w:rFonts w:ascii="Cambria" w:hAnsi="Cambria" w:cs="Arial"/>
                                <w:b/>
                                <w:bCs/>
                                <w:color w:val="0D0D0D" w:themeColor="text1" w:themeTint="F2"/>
                                <w:sz w:val="36"/>
                                <w:szCs w:val="40"/>
                                <w:lang w:val="es-ES_tradnl"/>
                              </w:rPr>
                              <w:t>No.</w:t>
                            </w:r>
                            <w:r w:rsidRPr="009F3A2C">
                              <w:rPr>
                                <w:rFonts w:ascii="Cambria" w:hAnsi="Cambria" w:cs="Arial"/>
                                <w:b/>
                                <w:bCs/>
                                <w:color w:val="0D0D0D" w:themeColor="text1" w:themeTint="F2"/>
                                <w:sz w:val="36"/>
                                <w:szCs w:val="22"/>
                                <w:lang w:val="es-ES_tradnl"/>
                              </w:rPr>
                              <w:t xml:space="preserve"> </w:t>
                            </w:r>
                            <w:r w:rsidR="00751F79">
                              <w:rPr>
                                <w:rFonts w:ascii="Cambria" w:hAnsi="Cambria" w:cs="Arial"/>
                                <w:b/>
                                <w:bCs/>
                                <w:color w:val="0D0D0D" w:themeColor="text1" w:themeTint="F2"/>
                                <w:sz w:val="36"/>
                                <w:szCs w:val="22"/>
                                <w:lang w:val="es-ES_tradnl"/>
                              </w:rPr>
                              <w:t>111</w:t>
                            </w:r>
                            <w:r w:rsidRPr="009F3A2C">
                              <w:rPr>
                                <w:rFonts w:ascii="Cambria" w:hAnsi="Cambria" w:cs="Arial"/>
                                <w:b/>
                                <w:bCs/>
                                <w:color w:val="0D0D0D" w:themeColor="text1" w:themeTint="F2"/>
                                <w:sz w:val="36"/>
                                <w:szCs w:val="22"/>
                                <w:lang w:val="es-ES_tradnl"/>
                              </w:rPr>
                              <w:t>/2</w:t>
                            </w:r>
                            <w:r w:rsidR="00B66C42">
                              <w:rPr>
                                <w:rFonts w:ascii="Cambria" w:hAnsi="Cambria" w:cs="Arial"/>
                                <w:b/>
                                <w:bCs/>
                                <w:color w:val="0D0D0D" w:themeColor="text1" w:themeTint="F2"/>
                                <w:sz w:val="36"/>
                                <w:szCs w:val="22"/>
                                <w:lang w:val="es-ES_tradnl"/>
                              </w:rPr>
                              <w:t>5</w:t>
                            </w:r>
                          </w:p>
                          <w:p w14:paraId="47F37804" w14:textId="77777777" w:rsidR="005076F9" w:rsidRPr="009F3A2C" w:rsidRDefault="005076F9" w:rsidP="009F3A2C">
                            <w:pPr>
                              <w:spacing w:line="276" w:lineRule="auto"/>
                              <w:rPr>
                                <w:rFonts w:ascii="Cambria" w:hAnsi="Cambria" w:cs="Arial"/>
                                <w:b/>
                                <w:color w:val="0D0D0D" w:themeColor="text1" w:themeTint="F2"/>
                                <w:sz w:val="36"/>
                                <w:szCs w:val="22"/>
                                <w:lang w:val="es-ES_tradnl"/>
                              </w:rPr>
                            </w:pPr>
                            <w:r w:rsidRPr="009F3A2C">
                              <w:rPr>
                                <w:rFonts w:ascii="Cambria" w:hAnsi="Cambria" w:cs="Arial"/>
                                <w:b/>
                                <w:color w:val="0D0D0D" w:themeColor="text1" w:themeTint="F2"/>
                                <w:sz w:val="36"/>
                                <w:szCs w:val="22"/>
                                <w:lang w:val="es-ES_tradnl"/>
                              </w:rPr>
                              <w:t>CASO 13.079</w:t>
                            </w:r>
                          </w:p>
                          <w:p w14:paraId="62501841" w14:textId="0C190F98" w:rsidR="005076F9" w:rsidRPr="00ED4A4C" w:rsidRDefault="005076F9" w:rsidP="009F3A2C">
                            <w:pPr>
                              <w:spacing w:line="276" w:lineRule="auto"/>
                              <w:rPr>
                                <w:rFonts w:ascii="Cambria" w:hAnsi="Cambria" w:cs="Arial"/>
                                <w:color w:val="0D0D0D" w:themeColor="text1" w:themeTint="F2"/>
                                <w:szCs w:val="22"/>
                                <w:lang w:val="es-AR"/>
                              </w:rPr>
                            </w:pPr>
                            <w:r w:rsidRPr="009F3A2C">
                              <w:rPr>
                                <w:rFonts w:ascii="Cambria" w:hAnsi="Cambria" w:cs="Arial"/>
                                <w:color w:val="0D0D0D" w:themeColor="text1" w:themeTint="F2"/>
                                <w:szCs w:val="22"/>
                                <w:lang w:val="es-ES_tradnl"/>
                              </w:rPr>
                              <w:t xml:space="preserve">INFORME DE ADMISIBILIDAD </w:t>
                            </w:r>
                            <w:r>
                              <w:rPr>
                                <w:rFonts w:ascii="Cambria" w:hAnsi="Cambria" w:cs="Arial"/>
                                <w:color w:val="0D0D0D" w:themeColor="text1" w:themeTint="F2"/>
                                <w:szCs w:val="22"/>
                                <w:lang w:val="es-ES_tradnl"/>
                              </w:rPr>
                              <w:t>Y</w:t>
                            </w:r>
                            <w:r w:rsidRPr="009F3A2C">
                              <w:rPr>
                                <w:rFonts w:ascii="Cambria" w:hAnsi="Cambria" w:cs="Arial"/>
                                <w:color w:val="0D0D0D" w:themeColor="text1" w:themeTint="F2"/>
                                <w:szCs w:val="22"/>
                                <w:lang w:val="es-ES_tradnl"/>
                              </w:rPr>
                              <w:t xml:space="preserve"> FONDO</w:t>
                            </w:r>
                            <w:r w:rsidR="00ED4A4C">
                              <w:rPr>
                                <w:rFonts w:ascii="Cambria" w:hAnsi="Cambria" w:cs="Arial"/>
                                <w:color w:val="0D0D0D" w:themeColor="text1" w:themeTint="F2"/>
                                <w:szCs w:val="22"/>
                                <w:lang w:val="es-ES_tradnl"/>
                              </w:rPr>
                              <w:t xml:space="preserve"> </w:t>
                            </w:r>
                            <w:r w:rsidR="00ED4A4C" w:rsidRPr="00ED4A4C">
                              <w:rPr>
                                <w:rFonts w:ascii="Cambria" w:hAnsi="Cambria" w:cs="Arial"/>
                                <w:color w:val="0D0D0D" w:themeColor="text1" w:themeTint="F2"/>
                                <w:szCs w:val="22"/>
                                <w:lang w:val="es-AR"/>
                              </w:rPr>
                              <w:t>(</w:t>
                            </w:r>
                            <w:r w:rsidR="00CB5D0D" w:rsidRPr="00CF40FE">
                              <w:rPr>
                                <w:rFonts w:ascii="Cambria" w:hAnsi="Cambria" w:cs="Arial"/>
                                <w:color w:val="0D0D0D" w:themeColor="text1" w:themeTint="F2"/>
                                <w:szCs w:val="22"/>
                                <w:lang w:val="es-AR"/>
                              </w:rPr>
                              <w:t>PUBLICACIÓN</w:t>
                            </w:r>
                            <w:r w:rsidR="00ED4A4C" w:rsidRPr="00CF40FE">
                              <w:rPr>
                                <w:rFonts w:ascii="Cambria" w:hAnsi="Cambria" w:cs="Arial"/>
                                <w:color w:val="0D0D0D" w:themeColor="text1" w:themeTint="F2"/>
                                <w:szCs w:val="22"/>
                                <w:lang w:val="es-AR"/>
                              </w:rPr>
                              <w:t>)</w:t>
                            </w:r>
                          </w:p>
                          <w:p w14:paraId="35BF578C" w14:textId="3B76205C" w:rsidR="005076F9" w:rsidRPr="009F3A2C" w:rsidRDefault="005076F9" w:rsidP="009F3A2C">
                            <w:pPr>
                              <w:spacing w:line="276" w:lineRule="auto"/>
                              <w:rPr>
                                <w:rFonts w:ascii="Cambria" w:hAnsi="Cambria" w:cs="Arial"/>
                                <w:color w:val="0D0D0D" w:themeColor="text1" w:themeTint="F2"/>
                                <w:szCs w:val="22"/>
                                <w:lang w:val="es-ES_tradnl"/>
                              </w:rPr>
                            </w:pPr>
                            <w:bookmarkStart w:id="0" w:name="_ftnref1"/>
                          </w:p>
                          <w:p w14:paraId="088E58D9" w14:textId="77777777" w:rsidR="005076F9" w:rsidRPr="009F3A2C" w:rsidRDefault="005076F9" w:rsidP="009F3A2C">
                            <w:pPr>
                              <w:spacing w:line="276" w:lineRule="auto"/>
                              <w:rPr>
                                <w:rFonts w:ascii="Cambria" w:hAnsi="Cambria" w:cs="Arial"/>
                                <w:color w:val="0D0D0D" w:themeColor="text1" w:themeTint="F2"/>
                                <w:szCs w:val="22"/>
                                <w:lang w:val="es-ES_tradnl"/>
                              </w:rPr>
                            </w:pPr>
                            <w:r w:rsidRPr="009F3A2C">
                              <w:rPr>
                                <w:rFonts w:ascii="Cambria" w:hAnsi="Cambria" w:cs="Arial"/>
                                <w:color w:val="0D0D0D" w:themeColor="text1" w:themeTint="F2"/>
                                <w:szCs w:val="22"/>
                                <w:lang w:val="es-ES_tradnl"/>
                              </w:rPr>
                              <w:t xml:space="preserve">DIEGO ARMANDO PACHECO </w:t>
                            </w:r>
                            <w:bookmarkEnd w:id="0"/>
                          </w:p>
                          <w:p w14:paraId="57F33F24" w14:textId="77777777" w:rsidR="005076F9" w:rsidRPr="009F3A2C" w:rsidRDefault="005076F9" w:rsidP="009F3A2C">
                            <w:pPr>
                              <w:spacing w:line="276" w:lineRule="auto"/>
                              <w:rPr>
                                <w:rFonts w:ascii="Cambria" w:hAnsi="Cambria" w:cs="Arial"/>
                                <w:color w:val="0D0D0D" w:themeColor="text1" w:themeTint="F2"/>
                                <w:szCs w:val="22"/>
                              </w:rPr>
                            </w:pPr>
                            <w:r w:rsidRPr="009F3A2C">
                              <w:rPr>
                                <w:rFonts w:ascii="Cambria" w:hAnsi="Cambria" w:cs="Arial"/>
                                <w:color w:val="0D0D0D" w:themeColor="text1" w:themeTint="F2"/>
                                <w:szCs w:val="22"/>
                                <w:lang w:val="es-ES_tradnl"/>
                              </w:rPr>
                              <w:t>ARGENTINA</w:t>
                            </w:r>
                          </w:p>
                          <w:p w14:paraId="29CA3EC4" w14:textId="77777777" w:rsidR="005076F9" w:rsidRPr="00AE5488" w:rsidRDefault="005076F9" w:rsidP="009F3A2C">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6035"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6802A150" w14:textId="3368C6C5" w:rsidR="005076F9" w:rsidRPr="009F3A2C" w:rsidRDefault="005076F9" w:rsidP="009F3A2C">
                      <w:pPr>
                        <w:spacing w:line="276" w:lineRule="auto"/>
                        <w:rPr>
                          <w:rFonts w:ascii="Cambria" w:hAnsi="Cambria" w:cs="Arial"/>
                          <w:b/>
                          <w:bCs/>
                          <w:color w:val="0D0D0D" w:themeColor="text1" w:themeTint="F2"/>
                          <w:sz w:val="36"/>
                          <w:szCs w:val="22"/>
                          <w:lang w:val="es-ES_tradnl"/>
                        </w:rPr>
                      </w:pPr>
                      <w:r w:rsidRPr="009F3A2C">
                        <w:rPr>
                          <w:rFonts w:ascii="Cambria" w:hAnsi="Cambria" w:cs="Arial"/>
                          <w:b/>
                          <w:bCs/>
                          <w:color w:val="0D0D0D" w:themeColor="text1" w:themeTint="F2"/>
                          <w:sz w:val="36"/>
                          <w:szCs w:val="22"/>
                          <w:lang w:val="es-ES_tradnl"/>
                        </w:rPr>
                        <w:t xml:space="preserve">INFORME </w:t>
                      </w:r>
                      <w:r w:rsidRPr="009F3A2C">
                        <w:rPr>
                          <w:rFonts w:ascii="Cambria" w:hAnsi="Cambria" w:cs="Arial"/>
                          <w:b/>
                          <w:bCs/>
                          <w:color w:val="0D0D0D" w:themeColor="text1" w:themeTint="F2"/>
                          <w:sz w:val="36"/>
                          <w:szCs w:val="40"/>
                          <w:lang w:val="es-ES_tradnl"/>
                        </w:rPr>
                        <w:t>No.</w:t>
                      </w:r>
                      <w:r w:rsidRPr="009F3A2C">
                        <w:rPr>
                          <w:rFonts w:ascii="Cambria" w:hAnsi="Cambria" w:cs="Arial"/>
                          <w:b/>
                          <w:bCs/>
                          <w:color w:val="0D0D0D" w:themeColor="text1" w:themeTint="F2"/>
                          <w:sz w:val="36"/>
                          <w:szCs w:val="22"/>
                          <w:lang w:val="es-ES_tradnl"/>
                        </w:rPr>
                        <w:t xml:space="preserve"> </w:t>
                      </w:r>
                      <w:r w:rsidR="00751F79">
                        <w:rPr>
                          <w:rFonts w:ascii="Cambria" w:hAnsi="Cambria" w:cs="Arial"/>
                          <w:b/>
                          <w:bCs/>
                          <w:color w:val="0D0D0D" w:themeColor="text1" w:themeTint="F2"/>
                          <w:sz w:val="36"/>
                          <w:szCs w:val="22"/>
                          <w:lang w:val="es-ES_tradnl"/>
                        </w:rPr>
                        <w:t>111</w:t>
                      </w:r>
                      <w:r w:rsidRPr="009F3A2C">
                        <w:rPr>
                          <w:rFonts w:ascii="Cambria" w:hAnsi="Cambria" w:cs="Arial"/>
                          <w:b/>
                          <w:bCs/>
                          <w:color w:val="0D0D0D" w:themeColor="text1" w:themeTint="F2"/>
                          <w:sz w:val="36"/>
                          <w:szCs w:val="22"/>
                          <w:lang w:val="es-ES_tradnl"/>
                        </w:rPr>
                        <w:t>/2</w:t>
                      </w:r>
                      <w:r w:rsidR="00B66C42">
                        <w:rPr>
                          <w:rFonts w:ascii="Cambria" w:hAnsi="Cambria" w:cs="Arial"/>
                          <w:b/>
                          <w:bCs/>
                          <w:color w:val="0D0D0D" w:themeColor="text1" w:themeTint="F2"/>
                          <w:sz w:val="36"/>
                          <w:szCs w:val="22"/>
                          <w:lang w:val="es-ES_tradnl"/>
                        </w:rPr>
                        <w:t>5</w:t>
                      </w:r>
                    </w:p>
                    <w:p w14:paraId="47F37804" w14:textId="77777777" w:rsidR="005076F9" w:rsidRPr="009F3A2C" w:rsidRDefault="005076F9" w:rsidP="009F3A2C">
                      <w:pPr>
                        <w:spacing w:line="276" w:lineRule="auto"/>
                        <w:rPr>
                          <w:rFonts w:ascii="Cambria" w:hAnsi="Cambria" w:cs="Arial"/>
                          <w:b/>
                          <w:color w:val="0D0D0D" w:themeColor="text1" w:themeTint="F2"/>
                          <w:sz w:val="36"/>
                          <w:szCs w:val="22"/>
                          <w:lang w:val="es-ES_tradnl"/>
                        </w:rPr>
                      </w:pPr>
                      <w:r w:rsidRPr="009F3A2C">
                        <w:rPr>
                          <w:rFonts w:ascii="Cambria" w:hAnsi="Cambria" w:cs="Arial"/>
                          <w:b/>
                          <w:color w:val="0D0D0D" w:themeColor="text1" w:themeTint="F2"/>
                          <w:sz w:val="36"/>
                          <w:szCs w:val="22"/>
                          <w:lang w:val="es-ES_tradnl"/>
                        </w:rPr>
                        <w:t>CASO 13.079</w:t>
                      </w:r>
                    </w:p>
                    <w:p w14:paraId="62501841" w14:textId="0C190F98" w:rsidR="005076F9" w:rsidRPr="00ED4A4C" w:rsidRDefault="005076F9" w:rsidP="009F3A2C">
                      <w:pPr>
                        <w:spacing w:line="276" w:lineRule="auto"/>
                        <w:rPr>
                          <w:rFonts w:ascii="Cambria" w:hAnsi="Cambria" w:cs="Arial"/>
                          <w:color w:val="0D0D0D" w:themeColor="text1" w:themeTint="F2"/>
                          <w:szCs w:val="22"/>
                          <w:lang w:val="es-AR"/>
                        </w:rPr>
                      </w:pPr>
                      <w:r w:rsidRPr="009F3A2C">
                        <w:rPr>
                          <w:rFonts w:ascii="Cambria" w:hAnsi="Cambria" w:cs="Arial"/>
                          <w:color w:val="0D0D0D" w:themeColor="text1" w:themeTint="F2"/>
                          <w:szCs w:val="22"/>
                          <w:lang w:val="es-ES_tradnl"/>
                        </w:rPr>
                        <w:t xml:space="preserve">INFORME DE ADMISIBILIDAD </w:t>
                      </w:r>
                      <w:r>
                        <w:rPr>
                          <w:rFonts w:ascii="Cambria" w:hAnsi="Cambria" w:cs="Arial"/>
                          <w:color w:val="0D0D0D" w:themeColor="text1" w:themeTint="F2"/>
                          <w:szCs w:val="22"/>
                          <w:lang w:val="es-ES_tradnl"/>
                        </w:rPr>
                        <w:t>Y</w:t>
                      </w:r>
                      <w:r w:rsidRPr="009F3A2C">
                        <w:rPr>
                          <w:rFonts w:ascii="Cambria" w:hAnsi="Cambria" w:cs="Arial"/>
                          <w:color w:val="0D0D0D" w:themeColor="text1" w:themeTint="F2"/>
                          <w:szCs w:val="22"/>
                          <w:lang w:val="es-ES_tradnl"/>
                        </w:rPr>
                        <w:t xml:space="preserve"> FONDO</w:t>
                      </w:r>
                      <w:r w:rsidR="00ED4A4C">
                        <w:rPr>
                          <w:rFonts w:ascii="Cambria" w:hAnsi="Cambria" w:cs="Arial"/>
                          <w:color w:val="0D0D0D" w:themeColor="text1" w:themeTint="F2"/>
                          <w:szCs w:val="22"/>
                          <w:lang w:val="es-ES_tradnl"/>
                        </w:rPr>
                        <w:t xml:space="preserve"> </w:t>
                      </w:r>
                      <w:r w:rsidR="00ED4A4C" w:rsidRPr="00ED4A4C">
                        <w:rPr>
                          <w:rFonts w:ascii="Cambria" w:hAnsi="Cambria" w:cs="Arial"/>
                          <w:color w:val="0D0D0D" w:themeColor="text1" w:themeTint="F2"/>
                          <w:szCs w:val="22"/>
                          <w:lang w:val="es-AR"/>
                        </w:rPr>
                        <w:t>(</w:t>
                      </w:r>
                      <w:r w:rsidR="00CB5D0D" w:rsidRPr="00CF40FE">
                        <w:rPr>
                          <w:rFonts w:ascii="Cambria" w:hAnsi="Cambria" w:cs="Arial"/>
                          <w:color w:val="0D0D0D" w:themeColor="text1" w:themeTint="F2"/>
                          <w:szCs w:val="22"/>
                          <w:lang w:val="es-AR"/>
                        </w:rPr>
                        <w:t>PUBLICACIÓN</w:t>
                      </w:r>
                      <w:r w:rsidR="00ED4A4C" w:rsidRPr="00CF40FE">
                        <w:rPr>
                          <w:rFonts w:ascii="Cambria" w:hAnsi="Cambria" w:cs="Arial"/>
                          <w:color w:val="0D0D0D" w:themeColor="text1" w:themeTint="F2"/>
                          <w:szCs w:val="22"/>
                          <w:lang w:val="es-AR"/>
                        </w:rPr>
                        <w:t>)</w:t>
                      </w:r>
                    </w:p>
                    <w:p w14:paraId="35BF578C" w14:textId="3B76205C" w:rsidR="005076F9" w:rsidRPr="009F3A2C" w:rsidRDefault="005076F9" w:rsidP="009F3A2C">
                      <w:pPr>
                        <w:spacing w:line="276" w:lineRule="auto"/>
                        <w:rPr>
                          <w:rFonts w:ascii="Cambria" w:hAnsi="Cambria" w:cs="Arial"/>
                          <w:color w:val="0D0D0D" w:themeColor="text1" w:themeTint="F2"/>
                          <w:szCs w:val="22"/>
                          <w:lang w:val="es-ES_tradnl"/>
                        </w:rPr>
                      </w:pPr>
                      <w:bookmarkStart w:id="1" w:name="_ftnref1"/>
                    </w:p>
                    <w:p w14:paraId="088E58D9" w14:textId="77777777" w:rsidR="005076F9" w:rsidRPr="009F3A2C" w:rsidRDefault="005076F9" w:rsidP="009F3A2C">
                      <w:pPr>
                        <w:spacing w:line="276" w:lineRule="auto"/>
                        <w:rPr>
                          <w:rFonts w:ascii="Cambria" w:hAnsi="Cambria" w:cs="Arial"/>
                          <w:color w:val="0D0D0D" w:themeColor="text1" w:themeTint="F2"/>
                          <w:szCs w:val="22"/>
                          <w:lang w:val="es-ES_tradnl"/>
                        </w:rPr>
                      </w:pPr>
                      <w:r w:rsidRPr="009F3A2C">
                        <w:rPr>
                          <w:rFonts w:ascii="Cambria" w:hAnsi="Cambria" w:cs="Arial"/>
                          <w:color w:val="0D0D0D" w:themeColor="text1" w:themeTint="F2"/>
                          <w:szCs w:val="22"/>
                          <w:lang w:val="es-ES_tradnl"/>
                        </w:rPr>
                        <w:t xml:space="preserve">DIEGO ARMANDO PACHECO </w:t>
                      </w:r>
                      <w:bookmarkEnd w:id="1"/>
                    </w:p>
                    <w:p w14:paraId="57F33F24" w14:textId="77777777" w:rsidR="005076F9" w:rsidRPr="009F3A2C" w:rsidRDefault="005076F9" w:rsidP="009F3A2C">
                      <w:pPr>
                        <w:spacing w:line="276" w:lineRule="auto"/>
                        <w:rPr>
                          <w:rFonts w:ascii="Cambria" w:hAnsi="Cambria" w:cs="Arial"/>
                          <w:color w:val="0D0D0D" w:themeColor="text1" w:themeTint="F2"/>
                          <w:szCs w:val="22"/>
                        </w:rPr>
                      </w:pPr>
                      <w:r w:rsidRPr="009F3A2C">
                        <w:rPr>
                          <w:rFonts w:ascii="Cambria" w:hAnsi="Cambria" w:cs="Arial"/>
                          <w:color w:val="0D0D0D" w:themeColor="text1" w:themeTint="F2"/>
                          <w:szCs w:val="22"/>
                          <w:lang w:val="es-ES_tradnl"/>
                        </w:rPr>
                        <w:t>ARGENTINA</w:t>
                      </w:r>
                    </w:p>
                    <w:p w14:paraId="29CA3EC4" w14:textId="77777777" w:rsidR="005076F9" w:rsidRPr="00AE5488" w:rsidRDefault="005076F9" w:rsidP="009F3A2C">
                      <w:pPr>
                        <w:rPr>
                          <w:color w:val="0D0D0D" w:themeColor="text1" w:themeTint="F2"/>
                          <w:lang w:val="es-ES_tradnl"/>
                        </w:rPr>
                      </w:pPr>
                    </w:p>
                  </w:txbxContent>
                </v:textbox>
              </v:shape>
            </w:pict>
          </mc:Fallback>
        </mc:AlternateContent>
      </w:r>
    </w:p>
    <w:p w14:paraId="1BA2237F"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36388B91"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324EF7A5" w14:textId="77777777" w:rsidR="009F3A2C" w:rsidRPr="00C7542C" w:rsidRDefault="009F3A2C" w:rsidP="009F3A2C">
      <w:pPr>
        <w:tabs>
          <w:tab w:val="center" w:pos="5400"/>
        </w:tabs>
        <w:suppressAutoHyphens/>
        <w:jc w:val="center"/>
        <w:rPr>
          <w:rFonts w:asciiTheme="majorHAnsi" w:hAnsiTheme="majorHAnsi" w:cs="Arial"/>
          <w:sz w:val="22"/>
          <w:szCs w:val="22"/>
          <w:lang w:val="es-ES_tradnl"/>
        </w:rPr>
      </w:pPr>
    </w:p>
    <w:p w14:paraId="1A7F30BD"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1C7D7431"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13DF31C1"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74846432"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1604BD04"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4ED3F6D4"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34B0FB95"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04B0516F"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7B30BBAE"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179CF06F"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7AC08D4A" w14:textId="77777777" w:rsidR="009F3A2C" w:rsidRPr="00C7542C" w:rsidRDefault="009F3A2C" w:rsidP="009F3A2C">
      <w:pPr>
        <w:tabs>
          <w:tab w:val="center" w:pos="5400"/>
        </w:tabs>
        <w:suppressAutoHyphens/>
        <w:jc w:val="center"/>
        <w:rPr>
          <w:rFonts w:asciiTheme="majorHAnsi" w:hAnsiTheme="majorHAnsi"/>
          <w:sz w:val="22"/>
          <w:szCs w:val="22"/>
          <w:lang w:val="es-ES_tradnl"/>
        </w:rPr>
      </w:pPr>
    </w:p>
    <w:p w14:paraId="47F94E36"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423A510C"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5244149F"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18D7FABF"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30BB22D7"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721F32FF" w14:textId="77777777" w:rsidR="009F3A2C" w:rsidRPr="00C7542C" w:rsidRDefault="009F3A2C" w:rsidP="009F3A2C">
      <w:pPr>
        <w:tabs>
          <w:tab w:val="center" w:pos="5400"/>
        </w:tabs>
        <w:suppressAutoHyphens/>
        <w:jc w:val="center"/>
        <w:rPr>
          <w:rFonts w:asciiTheme="majorHAnsi" w:hAnsiTheme="majorHAnsi"/>
          <w:sz w:val="18"/>
          <w:szCs w:val="22"/>
          <w:lang w:val="es-ES_tradnl"/>
        </w:rPr>
      </w:pPr>
    </w:p>
    <w:p w14:paraId="51743671" w14:textId="77777777" w:rsidR="00B849AE" w:rsidRPr="00C7542C" w:rsidRDefault="00B849AE" w:rsidP="00B849AE">
      <w:pPr>
        <w:tabs>
          <w:tab w:val="center" w:pos="5400"/>
        </w:tabs>
        <w:suppressAutoHyphens/>
        <w:rPr>
          <w:rFonts w:asciiTheme="majorHAnsi" w:hAnsiTheme="majorHAnsi"/>
          <w:sz w:val="18"/>
          <w:szCs w:val="22"/>
          <w:lang w:val="es-ES_tradnl"/>
        </w:rPr>
      </w:pPr>
    </w:p>
    <w:p w14:paraId="677CB6A9" w14:textId="77777777" w:rsidR="00B849AE" w:rsidRPr="00C7542C" w:rsidRDefault="00B849AE" w:rsidP="009F3A2C">
      <w:pPr>
        <w:tabs>
          <w:tab w:val="center" w:pos="5400"/>
        </w:tabs>
        <w:suppressAutoHyphens/>
        <w:jc w:val="center"/>
        <w:rPr>
          <w:rFonts w:asciiTheme="majorHAnsi" w:hAnsiTheme="majorHAnsi"/>
          <w:sz w:val="18"/>
          <w:szCs w:val="22"/>
          <w:lang w:val="es-ES_tradnl"/>
        </w:rPr>
      </w:pPr>
    </w:p>
    <w:p w14:paraId="37C2B0B0" w14:textId="77777777" w:rsidR="00B849AE" w:rsidRPr="00C7542C" w:rsidRDefault="00B849AE" w:rsidP="009F3A2C">
      <w:pPr>
        <w:tabs>
          <w:tab w:val="center" w:pos="5400"/>
        </w:tabs>
        <w:suppressAutoHyphens/>
        <w:jc w:val="center"/>
        <w:rPr>
          <w:rFonts w:asciiTheme="majorHAnsi" w:hAnsiTheme="majorHAnsi"/>
          <w:sz w:val="18"/>
          <w:szCs w:val="22"/>
          <w:lang w:val="es-ES_tradnl"/>
        </w:rPr>
      </w:pPr>
    </w:p>
    <w:p w14:paraId="3791DDAC" w14:textId="2DF992E3" w:rsidR="009F3A2C" w:rsidRPr="00C7542C" w:rsidRDefault="009F3A2C" w:rsidP="009F3A2C">
      <w:pPr>
        <w:tabs>
          <w:tab w:val="center" w:pos="5400"/>
        </w:tabs>
        <w:suppressAutoHyphens/>
        <w:jc w:val="center"/>
        <w:rPr>
          <w:rFonts w:asciiTheme="majorHAnsi" w:hAnsiTheme="majorHAnsi"/>
          <w:sz w:val="18"/>
          <w:szCs w:val="22"/>
          <w:lang w:val="es-ES_tradnl"/>
        </w:rPr>
      </w:pPr>
    </w:p>
    <w:p w14:paraId="71F1EF04" w14:textId="27B16E81" w:rsidR="009F3A2C" w:rsidRPr="00C7542C" w:rsidRDefault="009F3A2C" w:rsidP="009F3A2C">
      <w:pPr>
        <w:tabs>
          <w:tab w:val="center" w:pos="5400"/>
        </w:tabs>
        <w:suppressAutoHyphens/>
        <w:jc w:val="center"/>
        <w:rPr>
          <w:rFonts w:asciiTheme="majorHAnsi" w:hAnsiTheme="majorHAnsi"/>
          <w:sz w:val="18"/>
          <w:szCs w:val="22"/>
          <w:lang w:val="es-ES_tradnl"/>
        </w:rPr>
      </w:pPr>
    </w:p>
    <w:p w14:paraId="696B5CFE" w14:textId="36E14EE7" w:rsidR="009F3A2C" w:rsidRPr="00C7542C" w:rsidRDefault="009F3A2C" w:rsidP="009F3A2C">
      <w:pPr>
        <w:tabs>
          <w:tab w:val="center" w:pos="5400"/>
        </w:tabs>
        <w:suppressAutoHyphens/>
        <w:jc w:val="center"/>
        <w:rPr>
          <w:rFonts w:asciiTheme="majorHAnsi" w:hAnsiTheme="majorHAnsi"/>
          <w:sz w:val="18"/>
          <w:szCs w:val="22"/>
          <w:lang w:val="es-ES_tradnl"/>
        </w:rPr>
      </w:pPr>
    </w:p>
    <w:p w14:paraId="56DB75E2" w14:textId="029DC4D8" w:rsidR="009F3A2C" w:rsidRPr="00C7542C" w:rsidRDefault="009F3A2C" w:rsidP="009F3A2C">
      <w:pPr>
        <w:tabs>
          <w:tab w:val="center" w:pos="5400"/>
        </w:tabs>
        <w:suppressAutoHyphens/>
        <w:jc w:val="center"/>
        <w:rPr>
          <w:rFonts w:asciiTheme="majorHAnsi" w:hAnsiTheme="majorHAnsi"/>
          <w:sz w:val="18"/>
          <w:szCs w:val="22"/>
          <w:lang w:val="es-ES_tradnl"/>
        </w:rPr>
      </w:pPr>
    </w:p>
    <w:p w14:paraId="3C463160" w14:textId="6011D645" w:rsidR="009F3A2C" w:rsidRPr="00C7542C" w:rsidRDefault="009F3A2C" w:rsidP="009F3A2C">
      <w:pPr>
        <w:tabs>
          <w:tab w:val="center" w:pos="5400"/>
        </w:tabs>
        <w:suppressAutoHyphens/>
        <w:jc w:val="center"/>
        <w:rPr>
          <w:rFonts w:asciiTheme="majorHAnsi" w:hAnsiTheme="majorHAnsi"/>
          <w:sz w:val="18"/>
          <w:szCs w:val="22"/>
          <w:lang w:val="es-ES_tradnl"/>
        </w:rPr>
      </w:pPr>
    </w:p>
    <w:p w14:paraId="6BE0F448" w14:textId="5A84DF76" w:rsidR="009F3A2C" w:rsidRPr="00C7542C" w:rsidRDefault="009B181A" w:rsidP="009F3A2C">
      <w:pPr>
        <w:tabs>
          <w:tab w:val="center" w:pos="5400"/>
        </w:tabs>
        <w:suppressAutoHyphens/>
        <w:jc w:val="center"/>
        <w:rPr>
          <w:rFonts w:asciiTheme="majorHAnsi" w:hAnsiTheme="majorHAnsi"/>
          <w:sz w:val="18"/>
          <w:szCs w:val="22"/>
          <w:lang w:val="es-ES_tradnl"/>
        </w:rPr>
      </w:pPr>
      <w:r w:rsidRPr="00C7542C">
        <w:rPr>
          <w:rFonts w:asciiTheme="majorHAnsi" w:hAnsiTheme="majorHAnsi"/>
          <w:noProof/>
          <w:sz w:val="22"/>
          <w:szCs w:val="22"/>
          <w:lang w:val="es-AR" w:eastAsia="es-AR"/>
        </w:rPr>
        <mc:AlternateContent>
          <mc:Choice Requires="wps">
            <w:drawing>
              <wp:anchor distT="0" distB="0" distL="114300" distR="114300" simplePos="0" relativeHeight="251661312" behindDoc="0" locked="0" layoutInCell="1" allowOverlap="1" wp14:anchorId="6287F9F6" wp14:editId="15C39099">
                <wp:simplePos x="0" y="0"/>
                <wp:positionH relativeFrom="column">
                  <wp:posOffset>1287438</wp:posOffset>
                </wp:positionH>
                <wp:positionV relativeFrom="paragraph">
                  <wp:posOffset>102821</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0418F" w14:textId="0BC7B758" w:rsidR="005076F9" w:rsidRPr="00ED4A4C" w:rsidRDefault="00ED4A4C" w:rsidP="009F3A2C">
                            <w:pPr>
                              <w:tabs>
                                <w:tab w:val="center" w:pos="5400"/>
                              </w:tabs>
                              <w:suppressAutoHyphens/>
                              <w:spacing w:before="60"/>
                              <w:rPr>
                                <w:rFonts w:asciiTheme="minorHAnsi" w:hAnsiTheme="minorHAnsi" w:cs="Univers"/>
                                <w:color w:val="0D0D0D" w:themeColor="text1" w:themeTint="F2"/>
                                <w:sz w:val="20"/>
                                <w:szCs w:val="20"/>
                                <w:lang w:val="es-AR"/>
                              </w:rPr>
                            </w:pPr>
                            <w:r w:rsidRPr="00ED4A4C">
                              <w:rPr>
                                <w:rFonts w:ascii="Cambria" w:hAnsi="Cambria"/>
                                <w:color w:val="0D0D0D" w:themeColor="text1" w:themeTint="F2"/>
                                <w:sz w:val="18"/>
                                <w:szCs w:val="20"/>
                                <w:lang w:val="es-AR"/>
                              </w:rPr>
                              <w:t xml:space="preserve">Aprobado electrónicamente por la Comisión el </w:t>
                            </w:r>
                            <w:r w:rsidR="00CF40FE">
                              <w:rPr>
                                <w:rFonts w:ascii="Cambria" w:hAnsi="Cambria"/>
                                <w:color w:val="0D0D0D" w:themeColor="text1" w:themeTint="F2"/>
                                <w:sz w:val="18"/>
                                <w:szCs w:val="20"/>
                                <w:lang w:val="es-AR"/>
                              </w:rPr>
                              <w:t>14 de julio</w:t>
                            </w:r>
                            <w:r w:rsidR="00CB5D0D">
                              <w:rPr>
                                <w:rFonts w:ascii="Cambria" w:hAnsi="Cambria"/>
                                <w:color w:val="0D0D0D" w:themeColor="text1" w:themeTint="F2"/>
                                <w:sz w:val="18"/>
                                <w:szCs w:val="20"/>
                                <w:lang w:val="es-AR"/>
                              </w:rPr>
                              <w:t xml:space="preserve"> </w:t>
                            </w:r>
                            <w:r w:rsidRPr="00ED4A4C">
                              <w:rPr>
                                <w:rFonts w:ascii="Cambria" w:hAnsi="Cambria"/>
                                <w:color w:val="0D0D0D" w:themeColor="text1" w:themeTint="F2"/>
                                <w:sz w:val="18"/>
                                <w:szCs w:val="20"/>
                                <w:lang w:val="es-AR"/>
                              </w:rPr>
                              <w:t>de 202</w:t>
                            </w:r>
                            <w:r w:rsidR="00B43381">
                              <w:rPr>
                                <w:rFonts w:ascii="Cambria" w:hAnsi="Cambria"/>
                                <w:color w:val="0D0D0D" w:themeColor="text1" w:themeTint="F2"/>
                                <w:sz w:val="18"/>
                                <w:szCs w:val="20"/>
                                <w:lang w:val="es-AR"/>
                              </w:rPr>
                              <w:t>5</w:t>
                            </w:r>
                          </w:p>
                          <w:p w14:paraId="181FD43B" w14:textId="77777777" w:rsidR="005076F9" w:rsidRPr="00C3209D" w:rsidRDefault="005076F9" w:rsidP="009F3A2C">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F9F6" id="Text Box 7" o:spid="_x0000_s1029" type="#_x0000_t202" style="position:absolute;left:0;text-align:left;margin-left:101.35pt;margin-top:8.1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" filled="f" stroked="f" strokeweight=".5pt">
                <v:textbox>
                  <w:txbxContent>
                    <w:p w14:paraId="0C40418F" w14:textId="0BC7B758" w:rsidR="005076F9" w:rsidRPr="00ED4A4C" w:rsidRDefault="00ED4A4C" w:rsidP="009F3A2C">
                      <w:pPr>
                        <w:tabs>
                          <w:tab w:val="center" w:pos="5400"/>
                        </w:tabs>
                        <w:suppressAutoHyphens/>
                        <w:spacing w:before="60"/>
                        <w:rPr>
                          <w:rFonts w:asciiTheme="minorHAnsi" w:hAnsiTheme="minorHAnsi" w:cs="Univers"/>
                          <w:color w:val="0D0D0D" w:themeColor="text1" w:themeTint="F2"/>
                          <w:sz w:val="20"/>
                          <w:szCs w:val="20"/>
                          <w:lang w:val="es-AR"/>
                        </w:rPr>
                      </w:pPr>
                      <w:r w:rsidRPr="00ED4A4C">
                        <w:rPr>
                          <w:rFonts w:ascii="Cambria" w:hAnsi="Cambria"/>
                          <w:color w:val="0D0D0D" w:themeColor="text1" w:themeTint="F2"/>
                          <w:sz w:val="18"/>
                          <w:szCs w:val="20"/>
                          <w:lang w:val="es-AR"/>
                        </w:rPr>
                        <w:t xml:space="preserve">Aprobado electrónicamente por la Comisión el </w:t>
                      </w:r>
                      <w:r w:rsidR="00CF40FE">
                        <w:rPr>
                          <w:rFonts w:ascii="Cambria" w:hAnsi="Cambria"/>
                          <w:color w:val="0D0D0D" w:themeColor="text1" w:themeTint="F2"/>
                          <w:sz w:val="18"/>
                          <w:szCs w:val="20"/>
                          <w:lang w:val="es-AR"/>
                        </w:rPr>
                        <w:t>14 de julio</w:t>
                      </w:r>
                      <w:r w:rsidR="00CB5D0D">
                        <w:rPr>
                          <w:rFonts w:ascii="Cambria" w:hAnsi="Cambria"/>
                          <w:color w:val="0D0D0D" w:themeColor="text1" w:themeTint="F2"/>
                          <w:sz w:val="18"/>
                          <w:szCs w:val="20"/>
                          <w:lang w:val="es-AR"/>
                        </w:rPr>
                        <w:t xml:space="preserve"> </w:t>
                      </w:r>
                      <w:r w:rsidRPr="00ED4A4C">
                        <w:rPr>
                          <w:rFonts w:ascii="Cambria" w:hAnsi="Cambria"/>
                          <w:color w:val="0D0D0D" w:themeColor="text1" w:themeTint="F2"/>
                          <w:sz w:val="18"/>
                          <w:szCs w:val="20"/>
                          <w:lang w:val="es-AR"/>
                        </w:rPr>
                        <w:t>de 202</w:t>
                      </w:r>
                      <w:r w:rsidR="00B43381">
                        <w:rPr>
                          <w:rFonts w:ascii="Cambria" w:hAnsi="Cambria"/>
                          <w:color w:val="0D0D0D" w:themeColor="text1" w:themeTint="F2"/>
                          <w:sz w:val="18"/>
                          <w:szCs w:val="20"/>
                          <w:lang w:val="es-AR"/>
                        </w:rPr>
                        <w:t>5</w:t>
                      </w:r>
                    </w:p>
                    <w:p w14:paraId="181FD43B" w14:textId="77777777" w:rsidR="005076F9" w:rsidRPr="00C3209D" w:rsidRDefault="005076F9" w:rsidP="009F3A2C">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30086824" w14:textId="66777171" w:rsidR="009F3A2C" w:rsidRPr="00C7542C" w:rsidRDefault="009F3A2C" w:rsidP="009F3A2C">
      <w:pPr>
        <w:tabs>
          <w:tab w:val="center" w:pos="5400"/>
        </w:tabs>
        <w:suppressAutoHyphens/>
        <w:jc w:val="center"/>
        <w:rPr>
          <w:rFonts w:asciiTheme="majorHAnsi" w:hAnsiTheme="majorHAnsi"/>
          <w:sz w:val="18"/>
          <w:szCs w:val="22"/>
          <w:lang w:val="es-ES_tradnl"/>
        </w:rPr>
      </w:pPr>
    </w:p>
    <w:p w14:paraId="15293417" w14:textId="77777777" w:rsidR="00B849AE" w:rsidRPr="00C7542C" w:rsidRDefault="00B849AE" w:rsidP="009F3A2C">
      <w:pPr>
        <w:tabs>
          <w:tab w:val="center" w:pos="5400"/>
        </w:tabs>
        <w:suppressAutoHyphens/>
        <w:jc w:val="center"/>
        <w:rPr>
          <w:rFonts w:asciiTheme="majorHAnsi" w:hAnsiTheme="majorHAnsi"/>
          <w:b/>
          <w:sz w:val="20"/>
          <w:lang w:val="es-ES_tradnl"/>
        </w:rPr>
      </w:pPr>
    </w:p>
    <w:p w14:paraId="2CA486C4" w14:textId="77777777" w:rsidR="00B849AE" w:rsidRPr="00C7542C" w:rsidRDefault="00B849AE" w:rsidP="009F3A2C">
      <w:pPr>
        <w:tabs>
          <w:tab w:val="center" w:pos="5400"/>
        </w:tabs>
        <w:suppressAutoHyphens/>
        <w:jc w:val="center"/>
        <w:rPr>
          <w:rFonts w:asciiTheme="majorHAnsi" w:hAnsiTheme="majorHAnsi"/>
          <w:b/>
          <w:sz w:val="20"/>
          <w:lang w:val="es-ES_tradnl"/>
        </w:rPr>
      </w:pPr>
    </w:p>
    <w:p w14:paraId="3810EF8B" w14:textId="5C0F35C7" w:rsidR="00B849AE" w:rsidRPr="00C7542C" w:rsidRDefault="00B849AE" w:rsidP="009F3A2C">
      <w:pPr>
        <w:tabs>
          <w:tab w:val="center" w:pos="5400"/>
        </w:tabs>
        <w:suppressAutoHyphens/>
        <w:jc w:val="center"/>
        <w:rPr>
          <w:rFonts w:asciiTheme="majorHAnsi" w:hAnsiTheme="majorHAnsi"/>
          <w:b/>
          <w:sz w:val="20"/>
          <w:lang w:val="es-ES_tradnl"/>
        </w:rPr>
      </w:pPr>
    </w:p>
    <w:p w14:paraId="4E6CA074" w14:textId="473579E9" w:rsidR="00B849AE" w:rsidRPr="00C7542C" w:rsidRDefault="00B849AE" w:rsidP="009F3A2C">
      <w:pPr>
        <w:tabs>
          <w:tab w:val="center" w:pos="5400"/>
        </w:tabs>
        <w:suppressAutoHyphens/>
        <w:jc w:val="center"/>
        <w:rPr>
          <w:rFonts w:asciiTheme="majorHAnsi" w:hAnsiTheme="majorHAnsi"/>
          <w:b/>
          <w:sz w:val="20"/>
          <w:lang w:val="es-ES_tradnl"/>
        </w:rPr>
      </w:pPr>
    </w:p>
    <w:p w14:paraId="1A281D87" w14:textId="51B86F49" w:rsidR="00B849AE" w:rsidRPr="00C7542C" w:rsidRDefault="009B181A" w:rsidP="009F3A2C">
      <w:pPr>
        <w:tabs>
          <w:tab w:val="center" w:pos="5400"/>
        </w:tabs>
        <w:suppressAutoHyphens/>
        <w:jc w:val="center"/>
        <w:rPr>
          <w:rFonts w:asciiTheme="majorHAnsi" w:hAnsiTheme="majorHAnsi"/>
          <w:b/>
          <w:sz w:val="20"/>
          <w:lang w:val="es-ES_tradnl"/>
        </w:rPr>
      </w:pPr>
      <w:r w:rsidRPr="00C7542C">
        <w:rPr>
          <w:rFonts w:asciiTheme="majorHAnsi" w:hAnsiTheme="majorHAnsi"/>
          <w:noProof/>
          <w:sz w:val="18"/>
          <w:szCs w:val="22"/>
          <w:lang w:val="es-AR" w:eastAsia="es-AR"/>
        </w:rPr>
        <mc:AlternateContent>
          <mc:Choice Requires="wps">
            <w:drawing>
              <wp:anchor distT="0" distB="0" distL="114300" distR="114300" simplePos="0" relativeHeight="251664384" behindDoc="0" locked="0" layoutInCell="1" allowOverlap="1" wp14:anchorId="66DC9CC8" wp14:editId="62A91FBD">
                <wp:simplePos x="0" y="0"/>
                <wp:positionH relativeFrom="column">
                  <wp:posOffset>1277229</wp:posOffset>
                </wp:positionH>
                <wp:positionV relativeFrom="paragraph">
                  <wp:posOffset>13921</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E7A4" w14:textId="7BD35948" w:rsidR="005076F9" w:rsidRPr="00722598" w:rsidRDefault="005076F9" w:rsidP="00722598">
                            <w:pPr>
                              <w:spacing w:line="276" w:lineRule="auto"/>
                              <w:jc w:val="both"/>
                              <w:rPr>
                                <w:rFonts w:ascii="Cambria" w:hAnsi="Cambria"/>
                                <w:color w:val="595959" w:themeColor="text1" w:themeTint="A6"/>
                                <w:sz w:val="18"/>
                                <w:szCs w:val="18"/>
                                <w:lang w:val="es-AR"/>
                              </w:rPr>
                            </w:pPr>
                            <w:r w:rsidRPr="00F97069">
                              <w:rPr>
                                <w:rFonts w:ascii="Cambria" w:hAnsi="Cambria"/>
                                <w:b/>
                                <w:color w:val="595959" w:themeColor="text1" w:themeTint="A6"/>
                                <w:sz w:val="18"/>
                                <w:szCs w:val="18"/>
                                <w:lang w:val="pt-BR"/>
                              </w:rPr>
                              <w:t>Citar como:</w:t>
                            </w:r>
                            <w:r w:rsidRPr="00F97069">
                              <w:rPr>
                                <w:rFonts w:ascii="Cambria" w:hAnsi="Cambria"/>
                                <w:color w:val="595959" w:themeColor="text1" w:themeTint="A6"/>
                                <w:sz w:val="18"/>
                                <w:szCs w:val="18"/>
                                <w:lang w:val="pt-BR"/>
                              </w:rPr>
                              <w:t xml:space="preserve"> CIDH, Informe No. </w:t>
                            </w:r>
                            <w:r w:rsidR="00751F79">
                              <w:rPr>
                                <w:rFonts w:ascii="Cambria" w:hAnsi="Cambria"/>
                                <w:color w:val="595959" w:themeColor="text1" w:themeTint="A6"/>
                                <w:sz w:val="18"/>
                                <w:szCs w:val="18"/>
                                <w:lang w:val="pt-BR"/>
                              </w:rPr>
                              <w:t>111</w:t>
                            </w:r>
                            <w:r w:rsidRPr="00C6191A">
                              <w:rPr>
                                <w:rFonts w:ascii="Cambria" w:hAnsi="Cambria"/>
                                <w:color w:val="595959" w:themeColor="text1" w:themeTint="A6"/>
                                <w:sz w:val="18"/>
                                <w:szCs w:val="18"/>
                                <w:lang w:val="pt-BR"/>
                              </w:rPr>
                              <w:t>/2</w:t>
                            </w:r>
                            <w:r w:rsidR="00B43381" w:rsidRPr="00C6191A">
                              <w:rPr>
                                <w:rFonts w:ascii="Cambria" w:hAnsi="Cambria"/>
                                <w:color w:val="595959" w:themeColor="text1" w:themeTint="A6"/>
                                <w:sz w:val="18"/>
                                <w:szCs w:val="18"/>
                                <w:lang w:val="pt-BR"/>
                              </w:rPr>
                              <w:t>5</w:t>
                            </w:r>
                            <w:r w:rsidR="007D4BF4">
                              <w:rPr>
                                <w:rFonts w:ascii="Cambria" w:hAnsi="Cambria"/>
                                <w:color w:val="595959" w:themeColor="text1" w:themeTint="A6"/>
                                <w:sz w:val="18"/>
                                <w:szCs w:val="18"/>
                                <w:lang w:val="pt-BR"/>
                              </w:rPr>
                              <w:t>.</w:t>
                            </w:r>
                            <w:r w:rsidRPr="00C6191A">
                              <w:rPr>
                                <w:rFonts w:ascii="Cambria" w:hAnsi="Cambria"/>
                                <w:color w:val="595959" w:themeColor="text1" w:themeTint="A6"/>
                                <w:sz w:val="18"/>
                                <w:szCs w:val="18"/>
                                <w:lang w:val="pt-BR"/>
                              </w:rPr>
                              <w:t xml:space="preserve"> </w:t>
                            </w:r>
                            <w:r w:rsidRPr="00423F82">
                              <w:rPr>
                                <w:rFonts w:ascii="Cambria" w:hAnsi="Cambria"/>
                                <w:color w:val="595959" w:themeColor="text1" w:themeTint="A6"/>
                                <w:sz w:val="18"/>
                                <w:szCs w:val="18"/>
                                <w:lang w:val="es-US"/>
                              </w:rPr>
                              <w:t xml:space="preserve">Caso 13.079. </w:t>
                            </w:r>
                            <w:r w:rsidR="00722598" w:rsidRPr="00722598">
                              <w:rPr>
                                <w:rFonts w:ascii="Cambria" w:hAnsi="Cambria"/>
                                <w:color w:val="595959" w:themeColor="text1" w:themeTint="A6"/>
                                <w:sz w:val="18"/>
                                <w:szCs w:val="18"/>
                                <w:lang w:val="es-AR"/>
                              </w:rPr>
                              <w:t xml:space="preserve">Admisibilidad y </w:t>
                            </w:r>
                            <w:r w:rsidRPr="00722598">
                              <w:rPr>
                                <w:rFonts w:ascii="Cambria" w:hAnsi="Cambria"/>
                                <w:color w:val="595959" w:themeColor="text1" w:themeTint="A6"/>
                                <w:sz w:val="18"/>
                                <w:szCs w:val="18"/>
                                <w:lang w:val="es-AR"/>
                              </w:rPr>
                              <w:t>Fondo</w:t>
                            </w:r>
                            <w:r w:rsidR="00751F79">
                              <w:rPr>
                                <w:rFonts w:ascii="Cambria" w:hAnsi="Cambria"/>
                                <w:color w:val="595959" w:themeColor="text1" w:themeTint="A6"/>
                                <w:sz w:val="18"/>
                                <w:szCs w:val="18"/>
                                <w:lang w:val="es-AR"/>
                              </w:rPr>
                              <w:t xml:space="preserve"> (Publicación)</w:t>
                            </w:r>
                            <w:r w:rsidRPr="00722598">
                              <w:rPr>
                                <w:rFonts w:ascii="Cambria" w:hAnsi="Cambria"/>
                                <w:color w:val="595959" w:themeColor="text1" w:themeTint="A6"/>
                                <w:sz w:val="18"/>
                                <w:szCs w:val="18"/>
                                <w:lang w:val="es-AR"/>
                              </w:rPr>
                              <w:t xml:space="preserve">. Diego Armando Pacheco. Argentina. </w:t>
                            </w:r>
                            <w:r w:rsidR="00CF40FE">
                              <w:rPr>
                                <w:rFonts w:ascii="Cambria" w:hAnsi="Cambria"/>
                                <w:color w:val="595959" w:themeColor="text1" w:themeTint="A6"/>
                                <w:sz w:val="18"/>
                                <w:szCs w:val="18"/>
                                <w:lang w:val="es-AR"/>
                              </w:rPr>
                              <w:t>14 de julio</w:t>
                            </w:r>
                            <w:r w:rsidRPr="00722598">
                              <w:rPr>
                                <w:rFonts w:ascii="Cambria" w:hAnsi="Cambria"/>
                                <w:color w:val="595959" w:themeColor="text1" w:themeTint="A6"/>
                                <w:sz w:val="18"/>
                                <w:szCs w:val="18"/>
                                <w:lang w:val="es-AR"/>
                              </w:rPr>
                              <w:t xml:space="preserve"> de 20</w:t>
                            </w:r>
                            <w:r w:rsidR="00722598" w:rsidRPr="00722598">
                              <w:rPr>
                                <w:rFonts w:ascii="Cambria" w:hAnsi="Cambria"/>
                                <w:color w:val="595959" w:themeColor="text1" w:themeTint="A6"/>
                                <w:sz w:val="18"/>
                                <w:szCs w:val="18"/>
                                <w:lang w:val="es-AR"/>
                              </w:rPr>
                              <w:t>2</w:t>
                            </w:r>
                            <w:r w:rsidR="00B43381">
                              <w:rPr>
                                <w:rFonts w:ascii="Cambria" w:hAnsi="Cambria"/>
                                <w:color w:val="595959" w:themeColor="text1" w:themeTint="A6"/>
                                <w:sz w:val="18"/>
                                <w:szCs w:val="18"/>
                                <w:lang w:val="es-A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9CC8" id="Text Box 10" o:spid="_x0000_s1030" type="#_x0000_t202" style="position:absolute;left:0;text-align:left;margin-left:100.55pt;margin-top:1.1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" filled="f" stroked="f" strokeweight=".5pt">
                <v:textbox>
                  <w:txbxContent>
                    <w:p w14:paraId="44B4E7A4" w14:textId="7BD35948" w:rsidR="005076F9" w:rsidRPr="00722598" w:rsidRDefault="005076F9" w:rsidP="00722598">
                      <w:pPr>
                        <w:spacing w:line="276" w:lineRule="auto"/>
                        <w:jc w:val="both"/>
                        <w:rPr>
                          <w:rFonts w:ascii="Cambria" w:hAnsi="Cambria"/>
                          <w:color w:val="595959" w:themeColor="text1" w:themeTint="A6"/>
                          <w:sz w:val="18"/>
                          <w:szCs w:val="18"/>
                          <w:lang w:val="es-AR"/>
                        </w:rPr>
                      </w:pPr>
                      <w:r w:rsidRPr="00F97069">
                        <w:rPr>
                          <w:rFonts w:ascii="Cambria" w:hAnsi="Cambria"/>
                          <w:b/>
                          <w:color w:val="595959" w:themeColor="text1" w:themeTint="A6"/>
                          <w:sz w:val="18"/>
                          <w:szCs w:val="18"/>
                          <w:lang w:val="pt-BR"/>
                        </w:rPr>
                        <w:t>Citar como:</w:t>
                      </w:r>
                      <w:r w:rsidRPr="00F97069">
                        <w:rPr>
                          <w:rFonts w:ascii="Cambria" w:hAnsi="Cambria"/>
                          <w:color w:val="595959" w:themeColor="text1" w:themeTint="A6"/>
                          <w:sz w:val="18"/>
                          <w:szCs w:val="18"/>
                          <w:lang w:val="pt-BR"/>
                        </w:rPr>
                        <w:t xml:space="preserve"> CIDH, Informe No. </w:t>
                      </w:r>
                      <w:r w:rsidR="00751F79">
                        <w:rPr>
                          <w:rFonts w:ascii="Cambria" w:hAnsi="Cambria"/>
                          <w:color w:val="595959" w:themeColor="text1" w:themeTint="A6"/>
                          <w:sz w:val="18"/>
                          <w:szCs w:val="18"/>
                          <w:lang w:val="pt-BR"/>
                        </w:rPr>
                        <w:t>111</w:t>
                      </w:r>
                      <w:r w:rsidRPr="00C6191A">
                        <w:rPr>
                          <w:rFonts w:ascii="Cambria" w:hAnsi="Cambria"/>
                          <w:color w:val="595959" w:themeColor="text1" w:themeTint="A6"/>
                          <w:sz w:val="18"/>
                          <w:szCs w:val="18"/>
                          <w:lang w:val="pt-BR"/>
                        </w:rPr>
                        <w:t>/2</w:t>
                      </w:r>
                      <w:r w:rsidR="00B43381" w:rsidRPr="00C6191A">
                        <w:rPr>
                          <w:rFonts w:ascii="Cambria" w:hAnsi="Cambria"/>
                          <w:color w:val="595959" w:themeColor="text1" w:themeTint="A6"/>
                          <w:sz w:val="18"/>
                          <w:szCs w:val="18"/>
                          <w:lang w:val="pt-BR"/>
                        </w:rPr>
                        <w:t>5</w:t>
                      </w:r>
                      <w:r w:rsidR="007D4BF4">
                        <w:rPr>
                          <w:rFonts w:ascii="Cambria" w:hAnsi="Cambria"/>
                          <w:color w:val="595959" w:themeColor="text1" w:themeTint="A6"/>
                          <w:sz w:val="18"/>
                          <w:szCs w:val="18"/>
                          <w:lang w:val="pt-BR"/>
                        </w:rPr>
                        <w:t>.</w:t>
                      </w:r>
                      <w:r w:rsidRPr="00C6191A">
                        <w:rPr>
                          <w:rFonts w:ascii="Cambria" w:hAnsi="Cambria"/>
                          <w:color w:val="595959" w:themeColor="text1" w:themeTint="A6"/>
                          <w:sz w:val="18"/>
                          <w:szCs w:val="18"/>
                          <w:lang w:val="pt-BR"/>
                        </w:rPr>
                        <w:t xml:space="preserve"> </w:t>
                      </w:r>
                      <w:r w:rsidRPr="00423F82">
                        <w:rPr>
                          <w:rFonts w:ascii="Cambria" w:hAnsi="Cambria"/>
                          <w:color w:val="595959" w:themeColor="text1" w:themeTint="A6"/>
                          <w:sz w:val="18"/>
                          <w:szCs w:val="18"/>
                          <w:lang w:val="es-US"/>
                        </w:rPr>
                        <w:t xml:space="preserve">Caso 13.079. </w:t>
                      </w:r>
                      <w:r w:rsidR="00722598" w:rsidRPr="00722598">
                        <w:rPr>
                          <w:rFonts w:ascii="Cambria" w:hAnsi="Cambria"/>
                          <w:color w:val="595959" w:themeColor="text1" w:themeTint="A6"/>
                          <w:sz w:val="18"/>
                          <w:szCs w:val="18"/>
                          <w:lang w:val="es-AR"/>
                        </w:rPr>
                        <w:t xml:space="preserve">Admisibilidad y </w:t>
                      </w:r>
                      <w:r w:rsidRPr="00722598">
                        <w:rPr>
                          <w:rFonts w:ascii="Cambria" w:hAnsi="Cambria"/>
                          <w:color w:val="595959" w:themeColor="text1" w:themeTint="A6"/>
                          <w:sz w:val="18"/>
                          <w:szCs w:val="18"/>
                          <w:lang w:val="es-AR"/>
                        </w:rPr>
                        <w:t>Fondo</w:t>
                      </w:r>
                      <w:r w:rsidR="00751F79">
                        <w:rPr>
                          <w:rFonts w:ascii="Cambria" w:hAnsi="Cambria"/>
                          <w:color w:val="595959" w:themeColor="text1" w:themeTint="A6"/>
                          <w:sz w:val="18"/>
                          <w:szCs w:val="18"/>
                          <w:lang w:val="es-AR"/>
                        </w:rPr>
                        <w:t xml:space="preserve"> (Publicación)</w:t>
                      </w:r>
                      <w:r w:rsidRPr="00722598">
                        <w:rPr>
                          <w:rFonts w:ascii="Cambria" w:hAnsi="Cambria"/>
                          <w:color w:val="595959" w:themeColor="text1" w:themeTint="A6"/>
                          <w:sz w:val="18"/>
                          <w:szCs w:val="18"/>
                          <w:lang w:val="es-AR"/>
                        </w:rPr>
                        <w:t xml:space="preserve">. Diego Armando Pacheco. Argentina. </w:t>
                      </w:r>
                      <w:r w:rsidR="00CF40FE">
                        <w:rPr>
                          <w:rFonts w:ascii="Cambria" w:hAnsi="Cambria"/>
                          <w:color w:val="595959" w:themeColor="text1" w:themeTint="A6"/>
                          <w:sz w:val="18"/>
                          <w:szCs w:val="18"/>
                          <w:lang w:val="es-AR"/>
                        </w:rPr>
                        <w:t>14 de julio</w:t>
                      </w:r>
                      <w:r w:rsidRPr="00722598">
                        <w:rPr>
                          <w:rFonts w:ascii="Cambria" w:hAnsi="Cambria"/>
                          <w:color w:val="595959" w:themeColor="text1" w:themeTint="A6"/>
                          <w:sz w:val="18"/>
                          <w:szCs w:val="18"/>
                          <w:lang w:val="es-AR"/>
                        </w:rPr>
                        <w:t xml:space="preserve"> de 20</w:t>
                      </w:r>
                      <w:r w:rsidR="00722598" w:rsidRPr="00722598">
                        <w:rPr>
                          <w:rFonts w:ascii="Cambria" w:hAnsi="Cambria"/>
                          <w:color w:val="595959" w:themeColor="text1" w:themeTint="A6"/>
                          <w:sz w:val="18"/>
                          <w:szCs w:val="18"/>
                          <w:lang w:val="es-AR"/>
                        </w:rPr>
                        <w:t>2</w:t>
                      </w:r>
                      <w:r w:rsidR="00B43381">
                        <w:rPr>
                          <w:rFonts w:ascii="Cambria" w:hAnsi="Cambria"/>
                          <w:color w:val="595959" w:themeColor="text1" w:themeTint="A6"/>
                          <w:sz w:val="18"/>
                          <w:szCs w:val="18"/>
                          <w:lang w:val="es-AR"/>
                        </w:rPr>
                        <w:t>5</w:t>
                      </w:r>
                    </w:p>
                  </w:txbxContent>
                </v:textbox>
              </v:shape>
            </w:pict>
          </mc:Fallback>
        </mc:AlternateContent>
      </w:r>
    </w:p>
    <w:p w14:paraId="24167232" w14:textId="77777777" w:rsidR="00B849AE" w:rsidRPr="00C7542C" w:rsidRDefault="00B849AE" w:rsidP="009F3A2C">
      <w:pPr>
        <w:tabs>
          <w:tab w:val="center" w:pos="5400"/>
        </w:tabs>
        <w:suppressAutoHyphens/>
        <w:jc w:val="center"/>
        <w:rPr>
          <w:rFonts w:asciiTheme="majorHAnsi" w:hAnsiTheme="majorHAnsi"/>
          <w:b/>
          <w:sz w:val="20"/>
          <w:lang w:val="es-ES_tradnl"/>
        </w:rPr>
      </w:pPr>
    </w:p>
    <w:p w14:paraId="6A78C6FC" w14:textId="77777777" w:rsidR="00B849AE" w:rsidRPr="00C7542C" w:rsidRDefault="00B849AE" w:rsidP="009F3A2C">
      <w:pPr>
        <w:tabs>
          <w:tab w:val="center" w:pos="5400"/>
        </w:tabs>
        <w:suppressAutoHyphens/>
        <w:jc w:val="center"/>
        <w:rPr>
          <w:rFonts w:asciiTheme="majorHAnsi" w:hAnsiTheme="majorHAnsi"/>
          <w:b/>
          <w:sz w:val="20"/>
          <w:lang w:val="es-ES_tradnl"/>
        </w:rPr>
      </w:pPr>
    </w:p>
    <w:p w14:paraId="27BCCA2F" w14:textId="33C90F2D" w:rsidR="009F3A2C" w:rsidRPr="00C7542C" w:rsidRDefault="009F3A2C" w:rsidP="006C6B75">
      <w:pPr>
        <w:tabs>
          <w:tab w:val="center" w:pos="5400"/>
        </w:tabs>
        <w:suppressAutoHyphens/>
        <w:jc w:val="center"/>
        <w:rPr>
          <w:rFonts w:asciiTheme="majorHAnsi" w:hAnsiTheme="majorHAnsi"/>
          <w:b/>
          <w:sz w:val="20"/>
          <w:lang w:val="es-ES_tradnl"/>
        </w:rPr>
        <w:sectPr w:rsidR="009F3A2C" w:rsidRPr="00C7542C" w:rsidSect="00CF0C04">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C7542C">
        <w:rPr>
          <w:rFonts w:asciiTheme="majorHAnsi" w:hAnsiTheme="majorHAnsi"/>
          <w:noProof/>
          <w:sz w:val="18"/>
          <w:szCs w:val="22"/>
          <w:lang w:val="es-AR" w:eastAsia="es-AR"/>
        </w:rPr>
        <mc:AlternateContent>
          <mc:Choice Requires="wps">
            <w:drawing>
              <wp:anchor distT="0" distB="0" distL="114300" distR="114300" simplePos="0" relativeHeight="251665408" behindDoc="0" locked="0" layoutInCell="1" allowOverlap="1" wp14:anchorId="5EDA362A" wp14:editId="1C133923">
                <wp:simplePos x="0" y="0"/>
                <wp:positionH relativeFrom="column">
                  <wp:posOffset>1329690</wp:posOffset>
                </wp:positionH>
                <wp:positionV relativeFrom="paragraph">
                  <wp:posOffset>680306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17110" w14:textId="216328C1" w:rsidR="005076F9" w:rsidRPr="00D72DC6" w:rsidRDefault="005076F9" w:rsidP="009F3A2C">
                            <w:pPr>
                              <w:rPr>
                                <w:color w:val="FFFFFF" w:themeColor="background1"/>
                                <w14:textFill>
                                  <w14:noFill/>
                                </w14:textFill>
                              </w:rPr>
                            </w:pPr>
                            <w:r w:rsidRPr="00E96989">
                              <w:rPr>
                                <w:noProof/>
                                <w:color w:val="FFFFFF" w:themeColor="background1"/>
                                <w:lang w:val="es-AR" w:eastAsia="es-AR"/>
                              </w:rPr>
                              <w:drawing>
                                <wp:inline distT="0" distB="0" distL="0" distR="0" wp14:anchorId="741F2A49" wp14:editId="6AA618DF">
                                  <wp:extent cx="1838960" cy="469265"/>
                                  <wp:effectExtent l="0" t="0" r="2540" b="63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896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362A" id="Text Box 9" o:spid="_x0000_s1031" type="#_x0000_t202" style="position:absolute;left:0;text-align:left;margin-left:104.7pt;margin-top:53.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" fillcolor="white [3201]" stroked="f" strokeweight=".5pt">
                <v:textbox>
                  <w:txbxContent>
                    <w:p w14:paraId="5CD17110" w14:textId="216328C1" w:rsidR="005076F9" w:rsidRPr="00D72DC6" w:rsidRDefault="005076F9" w:rsidP="009F3A2C">
                      <w:pPr>
                        <w:rPr>
                          <w:color w:val="FFFFFF" w:themeColor="background1"/>
                          <w14:textFill>
                            <w14:noFill/>
                          </w14:textFill>
                        </w:rPr>
                      </w:pPr>
                      <w:r w:rsidRPr="00E96989">
                        <w:rPr>
                          <w:noProof/>
                          <w:color w:val="FFFFFF" w:themeColor="background1"/>
                          <w:lang w:val="es-AR" w:eastAsia="es-AR"/>
                        </w:rPr>
                        <w:drawing>
                          <wp:inline distT="0" distB="0" distL="0" distR="0" wp14:anchorId="741F2A49" wp14:editId="6AA618DF">
                            <wp:extent cx="1838960" cy="469265"/>
                            <wp:effectExtent l="0" t="0" r="2540" b="63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38960" cy="469265"/>
                                    </a:xfrm>
                                    <a:prstGeom prst="rect">
                                      <a:avLst/>
                                    </a:prstGeom>
                                  </pic:spPr>
                                </pic:pic>
                              </a:graphicData>
                            </a:graphic>
                          </wp:inline>
                        </w:drawing>
                      </w:r>
                    </w:p>
                  </w:txbxContent>
                </v:textbox>
              </v:shape>
            </w:pict>
          </mc:Fallback>
        </mc:AlternateContent>
      </w:r>
      <w:r w:rsidRPr="00C7542C">
        <w:rPr>
          <w:rFonts w:asciiTheme="majorHAnsi" w:hAnsiTheme="majorHAnsi"/>
          <w:noProof/>
          <w:sz w:val="22"/>
          <w:szCs w:val="22"/>
          <w:lang w:val="es-AR" w:eastAsia="es-AR"/>
        </w:rPr>
        <mc:AlternateContent>
          <mc:Choice Requires="wps">
            <w:drawing>
              <wp:anchor distT="0" distB="0" distL="114300" distR="114300" simplePos="0" relativeHeight="251666432" behindDoc="0" locked="0" layoutInCell="1" allowOverlap="1" wp14:anchorId="27FFCD60" wp14:editId="1B76925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25D95" w14:textId="77777777" w:rsidR="005076F9" w:rsidRPr="004B7EB6" w:rsidRDefault="005076F9" w:rsidP="009F3A2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FCD60"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4E25D95" w14:textId="77777777" w:rsidR="005076F9" w:rsidRPr="004B7EB6" w:rsidRDefault="005076F9" w:rsidP="009F3A2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B849AE" w:rsidRPr="00C7542C">
        <w:rPr>
          <w:rFonts w:asciiTheme="majorHAnsi" w:hAnsiTheme="majorHAnsi"/>
          <w:b/>
          <w:sz w:val="20"/>
          <w:lang w:val="es-ES_tradnl"/>
        </w:rPr>
        <w:t xml:space="preserve"> </w:t>
      </w:r>
    </w:p>
    <w:p w14:paraId="10A54292" w14:textId="77777777" w:rsidR="009F3A2C" w:rsidRPr="006C6B75" w:rsidRDefault="009F3A2C" w:rsidP="0000305A">
      <w:pPr>
        <w:tabs>
          <w:tab w:val="center" w:pos="5400"/>
        </w:tabs>
        <w:suppressAutoHyphens/>
        <w:spacing w:line="276" w:lineRule="auto"/>
        <w:rPr>
          <w:rFonts w:ascii="Cambria" w:hAnsi="Cambria"/>
          <w:sz w:val="20"/>
          <w:szCs w:val="20"/>
          <w:lang w:val="es-ES_tradnl"/>
        </w:rPr>
      </w:pPr>
    </w:p>
    <w:p w14:paraId="477BB30C" w14:textId="77777777" w:rsidR="003448BE" w:rsidRPr="006C6B75" w:rsidRDefault="009F3A2C" w:rsidP="003448BE">
      <w:pPr>
        <w:tabs>
          <w:tab w:val="center" w:pos="5400"/>
        </w:tabs>
        <w:suppressAutoHyphens/>
        <w:spacing w:line="276" w:lineRule="auto"/>
        <w:jc w:val="center"/>
        <w:rPr>
          <w:rFonts w:ascii="Cambria" w:hAnsi="Cambria"/>
          <w:b/>
          <w:sz w:val="20"/>
          <w:szCs w:val="20"/>
          <w:lang w:val="es-ES_tradnl"/>
        </w:rPr>
      </w:pPr>
      <w:r w:rsidRPr="006C6B75">
        <w:rPr>
          <w:rFonts w:ascii="Cambria" w:hAnsi="Cambria"/>
          <w:b/>
          <w:sz w:val="20"/>
          <w:szCs w:val="20"/>
          <w:lang w:val="es-ES_tradnl"/>
        </w:rPr>
        <w:t>ÍNDICE</w:t>
      </w:r>
    </w:p>
    <w:p w14:paraId="20037747" w14:textId="4003B304" w:rsidR="00474ED5" w:rsidRPr="006C6B75" w:rsidRDefault="00474ED5">
      <w:pPr>
        <w:rPr>
          <w:rFonts w:ascii="Cambria" w:hAnsi="Cambria"/>
          <w:bCs/>
          <w:sz w:val="20"/>
          <w:szCs w:val="20"/>
          <w:lang w:val="es-AR"/>
        </w:rPr>
      </w:pPr>
    </w:p>
    <w:sdt>
      <w:sdtPr>
        <w:rPr>
          <w:rFonts w:ascii="Times New Roman" w:eastAsia="Times New Roman" w:hAnsi="Times New Roman" w:cs="Times New Roman"/>
          <w:b w:val="0"/>
          <w:bCs/>
          <w:color w:val="auto"/>
          <w:sz w:val="24"/>
          <w:szCs w:val="24"/>
          <w:shd w:val="clear" w:color="auto" w:fill="auto"/>
          <w:lang w:val="es-ES" w:eastAsia="en-US"/>
        </w:rPr>
        <w:id w:val="1774593645"/>
        <w:docPartObj>
          <w:docPartGallery w:val="Table of Contents"/>
          <w:docPartUnique/>
        </w:docPartObj>
      </w:sdtPr>
      <w:sdtEndPr/>
      <w:sdtContent>
        <w:p w14:paraId="783E812C" w14:textId="2F85BE28" w:rsidR="00EF0A92" w:rsidRPr="001B12DB" w:rsidRDefault="00C42922" w:rsidP="00C42922">
          <w:pPr>
            <w:pStyle w:val="TOCHeading"/>
            <w:numPr>
              <w:ilvl w:val="0"/>
              <w:numId w:val="0"/>
            </w:numPr>
            <w:tabs>
              <w:tab w:val="left" w:pos="1204"/>
            </w:tabs>
            <w:ind w:left="1080" w:hanging="720"/>
            <w:rPr>
              <w:b w:val="0"/>
              <w:bCs/>
            </w:rPr>
          </w:pPr>
          <w:r w:rsidRPr="006C6B75">
            <w:rPr>
              <w:rFonts w:eastAsia="Times New Roman" w:cs="Times New Roman"/>
              <w:b w:val="0"/>
              <w:bCs/>
              <w:color w:val="auto"/>
              <w:shd w:val="clear" w:color="auto" w:fill="auto"/>
              <w:lang w:val="es-ES" w:eastAsia="en-US"/>
            </w:rPr>
            <w:tab/>
          </w:r>
        </w:p>
        <w:p w14:paraId="27494ECD" w14:textId="22663D5C" w:rsidR="001B12DB" w:rsidRPr="001B12DB" w:rsidRDefault="00EF0A92">
          <w:pPr>
            <w:pStyle w:val="TOC1"/>
            <w:rPr>
              <w:rFonts w:eastAsiaTheme="minorEastAsia" w:cstheme="minorBidi"/>
              <w:b w:val="0"/>
              <w:kern w:val="2"/>
              <w:bdr w:val="none" w:sz="0" w:space="0" w:color="auto"/>
              <w:lang w:val="en-US" w:eastAsia="en-US"/>
              <w14:ligatures w14:val="standardContextual"/>
            </w:rPr>
          </w:pPr>
          <w:r w:rsidRPr="001B12DB">
            <w:fldChar w:fldCharType="begin"/>
          </w:r>
          <w:r w:rsidRPr="001B12DB">
            <w:instrText xml:space="preserve"> TOC \o "1-3" \h \z \u </w:instrText>
          </w:r>
          <w:r w:rsidRPr="001B12DB">
            <w:fldChar w:fldCharType="separate"/>
          </w:r>
          <w:hyperlink w:anchor="_Toc203382192" w:history="1">
            <w:r w:rsidR="001B12DB" w:rsidRPr="001B12DB">
              <w:rPr>
                <w:rStyle w:val="Hyperlink"/>
                <w:bCs/>
              </w:rPr>
              <w:t>I.</w:t>
            </w:r>
            <w:r w:rsidR="001B12DB" w:rsidRPr="001B12DB">
              <w:rPr>
                <w:rFonts w:eastAsiaTheme="minorEastAsia" w:cstheme="minorBidi"/>
                <w:b w:val="0"/>
                <w:kern w:val="2"/>
                <w:bdr w:val="none" w:sz="0" w:space="0" w:color="auto"/>
                <w:lang w:val="en-US" w:eastAsia="en-US"/>
                <w14:ligatures w14:val="standardContextual"/>
              </w:rPr>
              <w:tab/>
            </w:r>
            <w:r w:rsidR="001B12DB" w:rsidRPr="001B12DB">
              <w:rPr>
                <w:rStyle w:val="Hyperlink"/>
              </w:rPr>
              <w:t>INTRODUCCIÓN</w:t>
            </w:r>
            <w:r w:rsidR="001B12DB" w:rsidRPr="001B12DB">
              <w:rPr>
                <w:webHidden/>
              </w:rPr>
              <w:tab/>
            </w:r>
            <w:r w:rsidR="001B12DB" w:rsidRPr="001B12DB">
              <w:rPr>
                <w:webHidden/>
              </w:rPr>
              <w:fldChar w:fldCharType="begin"/>
            </w:r>
            <w:r w:rsidR="001B12DB" w:rsidRPr="001B12DB">
              <w:rPr>
                <w:webHidden/>
              </w:rPr>
              <w:instrText xml:space="preserve"> PAGEREF _Toc203382192 \h </w:instrText>
            </w:r>
            <w:r w:rsidR="001B12DB" w:rsidRPr="001B12DB">
              <w:rPr>
                <w:webHidden/>
              </w:rPr>
            </w:r>
            <w:r w:rsidR="001B12DB" w:rsidRPr="001B12DB">
              <w:rPr>
                <w:webHidden/>
              </w:rPr>
              <w:fldChar w:fldCharType="separate"/>
            </w:r>
            <w:r w:rsidR="00CF58BB">
              <w:rPr>
                <w:webHidden/>
              </w:rPr>
              <w:t>2</w:t>
            </w:r>
            <w:r w:rsidR="001B12DB" w:rsidRPr="001B12DB">
              <w:rPr>
                <w:webHidden/>
              </w:rPr>
              <w:fldChar w:fldCharType="end"/>
            </w:r>
          </w:hyperlink>
        </w:p>
        <w:p w14:paraId="4260E876" w14:textId="6584B7B2"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193" w:history="1">
            <w:r w:rsidRPr="001B12DB">
              <w:rPr>
                <w:rStyle w:val="Hyperlink"/>
              </w:rPr>
              <w:t>II.</w:t>
            </w:r>
            <w:r w:rsidRPr="001B12DB">
              <w:rPr>
                <w:rFonts w:eastAsiaTheme="minorEastAsia" w:cstheme="minorBidi"/>
                <w:b w:val="0"/>
                <w:kern w:val="2"/>
                <w:bdr w:val="none" w:sz="0" w:space="0" w:color="auto"/>
                <w:lang w:val="en-US" w:eastAsia="en-US"/>
                <w14:ligatures w14:val="standardContextual"/>
              </w:rPr>
              <w:tab/>
            </w:r>
            <w:r w:rsidRPr="001B12DB">
              <w:rPr>
                <w:rStyle w:val="Hyperlink"/>
              </w:rPr>
              <w:t>ALEGATOS DE LAS PARTES</w:t>
            </w:r>
            <w:r w:rsidRPr="001B12DB">
              <w:rPr>
                <w:webHidden/>
              </w:rPr>
              <w:tab/>
            </w:r>
            <w:r w:rsidRPr="001B12DB">
              <w:rPr>
                <w:webHidden/>
              </w:rPr>
              <w:fldChar w:fldCharType="begin"/>
            </w:r>
            <w:r w:rsidRPr="001B12DB">
              <w:rPr>
                <w:webHidden/>
              </w:rPr>
              <w:instrText xml:space="preserve"> PAGEREF _Toc203382193 \h </w:instrText>
            </w:r>
            <w:r w:rsidRPr="001B12DB">
              <w:rPr>
                <w:webHidden/>
              </w:rPr>
            </w:r>
            <w:r w:rsidRPr="001B12DB">
              <w:rPr>
                <w:webHidden/>
              </w:rPr>
              <w:fldChar w:fldCharType="separate"/>
            </w:r>
            <w:r w:rsidR="00CF58BB">
              <w:rPr>
                <w:webHidden/>
              </w:rPr>
              <w:t>2</w:t>
            </w:r>
            <w:r w:rsidRPr="001B12DB">
              <w:rPr>
                <w:webHidden/>
              </w:rPr>
              <w:fldChar w:fldCharType="end"/>
            </w:r>
          </w:hyperlink>
        </w:p>
        <w:p w14:paraId="1AC2D67A" w14:textId="1171CF3C"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194" w:history="1">
            <w:r w:rsidRPr="001B12DB">
              <w:rPr>
                <w:rStyle w:val="Hyperlink"/>
              </w:rPr>
              <w:t>A.</w:t>
            </w:r>
            <w:r w:rsidRPr="001B12DB">
              <w:rPr>
                <w:rFonts w:eastAsiaTheme="minorEastAsia" w:cstheme="minorBidi"/>
                <w:b w:val="0"/>
                <w:bCs w:val="0"/>
                <w:kern w:val="2"/>
                <w:bdr w:val="none" w:sz="0" w:space="0" w:color="auto"/>
                <w:lang w:val="en-US"/>
                <w14:ligatures w14:val="standardContextual"/>
              </w:rPr>
              <w:tab/>
            </w:r>
            <w:r w:rsidRPr="001B12DB">
              <w:rPr>
                <w:rStyle w:val="Hyperlink"/>
              </w:rPr>
              <w:t>Parte peticionaria</w:t>
            </w:r>
            <w:r w:rsidRPr="001B12DB">
              <w:rPr>
                <w:webHidden/>
              </w:rPr>
              <w:tab/>
            </w:r>
            <w:r w:rsidRPr="001B12DB">
              <w:rPr>
                <w:webHidden/>
              </w:rPr>
              <w:fldChar w:fldCharType="begin"/>
            </w:r>
            <w:r w:rsidRPr="001B12DB">
              <w:rPr>
                <w:webHidden/>
              </w:rPr>
              <w:instrText xml:space="preserve"> PAGEREF _Toc203382194 \h </w:instrText>
            </w:r>
            <w:r w:rsidRPr="001B12DB">
              <w:rPr>
                <w:webHidden/>
              </w:rPr>
            </w:r>
            <w:r w:rsidRPr="001B12DB">
              <w:rPr>
                <w:webHidden/>
              </w:rPr>
              <w:fldChar w:fldCharType="separate"/>
            </w:r>
            <w:r w:rsidR="00CF58BB">
              <w:rPr>
                <w:webHidden/>
              </w:rPr>
              <w:t>2</w:t>
            </w:r>
            <w:r w:rsidRPr="001B12DB">
              <w:rPr>
                <w:webHidden/>
              </w:rPr>
              <w:fldChar w:fldCharType="end"/>
            </w:r>
          </w:hyperlink>
        </w:p>
        <w:p w14:paraId="3FAAD778" w14:textId="54223AF4"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195" w:history="1">
            <w:r w:rsidRPr="001B12DB">
              <w:rPr>
                <w:rStyle w:val="Hyperlink"/>
              </w:rPr>
              <w:t>B.</w:t>
            </w:r>
            <w:r w:rsidRPr="001B12DB">
              <w:rPr>
                <w:rFonts w:eastAsiaTheme="minorEastAsia" w:cstheme="minorBidi"/>
                <w:b w:val="0"/>
                <w:bCs w:val="0"/>
                <w:kern w:val="2"/>
                <w:bdr w:val="none" w:sz="0" w:space="0" w:color="auto"/>
                <w:lang w:val="en-US"/>
                <w14:ligatures w14:val="standardContextual"/>
              </w:rPr>
              <w:tab/>
            </w:r>
            <w:r w:rsidRPr="001B12DB">
              <w:rPr>
                <w:rStyle w:val="Hyperlink"/>
              </w:rPr>
              <w:t>El Estado argentino</w:t>
            </w:r>
            <w:r w:rsidRPr="001B12DB">
              <w:rPr>
                <w:webHidden/>
              </w:rPr>
              <w:tab/>
            </w:r>
            <w:r w:rsidRPr="001B12DB">
              <w:rPr>
                <w:webHidden/>
              </w:rPr>
              <w:fldChar w:fldCharType="begin"/>
            </w:r>
            <w:r w:rsidRPr="001B12DB">
              <w:rPr>
                <w:webHidden/>
              </w:rPr>
              <w:instrText xml:space="preserve"> PAGEREF _Toc203382195 \h </w:instrText>
            </w:r>
            <w:r w:rsidRPr="001B12DB">
              <w:rPr>
                <w:webHidden/>
              </w:rPr>
            </w:r>
            <w:r w:rsidRPr="001B12DB">
              <w:rPr>
                <w:webHidden/>
              </w:rPr>
              <w:fldChar w:fldCharType="separate"/>
            </w:r>
            <w:r w:rsidR="00CF58BB">
              <w:rPr>
                <w:webHidden/>
              </w:rPr>
              <w:t>3</w:t>
            </w:r>
            <w:r w:rsidRPr="001B12DB">
              <w:rPr>
                <w:webHidden/>
              </w:rPr>
              <w:fldChar w:fldCharType="end"/>
            </w:r>
          </w:hyperlink>
        </w:p>
        <w:p w14:paraId="1818E592" w14:textId="6CC51DBD"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196" w:history="1">
            <w:r w:rsidRPr="001B12DB">
              <w:rPr>
                <w:rStyle w:val="Hyperlink"/>
                <w:bCs/>
              </w:rPr>
              <w:t>III.</w:t>
            </w:r>
            <w:r w:rsidRPr="001B12DB">
              <w:rPr>
                <w:rFonts w:eastAsiaTheme="minorEastAsia" w:cstheme="minorBidi"/>
                <w:b w:val="0"/>
                <w:kern w:val="2"/>
                <w:bdr w:val="none" w:sz="0" w:space="0" w:color="auto"/>
                <w:lang w:val="en-US" w:eastAsia="en-US"/>
                <w14:ligatures w14:val="standardContextual"/>
              </w:rPr>
              <w:tab/>
            </w:r>
            <w:r w:rsidRPr="001B12DB">
              <w:rPr>
                <w:rStyle w:val="Hyperlink"/>
              </w:rPr>
              <w:t>ANALSIS DE ADMISIBILIDAD</w:t>
            </w:r>
            <w:r w:rsidRPr="001B12DB">
              <w:rPr>
                <w:webHidden/>
              </w:rPr>
              <w:tab/>
            </w:r>
            <w:r w:rsidRPr="001B12DB">
              <w:rPr>
                <w:webHidden/>
              </w:rPr>
              <w:fldChar w:fldCharType="begin"/>
            </w:r>
            <w:r w:rsidRPr="001B12DB">
              <w:rPr>
                <w:webHidden/>
              </w:rPr>
              <w:instrText xml:space="preserve"> PAGEREF _Toc203382196 \h </w:instrText>
            </w:r>
            <w:r w:rsidRPr="001B12DB">
              <w:rPr>
                <w:webHidden/>
              </w:rPr>
            </w:r>
            <w:r w:rsidRPr="001B12DB">
              <w:rPr>
                <w:webHidden/>
              </w:rPr>
              <w:fldChar w:fldCharType="separate"/>
            </w:r>
            <w:r w:rsidR="00CF58BB">
              <w:rPr>
                <w:webHidden/>
              </w:rPr>
              <w:t>4</w:t>
            </w:r>
            <w:r w:rsidRPr="001B12DB">
              <w:rPr>
                <w:webHidden/>
              </w:rPr>
              <w:fldChar w:fldCharType="end"/>
            </w:r>
          </w:hyperlink>
        </w:p>
        <w:p w14:paraId="0E2BD6C0" w14:textId="2AAC2911"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197" w:history="1">
            <w:r w:rsidRPr="001B12DB">
              <w:rPr>
                <w:rStyle w:val="Hyperlink"/>
                <w:lang w:val="es-ES_tradnl"/>
              </w:rPr>
              <w:t>A.</w:t>
            </w:r>
            <w:r w:rsidRPr="001B12DB">
              <w:rPr>
                <w:rFonts w:eastAsiaTheme="minorEastAsia" w:cstheme="minorBidi"/>
                <w:b w:val="0"/>
                <w:bCs w:val="0"/>
                <w:kern w:val="2"/>
                <w:bdr w:val="none" w:sz="0" w:space="0" w:color="auto"/>
                <w:lang w:val="en-US"/>
                <w14:ligatures w14:val="standardContextual"/>
              </w:rPr>
              <w:tab/>
            </w:r>
            <w:r w:rsidRPr="001B12DB">
              <w:rPr>
                <w:rStyle w:val="Hyperlink"/>
                <w:lang w:val="es-ES_tradnl"/>
              </w:rPr>
              <w:t>Competencia y duplicación de procedimientos y cosa juzgada internacional</w:t>
            </w:r>
            <w:r w:rsidRPr="001B12DB">
              <w:rPr>
                <w:webHidden/>
              </w:rPr>
              <w:tab/>
            </w:r>
            <w:r w:rsidRPr="001B12DB">
              <w:rPr>
                <w:webHidden/>
              </w:rPr>
              <w:fldChar w:fldCharType="begin"/>
            </w:r>
            <w:r w:rsidRPr="001B12DB">
              <w:rPr>
                <w:webHidden/>
              </w:rPr>
              <w:instrText xml:space="preserve"> PAGEREF _Toc203382197 \h </w:instrText>
            </w:r>
            <w:r w:rsidRPr="001B12DB">
              <w:rPr>
                <w:webHidden/>
              </w:rPr>
            </w:r>
            <w:r w:rsidRPr="001B12DB">
              <w:rPr>
                <w:webHidden/>
              </w:rPr>
              <w:fldChar w:fldCharType="separate"/>
            </w:r>
            <w:r w:rsidR="00CF58BB">
              <w:rPr>
                <w:webHidden/>
              </w:rPr>
              <w:t>4</w:t>
            </w:r>
            <w:r w:rsidRPr="001B12DB">
              <w:rPr>
                <w:webHidden/>
              </w:rPr>
              <w:fldChar w:fldCharType="end"/>
            </w:r>
          </w:hyperlink>
        </w:p>
        <w:p w14:paraId="42DA4CE1" w14:textId="690FE315"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198" w:history="1">
            <w:r w:rsidRPr="001B12DB">
              <w:rPr>
                <w:rStyle w:val="Hyperlink"/>
                <w:lang w:val="es-ES_tradnl"/>
              </w:rPr>
              <w:t>B.</w:t>
            </w:r>
            <w:r w:rsidRPr="001B12DB">
              <w:rPr>
                <w:rFonts w:eastAsiaTheme="minorEastAsia" w:cstheme="minorBidi"/>
                <w:b w:val="0"/>
                <w:bCs w:val="0"/>
                <w:kern w:val="2"/>
                <w:bdr w:val="none" w:sz="0" w:space="0" w:color="auto"/>
                <w:lang w:val="en-US"/>
                <w14:ligatures w14:val="standardContextual"/>
              </w:rPr>
              <w:tab/>
            </w:r>
            <w:r w:rsidRPr="001B12DB">
              <w:rPr>
                <w:rStyle w:val="Hyperlink"/>
                <w:lang w:val="es-ES_tradnl"/>
              </w:rPr>
              <w:t>Agotamiento de recursos internos</w:t>
            </w:r>
            <w:r w:rsidRPr="001B12DB">
              <w:rPr>
                <w:webHidden/>
              </w:rPr>
              <w:tab/>
            </w:r>
            <w:r w:rsidRPr="001B12DB">
              <w:rPr>
                <w:webHidden/>
              </w:rPr>
              <w:fldChar w:fldCharType="begin"/>
            </w:r>
            <w:r w:rsidRPr="001B12DB">
              <w:rPr>
                <w:webHidden/>
              </w:rPr>
              <w:instrText xml:space="preserve"> PAGEREF _Toc203382198 \h </w:instrText>
            </w:r>
            <w:r w:rsidRPr="001B12DB">
              <w:rPr>
                <w:webHidden/>
              </w:rPr>
            </w:r>
            <w:r w:rsidRPr="001B12DB">
              <w:rPr>
                <w:webHidden/>
              </w:rPr>
              <w:fldChar w:fldCharType="separate"/>
            </w:r>
            <w:r w:rsidR="00CF58BB">
              <w:rPr>
                <w:webHidden/>
              </w:rPr>
              <w:t>4</w:t>
            </w:r>
            <w:r w:rsidRPr="001B12DB">
              <w:rPr>
                <w:webHidden/>
              </w:rPr>
              <w:fldChar w:fldCharType="end"/>
            </w:r>
          </w:hyperlink>
        </w:p>
        <w:p w14:paraId="4BC4385E" w14:textId="68FD5B8B"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199" w:history="1">
            <w:r w:rsidRPr="001B12DB">
              <w:rPr>
                <w:rStyle w:val="Hyperlink"/>
                <w:rFonts w:ascii="Cambria" w:hAnsi="Cambria"/>
                <w:b/>
                <w:noProof/>
                <w:lang w:val="es-ES_tradnl"/>
              </w:rPr>
              <w:t>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Agotamiento indebido de los recursos internos por eventual presentación extemporánea del recurso de queja ante la Corte Suprema de Justicia de la Nación.</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_Toc203382199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4</w:t>
            </w:r>
            <w:r w:rsidRPr="001B12DB">
              <w:rPr>
                <w:rFonts w:ascii="Cambria" w:hAnsi="Cambria"/>
                <w:noProof/>
                <w:webHidden/>
              </w:rPr>
              <w:fldChar w:fldCharType="end"/>
            </w:r>
          </w:hyperlink>
        </w:p>
        <w:p w14:paraId="41B345D1" w14:textId="5847E6C3"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00" w:history="1">
            <w:r w:rsidRPr="001B12DB">
              <w:rPr>
                <w:rStyle w:val="Hyperlink"/>
                <w:rFonts w:ascii="Cambria" w:hAnsi="Cambria"/>
                <w:b/>
                <w:noProof/>
                <w:lang w:val="es-ES_tradnl"/>
              </w:rPr>
              <w:t>ii)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Falta de agotamiento de los recursos internos por la no presentación de un recurso de revocatoria ante la Corte Suprema de Justicia de la Nación</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_Toc203382200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6</w:t>
            </w:r>
            <w:r w:rsidRPr="001B12DB">
              <w:rPr>
                <w:rFonts w:ascii="Cambria" w:hAnsi="Cambria"/>
                <w:noProof/>
                <w:webHidden/>
              </w:rPr>
              <w:fldChar w:fldCharType="end"/>
            </w:r>
          </w:hyperlink>
        </w:p>
        <w:p w14:paraId="158A2A56" w14:textId="3BBB3293"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01" w:history="1">
            <w:r w:rsidRPr="001B12DB">
              <w:rPr>
                <w:rStyle w:val="Hyperlink"/>
                <w:rFonts w:ascii="Cambria" w:hAnsi="Cambria"/>
                <w:b/>
                <w:noProof/>
                <w:lang w:val="es-ES_tradnl"/>
              </w:rPr>
              <w:t>iii)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Planteamiento extemporáneo de la llamada “cuestión federal”</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_Toc203382201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7</w:t>
            </w:r>
            <w:r w:rsidRPr="001B12DB">
              <w:rPr>
                <w:rFonts w:ascii="Cambria" w:hAnsi="Cambria"/>
                <w:noProof/>
                <w:webHidden/>
              </w:rPr>
              <w:fldChar w:fldCharType="end"/>
            </w:r>
          </w:hyperlink>
        </w:p>
        <w:p w14:paraId="7086DCB0" w14:textId="0D342DE1"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202" w:history="1">
            <w:r w:rsidRPr="001B12DB">
              <w:rPr>
                <w:rStyle w:val="Hyperlink"/>
                <w:lang w:val="es-ES_tradnl"/>
              </w:rPr>
              <w:t>C.</w:t>
            </w:r>
            <w:r w:rsidRPr="001B12DB">
              <w:rPr>
                <w:rFonts w:eastAsiaTheme="minorEastAsia" w:cstheme="minorBidi"/>
                <w:b w:val="0"/>
                <w:bCs w:val="0"/>
                <w:kern w:val="2"/>
                <w:bdr w:val="none" w:sz="0" w:space="0" w:color="auto"/>
                <w:lang w:val="en-US"/>
                <w14:ligatures w14:val="standardContextual"/>
              </w:rPr>
              <w:tab/>
            </w:r>
            <w:r w:rsidRPr="001B12DB">
              <w:rPr>
                <w:rStyle w:val="Hyperlink"/>
                <w:lang w:val="es-ES_tradnl"/>
              </w:rPr>
              <w:t>Plazo de presentación de la petición</w:t>
            </w:r>
            <w:r w:rsidRPr="001B12DB">
              <w:rPr>
                <w:webHidden/>
              </w:rPr>
              <w:tab/>
            </w:r>
            <w:r w:rsidRPr="001B12DB">
              <w:rPr>
                <w:webHidden/>
              </w:rPr>
              <w:fldChar w:fldCharType="begin"/>
            </w:r>
            <w:r w:rsidRPr="001B12DB">
              <w:rPr>
                <w:webHidden/>
              </w:rPr>
              <w:instrText xml:space="preserve"> PAGEREF _Toc203382202 \h </w:instrText>
            </w:r>
            <w:r w:rsidRPr="001B12DB">
              <w:rPr>
                <w:webHidden/>
              </w:rPr>
            </w:r>
            <w:r w:rsidRPr="001B12DB">
              <w:rPr>
                <w:webHidden/>
              </w:rPr>
              <w:fldChar w:fldCharType="separate"/>
            </w:r>
            <w:r w:rsidR="00CF58BB">
              <w:rPr>
                <w:webHidden/>
              </w:rPr>
              <w:t>8</w:t>
            </w:r>
            <w:r w:rsidRPr="001B12DB">
              <w:rPr>
                <w:webHidden/>
              </w:rPr>
              <w:fldChar w:fldCharType="end"/>
            </w:r>
          </w:hyperlink>
        </w:p>
        <w:p w14:paraId="00CD35AA" w14:textId="549428B2"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203" w:history="1">
            <w:r w:rsidRPr="001B12DB">
              <w:rPr>
                <w:rStyle w:val="Hyperlink"/>
                <w:lang w:val="es-ES_tradnl"/>
              </w:rPr>
              <w:t>D.</w:t>
            </w:r>
            <w:r w:rsidRPr="001B12DB">
              <w:rPr>
                <w:rFonts w:eastAsiaTheme="minorEastAsia" w:cstheme="minorBidi"/>
                <w:b w:val="0"/>
                <w:bCs w:val="0"/>
                <w:kern w:val="2"/>
                <w:bdr w:val="none" w:sz="0" w:space="0" w:color="auto"/>
                <w:lang w:val="en-US"/>
                <w14:ligatures w14:val="standardContextual"/>
              </w:rPr>
              <w:tab/>
            </w:r>
            <w:r w:rsidRPr="001B12DB">
              <w:rPr>
                <w:rStyle w:val="Hyperlink"/>
                <w:lang w:val="es-ES_tradnl"/>
              </w:rPr>
              <w:t>Caracterización de los hechos alegados</w:t>
            </w:r>
            <w:r w:rsidRPr="001B12DB">
              <w:rPr>
                <w:webHidden/>
              </w:rPr>
              <w:tab/>
            </w:r>
            <w:r w:rsidRPr="001B12DB">
              <w:rPr>
                <w:webHidden/>
              </w:rPr>
              <w:fldChar w:fldCharType="begin"/>
            </w:r>
            <w:r w:rsidRPr="001B12DB">
              <w:rPr>
                <w:webHidden/>
              </w:rPr>
              <w:instrText xml:space="preserve"> PAGEREF _Toc203382203 \h </w:instrText>
            </w:r>
            <w:r w:rsidRPr="001B12DB">
              <w:rPr>
                <w:webHidden/>
              </w:rPr>
            </w:r>
            <w:r w:rsidRPr="001B12DB">
              <w:rPr>
                <w:webHidden/>
              </w:rPr>
              <w:fldChar w:fldCharType="separate"/>
            </w:r>
            <w:r w:rsidR="00CF58BB">
              <w:rPr>
                <w:webHidden/>
              </w:rPr>
              <w:t>8</w:t>
            </w:r>
            <w:r w:rsidRPr="001B12DB">
              <w:rPr>
                <w:webHidden/>
              </w:rPr>
              <w:fldChar w:fldCharType="end"/>
            </w:r>
          </w:hyperlink>
        </w:p>
        <w:p w14:paraId="5B90799F" w14:textId="7940D0C3"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04" w:history="1">
            <w:r w:rsidRPr="001B12DB">
              <w:rPr>
                <w:rStyle w:val="Hyperlink"/>
                <w:bCs/>
              </w:rPr>
              <w:t>IV.</w:t>
            </w:r>
            <w:r w:rsidRPr="001B12DB">
              <w:rPr>
                <w:rFonts w:eastAsiaTheme="minorEastAsia" w:cstheme="minorBidi"/>
                <w:b w:val="0"/>
                <w:kern w:val="2"/>
                <w:bdr w:val="none" w:sz="0" w:space="0" w:color="auto"/>
                <w:lang w:val="en-US" w:eastAsia="en-US"/>
                <w14:ligatures w14:val="standardContextual"/>
              </w:rPr>
              <w:tab/>
            </w:r>
            <w:r w:rsidRPr="001B12DB">
              <w:rPr>
                <w:rStyle w:val="Hyperlink"/>
              </w:rPr>
              <w:t>DETERMINACIONES DE HECHO</w:t>
            </w:r>
            <w:r w:rsidRPr="001B12DB">
              <w:rPr>
                <w:webHidden/>
              </w:rPr>
              <w:tab/>
            </w:r>
            <w:r w:rsidRPr="001B12DB">
              <w:rPr>
                <w:webHidden/>
              </w:rPr>
              <w:fldChar w:fldCharType="begin"/>
            </w:r>
            <w:r w:rsidRPr="001B12DB">
              <w:rPr>
                <w:webHidden/>
              </w:rPr>
              <w:instrText xml:space="preserve"> PAGEREF _Toc203382204 \h </w:instrText>
            </w:r>
            <w:r w:rsidRPr="001B12DB">
              <w:rPr>
                <w:webHidden/>
              </w:rPr>
            </w:r>
            <w:r w:rsidRPr="001B12DB">
              <w:rPr>
                <w:webHidden/>
              </w:rPr>
              <w:fldChar w:fldCharType="separate"/>
            </w:r>
            <w:r w:rsidR="00CF58BB">
              <w:rPr>
                <w:webHidden/>
              </w:rPr>
              <w:t>8</w:t>
            </w:r>
            <w:r w:rsidRPr="001B12DB">
              <w:rPr>
                <w:webHidden/>
              </w:rPr>
              <w:fldChar w:fldCharType="end"/>
            </w:r>
          </w:hyperlink>
        </w:p>
        <w:p w14:paraId="5096B1D0" w14:textId="7C87CE91"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205" w:history="1">
            <w:r w:rsidRPr="001B12DB">
              <w:rPr>
                <w:rStyle w:val="Hyperlink"/>
              </w:rPr>
              <w:t>A.</w:t>
            </w:r>
            <w:r w:rsidRPr="001B12DB">
              <w:rPr>
                <w:rFonts w:eastAsiaTheme="minorEastAsia" w:cstheme="minorBidi"/>
                <w:b w:val="0"/>
                <w:bCs w:val="0"/>
                <w:kern w:val="2"/>
                <w:bdr w:val="none" w:sz="0" w:space="0" w:color="auto"/>
                <w:lang w:val="en-US"/>
                <w14:ligatures w14:val="standardContextual"/>
              </w:rPr>
              <w:tab/>
            </w:r>
            <w:r w:rsidRPr="001B12DB">
              <w:rPr>
                <w:rStyle w:val="Hyperlink"/>
              </w:rPr>
              <w:t>Sobre el proceso penal seguido contra el peticionario</w:t>
            </w:r>
            <w:r w:rsidRPr="001B12DB">
              <w:rPr>
                <w:webHidden/>
              </w:rPr>
              <w:tab/>
            </w:r>
            <w:r w:rsidRPr="001B12DB">
              <w:rPr>
                <w:webHidden/>
              </w:rPr>
              <w:fldChar w:fldCharType="begin"/>
            </w:r>
            <w:r w:rsidRPr="001B12DB">
              <w:rPr>
                <w:webHidden/>
              </w:rPr>
              <w:instrText xml:space="preserve"> PAGEREF _Toc203382205 \h </w:instrText>
            </w:r>
            <w:r w:rsidRPr="001B12DB">
              <w:rPr>
                <w:webHidden/>
              </w:rPr>
            </w:r>
            <w:r w:rsidRPr="001B12DB">
              <w:rPr>
                <w:webHidden/>
              </w:rPr>
              <w:fldChar w:fldCharType="separate"/>
            </w:r>
            <w:r w:rsidR="00CF58BB">
              <w:rPr>
                <w:webHidden/>
              </w:rPr>
              <w:t>8</w:t>
            </w:r>
            <w:r w:rsidRPr="001B12DB">
              <w:rPr>
                <w:webHidden/>
              </w:rPr>
              <w:fldChar w:fldCharType="end"/>
            </w:r>
          </w:hyperlink>
        </w:p>
        <w:p w14:paraId="403050D4" w14:textId="5BB9E711" w:rsidR="001B12DB" w:rsidRPr="001B12DB" w:rsidRDefault="001B12DB">
          <w:pPr>
            <w:pStyle w:val="TOC2"/>
            <w:tabs>
              <w:tab w:val="left" w:pos="720"/>
            </w:tabs>
            <w:rPr>
              <w:rFonts w:eastAsiaTheme="minorEastAsia" w:cstheme="minorBidi"/>
              <w:b w:val="0"/>
              <w:bCs w:val="0"/>
              <w:kern w:val="2"/>
              <w:bdr w:val="none" w:sz="0" w:space="0" w:color="auto"/>
              <w:lang w:val="en-US"/>
              <w14:ligatures w14:val="standardContextual"/>
            </w:rPr>
          </w:pPr>
          <w:hyperlink w:anchor="_Toc203382206" w:history="1">
            <w:r w:rsidRPr="001B12DB">
              <w:rPr>
                <w:rStyle w:val="Hyperlink"/>
              </w:rPr>
              <w:t>B.</w:t>
            </w:r>
            <w:r w:rsidRPr="001B12DB">
              <w:rPr>
                <w:rFonts w:eastAsiaTheme="minorEastAsia" w:cstheme="minorBidi"/>
                <w:b w:val="0"/>
                <w:bCs w:val="0"/>
                <w:kern w:val="2"/>
                <w:bdr w:val="none" w:sz="0" w:space="0" w:color="auto"/>
                <w:lang w:val="en-US"/>
                <w14:ligatures w14:val="standardContextual"/>
              </w:rPr>
              <w:tab/>
            </w:r>
            <w:r w:rsidRPr="001B12DB">
              <w:rPr>
                <w:rStyle w:val="Hyperlink"/>
              </w:rPr>
              <w:t>Sobre los recursos interpuestos frente a la sentencia de atribución de responsabilidad y de individualización de la pena</w:t>
            </w:r>
            <w:r w:rsidRPr="001B12DB">
              <w:rPr>
                <w:webHidden/>
              </w:rPr>
              <w:tab/>
            </w:r>
            <w:r w:rsidRPr="001B12DB">
              <w:rPr>
                <w:webHidden/>
              </w:rPr>
              <w:fldChar w:fldCharType="begin"/>
            </w:r>
            <w:r w:rsidRPr="001B12DB">
              <w:rPr>
                <w:webHidden/>
              </w:rPr>
              <w:instrText xml:space="preserve"> PAGEREF _Toc203382206 \h </w:instrText>
            </w:r>
            <w:r w:rsidRPr="001B12DB">
              <w:rPr>
                <w:webHidden/>
              </w:rPr>
            </w:r>
            <w:r w:rsidRPr="001B12DB">
              <w:rPr>
                <w:webHidden/>
              </w:rPr>
              <w:fldChar w:fldCharType="separate"/>
            </w:r>
            <w:r w:rsidR="00CF58BB">
              <w:rPr>
                <w:webHidden/>
              </w:rPr>
              <w:t>9</w:t>
            </w:r>
            <w:r w:rsidRPr="001B12DB">
              <w:rPr>
                <w:webHidden/>
              </w:rPr>
              <w:fldChar w:fldCharType="end"/>
            </w:r>
          </w:hyperlink>
        </w:p>
        <w:p w14:paraId="1899ADCF" w14:textId="563C843C"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07" w:history="1">
            <w:r w:rsidRPr="001B12DB">
              <w:rPr>
                <w:rStyle w:val="Hyperlink"/>
                <w:bCs/>
              </w:rPr>
              <w:t>V.</w:t>
            </w:r>
            <w:r w:rsidRPr="001B12DB">
              <w:rPr>
                <w:rFonts w:eastAsiaTheme="minorEastAsia" w:cstheme="minorBidi"/>
                <w:b w:val="0"/>
                <w:kern w:val="2"/>
                <w:bdr w:val="none" w:sz="0" w:space="0" w:color="auto"/>
                <w:lang w:val="en-US" w:eastAsia="en-US"/>
                <w14:ligatures w14:val="standardContextual"/>
              </w:rPr>
              <w:tab/>
            </w:r>
            <w:r w:rsidRPr="001B12DB">
              <w:rPr>
                <w:rStyle w:val="Hyperlink"/>
              </w:rPr>
              <w:t>ANÁLISIS DE DERECHO</w:t>
            </w:r>
            <w:r w:rsidRPr="001B12DB">
              <w:rPr>
                <w:webHidden/>
              </w:rPr>
              <w:tab/>
            </w:r>
            <w:r w:rsidRPr="001B12DB">
              <w:rPr>
                <w:webHidden/>
              </w:rPr>
              <w:fldChar w:fldCharType="begin"/>
            </w:r>
            <w:r w:rsidRPr="001B12DB">
              <w:rPr>
                <w:webHidden/>
              </w:rPr>
              <w:instrText xml:space="preserve"> PAGEREF _Toc203382207 \h </w:instrText>
            </w:r>
            <w:r w:rsidRPr="001B12DB">
              <w:rPr>
                <w:webHidden/>
              </w:rPr>
            </w:r>
            <w:r w:rsidRPr="001B12DB">
              <w:rPr>
                <w:webHidden/>
              </w:rPr>
              <w:fldChar w:fldCharType="separate"/>
            </w:r>
            <w:r w:rsidR="00CF58BB">
              <w:rPr>
                <w:webHidden/>
              </w:rPr>
              <w:t>11</w:t>
            </w:r>
            <w:r w:rsidRPr="001B12DB">
              <w:rPr>
                <w:webHidden/>
              </w:rPr>
              <w:fldChar w:fldCharType="end"/>
            </w:r>
          </w:hyperlink>
        </w:p>
        <w:p w14:paraId="5AAD9B0A" w14:textId="10C7A8F0" w:rsidR="001B12DB" w:rsidRPr="001B12DB" w:rsidRDefault="001B12DB">
          <w:pPr>
            <w:pStyle w:val="TOC2"/>
            <w:rPr>
              <w:rFonts w:eastAsiaTheme="minorEastAsia" w:cstheme="minorBidi"/>
              <w:b w:val="0"/>
              <w:bCs w:val="0"/>
              <w:kern w:val="2"/>
              <w:bdr w:val="none" w:sz="0" w:space="0" w:color="auto"/>
              <w:lang w:val="en-US"/>
              <w14:ligatures w14:val="standardContextual"/>
            </w:rPr>
          </w:pPr>
          <w:hyperlink w:anchor="_Toc203382208" w:history="1">
            <w:r w:rsidRPr="001B12DB">
              <w:rPr>
                <w:rStyle w:val="Hyperlink"/>
              </w:rPr>
              <w:t>A. Derecho a recurrir el fallo ante juez o tribunal superior (artículo 8.2.h de la Convención Americana sobre Derechos Humanos en relación con los artículos 1.1 y 2 del mismo instrumento)</w:t>
            </w:r>
            <w:r w:rsidRPr="001B12DB">
              <w:rPr>
                <w:webHidden/>
              </w:rPr>
              <w:tab/>
            </w:r>
            <w:r w:rsidRPr="001B12DB">
              <w:rPr>
                <w:webHidden/>
              </w:rPr>
              <w:fldChar w:fldCharType="begin"/>
            </w:r>
            <w:r w:rsidRPr="001B12DB">
              <w:rPr>
                <w:webHidden/>
              </w:rPr>
              <w:instrText xml:space="preserve"> PAGEREF _Toc203382208 \h </w:instrText>
            </w:r>
            <w:r w:rsidRPr="001B12DB">
              <w:rPr>
                <w:webHidden/>
              </w:rPr>
            </w:r>
            <w:r w:rsidRPr="001B12DB">
              <w:rPr>
                <w:webHidden/>
              </w:rPr>
              <w:fldChar w:fldCharType="separate"/>
            </w:r>
            <w:r w:rsidR="00CF58BB">
              <w:rPr>
                <w:webHidden/>
              </w:rPr>
              <w:t>11</w:t>
            </w:r>
            <w:r w:rsidRPr="001B12DB">
              <w:rPr>
                <w:webHidden/>
              </w:rPr>
              <w:fldChar w:fldCharType="end"/>
            </w:r>
          </w:hyperlink>
        </w:p>
        <w:p w14:paraId="5121BB5A" w14:textId="24394EA2"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09" w:history="1">
            <w:r w:rsidRPr="001B12DB">
              <w:rPr>
                <w:rStyle w:val="Hyperlink"/>
                <w:rFonts w:ascii="Cambria" w:hAnsi="Cambria"/>
                <w:b/>
                <w:bCs/>
                <w:noProof/>
                <w:lang w:val="es-ES_tradnl"/>
              </w:rPr>
              <w:t>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Consideraciones generales sobre el derecho a recurrir el fallo</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_Toc203382209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11</w:t>
            </w:r>
            <w:r w:rsidRPr="001B12DB">
              <w:rPr>
                <w:rFonts w:ascii="Cambria" w:hAnsi="Cambria"/>
                <w:noProof/>
                <w:webHidden/>
              </w:rPr>
              <w:fldChar w:fldCharType="end"/>
            </w:r>
          </w:hyperlink>
        </w:p>
        <w:p w14:paraId="161D5B0B" w14:textId="6A9985C0"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10" w:history="1">
            <w:r w:rsidRPr="001B12DB">
              <w:rPr>
                <w:rStyle w:val="Hyperlink"/>
                <w:rFonts w:ascii="Cambria" w:hAnsi="Cambria"/>
                <w:b/>
                <w:bCs/>
                <w:noProof/>
                <w:lang w:val="es-ES_tradnl"/>
              </w:rPr>
              <w:t>ii)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Análisis del caso</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_Toc203382210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14</w:t>
            </w:r>
            <w:r w:rsidRPr="001B12DB">
              <w:rPr>
                <w:rFonts w:ascii="Cambria" w:hAnsi="Cambria"/>
                <w:noProof/>
                <w:webHidden/>
              </w:rPr>
              <w:fldChar w:fldCharType="end"/>
            </w:r>
          </w:hyperlink>
        </w:p>
        <w:p w14:paraId="7F3A6552" w14:textId="6C209C51" w:rsidR="001B12DB" w:rsidRPr="001B12DB" w:rsidRDefault="001B12DB">
          <w:pPr>
            <w:pStyle w:val="TOC2"/>
            <w:rPr>
              <w:rFonts w:eastAsiaTheme="minorEastAsia" w:cstheme="minorBidi"/>
              <w:b w:val="0"/>
              <w:bCs w:val="0"/>
              <w:kern w:val="2"/>
              <w:bdr w:val="none" w:sz="0" w:space="0" w:color="auto"/>
              <w:lang w:val="en-US"/>
              <w14:ligatures w14:val="standardContextual"/>
            </w:rPr>
          </w:pPr>
          <w:hyperlink w:anchor="_Toc203382211" w:history="1">
            <w:r w:rsidRPr="001B12DB">
              <w:rPr>
                <w:rStyle w:val="Hyperlink"/>
              </w:rPr>
              <w:t>B. Derecho a la libertad personal, derechos del niño y principio de legalidad (artículos 7, 19 y 9 de la Convención Americana sobre Derechos Humanos en relación con los artículos 1.1 y 2 del mismo tratado)</w:t>
            </w:r>
            <w:r w:rsidRPr="001B12DB">
              <w:rPr>
                <w:webHidden/>
              </w:rPr>
              <w:tab/>
            </w:r>
            <w:r w:rsidRPr="001B12DB">
              <w:rPr>
                <w:webHidden/>
              </w:rPr>
              <w:fldChar w:fldCharType="begin"/>
            </w:r>
            <w:r w:rsidRPr="001B12DB">
              <w:rPr>
                <w:webHidden/>
              </w:rPr>
              <w:instrText xml:space="preserve"> PAGEREF _Toc203382211 \h </w:instrText>
            </w:r>
            <w:r w:rsidRPr="001B12DB">
              <w:rPr>
                <w:webHidden/>
              </w:rPr>
            </w:r>
            <w:r w:rsidRPr="001B12DB">
              <w:rPr>
                <w:webHidden/>
              </w:rPr>
              <w:fldChar w:fldCharType="separate"/>
            </w:r>
            <w:r w:rsidR="00CF58BB">
              <w:rPr>
                <w:webHidden/>
              </w:rPr>
              <w:t>15</w:t>
            </w:r>
            <w:r w:rsidRPr="001B12DB">
              <w:rPr>
                <w:webHidden/>
              </w:rPr>
              <w:fldChar w:fldCharType="end"/>
            </w:r>
          </w:hyperlink>
        </w:p>
        <w:p w14:paraId="7E4E010F" w14:textId="0A47F05C"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12" w:history="1">
            <w:r w:rsidRPr="001B12DB">
              <w:rPr>
                <w:rStyle w:val="Hyperlink"/>
                <w:rFonts w:ascii="Cambria" w:hAnsi="Cambria"/>
                <w:b/>
                <w:bCs/>
                <w:noProof/>
                <w:lang w:val="es-ES_tradnl"/>
              </w:rPr>
              <w:t>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Consideraciones generales sobre el derecho a la libertad personal, sobre la prohibición de la privación de la libertad y el encarcelamiento arbitrario y sobre el principio de legalidad</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_Toc203382212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16</w:t>
            </w:r>
            <w:r w:rsidRPr="001B12DB">
              <w:rPr>
                <w:rFonts w:ascii="Cambria" w:hAnsi="Cambria"/>
                <w:noProof/>
                <w:webHidden/>
              </w:rPr>
              <w:fldChar w:fldCharType="end"/>
            </w:r>
          </w:hyperlink>
        </w:p>
        <w:p w14:paraId="118B8979" w14:textId="233A8A33" w:rsidR="001B12DB" w:rsidRPr="001B12DB" w:rsidRDefault="001B12DB">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13" w:history="1">
            <w:r w:rsidRPr="001B12DB">
              <w:rPr>
                <w:rStyle w:val="Hyperlink"/>
                <w:rFonts w:ascii="Cambria" w:hAnsi="Cambria"/>
                <w:b/>
                <w:bCs/>
                <w:noProof/>
                <w:lang w:val="es-ES_tradnl"/>
              </w:rPr>
              <w:t>ii)</w:t>
            </w:r>
            <w:r w:rsidRPr="001B12DB">
              <w:rPr>
                <w:rFonts w:ascii="Cambria" w:eastAsiaTheme="minorEastAsia" w:hAnsi="Cambria" w:cstheme="minorBidi"/>
                <w:noProof/>
                <w:kern w:val="2"/>
                <w:bdr w:val="none" w:sz="0" w:space="0" w:color="auto"/>
                <w:lang w:val="en-US"/>
                <w14:ligatures w14:val="standardContextual"/>
              </w:rPr>
              <w:tab/>
            </w:r>
            <w:r w:rsidRPr="001B12DB">
              <w:rPr>
                <w:rStyle w:val="Hyperlink"/>
                <w:rFonts w:ascii="Cambria" w:hAnsi="Cambria"/>
                <w:b/>
                <w:bCs/>
                <w:noProof/>
                <w:lang w:val="es-ES_tradnl"/>
              </w:rPr>
              <w:t>Estándares relevantes en materia de justicia penal y derechos de niños, niñas y adolescentes</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_Toc203382213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17</w:t>
            </w:r>
            <w:r w:rsidRPr="001B12DB">
              <w:rPr>
                <w:rFonts w:ascii="Cambria" w:hAnsi="Cambria"/>
                <w:noProof/>
                <w:webHidden/>
              </w:rPr>
              <w:fldChar w:fldCharType="end"/>
            </w:r>
          </w:hyperlink>
        </w:p>
        <w:p w14:paraId="3125A586" w14:textId="506FC678" w:rsidR="001B12DB" w:rsidRPr="001B12DB" w:rsidRDefault="001B12DB">
          <w:pPr>
            <w:pStyle w:val="TOC3"/>
            <w:tabs>
              <w:tab w:val="right" w:leader="dot" w:pos="9350"/>
            </w:tabs>
            <w:rPr>
              <w:rFonts w:ascii="Cambria" w:eastAsiaTheme="minorEastAsia" w:hAnsi="Cambria" w:cstheme="minorBidi"/>
              <w:noProof/>
              <w:kern w:val="2"/>
              <w:bdr w:val="none" w:sz="0" w:space="0" w:color="auto"/>
              <w:lang w:val="en-US"/>
              <w14:ligatures w14:val="standardContextual"/>
            </w:rPr>
          </w:pPr>
          <w:hyperlink w:anchor="_Toc203382214" w:history="1">
            <w:r w:rsidRPr="001B12DB">
              <w:rPr>
                <w:rStyle w:val="Hyperlink"/>
                <w:rFonts w:ascii="Cambria" w:hAnsi="Cambria"/>
                <w:b/>
                <w:bCs/>
                <w:noProof/>
                <w:lang w:val="es-ES_tradnl"/>
              </w:rPr>
              <w:t>iii) Análisis del caso</w:t>
            </w:r>
            <w:r w:rsidRPr="001B12DB">
              <w:rPr>
                <w:rFonts w:ascii="Cambria" w:hAnsi="Cambria"/>
                <w:noProof/>
                <w:webHidden/>
              </w:rPr>
              <w:tab/>
            </w:r>
            <w:r w:rsidRPr="001B12DB">
              <w:rPr>
                <w:rFonts w:ascii="Cambria" w:hAnsi="Cambria"/>
                <w:noProof/>
                <w:webHidden/>
              </w:rPr>
              <w:fldChar w:fldCharType="begin"/>
            </w:r>
            <w:r w:rsidRPr="001B12DB">
              <w:rPr>
                <w:rFonts w:ascii="Cambria" w:hAnsi="Cambria"/>
                <w:noProof/>
                <w:webHidden/>
              </w:rPr>
              <w:instrText xml:space="preserve"> PAGEREF _Toc203382214 \h </w:instrText>
            </w:r>
            <w:r w:rsidRPr="001B12DB">
              <w:rPr>
                <w:rFonts w:ascii="Cambria" w:hAnsi="Cambria"/>
                <w:noProof/>
                <w:webHidden/>
              </w:rPr>
            </w:r>
            <w:r w:rsidRPr="001B12DB">
              <w:rPr>
                <w:rFonts w:ascii="Cambria" w:hAnsi="Cambria"/>
                <w:noProof/>
                <w:webHidden/>
              </w:rPr>
              <w:fldChar w:fldCharType="separate"/>
            </w:r>
            <w:r w:rsidR="00CF58BB">
              <w:rPr>
                <w:rFonts w:ascii="Cambria" w:hAnsi="Cambria"/>
                <w:noProof/>
                <w:webHidden/>
              </w:rPr>
              <w:t>20</w:t>
            </w:r>
            <w:r w:rsidRPr="001B12DB">
              <w:rPr>
                <w:rFonts w:ascii="Cambria" w:hAnsi="Cambria"/>
                <w:noProof/>
                <w:webHidden/>
              </w:rPr>
              <w:fldChar w:fldCharType="end"/>
            </w:r>
          </w:hyperlink>
        </w:p>
        <w:p w14:paraId="0C4BD2DC" w14:textId="72718D61"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15" w:history="1">
            <w:r w:rsidRPr="001B12DB">
              <w:rPr>
                <w:rStyle w:val="Hyperlink"/>
              </w:rPr>
              <w:t>VI.</w:t>
            </w:r>
            <w:r w:rsidRPr="001B12DB">
              <w:rPr>
                <w:rFonts w:eastAsiaTheme="minorEastAsia" w:cstheme="minorBidi"/>
                <w:b w:val="0"/>
                <w:kern w:val="2"/>
                <w:bdr w:val="none" w:sz="0" w:space="0" w:color="auto"/>
                <w:lang w:val="en-US" w:eastAsia="en-US"/>
                <w14:ligatures w14:val="standardContextual"/>
              </w:rPr>
              <w:tab/>
            </w:r>
            <w:r w:rsidRPr="001B12DB">
              <w:rPr>
                <w:rStyle w:val="Hyperlink"/>
              </w:rPr>
              <w:t>ACTUACIONES POSTERIORES AL INFORME 138/21 E INFORMACIÓN SOBRE CUMPLIMIENTO</w:t>
            </w:r>
            <w:r w:rsidRPr="001B12DB">
              <w:rPr>
                <w:webHidden/>
              </w:rPr>
              <w:tab/>
            </w:r>
            <w:r w:rsidRPr="001B12DB">
              <w:rPr>
                <w:webHidden/>
              </w:rPr>
              <w:fldChar w:fldCharType="begin"/>
            </w:r>
            <w:r w:rsidRPr="001B12DB">
              <w:rPr>
                <w:webHidden/>
              </w:rPr>
              <w:instrText xml:space="preserve"> PAGEREF _Toc203382215 \h </w:instrText>
            </w:r>
            <w:r w:rsidRPr="001B12DB">
              <w:rPr>
                <w:webHidden/>
              </w:rPr>
            </w:r>
            <w:r w:rsidRPr="001B12DB">
              <w:rPr>
                <w:webHidden/>
              </w:rPr>
              <w:fldChar w:fldCharType="separate"/>
            </w:r>
            <w:r w:rsidR="00CF58BB">
              <w:rPr>
                <w:webHidden/>
              </w:rPr>
              <w:t>22</w:t>
            </w:r>
            <w:r w:rsidRPr="001B12DB">
              <w:rPr>
                <w:webHidden/>
              </w:rPr>
              <w:fldChar w:fldCharType="end"/>
            </w:r>
          </w:hyperlink>
        </w:p>
        <w:p w14:paraId="53E4F8D8" w14:textId="6A346325"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16" w:history="1">
            <w:r w:rsidRPr="001B12DB">
              <w:rPr>
                <w:rStyle w:val="Hyperlink"/>
                <w:lang w:val="es-VE"/>
              </w:rPr>
              <w:t>VII.</w:t>
            </w:r>
            <w:r w:rsidRPr="001B12DB">
              <w:rPr>
                <w:rFonts w:eastAsiaTheme="minorEastAsia" w:cstheme="minorBidi"/>
                <w:b w:val="0"/>
                <w:kern w:val="2"/>
                <w:bdr w:val="none" w:sz="0" w:space="0" w:color="auto"/>
                <w:lang w:val="en-US" w:eastAsia="en-US"/>
                <w14:ligatures w14:val="standardContextual"/>
              </w:rPr>
              <w:tab/>
            </w:r>
            <w:r w:rsidRPr="001B12DB">
              <w:rPr>
                <w:rStyle w:val="Hyperlink"/>
                <w:lang w:val="es-VE"/>
              </w:rPr>
              <w:t>ACTUACIONES POSTERIORES AL INFORME No. 70/25 E INFORMACIÓN SOBRE CUMPLIMIENTO</w:t>
            </w:r>
            <w:r w:rsidRPr="001B12DB">
              <w:rPr>
                <w:webHidden/>
              </w:rPr>
              <w:tab/>
            </w:r>
            <w:r w:rsidRPr="001B12DB">
              <w:rPr>
                <w:webHidden/>
              </w:rPr>
              <w:fldChar w:fldCharType="begin"/>
            </w:r>
            <w:r w:rsidRPr="001B12DB">
              <w:rPr>
                <w:webHidden/>
              </w:rPr>
              <w:instrText xml:space="preserve"> PAGEREF _Toc203382216 \h </w:instrText>
            </w:r>
            <w:r w:rsidRPr="001B12DB">
              <w:rPr>
                <w:webHidden/>
              </w:rPr>
            </w:r>
            <w:r w:rsidRPr="001B12DB">
              <w:rPr>
                <w:webHidden/>
              </w:rPr>
              <w:fldChar w:fldCharType="separate"/>
            </w:r>
            <w:r w:rsidR="00CF58BB">
              <w:rPr>
                <w:webHidden/>
              </w:rPr>
              <w:t>24</w:t>
            </w:r>
            <w:r w:rsidRPr="001B12DB">
              <w:rPr>
                <w:webHidden/>
              </w:rPr>
              <w:fldChar w:fldCharType="end"/>
            </w:r>
          </w:hyperlink>
        </w:p>
        <w:p w14:paraId="122B55C8" w14:textId="1CEDFA70"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17" w:history="1">
            <w:r w:rsidRPr="001B12DB">
              <w:rPr>
                <w:rStyle w:val="Hyperlink"/>
              </w:rPr>
              <w:t>VIII.</w:t>
            </w:r>
            <w:r w:rsidRPr="001B12DB">
              <w:rPr>
                <w:rFonts w:eastAsiaTheme="minorEastAsia" w:cstheme="minorBidi"/>
                <w:b w:val="0"/>
                <w:kern w:val="2"/>
                <w:bdr w:val="none" w:sz="0" w:space="0" w:color="auto"/>
                <w:lang w:val="en-US" w:eastAsia="en-US"/>
                <w14:ligatures w14:val="standardContextual"/>
              </w:rPr>
              <w:tab/>
            </w:r>
            <w:r w:rsidRPr="001B12DB">
              <w:rPr>
                <w:rStyle w:val="Hyperlink"/>
              </w:rPr>
              <w:t>CONCLUSIONES Y RECOMENDACIONES FINALES</w:t>
            </w:r>
            <w:r w:rsidRPr="001B12DB">
              <w:rPr>
                <w:webHidden/>
              </w:rPr>
              <w:tab/>
            </w:r>
            <w:r w:rsidRPr="001B12DB">
              <w:rPr>
                <w:webHidden/>
              </w:rPr>
              <w:fldChar w:fldCharType="begin"/>
            </w:r>
            <w:r w:rsidRPr="001B12DB">
              <w:rPr>
                <w:webHidden/>
              </w:rPr>
              <w:instrText xml:space="preserve"> PAGEREF _Toc203382217 \h </w:instrText>
            </w:r>
            <w:r w:rsidRPr="001B12DB">
              <w:rPr>
                <w:webHidden/>
              </w:rPr>
            </w:r>
            <w:r w:rsidRPr="001B12DB">
              <w:rPr>
                <w:webHidden/>
              </w:rPr>
              <w:fldChar w:fldCharType="separate"/>
            </w:r>
            <w:r w:rsidR="00CF58BB">
              <w:rPr>
                <w:webHidden/>
              </w:rPr>
              <w:t>24</w:t>
            </w:r>
            <w:r w:rsidRPr="001B12DB">
              <w:rPr>
                <w:webHidden/>
              </w:rPr>
              <w:fldChar w:fldCharType="end"/>
            </w:r>
          </w:hyperlink>
        </w:p>
        <w:p w14:paraId="23868EEF" w14:textId="4540200C" w:rsidR="001B12DB" w:rsidRPr="001B12DB" w:rsidRDefault="001B12DB">
          <w:pPr>
            <w:pStyle w:val="TOC1"/>
            <w:rPr>
              <w:rFonts w:eastAsiaTheme="minorEastAsia" w:cstheme="minorBidi"/>
              <w:b w:val="0"/>
              <w:kern w:val="2"/>
              <w:bdr w:val="none" w:sz="0" w:space="0" w:color="auto"/>
              <w:lang w:val="en-US" w:eastAsia="en-US"/>
              <w14:ligatures w14:val="standardContextual"/>
            </w:rPr>
          </w:pPr>
          <w:hyperlink w:anchor="_Toc203382218" w:history="1">
            <w:r w:rsidRPr="001B12DB">
              <w:rPr>
                <w:rStyle w:val="Hyperlink"/>
              </w:rPr>
              <w:t>IX.</w:t>
            </w:r>
            <w:r w:rsidRPr="001B12DB">
              <w:rPr>
                <w:rFonts w:eastAsiaTheme="minorEastAsia" w:cstheme="minorBidi"/>
                <w:b w:val="0"/>
                <w:kern w:val="2"/>
                <w:bdr w:val="none" w:sz="0" w:space="0" w:color="auto"/>
                <w:lang w:val="en-US" w:eastAsia="en-US"/>
                <w14:ligatures w14:val="standardContextual"/>
              </w:rPr>
              <w:tab/>
            </w:r>
            <w:r w:rsidRPr="001B12DB">
              <w:rPr>
                <w:rStyle w:val="Hyperlink"/>
              </w:rPr>
              <w:t>PUBLICACIÓN</w:t>
            </w:r>
            <w:r w:rsidRPr="001B12DB">
              <w:rPr>
                <w:webHidden/>
              </w:rPr>
              <w:tab/>
            </w:r>
            <w:r w:rsidRPr="001B12DB">
              <w:rPr>
                <w:webHidden/>
              </w:rPr>
              <w:fldChar w:fldCharType="begin"/>
            </w:r>
            <w:r w:rsidRPr="001B12DB">
              <w:rPr>
                <w:webHidden/>
              </w:rPr>
              <w:instrText xml:space="preserve"> PAGEREF _Toc203382218 \h </w:instrText>
            </w:r>
            <w:r w:rsidRPr="001B12DB">
              <w:rPr>
                <w:webHidden/>
              </w:rPr>
            </w:r>
            <w:r w:rsidRPr="001B12DB">
              <w:rPr>
                <w:webHidden/>
              </w:rPr>
              <w:fldChar w:fldCharType="separate"/>
            </w:r>
            <w:r w:rsidR="00CF58BB">
              <w:rPr>
                <w:webHidden/>
              </w:rPr>
              <w:t>24</w:t>
            </w:r>
            <w:r w:rsidRPr="001B12DB">
              <w:rPr>
                <w:webHidden/>
              </w:rPr>
              <w:fldChar w:fldCharType="end"/>
            </w:r>
          </w:hyperlink>
        </w:p>
        <w:p w14:paraId="01A56C31" w14:textId="7C261FEB" w:rsidR="00474ED5" w:rsidRPr="006C6B75" w:rsidRDefault="00EF0A92" w:rsidP="006C6B75">
          <w:pPr>
            <w:rPr>
              <w:sz w:val="20"/>
              <w:szCs w:val="20"/>
            </w:rPr>
          </w:pPr>
          <w:r w:rsidRPr="001B12DB">
            <w:rPr>
              <w:rFonts w:ascii="Cambria" w:hAnsi="Cambria"/>
              <w:bCs/>
              <w:sz w:val="20"/>
              <w:szCs w:val="20"/>
              <w:lang w:val="es-ES"/>
            </w:rPr>
            <w:fldChar w:fldCharType="end"/>
          </w:r>
        </w:p>
      </w:sdtContent>
    </w:sdt>
    <w:p w14:paraId="2EE93627" w14:textId="28C47B8A" w:rsidR="009F3A2C" w:rsidRPr="009B181A" w:rsidRDefault="00EF0A92" w:rsidP="009B181A">
      <w:pPr>
        <w:pStyle w:val="Header"/>
        <w:widowControl/>
        <w:tabs>
          <w:tab w:val="clear" w:pos="4320"/>
          <w:tab w:val="clear" w:pos="8640"/>
        </w:tabs>
        <w:snapToGrid/>
        <w:spacing w:after="160" w:line="259" w:lineRule="auto"/>
        <w:rPr>
          <w:rFonts w:ascii="Times New Roman" w:hAnsi="Times New Roman" w:cs="Times New Roman"/>
          <w:lang w:val="es-AR"/>
        </w:rPr>
      </w:pPr>
      <w:r w:rsidRPr="009B181A">
        <w:rPr>
          <w:rFonts w:ascii="Times New Roman" w:hAnsi="Times New Roman" w:cs="Times New Roman"/>
          <w:lang w:val="es-AR"/>
        </w:rPr>
        <w:br w:type="page"/>
      </w:r>
    </w:p>
    <w:p w14:paraId="43CF43A5" w14:textId="6AAF78DE" w:rsidR="009F3A2C" w:rsidRPr="00C7542C" w:rsidRDefault="009F3A2C" w:rsidP="006C6B75">
      <w:pPr>
        <w:pStyle w:val="Heading1"/>
        <w:numPr>
          <w:ilvl w:val="0"/>
          <w:numId w:val="6"/>
        </w:numPr>
        <w:rPr>
          <w:bCs/>
        </w:rPr>
      </w:pPr>
      <w:bookmarkStart w:id="2" w:name="_Toc40962117"/>
      <w:bookmarkStart w:id="3" w:name="_Toc42679766"/>
      <w:bookmarkStart w:id="4" w:name="_Toc78370154"/>
      <w:bookmarkStart w:id="5" w:name="_Toc203382192"/>
      <w:r w:rsidRPr="00C7542C">
        <w:lastRenderedPageBreak/>
        <w:t>INTRODUCCIÓN</w:t>
      </w:r>
      <w:bookmarkEnd w:id="2"/>
      <w:bookmarkEnd w:id="3"/>
      <w:bookmarkEnd w:id="4"/>
      <w:r w:rsidR="00070FDC" w:rsidRPr="00C6191A">
        <w:rPr>
          <w:sz w:val="18"/>
          <w:vertAlign w:val="superscript"/>
        </w:rPr>
        <w:footnoteReference w:id="1"/>
      </w:r>
      <w:bookmarkEnd w:id="5"/>
      <w:r w:rsidRPr="00C7542C">
        <w:t xml:space="preserve"> </w:t>
      </w:r>
    </w:p>
    <w:p w14:paraId="0162E3BE" w14:textId="77777777" w:rsidR="009F3A2C" w:rsidRPr="00C7542C" w:rsidRDefault="009F3A2C" w:rsidP="009F3A2C">
      <w:pPr>
        <w:rPr>
          <w:rFonts w:ascii="Cambria" w:hAnsi="Cambria"/>
          <w:sz w:val="20"/>
          <w:szCs w:val="20"/>
          <w:lang w:val="es-ES_tradnl" w:eastAsia="es-ES"/>
        </w:rPr>
      </w:pPr>
    </w:p>
    <w:p w14:paraId="49F40D0D" w14:textId="7555DCC4" w:rsidR="0000305A" w:rsidRPr="00C7542C" w:rsidRDefault="009F3A2C"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El 1</w:t>
      </w:r>
      <w:r w:rsidR="004A0CFC" w:rsidRPr="00C7542C">
        <w:rPr>
          <w:sz w:val="20"/>
          <w:szCs w:val="20"/>
          <w:lang w:val="es-ES_tradnl"/>
        </w:rPr>
        <w:t>2</w:t>
      </w:r>
      <w:r w:rsidRPr="00C7542C">
        <w:rPr>
          <w:sz w:val="20"/>
          <w:szCs w:val="20"/>
          <w:lang w:val="es-ES_tradnl"/>
        </w:rPr>
        <w:t xml:space="preserve"> de mayo de 2004 la Comisión Interamericana de Derechos Humanos</w:t>
      </w:r>
      <w:r w:rsidR="00466235" w:rsidRPr="00C7542C">
        <w:rPr>
          <w:sz w:val="20"/>
          <w:szCs w:val="20"/>
          <w:lang w:val="es-ES_tradnl"/>
        </w:rPr>
        <w:t xml:space="preserve"> (en adelante “la Comisión Interamericana”, “la Comisión” o “la CIDH”) recibió </w:t>
      </w:r>
      <w:r w:rsidR="0001225F" w:rsidRPr="00C7542C">
        <w:rPr>
          <w:sz w:val="20"/>
          <w:szCs w:val="20"/>
          <w:lang w:val="es-ES_tradnl"/>
        </w:rPr>
        <w:t>una petición presentada por</w:t>
      </w:r>
      <w:r w:rsidR="00CF6CB2" w:rsidRPr="00C7542C">
        <w:rPr>
          <w:sz w:val="20"/>
          <w:szCs w:val="20"/>
          <w:lang w:val="es-ES_tradnl"/>
        </w:rPr>
        <w:t xml:space="preserve"> los Sres. </w:t>
      </w:r>
      <w:r w:rsidR="0001225F" w:rsidRPr="00C7542C">
        <w:rPr>
          <w:sz w:val="20"/>
          <w:szCs w:val="20"/>
          <w:lang w:val="es-ES_tradnl"/>
        </w:rPr>
        <w:t>Arnaldo Hugo Barone y Jorge Fabricio</w:t>
      </w:r>
      <w:r w:rsidR="0000305A" w:rsidRPr="00C7542C">
        <w:rPr>
          <w:sz w:val="20"/>
          <w:szCs w:val="20"/>
          <w:lang w:val="es-ES_tradnl"/>
        </w:rPr>
        <w:t xml:space="preserve"> </w:t>
      </w:r>
      <w:r w:rsidR="0001225F" w:rsidRPr="00C7542C">
        <w:rPr>
          <w:sz w:val="20"/>
          <w:szCs w:val="20"/>
          <w:lang w:val="es-ES_tradnl"/>
        </w:rPr>
        <w:t xml:space="preserve">Benesperi, </w:t>
      </w:r>
      <w:r w:rsidR="00CF6CB2" w:rsidRPr="00C7542C">
        <w:rPr>
          <w:sz w:val="20"/>
          <w:szCs w:val="20"/>
          <w:lang w:val="es-ES_tradnl"/>
        </w:rPr>
        <w:t>D</w:t>
      </w:r>
      <w:r w:rsidR="0001225F" w:rsidRPr="00C7542C">
        <w:rPr>
          <w:sz w:val="20"/>
          <w:szCs w:val="20"/>
          <w:lang w:val="es-ES_tradnl"/>
        </w:rPr>
        <w:t xml:space="preserve">efensor </w:t>
      </w:r>
      <w:r w:rsidR="00CF6CB2" w:rsidRPr="00C7542C">
        <w:rPr>
          <w:sz w:val="20"/>
          <w:szCs w:val="20"/>
          <w:lang w:val="es-ES_tradnl"/>
        </w:rPr>
        <w:t>G</w:t>
      </w:r>
      <w:r w:rsidR="0001225F" w:rsidRPr="00C7542C">
        <w:rPr>
          <w:sz w:val="20"/>
          <w:szCs w:val="20"/>
          <w:lang w:val="es-ES_tradnl"/>
        </w:rPr>
        <w:t xml:space="preserve">eneral y </w:t>
      </w:r>
      <w:r w:rsidR="00CF6CB2" w:rsidRPr="00C7542C">
        <w:rPr>
          <w:sz w:val="20"/>
          <w:szCs w:val="20"/>
          <w:lang w:val="es-ES_tradnl"/>
        </w:rPr>
        <w:t>S</w:t>
      </w:r>
      <w:r w:rsidR="0001225F" w:rsidRPr="00C7542C">
        <w:rPr>
          <w:sz w:val="20"/>
          <w:szCs w:val="20"/>
          <w:lang w:val="es-ES_tradnl"/>
        </w:rPr>
        <w:t xml:space="preserve">ecretario de la Defensoría General de la Provincia del Chubut respectivamente, </w:t>
      </w:r>
      <w:r w:rsidR="009B0537" w:rsidRPr="00C7542C">
        <w:rPr>
          <w:sz w:val="20"/>
          <w:szCs w:val="20"/>
          <w:lang w:val="es-ES_tradnl"/>
        </w:rPr>
        <w:t xml:space="preserve">en su </w:t>
      </w:r>
      <w:r w:rsidR="0000305A" w:rsidRPr="00C7542C">
        <w:rPr>
          <w:sz w:val="20"/>
          <w:szCs w:val="20"/>
          <w:lang w:val="es-ES_tradnl"/>
        </w:rPr>
        <w:t>carácter de abogados defensores de Diego Armando Pacheco</w:t>
      </w:r>
      <w:r w:rsidR="002F1D5F" w:rsidRPr="00C7542C">
        <w:rPr>
          <w:sz w:val="20"/>
          <w:szCs w:val="20"/>
          <w:lang w:val="es-ES_tradnl"/>
        </w:rPr>
        <w:t xml:space="preserve"> (en adelante “la parte peticionaria”)</w:t>
      </w:r>
      <w:r w:rsidR="0000305A" w:rsidRPr="00C7542C">
        <w:rPr>
          <w:sz w:val="20"/>
          <w:szCs w:val="20"/>
          <w:lang w:val="es-ES_tradnl"/>
        </w:rPr>
        <w:t>.</w:t>
      </w:r>
      <w:r w:rsidR="002F1D5F" w:rsidRPr="00C7542C">
        <w:rPr>
          <w:sz w:val="20"/>
          <w:szCs w:val="20"/>
          <w:lang w:val="es-ES_tradnl"/>
        </w:rPr>
        <w:t xml:space="preserve"> </w:t>
      </w:r>
      <w:r w:rsidR="0000305A" w:rsidRPr="00C7542C">
        <w:rPr>
          <w:sz w:val="20"/>
          <w:szCs w:val="20"/>
          <w:lang w:val="es-ES_tradnl"/>
        </w:rPr>
        <w:t>En dicha</w:t>
      </w:r>
      <w:r w:rsidR="009B0537" w:rsidRPr="00C7542C">
        <w:rPr>
          <w:sz w:val="20"/>
          <w:szCs w:val="20"/>
          <w:lang w:val="es-ES_tradnl"/>
        </w:rPr>
        <w:t xml:space="preserve"> comunicación los peticionarios alegaron</w:t>
      </w:r>
      <w:r w:rsidR="00BF66CB" w:rsidRPr="00C7542C">
        <w:rPr>
          <w:sz w:val="20"/>
          <w:szCs w:val="20"/>
          <w:lang w:val="es-ES_tradnl"/>
        </w:rPr>
        <w:t xml:space="preserve"> la responsabilidad internacional de la República</w:t>
      </w:r>
      <w:r w:rsidR="00021A8F" w:rsidRPr="00C7542C">
        <w:rPr>
          <w:sz w:val="20"/>
          <w:szCs w:val="20"/>
          <w:lang w:val="es-ES_tradnl"/>
        </w:rPr>
        <w:t xml:space="preserve"> </w:t>
      </w:r>
      <w:r w:rsidR="00BF66CB" w:rsidRPr="00C7542C">
        <w:rPr>
          <w:sz w:val="20"/>
          <w:szCs w:val="20"/>
          <w:lang w:val="es-ES_tradnl"/>
        </w:rPr>
        <w:t xml:space="preserve">Argentina (en adelante “el Estado de Argentina”, “el Estado” o “Argentina”) </w:t>
      </w:r>
      <w:r w:rsidR="0000305A" w:rsidRPr="00C7542C">
        <w:rPr>
          <w:sz w:val="20"/>
          <w:szCs w:val="20"/>
          <w:lang w:val="es-ES_tradnl"/>
        </w:rPr>
        <w:t>por la presunta violación del derecho de</w:t>
      </w:r>
      <w:r w:rsidR="00D07793" w:rsidRPr="00C7542C">
        <w:rPr>
          <w:sz w:val="20"/>
          <w:szCs w:val="20"/>
          <w:lang w:val="es-ES_tradnl"/>
        </w:rPr>
        <w:t xml:space="preserve">l Sr. Pacheco </w:t>
      </w:r>
      <w:r w:rsidR="009B0537" w:rsidRPr="00C7542C">
        <w:rPr>
          <w:sz w:val="20"/>
          <w:szCs w:val="20"/>
          <w:lang w:val="es-ES_tradnl"/>
        </w:rPr>
        <w:t>a</w:t>
      </w:r>
      <w:r w:rsidR="0000305A" w:rsidRPr="00C7542C">
        <w:rPr>
          <w:sz w:val="20"/>
          <w:szCs w:val="20"/>
          <w:lang w:val="es-ES_tradnl"/>
        </w:rPr>
        <w:t xml:space="preserve"> recurrir el fallo condenatorio </w:t>
      </w:r>
      <w:r w:rsidR="00D07793" w:rsidRPr="00C7542C">
        <w:rPr>
          <w:sz w:val="20"/>
          <w:szCs w:val="20"/>
          <w:lang w:val="es-ES_tradnl"/>
        </w:rPr>
        <w:t xml:space="preserve">en el marco de un proceso penal en el cual se le </w:t>
      </w:r>
      <w:r w:rsidR="0000305A" w:rsidRPr="00C7542C">
        <w:rPr>
          <w:sz w:val="20"/>
          <w:szCs w:val="20"/>
          <w:lang w:val="es-ES_tradnl"/>
        </w:rPr>
        <w:t xml:space="preserve">impuso una </w:t>
      </w:r>
      <w:r w:rsidR="00D07793" w:rsidRPr="00C7542C">
        <w:rPr>
          <w:sz w:val="20"/>
          <w:szCs w:val="20"/>
          <w:lang w:val="es-ES_tradnl"/>
        </w:rPr>
        <w:t xml:space="preserve">condena a </w:t>
      </w:r>
      <w:r w:rsidR="0000305A" w:rsidRPr="00C7542C">
        <w:rPr>
          <w:sz w:val="20"/>
          <w:szCs w:val="20"/>
          <w:lang w:val="es-ES_tradnl"/>
        </w:rPr>
        <w:t xml:space="preserve">cuatro años de prisión por un delito que habría cometido cuando </w:t>
      </w:r>
      <w:r w:rsidR="00D07793" w:rsidRPr="00C7542C">
        <w:rPr>
          <w:sz w:val="20"/>
          <w:szCs w:val="20"/>
          <w:lang w:val="es-ES_tradnl"/>
        </w:rPr>
        <w:t xml:space="preserve">contaba con 17 años. </w:t>
      </w:r>
    </w:p>
    <w:p w14:paraId="180A9AB6" w14:textId="77777777" w:rsidR="008C0CD0" w:rsidRPr="00C7542C" w:rsidRDefault="008C0CD0" w:rsidP="0012503D">
      <w:pPr>
        <w:pStyle w:val="ListParagraph"/>
        <w:tabs>
          <w:tab w:val="left" w:pos="567"/>
        </w:tabs>
        <w:ind w:left="0"/>
        <w:jc w:val="both"/>
        <w:rPr>
          <w:sz w:val="20"/>
          <w:szCs w:val="20"/>
          <w:lang w:val="es-ES_tradnl"/>
        </w:rPr>
      </w:pPr>
    </w:p>
    <w:p w14:paraId="0931AA30" w14:textId="10EA884C" w:rsidR="00697B99" w:rsidRPr="00C7542C" w:rsidRDefault="00364B78"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El 22 de enero de 2018 la C</w:t>
      </w:r>
      <w:r w:rsidR="00642917" w:rsidRPr="00C7542C">
        <w:rPr>
          <w:sz w:val="20"/>
          <w:szCs w:val="20"/>
          <w:lang w:val="es-ES_tradnl"/>
        </w:rPr>
        <w:t xml:space="preserve">omisión notificó a las partes </w:t>
      </w:r>
      <w:r w:rsidR="00D07793" w:rsidRPr="00C7542C">
        <w:rPr>
          <w:sz w:val="20"/>
          <w:szCs w:val="20"/>
          <w:lang w:val="es-ES_tradnl"/>
        </w:rPr>
        <w:t xml:space="preserve">su decisión de aplicar </w:t>
      </w:r>
      <w:r w:rsidR="00642917" w:rsidRPr="00C7542C">
        <w:rPr>
          <w:sz w:val="20"/>
          <w:szCs w:val="20"/>
          <w:lang w:val="es-ES_tradnl"/>
        </w:rPr>
        <w:t xml:space="preserve">el artículo 36.3 </w:t>
      </w:r>
      <w:r w:rsidRPr="00C7542C">
        <w:rPr>
          <w:sz w:val="20"/>
          <w:szCs w:val="20"/>
          <w:lang w:val="es-ES_tradnl"/>
        </w:rPr>
        <w:t>de su Reglamento</w:t>
      </w:r>
      <w:r w:rsidR="00D07793" w:rsidRPr="00C7542C">
        <w:rPr>
          <w:sz w:val="20"/>
          <w:szCs w:val="20"/>
          <w:lang w:val="es-ES_tradnl"/>
        </w:rPr>
        <w:t xml:space="preserve"> </w:t>
      </w:r>
      <w:r w:rsidR="00642917" w:rsidRPr="00C7542C">
        <w:rPr>
          <w:sz w:val="20"/>
          <w:szCs w:val="20"/>
          <w:lang w:val="es-ES_tradnl"/>
        </w:rPr>
        <w:t xml:space="preserve">por encontrarse la petición comprendida </w:t>
      </w:r>
      <w:r w:rsidR="005274C0" w:rsidRPr="00C7542C">
        <w:rPr>
          <w:sz w:val="20"/>
          <w:szCs w:val="20"/>
          <w:lang w:val="es-ES_tradnl"/>
        </w:rPr>
        <w:t>dentro de los criterios establecidos en su Resolución 1/16</w:t>
      </w:r>
      <w:r w:rsidR="00D07793" w:rsidRPr="00C7542C">
        <w:rPr>
          <w:sz w:val="20"/>
          <w:szCs w:val="20"/>
          <w:lang w:val="es-ES_tradnl"/>
        </w:rPr>
        <w:t xml:space="preserve"> </w:t>
      </w:r>
      <w:r w:rsidR="005274C0" w:rsidRPr="00C7542C">
        <w:rPr>
          <w:sz w:val="20"/>
          <w:szCs w:val="20"/>
          <w:lang w:val="es-ES_tradnl"/>
        </w:rPr>
        <w:t xml:space="preserve">y se puso a disposición de las partes a fin de llegar a una solución amistosa. </w:t>
      </w:r>
      <w:r w:rsidR="00817E8C" w:rsidRPr="00C7542C">
        <w:rPr>
          <w:sz w:val="20"/>
          <w:szCs w:val="20"/>
          <w:lang w:val="es-ES_tradnl"/>
        </w:rPr>
        <w:t xml:space="preserve">Las partes contaron con los plazos reglamentarios para presentar sus observaciones adicionales sobre el fondo. Toda la información recibida fue debidamente trasladada entre las partes. </w:t>
      </w:r>
    </w:p>
    <w:p w14:paraId="515AA9E9" w14:textId="77777777" w:rsidR="00697B99" w:rsidRPr="00C7542C" w:rsidRDefault="00697B99" w:rsidP="00697B99">
      <w:pPr>
        <w:jc w:val="both"/>
        <w:rPr>
          <w:sz w:val="20"/>
          <w:szCs w:val="20"/>
          <w:lang w:val="es-ES_tradnl"/>
        </w:rPr>
      </w:pPr>
    </w:p>
    <w:p w14:paraId="1E352B82" w14:textId="11492811" w:rsidR="007F17F3" w:rsidRPr="00C7542C" w:rsidRDefault="00697B99" w:rsidP="006C6B75">
      <w:pPr>
        <w:pStyle w:val="Heading1"/>
        <w:numPr>
          <w:ilvl w:val="0"/>
          <w:numId w:val="6"/>
        </w:numPr>
      </w:pPr>
      <w:bookmarkStart w:id="7" w:name="_Toc40962118"/>
      <w:bookmarkStart w:id="8" w:name="_Toc42679767"/>
      <w:bookmarkStart w:id="9" w:name="_Toc78370155"/>
      <w:bookmarkStart w:id="10" w:name="_Toc203382193"/>
      <w:r w:rsidRPr="00C7542C">
        <w:t>A</w:t>
      </w:r>
      <w:r w:rsidR="00F04732" w:rsidRPr="00C7542C">
        <w:t>LEGATOS DE LAS PARTES</w:t>
      </w:r>
      <w:bookmarkEnd w:id="7"/>
      <w:bookmarkEnd w:id="8"/>
      <w:bookmarkEnd w:id="9"/>
      <w:bookmarkEnd w:id="10"/>
    </w:p>
    <w:p w14:paraId="78D2E839" w14:textId="77777777" w:rsidR="007F17F3" w:rsidRPr="00C7542C" w:rsidRDefault="007F17F3" w:rsidP="00D04EF0">
      <w:pPr>
        <w:jc w:val="both"/>
        <w:rPr>
          <w:sz w:val="20"/>
          <w:szCs w:val="20"/>
          <w:lang w:val="es-ES_tradnl" w:eastAsia="es-ES"/>
        </w:rPr>
      </w:pPr>
    </w:p>
    <w:p w14:paraId="4E23D648" w14:textId="77777777" w:rsidR="007F17F3" w:rsidRPr="00C7542C" w:rsidRDefault="007F17F3" w:rsidP="003448BE">
      <w:pPr>
        <w:pStyle w:val="Heading2"/>
      </w:pPr>
      <w:bookmarkStart w:id="11" w:name="_Toc40962119"/>
      <w:bookmarkStart w:id="12" w:name="_Toc42679768"/>
      <w:bookmarkStart w:id="13" w:name="_Toc78370156"/>
      <w:bookmarkStart w:id="14" w:name="_Toc203382194"/>
      <w:r w:rsidRPr="00C7542C">
        <w:t>Parte peticionaria</w:t>
      </w:r>
      <w:bookmarkEnd w:id="11"/>
      <w:bookmarkEnd w:id="12"/>
      <w:bookmarkEnd w:id="13"/>
      <w:bookmarkEnd w:id="14"/>
      <w:r w:rsidRPr="00C7542C">
        <w:t xml:space="preserve"> </w:t>
      </w:r>
    </w:p>
    <w:p w14:paraId="4FE0607F" w14:textId="77777777" w:rsidR="00697B99" w:rsidRPr="00C7542C" w:rsidRDefault="00697B99" w:rsidP="0012503D">
      <w:pPr>
        <w:tabs>
          <w:tab w:val="left" w:pos="567"/>
        </w:tabs>
        <w:jc w:val="both"/>
        <w:rPr>
          <w:rFonts w:ascii="Cambria" w:hAnsi="Cambria"/>
          <w:sz w:val="20"/>
          <w:szCs w:val="20"/>
          <w:lang w:val="es-ES_tradnl"/>
        </w:rPr>
      </w:pPr>
    </w:p>
    <w:p w14:paraId="6DE2C7E5" w14:textId="5894805F" w:rsidR="00F539BC" w:rsidRPr="00C7542C" w:rsidRDefault="0000305A"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primer </w:t>
      </w:r>
      <w:r w:rsidR="00361F6B" w:rsidRPr="00C7542C">
        <w:rPr>
          <w:sz w:val="20"/>
          <w:szCs w:val="20"/>
          <w:lang w:val="es-ES_tradnl"/>
        </w:rPr>
        <w:t>término</w:t>
      </w:r>
      <w:r w:rsidRPr="00C7542C">
        <w:rPr>
          <w:sz w:val="20"/>
          <w:szCs w:val="20"/>
          <w:lang w:val="es-ES_tradnl"/>
        </w:rPr>
        <w:t>, l</w:t>
      </w:r>
      <w:r w:rsidR="00350ACC" w:rsidRPr="00C7542C">
        <w:rPr>
          <w:sz w:val="20"/>
          <w:szCs w:val="20"/>
          <w:lang w:val="es-ES_tradnl"/>
        </w:rPr>
        <w:t xml:space="preserve">a parte peticionaria </w:t>
      </w:r>
      <w:r w:rsidRPr="00C7542C">
        <w:rPr>
          <w:sz w:val="20"/>
          <w:szCs w:val="20"/>
          <w:lang w:val="es-ES_tradnl"/>
        </w:rPr>
        <w:t>inform</w:t>
      </w:r>
      <w:r w:rsidR="00350ACC" w:rsidRPr="00C7542C">
        <w:rPr>
          <w:sz w:val="20"/>
          <w:szCs w:val="20"/>
          <w:lang w:val="es-ES_tradnl"/>
        </w:rPr>
        <w:t>ó que</w:t>
      </w:r>
      <w:r w:rsidR="00F539BC" w:rsidRPr="00C7542C">
        <w:rPr>
          <w:sz w:val="20"/>
          <w:szCs w:val="20"/>
          <w:lang w:val="es-ES_tradnl"/>
        </w:rPr>
        <w:t xml:space="preserve"> </w:t>
      </w:r>
      <w:r w:rsidR="00DE32EB" w:rsidRPr="00C7542C">
        <w:rPr>
          <w:sz w:val="20"/>
          <w:szCs w:val="20"/>
          <w:lang w:val="es-ES_tradnl"/>
        </w:rPr>
        <w:t xml:space="preserve">mediante sentencia de </w:t>
      </w:r>
      <w:r w:rsidR="00361F6B" w:rsidRPr="00C7542C">
        <w:rPr>
          <w:sz w:val="20"/>
          <w:szCs w:val="20"/>
          <w:lang w:val="es-ES_tradnl"/>
        </w:rPr>
        <w:t>fecha 19</w:t>
      </w:r>
      <w:r w:rsidR="00F539BC" w:rsidRPr="00C7542C">
        <w:rPr>
          <w:sz w:val="20"/>
          <w:szCs w:val="20"/>
          <w:lang w:val="es-ES_tradnl"/>
        </w:rPr>
        <w:t xml:space="preserve"> de mayo de 2000 la Cámara Primera en lo Criminal de la Circunscripción Judicial de Comodoro de Rivadavia</w:t>
      </w:r>
      <w:r w:rsidR="003D1561" w:rsidRPr="00C7542C">
        <w:rPr>
          <w:sz w:val="20"/>
          <w:szCs w:val="20"/>
          <w:lang w:val="es-ES_tradnl"/>
        </w:rPr>
        <w:t xml:space="preserve"> </w:t>
      </w:r>
      <w:r w:rsidR="00DE32EB" w:rsidRPr="00C7542C">
        <w:rPr>
          <w:sz w:val="20"/>
          <w:szCs w:val="20"/>
          <w:lang w:val="es-ES_tradnl"/>
        </w:rPr>
        <w:t xml:space="preserve">declaró la responsabilidad </w:t>
      </w:r>
      <w:r w:rsidR="00361F6B" w:rsidRPr="00C7542C">
        <w:rPr>
          <w:sz w:val="20"/>
          <w:szCs w:val="20"/>
          <w:lang w:val="es-ES_tradnl"/>
        </w:rPr>
        <w:t>penal de</w:t>
      </w:r>
      <w:r w:rsidR="00F539BC" w:rsidRPr="00C7542C">
        <w:rPr>
          <w:sz w:val="20"/>
          <w:szCs w:val="20"/>
          <w:lang w:val="es-ES_tradnl"/>
        </w:rPr>
        <w:t xml:space="preserve"> </w:t>
      </w:r>
      <w:r w:rsidR="00350ACC" w:rsidRPr="00C7542C">
        <w:rPr>
          <w:sz w:val="20"/>
          <w:szCs w:val="20"/>
          <w:lang w:val="es-ES_tradnl"/>
        </w:rPr>
        <w:t>Diego Armando Pacheco</w:t>
      </w:r>
      <w:r w:rsidR="00F539BC" w:rsidRPr="00C7542C">
        <w:rPr>
          <w:sz w:val="20"/>
          <w:szCs w:val="20"/>
          <w:lang w:val="es-ES_tradnl"/>
        </w:rPr>
        <w:t xml:space="preserve"> por el delito de homicidio simple. Asimismo, </w:t>
      </w:r>
      <w:r w:rsidR="00025E5C" w:rsidRPr="00C7542C">
        <w:rPr>
          <w:sz w:val="20"/>
          <w:szCs w:val="20"/>
          <w:lang w:val="es-ES_tradnl"/>
        </w:rPr>
        <w:t>afirm</w:t>
      </w:r>
      <w:r w:rsidR="00F539BC" w:rsidRPr="00C7542C">
        <w:rPr>
          <w:sz w:val="20"/>
          <w:szCs w:val="20"/>
          <w:lang w:val="es-ES_tradnl"/>
        </w:rPr>
        <w:t>ó que</w:t>
      </w:r>
      <w:r w:rsidR="00DE32EB" w:rsidRPr="00C7542C">
        <w:rPr>
          <w:sz w:val="20"/>
          <w:szCs w:val="20"/>
          <w:lang w:val="es-ES_tradnl"/>
        </w:rPr>
        <w:t xml:space="preserve"> el Sr. Pacheco fue sometido a tratamiento tutelar hasta su mayoría de edad conforme lo dispuesto por la ley 22.278.</w:t>
      </w:r>
    </w:p>
    <w:p w14:paraId="518C0E82" w14:textId="77777777" w:rsidR="008C0CD0" w:rsidRPr="00C7542C" w:rsidRDefault="008C0CD0" w:rsidP="0012503D">
      <w:pPr>
        <w:pStyle w:val="ListParagraph"/>
        <w:tabs>
          <w:tab w:val="left" w:pos="567"/>
        </w:tabs>
        <w:ind w:left="0"/>
        <w:jc w:val="both"/>
        <w:rPr>
          <w:sz w:val="20"/>
          <w:szCs w:val="20"/>
          <w:lang w:val="es-ES_tradnl"/>
        </w:rPr>
      </w:pPr>
    </w:p>
    <w:p w14:paraId="301B7B47" w14:textId="74109418" w:rsidR="003D1561" w:rsidRPr="00C7542C" w:rsidRDefault="008C0CD0"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En esta misma línea, i</w:t>
      </w:r>
      <w:r w:rsidR="00355E2E" w:rsidRPr="00C7542C">
        <w:rPr>
          <w:sz w:val="20"/>
          <w:szCs w:val="20"/>
          <w:lang w:val="es-ES_tradnl"/>
        </w:rPr>
        <w:t xml:space="preserve">ndicó </w:t>
      </w:r>
      <w:r w:rsidR="003D1561" w:rsidRPr="00C7542C">
        <w:rPr>
          <w:sz w:val="20"/>
          <w:szCs w:val="20"/>
          <w:lang w:val="es-ES_tradnl"/>
        </w:rPr>
        <w:t xml:space="preserve">que el 17 de septiembre de 2002 la Cámara Primera en lo Criminal </w:t>
      </w:r>
      <w:r w:rsidRPr="00C7542C">
        <w:rPr>
          <w:sz w:val="20"/>
          <w:szCs w:val="20"/>
          <w:lang w:val="es-ES_tradnl"/>
        </w:rPr>
        <w:t xml:space="preserve">decidió imponer </w:t>
      </w:r>
      <w:r w:rsidR="004A17C1" w:rsidRPr="00C7542C">
        <w:rPr>
          <w:sz w:val="20"/>
          <w:szCs w:val="20"/>
          <w:lang w:val="es-ES_tradnl"/>
        </w:rPr>
        <w:t>una</w:t>
      </w:r>
      <w:r w:rsidR="003D1561" w:rsidRPr="00C7542C">
        <w:rPr>
          <w:sz w:val="20"/>
          <w:szCs w:val="20"/>
          <w:lang w:val="es-ES_tradnl"/>
        </w:rPr>
        <w:t xml:space="preserve"> pena </w:t>
      </w:r>
      <w:r w:rsidR="007502B4" w:rsidRPr="00C7542C">
        <w:rPr>
          <w:sz w:val="20"/>
          <w:szCs w:val="20"/>
          <w:lang w:val="es-ES_tradnl"/>
        </w:rPr>
        <w:t xml:space="preserve">de cuatro años de prisión </w:t>
      </w:r>
      <w:r w:rsidR="00824AB3" w:rsidRPr="00C7542C">
        <w:rPr>
          <w:sz w:val="20"/>
          <w:szCs w:val="20"/>
          <w:lang w:val="es-ES_tradnl"/>
        </w:rPr>
        <w:t>a Diego Armando Pacheco,</w:t>
      </w:r>
      <w:r w:rsidR="00D04EF0" w:rsidRPr="00C7542C">
        <w:rPr>
          <w:sz w:val="20"/>
          <w:szCs w:val="20"/>
          <w:lang w:val="es-ES_tradnl"/>
        </w:rPr>
        <w:t xml:space="preserve"> </w:t>
      </w:r>
      <w:r w:rsidR="003D1561" w:rsidRPr="00C7542C">
        <w:rPr>
          <w:sz w:val="20"/>
          <w:szCs w:val="20"/>
          <w:lang w:val="es-ES_tradnl"/>
        </w:rPr>
        <w:t xml:space="preserve">en </w:t>
      </w:r>
      <w:r w:rsidR="000A5EFB" w:rsidRPr="00C7542C">
        <w:rPr>
          <w:sz w:val="20"/>
          <w:szCs w:val="20"/>
          <w:lang w:val="es-ES_tradnl"/>
        </w:rPr>
        <w:t>relación con</w:t>
      </w:r>
      <w:r w:rsidR="003D1561" w:rsidRPr="00C7542C">
        <w:rPr>
          <w:sz w:val="20"/>
          <w:szCs w:val="20"/>
          <w:lang w:val="es-ES_tradnl"/>
        </w:rPr>
        <w:t xml:space="preserve"> la declaración de responsabilidad penal</w:t>
      </w:r>
      <w:r w:rsidRPr="00C7542C">
        <w:rPr>
          <w:sz w:val="20"/>
          <w:szCs w:val="20"/>
          <w:lang w:val="es-ES_tradnl"/>
        </w:rPr>
        <w:t xml:space="preserve"> anteriormente</w:t>
      </w:r>
      <w:r w:rsidR="003D1561" w:rsidRPr="00C7542C">
        <w:rPr>
          <w:sz w:val="20"/>
          <w:szCs w:val="20"/>
          <w:lang w:val="es-ES_tradnl"/>
        </w:rPr>
        <w:t xml:space="preserve"> dictada en </w:t>
      </w:r>
      <w:r w:rsidR="00824AB3" w:rsidRPr="00C7542C">
        <w:rPr>
          <w:sz w:val="20"/>
          <w:szCs w:val="20"/>
          <w:lang w:val="es-ES_tradnl"/>
        </w:rPr>
        <w:t xml:space="preserve">su </w:t>
      </w:r>
      <w:r w:rsidR="003D1561" w:rsidRPr="00C7542C">
        <w:rPr>
          <w:sz w:val="20"/>
          <w:szCs w:val="20"/>
          <w:lang w:val="es-ES_tradnl"/>
        </w:rPr>
        <w:t>contra</w:t>
      </w:r>
      <w:r w:rsidR="007502B4" w:rsidRPr="00C7542C">
        <w:rPr>
          <w:sz w:val="20"/>
          <w:szCs w:val="20"/>
          <w:lang w:val="es-ES_tradnl"/>
        </w:rPr>
        <w:t xml:space="preserve">, </w:t>
      </w:r>
      <w:r w:rsidR="009712E3" w:rsidRPr="00C7542C">
        <w:rPr>
          <w:sz w:val="20"/>
          <w:szCs w:val="20"/>
          <w:lang w:val="es-ES_tradnl"/>
        </w:rPr>
        <w:t>al considerar, entre otras circunstancias, que no había asumido con la responsabilidad necesaria el tratamiento tutelar.</w:t>
      </w:r>
    </w:p>
    <w:p w14:paraId="23098DB8" w14:textId="77777777" w:rsidR="008C0CD0" w:rsidRPr="00C7542C" w:rsidRDefault="008C0CD0" w:rsidP="0012503D">
      <w:pPr>
        <w:pStyle w:val="ListParagraph"/>
        <w:tabs>
          <w:tab w:val="left" w:pos="567"/>
        </w:tabs>
        <w:ind w:left="0"/>
        <w:jc w:val="both"/>
        <w:rPr>
          <w:sz w:val="20"/>
          <w:szCs w:val="20"/>
          <w:lang w:val="es-ES_tradnl"/>
        </w:rPr>
      </w:pPr>
    </w:p>
    <w:p w14:paraId="2955199A" w14:textId="5C56367E" w:rsidR="00EE3E06" w:rsidRPr="00C7542C" w:rsidRDefault="00EE3E06"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La parte peticionaria afirmó que la imposición de </w:t>
      </w:r>
      <w:r w:rsidR="003A27EF" w:rsidRPr="00C7542C">
        <w:rPr>
          <w:sz w:val="20"/>
          <w:szCs w:val="20"/>
          <w:lang w:val="es-ES_tradnl"/>
        </w:rPr>
        <w:t>dicha</w:t>
      </w:r>
      <w:r w:rsidRPr="00C7542C">
        <w:rPr>
          <w:sz w:val="20"/>
          <w:szCs w:val="20"/>
          <w:lang w:val="es-ES_tradnl"/>
        </w:rPr>
        <w:t xml:space="preserve"> pena hab</w:t>
      </w:r>
      <w:r w:rsidR="00DE32EB" w:rsidRPr="00C7542C">
        <w:rPr>
          <w:sz w:val="20"/>
          <w:szCs w:val="20"/>
          <w:lang w:val="es-ES_tradnl"/>
        </w:rPr>
        <w:t>r</w:t>
      </w:r>
      <w:r w:rsidRPr="00C7542C">
        <w:rPr>
          <w:sz w:val="20"/>
          <w:szCs w:val="20"/>
          <w:lang w:val="es-ES_tradnl"/>
        </w:rPr>
        <w:t>ía resultado arbitraria, absurda y carente de fundamentación</w:t>
      </w:r>
      <w:r w:rsidR="00DE32EB" w:rsidRPr="00C7542C">
        <w:rPr>
          <w:sz w:val="20"/>
          <w:szCs w:val="20"/>
          <w:lang w:val="es-ES_tradnl"/>
        </w:rPr>
        <w:t xml:space="preserve"> y que </w:t>
      </w:r>
      <w:r w:rsidR="00F43277" w:rsidRPr="00C7542C">
        <w:rPr>
          <w:sz w:val="20"/>
          <w:szCs w:val="20"/>
          <w:lang w:val="es-ES_tradnl"/>
        </w:rPr>
        <w:t xml:space="preserve">resulta violatoria </w:t>
      </w:r>
      <w:r w:rsidR="00361F6B" w:rsidRPr="00C7542C">
        <w:rPr>
          <w:sz w:val="20"/>
          <w:szCs w:val="20"/>
          <w:lang w:val="es-ES_tradnl"/>
        </w:rPr>
        <w:t>de los</w:t>
      </w:r>
      <w:r w:rsidR="008C0CD0" w:rsidRPr="00C7542C">
        <w:rPr>
          <w:sz w:val="20"/>
          <w:szCs w:val="20"/>
          <w:lang w:val="es-ES_tradnl"/>
        </w:rPr>
        <w:t xml:space="preserve"> derechos reconocidos al peticionario por</w:t>
      </w:r>
      <w:r w:rsidRPr="00C7542C">
        <w:rPr>
          <w:sz w:val="20"/>
          <w:szCs w:val="20"/>
          <w:lang w:val="es-ES_tradnl"/>
        </w:rPr>
        <w:t xml:space="preserve"> la Convención de los Derechos del Niño. </w:t>
      </w:r>
      <w:r w:rsidR="00F43277" w:rsidRPr="00C7542C">
        <w:rPr>
          <w:sz w:val="20"/>
          <w:szCs w:val="20"/>
          <w:lang w:val="es-ES_tradnl"/>
        </w:rPr>
        <w:t xml:space="preserve">En esta línea, argumentó que las causas que llevaron a Pacheco a alguna inasistencia en el tratamiento tutelar impuesto se debían a ineficiencias e incapacidades voluntarias y materiales por parte del Estado, quien debía brindarle los medios mínimos para llevar adelante su tratamiento y no lo hizo. </w:t>
      </w:r>
    </w:p>
    <w:p w14:paraId="65AAC1A3" w14:textId="77777777" w:rsidR="008C0CD0" w:rsidRPr="00C7542C" w:rsidRDefault="008C0CD0" w:rsidP="0012503D">
      <w:pPr>
        <w:pStyle w:val="ListParagraph"/>
        <w:tabs>
          <w:tab w:val="left" w:pos="567"/>
        </w:tabs>
        <w:ind w:left="0"/>
        <w:jc w:val="both"/>
        <w:rPr>
          <w:sz w:val="20"/>
          <w:szCs w:val="20"/>
          <w:lang w:val="es-ES_tradnl"/>
        </w:rPr>
      </w:pPr>
    </w:p>
    <w:p w14:paraId="11B51D77" w14:textId="6C2F3DB7" w:rsidR="008C0CD0" w:rsidRPr="00C7542C" w:rsidRDefault="008C0CD0"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Por otro lado, y</w:t>
      </w:r>
      <w:r w:rsidR="00D04EF0" w:rsidRPr="00C7542C">
        <w:rPr>
          <w:sz w:val="20"/>
          <w:szCs w:val="20"/>
          <w:lang w:val="es-ES_tradnl"/>
        </w:rPr>
        <w:t xml:space="preserve"> con</w:t>
      </w:r>
      <w:r w:rsidRPr="00C7542C">
        <w:rPr>
          <w:sz w:val="20"/>
          <w:szCs w:val="20"/>
          <w:lang w:val="es-ES_tradnl"/>
        </w:rPr>
        <w:t xml:space="preserve"> respecto al derecho a recurrir la sentencia condenatori</w:t>
      </w:r>
      <w:r w:rsidR="00AA6386" w:rsidRPr="00C7542C">
        <w:rPr>
          <w:sz w:val="20"/>
          <w:szCs w:val="20"/>
          <w:lang w:val="es-ES_tradnl"/>
        </w:rPr>
        <w:t>a</w:t>
      </w:r>
      <w:r w:rsidRPr="00C7542C">
        <w:rPr>
          <w:sz w:val="20"/>
          <w:szCs w:val="20"/>
          <w:lang w:val="es-ES_tradnl"/>
        </w:rPr>
        <w:t xml:space="preserve">, </w:t>
      </w:r>
      <w:r w:rsidR="00D04EF0" w:rsidRPr="00C7542C">
        <w:rPr>
          <w:sz w:val="20"/>
          <w:szCs w:val="20"/>
          <w:lang w:val="es-ES_tradnl"/>
        </w:rPr>
        <w:t>los peticionarios informaron</w:t>
      </w:r>
      <w:r w:rsidR="00210771" w:rsidRPr="00C7542C">
        <w:rPr>
          <w:sz w:val="20"/>
          <w:szCs w:val="20"/>
          <w:lang w:val="es-ES_tradnl"/>
        </w:rPr>
        <w:t xml:space="preserve"> que </w:t>
      </w:r>
      <w:r w:rsidR="009B0537" w:rsidRPr="00C7542C">
        <w:rPr>
          <w:sz w:val="20"/>
          <w:szCs w:val="20"/>
          <w:lang w:val="es-ES_tradnl"/>
        </w:rPr>
        <w:t>frente a</w:t>
      </w:r>
      <w:r w:rsidR="00210771" w:rsidRPr="00C7542C">
        <w:rPr>
          <w:sz w:val="20"/>
          <w:szCs w:val="20"/>
          <w:lang w:val="es-ES_tradnl"/>
        </w:rPr>
        <w:t xml:space="preserve"> la sentencia de </w:t>
      </w:r>
      <w:r w:rsidR="009B0537" w:rsidRPr="00C7542C">
        <w:rPr>
          <w:sz w:val="20"/>
          <w:szCs w:val="20"/>
          <w:lang w:val="es-ES_tradnl"/>
        </w:rPr>
        <w:t xml:space="preserve">fecha </w:t>
      </w:r>
      <w:r w:rsidR="00210771" w:rsidRPr="00C7542C">
        <w:rPr>
          <w:sz w:val="20"/>
          <w:szCs w:val="20"/>
          <w:lang w:val="es-ES_tradnl"/>
        </w:rPr>
        <w:t xml:space="preserve">17 de septiembre de 2002, se interpusieron </w:t>
      </w:r>
      <w:r w:rsidR="00395CFC" w:rsidRPr="00C7542C">
        <w:rPr>
          <w:sz w:val="20"/>
          <w:szCs w:val="20"/>
          <w:lang w:val="es-ES_tradnl"/>
        </w:rPr>
        <w:t>dos recursos de casación, los cuales fueron declarados inadmisibles por el Superior Tribunal de Justicia del Chubut el 16 de diciembre de 200</w:t>
      </w:r>
      <w:r w:rsidR="00EA4EA8" w:rsidRPr="00C7542C">
        <w:rPr>
          <w:sz w:val="20"/>
          <w:szCs w:val="20"/>
          <w:lang w:val="es-ES_tradnl"/>
        </w:rPr>
        <w:t>2</w:t>
      </w:r>
      <w:r w:rsidR="00CB749A" w:rsidRPr="00C7542C">
        <w:rPr>
          <w:sz w:val="20"/>
          <w:szCs w:val="20"/>
          <w:lang w:val="es-ES_tradnl"/>
        </w:rPr>
        <w:t xml:space="preserve">. La parte peticionaria sostuvo </w:t>
      </w:r>
      <w:r w:rsidR="00361F6B" w:rsidRPr="00C7542C">
        <w:rPr>
          <w:sz w:val="20"/>
          <w:szCs w:val="20"/>
          <w:lang w:val="es-ES_tradnl"/>
        </w:rPr>
        <w:t>que,</w:t>
      </w:r>
      <w:r w:rsidR="00CB749A" w:rsidRPr="00C7542C">
        <w:rPr>
          <w:sz w:val="20"/>
          <w:szCs w:val="20"/>
          <w:lang w:val="es-ES_tradnl"/>
        </w:rPr>
        <w:t xml:space="preserve"> pa</w:t>
      </w:r>
      <w:r w:rsidR="00D04EF0" w:rsidRPr="00C7542C">
        <w:rPr>
          <w:sz w:val="20"/>
          <w:szCs w:val="20"/>
          <w:lang w:val="es-ES_tradnl"/>
        </w:rPr>
        <w:t>ra decidir de esa manera,</w:t>
      </w:r>
      <w:r w:rsidR="00CB749A" w:rsidRPr="00C7542C">
        <w:rPr>
          <w:sz w:val="20"/>
          <w:szCs w:val="20"/>
          <w:lang w:val="es-ES_tradnl"/>
        </w:rPr>
        <w:t xml:space="preserve"> </w:t>
      </w:r>
      <w:r w:rsidR="00D04EF0" w:rsidRPr="00C7542C">
        <w:rPr>
          <w:sz w:val="20"/>
          <w:szCs w:val="20"/>
          <w:lang w:val="es-ES_tradnl"/>
        </w:rPr>
        <w:t xml:space="preserve">el Superior Tribunal argumentó </w:t>
      </w:r>
      <w:r w:rsidR="00395CFC" w:rsidRPr="00C7542C">
        <w:rPr>
          <w:sz w:val="20"/>
          <w:szCs w:val="20"/>
          <w:lang w:val="es-ES_tradnl"/>
        </w:rPr>
        <w:t>que la ley solo le permitía al tribunal de casación realizar un control jurídico</w:t>
      </w:r>
      <w:r w:rsidR="00D04EF0" w:rsidRPr="00C7542C">
        <w:rPr>
          <w:sz w:val="20"/>
          <w:szCs w:val="20"/>
          <w:lang w:val="es-ES_tradnl"/>
        </w:rPr>
        <w:t xml:space="preserve"> de la sentencia condenatoria y no</w:t>
      </w:r>
      <w:r w:rsidR="00CB749A" w:rsidRPr="00C7542C">
        <w:rPr>
          <w:sz w:val="20"/>
          <w:szCs w:val="20"/>
          <w:lang w:val="es-ES_tradnl"/>
        </w:rPr>
        <w:t xml:space="preserve"> en lo </w:t>
      </w:r>
      <w:r w:rsidR="00361F6B" w:rsidRPr="00C7542C">
        <w:rPr>
          <w:sz w:val="20"/>
          <w:szCs w:val="20"/>
          <w:lang w:val="es-ES_tradnl"/>
        </w:rPr>
        <w:t>que respecta</w:t>
      </w:r>
      <w:r w:rsidR="00D04EF0" w:rsidRPr="00C7542C">
        <w:rPr>
          <w:sz w:val="20"/>
          <w:szCs w:val="20"/>
          <w:lang w:val="es-ES_tradnl"/>
        </w:rPr>
        <w:t xml:space="preserve"> </w:t>
      </w:r>
      <w:r w:rsidR="00CB749A" w:rsidRPr="00C7542C">
        <w:rPr>
          <w:sz w:val="20"/>
          <w:szCs w:val="20"/>
          <w:lang w:val="es-ES_tradnl"/>
        </w:rPr>
        <w:t>a</w:t>
      </w:r>
      <w:r w:rsidR="00D04EF0" w:rsidRPr="00C7542C">
        <w:rPr>
          <w:sz w:val="20"/>
          <w:szCs w:val="20"/>
          <w:lang w:val="es-ES_tradnl"/>
        </w:rPr>
        <w:t xml:space="preserve"> los hechos del caso</w:t>
      </w:r>
      <w:r w:rsidR="00395CFC" w:rsidRPr="00C7542C">
        <w:rPr>
          <w:sz w:val="20"/>
          <w:szCs w:val="20"/>
          <w:lang w:val="es-ES_tradnl"/>
        </w:rPr>
        <w:t xml:space="preserve">. </w:t>
      </w:r>
      <w:r w:rsidR="00D04EF0" w:rsidRPr="00C7542C">
        <w:rPr>
          <w:sz w:val="20"/>
          <w:szCs w:val="20"/>
          <w:lang w:val="es-ES_tradnl"/>
        </w:rPr>
        <w:t xml:space="preserve">En consecuencia, la parte peticionaria, </w:t>
      </w:r>
      <w:r w:rsidR="00CB749A" w:rsidRPr="00C7542C">
        <w:rPr>
          <w:sz w:val="20"/>
          <w:szCs w:val="20"/>
          <w:lang w:val="es-ES_tradnl"/>
        </w:rPr>
        <w:t>consideró que la mencionada sentencia equivale a</w:t>
      </w:r>
      <w:r w:rsidR="00663A5B" w:rsidRPr="00C7542C">
        <w:rPr>
          <w:sz w:val="20"/>
          <w:szCs w:val="20"/>
          <w:lang w:val="es-ES_tradnl"/>
        </w:rPr>
        <w:t xml:space="preserve"> un rechazo </w:t>
      </w:r>
      <w:r w:rsidR="00663A5B" w:rsidRPr="00C7542C">
        <w:rPr>
          <w:i/>
          <w:iCs/>
          <w:sz w:val="20"/>
          <w:szCs w:val="20"/>
          <w:lang w:val="es-ES_tradnl"/>
        </w:rPr>
        <w:t xml:space="preserve">in limine </w:t>
      </w:r>
      <w:r w:rsidR="00663A5B" w:rsidRPr="00C7542C">
        <w:rPr>
          <w:sz w:val="20"/>
          <w:szCs w:val="20"/>
          <w:lang w:val="es-ES_tradnl"/>
        </w:rPr>
        <w:t xml:space="preserve">del recurso de casación. </w:t>
      </w:r>
    </w:p>
    <w:p w14:paraId="310B186F" w14:textId="77777777" w:rsidR="008C0CD0" w:rsidRPr="00C7542C" w:rsidRDefault="008C0CD0" w:rsidP="0012503D">
      <w:pPr>
        <w:pStyle w:val="ListParagraph"/>
        <w:tabs>
          <w:tab w:val="left" w:pos="567"/>
        </w:tabs>
        <w:ind w:left="0"/>
        <w:jc w:val="both"/>
        <w:rPr>
          <w:sz w:val="20"/>
          <w:szCs w:val="20"/>
          <w:lang w:val="es-ES_tradnl"/>
        </w:rPr>
      </w:pPr>
    </w:p>
    <w:p w14:paraId="38A921D7" w14:textId="666B5638" w:rsidR="00DF19E6" w:rsidRPr="00C7542C" w:rsidRDefault="00D04EF0"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Los peticionarios</w:t>
      </w:r>
      <w:r w:rsidR="00B26320" w:rsidRPr="00C7542C">
        <w:rPr>
          <w:sz w:val="20"/>
          <w:szCs w:val="20"/>
          <w:lang w:val="es-ES_tradnl"/>
        </w:rPr>
        <w:t xml:space="preserve"> añadieron que ante </w:t>
      </w:r>
      <w:r w:rsidR="009D2E49" w:rsidRPr="00C7542C">
        <w:rPr>
          <w:sz w:val="20"/>
          <w:szCs w:val="20"/>
          <w:lang w:val="es-ES_tradnl"/>
        </w:rPr>
        <w:t>la resolución que declaró inadmisibles los</w:t>
      </w:r>
      <w:r w:rsidR="00B4146F" w:rsidRPr="00C7542C">
        <w:rPr>
          <w:sz w:val="20"/>
          <w:szCs w:val="20"/>
          <w:lang w:val="es-ES_tradnl"/>
        </w:rPr>
        <w:t xml:space="preserve"> </w:t>
      </w:r>
      <w:r w:rsidR="009D2E49" w:rsidRPr="00C7542C">
        <w:rPr>
          <w:sz w:val="20"/>
          <w:szCs w:val="20"/>
          <w:lang w:val="es-ES_tradnl"/>
        </w:rPr>
        <w:t xml:space="preserve">recursos de casación, se interpuso recurso extraordinario federal. Sin embargo, </w:t>
      </w:r>
      <w:r w:rsidR="00CB749A" w:rsidRPr="00C7542C">
        <w:rPr>
          <w:sz w:val="20"/>
          <w:szCs w:val="20"/>
          <w:lang w:val="es-ES_tradnl"/>
        </w:rPr>
        <w:t>informa</w:t>
      </w:r>
      <w:r w:rsidR="00B26320" w:rsidRPr="00C7542C">
        <w:rPr>
          <w:sz w:val="20"/>
          <w:szCs w:val="20"/>
          <w:lang w:val="es-ES_tradnl"/>
        </w:rPr>
        <w:t>ron</w:t>
      </w:r>
      <w:r w:rsidR="009D2E49" w:rsidRPr="00C7542C">
        <w:rPr>
          <w:sz w:val="20"/>
          <w:szCs w:val="20"/>
          <w:lang w:val="es-ES_tradnl"/>
        </w:rPr>
        <w:t xml:space="preserve"> que el 30 de junio de 2003 el Superior Tribunal de Justicia del Chubut denegó dicho recurso por</w:t>
      </w:r>
      <w:r w:rsidR="00DF19E6" w:rsidRPr="00C7542C">
        <w:rPr>
          <w:sz w:val="20"/>
          <w:szCs w:val="20"/>
          <w:lang w:val="es-ES_tradnl"/>
        </w:rPr>
        <w:t xml:space="preserve"> no</w:t>
      </w:r>
      <w:r w:rsidR="009D2E49" w:rsidRPr="00C7542C">
        <w:rPr>
          <w:sz w:val="20"/>
          <w:szCs w:val="20"/>
          <w:lang w:val="es-ES_tradnl"/>
        </w:rPr>
        <w:t xml:space="preserve"> haberse acreditado los requisitos para </w:t>
      </w:r>
      <w:r w:rsidR="00B26320" w:rsidRPr="00C7542C">
        <w:rPr>
          <w:sz w:val="20"/>
          <w:szCs w:val="20"/>
          <w:lang w:val="es-ES_tradnl"/>
        </w:rPr>
        <w:t>su admisión</w:t>
      </w:r>
      <w:r w:rsidR="009D2E49" w:rsidRPr="00C7542C">
        <w:rPr>
          <w:sz w:val="20"/>
          <w:szCs w:val="20"/>
          <w:lang w:val="es-ES_tradnl"/>
        </w:rPr>
        <w:t>.</w:t>
      </w:r>
      <w:r w:rsidR="008D6816" w:rsidRPr="00C7542C">
        <w:rPr>
          <w:sz w:val="20"/>
          <w:szCs w:val="20"/>
          <w:lang w:val="es-ES_tradnl"/>
        </w:rPr>
        <w:t xml:space="preserve"> </w:t>
      </w:r>
      <w:r w:rsidR="00BC6BD3" w:rsidRPr="00C7542C">
        <w:rPr>
          <w:sz w:val="20"/>
          <w:szCs w:val="20"/>
          <w:lang w:val="es-ES_tradnl"/>
        </w:rPr>
        <w:t>C</w:t>
      </w:r>
      <w:r w:rsidR="00CF0AB6" w:rsidRPr="00C7542C">
        <w:rPr>
          <w:sz w:val="20"/>
          <w:szCs w:val="20"/>
          <w:lang w:val="es-ES_tradnl"/>
        </w:rPr>
        <w:t xml:space="preserve">omo consecuencia de lo anterior, </w:t>
      </w:r>
      <w:r w:rsidR="00361F6B" w:rsidRPr="00C7542C">
        <w:rPr>
          <w:sz w:val="20"/>
          <w:szCs w:val="20"/>
          <w:lang w:val="es-ES_tradnl"/>
        </w:rPr>
        <w:t>señalaron, se</w:t>
      </w:r>
      <w:r w:rsidR="00CF0AB6" w:rsidRPr="00C7542C">
        <w:rPr>
          <w:sz w:val="20"/>
          <w:szCs w:val="20"/>
          <w:lang w:val="es-ES_tradnl"/>
        </w:rPr>
        <w:t xml:space="preserve"> interpuso </w:t>
      </w:r>
      <w:r w:rsidR="00CB749A" w:rsidRPr="00C7542C">
        <w:rPr>
          <w:sz w:val="20"/>
          <w:szCs w:val="20"/>
          <w:lang w:val="es-ES_tradnl"/>
        </w:rPr>
        <w:t xml:space="preserve">un </w:t>
      </w:r>
      <w:r w:rsidR="00CF0AB6" w:rsidRPr="00C7542C">
        <w:rPr>
          <w:sz w:val="20"/>
          <w:szCs w:val="20"/>
          <w:lang w:val="es-ES_tradnl"/>
        </w:rPr>
        <w:t>recurso de queja</w:t>
      </w:r>
      <w:r w:rsidR="00557DCB" w:rsidRPr="00C7542C">
        <w:rPr>
          <w:sz w:val="20"/>
          <w:szCs w:val="20"/>
          <w:lang w:val="es-ES_tradnl"/>
        </w:rPr>
        <w:t>, el cual</w:t>
      </w:r>
      <w:r w:rsidR="00B4146F" w:rsidRPr="00C7542C">
        <w:rPr>
          <w:sz w:val="20"/>
          <w:szCs w:val="20"/>
          <w:lang w:val="es-ES_tradnl"/>
        </w:rPr>
        <w:t xml:space="preserve"> fue denegado </w:t>
      </w:r>
      <w:r w:rsidR="00B4146F" w:rsidRPr="00C7542C">
        <w:rPr>
          <w:sz w:val="20"/>
          <w:szCs w:val="20"/>
          <w:lang w:val="es-ES_tradnl"/>
        </w:rPr>
        <w:lastRenderedPageBreak/>
        <w:t>el 11 de noviembre de 2003 por</w:t>
      </w:r>
      <w:r w:rsidR="00BE5615" w:rsidRPr="00C7542C">
        <w:rPr>
          <w:sz w:val="20"/>
          <w:szCs w:val="20"/>
          <w:lang w:val="es-ES_tradnl"/>
        </w:rPr>
        <w:t xml:space="preserve"> </w:t>
      </w:r>
      <w:r w:rsidR="001875EB" w:rsidRPr="00C7542C">
        <w:rPr>
          <w:sz w:val="20"/>
          <w:szCs w:val="20"/>
          <w:lang w:val="es-ES_tradnl"/>
        </w:rPr>
        <w:t xml:space="preserve">la Corte Suprema de Justicia de la Nación </w:t>
      </w:r>
      <w:r w:rsidR="00283821" w:rsidRPr="00C7542C">
        <w:rPr>
          <w:sz w:val="20"/>
          <w:szCs w:val="20"/>
          <w:lang w:val="es-ES_tradnl"/>
        </w:rPr>
        <w:t>por haber</w:t>
      </w:r>
      <w:r w:rsidR="001875EB" w:rsidRPr="00C7542C">
        <w:rPr>
          <w:sz w:val="20"/>
          <w:szCs w:val="20"/>
          <w:lang w:val="es-ES_tradnl"/>
        </w:rPr>
        <w:t xml:space="preserve"> sido presentado </w:t>
      </w:r>
      <w:r w:rsidR="00B26320" w:rsidRPr="00C7542C">
        <w:rPr>
          <w:sz w:val="20"/>
          <w:szCs w:val="20"/>
          <w:lang w:val="es-ES_tradnl"/>
        </w:rPr>
        <w:t xml:space="preserve">de manera extemporánea. </w:t>
      </w:r>
    </w:p>
    <w:p w14:paraId="17E42744" w14:textId="77777777" w:rsidR="001539A3" w:rsidRPr="00C7542C" w:rsidRDefault="001539A3" w:rsidP="0012503D">
      <w:pPr>
        <w:pStyle w:val="ListParagraph"/>
        <w:tabs>
          <w:tab w:val="left" w:pos="567"/>
        </w:tabs>
        <w:ind w:left="0"/>
        <w:jc w:val="both"/>
        <w:rPr>
          <w:sz w:val="20"/>
          <w:szCs w:val="20"/>
          <w:lang w:val="es-ES_tradnl"/>
        </w:rPr>
      </w:pPr>
    </w:p>
    <w:p w14:paraId="2632A520" w14:textId="65760DC8" w:rsidR="001E692C" w:rsidRPr="00C7542C" w:rsidRDefault="00E23C98"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La parte peticionaria alegó</w:t>
      </w:r>
      <w:r w:rsidR="00463F0C" w:rsidRPr="00C7542C">
        <w:rPr>
          <w:sz w:val="20"/>
          <w:szCs w:val="20"/>
          <w:lang w:val="es-ES_tradnl"/>
        </w:rPr>
        <w:t xml:space="preserve"> que, </w:t>
      </w:r>
      <w:r w:rsidR="00B26320" w:rsidRPr="00C7542C">
        <w:rPr>
          <w:sz w:val="20"/>
          <w:szCs w:val="20"/>
          <w:lang w:val="es-ES_tradnl"/>
        </w:rPr>
        <w:t>como consecuencia de no</w:t>
      </w:r>
      <w:r w:rsidR="00062333" w:rsidRPr="00C7542C">
        <w:rPr>
          <w:sz w:val="20"/>
          <w:szCs w:val="20"/>
          <w:lang w:val="es-ES_tradnl"/>
        </w:rPr>
        <w:t xml:space="preserve"> habérsele permitido ejercer </w:t>
      </w:r>
      <w:r w:rsidR="00463F0C" w:rsidRPr="00C7542C">
        <w:rPr>
          <w:sz w:val="20"/>
          <w:szCs w:val="20"/>
          <w:lang w:val="es-ES_tradnl"/>
        </w:rPr>
        <w:t>su derecho de recurrir la sentencia de condena, Diego Armando Pacheco fue privado de la libertad</w:t>
      </w:r>
      <w:r w:rsidR="001E692C" w:rsidRPr="00C7542C">
        <w:rPr>
          <w:sz w:val="20"/>
          <w:szCs w:val="20"/>
          <w:lang w:val="es-ES_tradnl"/>
        </w:rPr>
        <w:t>,</w:t>
      </w:r>
      <w:r w:rsidR="00463F0C" w:rsidRPr="00C7542C">
        <w:rPr>
          <w:sz w:val="20"/>
          <w:szCs w:val="20"/>
          <w:lang w:val="es-ES_tradnl"/>
        </w:rPr>
        <w:t xml:space="preserve"> </w:t>
      </w:r>
      <w:r w:rsidR="00B26320" w:rsidRPr="00C7542C">
        <w:rPr>
          <w:sz w:val="20"/>
          <w:szCs w:val="20"/>
          <w:lang w:val="es-ES_tradnl"/>
        </w:rPr>
        <w:t xml:space="preserve">circunstancia que </w:t>
      </w:r>
      <w:r w:rsidR="001E692C" w:rsidRPr="00C7542C">
        <w:rPr>
          <w:sz w:val="20"/>
          <w:szCs w:val="20"/>
          <w:lang w:val="es-ES_tradnl"/>
        </w:rPr>
        <w:t>le produjo sentimientos de sufrimiento, resistencia y angustia por las condiciones que rodearon su encarcelamiento</w:t>
      </w:r>
      <w:r w:rsidR="00B26320" w:rsidRPr="00C7542C">
        <w:rPr>
          <w:sz w:val="20"/>
          <w:szCs w:val="20"/>
          <w:lang w:val="es-ES_tradnl"/>
        </w:rPr>
        <w:t xml:space="preserve">. </w:t>
      </w:r>
      <w:r w:rsidR="007665BB" w:rsidRPr="00C7542C">
        <w:rPr>
          <w:sz w:val="20"/>
          <w:szCs w:val="20"/>
          <w:lang w:val="es-ES_tradnl"/>
        </w:rPr>
        <w:t>Además, refirió que</w:t>
      </w:r>
      <w:r w:rsidR="001E692C" w:rsidRPr="00C7542C">
        <w:rPr>
          <w:sz w:val="20"/>
          <w:szCs w:val="20"/>
          <w:lang w:val="es-ES_tradnl"/>
        </w:rPr>
        <w:t>,</w:t>
      </w:r>
      <w:r w:rsidR="007665BB" w:rsidRPr="00C7542C">
        <w:rPr>
          <w:sz w:val="20"/>
          <w:szCs w:val="20"/>
          <w:lang w:val="es-ES_tradnl"/>
        </w:rPr>
        <w:t xml:space="preserve"> </w:t>
      </w:r>
      <w:r w:rsidR="001E692C" w:rsidRPr="00C7542C">
        <w:rPr>
          <w:sz w:val="20"/>
          <w:szCs w:val="20"/>
          <w:lang w:val="es-ES_tradnl"/>
        </w:rPr>
        <w:t xml:space="preserve">al recuperar la libertad, </w:t>
      </w:r>
      <w:r w:rsidR="007665BB" w:rsidRPr="00C7542C">
        <w:rPr>
          <w:sz w:val="20"/>
          <w:szCs w:val="20"/>
          <w:lang w:val="es-ES_tradnl"/>
        </w:rPr>
        <w:t>el señor Pacheco</w:t>
      </w:r>
      <w:r w:rsidR="001E692C" w:rsidRPr="00C7542C">
        <w:rPr>
          <w:sz w:val="20"/>
          <w:szCs w:val="20"/>
          <w:lang w:val="es-ES_tradnl"/>
        </w:rPr>
        <w:t xml:space="preserve"> no recibió ningún tipo de abordaje para promover su inclusión social, laboral o afectiva;</w:t>
      </w:r>
      <w:r w:rsidR="00B26320" w:rsidRPr="00C7542C">
        <w:rPr>
          <w:sz w:val="20"/>
          <w:szCs w:val="20"/>
          <w:lang w:val="es-ES_tradnl"/>
        </w:rPr>
        <w:t xml:space="preserve"> que</w:t>
      </w:r>
      <w:r w:rsidR="001E692C" w:rsidRPr="00C7542C">
        <w:rPr>
          <w:sz w:val="20"/>
          <w:szCs w:val="20"/>
          <w:lang w:val="es-ES_tradnl"/>
        </w:rPr>
        <w:t xml:space="preserve"> sus condiciones de subsistencia se vieron comprometidas p</w:t>
      </w:r>
      <w:r w:rsidR="00B26320" w:rsidRPr="00C7542C">
        <w:rPr>
          <w:sz w:val="20"/>
          <w:szCs w:val="20"/>
          <w:lang w:val="es-ES_tradnl"/>
        </w:rPr>
        <w:t>ues</w:t>
      </w:r>
      <w:r w:rsidR="001E692C" w:rsidRPr="00C7542C">
        <w:rPr>
          <w:sz w:val="20"/>
          <w:szCs w:val="20"/>
          <w:lang w:val="es-ES_tradnl"/>
        </w:rPr>
        <w:t xml:space="preserve"> no logró obtener empleo conforme a sus necesidades por la estigmatización social sufrida dada su condición de ex detenido</w:t>
      </w:r>
      <w:r w:rsidR="00B26320" w:rsidRPr="00C7542C">
        <w:rPr>
          <w:sz w:val="20"/>
          <w:szCs w:val="20"/>
          <w:lang w:val="es-ES_tradnl"/>
        </w:rPr>
        <w:t xml:space="preserve">.  </w:t>
      </w:r>
    </w:p>
    <w:p w14:paraId="7CFB9B4D" w14:textId="77777777" w:rsidR="001539A3" w:rsidRPr="00C7542C" w:rsidRDefault="001539A3" w:rsidP="0012503D">
      <w:pPr>
        <w:pStyle w:val="ListParagraph"/>
        <w:tabs>
          <w:tab w:val="left" w:pos="567"/>
        </w:tabs>
        <w:ind w:left="0"/>
        <w:jc w:val="both"/>
        <w:rPr>
          <w:sz w:val="20"/>
          <w:szCs w:val="20"/>
          <w:lang w:val="es-ES_tradnl"/>
        </w:rPr>
      </w:pPr>
    </w:p>
    <w:p w14:paraId="50A2DCBF" w14:textId="65B70365" w:rsidR="005B187A" w:rsidRPr="00C7542C" w:rsidRDefault="005B187A"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A raíz de lo anterior, la parte peticionaria aleg</w:t>
      </w:r>
      <w:r w:rsidR="00351462" w:rsidRPr="00C7542C">
        <w:rPr>
          <w:sz w:val="20"/>
          <w:szCs w:val="20"/>
          <w:lang w:val="es-ES_tradnl"/>
        </w:rPr>
        <w:t>a</w:t>
      </w:r>
      <w:r w:rsidRPr="00C7542C">
        <w:rPr>
          <w:sz w:val="20"/>
          <w:szCs w:val="20"/>
          <w:lang w:val="es-ES_tradnl"/>
        </w:rPr>
        <w:t xml:space="preserve"> la violación del derecho de recurrir del fallo </w:t>
      </w:r>
      <w:r w:rsidR="00B26320" w:rsidRPr="00C7542C">
        <w:rPr>
          <w:sz w:val="20"/>
          <w:szCs w:val="20"/>
          <w:lang w:val="es-ES_tradnl"/>
        </w:rPr>
        <w:t>en perjuicio</w:t>
      </w:r>
      <w:r w:rsidRPr="00C7542C">
        <w:rPr>
          <w:sz w:val="20"/>
          <w:szCs w:val="20"/>
          <w:lang w:val="es-ES_tradnl"/>
        </w:rPr>
        <w:t xml:space="preserve"> Diego Armando Pacheco, en relación con la protección judicial y la</w:t>
      </w:r>
      <w:r w:rsidR="00C9382D" w:rsidRPr="00C7542C">
        <w:rPr>
          <w:sz w:val="20"/>
          <w:szCs w:val="20"/>
          <w:lang w:val="es-ES_tradnl"/>
        </w:rPr>
        <w:t>s medidas especiales de</w:t>
      </w:r>
      <w:r w:rsidRPr="00C7542C">
        <w:rPr>
          <w:sz w:val="20"/>
          <w:szCs w:val="20"/>
          <w:lang w:val="es-ES_tradnl"/>
        </w:rPr>
        <w:t xml:space="preserve"> protección</w:t>
      </w:r>
      <w:r w:rsidR="00C9382D" w:rsidRPr="00C7542C">
        <w:rPr>
          <w:sz w:val="20"/>
          <w:szCs w:val="20"/>
          <w:lang w:val="es-ES_tradnl"/>
        </w:rPr>
        <w:t xml:space="preserve"> </w:t>
      </w:r>
      <w:r w:rsidRPr="00C7542C">
        <w:rPr>
          <w:sz w:val="20"/>
          <w:szCs w:val="20"/>
          <w:lang w:val="es-ES_tradnl"/>
        </w:rPr>
        <w:t>de niños, niñas y adolescentes, p</w:t>
      </w:r>
      <w:r w:rsidR="002214BB" w:rsidRPr="00C7542C">
        <w:rPr>
          <w:sz w:val="20"/>
          <w:szCs w:val="20"/>
          <w:lang w:val="es-ES_tradnl"/>
        </w:rPr>
        <w:t>ues</w:t>
      </w:r>
      <w:r w:rsidRPr="00C7542C">
        <w:rPr>
          <w:sz w:val="20"/>
          <w:szCs w:val="20"/>
          <w:lang w:val="es-ES_tradnl"/>
        </w:rPr>
        <w:t xml:space="preserve"> se le </w:t>
      </w:r>
      <w:r w:rsidR="00A66B6B" w:rsidRPr="00C7542C">
        <w:rPr>
          <w:sz w:val="20"/>
          <w:szCs w:val="20"/>
          <w:lang w:val="es-ES_tradnl"/>
        </w:rPr>
        <w:t>negó</w:t>
      </w:r>
      <w:r w:rsidRPr="00C7542C">
        <w:rPr>
          <w:sz w:val="20"/>
          <w:szCs w:val="20"/>
          <w:lang w:val="es-ES_tradnl"/>
        </w:rPr>
        <w:t xml:space="preserve"> sistemáticamente su derecho a la impugnación y revisión de la sentencia de</w:t>
      </w:r>
      <w:r w:rsidR="00A022E6" w:rsidRPr="00C7542C">
        <w:rPr>
          <w:sz w:val="20"/>
          <w:szCs w:val="20"/>
          <w:lang w:val="es-ES_tradnl"/>
        </w:rPr>
        <w:t xml:space="preserve"> </w:t>
      </w:r>
      <w:r w:rsidRPr="00C7542C">
        <w:rPr>
          <w:sz w:val="20"/>
          <w:szCs w:val="20"/>
          <w:lang w:val="es-ES_tradnl"/>
        </w:rPr>
        <w:t>condena</w:t>
      </w:r>
      <w:r w:rsidR="00E55E36" w:rsidRPr="00C7542C">
        <w:rPr>
          <w:sz w:val="20"/>
          <w:szCs w:val="20"/>
          <w:lang w:val="es-ES_tradnl"/>
        </w:rPr>
        <w:t xml:space="preserve">, por medio de la cual se le impuso una pena de cuatro años de prisión, </w:t>
      </w:r>
      <w:r w:rsidR="00724D11" w:rsidRPr="00C7542C">
        <w:rPr>
          <w:sz w:val="20"/>
          <w:szCs w:val="20"/>
          <w:lang w:val="es-ES_tradnl"/>
        </w:rPr>
        <w:t xml:space="preserve">lo que </w:t>
      </w:r>
      <w:r w:rsidR="00AC24C9" w:rsidRPr="00C7542C">
        <w:rPr>
          <w:sz w:val="20"/>
          <w:szCs w:val="20"/>
          <w:lang w:val="es-ES_tradnl"/>
        </w:rPr>
        <w:t>le gener</w:t>
      </w:r>
      <w:r w:rsidR="00A022E6" w:rsidRPr="00C7542C">
        <w:rPr>
          <w:sz w:val="20"/>
          <w:szCs w:val="20"/>
          <w:lang w:val="es-ES_tradnl"/>
        </w:rPr>
        <w:t>ó</w:t>
      </w:r>
      <w:r w:rsidR="00724D11" w:rsidRPr="00C7542C">
        <w:rPr>
          <w:sz w:val="20"/>
          <w:szCs w:val="20"/>
          <w:lang w:val="es-ES_tradnl"/>
        </w:rPr>
        <w:t xml:space="preserve"> serias secuelas en su vida. </w:t>
      </w:r>
    </w:p>
    <w:p w14:paraId="390A1EFF" w14:textId="77777777" w:rsidR="001539A3" w:rsidRPr="00C7542C" w:rsidRDefault="001539A3" w:rsidP="0012503D">
      <w:pPr>
        <w:pStyle w:val="ListParagraph"/>
        <w:tabs>
          <w:tab w:val="left" w:pos="567"/>
        </w:tabs>
        <w:ind w:left="0"/>
        <w:jc w:val="both"/>
        <w:rPr>
          <w:sz w:val="20"/>
          <w:szCs w:val="20"/>
          <w:lang w:val="es-ES_tradnl"/>
        </w:rPr>
      </w:pPr>
    </w:p>
    <w:p w14:paraId="12FB5CD6" w14:textId="17E25130" w:rsidR="00A23486" w:rsidRPr="00C7542C" w:rsidRDefault="009B3756"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Sobre </w:t>
      </w:r>
      <w:r w:rsidR="00B26320" w:rsidRPr="00C7542C">
        <w:rPr>
          <w:sz w:val="20"/>
          <w:szCs w:val="20"/>
          <w:lang w:val="es-ES_tradnl"/>
        </w:rPr>
        <w:t>la cuestión de la admisibilidad del caso ante la CIDH</w:t>
      </w:r>
      <w:r w:rsidRPr="00C7542C">
        <w:rPr>
          <w:sz w:val="20"/>
          <w:szCs w:val="20"/>
          <w:lang w:val="es-ES_tradnl"/>
        </w:rPr>
        <w:t xml:space="preserve">, la parte peticionaria </w:t>
      </w:r>
      <w:r w:rsidR="000F2F30" w:rsidRPr="00C7542C">
        <w:rPr>
          <w:sz w:val="20"/>
          <w:szCs w:val="20"/>
          <w:lang w:val="es-ES_tradnl"/>
        </w:rPr>
        <w:t>indicó que la petición fue presentada ante la Comisión después de que la Corte Suprema</w:t>
      </w:r>
      <w:r w:rsidR="00B26320" w:rsidRPr="00C7542C">
        <w:rPr>
          <w:sz w:val="20"/>
          <w:szCs w:val="20"/>
          <w:lang w:val="es-ES_tradnl"/>
        </w:rPr>
        <w:t xml:space="preserve"> </w:t>
      </w:r>
      <w:r w:rsidR="000F2F30" w:rsidRPr="00C7542C">
        <w:rPr>
          <w:sz w:val="20"/>
          <w:szCs w:val="20"/>
          <w:lang w:val="es-ES_tradnl"/>
        </w:rPr>
        <w:t>rechazara el recurso de queja interpuesto por la denegatoria de recurso extraordinario federal</w:t>
      </w:r>
      <w:r w:rsidR="00C8147F" w:rsidRPr="00C7542C">
        <w:rPr>
          <w:sz w:val="20"/>
          <w:szCs w:val="20"/>
          <w:lang w:val="es-ES_tradnl"/>
        </w:rPr>
        <w:t xml:space="preserve">, con lo cual se </w:t>
      </w:r>
      <w:r w:rsidR="00B26320" w:rsidRPr="00C7542C">
        <w:rPr>
          <w:sz w:val="20"/>
          <w:szCs w:val="20"/>
          <w:lang w:val="es-ES_tradnl"/>
        </w:rPr>
        <w:t>habría cumplido con el requisito del previo agotamiento de los</w:t>
      </w:r>
      <w:r w:rsidR="00C8147F" w:rsidRPr="00C7542C">
        <w:rPr>
          <w:sz w:val="20"/>
          <w:szCs w:val="20"/>
          <w:lang w:val="es-ES_tradnl"/>
        </w:rPr>
        <w:t xml:space="preserve"> recursos internos.</w:t>
      </w:r>
      <w:r w:rsidR="00B26320" w:rsidRPr="00C7542C">
        <w:rPr>
          <w:sz w:val="20"/>
          <w:szCs w:val="20"/>
          <w:lang w:val="es-ES_tradnl"/>
        </w:rPr>
        <w:t xml:space="preserve"> Con respecto </w:t>
      </w:r>
      <w:r w:rsidRPr="00C7542C">
        <w:rPr>
          <w:sz w:val="20"/>
          <w:szCs w:val="20"/>
          <w:lang w:val="es-ES_tradnl"/>
        </w:rPr>
        <w:t>a</w:t>
      </w:r>
      <w:r w:rsidR="00A23486" w:rsidRPr="00C7542C">
        <w:rPr>
          <w:sz w:val="20"/>
          <w:szCs w:val="20"/>
          <w:lang w:val="es-ES_tradnl"/>
        </w:rPr>
        <w:t>l plazo de seis meses</w:t>
      </w:r>
      <w:r w:rsidR="00B26320" w:rsidRPr="00C7542C">
        <w:rPr>
          <w:sz w:val="20"/>
          <w:szCs w:val="20"/>
          <w:lang w:val="es-ES_tradnl"/>
        </w:rPr>
        <w:t xml:space="preserve"> exigido por el </w:t>
      </w:r>
      <w:r w:rsidR="00361F6B" w:rsidRPr="00C7542C">
        <w:rPr>
          <w:sz w:val="20"/>
          <w:szCs w:val="20"/>
          <w:lang w:val="es-ES_tradnl"/>
        </w:rPr>
        <w:t>artículo</w:t>
      </w:r>
      <w:r w:rsidR="00B26320" w:rsidRPr="00C7542C">
        <w:rPr>
          <w:sz w:val="20"/>
          <w:szCs w:val="20"/>
          <w:lang w:val="es-ES_tradnl"/>
        </w:rPr>
        <w:t xml:space="preserve"> 46.1.b de la </w:t>
      </w:r>
      <w:r w:rsidR="001539A3" w:rsidRPr="00C7542C">
        <w:rPr>
          <w:sz w:val="20"/>
          <w:szCs w:val="20"/>
          <w:lang w:val="es-ES_tradnl"/>
        </w:rPr>
        <w:t>Convención</w:t>
      </w:r>
      <w:r w:rsidR="00B26320" w:rsidRPr="00C7542C">
        <w:rPr>
          <w:sz w:val="20"/>
          <w:szCs w:val="20"/>
          <w:lang w:val="es-ES_tradnl"/>
        </w:rPr>
        <w:t xml:space="preserve"> Americana sobre Derechos Humanos</w:t>
      </w:r>
      <w:r w:rsidR="00A23486" w:rsidRPr="00C7542C">
        <w:rPr>
          <w:sz w:val="20"/>
          <w:szCs w:val="20"/>
          <w:lang w:val="es-ES_tradnl"/>
        </w:rPr>
        <w:t xml:space="preserve">, </w:t>
      </w:r>
      <w:r w:rsidR="001539A3" w:rsidRPr="00C7542C">
        <w:rPr>
          <w:sz w:val="20"/>
          <w:szCs w:val="20"/>
          <w:lang w:val="es-ES_tradnl"/>
        </w:rPr>
        <w:t xml:space="preserve">los representantes del Sr. Pacheco refirieron el mismo fue observado toda vez que la petición se presentó ante la CIDH el 11 de mayo de 2004, ello a pesar de no haber sido notificados de manera oficial de la sentencia de la Corte Suprema, la cual tuvo lugar </w:t>
      </w:r>
      <w:r w:rsidR="00361F6B" w:rsidRPr="00C7542C">
        <w:rPr>
          <w:sz w:val="20"/>
          <w:szCs w:val="20"/>
          <w:lang w:val="es-ES_tradnl"/>
        </w:rPr>
        <w:t>el 11</w:t>
      </w:r>
      <w:r w:rsidR="001539A3" w:rsidRPr="00C7542C">
        <w:rPr>
          <w:sz w:val="20"/>
          <w:szCs w:val="20"/>
          <w:lang w:val="es-ES_tradnl"/>
        </w:rPr>
        <w:t xml:space="preserve"> de noviembre de 2003. </w:t>
      </w:r>
    </w:p>
    <w:p w14:paraId="4F18354A" w14:textId="77777777" w:rsidR="001539A3" w:rsidRPr="00C7542C" w:rsidRDefault="001539A3" w:rsidP="0012503D">
      <w:pPr>
        <w:pStyle w:val="ListParagraph"/>
        <w:tabs>
          <w:tab w:val="left" w:pos="567"/>
        </w:tabs>
        <w:ind w:left="0"/>
        <w:jc w:val="both"/>
        <w:rPr>
          <w:sz w:val="20"/>
          <w:szCs w:val="20"/>
          <w:lang w:val="es-ES_tradnl"/>
        </w:rPr>
      </w:pPr>
    </w:p>
    <w:p w14:paraId="5025423A" w14:textId="0682445A" w:rsidR="00163567" w:rsidRPr="00C7542C" w:rsidRDefault="001539A3" w:rsidP="0012503D">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En virtud de</w:t>
      </w:r>
      <w:r w:rsidR="008D1623" w:rsidRPr="00C7542C">
        <w:rPr>
          <w:sz w:val="20"/>
          <w:szCs w:val="20"/>
          <w:lang w:val="es-ES_tradnl"/>
        </w:rPr>
        <w:t xml:space="preserve"> </w:t>
      </w:r>
      <w:r w:rsidRPr="00C7542C">
        <w:rPr>
          <w:sz w:val="20"/>
          <w:szCs w:val="20"/>
          <w:lang w:val="es-ES_tradnl"/>
        </w:rPr>
        <w:t xml:space="preserve">todo lo expuesto, la parte peticionaria sostiene que el Estado argentino resulta responsable por la violación de los derechos a la integridad personal, a la libertad personal y a recurrir del fallo ante un juez o tribunal superior consagrados en los artículos 5, 7 y 8.2.h de la Convención Americana sobre Derechos Humanos. </w:t>
      </w:r>
    </w:p>
    <w:p w14:paraId="4E84E9B7" w14:textId="77777777" w:rsidR="001539A3" w:rsidRPr="00C7542C" w:rsidRDefault="001539A3" w:rsidP="001539A3">
      <w:pPr>
        <w:pStyle w:val="ListParagraph"/>
        <w:tabs>
          <w:tab w:val="left" w:pos="567"/>
        </w:tabs>
        <w:ind w:left="0"/>
        <w:jc w:val="both"/>
        <w:rPr>
          <w:sz w:val="20"/>
          <w:szCs w:val="20"/>
          <w:lang w:val="es-ES_tradnl"/>
        </w:rPr>
      </w:pPr>
    </w:p>
    <w:p w14:paraId="406A85A9" w14:textId="6B4A5796" w:rsidR="00BB0527" w:rsidRPr="00C7542C" w:rsidRDefault="004F657A" w:rsidP="003448BE">
      <w:pPr>
        <w:pStyle w:val="Heading2"/>
      </w:pPr>
      <w:bookmarkStart w:id="15" w:name="_Toc40962120"/>
      <w:bookmarkStart w:id="16" w:name="_Toc42679769"/>
      <w:bookmarkStart w:id="17" w:name="_Toc78370157"/>
      <w:bookmarkStart w:id="18" w:name="_Toc203382195"/>
      <w:r w:rsidRPr="00C7542C">
        <w:t>El E</w:t>
      </w:r>
      <w:r w:rsidR="00BB0527" w:rsidRPr="00C7542C">
        <w:t>stado</w:t>
      </w:r>
      <w:bookmarkEnd w:id="15"/>
      <w:bookmarkEnd w:id="16"/>
      <w:r w:rsidRPr="00C7542C">
        <w:t xml:space="preserve"> argentino</w:t>
      </w:r>
      <w:bookmarkEnd w:id="17"/>
      <w:bookmarkEnd w:id="18"/>
    </w:p>
    <w:p w14:paraId="1E0F07E9" w14:textId="77777777" w:rsidR="00054BF2" w:rsidRPr="00C7542C" w:rsidRDefault="00054BF2" w:rsidP="003448BE">
      <w:pPr>
        <w:pStyle w:val="NoSpacing"/>
        <w:rPr>
          <w:rFonts w:ascii="Cambria" w:hAnsi="Cambria"/>
          <w:sz w:val="20"/>
          <w:szCs w:val="20"/>
          <w:lang w:val="es-ES_tradnl"/>
        </w:rPr>
      </w:pPr>
    </w:p>
    <w:p w14:paraId="51966F06" w14:textId="4241C097" w:rsidR="00F27BCE" w:rsidRPr="00C7542C" w:rsidRDefault="00BB0527"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El Estado </w:t>
      </w:r>
      <w:r w:rsidR="006B1568" w:rsidRPr="00C7542C">
        <w:rPr>
          <w:sz w:val="20"/>
          <w:szCs w:val="20"/>
          <w:lang w:val="es-ES_tradnl"/>
        </w:rPr>
        <w:t>aleg</w:t>
      </w:r>
      <w:r w:rsidR="0093423B" w:rsidRPr="00C7542C">
        <w:rPr>
          <w:sz w:val="20"/>
          <w:szCs w:val="20"/>
          <w:lang w:val="es-ES_tradnl"/>
        </w:rPr>
        <w:t>ó</w:t>
      </w:r>
      <w:r w:rsidR="006B1568" w:rsidRPr="00C7542C">
        <w:rPr>
          <w:sz w:val="20"/>
          <w:szCs w:val="20"/>
          <w:lang w:val="es-ES_tradnl"/>
        </w:rPr>
        <w:t xml:space="preserve"> </w:t>
      </w:r>
      <w:r w:rsidR="004F657A" w:rsidRPr="00C7542C">
        <w:rPr>
          <w:sz w:val="20"/>
          <w:szCs w:val="20"/>
          <w:lang w:val="es-ES_tradnl"/>
        </w:rPr>
        <w:t xml:space="preserve">en primer </w:t>
      </w:r>
      <w:r w:rsidR="00361F6B" w:rsidRPr="00C7542C">
        <w:rPr>
          <w:sz w:val="20"/>
          <w:szCs w:val="20"/>
          <w:lang w:val="es-ES_tradnl"/>
        </w:rPr>
        <w:t>término</w:t>
      </w:r>
      <w:r w:rsidR="004F657A" w:rsidRPr="00C7542C">
        <w:rPr>
          <w:sz w:val="20"/>
          <w:szCs w:val="20"/>
          <w:lang w:val="es-ES_tradnl"/>
        </w:rPr>
        <w:t xml:space="preserve"> que la petición</w:t>
      </w:r>
      <w:r w:rsidR="00B72607" w:rsidRPr="00C7542C">
        <w:rPr>
          <w:sz w:val="20"/>
          <w:szCs w:val="20"/>
          <w:lang w:val="es-ES_tradnl"/>
        </w:rPr>
        <w:t xml:space="preserve"> debe ser declarad</w:t>
      </w:r>
      <w:r w:rsidR="004F657A" w:rsidRPr="00C7542C">
        <w:rPr>
          <w:sz w:val="20"/>
          <w:szCs w:val="20"/>
          <w:lang w:val="es-ES_tradnl"/>
        </w:rPr>
        <w:t>a</w:t>
      </w:r>
      <w:r w:rsidR="00B72607" w:rsidRPr="00C7542C">
        <w:rPr>
          <w:sz w:val="20"/>
          <w:szCs w:val="20"/>
          <w:lang w:val="es-ES_tradnl"/>
        </w:rPr>
        <w:t xml:space="preserve"> </w:t>
      </w:r>
      <w:r w:rsidR="005B5CCF" w:rsidRPr="00C7542C">
        <w:rPr>
          <w:sz w:val="20"/>
          <w:szCs w:val="20"/>
          <w:lang w:val="es-ES_tradnl"/>
        </w:rPr>
        <w:t xml:space="preserve">inadmisible, pues </w:t>
      </w:r>
      <w:r w:rsidR="00FF4154" w:rsidRPr="00C7542C">
        <w:rPr>
          <w:sz w:val="20"/>
          <w:szCs w:val="20"/>
          <w:lang w:val="es-ES_tradnl"/>
        </w:rPr>
        <w:t>hubo un agotamiento indebido de los recursos de</w:t>
      </w:r>
      <w:r w:rsidR="00B80825" w:rsidRPr="00C7542C">
        <w:rPr>
          <w:sz w:val="20"/>
          <w:szCs w:val="20"/>
          <w:lang w:val="es-ES_tradnl"/>
        </w:rPr>
        <w:t xml:space="preserve"> </w:t>
      </w:r>
      <w:r w:rsidR="00FF4154" w:rsidRPr="00C7542C">
        <w:rPr>
          <w:sz w:val="20"/>
          <w:szCs w:val="20"/>
          <w:lang w:val="es-ES_tradnl"/>
        </w:rPr>
        <w:t xml:space="preserve">jurisdicción interna, </w:t>
      </w:r>
      <w:r w:rsidR="00DA44E2" w:rsidRPr="00C7542C">
        <w:rPr>
          <w:sz w:val="20"/>
          <w:szCs w:val="20"/>
          <w:lang w:val="es-ES_tradnl"/>
        </w:rPr>
        <w:t xml:space="preserve">dado </w:t>
      </w:r>
      <w:r w:rsidR="00B80825" w:rsidRPr="00C7542C">
        <w:rPr>
          <w:sz w:val="20"/>
          <w:szCs w:val="20"/>
          <w:lang w:val="es-ES_tradnl"/>
        </w:rPr>
        <w:t xml:space="preserve">que el recurso de queja </w:t>
      </w:r>
      <w:r w:rsidR="00004549" w:rsidRPr="00C7542C">
        <w:rPr>
          <w:sz w:val="20"/>
          <w:szCs w:val="20"/>
          <w:lang w:val="es-ES_tradnl"/>
        </w:rPr>
        <w:t xml:space="preserve">contra la denegatoria de recurso extraordinario federal </w:t>
      </w:r>
      <w:r w:rsidR="008415EE" w:rsidRPr="00C7542C">
        <w:rPr>
          <w:sz w:val="20"/>
          <w:szCs w:val="20"/>
          <w:lang w:val="es-ES_tradnl"/>
        </w:rPr>
        <w:t>fue</w:t>
      </w:r>
      <w:r w:rsidR="00B80825" w:rsidRPr="00C7542C">
        <w:rPr>
          <w:sz w:val="20"/>
          <w:szCs w:val="20"/>
          <w:lang w:val="es-ES_tradnl"/>
        </w:rPr>
        <w:t xml:space="preserve"> interpuesto </w:t>
      </w:r>
      <w:r w:rsidR="00DA44E2" w:rsidRPr="00C7542C">
        <w:rPr>
          <w:sz w:val="20"/>
          <w:szCs w:val="20"/>
          <w:lang w:val="es-ES_tradnl"/>
        </w:rPr>
        <w:t>e</w:t>
      </w:r>
      <w:r w:rsidR="00C458C0" w:rsidRPr="00C7542C">
        <w:rPr>
          <w:sz w:val="20"/>
          <w:szCs w:val="20"/>
          <w:lang w:val="es-ES_tradnl"/>
        </w:rPr>
        <w:t>n</w:t>
      </w:r>
      <w:r w:rsidR="00DA44E2" w:rsidRPr="00C7542C">
        <w:rPr>
          <w:sz w:val="20"/>
          <w:szCs w:val="20"/>
          <w:lang w:val="es-ES_tradnl"/>
        </w:rPr>
        <w:t xml:space="preserve"> forma</w:t>
      </w:r>
      <w:r w:rsidR="00B80825" w:rsidRPr="00C7542C">
        <w:rPr>
          <w:sz w:val="20"/>
          <w:szCs w:val="20"/>
          <w:lang w:val="es-ES_tradnl"/>
        </w:rPr>
        <w:t xml:space="preserve"> extemporánea, lo que había impedido a la Corte Suprema</w:t>
      </w:r>
      <w:r w:rsidR="00906061" w:rsidRPr="00C7542C">
        <w:rPr>
          <w:sz w:val="20"/>
          <w:szCs w:val="20"/>
          <w:lang w:val="es-ES_tradnl"/>
        </w:rPr>
        <w:t xml:space="preserve"> </w:t>
      </w:r>
      <w:r w:rsidR="00B80825" w:rsidRPr="00C7542C">
        <w:rPr>
          <w:sz w:val="20"/>
          <w:szCs w:val="20"/>
          <w:lang w:val="es-ES_tradnl"/>
        </w:rPr>
        <w:t>analizar los planteamientos efectuados en las instancias inferiores.</w:t>
      </w:r>
    </w:p>
    <w:p w14:paraId="79E5C39E" w14:textId="77777777" w:rsidR="00054BF2" w:rsidRPr="00C7542C" w:rsidRDefault="00054BF2" w:rsidP="00361F6B">
      <w:pPr>
        <w:pStyle w:val="ListParagraph"/>
        <w:tabs>
          <w:tab w:val="left" w:pos="567"/>
        </w:tabs>
        <w:ind w:left="0"/>
        <w:jc w:val="both"/>
        <w:rPr>
          <w:sz w:val="20"/>
          <w:szCs w:val="20"/>
          <w:lang w:val="es-ES_tradnl"/>
        </w:rPr>
      </w:pPr>
    </w:p>
    <w:p w14:paraId="132E0FBA" w14:textId="6EC922E9" w:rsidR="00F27BCE" w:rsidRPr="00C7542C" w:rsidRDefault="006D565D"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En ese sentido, i</w:t>
      </w:r>
      <w:r w:rsidR="00F27BCE" w:rsidRPr="00C7542C">
        <w:rPr>
          <w:sz w:val="20"/>
          <w:szCs w:val="20"/>
          <w:lang w:val="es-ES_tradnl"/>
        </w:rPr>
        <w:t>ndicó que la idoneidad del recurso de queja</w:t>
      </w:r>
      <w:r w:rsidR="00AE75F4" w:rsidRPr="00C7542C">
        <w:rPr>
          <w:sz w:val="20"/>
          <w:szCs w:val="20"/>
          <w:lang w:val="es-ES_tradnl"/>
        </w:rPr>
        <w:t xml:space="preserve"> </w:t>
      </w:r>
      <w:r w:rsidR="00F27BCE" w:rsidRPr="00C7542C">
        <w:rPr>
          <w:sz w:val="20"/>
          <w:szCs w:val="20"/>
          <w:lang w:val="es-ES_tradnl"/>
        </w:rPr>
        <w:t xml:space="preserve">se encontraba fuera de toda duda, </w:t>
      </w:r>
      <w:r w:rsidR="00E332FF" w:rsidRPr="00C7542C">
        <w:rPr>
          <w:sz w:val="20"/>
          <w:szCs w:val="20"/>
          <w:lang w:val="es-ES_tradnl"/>
        </w:rPr>
        <w:t>puest</w:t>
      </w:r>
      <w:r w:rsidR="00F27BCE" w:rsidRPr="00C7542C">
        <w:rPr>
          <w:sz w:val="20"/>
          <w:szCs w:val="20"/>
          <w:lang w:val="es-ES_tradnl"/>
        </w:rPr>
        <w:t>o que resultaba hábil para cuestionar la sentencia definitiva dictada por el Tribunal Superior de la causa, en la medida en que existiera una cuestión federal como acontec</w:t>
      </w:r>
      <w:r w:rsidR="005A3F8C" w:rsidRPr="00C7542C">
        <w:rPr>
          <w:sz w:val="20"/>
          <w:szCs w:val="20"/>
          <w:lang w:val="es-ES_tradnl"/>
        </w:rPr>
        <w:t>ió</w:t>
      </w:r>
      <w:r w:rsidR="00F27BCE" w:rsidRPr="00C7542C">
        <w:rPr>
          <w:sz w:val="20"/>
          <w:szCs w:val="20"/>
          <w:lang w:val="es-ES_tradnl"/>
        </w:rPr>
        <w:t xml:space="preserve"> en el caso del </w:t>
      </w:r>
      <w:r w:rsidR="007D2D80" w:rsidRPr="00C7542C">
        <w:rPr>
          <w:sz w:val="20"/>
          <w:szCs w:val="20"/>
          <w:lang w:val="es-ES_tradnl"/>
        </w:rPr>
        <w:t>S</w:t>
      </w:r>
      <w:r w:rsidR="00F27BCE" w:rsidRPr="00C7542C">
        <w:rPr>
          <w:sz w:val="20"/>
          <w:szCs w:val="20"/>
          <w:lang w:val="es-ES_tradnl"/>
        </w:rPr>
        <w:t>r</w:t>
      </w:r>
      <w:r w:rsidR="007D2D80" w:rsidRPr="00C7542C">
        <w:rPr>
          <w:sz w:val="20"/>
          <w:szCs w:val="20"/>
          <w:lang w:val="es-ES_tradnl"/>
        </w:rPr>
        <w:t>.</w:t>
      </w:r>
      <w:r w:rsidR="00F27BCE" w:rsidRPr="00C7542C">
        <w:rPr>
          <w:sz w:val="20"/>
          <w:szCs w:val="20"/>
          <w:lang w:val="es-ES_tradnl"/>
        </w:rPr>
        <w:t xml:space="preserve"> Pacheco. Asimismo, sostuvo que dicho recurso era efectivo debido a que la Corte Suprema, en la causa </w:t>
      </w:r>
      <w:r w:rsidR="00F27BCE" w:rsidRPr="00C7542C">
        <w:rPr>
          <w:i/>
          <w:iCs/>
          <w:sz w:val="20"/>
          <w:szCs w:val="20"/>
          <w:lang w:val="es-ES_tradnl"/>
        </w:rPr>
        <w:t>“Casal, Matías Eugenio y otro s/ robo simple en grado de tentativa”</w:t>
      </w:r>
      <w:r w:rsidR="00F27BCE" w:rsidRPr="00C7542C">
        <w:rPr>
          <w:sz w:val="20"/>
          <w:szCs w:val="20"/>
          <w:lang w:val="es-ES_tradnl"/>
        </w:rPr>
        <w:t xml:space="preserve">, </w:t>
      </w:r>
      <w:r w:rsidR="00847A0A" w:rsidRPr="00C7542C">
        <w:rPr>
          <w:sz w:val="20"/>
          <w:szCs w:val="20"/>
          <w:lang w:val="es-ES_tradnl"/>
        </w:rPr>
        <w:t>estableció</w:t>
      </w:r>
      <w:r w:rsidR="00F27BCE" w:rsidRPr="00C7542C">
        <w:rPr>
          <w:sz w:val="20"/>
          <w:szCs w:val="20"/>
          <w:lang w:val="es-ES_tradnl"/>
        </w:rPr>
        <w:t xml:space="preserve"> el alcance que debía darse al recurso de casación en el ámbito federal para que el mismo se ajustara a lo establecido por el artículo 8.2.h) de la Convención Americana sobre Derechos Humanos</w:t>
      </w:r>
      <w:r w:rsidR="007D2D80" w:rsidRPr="00C7542C">
        <w:rPr>
          <w:sz w:val="20"/>
          <w:szCs w:val="20"/>
          <w:lang w:val="es-ES_tradnl"/>
        </w:rPr>
        <w:t xml:space="preserve">. </w:t>
      </w:r>
      <w:r w:rsidR="007E725B" w:rsidRPr="00C7542C">
        <w:rPr>
          <w:sz w:val="20"/>
          <w:szCs w:val="20"/>
          <w:lang w:val="es-ES_tradnl"/>
        </w:rPr>
        <w:t xml:space="preserve"> </w:t>
      </w:r>
    </w:p>
    <w:p w14:paraId="3B512767" w14:textId="77777777" w:rsidR="00054BF2" w:rsidRPr="00C7542C" w:rsidRDefault="00054BF2" w:rsidP="00361F6B">
      <w:pPr>
        <w:pStyle w:val="ListParagraph"/>
        <w:tabs>
          <w:tab w:val="left" w:pos="567"/>
        </w:tabs>
        <w:ind w:left="0"/>
        <w:jc w:val="both"/>
        <w:rPr>
          <w:sz w:val="20"/>
          <w:szCs w:val="20"/>
          <w:lang w:val="es-ES_tradnl"/>
        </w:rPr>
      </w:pPr>
    </w:p>
    <w:p w14:paraId="691DFE2D" w14:textId="053BA720" w:rsidR="00BE7A37" w:rsidRPr="00C7542C" w:rsidRDefault="0057336C"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w:t>
      </w:r>
      <w:r w:rsidR="000A2D01" w:rsidRPr="00C7542C">
        <w:rPr>
          <w:sz w:val="20"/>
          <w:szCs w:val="20"/>
          <w:lang w:val="es-ES_tradnl"/>
        </w:rPr>
        <w:t>l Estado sostuvo que</w:t>
      </w:r>
      <w:r w:rsidR="007D556E" w:rsidRPr="00C7542C">
        <w:rPr>
          <w:sz w:val="20"/>
          <w:szCs w:val="20"/>
          <w:lang w:val="es-ES_tradnl"/>
        </w:rPr>
        <w:t>,</w:t>
      </w:r>
      <w:r w:rsidR="000A2D01" w:rsidRPr="00C7542C">
        <w:rPr>
          <w:sz w:val="20"/>
          <w:szCs w:val="20"/>
          <w:lang w:val="es-ES_tradnl"/>
        </w:rPr>
        <w:t xml:space="preserve"> </w:t>
      </w:r>
      <w:r w:rsidR="00F27BCE" w:rsidRPr="00C7542C">
        <w:rPr>
          <w:sz w:val="20"/>
          <w:szCs w:val="20"/>
          <w:lang w:val="es-ES_tradnl"/>
        </w:rPr>
        <w:t>ante la eventualidad de que el recurso de queja rechazado</w:t>
      </w:r>
      <w:r w:rsidR="007D556E" w:rsidRPr="00C7542C">
        <w:rPr>
          <w:sz w:val="20"/>
          <w:szCs w:val="20"/>
          <w:lang w:val="es-ES_tradnl"/>
        </w:rPr>
        <w:t xml:space="preserve"> </w:t>
      </w:r>
      <w:r w:rsidR="00F27BCE" w:rsidRPr="00C7542C">
        <w:rPr>
          <w:sz w:val="20"/>
          <w:szCs w:val="20"/>
          <w:lang w:val="es-ES_tradnl"/>
        </w:rPr>
        <w:t>fuera procedente</w:t>
      </w:r>
      <w:r w:rsidR="00BE7A37" w:rsidRPr="00C7542C">
        <w:rPr>
          <w:sz w:val="20"/>
          <w:szCs w:val="20"/>
          <w:lang w:val="es-ES_tradnl"/>
        </w:rPr>
        <w:t xml:space="preserve"> </w:t>
      </w:r>
      <w:r w:rsidR="001C15F0" w:rsidRPr="00C7542C">
        <w:rPr>
          <w:sz w:val="20"/>
          <w:szCs w:val="20"/>
          <w:lang w:val="es-ES_tradnl"/>
        </w:rPr>
        <w:t>dad</w:t>
      </w:r>
      <w:r w:rsidR="006E0D6D" w:rsidRPr="00C7542C">
        <w:rPr>
          <w:sz w:val="20"/>
          <w:szCs w:val="20"/>
          <w:lang w:val="es-ES_tradnl"/>
        </w:rPr>
        <w:t>a</w:t>
      </w:r>
      <w:r w:rsidR="00BE7A37" w:rsidRPr="00C7542C">
        <w:rPr>
          <w:sz w:val="20"/>
          <w:szCs w:val="20"/>
          <w:lang w:val="es-ES_tradnl"/>
        </w:rPr>
        <w:t xml:space="preserve"> la extensión temporal del plazo por</w:t>
      </w:r>
      <w:r w:rsidR="00F81E06" w:rsidRPr="00C7542C">
        <w:rPr>
          <w:sz w:val="20"/>
          <w:szCs w:val="20"/>
          <w:lang w:val="es-ES_tradnl"/>
        </w:rPr>
        <w:t xml:space="preserve"> </w:t>
      </w:r>
      <w:r w:rsidR="00BE7A37" w:rsidRPr="00C7542C">
        <w:rPr>
          <w:sz w:val="20"/>
          <w:szCs w:val="20"/>
          <w:lang w:val="es-ES_tradnl"/>
        </w:rPr>
        <w:t>distancia</w:t>
      </w:r>
      <w:r w:rsidR="00F27BCE" w:rsidRPr="00C7542C">
        <w:rPr>
          <w:sz w:val="20"/>
          <w:szCs w:val="20"/>
          <w:lang w:val="es-ES_tradnl"/>
        </w:rPr>
        <w:t>, la parte peticionaria no había</w:t>
      </w:r>
      <w:r w:rsidR="007949B3" w:rsidRPr="00C7542C">
        <w:rPr>
          <w:sz w:val="20"/>
          <w:szCs w:val="20"/>
          <w:lang w:val="es-ES_tradnl"/>
        </w:rPr>
        <w:t xml:space="preserve"> </w:t>
      </w:r>
      <w:r w:rsidR="00F27BCE" w:rsidRPr="00C7542C">
        <w:rPr>
          <w:sz w:val="20"/>
          <w:szCs w:val="20"/>
          <w:lang w:val="es-ES_tradnl"/>
        </w:rPr>
        <w:t>cuestionado tal decisión</w:t>
      </w:r>
      <w:r w:rsidR="006E0D6D" w:rsidRPr="00C7542C">
        <w:rPr>
          <w:sz w:val="20"/>
          <w:szCs w:val="20"/>
          <w:lang w:val="es-ES_tradnl"/>
        </w:rPr>
        <w:t xml:space="preserve"> por medio del recurso de revocatoria, por lo cual no se agota</w:t>
      </w:r>
      <w:r w:rsidR="00043814" w:rsidRPr="00C7542C">
        <w:rPr>
          <w:sz w:val="20"/>
          <w:szCs w:val="20"/>
          <w:lang w:val="es-ES_tradnl"/>
        </w:rPr>
        <w:t>ron</w:t>
      </w:r>
      <w:r w:rsidR="006E0D6D" w:rsidRPr="00C7542C">
        <w:rPr>
          <w:sz w:val="20"/>
          <w:szCs w:val="20"/>
          <w:lang w:val="es-ES_tradnl"/>
        </w:rPr>
        <w:t xml:space="preserve"> los recursos de jurisdicción interna. </w:t>
      </w:r>
      <w:r w:rsidR="00EC5AB6" w:rsidRPr="00C7542C">
        <w:rPr>
          <w:sz w:val="20"/>
          <w:szCs w:val="20"/>
          <w:lang w:val="es-ES_tradnl"/>
        </w:rPr>
        <w:t xml:space="preserve">Asimismo, señaló que dicha situación habría tenido </w:t>
      </w:r>
      <w:r w:rsidR="00D072C7" w:rsidRPr="00C7542C">
        <w:rPr>
          <w:sz w:val="20"/>
          <w:szCs w:val="20"/>
          <w:lang w:val="es-ES_tradnl"/>
        </w:rPr>
        <w:t>una respuesta favorable</w:t>
      </w:r>
      <w:r w:rsidR="00806573" w:rsidRPr="00C7542C">
        <w:rPr>
          <w:sz w:val="20"/>
          <w:szCs w:val="20"/>
          <w:lang w:val="es-ES_tradnl"/>
        </w:rPr>
        <w:t>,</w:t>
      </w:r>
      <w:r w:rsidR="00D072C7" w:rsidRPr="00C7542C">
        <w:rPr>
          <w:sz w:val="20"/>
          <w:szCs w:val="20"/>
          <w:lang w:val="es-ES_tradnl"/>
        </w:rPr>
        <w:t xml:space="preserve"> tal como surgía de la jurisprudencia de la Corte Suprema</w:t>
      </w:r>
      <w:r w:rsidR="00806573" w:rsidRPr="00C7542C">
        <w:rPr>
          <w:sz w:val="20"/>
          <w:szCs w:val="20"/>
          <w:lang w:val="es-ES_tradnl"/>
        </w:rPr>
        <w:t xml:space="preserve"> y que, por ello, no resultaba procedente plantear en sede internacional aspectos no dilucidados en sede interna. </w:t>
      </w:r>
    </w:p>
    <w:p w14:paraId="5C871D5D" w14:textId="77777777" w:rsidR="00361F6B" w:rsidRPr="00C7542C" w:rsidRDefault="00361F6B" w:rsidP="00361F6B">
      <w:pPr>
        <w:pStyle w:val="ListParagraph"/>
        <w:tabs>
          <w:tab w:val="left" w:pos="567"/>
        </w:tabs>
        <w:ind w:left="0"/>
        <w:jc w:val="both"/>
        <w:rPr>
          <w:sz w:val="20"/>
          <w:szCs w:val="20"/>
          <w:lang w:val="es-ES_tradnl"/>
        </w:rPr>
      </w:pPr>
    </w:p>
    <w:p w14:paraId="3EACF99C" w14:textId="78761BA2" w:rsidR="00D80D2F" w:rsidRPr="00C7542C" w:rsidRDefault="0057336C"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Por otra parte, </w:t>
      </w:r>
      <w:r w:rsidR="00D80D2F" w:rsidRPr="00C7542C">
        <w:rPr>
          <w:sz w:val="20"/>
          <w:szCs w:val="20"/>
          <w:lang w:val="es-ES_tradnl"/>
        </w:rPr>
        <w:t xml:space="preserve">señaló que el agravio referido a la violación del derecho a obtener una revisión amplia de la sentencia de condena no fue planteado oportunamente, a los efectos de poder brindar a los órganos judiciales </w:t>
      </w:r>
      <w:r w:rsidR="00D80D2F" w:rsidRPr="00C7542C">
        <w:rPr>
          <w:sz w:val="20"/>
          <w:szCs w:val="20"/>
          <w:lang w:val="es-ES_tradnl"/>
        </w:rPr>
        <w:lastRenderedPageBreak/>
        <w:t>que intervinieron la posibilidad de examinar la vulneración alegada.</w:t>
      </w:r>
      <w:r w:rsidR="009C5CA5" w:rsidRPr="00C7542C">
        <w:rPr>
          <w:sz w:val="20"/>
          <w:szCs w:val="20"/>
          <w:lang w:val="es-ES_tradnl"/>
        </w:rPr>
        <w:t xml:space="preserve"> En ese sentido, s</w:t>
      </w:r>
      <w:r w:rsidR="00320968" w:rsidRPr="00C7542C">
        <w:rPr>
          <w:sz w:val="20"/>
          <w:szCs w:val="20"/>
          <w:lang w:val="es-ES_tradnl"/>
        </w:rPr>
        <w:t>ostuvo que</w:t>
      </w:r>
      <w:r w:rsidR="008922CE" w:rsidRPr="00C7542C">
        <w:rPr>
          <w:sz w:val="20"/>
          <w:szCs w:val="20"/>
          <w:lang w:val="es-ES_tradnl"/>
        </w:rPr>
        <w:t xml:space="preserve"> en su ordenamiento jurídico</w:t>
      </w:r>
      <w:r w:rsidR="009C5CA5" w:rsidRPr="00C7542C">
        <w:rPr>
          <w:sz w:val="20"/>
          <w:szCs w:val="20"/>
          <w:lang w:val="es-ES_tradnl"/>
        </w:rPr>
        <w:t xml:space="preserve"> </w:t>
      </w:r>
      <w:r w:rsidR="008922CE" w:rsidRPr="00C7542C">
        <w:rPr>
          <w:sz w:val="20"/>
          <w:szCs w:val="20"/>
          <w:lang w:val="es-ES_tradnl"/>
        </w:rPr>
        <w:t xml:space="preserve">el planteamiento y tratamiento de </w:t>
      </w:r>
      <w:r w:rsidR="00C84A15" w:rsidRPr="00C7542C">
        <w:rPr>
          <w:sz w:val="20"/>
          <w:szCs w:val="20"/>
          <w:lang w:val="es-ES_tradnl"/>
        </w:rPr>
        <w:t>esos agravios</w:t>
      </w:r>
      <w:r w:rsidR="008922CE" w:rsidRPr="00C7542C">
        <w:rPr>
          <w:sz w:val="20"/>
          <w:szCs w:val="20"/>
          <w:lang w:val="es-ES_tradnl"/>
        </w:rPr>
        <w:t xml:space="preserve"> se efectuaba mediante la denominada “introducción de la cuestión federal” en la instancia procesal pertinente. </w:t>
      </w:r>
    </w:p>
    <w:p w14:paraId="660F1F58" w14:textId="77777777" w:rsidR="00361F6B" w:rsidRPr="00C7542C" w:rsidRDefault="00361F6B" w:rsidP="00361F6B">
      <w:pPr>
        <w:pStyle w:val="ListParagraph"/>
        <w:tabs>
          <w:tab w:val="left" w:pos="567"/>
        </w:tabs>
        <w:ind w:left="0"/>
        <w:jc w:val="both"/>
        <w:rPr>
          <w:sz w:val="20"/>
          <w:szCs w:val="20"/>
          <w:lang w:val="es-ES_tradnl"/>
        </w:rPr>
      </w:pPr>
    </w:p>
    <w:p w14:paraId="0CF0B9C8" w14:textId="6D3258CB" w:rsidR="00322FF6" w:rsidRPr="00C7542C" w:rsidRDefault="00B652E1"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Asimismo, r</w:t>
      </w:r>
      <w:r w:rsidR="00322FF6" w:rsidRPr="00C7542C">
        <w:rPr>
          <w:sz w:val="20"/>
          <w:szCs w:val="20"/>
          <w:lang w:val="es-ES_tradnl"/>
        </w:rPr>
        <w:t>efirió que los derechos consagrados en la Convención Americana gozaban de jerarquía constitucional y que, por esa razón, cualquier controversia relativa a esos derechos constituía una “cuestión federal”</w:t>
      </w:r>
      <w:r w:rsidRPr="00C7542C">
        <w:rPr>
          <w:sz w:val="20"/>
          <w:szCs w:val="20"/>
          <w:lang w:val="es-ES_tradnl"/>
        </w:rPr>
        <w:t xml:space="preserve">, la cual </w:t>
      </w:r>
      <w:r w:rsidR="00322FF6" w:rsidRPr="00C7542C">
        <w:rPr>
          <w:sz w:val="20"/>
          <w:szCs w:val="20"/>
          <w:lang w:val="es-ES_tradnl"/>
        </w:rPr>
        <w:t>debía ser introducida en la primera oportunidad procesal que la parte tuviera</w:t>
      </w:r>
      <w:r w:rsidRPr="00C7542C">
        <w:rPr>
          <w:sz w:val="20"/>
          <w:szCs w:val="20"/>
          <w:lang w:val="es-ES_tradnl"/>
        </w:rPr>
        <w:t xml:space="preserve"> para ser examinada adecuada y oportunamente</w:t>
      </w:r>
      <w:r w:rsidR="00322FF6" w:rsidRPr="00C7542C">
        <w:rPr>
          <w:sz w:val="20"/>
          <w:szCs w:val="20"/>
          <w:lang w:val="es-ES_tradnl"/>
        </w:rPr>
        <w:t>, a fin de que los órganos judiciales competentes pudieran tratarla y expedirse sobre la misma.</w:t>
      </w:r>
    </w:p>
    <w:p w14:paraId="3F855E2E" w14:textId="77777777" w:rsidR="00361F6B" w:rsidRPr="00C7542C" w:rsidRDefault="00361F6B" w:rsidP="00361F6B">
      <w:pPr>
        <w:pStyle w:val="ListParagraph"/>
        <w:tabs>
          <w:tab w:val="left" w:pos="567"/>
        </w:tabs>
        <w:ind w:left="0"/>
        <w:jc w:val="both"/>
        <w:rPr>
          <w:sz w:val="20"/>
          <w:szCs w:val="20"/>
          <w:lang w:val="es-ES_tradnl"/>
        </w:rPr>
      </w:pPr>
    </w:p>
    <w:p w14:paraId="0A13D48C" w14:textId="7A7ADD0E" w:rsidR="00D27836" w:rsidRPr="00C7542C" w:rsidRDefault="0059310B"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Alegó que </w:t>
      </w:r>
      <w:r w:rsidR="00571270" w:rsidRPr="00C7542C">
        <w:rPr>
          <w:sz w:val="20"/>
          <w:szCs w:val="20"/>
          <w:lang w:val="es-ES_tradnl"/>
        </w:rPr>
        <w:t>la parte peticionaria</w:t>
      </w:r>
      <w:r w:rsidRPr="00C7542C">
        <w:rPr>
          <w:sz w:val="20"/>
          <w:szCs w:val="20"/>
          <w:lang w:val="es-ES_tradnl"/>
        </w:rPr>
        <w:t xml:space="preserve"> debió haber planteado el agravio referido a la falta de</w:t>
      </w:r>
      <w:r w:rsidR="00673CEE" w:rsidRPr="00C7542C">
        <w:rPr>
          <w:sz w:val="20"/>
          <w:szCs w:val="20"/>
          <w:lang w:val="es-ES_tradnl"/>
        </w:rPr>
        <w:t xml:space="preserve"> un</w:t>
      </w:r>
      <w:r w:rsidRPr="00C7542C">
        <w:rPr>
          <w:sz w:val="20"/>
          <w:szCs w:val="20"/>
          <w:lang w:val="es-ES_tradnl"/>
        </w:rPr>
        <w:t xml:space="preserve"> recurso de revisión ampli</w:t>
      </w:r>
      <w:r w:rsidR="00673CEE" w:rsidRPr="00C7542C">
        <w:rPr>
          <w:sz w:val="20"/>
          <w:szCs w:val="20"/>
          <w:lang w:val="es-ES_tradnl"/>
        </w:rPr>
        <w:t>o</w:t>
      </w:r>
      <w:r w:rsidRPr="00C7542C">
        <w:rPr>
          <w:sz w:val="20"/>
          <w:szCs w:val="20"/>
          <w:lang w:val="es-ES_tradnl"/>
        </w:rPr>
        <w:t xml:space="preserve"> en la primera</w:t>
      </w:r>
      <w:r w:rsidR="00D72067" w:rsidRPr="00C7542C">
        <w:rPr>
          <w:sz w:val="20"/>
          <w:szCs w:val="20"/>
          <w:lang w:val="es-ES_tradnl"/>
        </w:rPr>
        <w:t xml:space="preserve"> </w:t>
      </w:r>
      <w:r w:rsidRPr="00C7542C">
        <w:rPr>
          <w:sz w:val="20"/>
          <w:szCs w:val="20"/>
          <w:lang w:val="es-ES_tradnl"/>
        </w:rPr>
        <w:t>oportunidad procesal disponible, ya fuera durante la instrucción de la investigación penal o bien</w:t>
      </w:r>
      <w:r w:rsidR="00790893" w:rsidRPr="00C7542C">
        <w:rPr>
          <w:sz w:val="20"/>
          <w:szCs w:val="20"/>
          <w:lang w:val="es-ES_tradnl"/>
        </w:rPr>
        <w:t xml:space="preserve">, </w:t>
      </w:r>
      <w:r w:rsidRPr="00C7542C">
        <w:rPr>
          <w:sz w:val="20"/>
          <w:szCs w:val="20"/>
          <w:lang w:val="es-ES_tradnl"/>
        </w:rPr>
        <w:t xml:space="preserve">durante la sustanciación del debate oral. </w:t>
      </w:r>
      <w:r w:rsidR="006159CC" w:rsidRPr="00C7542C">
        <w:rPr>
          <w:sz w:val="20"/>
          <w:szCs w:val="20"/>
          <w:lang w:val="es-ES_tradnl"/>
        </w:rPr>
        <w:t>En ese orden de ideas</w:t>
      </w:r>
      <w:r w:rsidRPr="00C7542C">
        <w:rPr>
          <w:sz w:val="20"/>
          <w:szCs w:val="20"/>
          <w:lang w:val="es-ES_tradnl"/>
        </w:rPr>
        <w:t xml:space="preserve">, indicó que </w:t>
      </w:r>
      <w:r w:rsidR="00B4464A" w:rsidRPr="00C7542C">
        <w:rPr>
          <w:sz w:val="20"/>
          <w:szCs w:val="20"/>
          <w:lang w:val="es-ES_tradnl"/>
        </w:rPr>
        <w:t>dicho agravio no fue</w:t>
      </w:r>
      <w:r w:rsidRPr="00C7542C">
        <w:rPr>
          <w:sz w:val="20"/>
          <w:szCs w:val="20"/>
          <w:lang w:val="es-ES_tradnl"/>
        </w:rPr>
        <w:t xml:space="preserve"> </w:t>
      </w:r>
      <w:r w:rsidR="00E152CE" w:rsidRPr="00C7542C">
        <w:rPr>
          <w:sz w:val="20"/>
          <w:szCs w:val="20"/>
          <w:lang w:val="es-ES_tradnl"/>
        </w:rPr>
        <w:t>presentado</w:t>
      </w:r>
      <w:r w:rsidRPr="00C7542C">
        <w:rPr>
          <w:sz w:val="20"/>
          <w:szCs w:val="20"/>
          <w:lang w:val="es-ES_tradnl"/>
        </w:rPr>
        <w:t xml:space="preserve"> cuando se dictó la sentencia </w:t>
      </w:r>
      <w:r w:rsidR="00E22D45" w:rsidRPr="00C7542C">
        <w:rPr>
          <w:sz w:val="20"/>
          <w:szCs w:val="20"/>
          <w:lang w:val="es-ES_tradnl"/>
        </w:rPr>
        <w:t>en</w:t>
      </w:r>
      <w:r w:rsidRPr="00C7542C">
        <w:rPr>
          <w:sz w:val="20"/>
          <w:szCs w:val="20"/>
          <w:lang w:val="es-ES_tradnl"/>
        </w:rPr>
        <w:t xml:space="preserve"> la que se declaró </w:t>
      </w:r>
      <w:r w:rsidR="005C212A" w:rsidRPr="00C7542C">
        <w:rPr>
          <w:sz w:val="20"/>
          <w:szCs w:val="20"/>
          <w:lang w:val="es-ES_tradnl"/>
        </w:rPr>
        <w:t xml:space="preserve">a Diego Armando Pacheco </w:t>
      </w:r>
      <w:r w:rsidRPr="00C7542C">
        <w:rPr>
          <w:sz w:val="20"/>
          <w:szCs w:val="20"/>
          <w:lang w:val="es-ES_tradnl"/>
        </w:rPr>
        <w:t xml:space="preserve">penalmente responsable </w:t>
      </w:r>
      <w:r w:rsidR="005C212A" w:rsidRPr="00C7542C">
        <w:rPr>
          <w:sz w:val="20"/>
          <w:szCs w:val="20"/>
          <w:lang w:val="es-ES_tradnl"/>
        </w:rPr>
        <w:t xml:space="preserve">por </w:t>
      </w:r>
      <w:r w:rsidRPr="00C7542C">
        <w:rPr>
          <w:sz w:val="20"/>
          <w:szCs w:val="20"/>
          <w:lang w:val="es-ES_tradnl"/>
        </w:rPr>
        <w:t xml:space="preserve">el delito de homicidio simple, a fin de poder brindarle a los órganos judiciales del Estado la oportunidad de expedirse sobre él. </w:t>
      </w:r>
      <w:r w:rsidR="005C212A" w:rsidRPr="00C7542C">
        <w:rPr>
          <w:sz w:val="20"/>
          <w:szCs w:val="20"/>
          <w:lang w:val="es-ES_tradnl"/>
        </w:rPr>
        <w:t>Por ello</w:t>
      </w:r>
      <w:r w:rsidR="007F5FF3" w:rsidRPr="00C7542C">
        <w:rPr>
          <w:sz w:val="20"/>
          <w:szCs w:val="20"/>
          <w:lang w:val="es-ES_tradnl"/>
        </w:rPr>
        <w:t>,</w:t>
      </w:r>
      <w:r w:rsidR="00304377" w:rsidRPr="00C7542C">
        <w:rPr>
          <w:sz w:val="20"/>
          <w:szCs w:val="20"/>
          <w:lang w:val="es-ES_tradnl"/>
        </w:rPr>
        <w:t xml:space="preserve"> agregó que, </w:t>
      </w:r>
      <w:r w:rsidR="007F5FF3" w:rsidRPr="00C7542C">
        <w:rPr>
          <w:sz w:val="20"/>
          <w:szCs w:val="20"/>
          <w:lang w:val="es-ES_tradnl"/>
        </w:rPr>
        <w:t>al no interponer oportunamente el agravio que luego se llev</w:t>
      </w:r>
      <w:r w:rsidR="00634956" w:rsidRPr="00C7542C">
        <w:rPr>
          <w:sz w:val="20"/>
          <w:szCs w:val="20"/>
          <w:lang w:val="es-ES_tradnl"/>
        </w:rPr>
        <w:t>ó</w:t>
      </w:r>
      <w:r w:rsidR="007F5FF3" w:rsidRPr="00C7542C">
        <w:rPr>
          <w:sz w:val="20"/>
          <w:szCs w:val="20"/>
          <w:lang w:val="es-ES_tradnl"/>
        </w:rPr>
        <w:t xml:space="preserve"> a sede internacional,</w:t>
      </w:r>
      <w:r w:rsidR="005C212A" w:rsidRPr="00C7542C">
        <w:rPr>
          <w:sz w:val="20"/>
          <w:szCs w:val="20"/>
          <w:lang w:val="es-ES_tradnl"/>
        </w:rPr>
        <w:t xml:space="preserve"> </w:t>
      </w:r>
      <w:r w:rsidR="007F5FF3" w:rsidRPr="00C7542C">
        <w:rPr>
          <w:sz w:val="20"/>
          <w:szCs w:val="20"/>
          <w:lang w:val="es-ES_tradnl"/>
        </w:rPr>
        <w:t>no correspond</w:t>
      </w:r>
      <w:r w:rsidR="006A3D4C" w:rsidRPr="00C7542C">
        <w:rPr>
          <w:sz w:val="20"/>
          <w:szCs w:val="20"/>
          <w:lang w:val="es-ES_tradnl"/>
        </w:rPr>
        <w:t>ería</w:t>
      </w:r>
      <w:r w:rsidR="007F5FF3" w:rsidRPr="00C7542C">
        <w:rPr>
          <w:sz w:val="20"/>
          <w:szCs w:val="20"/>
          <w:lang w:val="es-ES_tradnl"/>
        </w:rPr>
        <w:t xml:space="preserve"> que la Comisión anali</w:t>
      </w:r>
      <w:r w:rsidR="00304377" w:rsidRPr="00C7542C">
        <w:rPr>
          <w:sz w:val="20"/>
          <w:szCs w:val="20"/>
          <w:lang w:val="es-ES_tradnl"/>
        </w:rPr>
        <w:t>ce</w:t>
      </w:r>
      <w:r w:rsidR="007F5FF3" w:rsidRPr="00C7542C">
        <w:rPr>
          <w:sz w:val="20"/>
          <w:szCs w:val="20"/>
          <w:lang w:val="es-ES_tradnl"/>
        </w:rPr>
        <w:t xml:space="preserve"> la cuestión</w:t>
      </w:r>
      <w:r w:rsidR="003523CD" w:rsidRPr="00C7542C">
        <w:rPr>
          <w:sz w:val="20"/>
          <w:szCs w:val="20"/>
          <w:lang w:val="es-ES_tradnl"/>
        </w:rPr>
        <w:t>.</w:t>
      </w:r>
      <w:r w:rsidR="007F5FF3" w:rsidRPr="00C7542C">
        <w:rPr>
          <w:sz w:val="20"/>
          <w:szCs w:val="20"/>
          <w:lang w:val="es-ES_tradnl"/>
        </w:rPr>
        <w:t xml:space="preserve"> </w:t>
      </w:r>
    </w:p>
    <w:p w14:paraId="567F53D3" w14:textId="77777777" w:rsidR="00361F6B" w:rsidRPr="00C7542C" w:rsidRDefault="00361F6B" w:rsidP="00361F6B">
      <w:pPr>
        <w:pStyle w:val="ListParagraph"/>
        <w:tabs>
          <w:tab w:val="left" w:pos="567"/>
        </w:tabs>
        <w:ind w:left="0"/>
        <w:jc w:val="both"/>
        <w:rPr>
          <w:sz w:val="20"/>
          <w:szCs w:val="20"/>
          <w:lang w:val="es-ES_tradnl"/>
        </w:rPr>
      </w:pPr>
    </w:p>
    <w:p w14:paraId="26D295C4" w14:textId="2AA85A29" w:rsidR="00DE1DCB" w:rsidRPr="00C7542C" w:rsidRDefault="00CA01C7" w:rsidP="00361F6B">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Por otra parte, el Estado refirió que </w:t>
      </w:r>
      <w:r w:rsidR="00C1293B" w:rsidRPr="00C7542C">
        <w:rPr>
          <w:sz w:val="20"/>
          <w:szCs w:val="20"/>
          <w:lang w:val="es-ES_tradnl"/>
        </w:rPr>
        <w:t xml:space="preserve">la Provincia de Chubut había sido una de las pioneras a nivel nacional en el diseño e implementación de la reforma procesal de corte acusatorio y que el Código Procesal Penal vigente </w:t>
      </w:r>
      <w:r w:rsidR="004767B7" w:rsidRPr="00C7542C">
        <w:rPr>
          <w:sz w:val="20"/>
          <w:szCs w:val="20"/>
          <w:lang w:val="es-ES_tradnl"/>
        </w:rPr>
        <w:t xml:space="preserve">en dicha provincia </w:t>
      </w:r>
      <w:r w:rsidR="00C1293B" w:rsidRPr="00C7542C">
        <w:rPr>
          <w:sz w:val="20"/>
          <w:szCs w:val="20"/>
          <w:lang w:val="es-ES_tradnl"/>
        </w:rPr>
        <w:t xml:space="preserve">organizaba un proceso especialmente por audiencias, que se regía bajo los principios de publicidad, contradicción, concentración, inmediación, simplificación y celeridad. </w:t>
      </w:r>
      <w:r w:rsidR="005F07ED" w:rsidRPr="00C7542C">
        <w:rPr>
          <w:sz w:val="20"/>
          <w:szCs w:val="20"/>
          <w:lang w:val="es-ES_tradnl"/>
        </w:rPr>
        <w:t xml:space="preserve">En específico, sobre el régimen recursivo, indicó que </w:t>
      </w:r>
      <w:r w:rsidR="00A00380" w:rsidRPr="00C7542C">
        <w:rPr>
          <w:sz w:val="20"/>
          <w:szCs w:val="20"/>
          <w:lang w:val="es-ES_tradnl"/>
        </w:rPr>
        <w:t>dicho</w:t>
      </w:r>
      <w:r w:rsidR="005F07ED" w:rsidRPr="00C7542C">
        <w:rPr>
          <w:sz w:val="20"/>
          <w:szCs w:val="20"/>
          <w:lang w:val="es-ES_tradnl"/>
        </w:rPr>
        <w:t xml:space="preserve"> </w:t>
      </w:r>
      <w:r w:rsidR="00304377" w:rsidRPr="00C7542C">
        <w:rPr>
          <w:sz w:val="20"/>
          <w:szCs w:val="20"/>
          <w:lang w:val="es-ES_tradnl"/>
        </w:rPr>
        <w:t>C</w:t>
      </w:r>
      <w:r w:rsidR="00BB5DE7" w:rsidRPr="00C7542C">
        <w:rPr>
          <w:sz w:val="20"/>
          <w:szCs w:val="20"/>
          <w:lang w:val="es-ES_tradnl"/>
        </w:rPr>
        <w:t>ódigo</w:t>
      </w:r>
      <w:r w:rsidR="005F07ED" w:rsidRPr="00C7542C">
        <w:rPr>
          <w:sz w:val="20"/>
          <w:szCs w:val="20"/>
          <w:lang w:val="es-ES_tradnl"/>
        </w:rPr>
        <w:t xml:space="preserve"> consagraba el derecho del imputado a contar con un recurso amplio contra la sentencia de condena</w:t>
      </w:r>
      <w:r w:rsidR="009B0537" w:rsidRPr="00C7542C">
        <w:rPr>
          <w:sz w:val="20"/>
          <w:szCs w:val="20"/>
          <w:lang w:val="es-ES_tradnl"/>
        </w:rPr>
        <w:t>.</w:t>
      </w:r>
    </w:p>
    <w:p w14:paraId="1B6EE5B9" w14:textId="77777777" w:rsidR="007B0E80" w:rsidRPr="00C7542C" w:rsidRDefault="007B0E80" w:rsidP="007B0E80">
      <w:pPr>
        <w:pStyle w:val="ListParagraph"/>
        <w:tabs>
          <w:tab w:val="left" w:pos="567"/>
        </w:tabs>
        <w:ind w:left="0"/>
        <w:jc w:val="both"/>
        <w:rPr>
          <w:sz w:val="20"/>
          <w:szCs w:val="20"/>
          <w:lang w:val="es-ES_tradnl"/>
        </w:rPr>
      </w:pPr>
    </w:p>
    <w:p w14:paraId="592E0D6C" w14:textId="77777777" w:rsidR="007B0E80" w:rsidRPr="00C7542C" w:rsidRDefault="007B0E80" w:rsidP="006C6B75">
      <w:pPr>
        <w:pStyle w:val="Heading1"/>
        <w:numPr>
          <w:ilvl w:val="0"/>
          <w:numId w:val="6"/>
        </w:numPr>
        <w:rPr>
          <w:bCs/>
        </w:rPr>
      </w:pPr>
      <w:bookmarkStart w:id="19" w:name="_Toc78370158"/>
      <w:bookmarkStart w:id="20" w:name="_Toc203382196"/>
      <w:r w:rsidRPr="00C7542C">
        <w:t>ANALSIS DE ADMISIBILIDAD</w:t>
      </w:r>
      <w:bookmarkEnd w:id="19"/>
      <w:bookmarkEnd w:id="20"/>
      <w:r w:rsidRPr="00C7542C">
        <w:t xml:space="preserve"> </w:t>
      </w:r>
    </w:p>
    <w:p w14:paraId="56C5BE7A" w14:textId="77777777" w:rsidR="007B0E80" w:rsidRPr="00C7542C" w:rsidRDefault="007B0E80" w:rsidP="007B0E80">
      <w:pPr>
        <w:rPr>
          <w:lang w:val="es-ES_tradnl" w:eastAsia="es-ES"/>
        </w:rPr>
      </w:pPr>
    </w:p>
    <w:p w14:paraId="7B292AC7" w14:textId="77777777" w:rsidR="007B0E80" w:rsidRPr="00C7542C" w:rsidRDefault="007B0E80" w:rsidP="006C6B75">
      <w:pPr>
        <w:pStyle w:val="ListParagraph"/>
        <w:numPr>
          <w:ilvl w:val="0"/>
          <w:numId w:val="3"/>
        </w:numPr>
        <w:ind w:left="0" w:firstLine="0"/>
        <w:outlineLvl w:val="1"/>
        <w:rPr>
          <w:b/>
          <w:bCs/>
          <w:sz w:val="20"/>
          <w:szCs w:val="20"/>
          <w:lang w:val="es-ES_tradnl"/>
        </w:rPr>
      </w:pPr>
      <w:bookmarkStart w:id="21" w:name="_Toc78370159"/>
      <w:bookmarkStart w:id="22" w:name="_Toc203382197"/>
      <w:r w:rsidRPr="00C7542C">
        <w:rPr>
          <w:b/>
          <w:bCs/>
          <w:sz w:val="20"/>
          <w:szCs w:val="20"/>
          <w:lang w:val="es-ES_tradnl"/>
        </w:rPr>
        <w:t>Competencia y duplicación de procedimientos y cosa juzgada internacional</w:t>
      </w:r>
      <w:bookmarkEnd w:id="21"/>
      <w:bookmarkEnd w:id="22"/>
      <w:r w:rsidRPr="00C7542C">
        <w:rPr>
          <w:b/>
          <w:bCs/>
          <w:sz w:val="20"/>
          <w:szCs w:val="20"/>
          <w:lang w:val="es-ES_tradnl"/>
        </w:rPr>
        <w:t xml:space="preserve"> </w:t>
      </w:r>
    </w:p>
    <w:p w14:paraId="755B1A09" w14:textId="77777777" w:rsidR="007B0E80" w:rsidRPr="00C7542C" w:rsidRDefault="007B0E80" w:rsidP="007B0E80">
      <w:pPr>
        <w:rPr>
          <w:lang w:val="es-ES_tradnl" w:eastAsia="es-ES"/>
        </w:rPr>
      </w:pPr>
    </w:p>
    <w:tbl>
      <w:tblPr>
        <w:tblStyle w:val="TableGrid"/>
        <w:tblW w:w="0" w:type="auto"/>
        <w:tblLook w:val="04A0" w:firstRow="1" w:lastRow="0" w:firstColumn="1" w:lastColumn="0" w:noHBand="0" w:noVBand="1"/>
      </w:tblPr>
      <w:tblGrid>
        <w:gridCol w:w="3539"/>
        <w:gridCol w:w="5811"/>
      </w:tblGrid>
      <w:tr w:rsidR="007B0E80" w:rsidRPr="00C7542C" w14:paraId="03FD52DA" w14:textId="77777777" w:rsidTr="005076F9">
        <w:tc>
          <w:tcPr>
            <w:tcW w:w="3539" w:type="dxa"/>
            <w:shd w:val="clear" w:color="auto" w:fill="1F4E79" w:themeFill="accent1" w:themeFillShade="80"/>
            <w:vAlign w:val="center"/>
          </w:tcPr>
          <w:p w14:paraId="4302D450" w14:textId="77777777" w:rsidR="007B0E80" w:rsidRPr="00C7542C" w:rsidRDefault="007B0E80" w:rsidP="005076F9">
            <w:pPr>
              <w:jc w:val="center"/>
              <w:rPr>
                <w:rFonts w:ascii="Cambria" w:hAnsi="Cambria"/>
                <w:b/>
                <w:bCs/>
                <w:i/>
                <w:iCs/>
                <w:color w:val="FFFFFF" w:themeColor="background1"/>
                <w:sz w:val="20"/>
                <w:szCs w:val="20"/>
                <w:lang w:val="es-ES_tradnl" w:eastAsia="es-ES"/>
              </w:rPr>
            </w:pPr>
            <w:r w:rsidRPr="00C7542C">
              <w:rPr>
                <w:rFonts w:ascii="Cambria" w:hAnsi="Cambria"/>
                <w:b/>
                <w:bCs/>
                <w:color w:val="FFFFFF" w:themeColor="background1"/>
                <w:sz w:val="20"/>
                <w:szCs w:val="20"/>
                <w:lang w:val="es-ES_tradnl" w:eastAsia="es-ES"/>
              </w:rPr>
              <w:t xml:space="preserve">Competencia </w:t>
            </w:r>
            <w:r w:rsidRPr="00C7542C">
              <w:rPr>
                <w:rFonts w:ascii="Cambria" w:hAnsi="Cambria"/>
                <w:b/>
                <w:bCs/>
                <w:i/>
                <w:iCs/>
                <w:color w:val="FFFFFF" w:themeColor="background1"/>
                <w:sz w:val="20"/>
                <w:szCs w:val="20"/>
                <w:lang w:val="es-ES_tradnl" w:eastAsia="es-ES"/>
              </w:rPr>
              <w:t>Ratione personae:</w:t>
            </w:r>
          </w:p>
        </w:tc>
        <w:tc>
          <w:tcPr>
            <w:tcW w:w="5811" w:type="dxa"/>
            <w:vAlign w:val="center"/>
          </w:tcPr>
          <w:p w14:paraId="5E97E371" w14:textId="77777777" w:rsidR="007B0E80" w:rsidRPr="00C7542C" w:rsidRDefault="007B0E80" w:rsidP="005076F9">
            <w:pPr>
              <w:rPr>
                <w:rFonts w:ascii="Cambria" w:hAnsi="Cambria"/>
                <w:sz w:val="20"/>
                <w:szCs w:val="20"/>
                <w:lang w:val="es-ES_tradnl" w:eastAsia="es-ES"/>
              </w:rPr>
            </w:pPr>
            <w:r w:rsidRPr="00C7542C">
              <w:rPr>
                <w:rFonts w:ascii="Cambria" w:hAnsi="Cambria"/>
                <w:sz w:val="20"/>
                <w:szCs w:val="20"/>
                <w:lang w:val="es-ES_tradnl" w:eastAsia="es-ES"/>
              </w:rPr>
              <w:t>Sí</w:t>
            </w:r>
          </w:p>
        </w:tc>
      </w:tr>
      <w:tr w:rsidR="007B0E80" w:rsidRPr="00C7542C" w14:paraId="5F60DE5A" w14:textId="77777777" w:rsidTr="005076F9">
        <w:tc>
          <w:tcPr>
            <w:tcW w:w="3539" w:type="dxa"/>
            <w:shd w:val="clear" w:color="auto" w:fill="1F4E79" w:themeFill="accent1" w:themeFillShade="80"/>
            <w:vAlign w:val="center"/>
          </w:tcPr>
          <w:p w14:paraId="28601EC8" w14:textId="77777777" w:rsidR="007B0E80" w:rsidRPr="00C7542C" w:rsidRDefault="007B0E80" w:rsidP="005076F9">
            <w:pPr>
              <w:jc w:val="center"/>
              <w:rPr>
                <w:rFonts w:ascii="Cambria" w:hAnsi="Cambria"/>
                <w:b/>
                <w:bCs/>
                <w:i/>
                <w:iCs/>
                <w:color w:val="FFFFFF" w:themeColor="background1"/>
                <w:sz w:val="20"/>
                <w:szCs w:val="20"/>
                <w:lang w:val="es-ES_tradnl" w:eastAsia="es-ES"/>
              </w:rPr>
            </w:pPr>
            <w:r w:rsidRPr="00C7542C">
              <w:rPr>
                <w:rFonts w:ascii="Cambria" w:hAnsi="Cambria"/>
                <w:b/>
                <w:bCs/>
                <w:color w:val="FFFFFF" w:themeColor="background1"/>
                <w:sz w:val="20"/>
                <w:szCs w:val="20"/>
                <w:lang w:val="es-ES_tradnl" w:eastAsia="es-ES"/>
              </w:rPr>
              <w:t xml:space="preserve">Competencia </w:t>
            </w:r>
            <w:r w:rsidRPr="00C7542C">
              <w:rPr>
                <w:rFonts w:ascii="Cambria" w:hAnsi="Cambria"/>
                <w:b/>
                <w:bCs/>
                <w:i/>
                <w:iCs/>
                <w:color w:val="FFFFFF" w:themeColor="background1"/>
                <w:sz w:val="20"/>
                <w:szCs w:val="20"/>
                <w:lang w:val="es-ES_tradnl" w:eastAsia="es-ES"/>
              </w:rPr>
              <w:t>Ratione loci:</w:t>
            </w:r>
          </w:p>
        </w:tc>
        <w:tc>
          <w:tcPr>
            <w:tcW w:w="5811" w:type="dxa"/>
            <w:vAlign w:val="center"/>
          </w:tcPr>
          <w:p w14:paraId="0A89B13B" w14:textId="77777777" w:rsidR="007B0E80" w:rsidRPr="00C7542C" w:rsidRDefault="007B0E80" w:rsidP="005076F9">
            <w:pPr>
              <w:rPr>
                <w:rFonts w:ascii="Cambria" w:hAnsi="Cambria"/>
                <w:sz w:val="20"/>
                <w:szCs w:val="20"/>
                <w:lang w:val="es-ES_tradnl" w:eastAsia="es-ES"/>
              </w:rPr>
            </w:pPr>
            <w:r w:rsidRPr="00C7542C">
              <w:rPr>
                <w:rFonts w:ascii="Cambria" w:hAnsi="Cambria"/>
                <w:sz w:val="20"/>
                <w:szCs w:val="20"/>
                <w:lang w:val="es-ES_tradnl" w:eastAsia="es-ES"/>
              </w:rPr>
              <w:t>Sí</w:t>
            </w:r>
          </w:p>
        </w:tc>
      </w:tr>
      <w:tr w:rsidR="007B0E80" w:rsidRPr="00C7542C" w14:paraId="586D6C96" w14:textId="77777777" w:rsidTr="005076F9">
        <w:tc>
          <w:tcPr>
            <w:tcW w:w="3539" w:type="dxa"/>
            <w:shd w:val="clear" w:color="auto" w:fill="1F4E79" w:themeFill="accent1" w:themeFillShade="80"/>
            <w:vAlign w:val="center"/>
          </w:tcPr>
          <w:p w14:paraId="223F0C32" w14:textId="77777777" w:rsidR="007B0E80" w:rsidRPr="00C7542C" w:rsidRDefault="007B0E80" w:rsidP="005076F9">
            <w:pPr>
              <w:jc w:val="center"/>
              <w:rPr>
                <w:rFonts w:ascii="Cambria" w:hAnsi="Cambria"/>
                <w:b/>
                <w:bCs/>
                <w:i/>
                <w:iCs/>
                <w:color w:val="FFFFFF" w:themeColor="background1"/>
                <w:sz w:val="20"/>
                <w:szCs w:val="20"/>
                <w:lang w:val="es-ES_tradnl" w:eastAsia="es-ES"/>
              </w:rPr>
            </w:pPr>
            <w:r w:rsidRPr="00C7542C">
              <w:rPr>
                <w:rFonts w:ascii="Cambria" w:hAnsi="Cambria"/>
                <w:b/>
                <w:bCs/>
                <w:color w:val="FFFFFF" w:themeColor="background1"/>
                <w:sz w:val="20"/>
                <w:szCs w:val="20"/>
                <w:lang w:val="es-ES_tradnl" w:eastAsia="es-ES"/>
              </w:rPr>
              <w:t xml:space="preserve">Competencia </w:t>
            </w:r>
            <w:r w:rsidRPr="00C7542C">
              <w:rPr>
                <w:rFonts w:ascii="Cambria" w:hAnsi="Cambria"/>
                <w:b/>
                <w:bCs/>
                <w:i/>
                <w:iCs/>
                <w:color w:val="FFFFFF" w:themeColor="background1"/>
                <w:sz w:val="20"/>
                <w:szCs w:val="20"/>
                <w:lang w:val="es-ES_tradnl" w:eastAsia="es-ES"/>
              </w:rPr>
              <w:t>Ratione temporis:</w:t>
            </w:r>
          </w:p>
        </w:tc>
        <w:tc>
          <w:tcPr>
            <w:tcW w:w="5811" w:type="dxa"/>
            <w:vAlign w:val="center"/>
          </w:tcPr>
          <w:p w14:paraId="67C3AA69" w14:textId="77777777" w:rsidR="007B0E80" w:rsidRPr="00C7542C" w:rsidRDefault="007B0E80" w:rsidP="005076F9">
            <w:pPr>
              <w:rPr>
                <w:rFonts w:ascii="Cambria" w:hAnsi="Cambria"/>
                <w:sz w:val="20"/>
                <w:szCs w:val="20"/>
                <w:lang w:val="es-ES_tradnl" w:eastAsia="es-ES"/>
              </w:rPr>
            </w:pPr>
            <w:r w:rsidRPr="00C7542C">
              <w:rPr>
                <w:rFonts w:ascii="Cambria" w:hAnsi="Cambria"/>
                <w:sz w:val="20"/>
                <w:szCs w:val="20"/>
                <w:lang w:val="es-ES_tradnl" w:eastAsia="es-ES"/>
              </w:rPr>
              <w:t xml:space="preserve">Sí </w:t>
            </w:r>
          </w:p>
        </w:tc>
      </w:tr>
      <w:tr w:rsidR="007B0E80" w:rsidRPr="00423F82" w14:paraId="5CBAFB48" w14:textId="77777777" w:rsidTr="005076F9">
        <w:tc>
          <w:tcPr>
            <w:tcW w:w="3539" w:type="dxa"/>
            <w:shd w:val="clear" w:color="auto" w:fill="1F4E79" w:themeFill="accent1" w:themeFillShade="80"/>
            <w:vAlign w:val="center"/>
          </w:tcPr>
          <w:p w14:paraId="78EBACA7" w14:textId="77777777" w:rsidR="007B0E80" w:rsidRPr="00C7542C" w:rsidRDefault="007B0E80" w:rsidP="005076F9">
            <w:pPr>
              <w:jc w:val="center"/>
              <w:rPr>
                <w:rFonts w:ascii="Cambria" w:hAnsi="Cambria"/>
                <w:b/>
                <w:bCs/>
                <w:i/>
                <w:iCs/>
                <w:color w:val="FFFFFF" w:themeColor="background1"/>
                <w:sz w:val="20"/>
                <w:szCs w:val="20"/>
                <w:lang w:val="es-ES_tradnl" w:eastAsia="es-ES"/>
              </w:rPr>
            </w:pPr>
            <w:r w:rsidRPr="00C7542C">
              <w:rPr>
                <w:rFonts w:ascii="Cambria" w:hAnsi="Cambria"/>
                <w:b/>
                <w:bCs/>
                <w:color w:val="FFFFFF" w:themeColor="background1"/>
                <w:sz w:val="20"/>
                <w:szCs w:val="20"/>
                <w:lang w:val="es-ES_tradnl" w:eastAsia="es-ES"/>
              </w:rPr>
              <w:t xml:space="preserve">Competencia </w:t>
            </w:r>
            <w:r w:rsidRPr="00C7542C">
              <w:rPr>
                <w:rFonts w:ascii="Cambria" w:hAnsi="Cambria"/>
                <w:b/>
                <w:bCs/>
                <w:i/>
                <w:iCs/>
                <w:color w:val="FFFFFF" w:themeColor="background1"/>
                <w:sz w:val="20"/>
                <w:szCs w:val="20"/>
                <w:lang w:val="es-ES_tradnl" w:eastAsia="es-ES"/>
              </w:rPr>
              <w:t>Ratione materiae:</w:t>
            </w:r>
          </w:p>
        </w:tc>
        <w:tc>
          <w:tcPr>
            <w:tcW w:w="5811" w:type="dxa"/>
          </w:tcPr>
          <w:p w14:paraId="044B6DAB" w14:textId="77777777" w:rsidR="007B0E80" w:rsidRPr="00C7542C" w:rsidRDefault="007B0E80" w:rsidP="005076F9">
            <w:pPr>
              <w:jc w:val="both"/>
              <w:rPr>
                <w:rFonts w:ascii="Cambria" w:hAnsi="Cambria"/>
                <w:sz w:val="20"/>
                <w:szCs w:val="20"/>
                <w:lang w:val="es-ES_tradnl" w:eastAsia="es-ES"/>
              </w:rPr>
            </w:pPr>
            <w:r w:rsidRPr="00C7542C">
              <w:rPr>
                <w:rFonts w:ascii="Cambria" w:hAnsi="Cambria"/>
                <w:sz w:val="20"/>
                <w:szCs w:val="20"/>
                <w:lang w:val="es-ES_tradnl" w:eastAsia="es-ES"/>
              </w:rPr>
              <w:t>Sí, Convención Americana sobre Derechos Humanos (depósito de instrumento de ratificación realizado el 5 de septiembre de 1984).</w:t>
            </w:r>
          </w:p>
        </w:tc>
      </w:tr>
      <w:tr w:rsidR="007B0E80" w:rsidRPr="00C7542C" w14:paraId="6333CA54" w14:textId="77777777" w:rsidTr="005076F9">
        <w:tc>
          <w:tcPr>
            <w:tcW w:w="3539" w:type="dxa"/>
            <w:shd w:val="clear" w:color="auto" w:fill="1F4E79" w:themeFill="accent1" w:themeFillShade="80"/>
            <w:vAlign w:val="center"/>
          </w:tcPr>
          <w:p w14:paraId="0C46E1E9" w14:textId="77777777" w:rsidR="007B0E80" w:rsidRPr="00C7542C" w:rsidRDefault="007B0E80" w:rsidP="005076F9">
            <w:pPr>
              <w:jc w:val="center"/>
              <w:rPr>
                <w:rFonts w:ascii="Cambria" w:hAnsi="Cambria"/>
                <w:b/>
                <w:bCs/>
                <w:color w:val="FFFFFF" w:themeColor="background1"/>
                <w:sz w:val="20"/>
                <w:szCs w:val="20"/>
                <w:lang w:val="es-ES_tradnl" w:eastAsia="es-ES"/>
              </w:rPr>
            </w:pPr>
            <w:r w:rsidRPr="00C7542C">
              <w:rPr>
                <w:rFonts w:ascii="Cambria" w:hAnsi="Cambria"/>
                <w:b/>
                <w:bCs/>
                <w:color w:val="FFFFFF" w:themeColor="background1"/>
                <w:sz w:val="20"/>
                <w:szCs w:val="20"/>
                <w:lang w:val="es-ES_tradnl" w:eastAsia="es-ES"/>
              </w:rPr>
              <w:t>Duplicación de procedimientos y cosa juzgada internacional:</w:t>
            </w:r>
          </w:p>
        </w:tc>
        <w:tc>
          <w:tcPr>
            <w:tcW w:w="5811" w:type="dxa"/>
            <w:vAlign w:val="center"/>
          </w:tcPr>
          <w:p w14:paraId="16555893" w14:textId="77777777" w:rsidR="007B0E80" w:rsidRPr="00C7542C" w:rsidRDefault="007B0E80" w:rsidP="005076F9">
            <w:pPr>
              <w:rPr>
                <w:rFonts w:ascii="Cambria" w:hAnsi="Cambria"/>
                <w:sz w:val="20"/>
                <w:szCs w:val="20"/>
                <w:lang w:val="es-ES_tradnl" w:eastAsia="es-ES"/>
              </w:rPr>
            </w:pPr>
            <w:r w:rsidRPr="00C7542C">
              <w:rPr>
                <w:rFonts w:ascii="Cambria" w:hAnsi="Cambria"/>
                <w:sz w:val="20"/>
                <w:szCs w:val="20"/>
                <w:lang w:val="es-ES_tradnl" w:eastAsia="es-ES"/>
              </w:rPr>
              <w:t xml:space="preserve">No </w:t>
            </w:r>
          </w:p>
        </w:tc>
      </w:tr>
    </w:tbl>
    <w:p w14:paraId="54E5EAEE" w14:textId="77777777" w:rsidR="007B0E80" w:rsidRPr="00C7542C" w:rsidRDefault="007B0E80" w:rsidP="007B0E80">
      <w:pPr>
        <w:jc w:val="both"/>
        <w:rPr>
          <w:lang w:val="es-ES_tradnl"/>
        </w:rPr>
      </w:pPr>
    </w:p>
    <w:p w14:paraId="13729451" w14:textId="77777777" w:rsidR="007B0E80" w:rsidRPr="00C7542C" w:rsidRDefault="007B0E80" w:rsidP="006C6B75">
      <w:pPr>
        <w:pStyle w:val="ListParagraph"/>
        <w:numPr>
          <w:ilvl w:val="0"/>
          <w:numId w:val="3"/>
        </w:numPr>
        <w:ind w:left="0" w:firstLine="0"/>
        <w:jc w:val="both"/>
        <w:outlineLvl w:val="1"/>
        <w:rPr>
          <w:b/>
          <w:bCs/>
          <w:sz w:val="20"/>
          <w:szCs w:val="20"/>
          <w:lang w:val="es-ES_tradnl"/>
        </w:rPr>
      </w:pPr>
      <w:bookmarkStart w:id="23" w:name="_Toc78370160"/>
      <w:bookmarkStart w:id="24" w:name="_Toc203382198"/>
      <w:r w:rsidRPr="00C7542C">
        <w:rPr>
          <w:b/>
          <w:bCs/>
          <w:sz w:val="20"/>
          <w:szCs w:val="20"/>
          <w:lang w:val="es-ES_tradnl"/>
        </w:rPr>
        <w:t>Agotamiento de recursos internos</w:t>
      </w:r>
      <w:bookmarkEnd w:id="23"/>
      <w:bookmarkEnd w:id="24"/>
      <w:r w:rsidRPr="00C7542C">
        <w:rPr>
          <w:b/>
          <w:bCs/>
          <w:sz w:val="20"/>
          <w:szCs w:val="20"/>
          <w:lang w:val="es-ES_tradnl"/>
        </w:rPr>
        <w:t xml:space="preserve"> </w:t>
      </w:r>
    </w:p>
    <w:p w14:paraId="2DB09176" w14:textId="77777777" w:rsidR="007B0E80" w:rsidRPr="00C7542C" w:rsidRDefault="007B0E80" w:rsidP="007B0E80">
      <w:pPr>
        <w:jc w:val="both"/>
        <w:rPr>
          <w:b/>
          <w:bCs/>
          <w:sz w:val="20"/>
          <w:szCs w:val="20"/>
          <w:lang w:val="es-ES_tradnl"/>
        </w:rPr>
      </w:pPr>
    </w:p>
    <w:p w14:paraId="69C931E2"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El artículo 46.1.a de la Convención Americana dispone que, para que sea admisible una petición presentada ante la Comisión Interamericana, es necesario que previamente se hayan intentado y agotado los recursos de jurisdicción interna, conforme a los principios del derecho internacional generalmente reconocidos.</w:t>
      </w:r>
    </w:p>
    <w:p w14:paraId="668B9905" w14:textId="77777777" w:rsidR="007B0E80" w:rsidRPr="00C7542C" w:rsidRDefault="007B0E80" w:rsidP="007B0E80">
      <w:pPr>
        <w:pStyle w:val="ListParagraph"/>
        <w:tabs>
          <w:tab w:val="left" w:pos="567"/>
        </w:tabs>
        <w:ind w:left="0"/>
        <w:jc w:val="both"/>
        <w:rPr>
          <w:sz w:val="20"/>
          <w:szCs w:val="20"/>
          <w:lang w:val="es-ES_tradnl"/>
        </w:rPr>
      </w:pPr>
    </w:p>
    <w:p w14:paraId="147A4091"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el presente caso, la Comisión observa que el Estado articuló, a lo largo del trámite de la petición, tres alegatos diferentes vinculados con la falta de cumplimiento por parte de la parte peticionaria del requisito del previo agotamiento de los recursos internos; a saber: i) el agotamiento indebido de los recursos internos al haber interpuesto el recurso de queja en forma extemporánea; ii) la falta de agotamiento del recurso de revocatoria en la eventualidad de que el rechazo del recurso de queja mencionado no habría sido resuelto conforme la ley interna  y  iii) el planteamiento inoportuno de la cuestión federal materia de competencia de la Corte Suprema que luego se presenta ante la Comisión. </w:t>
      </w:r>
    </w:p>
    <w:p w14:paraId="310BB5CC" w14:textId="77777777" w:rsidR="007B0E80" w:rsidRPr="00C7542C" w:rsidRDefault="007B0E80" w:rsidP="007B0E80">
      <w:pPr>
        <w:pStyle w:val="ListParagraph"/>
        <w:ind w:left="0"/>
        <w:jc w:val="both"/>
        <w:rPr>
          <w:sz w:val="20"/>
          <w:szCs w:val="20"/>
          <w:lang w:val="es-ES_tradnl"/>
        </w:rPr>
      </w:pPr>
    </w:p>
    <w:p w14:paraId="294A12A6" w14:textId="77777777" w:rsidR="007B0E80" w:rsidRPr="00C7542C" w:rsidRDefault="007B0E80" w:rsidP="006C6B75">
      <w:pPr>
        <w:pStyle w:val="ListParagraph"/>
        <w:numPr>
          <w:ilvl w:val="0"/>
          <w:numId w:val="4"/>
        </w:numPr>
        <w:spacing w:after="240"/>
        <w:jc w:val="both"/>
        <w:outlineLvl w:val="2"/>
        <w:rPr>
          <w:sz w:val="20"/>
          <w:szCs w:val="20"/>
          <w:lang w:val="es-ES_tradnl"/>
        </w:rPr>
      </w:pPr>
      <w:bookmarkStart w:id="25" w:name="_Toc78370161"/>
      <w:bookmarkStart w:id="26" w:name="_Toc203382199"/>
      <w:r w:rsidRPr="00C7542C">
        <w:rPr>
          <w:b/>
          <w:bCs/>
          <w:sz w:val="20"/>
          <w:szCs w:val="20"/>
          <w:lang w:val="es-ES_tradnl"/>
        </w:rPr>
        <w:t>Agotamiento indebido de los recursos internos por eventual presentación extemporánea del recurso de queja ante la Corte Suprema de Justicia de la Nación.</w:t>
      </w:r>
      <w:bookmarkEnd w:id="25"/>
      <w:bookmarkEnd w:id="26"/>
      <w:r w:rsidRPr="00C7542C">
        <w:rPr>
          <w:b/>
          <w:bCs/>
          <w:sz w:val="20"/>
          <w:szCs w:val="20"/>
          <w:lang w:val="es-ES_tradnl"/>
        </w:rPr>
        <w:t xml:space="preserve"> </w:t>
      </w:r>
    </w:p>
    <w:p w14:paraId="19BA4558"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lastRenderedPageBreak/>
        <w:t>En primer término, la Comisión considera necesario explicitar que el requisito del previo agotamiento de los recursos internos tiene como objeto permitir que las autoridades nacionales conozcan sobre la supuesta violación de un derecho protegido y, de ser apropiado, adopten una solución a la situación planteada antes de que ella sea evaluada por el Sistema Interamericano de Derechos Humanos</w:t>
      </w:r>
      <w:r w:rsidRPr="00C7542C">
        <w:rPr>
          <w:rStyle w:val="FootnoteReference"/>
          <w:sz w:val="20"/>
          <w:szCs w:val="20"/>
          <w:lang w:val="es-ES_tradnl"/>
        </w:rPr>
        <w:footnoteReference w:id="2"/>
      </w:r>
      <w:r w:rsidRPr="00C7542C">
        <w:rPr>
          <w:sz w:val="20"/>
          <w:szCs w:val="20"/>
          <w:lang w:val="es-ES_tradnl"/>
        </w:rPr>
        <w:t xml:space="preserve">. </w:t>
      </w:r>
    </w:p>
    <w:p w14:paraId="1A030F0C" w14:textId="77777777" w:rsidR="007B0E80" w:rsidRPr="00C7542C" w:rsidRDefault="007B0E80" w:rsidP="007B0E80">
      <w:pPr>
        <w:pStyle w:val="ListParagraph"/>
        <w:tabs>
          <w:tab w:val="left" w:pos="567"/>
        </w:tabs>
        <w:ind w:left="0"/>
        <w:jc w:val="both"/>
        <w:rPr>
          <w:sz w:val="20"/>
          <w:szCs w:val="20"/>
          <w:lang w:val="es-ES_tradnl"/>
        </w:rPr>
      </w:pPr>
    </w:p>
    <w:p w14:paraId="0264FD2E" w14:textId="68F81D3E"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El análisis del cumplimiento de este requisito debe realizarse caso por caso, tomando en cuenta las características del mismo y la relación entre la situación que se plantea ante la Comisión y la forma en que se invocaron los recursos internos</w:t>
      </w:r>
      <w:r w:rsidRPr="00C7542C">
        <w:rPr>
          <w:rStyle w:val="FootnoteReference"/>
          <w:sz w:val="20"/>
          <w:szCs w:val="20"/>
          <w:lang w:val="es-ES_tradnl"/>
        </w:rPr>
        <w:footnoteReference w:id="3"/>
      </w:r>
      <w:r w:rsidRPr="00C7542C">
        <w:rPr>
          <w:sz w:val="20"/>
          <w:szCs w:val="20"/>
          <w:lang w:val="es-ES_tradnl"/>
        </w:rPr>
        <w:t>. Asimismo, resulta jurisprudencia reiterada de la CIDH considerar que la parte peticionaria debe agotar los recursos internos de conformidad con la legislación procesal nacional</w:t>
      </w:r>
      <w:r w:rsidRPr="00C7542C">
        <w:rPr>
          <w:rStyle w:val="FootnoteReference"/>
          <w:sz w:val="20"/>
          <w:szCs w:val="20"/>
          <w:lang w:val="es-ES_tradnl"/>
        </w:rPr>
        <w:footnoteReference w:id="4"/>
      </w:r>
      <w:r w:rsidRPr="00C7542C">
        <w:rPr>
          <w:sz w:val="20"/>
          <w:szCs w:val="20"/>
          <w:lang w:val="es-ES_tradnl"/>
        </w:rPr>
        <w:t xml:space="preserve">. </w:t>
      </w:r>
    </w:p>
    <w:p w14:paraId="1D0B54D4" w14:textId="77777777" w:rsidR="007B0E80" w:rsidRPr="00C7542C" w:rsidRDefault="007B0E80" w:rsidP="007B0E80">
      <w:pPr>
        <w:pStyle w:val="ListParagraph"/>
        <w:tabs>
          <w:tab w:val="left" w:pos="567"/>
        </w:tabs>
        <w:ind w:left="0"/>
        <w:jc w:val="both"/>
        <w:rPr>
          <w:sz w:val="20"/>
          <w:szCs w:val="20"/>
          <w:lang w:val="es-ES_tradnl"/>
        </w:rPr>
      </w:pPr>
    </w:p>
    <w:p w14:paraId="77517B90" w14:textId="77777777" w:rsidR="007B0E80" w:rsidRPr="00C7542C" w:rsidRDefault="007B0E80" w:rsidP="007B0E80">
      <w:pPr>
        <w:pStyle w:val="ListParagraph"/>
        <w:numPr>
          <w:ilvl w:val="0"/>
          <w:numId w:val="2"/>
        </w:numPr>
        <w:tabs>
          <w:tab w:val="left" w:pos="567"/>
        </w:tabs>
        <w:ind w:left="0" w:firstLine="0"/>
        <w:jc w:val="both"/>
        <w:rPr>
          <w:sz w:val="20"/>
          <w:szCs w:val="20"/>
          <w:lang w:val="es-ES"/>
        </w:rPr>
      </w:pPr>
      <w:r w:rsidRPr="00C7542C">
        <w:rPr>
          <w:sz w:val="20"/>
          <w:szCs w:val="20"/>
          <w:lang w:val="es-ES_tradnl"/>
        </w:rPr>
        <w:t xml:space="preserve">Conforme la información existente en el expediente, la Comisión advierte que la última actividad </w:t>
      </w:r>
      <w:r w:rsidRPr="00C7542C">
        <w:rPr>
          <w:sz w:val="20"/>
          <w:szCs w:val="20"/>
          <w:lang w:val="es-ES"/>
        </w:rPr>
        <w:t>procesal en sede interna de los abogados del Sr. Pacheco fue la interposición un recurso de queja ante la Corte Suprema de Justicia de la Nación contra la decisión del Superior Tribunal de Justicia del Chubut de fecha 30 de junio de 2003 que denegó el recurso extraordinario federal presentado ante ese tribunal</w:t>
      </w:r>
      <w:r w:rsidRPr="00C7542C">
        <w:rPr>
          <w:rStyle w:val="FootnoteReference"/>
          <w:sz w:val="20"/>
          <w:szCs w:val="20"/>
          <w:lang w:val="es-ES"/>
        </w:rPr>
        <w:footnoteReference w:id="5"/>
      </w:r>
      <w:r w:rsidRPr="00C7542C">
        <w:rPr>
          <w:sz w:val="20"/>
          <w:szCs w:val="20"/>
          <w:lang w:val="es-ES"/>
        </w:rPr>
        <w:t>.</w:t>
      </w:r>
    </w:p>
    <w:p w14:paraId="0BFE49D1" w14:textId="77777777" w:rsidR="007B0E80" w:rsidRPr="00C7542C" w:rsidRDefault="007B0E80" w:rsidP="007B0E80">
      <w:pPr>
        <w:pStyle w:val="ListParagraph"/>
        <w:tabs>
          <w:tab w:val="left" w:pos="567"/>
        </w:tabs>
        <w:ind w:left="0"/>
        <w:jc w:val="both"/>
        <w:rPr>
          <w:sz w:val="20"/>
          <w:szCs w:val="20"/>
          <w:lang w:val="es-ES"/>
        </w:rPr>
      </w:pPr>
    </w:p>
    <w:p w14:paraId="35627CC4"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rFonts w:eastAsia="Times New Roman"/>
          <w:sz w:val="20"/>
          <w:szCs w:val="20"/>
          <w:bdr w:val="none" w:sz="0" w:space="0" w:color="auto"/>
          <w:lang w:val="es-ES"/>
        </w:rPr>
        <w:t>Sobre los recursos extraordinarios, la Comisión recuerda que si bien, en principio, no es necesario el agotamiento de recursos extraordinarios en todos los casos, en el caso de que el peticionario considere que ellos pueden tener un resultado favorable en el remedio de la situación jurídica alegadamente vulnerada y decide acudir a esta vía, debe agotarlos de conformidad con las normas procesales vigentes, siempre que las condiciones de acceso a los mismos sean razonables</w:t>
      </w:r>
      <w:r w:rsidRPr="00C7542C">
        <w:rPr>
          <w:rStyle w:val="FootnoteReference"/>
          <w:rFonts w:eastAsia="Times New Roman"/>
          <w:sz w:val="20"/>
          <w:szCs w:val="20"/>
          <w:bdr w:val="none" w:sz="0" w:space="0" w:color="auto"/>
          <w:lang w:val="fr-CH"/>
        </w:rPr>
        <w:footnoteReference w:id="6"/>
      </w:r>
      <w:r w:rsidRPr="00C7542C">
        <w:rPr>
          <w:rFonts w:eastAsia="Times New Roman"/>
          <w:sz w:val="20"/>
          <w:szCs w:val="20"/>
          <w:bdr w:val="none" w:sz="0" w:space="0" w:color="auto"/>
          <w:lang w:val="es-ES"/>
        </w:rPr>
        <w:t xml:space="preserve">. En consecuencia, la CIDH tomara en consideración, a efectos de evaluar el cumplimiento del requisito del artículo 46.1.a de la Convención Americana, el recurso de queja ante la Corte Suprema de Justicia por recurso extraordinario federal denegado que fue interpuesto por los abogados del peticionario. </w:t>
      </w:r>
    </w:p>
    <w:p w14:paraId="1E593AA1" w14:textId="77777777" w:rsidR="007B0E80" w:rsidRPr="00C7542C" w:rsidRDefault="007B0E80" w:rsidP="007B0E80">
      <w:pPr>
        <w:pStyle w:val="ListParagraph"/>
        <w:tabs>
          <w:tab w:val="left" w:pos="567"/>
        </w:tabs>
        <w:ind w:left="0"/>
        <w:jc w:val="both"/>
        <w:rPr>
          <w:sz w:val="20"/>
          <w:szCs w:val="20"/>
          <w:lang w:val="es-ES_tradnl"/>
        </w:rPr>
      </w:pPr>
    </w:p>
    <w:p w14:paraId="602AFAA5"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este sentido, la CIDH destaca que dicho recurso de queja fue declarado improcedente por la Corte Suprema por haber sido presentado de manera extemporánea. Para resolver de este modo, la Corte Suprema invocó en su sentencia el artículo 285 del Código Procesal Civil y Comercial de la Nación el cual, remitiendo al artículo 282 segundo párrafo del mismo texto legal regula que “el plazo para interponer la queja será de CINCO (5) días, con la ampliación que corresponda por razón de la distancia, de acuerdo con lo dispuesto por el artículo 158”. </w:t>
      </w:r>
    </w:p>
    <w:p w14:paraId="6BDE62B5" w14:textId="77777777" w:rsidR="007B0E80" w:rsidRPr="00C7542C" w:rsidRDefault="007B0E80" w:rsidP="007B0E80">
      <w:pPr>
        <w:pStyle w:val="ListParagraph"/>
        <w:tabs>
          <w:tab w:val="left" w:pos="567"/>
        </w:tabs>
        <w:ind w:left="0"/>
        <w:jc w:val="both"/>
        <w:rPr>
          <w:sz w:val="20"/>
          <w:szCs w:val="20"/>
          <w:lang w:val="es-ES_tradnl"/>
        </w:rPr>
      </w:pPr>
    </w:p>
    <w:p w14:paraId="4D7DA0A1"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La Comisión subraya que el mencionado artículo 158 del Código Procesal Civil y Comercial de la Nación establece que “para toda diligencia que deba practicarse dentro de la República y fuera del lugar del asiento del juzgado o tribunal, quedaran ampliados los plazos fijados por este Código a razón de UN (1) día por cada DOSCIENTOS (200) kilómetros o fracción que no baje de CIEN (100)”. De acuerdo con la información provista por la parte peticionaria - la cual no fue cuestionada por el Estado argentino - el plazo legal para presentar el recurso de queja ante los estrados de la Corte Suprema de la Nación era en este caso, de cinco días mas siete días de ampliación de plazo en función de los 1477 kilómetros que separan las ciudades de Rawson, capital de la provincia del Chubut y lugar de residencia de los defensores del Sr. Pacheco, y la sede de la Corte Suprema en la Capital Federal</w:t>
      </w:r>
      <w:r w:rsidRPr="00C7542C">
        <w:rPr>
          <w:rStyle w:val="FootnoteReference"/>
          <w:sz w:val="20"/>
          <w:szCs w:val="20"/>
          <w:lang w:val="es-ES_tradnl"/>
        </w:rPr>
        <w:footnoteReference w:id="7"/>
      </w:r>
      <w:r w:rsidRPr="00C7542C">
        <w:rPr>
          <w:sz w:val="20"/>
          <w:szCs w:val="20"/>
          <w:lang w:val="es-ES_tradnl"/>
        </w:rPr>
        <w:t xml:space="preserve">. </w:t>
      </w:r>
    </w:p>
    <w:p w14:paraId="67882976" w14:textId="77777777" w:rsidR="007B0E80" w:rsidRPr="00C7542C" w:rsidRDefault="007B0E80" w:rsidP="007B0E80">
      <w:pPr>
        <w:pStyle w:val="ListParagraph"/>
        <w:tabs>
          <w:tab w:val="left" w:pos="567"/>
        </w:tabs>
        <w:ind w:left="0"/>
        <w:jc w:val="both"/>
        <w:rPr>
          <w:sz w:val="20"/>
          <w:szCs w:val="20"/>
          <w:lang w:val="es-ES_tradnl"/>
        </w:rPr>
      </w:pPr>
    </w:p>
    <w:p w14:paraId="6DAB8010"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tal sentido, la CIDH señala que la decisión del Superior Tribunal de Justicia del Chubut de denegar el recurso extraordinario federal fue notificada a los peticionarios el 3 de julio de 2003 y que, con fecha 18 de julio de 2003, esto es, dentro de los 12 días hábiles de plazo que arroja el cálculo previsto por el artículo 158 del </w:t>
      </w:r>
      <w:r w:rsidRPr="00C7542C">
        <w:rPr>
          <w:sz w:val="20"/>
          <w:szCs w:val="20"/>
          <w:lang w:val="es-ES_tradnl"/>
        </w:rPr>
        <w:lastRenderedPageBreak/>
        <w:t xml:space="preserve">Código Procesal Civil y Comercial de la Nación, los abogados del peticionario remitieron por vía postal a la sede de la Corte Suprema de Justicia el recurso de queja por denegación de recurso extraordinario federal.  </w:t>
      </w:r>
    </w:p>
    <w:p w14:paraId="675CCABD" w14:textId="77777777" w:rsidR="007B0E80" w:rsidRPr="00C7542C" w:rsidRDefault="007B0E80" w:rsidP="007B0E80">
      <w:pPr>
        <w:pStyle w:val="ListParagraph"/>
        <w:tabs>
          <w:tab w:val="left" w:pos="567"/>
        </w:tabs>
        <w:ind w:left="0"/>
        <w:jc w:val="both"/>
        <w:rPr>
          <w:sz w:val="20"/>
          <w:szCs w:val="20"/>
          <w:lang w:val="es-ES_tradnl"/>
        </w:rPr>
      </w:pPr>
    </w:p>
    <w:p w14:paraId="2275CDF5" w14:textId="0EA33D43"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La Comisión no cuenta con información respecto de la fecha en la cual que el escrito del recurso de queja fue recibido en la mesa de entradas de la Corte Suprema. Mas importante aún, la Comisión destaca que la sentencia de la Corte Suprema que declara “extemporáneo” dicho recurso carece de fundamentación alguna, circunstancia que no permite adquirir certeza respecto del momento que el tribunal tuvo en consideración para evaluar el cumplimiento del plazo de presentación; esto es: el día en que los abogados colocaron el escrito en el correo en Rawson o el día en que dicho escrito arribó a los estrados de la Corte Suprema en Buenos Aires. Tampoco se puede conocer cuál fue el plazo que la Corte Suprema tomó en cuenta para determinar la extemporaneidad del recurso y si tuvo o no en consideración la ampliación del plazo de presentación en función de la distancia geográfica existente entre las ciudades de Rawson y Buenos Aires conforme el artículo 158 del Código Procesal Civil y Comercial de la Nación. La Comisión advierte que el fallo de la Corte Suprema únicamente invoca el artículo 285 del Código Procesal Civil y Comercial de la Nación y no hace referencia alguna a la regla de ampliación del plazo contenida en el artículo 158 del mismo texto legal. </w:t>
      </w:r>
    </w:p>
    <w:p w14:paraId="1C6B025A" w14:textId="77777777" w:rsidR="007B0E80" w:rsidRPr="00C7542C" w:rsidRDefault="007B0E80" w:rsidP="007B0E80">
      <w:pPr>
        <w:pStyle w:val="ListParagraph"/>
        <w:tabs>
          <w:tab w:val="left" w:pos="567"/>
        </w:tabs>
        <w:rPr>
          <w:sz w:val="20"/>
          <w:szCs w:val="20"/>
          <w:lang w:val="es-ES_tradnl"/>
        </w:rPr>
      </w:pPr>
    </w:p>
    <w:p w14:paraId="6DDAA846" w14:textId="3706FF1D"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Finalmente, resulta oportuno resaltar que el Estado argentino, durante el trámite de la petición ante la Comisión, no aportó claridad al respecto y se limitó a señalar que, en el supuesto que la Corte Suprema no hubiera tenido en cuenta el plazo adicional del artículo 158, los abogados del peticionario debieron haber cuestionado dicha decisión mediante la interposición de un recurso de revocatoria. </w:t>
      </w:r>
    </w:p>
    <w:p w14:paraId="787669AE" w14:textId="77777777" w:rsidR="007B0E80" w:rsidRPr="00C7542C" w:rsidRDefault="007B0E80" w:rsidP="007B0E80">
      <w:pPr>
        <w:pStyle w:val="ListParagraph"/>
        <w:tabs>
          <w:tab w:val="left" w:pos="567"/>
        </w:tabs>
        <w:ind w:left="0"/>
        <w:jc w:val="both"/>
        <w:rPr>
          <w:sz w:val="20"/>
          <w:szCs w:val="20"/>
          <w:lang w:val="es-ES_tradnl"/>
        </w:rPr>
      </w:pPr>
    </w:p>
    <w:p w14:paraId="71C139E9" w14:textId="77777777" w:rsidR="007B0E80" w:rsidRPr="00C7542C" w:rsidRDefault="007B0E80" w:rsidP="007B0E80">
      <w:pPr>
        <w:pStyle w:val="ListParagraph"/>
        <w:numPr>
          <w:ilvl w:val="0"/>
          <w:numId w:val="2"/>
        </w:numPr>
        <w:tabs>
          <w:tab w:val="left" w:pos="567"/>
        </w:tabs>
        <w:spacing w:after="240"/>
        <w:ind w:left="0" w:firstLine="0"/>
        <w:jc w:val="both"/>
        <w:rPr>
          <w:sz w:val="20"/>
          <w:szCs w:val="20"/>
          <w:lang w:val="es-ES_tradnl"/>
        </w:rPr>
      </w:pPr>
      <w:r w:rsidRPr="00C7542C">
        <w:rPr>
          <w:sz w:val="20"/>
          <w:szCs w:val="20"/>
          <w:lang w:val="es-ES_tradnl"/>
        </w:rPr>
        <w:t>Con este panorama en mente, la CIDH entiende que los peticionarios hicieron todos los esfuerzos posibles por alcanzar una resolución de la controversia en el ámbito interno y que, como fruto de ese esfuerzo, agotaron de manera debida los recursos ordinarios y extraordinarios previstos por la legislación interna. En consecuencia, la Comisión concluirá que, a partir del momento del envío por vía postal a los estrados de la Corte Suprema de Justicia del escrito que interpone el recurso de queja por denegatoria del recurso extraordinario federal, los peticionarios cumplieron con el requisito exigido en el artículo 46.1.a de la Convención Americana</w:t>
      </w:r>
      <w:r w:rsidRPr="00C7542C">
        <w:rPr>
          <w:rStyle w:val="FootnoteReference"/>
          <w:sz w:val="20"/>
          <w:szCs w:val="20"/>
          <w:lang w:val="es-ES_tradnl"/>
        </w:rPr>
        <w:footnoteReference w:id="8"/>
      </w:r>
      <w:r w:rsidRPr="00C7542C">
        <w:rPr>
          <w:sz w:val="20"/>
          <w:szCs w:val="20"/>
          <w:lang w:val="es-ES_tradnl"/>
        </w:rPr>
        <w:t>.</w:t>
      </w:r>
    </w:p>
    <w:p w14:paraId="1CD789AC" w14:textId="77777777" w:rsidR="007B0E80" w:rsidRPr="00C7542C" w:rsidRDefault="007B0E80" w:rsidP="006C6B75">
      <w:pPr>
        <w:pStyle w:val="ListParagraph"/>
        <w:numPr>
          <w:ilvl w:val="0"/>
          <w:numId w:val="4"/>
        </w:numPr>
        <w:spacing w:after="240"/>
        <w:jc w:val="both"/>
        <w:outlineLvl w:val="2"/>
        <w:rPr>
          <w:sz w:val="20"/>
          <w:szCs w:val="20"/>
          <w:lang w:val="es-ES_tradnl"/>
        </w:rPr>
      </w:pPr>
      <w:bookmarkStart w:id="28" w:name="_Toc78370162"/>
      <w:bookmarkStart w:id="29" w:name="_Toc203382200"/>
      <w:r w:rsidRPr="00C7542C">
        <w:rPr>
          <w:b/>
          <w:bCs/>
          <w:sz w:val="20"/>
          <w:szCs w:val="20"/>
          <w:lang w:val="es-ES_tradnl"/>
        </w:rPr>
        <w:t>Falta de agotamiento de los recursos internos por la no presentación de un recurso de revocatoria ante la Corte Suprema de Justicia de la Nación</w:t>
      </w:r>
      <w:bookmarkEnd w:id="28"/>
      <w:bookmarkEnd w:id="29"/>
      <w:r w:rsidRPr="00C7542C">
        <w:rPr>
          <w:b/>
          <w:bCs/>
          <w:sz w:val="20"/>
          <w:szCs w:val="20"/>
          <w:lang w:val="es-ES_tradnl"/>
        </w:rPr>
        <w:t xml:space="preserve"> </w:t>
      </w:r>
    </w:p>
    <w:p w14:paraId="13C93FDD"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En relación con el alegato del Estado respecto a la ausencia de agotamiento de los recursos internos por la no interposición de un recurso de reposición para controvertir el rechazo del recurso de queja, la Comisión hace notar que, conforme el Código Procesal Civil y Comercial aplicable al trámite, dicho recurso de reposición procede únicamente contra las providencias simples a fin de que el juez o tribunal que las haya dictado las revoque por contrario imperio</w:t>
      </w:r>
      <w:r w:rsidRPr="00C7542C">
        <w:rPr>
          <w:rStyle w:val="FootnoteReference"/>
          <w:sz w:val="20"/>
          <w:szCs w:val="20"/>
          <w:lang w:val="es-ES_tradnl"/>
        </w:rPr>
        <w:footnoteReference w:id="9"/>
      </w:r>
      <w:r w:rsidRPr="00C7542C">
        <w:rPr>
          <w:sz w:val="20"/>
          <w:szCs w:val="20"/>
          <w:lang w:val="es-ES_tradnl"/>
        </w:rPr>
        <w:t>. La misma legislación describe a las providencias simples como aquellas resoluciones judiciales que “solo tienden, sin sustanciación, al desarrollo del proceso u ordenan actos de mera ejecución…”</w:t>
      </w:r>
      <w:r w:rsidRPr="00C7542C">
        <w:rPr>
          <w:rStyle w:val="FootnoteReference"/>
          <w:sz w:val="20"/>
          <w:szCs w:val="20"/>
          <w:lang w:val="es-ES_tradnl"/>
        </w:rPr>
        <w:footnoteReference w:id="10"/>
      </w:r>
    </w:p>
    <w:p w14:paraId="2AA3B37D" w14:textId="77777777" w:rsidR="007B0E80" w:rsidRPr="00C7542C" w:rsidRDefault="007B0E80" w:rsidP="007B0E80">
      <w:pPr>
        <w:pStyle w:val="ListParagraph"/>
        <w:tabs>
          <w:tab w:val="left" w:pos="567"/>
        </w:tabs>
        <w:ind w:left="0"/>
        <w:jc w:val="both"/>
        <w:rPr>
          <w:sz w:val="20"/>
          <w:szCs w:val="20"/>
          <w:lang w:val="es-ES_tradnl"/>
        </w:rPr>
      </w:pPr>
    </w:p>
    <w:p w14:paraId="652990B5" w14:textId="77777777" w:rsidR="007B0E80" w:rsidRPr="00C7542C" w:rsidRDefault="007B0E80" w:rsidP="007B0E80">
      <w:pPr>
        <w:pStyle w:val="ListParagraph"/>
        <w:numPr>
          <w:ilvl w:val="0"/>
          <w:numId w:val="2"/>
        </w:numPr>
        <w:tabs>
          <w:tab w:val="left" w:pos="567"/>
        </w:tabs>
        <w:ind w:left="0" w:firstLine="0"/>
        <w:jc w:val="both"/>
        <w:rPr>
          <w:sz w:val="20"/>
          <w:szCs w:val="20"/>
          <w:lang w:val="es-ES"/>
        </w:rPr>
      </w:pPr>
      <w:r w:rsidRPr="00C7542C">
        <w:rPr>
          <w:sz w:val="20"/>
          <w:szCs w:val="20"/>
          <w:lang w:val="es-ES"/>
        </w:rPr>
        <w:t xml:space="preserve">La Comisión toma nota de lo informado por la representación del Estado en su comunicación de fecha 13 de marzo de 2019 en la que comparte un par de precedentes de la Corte Suprema de Justicia de la Nación donde dicho tribunal acogió favorablemente el recurso de revocatoria interpuesto ante la decisión de la misma Corte de declarar inadmisible el recurso de queja sin haber contemplado la ampliación de plazo de presentación en razón de la distancia. </w:t>
      </w:r>
    </w:p>
    <w:p w14:paraId="06A168D8" w14:textId="77777777" w:rsidR="007B0E80" w:rsidRPr="00C7542C" w:rsidRDefault="007B0E80" w:rsidP="007B0E80">
      <w:pPr>
        <w:pStyle w:val="ListParagraph"/>
        <w:tabs>
          <w:tab w:val="left" w:pos="567"/>
        </w:tabs>
        <w:ind w:left="0"/>
        <w:jc w:val="both"/>
        <w:rPr>
          <w:sz w:val="20"/>
          <w:szCs w:val="20"/>
          <w:lang w:val="es-ES"/>
        </w:rPr>
      </w:pPr>
    </w:p>
    <w:p w14:paraId="793FC7F5" w14:textId="77777777" w:rsidR="007B0E80" w:rsidRPr="00C7542C" w:rsidRDefault="007B0E80" w:rsidP="007B0E80">
      <w:pPr>
        <w:pStyle w:val="ListParagraph"/>
        <w:numPr>
          <w:ilvl w:val="0"/>
          <w:numId w:val="2"/>
        </w:numPr>
        <w:tabs>
          <w:tab w:val="left" w:pos="567"/>
        </w:tabs>
        <w:ind w:left="0" w:firstLine="0"/>
        <w:jc w:val="both"/>
        <w:rPr>
          <w:sz w:val="20"/>
          <w:szCs w:val="20"/>
          <w:lang w:val="es-ES"/>
        </w:rPr>
      </w:pPr>
      <w:r w:rsidRPr="00C7542C">
        <w:rPr>
          <w:sz w:val="20"/>
          <w:szCs w:val="20"/>
          <w:lang w:val="es-ES"/>
        </w:rPr>
        <w:t xml:space="preserve">Sin embargo, la Comisión destaca que, en el segundo de los precedentes mencionados, la Corte Suprema de la Nación estableció que “como </w:t>
      </w:r>
      <w:r w:rsidRPr="00C7542C">
        <w:rPr>
          <w:rFonts w:eastAsia="Times New Roman"/>
          <w:sz w:val="20"/>
          <w:szCs w:val="20"/>
          <w:bdr w:val="none" w:sz="0" w:space="0" w:color="auto"/>
          <w:lang w:val="es-ES"/>
        </w:rPr>
        <w:t xml:space="preserve">regla las decisiones de esta Corte no son susceptibles de reposición (Fallos: 302:1319; 310:2134; 326:4351, entre muchos), en el presente caso se configura un supuesto excepcional que autoriza a apartarse de ese principio”. En consecuencia, la CIDH entiende que de las sentencias referidas en el </w:t>
      </w:r>
      <w:r w:rsidRPr="00C7542C">
        <w:rPr>
          <w:rFonts w:eastAsia="Times New Roman"/>
          <w:sz w:val="20"/>
          <w:szCs w:val="20"/>
          <w:bdr w:val="none" w:sz="0" w:space="0" w:color="auto"/>
          <w:lang w:val="es-ES"/>
        </w:rPr>
        <w:lastRenderedPageBreak/>
        <w:t xml:space="preserve">precedente anterior se desprende que existe jurisprudencia de la Corte Suprema que descarta la procedencia del recurso de reposición ante las decisiones definitivas e interlocutorias como lo son, por ejemplo, aquellas que desestiman los recursos de queja intentados ante la denegatoria del recurso extraordinario federal. </w:t>
      </w:r>
    </w:p>
    <w:p w14:paraId="1EE709A0" w14:textId="77777777" w:rsidR="007B0E80" w:rsidRPr="00C7542C" w:rsidRDefault="007B0E80" w:rsidP="007B0E80">
      <w:pPr>
        <w:pStyle w:val="ListParagraph"/>
        <w:tabs>
          <w:tab w:val="left" w:pos="567"/>
        </w:tabs>
        <w:ind w:left="0"/>
        <w:jc w:val="both"/>
        <w:rPr>
          <w:sz w:val="20"/>
          <w:szCs w:val="20"/>
          <w:lang w:val="es-ES"/>
        </w:rPr>
      </w:pPr>
    </w:p>
    <w:p w14:paraId="20691046" w14:textId="7B2749E6" w:rsidR="007B0E80" w:rsidRPr="00C7542C" w:rsidRDefault="007B0E80" w:rsidP="007B0E80">
      <w:pPr>
        <w:pStyle w:val="ListParagraph"/>
        <w:numPr>
          <w:ilvl w:val="0"/>
          <w:numId w:val="2"/>
        </w:numPr>
        <w:tabs>
          <w:tab w:val="left" w:pos="567"/>
        </w:tabs>
        <w:ind w:left="0" w:firstLine="0"/>
        <w:jc w:val="both"/>
        <w:rPr>
          <w:sz w:val="20"/>
          <w:szCs w:val="20"/>
          <w:lang w:val="es-ES"/>
        </w:rPr>
      </w:pPr>
      <w:r w:rsidRPr="00C7542C">
        <w:rPr>
          <w:sz w:val="20"/>
          <w:szCs w:val="20"/>
          <w:lang w:val="es-ES"/>
        </w:rPr>
        <w:t xml:space="preserve">Teniendo en cuenta el estado de la jurisprudencia de la Corte Suprema sobre el tema, considerando especialmente la regulación normativa del recurso de reposición en el Código Procesal Civil y Comercial aplicable al caso y el hecho de que se trata de un recurso de carácter extraordinario, la Comisión considera que no resulta exigible el agotamiento del recurso de </w:t>
      </w:r>
      <w:r w:rsidR="00722598" w:rsidRPr="00C7542C">
        <w:rPr>
          <w:sz w:val="20"/>
          <w:szCs w:val="20"/>
          <w:lang w:val="es-ES"/>
        </w:rPr>
        <w:t>revocatoria a</w:t>
      </w:r>
      <w:r w:rsidRPr="00C7542C">
        <w:rPr>
          <w:sz w:val="20"/>
          <w:szCs w:val="20"/>
          <w:lang w:val="es-ES"/>
        </w:rPr>
        <w:t xml:space="preserve"> fines de evaluar el cumplimiento del requisito del artículo 46.1.a de la Convención Americana</w:t>
      </w:r>
      <w:r w:rsidRPr="00C7542C">
        <w:rPr>
          <w:rStyle w:val="FootnoteReference"/>
          <w:rFonts w:eastAsia="Times New Roman"/>
          <w:sz w:val="20"/>
          <w:szCs w:val="20"/>
          <w:bdr w:val="none" w:sz="0" w:space="0" w:color="auto"/>
          <w:lang w:val="es-ES"/>
        </w:rPr>
        <w:footnoteReference w:id="11"/>
      </w:r>
      <w:r w:rsidRPr="00C7542C">
        <w:rPr>
          <w:rFonts w:eastAsia="Times New Roman"/>
          <w:sz w:val="20"/>
          <w:szCs w:val="20"/>
          <w:bdr w:val="none" w:sz="0" w:space="0" w:color="auto"/>
          <w:lang w:val="es-ES"/>
        </w:rPr>
        <w:t>.</w:t>
      </w:r>
    </w:p>
    <w:p w14:paraId="79A21C67" w14:textId="77777777" w:rsidR="007B0E80" w:rsidRPr="00C7542C" w:rsidRDefault="007B0E80" w:rsidP="007B0E80">
      <w:pPr>
        <w:pStyle w:val="ListParagraph"/>
        <w:tabs>
          <w:tab w:val="left" w:pos="567"/>
        </w:tabs>
        <w:ind w:left="0"/>
        <w:jc w:val="both"/>
        <w:rPr>
          <w:sz w:val="20"/>
          <w:szCs w:val="20"/>
          <w:lang w:val="es-ES_tradnl"/>
        </w:rPr>
      </w:pPr>
    </w:p>
    <w:p w14:paraId="5B28867D" w14:textId="77777777" w:rsidR="007B0E80" w:rsidRPr="00C7542C" w:rsidRDefault="007B0E80" w:rsidP="006C6B75">
      <w:pPr>
        <w:pStyle w:val="ListParagraph"/>
        <w:numPr>
          <w:ilvl w:val="0"/>
          <w:numId w:val="4"/>
        </w:numPr>
        <w:spacing w:after="240"/>
        <w:ind w:left="0" w:firstLine="0"/>
        <w:jc w:val="both"/>
        <w:outlineLvl w:val="2"/>
        <w:rPr>
          <w:sz w:val="20"/>
          <w:szCs w:val="20"/>
          <w:lang w:val="es-ES_tradnl"/>
        </w:rPr>
      </w:pPr>
      <w:bookmarkStart w:id="30" w:name="_Toc78370163"/>
      <w:bookmarkStart w:id="31" w:name="_Toc203382201"/>
      <w:r w:rsidRPr="00C7542C">
        <w:rPr>
          <w:b/>
          <w:bCs/>
          <w:sz w:val="20"/>
          <w:szCs w:val="20"/>
          <w:lang w:val="es-ES_tradnl"/>
        </w:rPr>
        <w:t>Planteamiento extemporáneo de la llamada “cuestión federal”</w:t>
      </w:r>
      <w:bookmarkEnd w:id="30"/>
      <w:bookmarkEnd w:id="31"/>
      <w:r w:rsidRPr="00C7542C">
        <w:rPr>
          <w:b/>
          <w:bCs/>
          <w:sz w:val="20"/>
          <w:szCs w:val="20"/>
          <w:lang w:val="es-ES_tradnl"/>
        </w:rPr>
        <w:t xml:space="preserve"> </w:t>
      </w:r>
    </w:p>
    <w:p w14:paraId="3CBC58FB"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torno a este punto, el Estado sostuvo que la parte peticionaria no planteó oportunamente la cuestión de la presunta violación del derecho a obtener una revisión amplia de la sentencia, por lo que no se les habría brindado a los órganos judiciales nacionales la posibilidad de examinar y eventualmente corregir tal vulneración. </w:t>
      </w:r>
    </w:p>
    <w:p w14:paraId="20AE5A6B" w14:textId="77777777" w:rsidR="007B0E80" w:rsidRPr="00C7542C" w:rsidRDefault="007B0E80" w:rsidP="007B0E80">
      <w:pPr>
        <w:pStyle w:val="ListParagraph"/>
        <w:tabs>
          <w:tab w:val="left" w:pos="567"/>
        </w:tabs>
        <w:ind w:left="0"/>
        <w:jc w:val="both"/>
        <w:rPr>
          <w:sz w:val="20"/>
          <w:szCs w:val="20"/>
          <w:lang w:val="es-ES_tradnl"/>
        </w:rPr>
      </w:pPr>
    </w:p>
    <w:p w14:paraId="5BCF8E6A"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Al respecto, la Comisión observa que tanto el recurso de casación interpuesto por la Asesora Civil de Familia e Incapaces en representación del Sr. Pacheco</w:t>
      </w:r>
      <w:r w:rsidRPr="00C7542C">
        <w:rPr>
          <w:rStyle w:val="FootnoteReference"/>
          <w:sz w:val="20"/>
          <w:szCs w:val="20"/>
          <w:lang w:val="es-ES_tradnl"/>
        </w:rPr>
        <w:footnoteReference w:id="12"/>
      </w:r>
      <w:r w:rsidRPr="00C7542C">
        <w:rPr>
          <w:sz w:val="20"/>
          <w:szCs w:val="20"/>
          <w:lang w:val="es-ES_tradnl"/>
        </w:rPr>
        <w:t xml:space="preserve"> como el planteado por el Auxiliar Letrado de la Defensoría de Cámara</w:t>
      </w:r>
      <w:r w:rsidRPr="00C7542C">
        <w:rPr>
          <w:rStyle w:val="FootnoteReference"/>
          <w:sz w:val="20"/>
          <w:szCs w:val="20"/>
          <w:lang w:val="es-ES_tradnl"/>
        </w:rPr>
        <w:footnoteReference w:id="13"/>
      </w:r>
      <w:r w:rsidRPr="00C7542C">
        <w:rPr>
          <w:sz w:val="20"/>
          <w:szCs w:val="20"/>
          <w:lang w:val="es-ES_tradnl"/>
        </w:rPr>
        <w:t xml:space="preserve"> contra la sentencia condenatoria de fecha 17 de septiembre de 2002, incluyen en su texto una serie de alegaciones destinadas a impugnar la decisión de imponer al peticionario una pena de prisión por considerar que una medida de tal carácter es violatoria de los derechos de los adolescentes en conflicto con la ley penal y del fin resocializador de la pena. Asimismo, los recursos alegaron que la sentencia condenatoria resultaba arbitraria e infringía el debido proceso legal y el derecho de defensa en juicio. </w:t>
      </w:r>
    </w:p>
    <w:p w14:paraId="449766A7" w14:textId="77777777" w:rsidR="007B0E80" w:rsidRPr="00C7542C" w:rsidRDefault="007B0E80" w:rsidP="007B0E80">
      <w:pPr>
        <w:pStyle w:val="ListParagraph"/>
        <w:tabs>
          <w:tab w:val="left" w:pos="567"/>
        </w:tabs>
        <w:ind w:left="0"/>
        <w:jc w:val="both"/>
        <w:rPr>
          <w:sz w:val="20"/>
          <w:szCs w:val="20"/>
          <w:lang w:val="es-ES_tradnl"/>
        </w:rPr>
      </w:pPr>
    </w:p>
    <w:p w14:paraId="7F49EEF4"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La Comisión nota que ambos recursos fueron declarados “inadmisibles” por el Superior Tribunal de Justicia de la Provincia del Chubut (ver supra parr 24)</w:t>
      </w:r>
      <w:r w:rsidRPr="00C7542C">
        <w:rPr>
          <w:rStyle w:val="FootnoteReference"/>
          <w:sz w:val="20"/>
          <w:szCs w:val="20"/>
          <w:lang w:val="es-ES_tradnl"/>
        </w:rPr>
        <w:footnoteReference w:id="14"/>
      </w:r>
      <w:r w:rsidRPr="00C7542C">
        <w:rPr>
          <w:sz w:val="20"/>
          <w:szCs w:val="20"/>
          <w:lang w:val="es-ES_tradnl"/>
        </w:rPr>
        <w:t>. Frente a esta decisión, el Defensor General de la Provincia del Chubut presentó un recurso extraordinario federal</w:t>
      </w:r>
      <w:r w:rsidRPr="00C7542C">
        <w:rPr>
          <w:rStyle w:val="FootnoteReference"/>
          <w:sz w:val="20"/>
          <w:szCs w:val="20"/>
          <w:lang w:val="es-ES_tradnl"/>
        </w:rPr>
        <w:footnoteReference w:id="15"/>
      </w:r>
      <w:r w:rsidRPr="00C7542C">
        <w:rPr>
          <w:sz w:val="20"/>
          <w:szCs w:val="20"/>
          <w:lang w:val="es-ES_tradnl"/>
        </w:rPr>
        <w:t xml:space="preserve">. La Comisión resalta que fue en dicha oportunidad, y como consecuencia directa de la decisión del Superior Tribunal que los abogados del Sr. Pacheco plantearon por primera vez la violación del derecho a la doble instancia consagrado en el texto constitucional y en la Convención Americana con la expectativa de que la Corte Suprema de Justicia de la Nación estudie sus alegaciones y eventualmente corrija lo actuado por las instancias inferiores. </w:t>
      </w:r>
    </w:p>
    <w:p w14:paraId="5261021F" w14:textId="77777777" w:rsidR="007B0E80" w:rsidRPr="00C7542C" w:rsidRDefault="007B0E80" w:rsidP="007B0E80">
      <w:pPr>
        <w:pStyle w:val="ListParagraph"/>
        <w:tabs>
          <w:tab w:val="left" w:pos="567"/>
        </w:tabs>
        <w:ind w:left="0"/>
        <w:jc w:val="both"/>
        <w:rPr>
          <w:sz w:val="20"/>
          <w:szCs w:val="20"/>
          <w:lang w:val="es-ES_tradnl"/>
        </w:rPr>
      </w:pPr>
    </w:p>
    <w:p w14:paraId="6E9B4649"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En consecuencia, la Comisión entiende que las cuestiones relacionadas con una eventual violación del artículo 8.2.h de la Convención fueron planteadas por los peticionarios en el momento oportuno y que el Estado tuvo oportunidad de remediarlas en el marco del proceso judicial interno antes de que sean conocidas por los órganos del sistema interamericano de derechos humanos. Por lo tanto, la Comisión considera que la petición cumple con todos los requisitos de admisibilidad exigidos por la Convención Americana </w:t>
      </w:r>
      <w:r w:rsidRPr="00C7542C">
        <w:rPr>
          <w:rStyle w:val="FootnoteReference"/>
          <w:sz w:val="20"/>
          <w:szCs w:val="20"/>
          <w:lang w:val="es-ES_tradnl"/>
        </w:rPr>
        <w:footnoteReference w:id="16"/>
      </w:r>
      <w:r w:rsidRPr="00C7542C">
        <w:rPr>
          <w:sz w:val="20"/>
          <w:szCs w:val="20"/>
          <w:lang w:val="es-ES_tradnl"/>
        </w:rPr>
        <w:t xml:space="preserve">.    </w:t>
      </w:r>
    </w:p>
    <w:p w14:paraId="55E4555B" w14:textId="77777777" w:rsidR="007B0E80" w:rsidRPr="00C7542C" w:rsidRDefault="007B0E80" w:rsidP="007B0E80">
      <w:pPr>
        <w:pStyle w:val="ListParagraph"/>
        <w:tabs>
          <w:tab w:val="left" w:pos="567"/>
        </w:tabs>
        <w:ind w:left="0"/>
        <w:jc w:val="both"/>
        <w:rPr>
          <w:sz w:val="20"/>
          <w:szCs w:val="20"/>
          <w:lang w:val="es-ES_tradnl"/>
        </w:rPr>
      </w:pPr>
    </w:p>
    <w:p w14:paraId="33AB6132" w14:textId="77777777" w:rsidR="007B0E80" w:rsidRPr="00C7542C" w:rsidRDefault="007B0E80" w:rsidP="006C6B75">
      <w:pPr>
        <w:pStyle w:val="ListParagraph"/>
        <w:numPr>
          <w:ilvl w:val="0"/>
          <w:numId w:val="3"/>
        </w:numPr>
        <w:spacing w:after="240"/>
        <w:ind w:left="0" w:firstLine="0"/>
        <w:jc w:val="both"/>
        <w:outlineLvl w:val="1"/>
        <w:rPr>
          <w:b/>
          <w:bCs/>
          <w:sz w:val="20"/>
          <w:szCs w:val="20"/>
          <w:lang w:val="es-ES_tradnl"/>
        </w:rPr>
      </w:pPr>
      <w:bookmarkStart w:id="32" w:name="_Toc78370164"/>
      <w:bookmarkStart w:id="33" w:name="_Toc203382202"/>
      <w:r w:rsidRPr="00C7542C">
        <w:rPr>
          <w:b/>
          <w:bCs/>
          <w:sz w:val="20"/>
          <w:szCs w:val="20"/>
          <w:lang w:val="es-ES_tradnl"/>
        </w:rPr>
        <w:lastRenderedPageBreak/>
        <w:t>Plazo de presentación de la petición</w:t>
      </w:r>
      <w:bookmarkEnd w:id="32"/>
      <w:bookmarkEnd w:id="33"/>
      <w:r w:rsidRPr="00C7542C">
        <w:rPr>
          <w:b/>
          <w:bCs/>
          <w:sz w:val="20"/>
          <w:szCs w:val="20"/>
          <w:lang w:val="es-ES_tradnl"/>
        </w:rPr>
        <w:t xml:space="preserve"> </w:t>
      </w:r>
    </w:p>
    <w:p w14:paraId="50BC8C89" w14:textId="4D8EA254"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La Comisión observa que, en este caso, el plazo de seis meses exigido por el artículo 46.1.b de la Convención debe evaluado a la luz de la notificación de la sentencia de la Corte Suprema de Justicia de la Nación de fecha 11 de noviembre de 2003, por medio de la cual se rechazó el recurso de queja interpuesto por los abogados de la presunta víctima. Ello es así, toda vez que, si bien se trata de un recurso de carácter extraordinario, dicha instancia generó en la parte peticionaria una expectativa razonable de obtener un resultado favorable</w:t>
      </w:r>
      <w:r w:rsidR="001F2165">
        <w:rPr>
          <w:rStyle w:val="FootnoteReference"/>
          <w:sz w:val="20"/>
          <w:szCs w:val="20"/>
          <w:lang w:val="es-ES_tradnl"/>
        </w:rPr>
        <w:footnoteReference w:id="17"/>
      </w:r>
      <w:r w:rsidRPr="00C7542C">
        <w:rPr>
          <w:sz w:val="20"/>
          <w:szCs w:val="20"/>
          <w:lang w:val="es-ES_tradnl"/>
        </w:rPr>
        <w:t xml:space="preserve">. </w:t>
      </w:r>
    </w:p>
    <w:p w14:paraId="6C6847A6" w14:textId="77777777" w:rsidR="007B0E80" w:rsidRPr="00C7542C" w:rsidRDefault="007B0E80" w:rsidP="007B0E80">
      <w:pPr>
        <w:pStyle w:val="ListParagraph"/>
        <w:tabs>
          <w:tab w:val="left" w:pos="567"/>
        </w:tabs>
        <w:ind w:left="0"/>
        <w:jc w:val="both"/>
        <w:rPr>
          <w:sz w:val="20"/>
          <w:szCs w:val="20"/>
          <w:lang w:val="es-ES_tradnl"/>
        </w:rPr>
      </w:pPr>
    </w:p>
    <w:p w14:paraId="77918A03" w14:textId="77777777" w:rsidR="007B0E80" w:rsidRPr="00C7542C" w:rsidRDefault="007B0E80" w:rsidP="007B0E80">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Respecto a la fecha de notificación de la decisión de la Corte Suprema, la Comisión resalta que fue practicada el día 13 de noviembre de 2003 mediante cedula 55637/03</w:t>
      </w:r>
      <w:r w:rsidRPr="00C7542C">
        <w:rPr>
          <w:rStyle w:val="FootnoteReference"/>
          <w:sz w:val="20"/>
          <w:szCs w:val="20"/>
          <w:lang w:val="es-ES_tradnl"/>
        </w:rPr>
        <w:footnoteReference w:id="18"/>
      </w:r>
      <w:r w:rsidRPr="00C7542C">
        <w:rPr>
          <w:sz w:val="20"/>
          <w:szCs w:val="20"/>
          <w:lang w:val="es-ES_tradnl"/>
        </w:rPr>
        <w:t>. Asimismo, la CIDH nota que la parte peticionaria envió su denuncia por vía postal, la cual fue recibida en las oficinas de la Comisión el 12 de mayo de 2004. En consecuencia, la Comisión concluye que el peticionario cumplió con el plazo de seis meses exigido por el artículo 46.1.b de la Convención</w:t>
      </w:r>
      <w:r w:rsidRPr="00C7542C">
        <w:rPr>
          <w:rStyle w:val="FootnoteReference"/>
          <w:sz w:val="20"/>
          <w:szCs w:val="20"/>
          <w:lang w:val="es-ES_tradnl"/>
        </w:rPr>
        <w:footnoteReference w:id="19"/>
      </w:r>
      <w:r w:rsidRPr="00C7542C">
        <w:rPr>
          <w:sz w:val="20"/>
          <w:szCs w:val="20"/>
          <w:lang w:val="es-ES_tradnl"/>
        </w:rPr>
        <w:t>.</w:t>
      </w:r>
      <w:r w:rsidRPr="00C7542C" w:rsidDel="00FA6F72">
        <w:rPr>
          <w:sz w:val="20"/>
          <w:szCs w:val="20"/>
          <w:lang w:val="es-ES_tradnl"/>
        </w:rPr>
        <w:t xml:space="preserve"> </w:t>
      </w:r>
    </w:p>
    <w:p w14:paraId="256885B6" w14:textId="77777777" w:rsidR="007B0E80" w:rsidRPr="00C7542C" w:rsidRDefault="007B0E80" w:rsidP="007B0E80">
      <w:pPr>
        <w:pStyle w:val="ListParagraph"/>
        <w:tabs>
          <w:tab w:val="left" w:pos="567"/>
        </w:tabs>
        <w:ind w:left="0"/>
        <w:jc w:val="both"/>
        <w:rPr>
          <w:sz w:val="20"/>
          <w:szCs w:val="20"/>
          <w:lang w:val="es-ES_tradnl"/>
        </w:rPr>
      </w:pPr>
    </w:p>
    <w:p w14:paraId="35DE4AE5" w14:textId="77777777" w:rsidR="007B0E80" w:rsidRPr="00C7542C" w:rsidRDefault="007B0E80" w:rsidP="006C6B75">
      <w:pPr>
        <w:pStyle w:val="ListParagraph"/>
        <w:numPr>
          <w:ilvl w:val="0"/>
          <w:numId w:val="3"/>
        </w:numPr>
        <w:jc w:val="both"/>
        <w:outlineLvl w:val="1"/>
        <w:rPr>
          <w:b/>
          <w:sz w:val="20"/>
          <w:szCs w:val="20"/>
          <w:lang w:val="es-ES_tradnl"/>
        </w:rPr>
      </w:pPr>
      <w:bookmarkStart w:id="35" w:name="_Toc78370165"/>
      <w:bookmarkStart w:id="36" w:name="_Toc203382203"/>
      <w:r w:rsidRPr="00C7542C">
        <w:rPr>
          <w:b/>
          <w:sz w:val="20"/>
          <w:szCs w:val="20"/>
          <w:lang w:val="es-ES_tradnl"/>
        </w:rPr>
        <w:t>Caracterización de los hechos alegados</w:t>
      </w:r>
      <w:bookmarkEnd w:id="35"/>
      <w:bookmarkEnd w:id="36"/>
      <w:r w:rsidRPr="00C7542C">
        <w:rPr>
          <w:b/>
          <w:sz w:val="20"/>
          <w:szCs w:val="20"/>
          <w:lang w:val="es-ES_tradnl"/>
        </w:rPr>
        <w:t xml:space="preserve"> </w:t>
      </w:r>
    </w:p>
    <w:p w14:paraId="2BEBFA60" w14:textId="77777777" w:rsidR="007B0E80" w:rsidRPr="00C7542C" w:rsidRDefault="007B0E80" w:rsidP="007B0E80">
      <w:pPr>
        <w:rPr>
          <w:lang w:val="es-ES_tradnl"/>
        </w:rPr>
      </w:pPr>
    </w:p>
    <w:p w14:paraId="4F4F679E" w14:textId="37F34CA9" w:rsidR="00DE1DCB" w:rsidRPr="00C7542C" w:rsidRDefault="007B0E80" w:rsidP="00361F6B">
      <w:pPr>
        <w:pStyle w:val="ListParagraph"/>
        <w:numPr>
          <w:ilvl w:val="0"/>
          <w:numId w:val="2"/>
        </w:numPr>
        <w:tabs>
          <w:tab w:val="left" w:pos="567"/>
        </w:tabs>
        <w:ind w:left="0" w:firstLine="0"/>
        <w:jc w:val="both"/>
        <w:rPr>
          <w:sz w:val="20"/>
          <w:szCs w:val="20"/>
          <w:lang w:val="es-ES_tradnl"/>
        </w:rPr>
      </w:pPr>
      <w:r w:rsidRPr="00C7542C">
        <w:rPr>
          <w:rFonts w:eastAsia="Calibri"/>
          <w:sz w:val="20"/>
          <w:szCs w:val="20"/>
          <w:lang w:val="es-ES"/>
        </w:rPr>
        <w:t>La Comisión considera que, de resultar probados, los hechos expuestos por la parte peticionaria podrían representar una violación a los derechos contemplados en los artículos 7, 8.2.h, 9 y 19 de la Convención Americana sobre Derechos Humanos, en relación con sus artículos 1.1 y 2 del mismo instrumento, en perjuicio de Diego Armando Pacheco.</w:t>
      </w:r>
    </w:p>
    <w:p w14:paraId="5D3D22CC" w14:textId="77777777" w:rsidR="007B0E80" w:rsidRPr="00C7542C" w:rsidRDefault="007B0E80" w:rsidP="007B0E80">
      <w:pPr>
        <w:pStyle w:val="ListParagraph"/>
        <w:tabs>
          <w:tab w:val="left" w:pos="567"/>
        </w:tabs>
        <w:ind w:left="0"/>
        <w:jc w:val="both"/>
        <w:rPr>
          <w:sz w:val="20"/>
          <w:szCs w:val="20"/>
          <w:lang w:val="es-ES_tradnl"/>
        </w:rPr>
      </w:pPr>
    </w:p>
    <w:p w14:paraId="711C7614" w14:textId="7301B92D" w:rsidR="006C28E2" w:rsidRPr="00C7542C" w:rsidRDefault="00304377" w:rsidP="006C6B75">
      <w:pPr>
        <w:pStyle w:val="Heading1"/>
        <w:numPr>
          <w:ilvl w:val="0"/>
          <w:numId w:val="6"/>
        </w:numPr>
        <w:ind w:left="0" w:firstLine="0"/>
        <w:rPr>
          <w:bCs/>
        </w:rPr>
      </w:pPr>
      <w:bookmarkStart w:id="37" w:name="_Toc78370166"/>
      <w:bookmarkStart w:id="38" w:name="_Toc203382204"/>
      <w:bookmarkStart w:id="39" w:name="_Toc40962121"/>
      <w:bookmarkStart w:id="40" w:name="_Toc42679770"/>
      <w:r w:rsidRPr="00C7542C">
        <w:t>DETERMINACIONES DE HECHO</w:t>
      </w:r>
      <w:bookmarkEnd w:id="37"/>
      <w:bookmarkEnd w:id="38"/>
      <w:r w:rsidRPr="00C7542C">
        <w:t xml:space="preserve"> </w:t>
      </w:r>
    </w:p>
    <w:p w14:paraId="2429EED5" w14:textId="77BC220A" w:rsidR="00275F19" w:rsidRPr="00C7542C" w:rsidRDefault="00275F19" w:rsidP="00275F19">
      <w:pPr>
        <w:rPr>
          <w:sz w:val="20"/>
          <w:szCs w:val="20"/>
          <w:lang w:val="es-ES_tradnl" w:eastAsia="es-ES"/>
        </w:rPr>
      </w:pPr>
    </w:p>
    <w:p w14:paraId="0772D079" w14:textId="6F90B1D7" w:rsidR="00275F19" w:rsidRPr="00C7542C" w:rsidRDefault="00275F19" w:rsidP="006C6B75">
      <w:pPr>
        <w:pStyle w:val="Heading2"/>
        <w:numPr>
          <w:ilvl w:val="0"/>
          <w:numId w:val="7"/>
        </w:numPr>
      </w:pPr>
      <w:bookmarkStart w:id="41" w:name="_Toc78370167"/>
      <w:bookmarkStart w:id="42" w:name="_Toc203382205"/>
      <w:r w:rsidRPr="00C7542C">
        <w:t>Sobre el proceso penal seguido contra el peticionario</w:t>
      </w:r>
      <w:bookmarkEnd w:id="41"/>
      <w:bookmarkEnd w:id="42"/>
      <w:r w:rsidRPr="00C7542C">
        <w:t xml:space="preserve"> </w:t>
      </w:r>
    </w:p>
    <w:p w14:paraId="482625C4" w14:textId="77777777" w:rsidR="006C28E2" w:rsidRPr="00C7542C" w:rsidRDefault="006C28E2" w:rsidP="00815166">
      <w:pPr>
        <w:rPr>
          <w:sz w:val="20"/>
          <w:szCs w:val="20"/>
          <w:lang w:val="es-ES_tradnl" w:eastAsia="es-ES"/>
        </w:rPr>
      </w:pPr>
    </w:p>
    <w:p w14:paraId="1FE37535" w14:textId="6C237B88" w:rsidR="00A169E0" w:rsidRPr="00C7542C" w:rsidRDefault="002B5D7B" w:rsidP="00815166">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El </w:t>
      </w:r>
      <w:r w:rsidR="006C28E2" w:rsidRPr="00C7542C">
        <w:rPr>
          <w:sz w:val="20"/>
          <w:szCs w:val="20"/>
          <w:lang w:val="es-ES_tradnl"/>
        </w:rPr>
        <w:t xml:space="preserve">19 de mayo de 2000 la </w:t>
      </w:r>
      <w:r w:rsidR="00A169E0" w:rsidRPr="00C7542C">
        <w:rPr>
          <w:sz w:val="20"/>
          <w:szCs w:val="20"/>
          <w:lang w:val="es-ES_tradnl"/>
        </w:rPr>
        <w:t>Cámara</w:t>
      </w:r>
      <w:r w:rsidR="006C28E2" w:rsidRPr="00C7542C">
        <w:rPr>
          <w:sz w:val="20"/>
          <w:szCs w:val="20"/>
          <w:lang w:val="es-ES_tradnl"/>
        </w:rPr>
        <w:t xml:space="preserve"> Primera en lo Criminal de la Circunscripción Judicial de Comodoro Rivadavia dictó sentencia</w:t>
      </w:r>
      <w:r w:rsidR="00A169E0" w:rsidRPr="00C7542C">
        <w:rPr>
          <w:sz w:val="20"/>
          <w:szCs w:val="20"/>
          <w:lang w:val="es-ES_tradnl"/>
        </w:rPr>
        <w:t xml:space="preserve"> en el proceso penal seguido contra la presunta </w:t>
      </w:r>
      <w:r w:rsidR="00361F6B" w:rsidRPr="00C7542C">
        <w:rPr>
          <w:sz w:val="20"/>
          <w:szCs w:val="20"/>
          <w:lang w:val="es-ES_tradnl"/>
        </w:rPr>
        <w:t>víctima</w:t>
      </w:r>
      <w:r w:rsidR="00A169E0" w:rsidRPr="00C7542C">
        <w:rPr>
          <w:sz w:val="20"/>
          <w:szCs w:val="20"/>
          <w:lang w:val="es-ES_tradnl"/>
        </w:rPr>
        <w:t xml:space="preserve"> por el delito de homicidio</w:t>
      </w:r>
      <w:r w:rsidR="00D12B52" w:rsidRPr="00C7542C">
        <w:rPr>
          <w:sz w:val="20"/>
          <w:szCs w:val="20"/>
          <w:lang w:val="es-ES_tradnl"/>
        </w:rPr>
        <w:t xml:space="preserve"> simple</w:t>
      </w:r>
      <w:r w:rsidR="007E48FB" w:rsidRPr="00C7542C">
        <w:rPr>
          <w:sz w:val="20"/>
          <w:szCs w:val="20"/>
          <w:lang w:val="es-ES_tradnl"/>
        </w:rPr>
        <w:t xml:space="preserve">. En dicho pronunciamiento, el </w:t>
      </w:r>
      <w:r w:rsidR="0031262A" w:rsidRPr="00C7542C">
        <w:rPr>
          <w:sz w:val="20"/>
          <w:szCs w:val="20"/>
          <w:lang w:val="es-ES_tradnl"/>
        </w:rPr>
        <w:t>T</w:t>
      </w:r>
      <w:r w:rsidR="007E48FB" w:rsidRPr="00C7542C">
        <w:rPr>
          <w:sz w:val="20"/>
          <w:szCs w:val="20"/>
          <w:lang w:val="es-ES_tradnl"/>
        </w:rPr>
        <w:t>ribunal declaró</w:t>
      </w:r>
      <w:r w:rsidR="00A169E0" w:rsidRPr="00C7542C">
        <w:rPr>
          <w:sz w:val="20"/>
          <w:szCs w:val="20"/>
          <w:lang w:val="es-ES_tradnl"/>
        </w:rPr>
        <w:t xml:space="preserve"> “la responsabilidad penal del menor Diego Armando Pacheco conforme al régimen penal de minoridad (</w:t>
      </w:r>
      <w:r w:rsidR="00361F6B" w:rsidRPr="00C7542C">
        <w:rPr>
          <w:sz w:val="20"/>
          <w:szCs w:val="20"/>
          <w:lang w:val="es-ES_tradnl"/>
        </w:rPr>
        <w:t>arts.</w:t>
      </w:r>
      <w:r w:rsidR="00A169E0" w:rsidRPr="00C7542C">
        <w:rPr>
          <w:sz w:val="20"/>
          <w:szCs w:val="20"/>
          <w:lang w:val="es-ES_tradnl"/>
        </w:rPr>
        <w:t xml:space="preserve"> 2°</w:t>
      </w:r>
      <w:r w:rsidR="00D12B52" w:rsidRPr="00C7542C">
        <w:rPr>
          <w:rStyle w:val="FootnoteReference"/>
          <w:sz w:val="20"/>
          <w:szCs w:val="20"/>
          <w:lang w:val="es-ES_tradnl"/>
        </w:rPr>
        <w:footnoteReference w:id="20"/>
      </w:r>
      <w:r w:rsidR="00A169E0" w:rsidRPr="00C7542C">
        <w:rPr>
          <w:sz w:val="20"/>
          <w:szCs w:val="20"/>
          <w:lang w:val="es-ES_tradnl"/>
        </w:rPr>
        <w:t xml:space="preserve">, 4°, </w:t>
      </w:r>
      <w:r w:rsidR="00BF21DE" w:rsidRPr="00C7542C">
        <w:rPr>
          <w:sz w:val="20"/>
          <w:szCs w:val="20"/>
          <w:lang w:val="es-ES_tradnl"/>
        </w:rPr>
        <w:t>inc.</w:t>
      </w:r>
      <w:r w:rsidR="00A169E0" w:rsidRPr="00C7542C">
        <w:rPr>
          <w:sz w:val="20"/>
          <w:szCs w:val="20"/>
          <w:lang w:val="es-ES_tradnl"/>
        </w:rPr>
        <w:t xml:space="preserve"> 1</w:t>
      </w:r>
      <w:r w:rsidR="00D12B52" w:rsidRPr="00C7542C">
        <w:rPr>
          <w:rStyle w:val="FootnoteReference"/>
          <w:sz w:val="20"/>
          <w:szCs w:val="20"/>
          <w:lang w:val="es-ES_tradnl"/>
        </w:rPr>
        <w:footnoteReference w:id="21"/>
      </w:r>
      <w:r w:rsidR="00D12B52" w:rsidRPr="00C7542C">
        <w:rPr>
          <w:sz w:val="20"/>
          <w:szCs w:val="20"/>
          <w:lang w:val="es-ES_tradnl"/>
        </w:rPr>
        <w:t xml:space="preserve"> </w:t>
      </w:r>
      <w:r w:rsidR="00A169E0" w:rsidRPr="00C7542C">
        <w:rPr>
          <w:sz w:val="20"/>
          <w:szCs w:val="20"/>
          <w:lang w:val="es-ES_tradnl"/>
        </w:rPr>
        <w:t xml:space="preserve">y cc </w:t>
      </w:r>
      <w:r w:rsidR="00F43277" w:rsidRPr="00C7542C">
        <w:rPr>
          <w:sz w:val="20"/>
          <w:szCs w:val="20"/>
          <w:lang w:val="es-ES_tradnl"/>
        </w:rPr>
        <w:t>L</w:t>
      </w:r>
      <w:r w:rsidR="00A169E0" w:rsidRPr="00C7542C">
        <w:rPr>
          <w:sz w:val="20"/>
          <w:szCs w:val="20"/>
          <w:lang w:val="es-ES_tradnl"/>
        </w:rPr>
        <w:t>ey 22.278, t.o. 22.803) teniendo en cuenta que al momento del hecho contaba con diecisiete años de edad</w:t>
      </w:r>
      <w:r w:rsidR="007E48FB" w:rsidRPr="00C7542C">
        <w:rPr>
          <w:sz w:val="20"/>
          <w:szCs w:val="20"/>
          <w:lang w:val="es-ES_tradnl"/>
        </w:rPr>
        <w:t>”</w:t>
      </w:r>
      <w:r w:rsidR="00D12B52" w:rsidRPr="00C7542C">
        <w:rPr>
          <w:rStyle w:val="FootnoteReference"/>
          <w:sz w:val="20"/>
          <w:szCs w:val="20"/>
          <w:lang w:val="es-ES_tradnl"/>
        </w:rPr>
        <w:footnoteReference w:id="22"/>
      </w:r>
      <w:r w:rsidR="00A169E0" w:rsidRPr="00C7542C">
        <w:rPr>
          <w:sz w:val="20"/>
          <w:szCs w:val="20"/>
          <w:lang w:val="es-ES_tradnl"/>
        </w:rPr>
        <w:t>.</w:t>
      </w:r>
      <w:r w:rsidR="00D12B52" w:rsidRPr="00C7542C">
        <w:rPr>
          <w:sz w:val="20"/>
          <w:szCs w:val="20"/>
          <w:lang w:val="es-ES_tradnl"/>
        </w:rPr>
        <w:t xml:space="preserve"> </w:t>
      </w:r>
      <w:r w:rsidR="0031262A" w:rsidRPr="00C7542C">
        <w:rPr>
          <w:sz w:val="20"/>
          <w:szCs w:val="20"/>
          <w:lang w:val="es-ES_tradnl"/>
        </w:rPr>
        <w:t xml:space="preserve">En el mismo acto, el Tribunal </w:t>
      </w:r>
      <w:r w:rsidR="0031262A" w:rsidRPr="00C7542C">
        <w:rPr>
          <w:sz w:val="20"/>
          <w:szCs w:val="20"/>
          <w:lang w:val="es-ES_tradnl"/>
        </w:rPr>
        <w:lastRenderedPageBreak/>
        <w:t>dispuso “someter a Diego Armado Pacheco a tratamiento tutelar hasta su mayoría de edad bajo la supervisión de la Asesora Civil de Familia e Incapaces…”</w:t>
      </w:r>
      <w:r w:rsidR="00D12B52" w:rsidRPr="00C7542C">
        <w:rPr>
          <w:rStyle w:val="FootnoteReference"/>
          <w:sz w:val="20"/>
          <w:szCs w:val="20"/>
          <w:lang w:val="es-ES_tradnl"/>
        </w:rPr>
        <w:footnoteReference w:id="23"/>
      </w:r>
      <w:r w:rsidR="00D12B52" w:rsidRPr="00C7542C">
        <w:rPr>
          <w:sz w:val="20"/>
          <w:szCs w:val="20"/>
          <w:lang w:val="es-ES_tradnl"/>
        </w:rPr>
        <w:t xml:space="preserve">. </w:t>
      </w:r>
    </w:p>
    <w:p w14:paraId="6675D7D0" w14:textId="77777777" w:rsidR="00815166" w:rsidRPr="00C7542C" w:rsidRDefault="00815166" w:rsidP="00815166">
      <w:pPr>
        <w:pStyle w:val="ListParagraph"/>
        <w:tabs>
          <w:tab w:val="left" w:pos="567"/>
        </w:tabs>
        <w:ind w:left="0"/>
        <w:jc w:val="both"/>
        <w:rPr>
          <w:sz w:val="20"/>
          <w:szCs w:val="20"/>
          <w:lang w:val="es-ES_tradnl"/>
        </w:rPr>
      </w:pPr>
    </w:p>
    <w:p w14:paraId="1725F09E" w14:textId="006AED54" w:rsidR="00D12B52" w:rsidRPr="00A901C2" w:rsidRDefault="00D12B52" w:rsidP="00815166">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Posteriormente, con fecha 17 de septiembre de 200</w:t>
      </w:r>
      <w:r w:rsidR="00A50768" w:rsidRPr="00C7542C">
        <w:rPr>
          <w:sz w:val="20"/>
          <w:szCs w:val="20"/>
          <w:lang w:val="es-ES_tradnl"/>
        </w:rPr>
        <w:t>2</w:t>
      </w:r>
      <w:r w:rsidRPr="00C7542C">
        <w:rPr>
          <w:sz w:val="20"/>
          <w:szCs w:val="20"/>
          <w:lang w:val="es-ES_tradnl"/>
        </w:rPr>
        <w:t xml:space="preserve"> la Cámara Primera en lo Criminal de la Circunscripción Judicial de Comodoro Rivadavia</w:t>
      </w:r>
      <w:r w:rsidR="00166786" w:rsidRPr="00C7542C">
        <w:rPr>
          <w:sz w:val="20"/>
          <w:szCs w:val="20"/>
          <w:lang w:val="es-ES_tradnl"/>
        </w:rPr>
        <w:t xml:space="preserve"> decidió</w:t>
      </w:r>
      <w:r w:rsidRPr="00C7542C">
        <w:rPr>
          <w:sz w:val="20"/>
          <w:szCs w:val="20"/>
          <w:lang w:val="es-ES_tradnl"/>
        </w:rPr>
        <w:t xml:space="preserve"> por </w:t>
      </w:r>
      <w:r w:rsidR="00166786" w:rsidRPr="00C7542C">
        <w:rPr>
          <w:sz w:val="20"/>
          <w:szCs w:val="20"/>
          <w:lang w:val="es-ES_tradnl"/>
        </w:rPr>
        <w:t>unanimidad</w:t>
      </w:r>
      <w:r w:rsidRPr="00C7542C">
        <w:rPr>
          <w:sz w:val="20"/>
          <w:szCs w:val="20"/>
          <w:lang w:val="es-ES_tradnl"/>
        </w:rPr>
        <w:t xml:space="preserve"> imponer a Diego Armando </w:t>
      </w:r>
      <w:r w:rsidR="00166786" w:rsidRPr="00C7542C">
        <w:rPr>
          <w:sz w:val="20"/>
          <w:szCs w:val="20"/>
          <w:lang w:val="es-ES_tradnl"/>
        </w:rPr>
        <w:t>Pacheco</w:t>
      </w:r>
      <w:r w:rsidRPr="00C7542C">
        <w:rPr>
          <w:sz w:val="20"/>
          <w:szCs w:val="20"/>
          <w:lang w:val="es-ES_tradnl"/>
        </w:rPr>
        <w:t xml:space="preserve"> la pena de cuatro años de prisión, accesorias legales y costas por el delito de homici</w:t>
      </w:r>
      <w:r w:rsidR="00166786" w:rsidRPr="00C7542C">
        <w:rPr>
          <w:sz w:val="20"/>
          <w:szCs w:val="20"/>
          <w:lang w:val="es-ES_tradnl"/>
        </w:rPr>
        <w:t>di</w:t>
      </w:r>
      <w:r w:rsidRPr="00C7542C">
        <w:rPr>
          <w:sz w:val="20"/>
          <w:szCs w:val="20"/>
          <w:lang w:val="es-ES_tradnl"/>
        </w:rPr>
        <w:t xml:space="preserve">o simple por el que fuera declarado responsable por medio de la sentencia de fecha 19 de mayo de 2000. Para decidir de esta manera, los jueces sostuvieron que </w:t>
      </w:r>
      <w:r w:rsidR="00166786" w:rsidRPr="00C7542C">
        <w:rPr>
          <w:sz w:val="20"/>
          <w:szCs w:val="20"/>
          <w:lang w:val="es-ES_tradnl"/>
        </w:rPr>
        <w:t>se encontraban cumpl</w:t>
      </w:r>
      <w:r w:rsidR="00166786" w:rsidRPr="00A901C2">
        <w:rPr>
          <w:sz w:val="20"/>
          <w:szCs w:val="20"/>
          <w:lang w:val="es-ES_tradnl"/>
        </w:rPr>
        <w:t>idos “todos los requisitos que establece el art. 4 de la ley 22.278 y además de ello ha sido evaluado el hecho que motivó la declaración de responsabilidad, los antecedentes del menor, las circunstancias personales, el resultado del tratamiento tutelar y la impresión causada”</w:t>
      </w:r>
      <w:r w:rsidR="00166786" w:rsidRPr="00A901C2">
        <w:rPr>
          <w:rStyle w:val="FootnoteReference"/>
          <w:sz w:val="20"/>
          <w:szCs w:val="20"/>
          <w:lang w:val="es-ES_tradnl"/>
        </w:rPr>
        <w:footnoteReference w:id="24"/>
      </w:r>
      <w:r w:rsidR="00166786" w:rsidRPr="00A901C2">
        <w:rPr>
          <w:sz w:val="20"/>
          <w:szCs w:val="20"/>
          <w:lang w:val="es-ES_tradnl"/>
        </w:rPr>
        <w:t xml:space="preserve">. </w:t>
      </w:r>
    </w:p>
    <w:p w14:paraId="5EA89A9F" w14:textId="77777777" w:rsidR="00815166" w:rsidRPr="00C7542C" w:rsidRDefault="00815166" w:rsidP="00815166">
      <w:pPr>
        <w:pStyle w:val="ListParagraph"/>
        <w:tabs>
          <w:tab w:val="left" w:pos="567"/>
        </w:tabs>
        <w:ind w:left="0"/>
        <w:jc w:val="both"/>
        <w:rPr>
          <w:sz w:val="20"/>
          <w:szCs w:val="20"/>
          <w:lang w:val="es-ES_tradnl"/>
        </w:rPr>
      </w:pPr>
    </w:p>
    <w:p w14:paraId="6C607784" w14:textId="6CBD7231" w:rsidR="00314D26" w:rsidRPr="00C7542C" w:rsidRDefault="00166786" w:rsidP="00815166">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De manera concreta, en el voto de uno de los magistrados</w:t>
      </w:r>
      <w:r w:rsidR="008060C8" w:rsidRPr="00C7542C">
        <w:rPr>
          <w:sz w:val="20"/>
          <w:szCs w:val="20"/>
          <w:lang w:val="es-ES_tradnl"/>
        </w:rPr>
        <w:t xml:space="preserve"> - </w:t>
      </w:r>
      <w:r w:rsidRPr="00C7542C">
        <w:rPr>
          <w:sz w:val="20"/>
          <w:szCs w:val="20"/>
          <w:lang w:val="es-ES_tradnl"/>
        </w:rPr>
        <w:t xml:space="preserve"> el cual </w:t>
      </w:r>
      <w:r w:rsidR="008060C8" w:rsidRPr="00C7542C">
        <w:rPr>
          <w:sz w:val="20"/>
          <w:szCs w:val="20"/>
          <w:lang w:val="es-ES_tradnl"/>
        </w:rPr>
        <w:t>comparte en esencia las conclusiones arribadas por sus dos colegas, se argumentó que – “</w:t>
      </w:r>
      <w:r w:rsidRPr="00C7542C">
        <w:rPr>
          <w:sz w:val="20"/>
          <w:szCs w:val="20"/>
          <w:lang w:val="es-ES_tradnl"/>
        </w:rPr>
        <w:t>en relación a la modalidad del hecho atribuido</w:t>
      </w:r>
      <w:r w:rsidR="008060C8" w:rsidRPr="00C7542C">
        <w:rPr>
          <w:sz w:val="20"/>
          <w:szCs w:val="20"/>
          <w:lang w:val="es-ES_tradnl"/>
        </w:rPr>
        <w:t xml:space="preserve">, no puedo dejar de considerar que se trata de un acto gravísimo ya que dio muerte a un semejante en circunstancia de encontrarse reunido con varias personas y luego de beber en abundancia </w:t>
      </w:r>
      <w:r w:rsidR="008060C8" w:rsidRPr="00C7542C">
        <w:rPr>
          <w:sz w:val="20"/>
          <w:szCs w:val="20"/>
          <w:lang w:val="es-ES_tradnl"/>
        </w:rPr>
        <w:sym w:font="Symbol" w:char="F05B"/>
      </w:r>
      <w:r w:rsidR="008060C8" w:rsidRPr="00C7542C">
        <w:rPr>
          <w:sz w:val="20"/>
          <w:szCs w:val="20"/>
          <w:lang w:val="es-ES_tradnl"/>
        </w:rPr>
        <w:t>…</w:t>
      </w:r>
      <w:r w:rsidR="008060C8" w:rsidRPr="00C7542C">
        <w:rPr>
          <w:sz w:val="20"/>
          <w:szCs w:val="20"/>
          <w:lang w:val="es-ES_tradnl"/>
        </w:rPr>
        <w:sym w:font="Symbol" w:char="F05D"/>
      </w:r>
      <w:r w:rsidR="008060C8" w:rsidRPr="00C7542C">
        <w:rPr>
          <w:sz w:val="20"/>
          <w:szCs w:val="20"/>
          <w:lang w:val="es-ES_tradnl"/>
        </w:rPr>
        <w:t xml:space="preserve"> En cuanto a la impresión directa recogida debo destacar que no advertí una internalización del suceso pese a alguna referencia del joven a que habría hablado con familiares de la </w:t>
      </w:r>
      <w:r w:rsidR="00361F6B" w:rsidRPr="00C7542C">
        <w:rPr>
          <w:sz w:val="20"/>
          <w:szCs w:val="20"/>
          <w:lang w:val="es-ES_tradnl"/>
        </w:rPr>
        <w:t>víctima</w:t>
      </w:r>
      <w:r w:rsidR="008060C8" w:rsidRPr="00C7542C">
        <w:rPr>
          <w:sz w:val="20"/>
          <w:szCs w:val="20"/>
          <w:lang w:val="es-ES_tradnl"/>
        </w:rPr>
        <w:t xml:space="preserve"> pidiéndole incluso perdón, no evidenciando preocupación, asunción de responsabilidad</w:t>
      </w:r>
      <w:r w:rsidR="00314D26" w:rsidRPr="00C7542C">
        <w:rPr>
          <w:sz w:val="20"/>
          <w:szCs w:val="20"/>
          <w:lang w:val="es-ES_tradnl"/>
        </w:rPr>
        <w:t>”</w:t>
      </w:r>
      <w:r w:rsidR="00314D26" w:rsidRPr="00C7542C">
        <w:rPr>
          <w:rStyle w:val="FootnoteReference"/>
          <w:sz w:val="20"/>
          <w:szCs w:val="20"/>
          <w:lang w:val="es-ES_tradnl"/>
        </w:rPr>
        <w:footnoteReference w:id="25"/>
      </w:r>
      <w:r w:rsidR="00314D26" w:rsidRPr="00C7542C">
        <w:rPr>
          <w:sz w:val="20"/>
          <w:szCs w:val="20"/>
          <w:lang w:val="es-ES_tradnl"/>
        </w:rPr>
        <w:t>.</w:t>
      </w:r>
    </w:p>
    <w:p w14:paraId="57D73EBD" w14:textId="77777777" w:rsidR="00815166" w:rsidRPr="00C7542C" w:rsidRDefault="00815166" w:rsidP="00815166">
      <w:pPr>
        <w:pStyle w:val="ListParagraph"/>
        <w:tabs>
          <w:tab w:val="left" w:pos="567"/>
        </w:tabs>
        <w:ind w:left="0"/>
        <w:jc w:val="both"/>
        <w:rPr>
          <w:sz w:val="20"/>
          <w:szCs w:val="20"/>
          <w:lang w:val="es-ES_tradnl"/>
        </w:rPr>
      </w:pPr>
    </w:p>
    <w:p w14:paraId="7640B21F" w14:textId="0A4219D2" w:rsidR="00166786" w:rsidRPr="00C7542C" w:rsidRDefault="008060C8" w:rsidP="00815166">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Finalmente, y con respecto al tratamiento tutelar impuesto por la sentencia de determinación de responsabilidad penal, </w:t>
      </w:r>
      <w:r w:rsidR="00314D26" w:rsidRPr="00C7542C">
        <w:rPr>
          <w:sz w:val="20"/>
          <w:szCs w:val="20"/>
          <w:lang w:val="es-ES_tradnl"/>
        </w:rPr>
        <w:t>los jueces sostuvieron que, de acuerdo con “los informes incorporados por lectura en el transcurso de la audiencia no puede afirmarse que arrojó un resultado positivo. Desde luego que se produjeron vicisitudes que obstaculizaron el normal desarrollo como la circunstancia de haber estado privado de libertad durante casi un año o algunas dificultades operativas como la falta de recursos para el traslado del menor para cumplir con el tratamiento psicológico, pero la discontinuidad que queda establecida con la información producida no es totalmente ajena al joven, quien ha sido reticente al tratamiento psicológico, no ha asistido a la escuela para adultos y siempre debió ser instado a cumplir con las reglas impuestas…”</w:t>
      </w:r>
      <w:r w:rsidR="00314D26" w:rsidRPr="00C7542C">
        <w:rPr>
          <w:rStyle w:val="FootnoteReference"/>
          <w:sz w:val="20"/>
          <w:szCs w:val="20"/>
          <w:lang w:val="es-ES_tradnl"/>
        </w:rPr>
        <w:footnoteReference w:id="26"/>
      </w:r>
      <w:r w:rsidR="00314D26" w:rsidRPr="00C7542C">
        <w:rPr>
          <w:sz w:val="20"/>
          <w:szCs w:val="20"/>
          <w:lang w:val="es-ES_tradnl"/>
        </w:rPr>
        <w:t xml:space="preserve">. </w:t>
      </w:r>
    </w:p>
    <w:p w14:paraId="24E54B55" w14:textId="247B563E" w:rsidR="00815166" w:rsidRPr="00C7542C" w:rsidRDefault="00815166" w:rsidP="00815166">
      <w:pPr>
        <w:pStyle w:val="ListParagraph"/>
        <w:tabs>
          <w:tab w:val="left" w:pos="567"/>
        </w:tabs>
        <w:ind w:left="0"/>
        <w:jc w:val="both"/>
        <w:rPr>
          <w:sz w:val="20"/>
          <w:szCs w:val="20"/>
          <w:lang w:val="es-ES_tradnl"/>
        </w:rPr>
      </w:pPr>
    </w:p>
    <w:p w14:paraId="2AA84F8F" w14:textId="101F0DC9" w:rsidR="00275F19" w:rsidRPr="00C7542C" w:rsidRDefault="00275F19" w:rsidP="006C6B75">
      <w:pPr>
        <w:pStyle w:val="Heading2"/>
        <w:numPr>
          <w:ilvl w:val="0"/>
          <w:numId w:val="7"/>
        </w:numPr>
        <w:jc w:val="both"/>
      </w:pPr>
      <w:bookmarkStart w:id="45" w:name="_Toc78370168"/>
      <w:bookmarkStart w:id="46" w:name="_Toc203382206"/>
      <w:r w:rsidRPr="00C7542C">
        <w:t xml:space="preserve">Sobre los </w:t>
      </w:r>
      <w:r w:rsidR="003448BE" w:rsidRPr="00C7542C">
        <w:t>recursos</w:t>
      </w:r>
      <w:r w:rsidR="004A5B5E" w:rsidRPr="00C7542C">
        <w:t xml:space="preserve"> interpuestos</w:t>
      </w:r>
      <w:r w:rsidR="003448BE" w:rsidRPr="00C7542C">
        <w:t xml:space="preserve"> frente a la sentencia de atribución de responsabilidad y de individualización de </w:t>
      </w:r>
      <w:r w:rsidR="004A5B5E" w:rsidRPr="00C7542C">
        <w:t xml:space="preserve">la </w:t>
      </w:r>
      <w:r w:rsidR="003448BE" w:rsidRPr="00C7542C">
        <w:t>pena</w:t>
      </w:r>
      <w:bookmarkEnd w:id="45"/>
      <w:bookmarkEnd w:id="46"/>
      <w:r w:rsidR="003448BE" w:rsidRPr="00C7542C">
        <w:t xml:space="preserve"> </w:t>
      </w:r>
    </w:p>
    <w:p w14:paraId="3609FD67" w14:textId="77777777" w:rsidR="003448BE" w:rsidRPr="00C7542C" w:rsidRDefault="003448BE" w:rsidP="003448BE">
      <w:pPr>
        <w:pStyle w:val="ListParagraph"/>
        <w:tabs>
          <w:tab w:val="left" w:pos="567"/>
        </w:tabs>
        <w:jc w:val="both"/>
        <w:rPr>
          <w:sz w:val="20"/>
          <w:szCs w:val="20"/>
          <w:lang w:val="es-ES_tradnl"/>
        </w:rPr>
      </w:pPr>
    </w:p>
    <w:p w14:paraId="42BE1E02" w14:textId="2FEBD0E7" w:rsidR="00B849AE" w:rsidRPr="00C7542C" w:rsidRDefault="00314D26"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Ante la decisión mencionada en los parrados precedentes, la Asesora Civil de Familia e Incapaces interpuso</w:t>
      </w:r>
      <w:r w:rsidR="004F2E75" w:rsidRPr="00C7542C">
        <w:rPr>
          <w:sz w:val="20"/>
          <w:szCs w:val="20"/>
          <w:lang w:val="es-ES_tradnl"/>
        </w:rPr>
        <w:t xml:space="preserve"> con fecha 26 de septiembre de 2002 un</w:t>
      </w:r>
      <w:r w:rsidRPr="00C7542C">
        <w:rPr>
          <w:sz w:val="20"/>
          <w:szCs w:val="20"/>
          <w:lang w:val="es-ES_tradnl"/>
        </w:rPr>
        <w:t xml:space="preserve"> recurso de casación </w:t>
      </w:r>
      <w:r w:rsidR="000D0F86" w:rsidRPr="00C7542C">
        <w:rPr>
          <w:sz w:val="20"/>
          <w:szCs w:val="20"/>
          <w:lang w:val="es-ES_tradnl"/>
        </w:rPr>
        <w:t>en</w:t>
      </w:r>
      <w:r w:rsidRPr="00C7542C">
        <w:rPr>
          <w:sz w:val="20"/>
          <w:szCs w:val="20"/>
          <w:lang w:val="es-ES_tradnl"/>
        </w:rPr>
        <w:t xml:space="preserve"> favor de Diego Armando Pacheco</w:t>
      </w:r>
      <w:r w:rsidR="005F7E19" w:rsidRPr="00C7542C">
        <w:rPr>
          <w:rStyle w:val="FootnoteReference"/>
          <w:sz w:val="20"/>
          <w:szCs w:val="20"/>
          <w:lang w:val="es-ES_tradnl"/>
        </w:rPr>
        <w:footnoteReference w:id="27"/>
      </w:r>
      <w:r w:rsidRPr="00C7542C">
        <w:rPr>
          <w:sz w:val="20"/>
          <w:szCs w:val="20"/>
          <w:lang w:val="es-ES_tradnl"/>
        </w:rPr>
        <w:t xml:space="preserve">. </w:t>
      </w:r>
      <w:r w:rsidR="004F2E75" w:rsidRPr="00C7542C">
        <w:rPr>
          <w:sz w:val="20"/>
          <w:szCs w:val="20"/>
          <w:lang w:val="es-ES_tradnl"/>
        </w:rPr>
        <w:t xml:space="preserve">De igual manera, el defensor oficial del peticionario </w:t>
      </w:r>
      <w:r w:rsidR="005F7E19" w:rsidRPr="00C7542C">
        <w:rPr>
          <w:sz w:val="20"/>
          <w:szCs w:val="20"/>
          <w:lang w:val="es-ES_tradnl"/>
        </w:rPr>
        <w:t>también</w:t>
      </w:r>
      <w:r w:rsidR="004F2E75" w:rsidRPr="00C7542C">
        <w:rPr>
          <w:sz w:val="20"/>
          <w:szCs w:val="20"/>
          <w:lang w:val="es-ES_tradnl"/>
        </w:rPr>
        <w:t xml:space="preserve"> </w:t>
      </w:r>
      <w:r w:rsidR="00361F6B" w:rsidRPr="00C7542C">
        <w:rPr>
          <w:sz w:val="20"/>
          <w:szCs w:val="20"/>
          <w:lang w:val="es-ES_tradnl"/>
        </w:rPr>
        <w:t>presentó</w:t>
      </w:r>
      <w:r w:rsidR="004F2E75" w:rsidRPr="00C7542C">
        <w:rPr>
          <w:sz w:val="20"/>
          <w:szCs w:val="20"/>
          <w:lang w:val="es-ES_tradnl"/>
        </w:rPr>
        <w:t xml:space="preserve"> un recurso de casación impugnando la condena dictada en contra de su defendido</w:t>
      </w:r>
      <w:r w:rsidR="005F7E19" w:rsidRPr="00C7542C">
        <w:rPr>
          <w:rStyle w:val="FootnoteReference"/>
          <w:sz w:val="20"/>
          <w:szCs w:val="20"/>
          <w:lang w:val="es-ES_tradnl"/>
        </w:rPr>
        <w:footnoteReference w:id="28"/>
      </w:r>
      <w:r w:rsidR="004F2E75" w:rsidRPr="00C7542C">
        <w:rPr>
          <w:sz w:val="20"/>
          <w:szCs w:val="20"/>
          <w:lang w:val="es-ES_tradnl"/>
        </w:rPr>
        <w:t xml:space="preserve">. </w:t>
      </w:r>
      <w:r w:rsidR="005F7E19" w:rsidRPr="00C7542C">
        <w:rPr>
          <w:sz w:val="20"/>
          <w:szCs w:val="20"/>
          <w:lang w:val="es-ES_tradnl"/>
        </w:rPr>
        <w:t xml:space="preserve">Ambos recursos plantearon </w:t>
      </w:r>
      <w:r w:rsidR="00866154" w:rsidRPr="00C7542C">
        <w:rPr>
          <w:sz w:val="20"/>
          <w:szCs w:val="20"/>
          <w:lang w:val="es-ES_tradnl"/>
        </w:rPr>
        <w:t xml:space="preserve">como motivo la errónea aplicación de la ley penal sustantiva. En el primero de ellos, la Asesora de Familia e Incapaces sostuvo que “el Tribunal no ha efectuado un análisis pormenorizado del tratamiento tutelar en </w:t>
      </w:r>
      <w:r w:rsidR="00361F6B" w:rsidRPr="00C7542C">
        <w:rPr>
          <w:sz w:val="20"/>
          <w:szCs w:val="20"/>
          <w:lang w:val="es-ES_tradnl"/>
        </w:rPr>
        <w:t>sí</w:t>
      </w:r>
      <w:r w:rsidR="00866154" w:rsidRPr="00C7542C">
        <w:rPr>
          <w:sz w:val="20"/>
          <w:szCs w:val="20"/>
          <w:lang w:val="es-ES_tradnl"/>
        </w:rPr>
        <w:t xml:space="preserve">, de las dificultades surgidas, ni de las características personales y culturales de mi pupilo, inobservando arbitrariamente lo preceptuado en las </w:t>
      </w:r>
      <w:r w:rsidR="00866154" w:rsidRPr="00C7542C">
        <w:rPr>
          <w:sz w:val="20"/>
          <w:szCs w:val="20"/>
          <w:lang w:val="es-ES_tradnl"/>
        </w:rPr>
        <w:lastRenderedPageBreak/>
        <w:t>normas vigentes...”</w:t>
      </w:r>
      <w:r w:rsidR="00866154" w:rsidRPr="00C7542C">
        <w:rPr>
          <w:rStyle w:val="FootnoteReference"/>
          <w:sz w:val="20"/>
          <w:szCs w:val="20"/>
          <w:lang w:val="es-ES_tradnl"/>
        </w:rPr>
        <w:footnoteReference w:id="29"/>
      </w:r>
      <w:r w:rsidR="00866154" w:rsidRPr="00C7542C">
        <w:rPr>
          <w:sz w:val="20"/>
          <w:szCs w:val="20"/>
          <w:lang w:val="es-ES_tradnl"/>
        </w:rPr>
        <w:t>. Por su parte, el Defensor Oficial planteó en su escrito que “el Tribunal ha aplicado en forma errónea la le</w:t>
      </w:r>
      <w:r w:rsidR="00692A96" w:rsidRPr="00C7542C">
        <w:rPr>
          <w:sz w:val="20"/>
          <w:szCs w:val="20"/>
          <w:lang w:val="es-ES_tradnl"/>
        </w:rPr>
        <w:t>y</w:t>
      </w:r>
      <w:r w:rsidR="00866154" w:rsidRPr="00C7542C">
        <w:rPr>
          <w:sz w:val="20"/>
          <w:szCs w:val="20"/>
          <w:lang w:val="es-ES_tradnl"/>
        </w:rPr>
        <w:t xml:space="preserve"> sustantiva al condenar a Diego Armando Pacheco a la pena de 4 años de prisión, sin previamente agotar los medios a su alcance; esto es medidas o penas alternativas </w:t>
      </w:r>
      <w:r w:rsidR="00866154" w:rsidRPr="00C7542C">
        <w:rPr>
          <w:sz w:val="20"/>
          <w:szCs w:val="20"/>
          <w:lang w:val="es-ES_tradnl"/>
        </w:rPr>
        <w:sym w:font="Symbol" w:char="F05B"/>
      </w:r>
      <w:r w:rsidR="00866154" w:rsidRPr="00C7542C">
        <w:rPr>
          <w:sz w:val="20"/>
          <w:szCs w:val="20"/>
          <w:lang w:val="es-ES_tradnl"/>
        </w:rPr>
        <w:t>…</w:t>
      </w:r>
      <w:r w:rsidR="00866154" w:rsidRPr="00C7542C">
        <w:rPr>
          <w:sz w:val="20"/>
          <w:szCs w:val="20"/>
          <w:lang w:val="es-ES_tradnl"/>
        </w:rPr>
        <w:sym w:font="Symbol" w:char="F05D"/>
      </w:r>
      <w:r w:rsidR="00866154" w:rsidRPr="00C7542C">
        <w:rPr>
          <w:sz w:val="20"/>
          <w:szCs w:val="20"/>
          <w:lang w:val="es-ES_tradnl"/>
        </w:rPr>
        <w:t xml:space="preserve"> para quien al producirse el hecho imputado contaba con 17 años de edad”</w:t>
      </w:r>
      <w:r w:rsidR="00866154" w:rsidRPr="00C7542C">
        <w:rPr>
          <w:rStyle w:val="FootnoteReference"/>
          <w:sz w:val="20"/>
          <w:szCs w:val="20"/>
          <w:lang w:val="es-ES_tradnl"/>
        </w:rPr>
        <w:footnoteReference w:id="30"/>
      </w:r>
      <w:r w:rsidR="00866154" w:rsidRPr="00C7542C">
        <w:rPr>
          <w:sz w:val="20"/>
          <w:szCs w:val="20"/>
          <w:lang w:val="es-ES_tradnl"/>
        </w:rPr>
        <w:t xml:space="preserve">. </w:t>
      </w:r>
    </w:p>
    <w:p w14:paraId="36D4858F" w14:textId="77777777" w:rsidR="00815166" w:rsidRPr="00C7542C" w:rsidRDefault="00815166" w:rsidP="003448BE">
      <w:pPr>
        <w:pStyle w:val="ListParagraph"/>
        <w:tabs>
          <w:tab w:val="left" w:pos="567"/>
        </w:tabs>
        <w:ind w:left="0"/>
        <w:jc w:val="both"/>
        <w:rPr>
          <w:sz w:val="20"/>
          <w:szCs w:val="20"/>
          <w:lang w:val="es-ES_tradnl"/>
        </w:rPr>
      </w:pPr>
    </w:p>
    <w:p w14:paraId="3B79E690" w14:textId="6D4EEF72" w:rsidR="005F7E19" w:rsidRPr="00C7542C" w:rsidRDefault="005F7E19"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El 3 de octubre de 2002 la </w:t>
      </w:r>
      <w:r w:rsidR="00815166" w:rsidRPr="00C7542C">
        <w:rPr>
          <w:sz w:val="20"/>
          <w:szCs w:val="20"/>
          <w:lang w:val="es-ES_tradnl"/>
        </w:rPr>
        <w:t>Cámara</w:t>
      </w:r>
      <w:r w:rsidRPr="00C7542C">
        <w:rPr>
          <w:sz w:val="20"/>
          <w:szCs w:val="20"/>
          <w:lang w:val="es-ES_tradnl"/>
        </w:rPr>
        <w:t xml:space="preserve"> Primera en lo Criminal </w:t>
      </w:r>
      <w:r w:rsidR="00815166" w:rsidRPr="00C7542C">
        <w:rPr>
          <w:sz w:val="20"/>
          <w:szCs w:val="20"/>
          <w:lang w:val="es-ES_tradnl"/>
        </w:rPr>
        <w:t>concedió</w:t>
      </w:r>
      <w:r w:rsidR="00692A96" w:rsidRPr="00C7542C">
        <w:rPr>
          <w:sz w:val="20"/>
          <w:szCs w:val="20"/>
          <w:lang w:val="es-ES_tradnl"/>
        </w:rPr>
        <w:t xml:space="preserve"> ambos recursos sin entrar a considerar el fondo de la cuestión</w:t>
      </w:r>
      <w:r w:rsidR="00815166" w:rsidRPr="00C7542C">
        <w:rPr>
          <w:sz w:val="20"/>
          <w:szCs w:val="20"/>
          <w:lang w:val="es-ES_tradnl"/>
        </w:rPr>
        <w:t xml:space="preserve"> y elevó las actuaciones al Superior Tribunal de Justicia de la Provincia de Chubut</w:t>
      </w:r>
      <w:r w:rsidR="00692A96" w:rsidRPr="00C7542C">
        <w:rPr>
          <w:rStyle w:val="FootnoteReference"/>
          <w:sz w:val="20"/>
          <w:szCs w:val="20"/>
          <w:lang w:val="es-ES_tradnl"/>
        </w:rPr>
        <w:footnoteReference w:id="31"/>
      </w:r>
      <w:r w:rsidR="00692A96" w:rsidRPr="00C7542C">
        <w:rPr>
          <w:sz w:val="20"/>
          <w:szCs w:val="20"/>
          <w:lang w:val="es-ES_tradnl"/>
        </w:rPr>
        <w:t>.</w:t>
      </w:r>
      <w:r w:rsidR="00815166" w:rsidRPr="00C7542C">
        <w:rPr>
          <w:sz w:val="20"/>
          <w:szCs w:val="20"/>
          <w:lang w:val="es-ES_tradnl"/>
        </w:rPr>
        <w:t xml:space="preserve"> </w:t>
      </w:r>
      <w:r w:rsidR="00BC7FAB" w:rsidRPr="00C7542C">
        <w:rPr>
          <w:sz w:val="20"/>
          <w:szCs w:val="20"/>
          <w:lang w:val="es-ES_tradnl"/>
        </w:rPr>
        <w:t>Sin embargo, p</w:t>
      </w:r>
      <w:r w:rsidR="00815166" w:rsidRPr="00C7542C">
        <w:rPr>
          <w:sz w:val="20"/>
          <w:szCs w:val="20"/>
          <w:lang w:val="es-ES_tradnl"/>
        </w:rPr>
        <w:t xml:space="preserve">or medio de sentencia de fecha 16 de diciembre de 2002, el Superior Tribunal de Justicia declaró que los recursos de casación interpuestos eran “inadmisibles”. Para decidir de este modo, el Superior Tribunal consignó que </w:t>
      </w:r>
      <w:r w:rsidR="00891BD2" w:rsidRPr="00C7542C">
        <w:rPr>
          <w:sz w:val="20"/>
          <w:szCs w:val="20"/>
          <w:lang w:val="es-ES_tradnl"/>
        </w:rPr>
        <w:t xml:space="preserve">“los Jueces del debate son soberanos en la aplicación de las circunstancias aludidas por el Régimen Penal de la </w:t>
      </w:r>
      <w:r w:rsidR="00361F6B" w:rsidRPr="00C7542C">
        <w:rPr>
          <w:sz w:val="20"/>
          <w:szCs w:val="20"/>
          <w:lang w:val="es-ES_tradnl"/>
        </w:rPr>
        <w:t>Minoridad ley</w:t>
      </w:r>
      <w:r w:rsidR="00891BD2" w:rsidRPr="00C7542C">
        <w:rPr>
          <w:sz w:val="20"/>
          <w:szCs w:val="20"/>
          <w:lang w:val="es-ES_tradnl"/>
        </w:rPr>
        <w:t xml:space="preserve"> 22.278, art 4. </w:t>
      </w:r>
      <w:r w:rsidR="00BE3524" w:rsidRPr="00C7542C">
        <w:rPr>
          <w:sz w:val="20"/>
          <w:szCs w:val="20"/>
          <w:lang w:val="es-ES_tradnl"/>
        </w:rPr>
        <w:t>a</w:t>
      </w:r>
      <w:r w:rsidR="00891BD2" w:rsidRPr="00C7542C">
        <w:rPr>
          <w:sz w:val="20"/>
          <w:szCs w:val="20"/>
          <w:lang w:val="es-ES_tradnl"/>
        </w:rPr>
        <w:t>partado segundo e in fine y por el C.P artículos 40 y 41, salvo que se alegue y demuestre absurdo en esa ponderación o que los magistrados hubiesen rebasado la escala penal fijada para el delito o trastocado la naturaleza o el alcance de ellas”</w:t>
      </w:r>
      <w:r w:rsidR="00891BD2" w:rsidRPr="00C7542C">
        <w:rPr>
          <w:rStyle w:val="FootnoteReference"/>
          <w:sz w:val="20"/>
          <w:szCs w:val="20"/>
          <w:lang w:val="es-ES_tradnl"/>
        </w:rPr>
        <w:footnoteReference w:id="32"/>
      </w:r>
      <w:r w:rsidR="00891BD2" w:rsidRPr="00C7542C">
        <w:rPr>
          <w:sz w:val="20"/>
          <w:szCs w:val="20"/>
          <w:lang w:val="es-ES_tradnl"/>
        </w:rPr>
        <w:t xml:space="preserve">. </w:t>
      </w:r>
    </w:p>
    <w:p w14:paraId="046173F1" w14:textId="77777777" w:rsidR="00BE3524" w:rsidRPr="00C7542C" w:rsidRDefault="00BE3524" w:rsidP="00BE3524">
      <w:pPr>
        <w:pStyle w:val="ListParagraph"/>
        <w:rPr>
          <w:sz w:val="20"/>
          <w:szCs w:val="20"/>
          <w:lang w:val="es-ES_tradnl"/>
        </w:rPr>
      </w:pPr>
    </w:p>
    <w:p w14:paraId="682E4303" w14:textId="2847060C" w:rsidR="005C50B9" w:rsidRPr="00C7542C" w:rsidRDefault="00BE3524"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Ante esta decisión, el Defensor General de la Provincia de Chubut, en representación de Diego Armando Pacheco, interpuso </w:t>
      </w:r>
      <w:r w:rsidR="005C50B9" w:rsidRPr="00C7542C">
        <w:rPr>
          <w:sz w:val="20"/>
          <w:szCs w:val="20"/>
          <w:lang w:val="es-ES_tradnl"/>
        </w:rPr>
        <w:t xml:space="preserve">el 3 de febrero de 2003 </w:t>
      </w:r>
      <w:r w:rsidRPr="00C7542C">
        <w:rPr>
          <w:sz w:val="20"/>
          <w:szCs w:val="20"/>
          <w:lang w:val="es-ES_tradnl"/>
        </w:rPr>
        <w:t xml:space="preserve">el recurso extraordinario federal contemplado en el </w:t>
      </w:r>
      <w:r w:rsidR="00361F6B" w:rsidRPr="00C7542C">
        <w:rPr>
          <w:sz w:val="20"/>
          <w:szCs w:val="20"/>
          <w:lang w:val="es-ES_tradnl"/>
        </w:rPr>
        <w:t>artículo</w:t>
      </w:r>
      <w:r w:rsidRPr="00C7542C">
        <w:rPr>
          <w:sz w:val="20"/>
          <w:szCs w:val="20"/>
          <w:lang w:val="es-ES_tradnl"/>
        </w:rPr>
        <w:t xml:space="preserve"> 14 de la ley 48</w:t>
      </w:r>
      <w:r w:rsidR="005C50B9" w:rsidRPr="00C7542C">
        <w:rPr>
          <w:sz w:val="20"/>
          <w:szCs w:val="20"/>
          <w:lang w:val="es-ES_tradnl"/>
        </w:rPr>
        <w:t xml:space="preserve"> por arbitrariedad de la sentencia</w:t>
      </w:r>
      <w:r w:rsidRPr="00C7542C">
        <w:rPr>
          <w:sz w:val="20"/>
          <w:szCs w:val="20"/>
          <w:lang w:val="es-ES_tradnl"/>
        </w:rPr>
        <w:t>. En este escrito, el Defensor General aleg</w:t>
      </w:r>
      <w:r w:rsidR="00AA529B" w:rsidRPr="00C7542C">
        <w:rPr>
          <w:sz w:val="20"/>
          <w:szCs w:val="20"/>
          <w:lang w:val="es-ES_tradnl"/>
        </w:rPr>
        <w:t>ó</w:t>
      </w:r>
      <w:r w:rsidRPr="00C7542C">
        <w:rPr>
          <w:sz w:val="20"/>
          <w:szCs w:val="20"/>
          <w:lang w:val="es-ES_tradnl"/>
        </w:rPr>
        <w:t xml:space="preserve"> una violación de los derechos de su representado a la doble instancia, al derecho de defensa y al debido proceso legal. </w:t>
      </w:r>
      <w:r w:rsidR="005C50B9" w:rsidRPr="00C7542C">
        <w:rPr>
          <w:sz w:val="20"/>
          <w:szCs w:val="20"/>
          <w:lang w:val="es-ES_tradnl"/>
        </w:rPr>
        <w:t>De igual forma, el recurso reiter</w:t>
      </w:r>
      <w:r w:rsidR="00781ED9">
        <w:rPr>
          <w:sz w:val="20"/>
          <w:szCs w:val="20"/>
          <w:lang w:val="es-ES_tradnl"/>
        </w:rPr>
        <w:t>ó</w:t>
      </w:r>
      <w:r w:rsidR="005C50B9" w:rsidRPr="00C7542C">
        <w:rPr>
          <w:sz w:val="20"/>
          <w:szCs w:val="20"/>
          <w:lang w:val="es-ES_tradnl"/>
        </w:rPr>
        <w:t xml:space="preserve"> los planteos relacionados con el carácter arbitrario </w:t>
      </w:r>
      <w:r w:rsidR="00781ED9">
        <w:rPr>
          <w:sz w:val="20"/>
          <w:szCs w:val="20"/>
          <w:lang w:val="es-ES_tradnl"/>
        </w:rPr>
        <w:t xml:space="preserve">de la </w:t>
      </w:r>
      <w:r w:rsidR="005C50B9" w:rsidRPr="00C7542C">
        <w:rPr>
          <w:sz w:val="20"/>
          <w:szCs w:val="20"/>
          <w:lang w:val="es-ES_tradnl"/>
        </w:rPr>
        <w:t>condena impuesta al Sr. Pacheco como consecuencia del no cumplimiento de su tratamiento tutelar</w:t>
      </w:r>
      <w:r w:rsidR="005C50B9" w:rsidRPr="00C7542C">
        <w:rPr>
          <w:rStyle w:val="FootnoteReference"/>
          <w:sz w:val="20"/>
          <w:szCs w:val="20"/>
          <w:lang w:val="es-ES_tradnl"/>
        </w:rPr>
        <w:footnoteReference w:id="33"/>
      </w:r>
      <w:r w:rsidR="005C50B9" w:rsidRPr="00C7542C">
        <w:rPr>
          <w:sz w:val="20"/>
          <w:szCs w:val="20"/>
          <w:lang w:val="es-ES_tradnl"/>
        </w:rPr>
        <w:t xml:space="preserve">. </w:t>
      </w:r>
    </w:p>
    <w:p w14:paraId="51CDB89C" w14:textId="77777777" w:rsidR="005C50B9" w:rsidRPr="00C7542C" w:rsidRDefault="005C50B9" w:rsidP="005C50B9">
      <w:pPr>
        <w:pStyle w:val="ListParagraph"/>
        <w:rPr>
          <w:sz w:val="20"/>
          <w:szCs w:val="20"/>
          <w:lang w:val="es-ES_tradnl"/>
        </w:rPr>
      </w:pPr>
    </w:p>
    <w:p w14:paraId="27370256" w14:textId="78721515" w:rsidR="00BE3524" w:rsidRPr="00C7542C" w:rsidRDefault="005C50B9"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Este recurso fue denegado por el Superior Tribunal de Justicia de la Provincia de Chubut mediante sentencia de fecha 30 de junio de 2003 toda vez que, a criterio del tribunal, no se demostró “que la decisión impugnada ha confirmado una sentencia producida dentro de un proceso ilegitimo, o que las pruebas fueron valoradas con arbitrariedad o que padece un defecto en las normas sustantivas aplicadas</w:t>
      </w:r>
      <w:r w:rsidR="00BB6289" w:rsidRPr="00C7542C">
        <w:rPr>
          <w:sz w:val="20"/>
          <w:szCs w:val="20"/>
          <w:lang w:val="es-ES_tradnl"/>
        </w:rPr>
        <w:t>”, extremos que justificarían la intervención de la Corte Suprema de Justicia de la Nación</w:t>
      </w:r>
      <w:r w:rsidRPr="00C7542C">
        <w:rPr>
          <w:sz w:val="20"/>
          <w:szCs w:val="20"/>
          <w:lang w:val="es-ES_tradnl"/>
        </w:rPr>
        <w:t xml:space="preserve"> </w:t>
      </w:r>
      <w:r w:rsidRPr="00C7542C">
        <w:rPr>
          <w:rStyle w:val="FootnoteReference"/>
          <w:sz w:val="20"/>
          <w:szCs w:val="20"/>
          <w:lang w:val="es-ES_tradnl"/>
        </w:rPr>
        <w:footnoteReference w:id="34"/>
      </w:r>
      <w:r w:rsidRPr="00C7542C">
        <w:rPr>
          <w:sz w:val="20"/>
          <w:szCs w:val="20"/>
          <w:lang w:val="es-ES_tradnl"/>
        </w:rPr>
        <w:t xml:space="preserve">. </w:t>
      </w:r>
    </w:p>
    <w:p w14:paraId="4A7C4EFC" w14:textId="77777777" w:rsidR="00AA529B" w:rsidRPr="00C7542C" w:rsidRDefault="00AA529B" w:rsidP="00AA529B">
      <w:pPr>
        <w:pStyle w:val="ListParagraph"/>
        <w:rPr>
          <w:sz w:val="20"/>
          <w:szCs w:val="20"/>
          <w:lang w:val="es-ES_tradnl"/>
        </w:rPr>
      </w:pPr>
    </w:p>
    <w:p w14:paraId="4B9FBF57" w14:textId="310B6394" w:rsidR="00AA529B" w:rsidRPr="00C7542C" w:rsidRDefault="00341957"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t xml:space="preserve">A continuación, </w:t>
      </w:r>
      <w:r w:rsidR="00AA529B" w:rsidRPr="00C7542C">
        <w:rPr>
          <w:sz w:val="20"/>
          <w:szCs w:val="20"/>
          <w:lang w:val="es-ES_tradnl"/>
        </w:rPr>
        <w:t xml:space="preserve">el Defensor General de la Provincia de Chubut interpuso ante la Corte Suprema de Justicia un recurso de queja por denegatoria de recurso extraordinario federal contra la sentencia del Superior Tribunal de Justicia de Chubut de fecha 30 de junio de 2003. En </w:t>
      </w:r>
      <w:r w:rsidR="00B171BC" w:rsidRPr="00C7542C">
        <w:rPr>
          <w:sz w:val="20"/>
          <w:szCs w:val="20"/>
          <w:lang w:val="es-ES_tradnl"/>
        </w:rPr>
        <w:t>dicho documento</w:t>
      </w:r>
      <w:r w:rsidR="00AA529B" w:rsidRPr="00C7542C">
        <w:rPr>
          <w:sz w:val="20"/>
          <w:szCs w:val="20"/>
          <w:lang w:val="es-ES_tradnl"/>
        </w:rPr>
        <w:t xml:space="preserve">, el </w:t>
      </w:r>
      <w:r w:rsidR="00B171BC" w:rsidRPr="00C7542C">
        <w:rPr>
          <w:sz w:val="20"/>
          <w:szCs w:val="20"/>
          <w:lang w:val="es-ES_tradnl"/>
        </w:rPr>
        <w:t xml:space="preserve">representante del peticionario reiteró las consideraciones expresadas en su recurso extraordinario federal y aseguró que el Superior Tribunal de Justicia de Chubut restringió de manera arbitraria el marco de la casación penal al declarar inadmisibles los recursos de casación interpuestos en tiempo y forma, lo cual habría afectado, a su criterio, el derecho de defensa en juicio y el debido proceso legal. Con respecto a la condena impuesta al Sr. Pacheco, el Defensor Oficial sostuvo que “la circunstancia de imponer pena a mi asistido en base a su supuesta inconducta en el cumplimiento </w:t>
      </w:r>
      <w:r w:rsidR="00361F6B" w:rsidRPr="00C7542C">
        <w:rPr>
          <w:sz w:val="20"/>
          <w:szCs w:val="20"/>
          <w:lang w:val="es-ES_tradnl"/>
        </w:rPr>
        <w:t>del tratamiento</w:t>
      </w:r>
      <w:r w:rsidR="00B171BC" w:rsidRPr="00C7542C">
        <w:rPr>
          <w:sz w:val="20"/>
          <w:szCs w:val="20"/>
          <w:lang w:val="es-ES_tradnl"/>
        </w:rPr>
        <w:t xml:space="preserve"> tutelar, es falaz, generando así la sentencia, una fundamentación aparente, carente de sustento factico…”</w:t>
      </w:r>
      <w:r w:rsidR="00B171BC" w:rsidRPr="00C7542C">
        <w:rPr>
          <w:rStyle w:val="FootnoteReference"/>
          <w:sz w:val="20"/>
          <w:szCs w:val="20"/>
          <w:lang w:val="es-ES_tradnl"/>
        </w:rPr>
        <w:footnoteReference w:id="35"/>
      </w:r>
      <w:r w:rsidR="00B171BC" w:rsidRPr="00C7542C">
        <w:rPr>
          <w:sz w:val="20"/>
          <w:szCs w:val="20"/>
          <w:lang w:val="es-ES_tradnl"/>
        </w:rPr>
        <w:t xml:space="preserve">. </w:t>
      </w:r>
    </w:p>
    <w:p w14:paraId="49F09335" w14:textId="77777777" w:rsidR="00B171BC" w:rsidRPr="00C7542C" w:rsidRDefault="00B171BC" w:rsidP="00B171BC">
      <w:pPr>
        <w:pStyle w:val="ListParagraph"/>
        <w:rPr>
          <w:sz w:val="20"/>
          <w:szCs w:val="20"/>
          <w:lang w:val="es-ES_tradnl"/>
        </w:rPr>
      </w:pPr>
    </w:p>
    <w:p w14:paraId="4048F520" w14:textId="782126A4" w:rsidR="00B171BC" w:rsidRPr="00C7542C" w:rsidRDefault="00341957" w:rsidP="003448BE">
      <w:pPr>
        <w:pStyle w:val="ListParagraph"/>
        <w:numPr>
          <w:ilvl w:val="0"/>
          <w:numId w:val="2"/>
        </w:numPr>
        <w:tabs>
          <w:tab w:val="left" w:pos="567"/>
        </w:tabs>
        <w:ind w:left="0" w:firstLine="0"/>
        <w:jc w:val="both"/>
        <w:rPr>
          <w:sz w:val="20"/>
          <w:szCs w:val="20"/>
          <w:lang w:val="es-ES_tradnl"/>
        </w:rPr>
      </w:pPr>
      <w:r w:rsidRPr="00C7542C">
        <w:rPr>
          <w:sz w:val="20"/>
          <w:szCs w:val="20"/>
          <w:lang w:val="es-ES_tradnl"/>
        </w:rPr>
        <w:lastRenderedPageBreak/>
        <w:t xml:space="preserve">Finalmente, la Corte Suprema de Justicia de la Nación, por medio </w:t>
      </w:r>
      <w:r w:rsidR="00361F6B" w:rsidRPr="00C7542C">
        <w:rPr>
          <w:sz w:val="20"/>
          <w:szCs w:val="20"/>
          <w:lang w:val="es-ES_tradnl"/>
        </w:rPr>
        <w:t>de sentencia</w:t>
      </w:r>
      <w:r w:rsidRPr="00C7542C">
        <w:rPr>
          <w:sz w:val="20"/>
          <w:szCs w:val="20"/>
          <w:lang w:val="es-ES_tradnl"/>
        </w:rPr>
        <w:t xml:space="preserve"> de fecha 11 de noviembre de 20</w:t>
      </w:r>
      <w:r w:rsidR="00AC4CD2" w:rsidRPr="00C7542C">
        <w:rPr>
          <w:sz w:val="20"/>
          <w:szCs w:val="20"/>
          <w:lang w:val="es-ES_tradnl"/>
        </w:rPr>
        <w:t>0</w:t>
      </w:r>
      <w:r w:rsidRPr="00C7542C">
        <w:rPr>
          <w:sz w:val="20"/>
          <w:szCs w:val="20"/>
          <w:lang w:val="es-ES_tradnl"/>
        </w:rPr>
        <w:t>3 decidió desestimar la queja interpuesta por el defensor del Sr. Pacheco por recurso extraordinario federal denegado toda vez que ella,</w:t>
      </w:r>
      <w:r w:rsidR="00AC4CD2" w:rsidRPr="00C7542C">
        <w:rPr>
          <w:sz w:val="20"/>
          <w:szCs w:val="20"/>
          <w:lang w:val="es-ES_tradnl"/>
        </w:rPr>
        <w:t xml:space="preserve"> </w:t>
      </w:r>
      <w:r w:rsidRPr="00C7542C">
        <w:rPr>
          <w:sz w:val="20"/>
          <w:szCs w:val="20"/>
          <w:lang w:val="es-ES_tradnl"/>
        </w:rPr>
        <w:t xml:space="preserve">a criterio del tribunal, había sido interpuesta extemporáneamente conforme el </w:t>
      </w:r>
      <w:r w:rsidR="00361F6B" w:rsidRPr="00C7542C">
        <w:rPr>
          <w:sz w:val="20"/>
          <w:szCs w:val="20"/>
          <w:lang w:val="es-ES_tradnl"/>
        </w:rPr>
        <w:t>artículo</w:t>
      </w:r>
      <w:r w:rsidRPr="00C7542C">
        <w:rPr>
          <w:sz w:val="20"/>
          <w:szCs w:val="20"/>
          <w:lang w:val="es-ES_tradnl"/>
        </w:rPr>
        <w:t xml:space="preserve"> 285 del Código Procesal Civil y Comercial de la Nación</w:t>
      </w:r>
      <w:r w:rsidR="00AC0E54" w:rsidRPr="00C7542C">
        <w:rPr>
          <w:rStyle w:val="FootnoteReference"/>
          <w:sz w:val="20"/>
          <w:szCs w:val="20"/>
          <w:lang w:val="es-ES_tradnl"/>
        </w:rPr>
        <w:footnoteReference w:id="36"/>
      </w:r>
      <w:r w:rsidRPr="00C7542C">
        <w:rPr>
          <w:sz w:val="20"/>
          <w:szCs w:val="20"/>
          <w:lang w:val="es-ES_tradnl"/>
        </w:rPr>
        <w:t xml:space="preserve">. De acuerdo con </w:t>
      </w:r>
      <w:r w:rsidR="00AC4CD2" w:rsidRPr="00C7542C">
        <w:rPr>
          <w:sz w:val="20"/>
          <w:szCs w:val="20"/>
          <w:lang w:val="es-ES_tradnl"/>
        </w:rPr>
        <w:t xml:space="preserve">lo aseverado por el Estado en el </w:t>
      </w:r>
      <w:r w:rsidR="00361F6B" w:rsidRPr="00C7542C">
        <w:rPr>
          <w:sz w:val="20"/>
          <w:szCs w:val="20"/>
          <w:lang w:val="es-ES_tradnl"/>
        </w:rPr>
        <w:t>trámite</w:t>
      </w:r>
      <w:r w:rsidR="00AC4CD2" w:rsidRPr="00C7542C">
        <w:rPr>
          <w:sz w:val="20"/>
          <w:szCs w:val="20"/>
          <w:lang w:val="es-ES_tradnl"/>
        </w:rPr>
        <w:t xml:space="preserve"> de esta petición, la decisión de la Corte Suprema de Justicia de la Nación fue notificada al recurrente el día 13 de noviembre de 2003</w:t>
      </w:r>
      <w:r w:rsidR="00AC4CD2" w:rsidRPr="00C7542C">
        <w:rPr>
          <w:rStyle w:val="FootnoteReference"/>
          <w:sz w:val="20"/>
          <w:szCs w:val="20"/>
          <w:lang w:val="es-ES_tradnl"/>
        </w:rPr>
        <w:footnoteReference w:id="37"/>
      </w:r>
      <w:r w:rsidR="00AC4CD2" w:rsidRPr="00C7542C">
        <w:rPr>
          <w:sz w:val="20"/>
          <w:szCs w:val="20"/>
          <w:lang w:val="es-ES_tradnl"/>
        </w:rPr>
        <w:t xml:space="preserve">. </w:t>
      </w:r>
    </w:p>
    <w:bookmarkEnd w:id="39"/>
    <w:bookmarkEnd w:id="40"/>
    <w:p w14:paraId="337D3D79" w14:textId="77777777" w:rsidR="0012503D" w:rsidRPr="00C7542C" w:rsidRDefault="0012503D" w:rsidP="0012503D">
      <w:pPr>
        <w:pStyle w:val="ListParagraph"/>
        <w:tabs>
          <w:tab w:val="left" w:pos="567"/>
        </w:tabs>
        <w:ind w:left="0"/>
        <w:jc w:val="both"/>
        <w:rPr>
          <w:sz w:val="20"/>
          <w:szCs w:val="20"/>
          <w:lang w:val="es-ES_tradnl"/>
        </w:rPr>
      </w:pPr>
    </w:p>
    <w:p w14:paraId="71A8FC42" w14:textId="77777777" w:rsidR="000B65FB" w:rsidRPr="00C7542C" w:rsidRDefault="00C2625B" w:rsidP="006C6B75">
      <w:pPr>
        <w:pStyle w:val="Heading1"/>
        <w:numPr>
          <w:ilvl w:val="0"/>
          <w:numId w:val="6"/>
        </w:numPr>
        <w:ind w:left="0" w:firstLine="0"/>
        <w:rPr>
          <w:bCs/>
        </w:rPr>
      </w:pPr>
      <w:bookmarkStart w:id="49" w:name="_Toc40962135"/>
      <w:bookmarkStart w:id="50" w:name="_Toc42679784"/>
      <w:bookmarkStart w:id="51" w:name="_Toc78370169"/>
      <w:bookmarkStart w:id="52" w:name="_Toc203382207"/>
      <w:r w:rsidRPr="00C7542C">
        <w:t>ANÁLISIS DE DERECHO</w:t>
      </w:r>
      <w:bookmarkEnd w:id="49"/>
      <w:bookmarkEnd w:id="50"/>
      <w:bookmarkEnd w:id="51"/>
      <w:bookmarkEnd w:id="52"/>
      <w:r w:rsidRPr="00C7542C">
        <w:t xml:space="preserve"> </w:t>
      </w:r>
    </w:p>
    <w:p w14:paraId="23A3FDC7" w14:textId="77777777" w:rsidR="004A5B5E" w:rsidRPr="00C7542C" w:rsidRDefault="004A5B5E" w:rsidP="00D72067">
      <w:pPr>
        <w:jc w:val="both"/>
        <w:rPr>
          <w:rFonts w:ascii="Cambria" w:hAnsi="Cambria"/>
          <w:b/>
          <w:sz w:val="20"/>
          <w:szCs w:val="20"/>
          <w:lang w:val="es-AR"/>
        </w:rPr>
      </w:pPr>
    </w:p>
    <w:p w14:paraId="7368FC70" w14:textId="6C27A718" w:rsidR="00D72067" w:rsidRPr="00C7542C" w:rsidRDefault="00481898" w:rsidP="00481898">
      <w:pPr>
        <w:pStyle w:val="Heading2"/>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360"/>
        <w:jc w:val="both"/>
        <w:rPr>
          <w:lang w:val="es-AR"/>
        </w:rPr>
      </w:pPr>
      <w:bookmarkStart w:id="53" w:name="_Toc55924946"/>
      <w:bookmarkStart w:id="54" w:name="_Toc78370170"/>
      <w:bookmarkStart w:id="55" w:name="_Toc203382208"/>
      <w:r w:rsidRPr="00C7542C">
        <w:rPr>
          <w:lang w:val="es-AR"/>
        </w:rPr>
        <w:t xml:space="preserve">A. </w:t>
      </w:r>
      <w:r w:rsidR="00D72067" w:rsidRPr="00C7542C">
        <w:t>Derecho a recurrir el fallo ante juez o tribunal superior (artículo 8.2.h de la Convención Americana sobre Derechos Humanos en relación con los artículos 1.1 y 2 del mismo instrumento)</w:t>
      </w:r>
      <w:bookmarkEnd w:id="53"/>
      <w:bookmarkEnd w:id="54"/>
      <w:bookmarkEnd w:id="55"/>
      <w:r w:rsidR="00D72067" w:rsidRPr="00C7542C">
        <w:rPr>
          <w:lang w:val="es-AR"/>
        </w:rPr>
        <w:t xml:space="preserve"> </w:t>
      </w:r>
    </w:p>
    <w:p w14:paraId="1D615D2C" w14:textId="77777777" w:rsidR="00D72067" w:rsidRPr="00C7542C" w:rsidRDefault="00D72067" w:rsidP="00AD0F38">
      <w:pPr>
        <w:jc w:val="both"/>
        <w:rPr>
          <w:sz w:val="20"/>
          <w:szCs w:val="20"/>
          <w:lang w:val="es-AR"/>
        </w:rPr>
      </w:pPr>
    </w:p>
    <w:p w14:paraId="257777DE" w14:textId="0877232C" w:rsidR="00D72067" w:rsidRPr="00C7542C" w:rsidRDefault="00D72067" w:rsidP="006C6B75">
      <w:pPr>
        <w:pStyle w:val="ListParagraph"/>
        <w:numPr>
          <w:ilvl w:val="0"/>
          <w:numId w:val="8"/>
        </w:numPr>
        <w:spacing w:after="240"/>
        <w:jc w:val="both"/>
        <w:outlineLvl w:val="2"/>
        <w:rPr>
          <w:b/>
          <w:bCs/>
          <w:sz w:val="20"/>
          <w:szCs w:val="20"/>
          <w:lang w:val="es-ES_tradnl"/>
        </w:rPr>
      </w:pPr>
      <w:bookmarkStart w:id="56" w:name="_Toc55924947"/>
      <w:bookmarkStart w:id="57" w:name="_Toc78370171"/>
      <w:bookmarkStart w:id="58" w:name="_Toc203382209"/>
      <w:r w:rsidRPr="00C7542C">
        <w:rPr>
          <w:b/>
          <w:bCs/>
          <w:sz w:val="20"/>
          <w:szCs w:val="20"/>
          <w:lang w:val="es-ES_tradnl"/>
        </w:rPr>
        <w:t>Consideraciones generales sobre el derecho a recurrir el fallo</w:t>
      </w:r>
      <w:bookmarkEnd w:id="56"/>
      <w:bookmarkEnd w:id="57"/>
      <w:bookmarkEnd w:id="58"/>
      <w:r w:rsidRPr="00C7542C">
        <w:rPr>
          <w:b/>
          <w:bCs/>
          <w:sz w:val="20"/>
          <w:szCs w:val="20"/>
          <w:lang w:val="es-ES_tradnl"/>
        </w:rPr>
        <w:t xml:space="preserve"> </w:t>
      </w:r>
    </w:p>
    <w:p w14:paraId="733E44CE" w14:textId="321059E6" w:rsidR="00D72067" w:rsidRPr="00C7542C" w:rsidRDefault="00D72067"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C7542C">
        <w:rPr>
          <w:rStyle w:val="FootnoteReference"/>
          <w:sz w:val="20"/>
          <w:szCs w:val="20"/>
          <w:lang w:val="es-AR"/>
        </w:rPr>
        <w:footnoteReference w:id="38"/>
      </w:r>
      <w:r w:rsidRPr="00C7542C">
        <w:rPr>
          <w:sz w:val="20"/>
          <w:szCs w:val="20"/>
          <w:lang w:val="es-AR"/>
        </w:rPr>
        <w:t xml:space="preserve">. </w:t>
      </w:r>
    </w:p>
    <w:p w14:paraId="36E285C7" w14:textId="77777777" w:rsidR="00D72067" w:rsidRPr="00C7542C" w:rsidRDefault="00D72067" w:rsidP="0012503D">
      <w:pPr>
        <w:pStyle w:val="ListParagraph"/>
        <w:tabs>
          <w:tab w:val="left" w:pos="567"/>
        </w:tabs>
        <w:ind w:left="0"/>
        <w:jc w:val="both"/>
        <w:rPr>
          <w:sz w:val="20"/>
          <w:szCs w:val="20"/>
          <w:lang w:val="es-AR"/>
        </w:rPr>
      </w:pPr>
    </w:p>
    <w:p w14:paraId="2B32EF59" w14:textId="4084BF57" w:rsidR="00D72067" w:rsidRPr="00C7542C" w:rsidRDefault="00D72067"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En este sentido, la Comisión resalta que el derecho a recurrir el fallo debe ser interpretado de manera conjunta con otras garantías procesales, si las características del caso así lo requieren. A modo de ejemplo, cabe mencionar la estrecha relación que existe, por un lado, entre el derecho a recurrir el fallo y, por el otro, el deber de motivación de las sentencias que se halla en cabeza de los magistrados. Asimismo, de especial relevancia resulta la relación entre el derecho al recurso y a la defensa en juicio, consagrado en el artículo 8 de la Convención</w:t>
      </w:r>
      <w:r w:rsidR="004A5B5E" w:rsidRPr="00C7542C">
        <w:rPr>
          <w:sz w:val="20"/>
          <w:szCs w:val="20"/>
          <w:lang w:val="es-AR"/>
        </w:rPr>
        <w:t xml:space="preserve">, y el derecho a la libertad personal contemplado en el </w:t>
      </w:r>
      <w:r w:rsidR="0062720F" w:rsidRPr="00C7542C">
        <w:rPr>
          <w:sz w:val="20"/>
          <w:szCs w:val="20"/>
          <w:lang w:val="es-AR"/>
        </w:rPr>
        <w:t>artículo</w:t>
      </w:r>
      <w:r w:rsidR="004A5B5E" w:rsidRPr="00C7542C">
        <w:rPr>
          <w:sz w:val="20"/>
          <w:szCs w:val="20"/>
          <w:lang w:val="es-AR"/>
        </w:rPr>
        <w:t xml:space="preserve"> 7 del mismo tratado</w:t>
      </w:r>
      <w:r w:rsidRPr="00C7542C">
        <w:rPr>
          <w:rStyle w:val="FootnoteReference"/>
          <w:sz w:val="20"/>
          <w:szCs w:val="20"/>
          <w:lang w:val="es-AR"/>
        </w:rPr>
        <w:footnoteReference w:id="39"/>
      </w:r>
      <w:r w:rsidRPr="00C7542C">
        <w:rPr>
          <w:sz w:val="20"/>
          <w:szCs w:val="20"/>
          <w:lang w:val="es-AR"/>
        </w:rPr>
        <w:t xml:space="preserve">. </w:t>
      </w:r>
    </w:p>
    <w:p w14:paraId="5C14EAD1" w14:textId="77777777" w:rsidR="00D72067" w:rsidRPr="00C7542C" w:rsidRDefault="00D72067" w:rsidP="007B0E80">
      <w:pPr>
        <w:pStyle w:val="ListParagraph"/>
        <w:tabs>
          <w:tab w:val="left" w:pos="567"/>
        </w:tabs>
        <w:ind w:left="0"/>
        <w:jc w:val="both"/>
        <w:rPr>
          <w:sz w:val="20"/>
          <w:szCs w:val="20"/>
          <w:lang w:val="es-AR"/>
        </w:rPr>
      </w:pPr>
    </w:p>
    <w:p w14:paraId="29814AB0" w14:textId="69FB2D1E" w:rsidR="00D72067" w:rsidRPr="00C7542C" w:rsidRDefault="0062720F"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La Corte</w:t>
      </w:r>
      <w:r w:rsidR="00D72067" w:rsidRPr="00C7542C">
        <w:rPr>
          <w:sz w:val="20"/>
          <w:szCs w:val="20"/>
          <w:lang w:val="es-AR"/>
        </w:rPr>
        <w:t xml:space="preserve"> IDH ha establecido que “la falta de garantía del derecho a recurrir del fallo impide el ejercicio del derecho de defensa que se protege a través de este medio y trae implícita la ausencia de protección de otras garantías mínimas del debido proceso que deben asegurarse al recurrente”</w:t>
      </w:r>
      <w:r w:rsidR="00D72067" w:rsidRPr="00C7542C">
        <w:rPr>
          <w:rStyle w:val="FootnoteReference"/>
          <w:sz w:val="20"/>
          <w:szCs w:val="20"/>
          <w:lang w:val="es-AR"/>
        </w:rPr>
        <w:footnoteReference w:id="40"/>
      </w:r>
      <w:r w:rsidR="00D72067" w:rsidRPr="00C7542C">
        <w:rPr>
          <w:sz w:val="20"/>
          <w:szCs w:val="20"/>
          <w:lang w:val="es-AR"/>
        </w:rPr>
        <w:t>. De este modo, el debido proceso legal no sería posible a menos que el Estado garantice un adecuado ejercicio del derecho a la defensa en juicio y, en particular, asegure a la persona vinculada a proceso penal la oportunidad de contrarrestar una sentencia condenatoria mediante la iniciación de un procedimiento de impugnación</w:t>
      </w:r>
      <w:r w:rsidR="00D72067" w:rsidRPr="00C7542C">
        <w:rPr>
          <w:rStyle w:val="FootnoteReference"/>
          <w:sz w:val="20"/>
          <w:szCs w:val="20"/>
          <w:lang w:val="es-AR"/>
        </w:rPr>
        <w:footnoteReference w:id="41"/>
      </w:r>
      <w:r w:rsidR="00D72067" w:rsidRPr="00C7542C">
        <w:rPr>
          <w:sz w:val="20"/>
          <w:szCs w:val="20"/>
          <w:lang w:val="es-AR"/>
        </w:rPr>
        <w:t xml:space="preserve">. </w:t>
      </w:r>
    </w:p>
    <w:p w14:paraId="601B17F4" w14:textId="77777777" w:rsidR="00D72067" w:rsidRPr="00C7542C" w:rsidRDefault="00D72067" w:rsidP="007B0E80">
      <w:pPr>
        <w:pStyle w:val="ListParagraph"/>
        <w:tabs>
          <w:tab w:val="left" w:pos="567"/>
        </w:tabs>
        <w:ind w:left="0"/>
        <w:jc w:val="both"/>
        <w:rPr>
          <w:sz w:val="20"/>
          <w:szCs w:val="20"/>
          <w:lang w:val="es-AR"/>
        </w:rPr>
      </w:pPr>
    </w:p>
    <w:p w14:paraId="0A72D990" w14:textId="77777777" w:rsidR="00D72067" w:rsidRPr="00C7542C" w:rsidRDefault="00D72067"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 xml:space="preserve"> La Corte IDH también ha sostenido que “la doble conformidad judicial, expresada mediante el acceso a un recurso que otorgue la posibilidad de una revisión íntegra del fallo condenatorio, conforma el fundamento y otorga mayor credibilidad al acto jurisdiccional del Estado, y al mismo tiempo brinda mayor seguridad y tutela a los derechos del condenado”</w:t>
      </w:r>
      <w:r w:rsidRPr="00C7542C">
        <w:rPr>
          <w:rStyle w:val="FootnoteReference"/>
          <w:sz w:val="20"/>
          <w:szCs w:val="20"/>
          <w:lang w:val="es-AR"/>
        </w:rPr>
        <w:footnoteReference w:id="42"/>
      </w:r>
      <w:r w:rsidRPr="00C7542C">
        <w:rPr>
          <w:sz w:val="20"/>
          <w:szCs w:val="20"/>
          <w:lang w:val="es-AR"/>
        </w:rPr>
        <w:t xml:space="preserve">. </w:t>
      </w:r>
    </w:p>
    <w:p w14:paraId="73112EB1" w14:textId="77777777" w:rsidR="00D72067" w:rsidRPr="00C7542C" w:rsidRDefault="00D72067" w:rsidP="0012503D">
      <w:pPr>
        <w:pStyle w:val="ListParagraph"/>
        <w:tabs>
          <w:tab w:val="left" w:pos="567"/>
        </w:tabs>
        <w:ind w:left="0"/>
        <w:jc w:val="both"/>
        <w:rPr>
          <w:sz w:val="20"/>
          <w:szCs w:val="20"/>
          <w:lang w:val="es-AR"/>
        </w:rPr>
      </w:pPr>
    </w:p>
    <w:p w14:paraId="75394425" w14:textId="11D3B74E" w:rsidR="00D72067" w:rsidRPr="00C7542C" w:rsidRDefault="00D72067"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lastRenderedPageBreak/>
        <w:t>Resulta irrelevante para el derecho internacional de los derechos humanos la denominación o el nombre con el que se designe este recurso</w:t>
      </w:r>
      <w:r w:rsidRPr="00C7542C">
        <w:rPr>
          <w:rStyle w:val="FootnoteReference"/>
          <w:sz w:val="20"/>
          <w:szCs w:val="20"/>
          <w:lang w:val="es-AR"/>
        </w:rPr>
        <w:footnoteReference w:id="43"/>
      </w:r>
      <w:r w:rsidRPr="00C7542C">
        <w:rPr>
          <w:sz w:val="20"/>
          <w:szCs w:val="20"/>
          <w:lang w:val="es-AR"/>
        </w:rPr>
        <w:t xml:space="preserve">. Lo importante es que el recurso contemplado en la normativa interna satisfaga una serie de estándares. En primer término, el recurso debe ser oportuno, lo que significa que debe poder ser interpuesto </w:t>
      </w:r>
      <w:r w:rsidR="0062720F" w:rsidRPr="00C7542C">
        <w:rPr>
          <w:sz w:val="20"/>
          <w:szCs w:val="20"/>
          <w:lang w:val="es-AR"/>
        </w:rPr>
        <w:t>antes que</w:t>
      </w:r>
      <w:r w:rsidRPr="00C7542C">
        <w:rPr>
          <w:sz w:val="20"/>
          <w:szCs w:val="20"/>
          <w:lang w:val="es-AR"/>
        </w:rPr>
        <w:t xml:space="preserve"> la sentencia adquiera calidad de cosa juzgada y, asimismo, que debe ser resuelto en un plazo razonable</w:t>
      </w:r>
      <w:r w:rsidRPr="00C7542C">
        <w:rPr>
          <w:rStyle w:val="FootnoteReference"/>
          <w:sz w:val="20"/>
          <w:szCs w:val="20"/>
          <w:lang w:val="es-AR"/>
        </w:rPr>
        <w:footnoteReference w:id="44"/>
      </w:r>
      <w:r w:rsidRPr="00C7542C">
        <w:rPr>
          <w:sz w:val="20"/>
          <w:szCs w:val="20"/>
          <w:lang w:val="es-AR"/>
        </w:rPr>
        <w:t>.</w:t>
      </w:r>
    </w:p>
    <w:p w14:paraId="30F8256C" w14:textId="77777777" w:rsidR="00D72067" w:rsidRPr="00C7542C" w:rsidRDefault="00D72067" w:rsidP="0012503D">
      <w:pPr>
        <w:pStyle w:val="ListParagraph"/>
        <w:tabs>
          <w:tab w:val="left" w:pos="567"/>
        </w:tabs>
        <w:ind w:left="0"/>
        <w:jc w:val="both"/>
        <w:rPr>
          <w:sz w:val="20"/>
          <w:szCs w:val="20"/>
          <w:lang w:val="es-AR"/>
        </w:rPr>
      </w:pPr>
    </w:p>
    <w:p w14:paraId="3AC05BF4" w14:textId="77777777" w:rsidR="00D72067" w:rsidRPr="00C7542C" w:rsidRDefault="00D72067"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En segundo lugar, el recurso debe ser accesible, lo que significa que su interposición no debe “requerir mayores complejidades que tornen ilusorio este derecho”</w:t>
      </w:r>
      <w:r w:rsidRPr="00C7542C">
        <w:rPr>
          <w:rStyle w:val="FootnoteReference"/>
          <w:sz w:val="20"/>
          <w:szCs w:val="20"/>
          <w:lang w:val="es-AR"/>
        </w:rPr>
        <w:footnoteReference w:id="45"/>
      </w:r>
      <w:r w:rsidRPr="00C7542C">
        <w:rPr>
          <w:sz w:val="20"/>
          <w:szCs w:val="20"/>
          <w:lang w:val="es-AR"/>
        </w:rPr>
        <w:t>. En este sentido, la Corte IDH ha establecido que los Estados deben abstenerse de incluir en sus legislaciones procesales “restricciones o requisitos que infrinjan la esencia misma del derecho a recurrir del fallo”</w:t>
      </w:r>
      <w:r w:rsidRPr="00C7542C">
        <w:rPr>
          <w:rStyle w:val="FootnoteReference"/>
          <w:sz w:val="20"/>
          <w:szCs w:val="20"/>
          <w:lang w:val="es-AR"/>
        </w:rPr>
        <w:footnoteReference w:id="46"/>
      </w:r>
      <w:r w:rsidRPr="00C7542C">
        <w:rPr>
          <w:sz w:val="20"/>
          <w:szCs w:val="20"/>
          <w:lang w:val="es-AR"/>
        </w:rPr>
        <w:t xml:space="preserve"> y que las formalidades exigidas para su admisión a estudio “deben ser mínimas y no deben constituir un obstáculo para que el recurso cumpla con su fin de examinar y resolver los agravios sustentados por el recurrente”</w:t>
      </w:r>
      <w:r w:rsidRPr="00C7542C">
        <w:rPr>
          <w:rStyle w:val="FootnoteReference"/>
          <w:sz w:val="20"/>
          <w:szCs w:val="20"/>
          <w:lang w:val="es-AR"/>
        </w:rPr>
        <w:footnoteReference w:id="47"/>
      </w:r>
      <w:r w:rsidRPr="00C7542C">
        <w:rPr>
          <w:sz w:val="20"/>
          <w:szCs w:val="20"/>
          <w:lang w:val="es-AR"/>
        </w:rPr>
        <w:t xml:space="preserve">. </w:t>
      </w:r>
    </w:p>
    <w:p w14:paraId="00947091" w14:textId="77777777" w:rsidR="00D72067" w:rsidRPr="00C7542C" w:rsidRDefault="00D72067" w:rsidP="0012503D">
      <w:pPr>
        <w:pStyle w:val="ListParagraph"/>
        <w:tabs>
          <w:tab w:val="left" w:pos="567"/>
        </w:tabs>
        <w:ind w:left="0"/>
        <w:jc w:val="both"/>
        <w:rPr>
          <w:sz w:val="20"/>
          <w:szCs w:val="20"/>
          <w:lang w:val="es-AR"/>
        </w:rPr>
      </w:pPr>
    </w:p>
    <w:p w14:paraId="59AF24BE" w14:textId="77777777" w:rsidR="00D72067" w:rsidRPr="00C7542C" w:rsidRDefault="00D72067"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En este sentido, la Comisión considera que, en principio, la regulación de algunas exigencias mínimas para la procedencia del recurso no es incompatible con el derecho contenido en el artículo 8.2.h de la Convención. Algunas de esas exigencias mínimas son, a modo de ejemplo, la presentación del recurso como tal – dado que el artículo 8.2.h no exige una revisión automática – o la regulación de un plazo razonable dentro del cual debe interponerse. A pesar de ello, en ciertas circunstancias, el rechazo de los recursos sobre la base del incumplimiento de requisitos formales establecidos legalmente o definidos mediante la practica judicial puede resultar en una violación del derecho a recurrir el fallo</w:t>
      </w:r>
      <w:r w:rsidRPr="00C7542C">
        <w:rPr>
          <w:rStyle w:val="FootnoteReference"/>
          <w:sz w:val="20"/>
          <w:szCs w:val="20"/>
          <w:lang w:val="es-AR"/>
        </w:rPr>
        <w:footnoteReference w:id="48"/>
      </w:r>
      <w:r w:rsidRPr="00C7542C">
        <w:rPr>
          <w:sz w:val="20"/>
          <w:szCs w:val="20"/>
          <w:lang w:val="es-AR"/>
        </w:rPr>
        <w:t xml:space="preserve">. </w:t>
      </w:r>
    </w:p>
    <w:p w14:paraId="2F218476" w14:textId="77777777" w:rsidR="00D72067" w:rsidRPr="00C7542C" w:rsidRDefault="00D72067" w:rsidP="00D72067">
      <w:pPr>
        <w:pStyle w:val="ListParagraph"/>
        <w:tabs>
          <w:tab w:val="left" w:pos="567"/>
        </w:tabs>
        <w:ind w:left="0"/>
        <w:jc w:val="both"/>
        <w:rPr>
          <w:sz w:val="20"/>
          <w:szCs w:val="20"/>
          <w:lang w:val="es-AR"/>
        </w:rPr>
      </w:pPr>
    </w:p>
    <w:p w14:paraId="33E37657" w14:textId="77777777" w:rsidR="00D72067" w:rsidRPr="00C7542C" w:rsidRDefault="00D72067" w:rsidP="00D23D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Por otro lado, el recurso a disposición deber ser eficaz, lo cual significa que no basta con que se encuentre formalmente previsto en la legislación procesal, sino que “debe constituir un medio adecuado para procurar la corrección de una condena errónea”</w:t>
      </w:r>
      <w:r w:rsidRPr="00C7542C">
        <w:rPr>
          <w:rStyle w:val="FootnoteReference"/>
          <w:sz w:val="20"/>
          <w:szCs w:val="20"/>
          <w:lang w:val="es-AR"/>
        </w:rPr>
        <w:footnoteReference w:id="49"/>
      </w:r>
      <w:r w:rsidRPr="00C7542C">
        <w:rPr>
          <w:sz w:val="20"/>
          <w:szCs w:val="20"/>
          <w:lang w:val="es-AR"/>
        </w:rPr>
        <w:t xml:space="preserve">, independientemente del régimen o sistema recursivo adoptado por los Estados. </w:t>
      </w:r>
    </w:p>
    <w:p w14:paraId="383FA86B" w14:textId="77777777" w:rsidR="00D72067" w:rsidRPr="00C7542C" w:rsidRDefault="00D72067" w:rsidP="00D23D4A">
      <w:pPr>
        <w:pStyle w:val="ListParagraph"/>
        <w:tabs>
          <w:tab w:val="left" w:pos="567"/>
        </w:tabs>
        <w:ind w:left="0"/>
        <w:jc w:val="both"/>
        <w:rPr>
          <w:sz w:val="20"/>
          <w:szCs w:val="20"/>
          <w:lang w:val="es-AR"/>
        </w:rPr>
      </w:pPr>
    </w:p>
    <w:p w14:paraId="7D2CEF47" w14:textId="77777777" w:rsidR="00D72067" w:rsidRPr="00C7542C" w:rsidRDefault="00D72067" w:rsidP="00D23D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Por último, el recurso debe permitir un examen o revisión integral del fallo cuestionado. Al respecto, la Corte IDH ha enfatizado que se debe permitir que se analicen las “cuestiones fácticas, probatorias y jurídicas en que se basa la sentencia impugnada, puesto que en la actividad jurisdiccional existe una interdependencia entre las determinaciones fácticas y la aplicación del derecho, de forma al que una errónea determinación de los hechos implica una errada o indebida aplicación del derecho”</w:t>
      </w:r>
      <w:r w:rsidRPr="00C7542C">
        <w:rPr>
          <w:rStyle w:val="FootnoteReference"/>
          <w:sz w:val="20"/>
          <w:szCs w:val="20"/>
          <w:lang w:val="es-AR"/>
        </w:rPr>
        <w:footnoteReference w:id="50"/>
      </w:r>
      <w:r w:rsidRPr="00C7542C">
        <w:rPr>
          <w:sz w:val="20"/>
          <w:szCs w:val="20"/>
          <w:lang w:val="es-AR"/>
        </w:rPr>
        <w:t xml:space="preserve">. </w:t>
      </w:r>
    </w:p>
    <w:p w14:paraId="3FE471E7" w14:textId="77777777" w:rsidR="00D72067" w:rsidRPr="00C7542C" w:rsidRDefault="00D72067" w:rsidP="00D72067">
      <w:pPr>
        <w:pStyle w:val="ListParagraph"/>
        <w:tabs>
          <w:tab w:val="left" w:pos="567"/>
        </w:tabs>
        <w:ind w:left="0"/>
        <w:jc w:val="both"/>
        <w:rPr>
          <w:sz w:val="20"/>
          <w:szCs w:val="20"/>
          <w:lang w:val="es-AR"/>
        </w:rPr>
      </w:pPr>
    </w:p>
    <w:p w14:paraId="39F26F2E" w14:textId="77777777" w:rsidR="00D72067" w:rsidRPr="00C7542C" w:rsidRDefault="00D72067" w:rsidP="004A5B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AR"/>
        </w:rPr>
      </w:pPr>
      <w:r w:rsidRPr="00C7542C">
        <w:rPr>
          <w:sz w:val="20"/>
          <w:szCs w:val="20"/>
          <w:lang w:val="es-AR"/>
        </w:rPr>
        <w:t xml:space="preserve">En torno a este punto, la Comisión Interamericana indicó en el caso Abella respecto de Argentina: </w:t>
      </w:r>
    </w:p>
    <w:p w14:paraId="249FFD65" w14:textId="77777777" w:rsidR="00D72067" w:rsidRPr="00C7542C" w:rsidRDefault="00D72067" w:rsidP="00D72067">
      <w:pPr>
        <w:pStyle w:val="ListParagraph"/>
        <w:tabs>
          <w:tab w:val="left" w:pos="567"/>
        </w:tabs>
        <w:rPr>
          <w:sz w:val="20"/>
          <w:szCs w:val="20"/>
          <w:lang w:val="es-AR"/>
        </w:rPr>
      </w:pPr>
    </w:p>
    <w:p w14:paraId="28C8E2AF" w14:textId="5321CFBD" w:rsidR="00D72067" w:rsidRPr="00C7542C" w:rsidRDefault="00D72067" w:rsidP="00FF427B">
      <w:pPr>
        <w:tabs>
          <w:tab w:val="left" w:pos="567"/>
        </w:tabs>
        <w:ind w:left="709" w:right="798"/>
        <w:jc w:val="both"/>
        <w:rPr>
          <w:rFonts w:ascii="Cambria" w:hAnsi="Cambria"/>
          <w:sz w:val="20"/>
          <w:szCs w:val="20"/>
          <w:lang w:val="es-AR"/>
        </w:rPr>
      </w:pPr>
      <w:r w:rsidRPr="00C7542C">
        <w:rPr>
          <w:rFonts w:ascii="Cambria" w:hAnsi="Cambria"/>
          <w:sz w:val="20"/>
          <w:szCs w:val="20"/>
          <w:lang w:val="es-AR"/>
        </w:rPr>
        <w:t xml:space="preserve">[E]l artículo 8.2.h se refiere a las características mínimas de un recurso que controle la corrección del fallo tanto material como formal. En este sentido, desde un punto de vista </w:t>
      </w:r>
      <w:r w:rsidRPr="00C7542C">
        <w:rPr>
          <w:rFonts w:ascii="Cambria" w:hAnsi="Cambria"/>
          <w:sz w:val="20"/>
          <w:szCs w:val="20"/>
          <w:lang w:val="es-AR"/>
        </w:rPr>
        <w:lastRenderedPageBreak/>
        <w:t xml:space="preserve">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w:t>
      </w:r>
      <w:r w:rsidR="00A419ED" w:rsidRPr="00C7542C">
        <w:rPr>
          <w:rFonts w:ascii="Cambria" w:hAnsi="Cambria"/>
          <w:sz w:val="20"/>
          <w:szCs w:val="20"/>
          <w:lang w:val="es-AR"/>
        </w:rPr>
        <w:t>que,</w:t>
      </w:r>
      <w:r w:rsidRPr="00C7542C">
        <w:rPr>
          <w:rFonts w:ascii="Cambria" w:hAnsi="Cambria"/>
          <w:sz w:val="20"/>
          <w:szCs w:val="20"/>
          <w:lang w:val="es-AR"/>
        </w:rPr>
        <w:t xml:space="preserv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C7542C">
        <w:rPr>
          <w:rStyle w:val="FootnoteReference"/>
          <w:rFonts w:ascii="Cambria" w:hAnsi="Cambria"/>
          <w:sz w:val="20"/>
          <w:szCs w:val="20"/>
          <w:lang w:val="es-AR"/>
        </w:rPr>
        <w:footnoteReference w:id="51"/>
      </w:r>
      <w:r w:rsidRPr="00C7542C">
        <w:rPr>
          <w:rFonts w:ascii="Cambria" w:hAnsi="Cambria"/>
          <w:sz w:val="20"/>
          <w:szCs w:val="20"/>
          <w:lang w:val="es-AR"/>
        </w:rPr>
        <w:t xml:space="preserve">. </w:t>
      </w:r>
    </w:p>
    <w:p w14:paraId="6EB99BDE" w14:textId="77777777" w:rsidR="00FF427B" w:rsidRPr="00C7542C" w:rsidRDefault="00FF427B" w:rsidP="00FF427B">
      <w:pPr>
        <w:tabs>
          <w:tab w:val="left" w:pos="567"/>
        </w:tabs>
        <w:ind w:right="798"/>
        <w:jc w:val="both"/>
        <w:rPr>
          <w:rFonts w:ascii="Cambria" w:hAnsi="Cambria"/>
          <w:sz w:val="20"/>
          <w:szCs w:val="20"/>
          <w:lang w:val="es-AR"/>
        </w:rPr>
      </w:pPr>
    </w:p>
    <w:p w14:paraId="3DAD28FE" w14:textId="619D7C65" w:rsidR="00D72067" w:rsidRPr="00C7542C" w:rsidRDefault="00D72067" w:rsidP="00FF427B">
      <w:pPr>
        <w:pStyle w:val="NormalWeb"/>
        <w:numPr>
          <w:ilvl w:val="0"/>
          <w:numId w:val="2"/>
        </w:numPr>
        <w:tabs>
          <w:tab w:val="left" w:pos="567"/>
        </w:tabs>
        <w:spacing w:before="0" w:beforeAutospacing="0" w:after="0" w:afterAutospacing="0"/>
        <w:ind w:left="0" w:firstLine="0"/>
        <w:jc w:val="both"/>
        <w:rPr>
          <w:rFonts w:ascii="Cambria" w:hAnsi="Cambria"/>
          <w:sz w:val="20"/>
          <w:szCs w:val="20"/>
          <w:lang w:val="es-AR"/>
        </w:rPr>
      </w:pPr>
      <w:r w:rsidRPr="00C7542C">
        <w:rPr>
          <w:rFonts w:ascii="Cambria" w:hAnsi="Cambria"/>
          <w:sz w:val="20"/>
          <w:szCs w:val="20"/>
          <w:lang w:val="es-AR"/>
        </w:rPr>
        <w:t>En el mismo sentido, el Comité de Derechos Humanos de las Naciones Unidas, órgano encargado de supervisar el cumplimiento del Pacto Internacional de Derechos Civiles y Políticos por parte de los Estados que lo han ratificado</w:t>
      </w:r>
      <w:r w:rsidRPr="00C7542C">
        <w:rPr>
          <w:rStyle w:val="FootnoteReference"/>
          <w:rFonts w:ascii="Cambria" w:hAnsi="Cambria"/>
          <w:sz w:val="20"/>
          <w:szCs w:val="20"/>
          <w:lang w:val="es-AR"/>
        </w:rPr>
        <w:footnoteReference w:id="52"/>
      </w:r>
      <w:r w:rsidRPr="00C7542C">
        <w:rPr>
          <w:rFonts w:ascii="Cambria" w:hAnsi="Cambria"/>
          <w:sz w:val="20"/>
          <w:szCs w:val="20"/>
          <w:lang w:val="es-AR"/>
        </w:rPr>
        <w:t xml:space="preserve">, ha establecido en reiteradas oportunidades que: </w:t>
      </w:r>
    </w:p>
    <w:p w14:paraId="71BA2C7E" w14:textId="77777777" w:rsidR="00FF427B" w:rsidRPr="00C7542C" w:rsidRDefault="00FF427B" w:rsidP="00FF427B">
      <w:pPr>
        <w:pStyle w:val="NormalWeb"/>
        <w:tabs>
          <w:tab w:val="left" w:pos="567"/>
        </w:tabs>
        <w:spacing w:before="0" w:beforeAutospacing="0" w:after="0" w:afterAutospacing="0"/>
        <w:jc w:val="both"/>
        <w:rPr>
          <w:rFonts w:ascii="Cambria" w:hAnsi="Cambria"/>
          <w:sz w:val="20"/>
          <w:szCs w:val="20"/>
          <w:lang w:val="es-AR"/>
        </w:rPr>
      </w:pPr>
    </w:p>
    <w:p w14:paraId="370A74D0" w14:textId="77777777" w:rsidR="00D72067" w:rsidRPr="00C7542C" w:rsidRDefault="00D72067" w:rsidP="00FF427B">
      <w:pPr>
        <w:pStyle w:val="NormalWeb"/>
        <w:tabs>
          <w:tab w:val="left" w:pos="567"/>
        </w:tabs>
        <w:spacing w:before="0" w:beforeAutospacing="0" w:after="0" w:afterAutospacing="0"/>
        <w:ind w:left="720" w:right="798"/>
        <w:jc w:val="both"/>
        <w:rPr>
          <w:rFonts w:ascii="Cambria" w:hAnsi="Cambria"/>
          <w:sz w:val="20"/>
          <w:szCs w:val="20"/>
          <w:lang w:val="es-AR"/>
        </w:rPr>
      </w:pPr>
      <w:r w:rsidRPr="00C7542C">
        <w:rPr>
          <w:rFonts w:ascii="Cambria" w:hAnsi="Cambria"/>
          <w:sz w:val="20"/>
          <w:szCs w:val="20"/>
          <w:lang w:val="es-AR"/>
        </w:rPr>
        <w:t>“el derecho de toda persona a que el fallo condenatorio y la pena impuesta se sometan a un tribunal superior [...] impone al Estado Parte la obligación de revisar sustancialmente el fallo condenatorio y la pena, en lo relativo a la suficiencia tanto de las pruebas como de la legislación, de modo que el procedimiento permita tomar deliberadamente en consideración la naturaleza de la causa. Una revisión que se limite a los aspectos formales o jurídicos de la condena solamente no es suficiente al tenor del Pacto</w:t>
      </w:r>
      <w:r w:rsidRPr="00C7542C">
        <w:rPr>
          <w:rStyle w:val="FootnoteReference"/>
          <w:rFonts w:ascii="Cambria" w:hAnsi="Cambria"/>
          <w:sz w:val="20"/>
          <w:szCs w:val="20"/>
          <w:lang w:val="es-AR"/>
        </w:rPr>
        <w:footnoteReference w:id="53"/>
      </w:r>
    </w:p>
    <w:p w14:paraId="27300F8E" w14:textId="77777777" w:rsidR="00D72067" w:rsidRPr="00C7542C" w:rsidRDefault="00D72067" w:rsidP="00FF427B">
      <w:pPr>
        <w:pStyle w:val="NormalWeb"/>
        <w:tabs>
          <w:tab w:val="left" w:pos="567"/>
        </w:tabs>
        <w:spacing w:before="0" w:beforeAutospacing="0" w:after="0" w:afterAutospacing="0"/>
        <w:ind w:left="720" w:right="798"/>
        <w:jc w:val="both"/>
        <w:rPr>
          <w:rFonts w:ascii="Cambria" w:hAnsi="Cambria"/>
          <w:sz w:val="20"/>
          <w:szCs w:val="20"/>
          <w:lang w:val="es-AR"/>
        </w:rPr>
      </w:pPr>
    </w:p>
    <w:p w14:paraId="79D172B4" w14:textId="389355B9" w:rsidR="00D72067" w:rsidRPr="00C7542C" w:rsidRDefault="00D72067"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AR"/>
        </w:rPr>
      </w:pPr>
      <w:r w:rsidRPr="00C7542C">
        <w:rPr>
          <w:sz w:val="20"/>
          <w:szCs w:val="20"/>
          <w:lang w:val="es-AR"/>
        </w:rPr>
        <w:t>Asimismo, la CIDH ha destacado que el derecho a recurrir no implica necesariamente un nuevo juicio o una nueva audiencia, siempre que el tribunal que realiza la revisión no esté impedido de estudiar los hechos de la causa. Lo que resulta necesario a la luz del artículo 8.2.h de la Convención es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C7542C">
        <w:rPr>
          <w:rStyle w:val="FootnoteReference"/>
          <w:sz w:val="20"/>
          <w:szCs w:val="20"/>
          <w:lang w:val="es-AR"/>
        </w:rPr>
        <w:footnoteReference w:id="54"/>
      </w:r>
      <w:r w:rsidRPr="00C7542C">
        <w:rPr>
          <w:sz w:val="20"/>
          <w:szCs w:val="20"/>
          <w:lang w:val="es-AR"/>
        </w:rPr>
        <w:t xml:space="preserve">. </w:t>
      </w:r>
    </w:p>
    <w:p w14:paraId="074C61B1" w14:textId="77777777" w:rsidR="00D72067" w:rsidRPr="00C7542C" w:rsidRDefault="00D72067" w:rsidP="00FF42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contextualSpacing/>
        <w:jc w:val="both"/>
        <w:rPr>
          <w:sz w:val="20"/>
          <w:szCs w:val="20"/>
          <w:lang w:val="es-AR"/>
        </w:rPr>
      </w:pPr>
    </w:p>
    <w:p w14:paraId="77A39C83" w14:textId="0265342A" w:rsidR="00912FEE" w:rsidRPr="00C7542C" w:rsidRDefault="00D72067"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AR"/>
        </w:rPr>
      </w:pPr>
      <w:r w:rsidRPr="00C7542C">
        <w:rPr>
          <w:sz w:val="20"/>
          <w:szCs w:val="20"/>
          <w:lang w:val="es-AR"/>
        </w:rPr>
        <w:t>Asimismo</w:t>
      </w:r>
      <w:r w:rsidR="00912FEE" w:rsidRPr="00C7542C">
        <w:rPr>
          <w:sz w:val="20"/>
          <w:szCs w:val="20"/>
          <w:lang w:val="es-AR"/>
        </w:rPr>
        <w:t xml:space="preserve">, </w:t>
      </w:r>
      <w:r w:rsidR="00912FEE" w:rsidRPr="00C7542C">
        <w:rPr>
          <w:sz w:val="20"/>
          <w:szCs w:val="20"/>
          <w:lang w:val="es-ES"/>
        </w:rPr>
        <w:t xml:space="preserve">la Comisión considera conveniente resaltar que el derecho de recurrir del fallo también se encuentra </w:t>
      </w:r>
      <w:r w:rsidR="00FF52E1" w:rsidRPr="00C7542C">
        <w:rPr>
          <w:sz w:val="20"/>
          <w:szCs w:val="20"/>
          <w:lang w:val="es-ES"/>
        </w:rPr>
        <w:t xml:space="preserve">reconocido </w:t>
      </w:r>
      <w:r w:rsidR="00912FEE" w:rsidRPr="00C7542C">
        <w:rPr>
          <w:sz w:val="20"/>
          <w:szCs w:val="20"/>
          <w:lang w:val="es-ES"/>
        </w:rPr>
        <w:t>en la Convención sobre los Derechos del Niño. En particular el artículo 40.2.b.V señala que: “a todo niño del que se alegue que ha infringido las leyes penales o a quien se acuse de haber infringido esas leyes se le garantice, por lo menos, lo siguiente: […] que esta decisión y toda medida impuesta a consecuencia de ella, serán sometidas a una autoridad u órgano judicial superior competente, independiente e imparcial, conforme a la ley”</w:t>
      </w:r>
      <w:r w:rsidR="00912FEE" w:rsidRPr="00C7542C">
        <w:rPr>
          <w:rStyle w:val="FootnoteReference"/>
          <w:sz w:val="20"/>
          <w:szCs w:val="20"/>
          <w:lang w:val="es-ES"/>
        </w:rPr>
        <w:footnoteReference w:id="55"/>
      </w:r>
      <w:r w:rsidR="00912FEE" w:rsidRPr="00C7542C">
        <w:rPr>
          <w:sz w:val="20"/>
          <w:szCs w:val="20"/>
          <w:lang w:val="es-ES"/>
        </w:rPr>
        <w:t>.</w:t>
      </w:r>
      <w:r w:rsidR="00D23D4A" w:rsidRPr="00C7542C">
        <w:rPr>
          <w:sz w:val="20"/>
          <w:szCs w:val="20"/>
          <w:lang w:val="es-ES"/>
        </w:rPr>
        <w:t xml:space="preserve"> </w:t>
      </w:r>
      <w:r w:rsidR="00FF52E1" w:rsidRPr="00C7542C">
        <w:rPr>
          <w:sz w:val="20"/>
          <w:szCs w:val="20"/>
          <w:lang w:val="es-ES"/>
        </w:rPr>
        <w:t>La Comisión</w:t>
      </w:r>
      <w:r w:rsidR="00D23D4A" w:rsidRPr="00C7542C">
        <w:rPr>
          <w:sz w:val="20"/>
          <w:szCs w:val="20"/>
          <w:lang w:val="es-ES"/>
        </w:rPr>
        <w:t xml:space="preserve"> </w:t>
      </w:r>
      <w:r w:rsidR="00FF52E1" w:rsidRPr="00C7542C">
        <w:rPr>
          <w:sz w:val="20"/>
          <w:szCs w:val="20"/>
          <w:lang w:val="es-ES"/>
        </w:rPr>
        <w:t xml:space="preserve">destaca que la Republica Argentina ratificó la mencionada convención en 1990 y que en 1994 le otorgó jerarquía constitucional. </w:t>
      </w:r>
    </w:p>
    <w:p w14:paraId="5AB8501D" w14:textId="77777777" w:rsidR="00912FEE" w:rsidRPr="00C7542C" w:rsidRDefault="00912FEE" w:rsidP="00FF427B">
      <w:pPr>
        <w:pStyle w:val="ListParagraph"/>
        <w:tabs>
          <w:tab w:val="left" w:pos="567"/>
        </w:tabs>
        <w:jc w:val="both"/>
        <w:rPr>
          <w:sz w:val="20"/>
          <w:szCs w:val="20"/>
          <w:lang w:val="es-AR"/>
        </w:rPr>
      </w:pPr>
    </w:p>
    <w:p w14:paraId="140FA6F9" w14:textId="7AD0C4AF" w:rsidR="00912FEE" w:rsidRPr="00C7542C" w:rsidRDefault="00912FEE"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C7542C">
        <w:rPr>
          <w:sz w:val="20"/>
          <w:szCs w:val="20"/>
          <w:lang w:val="es-ES"/>
        </w:rPr>
        <w:t xml:space="preserve">La Comisión observa que el Comité de los Derechos del Niño ha interpretado </w:t>
      </w:r>
      <w:r w:rsidR="0062720F" w:rsidRPr="00C7542C">
        <w:rPr>
          <w:sz w:val="20"/>
          <w:szCs w:val="20"/>
          <w:lang w:val="es-ES"/>
        </w:rPr>
        <w:t>que, conforme</w:t>
      </w:r>
      <w:r w:rsidRPr="00C7542C">
        <w:rPr>
          <w:sz w:val="20"/>
          <w:szCs w:val="20"/>
          <w:lang w:val="es-ES"/>
        </w:rPr>
        <w:t xml:space="preserve"> a esa disposición</w:t>
      </w:r>
      <w:r w:rsidR="00FF52E1" w:rsidRPr="00C7542C">
        <w:rPr>
          <w:sz w:val="20"/>
          <w:szCs w:val="20"/>
          <w:lang w:val="es-ES"/>
        </w:rPr>
        <w:t xml:space="preserve">, </w:t>
      </w:r>
      <w:r w:rsidRPr="00C7542C">
        <w:rPr>
          <w:sz w:val="20"/>
          <w:szCs w:val="20"/>
          <w:lang w:val="es-ES"/>
        </w:rPr>
        <w:t xml:space="preserve">“[e]l niño tiene derecho a apelar contra la decisión por la que se le declare culpable de los cargos formulados contra él y las medidas impuestas como consecuencia del veredicto de culpabilidad. Compete resolver esta apelación a una autoridad u órgano judicial superior competente, independiente e imparcial, en </w:t>
      </w:r>
      <w:r w:rsidRPr="00C7542C">
        <w:rPr>
          <w:sz w:val="20"/>
          <w:szCs w:val="20"/>
          <w:lang w:val="es-ES"/>
        </w:rPr>
        <w:lastRenderedPageBreak/>
        <w:t>otras palabras, un órgano que satisfaga las mismas normas y requisitos que el que conoció del caso en primera instancia”</w:t>
      </w:r>
      <w:r w:rsidRPr="00C7542C">
        <w:rPr>
          <w:rStyle w:val="FootnoteReference"/>
          <w:sz w:val="20"/>
          <w:szCs w:val="20"/>
          <w:lang w:val="es-ES"/>
        </w:rPr>
        <w:footnoteReference w:id="56"/>
      </w:r>
      <w:r w:rsidRPr="00C7542C">
        <w:rPr>
          <w:sz w:val="20"/>
          <w:szCs w:val="20"/>
          <w:lang w:val="es-ES"/>
        </w:rPr>
        <w:t>. Asimismo, el Comité ha estimado que este derecho “no se limita a los delitos más graves”</w:t>
      </w:r>
      <w:r w:rsidRPr="00C7542C">
        <w:rPr>
          <w:rStyle w:val="FootnoteReference"/>
          <w:sz w:val="20"/>
          <w:szCs w:val="20"/>
          <w:lang w:val="es-ES"/>
        </w:rPr>
        <w:footnoteReference w:id="57"/>
      </w:r>
      <w:r w:rsidRPr="00C7542C">
        <w:rPr>
          <w:sz w:val="20"/>
          <w:szCs w:val="20"/>
          <w:lang w:val="es-ES"/>
        </w:rPr>
        <w:t>. Por lo tanto, la Comisión considera que el derecho de recurrir del fallo adquiere una relevancia especial tratándose de la determinación de los derechos de niños, niñas y adolescentes, especialmente, cuando han sido condenados a penas privativas de libertad por la comisión de delitos</w:t>
      </w:r>
      <w:r w:rsidRPr="00C7542C">
        <w:rPr>
          <w:rStyle w:val="FootnoteReference"/>
          <w:sz w:val="20"/>
          <w:szCs w:val="20"/>
          <w:lang w:val="es-ES"/>
        </w:rPr>
        <w:footnoteReference w:id="58"/>
      </w:r>
      <w:r w:rsidRPr="00C7542C">
        <w:rPr>
          <w:sz w:val="20"/>
          <w:szCs w:val="20"/>
          <w:lang w:val="es-ES"/>
        </w:rPr>
        <w:t>.</w:t>
      </w:r>
    </w:p>
    <w:p w14:paraId="37854831" w14:textId="77777777" w:rsidR="00912FEE" w:rsidRPr="00C7542C" w:rsidRDefault="00912FEE" w:rsidP="00FF427B">
      <w:pPr>
        <w:pStyle w:val="ListParagraph"/>
        <w:tabs>
          <w:tab w:val="left" w:pos="567"/>
        </w:tabs>
        <w:jc w:val="both"/>
        <w:rPr>
          <w:sz w:val="20"/>
          <w:szCs w:val="20"/>
          <w:lang w:val="es-ES"/>
        </w:rPr>
      </w:pPr>
    </w:p>
    <w:p w14:paraId="3C836CA8" w14:textId="555409FA" w:rsidR="00D72067" w:rsidRPr="00C7542C" w:rsidRDefault="00D72067"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C7542C">
        <w:rPr>
          <w:sz w:val="20"/>
          <w:szCs w:val="20"/>
          <w:lang w:val="es-ES"/>
        </w:rPr>
        <w:t xml:space="preserve">Por último, la Comisión ha entendido constantemente que </w:t>
      </w:r>
      <w:r w:rsidRPr="00C7542C">
        <w:rPr>
          <w:rFonts w:cs="Calibri"/>
          <w:sz w:val="20"/>
          <w:szCs w:val="20"/>
          <w:lang w:val="es-ES"/>
        </w:rPr>
        <w:t xml:space="preserve">la determinación de si se ha producido una vulneración del derecho a recurrir el fallo requiere de un análisis caso por caso a través del cual se evalúen las circunstancias concretas de la situación puesta en su conocimiento, tomando como parámetro los estándares generales esbozados en los párrafos precedentes. </w:t>
      </w:r>
    </w:p>
    <w:p w14:paraId="4F240B74" w14:textId="77777777" w:rsidR="00D72067" w:rsidRPr="00C7542C" w:rsidRDefault="00D72067" w:rsidP="00FF52E1">
      <w:pPr>
        <w:rPr>
          <w:lang w:val="es-ES_tradnl" w:eastAsia="es-ES"/>
        </w:rPr>
      </w:pPr>
    </w:p>
    <w:p w14:paraId="0646D0C5" w14:textId="5F4976AE" w:rsidR="009F01A8" w:rsidRPr="00C7542C" w:rsidRDefault="009F01A8" w:rsidP="006C6B75">
      <w:pPr>
        <w:pStyle w:val="ListParagraph"/>
        <w:numPr>
          <w:ilvl w:val="0"/>
          <w:numId w:val="8"/>
        </w:numPr>
        <w:jc w:val="both"/>
        <w:outlineLvl w:val="2"/>
        <w:rPr>
          <w:b/>
          <w:bCs/>
          <w:sz w:val="20"/>
          <w:szCs w:val="20"/>
          <w:lang w:val="es-ES_tradnl"/>
        </w:rPr>
      </w:pPr>
      <w:bookmarkStart w:id="59" w:name="_Toc40962138"/>
      <w:bookmarkStart w:id="60" w:name="_Toc42679787"/>
      <w:bookmarkStart w:id="61" w:name="_Toc78370172"/>
      <w:bookmarkStart w:id="62" w:name="_Toc203382210"/>
      <w:r w:rsidRPr="00C7542C">
        <w:rPr>
          <w:b/>
          <w:bCs/>
          <w:sz w:val="20"/>
          <w:szCs w:val="20"/>
          <w:lang w:val="es-ES_tradnl"/>
        </w:rPr>
        <w:t>Análisis del caso</w:t>
      </w:r>
      <w:bookmarkEnd w:id="59"/>
      <w:bookmarkEnd w:id="60"/>
      <w:bookmarkEnd w:id="61"/>
      <w:bookmarkEnd w:id="62"/>
    </w:p>
    <w:p w14:paraId="205ACEB9" w14:textId="77777777" w:rsidR="00D23D4A" w:rsidRPr="00C7542C" w:rsidRDefault="00D23D4A" w:rsidP="00C3209D">
      <w:pPr>
        <w:rPr>
          <w:rFonts w:ascii="Cambria" w:eastAsia="Cambria" w:hAnsi="Cambria"/>
          <w:sz w:val="20"/>
          <w:szCs w:val="20"/>
          <w:u w:color="000000"/>
          <w:bdr w:val="nil"/>
          <w:lang w:val="es-ES" w:eastAsia="es-ES"/>
        </w:rPr>
      </w:pPr>
    </w:p>
    <w:p w14:paraId="7AFF1ED1" w14:textId="284E325C" w:rsidR="00FF427B" w:rsidRPr="00C7542C" w:rsidRDefault="00FF52E1" w:rsidP="00FF427B">
      <w:pPr>
        <w:pStyle w:val="ListParagraph"/>
        <w:numPr>
          <w:ilvl w:val="0"/>
          <w:numId w:val="2"/>
        </w:numPr>
        <w:ind w:left="0" w:firstLine="0"/>
        <w:jc w:val="both"/>
        <w:rPr>
          <w:sz w:val="20"/>
          <w:szCs w:val="20"/>
          <w:lang w:val="es-ES"/>
        </w:rPr>
      </w:pPr>
      <w:r w:rsidRPr="00C7542C">
        <w:rPr>
          <w:sz w:val="20"/>
          <w:szCs w:val="20"/>
          <w:lang w:val="es-ES"/>
        </w:rPr>
        <w:t xml:space="preserve">En el presente caso, la </w:t>
      </w:r>
      <w:r w:rsidR="00E44559" w:rsidRPr="00C7542C">
        <w:rPr>
          <w:sz w:val="20"/>
          <w:szCs w:val="20"/>
          <w:lang w:val="es-ES"/>
        </w:rPr>
        <w:t>Comisión</w:t>
      </w:r>
      <w:r w:rsidRPr="00C7542C">
        <w:rPr>
          <w:sz w:val="20"/>
          <w:szCs w:val="20"/>
          <w:lang w:val="es-ES"/>
        </w:rPr>
        <w:t xml:space="preserve"> destaca en primer </w:t>
      </w:r>
      <w:r w:rsidR="0062720F" w:rsidRPr="00C7542C">
        <w:rPr>
          <w:sz w:val="20"/>
          <w:szCs w:val="20"/>
          <w:lang w:val="es-ES"/>
        </w:rPr>
        <w:t>término</w:t>
      </w:r>
      <w:r w:rsidRPr="00C7542C">
        <w:rPr>
          <w:sz w:val="20"/>
          <w:szCs w:val="20"/>
          <w:lang w:val="es-ES"/>
        </w:rPr>
        <w:t xml:space="preserve"> que</w:t>
      </w:r>
      <w:r w:rsidR="00E44559" w:rsidRPr="00C7542C">
        <w:rPr>
          <w:sz w:val="20"/>
          <w:szCs w:val="20"/>
          <w:lang w:val="es-ES"/>
        </w:rPr>
        <w:t xml:space="preserve"> el peticionario - quien contaba con 17 años de edad al momento de los hechos </w:t>
      </w:r>
      <w:r w:rsidR="00C3209D" w:rsidRPr="00C7542C">
        <w:rPr>
          <w:sz w:val="20"/>
          <w:szCs w:val="20"/>
          <w:lang w:val="es-ES"/>
        </w:rPr>
        <w:t>- fue</w:t>
      </w:r>
      <w:r w:rsidR="00E44559" w:rsidRPr="00C7542C">
        <w:rPr>
          <w:sz w:val="20"/>
          <w:szCs w:val="20"/>
          <w:lang w:val="es-ES"/>
        </w:rPr>
        <w:t xml:space="preserve"> sometido a proceso de acuerdo a lo prescripto en la </w:t>
      </w:r>
      <w:r w:rsidR="003171EA" w:rsidRPr="00C7542C">
        <w:rPr>
          <w:sz w:val="20"/>
          <w:szCs w:val="20"/>
          <w:lang w:val="es-ES"/>
        </w:rPr>
        <w:t>L</w:t>
      </w:r>
      <w:r w:rsidR="00E44559" w:rsidRPr="00C7542C">
        <w:rPr>
          <w:sz w:val="20"/>
          <w:szCs w:val="20"/>
          <w:lang w:val="es-ES"/>
        </w:rPr>
        <w:t xml:space="preserve">ey 22.278 de régimen penal de la minoridad.  Como resultado de este proceso, el Sr. Pacheco fue declarado “penalmente responsable del delito de homicidio simple” mediante sentencia de fecha 19 de mayo de 2000 dictada por la </w:t>
      </w:r>
      <w:r w:rsidR="003171EA" w:rsidRPr="00C7542C">
        <w:rPr>
          <w:sz w:val="20"/>
          <w:szCs w:val="20"/>
          <w:lang w:val="es-ES"/>
        </w:rPr>
        <w:t>Cámara</w:t>
      </w:r>
      <w:r w:rsidR="00E44559" w:rsidRPr="00C7542C">
        <w:rPr>
          <w:sz w:val="20"/>
          <w:szCs w:val="20"/>
          <w:lang w:val="es-ES"/>
        </w:rPr>
        <w:t xml:space="preserve"> Primera en lo Criminal de Comodoro Rivadavia</w:t>
      </w:r>
      <w:r w:rsidR="003171EA" w:rsidRPr="00C7542C">
        <w:rPr>
          <w:sz w:val="20"/>
          <w:szCs w:val="20"/>
          <w:lang w:val="es-ES"/>
        </w:rPr>
        <w:t xml:space="preserve">. Asimismo, el 17 de septiembre de 2002 el mismo tribunal le impuso al peticionario la pena de 4 años de prisión al comprobar que, según el criterio de los jueces, se encontraban presentes los requisitos exigidos en el </w:t>
      </w:r>
      <w:r w:rsidR="0062720F" w:rsidRPr="00C7542C">
        <w:rPr>
          <w:sz w:val="20"/>
          <w:szCs w:val="20"/>
          <w:lang w:val="es-ES"/>
        </w:rPr>
        <w:t>artículo</w:t>
      </w:r>
      <w:r w:rsidR="003171EA" w:rsidRPr="00C7542C">
        <w:rPr>
          <w:sz w:val="20"/>
          <w:szCs w:val="20"/>
          <w:lang w:val="es-ES"/>
        </w:rPr>
        <w:t xml:space="preserve"> 4° de la ley 22.278. </w:t>
      </w:r>
    </w:p>
    <w:p w14:paraId="5AEEC5C4" w14:textId="77777777" w:rsidR="00FF427B" w:rsidRPr="00C7542C" w:rsidRDefault="00FF427B" w:rsidP="00FF427B">
      <w:pPr>
        <w:pStyle w:val="ListParagraph"/>
        <w:ind w:left="0"/>
        <w:jc w:val="both"/>
        <w:rPr>
          <w:sz w:val="20"/>
          <w:szCs w:val="20"/>
          <w:lang w:val="es-ES"/>
        </w:rPr>
      </w:pPr>
    </w:p>
    <w:p w14:paraId="6CC07634" w14:textId="2E83AA38" w:rsidR="00FF427B" w:rsidRPr="00C7542C" w:rsidRDefault="003171EA" w:rsidP="00FF427B">
      <w:pPr>
        <w:pStyle w:val="ListParagraph"/>
        <w:numPr>
          <w:ilvl w:val="0"/>
          <w:numId w:val="2"/>
        </w:numPr>
        <w:ind w:left="0" w:firstLine="0"/>
        <w:jc w:val="both"/>
        <w:rPr>
          <w:sz w:val="20"/>
          <w:szCs w:val="20"/>
          <w:lang w:val="es-ES"/>
        </w:rPr>
      </w:pPr>
      <w:r w:rsidRPr="00C7542C">
        <w:rPr>
          <w:bCs/>
          <w:sz w:val="20"/>
          <w:szCs w:val="20"/>
          <w:lang w:val="es-ES_tradnl"/>
        </w:rPr>
        <w:t xml:space="preserve">Ante esta decisión, los abogados defensores del peticionario interpusieron </w:t>
      </w:r>
      <w:r w:rsidR="00A84C71" w:rsidRPr="00C7542C">
        <w:rPr>
          <w:bCs/>
          <w:sz w:val="20"/>
          <w:szCs w:val="20"/>
          <w:lang w:val="es-ES_tradnl"/>
        </w:rPr>
        <w:t>dos</w:t>
      </w:r>
      <w:r w:rsidRPr="00C7542C">
        <w:rPr>
          <w:bCs/>
          <w:sz w:val="20"/>
          <w:szCs w:val="20"/>
          <w:lang w:val="es-ES_tradnl"/>
        </w:rPr>
        <w:t xml:space="preserve"> recurso</w:t>
      </w:r>
      <w:r w:rsidR="00A84C71" w:rsidRPr="00C7542C">
        <w:rPr>
          <w:bCs/>
          <w:sz w:val="20"/>
          <w:szCs w:val="20"/>
          <w:lang w:val="es-ES_tradnl"/>
        </w:rPr>
        <w:t>s</w:t>
      </w:r>
      <w:r w:rsidRPr="00C7542C">
        <w:rPr>
          <w:bCs/>
          <w:sz w:val="20"/>
          <w:szCs w:val="20"/>
          <w:lang w:val="es-ES_tradnl"/>
        </w:rPr>
        <w:t xml:space="preserve"> de casación dirigido</w:t>
      </w:r>
      <w:r w:rsidR="00A84C71" w:rsidRPr="00C7542C">
        <w:rPr>
          <w:bCs/>
          <w:sz w:val="20"/>
          <w:szCs w:val="20"/>
          <w:lang w:val="es-ES_tradnl"/>
        </w:rPr>
        <w:t>s</w:t>
      </w:r>
      <w:r w:rsidRPr="00C7542C">
        <w:rPr>
          <w:bCs/>
          <w:sz w:val="20"/>
          <w:szCs w:val="20"/>
          <w:lang w:val="es-ES_tradnl"/>
        </w:rPr>
        <w:t xml:space="preserve"> al Superior </w:t>
      </w:r>
      <w:r w:rsidR="00E02D16" w:rsidRPr="00C7542C">
        <w:rPr>
          <w:bCs/>
          <w:sz w:val="20"/>
          <w:szCs w:val="20"/>
          <w:lang w:val="es-ES_tradnl"/>
        </w:rPr>
        <w:t>T</w:t>
      </w:r>
      <w:r w:rsidRPr="00C7542C">
        <w:rPr>
          <w:bCs/>
          <w:sz w:val="20"/>
          <w:szCs w:val="20"/>
          <w:lang w:val="es-ES_tradnl"/>
        </w:rPr>
        <w:t>ribunal de Justicia de la Provincia de</w:t>
      </w:r>
      <w:r w:rsidR="00E02D16" w:rsidRPr="00C7542C">
        <w:rPr>
          <w:bCs/>
          <w:sz w:val="20"/>
          <w:szCs w:val="20"/>
          <w:lang w:val="es-ES_tradnl"/>
        </w:rPr>
        <w:t>l</w:t>
      </w:r>
      <w:r w:rsidRPr="00C7542C">
        <w:rPr>
          <w:bCs/>
          <w:sz w:val="20"/>
          <w:szCs w:val="20"/>
          <w:lang w:val="es-ES_tradnl"/>
        </w:rPr>
        <w:t xml:space="preserve"> Chubut. La </w:t>
      </w:r>
      <w:r w:rsidR="00E547DE" w:rsidRPr="00C7542C">
        <w:rPr>
          <w:bCs/>
          <w:sz w:val="20"/>
          <w:szCs w:val="20"/>
          <w:lang w:val="es-ES_tradnl"/>
        </w:rPr>
        <w:t>Comisión</w:t>
      </w:r>
      <w:r w:rsidRPr="00C7542C">
        <w:rPr>
          <w:bCs/>
          <w:sz w:val="20"/>
          <w:szCs w:val="20"/>
          <w:lang w:val="es-ES_tradnl"/>
        </w:rPr>
        <w:t xml:space="preserve"> resalta que, conforme al régimen procesal penal vigente </w:t>
      </w:r>
      <w:r w:rsidR="00E547DE" w:rsidRPr="00C7542C">
        <w:rPr>
          <w:bCs/>
          <w:sz w:val="20"/>
          <w:szCs w:val="20"/>
          <w:lang w:val="es-ES_tradnl"/>
        </w:rPr>
        <w:t>en la Provincia de</w:t>
      </w:r>
      <w:r w:rsidR="00E02D16" w:rsidRPr="00C7542C">
        <w:rPr>
          <w:bCs/>
          <w:sz w:val="20"/>
          <w:szCs w:val="20"/>
          <w:lang w:val="es-ES_tradnl"/>
        </w:rPr>
        <w:t>l</w:t>
      </w:r>
      <w:r w:rsidR="00E547DE" w:rsidRPr="00C7542C">
        <w:rPr>
          <w:bCs/>
          <w:sz w:val="20"/>
          <w:szCs w:val="20"/>
          <w:lang w:val="es-ES_tradnl"/>
        </w:rPr>
        <w:t xml:space="preserve"> Chubut </w:t>
      </w:r>
      <w:r w:rsidRPr="00C7542C">
        <w:rPr>
          <w:bCs/>
          <w:sz w:val="20"/>
          <w:szCs w:val="20"/>
          <w:lang w:val="es-ES_tradnl"/>
        </w:rPr>
        <w:t xml:space="preserve">al momento </w:t>
      </w:r>
      <w:r w:rsidR="00E547DE" w:rsidRPr="00C7542C">
        <w:rPr>
          <w:bCs/>
          <w:sz w:val="20"/>
          <w:szCs w:val="20"/>
          <w:lang w:val="es-ES_tradnl"/>
        </w:rPr>
        <w:t>del proceso, la procedencia de dicho recurso de casación se hallaba circunscripta de manera exclusiva a los motivos de “inobservancia o errónea aplicación de la ley sustantiva” o “inobservancia de las normas que este Código establece bajo pena de inadmisibilidad, caducidad o nulidad, siempre que, con excepción de los casos de nulidad absoluta, el recurrente haya reclamado oportunamente la subsanación del defecto, si era posible, o hecho protesta de recurrir en casación”</w:t>
      </w:r>
      <w:r w:rsidR="00E547DE" w:rsidRPr="00C7542C">
        <w:rPr>
          <w:rStyle w:val="FootnoteReference"/>
          <w:bCs/>
          <w:sz w:val="20"/>
          <w:szCs w:val="20"/>
          <w:lang w:val="es-ES_tradnl"/>
        </w:rPr>
        <w:footnoteReference w:id="59"/>
      </w:r>
      <w:r w:rsidR="00E547DE" w:rsidRPr="00C7542C">
        <w:rPr>
          <w:bCs/>
          <w:sz w:val="20"/>
          <w:szCs w:val="20"/>
          <w:lang w:val="es-ES_tradnl"/>
        </w:rPr>
        <w:t xml:space="preserve">. </w:t>
      </w:r>
    </w:p>
    <w:p w14:paraId="0C25ED9B" w14:textId="77777777" w:rsidR="00FF427B" w:rsidRPr="00C7542C" w:rsidRDefault="00FF427B" w:rsidP="00FF427B">
      <w:pPr>
        <w:pStyle w:val="ListParagraph"/>
        <w:ind w:left="0"/>
        <w:jc w:val="both"/>
        <w:rPr>
          <w:sz w:val="20"/>
          <w:szCs w:val="20"/>
          <w:lang w:val="es-ES"/>
        </w:rPr>
      </w:pPr>
    </w:p>
    <w:p w14:paraId="6BE05E4A" w14:textId="198E203E" w:rsidR="00FF427B" w:rsidRPr="00C7542C" w:rsidRDefault="00A84C71" w:rsidP="00FF427B">
      <w:pPr>
        <w:pStyle w:val="ListParagraph"/>
        <w:numPr>
          <w:ilvl w:val="0"/>
          <w:numId w:val="2"/>
        </w:numPr>
        <w:ind w:left="0" w:firstLine="0"/>
        <w:jc w:val="both"/>
        <w:rPr>
          <w:sz w:val="20"/>
          <w:szCs w:val="20"/>
          <w:lang w:val="es-ES"/>
        </w:rPr>
      </w:pPr>
      <w:r w:rsidRPr="00C7542C">
        <w:rPr>
          <w:bCs/>
          <w:sz w:val="20"/>
          <w:szCs w:val="20"/>
          <w:lang w:val="es-ES_tradnl"/>
        </w:rPr>
        <w:t xml:space="preserve">La </w:t>
      </w:r>
      <w:r w:rsidR="00326700" w:rsidRPr="00C7542C">
        <w:rPr>
          <w:bCs/>
          <w:sz w:val="20"/>
          <w:szCs w:val="20"/>
          <w:lang w:val="es-ES_tradnl"/>
        </w:rPr>
        <w:t>Comisión</w:t>
      </w:r>
      <w:r w:rsidRPr="00C7542C">
        <w:rPr>
          <w:bCs/>
          <w:sz w:val="20"/>
          <w:szCs w:val="20"/>
          <w:lang w:val="es-ES_tradnl"/>
        </w:rPr>
        <w:t xml:space="preserve"> </w:t>
      </w:r>
      <w:r w:rsidR="00326700" w:rsidRPr="00C7542C">
        <w:rPr>
          <w:bCs/>
          <w:sz w:val="20"/>
          <w:szCs w:val="20"/>
          <w:lang w:val="es-ES_tradnl"/>
        </w:rPr>
        <w:t>también</w:t>
      </w:r>
      <w:r w:rsidRPr="00C7542C">
        <w:rPr>
          <w:bCs/>
          <w:sz w:val="20"/>
          <w:szCs w:val="20"/>
          <w:lang w:val="es-ES_tradnl"/>
        </w:rPr>
        <w:t xml:space="preserve"> resalta que el Superior Tribunal de Justicia de la Provincia de</w:t>
      </w:r>
      <w:r w:rsidR="00E02D16" w:rsidRPr="00C7542C">
        <w:rPr>
          <w:bCs/>
          <w:sz w:val="20"/>
          <w:szCs w:val="20"/>
          <w:lang w:val="es-ES_tradnl"/>
        </w:rPr>
        <w:t>l</w:t>
      </w:r>
      <w:r w:rsidRPr="00C7542C">
        <w:rPr>
          <w:bCs/>
          <w:sz w:val="20"/>
          <w:szCs w:val="20"/>
          <w:lang w:val="es-ES_tradnl"/>
        </w:rPr>
        <w:t xml:space="preserve"> Chubut, mediante sentencia de fecha 16 de diciembre de 2002, </w:t>
      </w:r>
      <w:r w:rsidR="00326700" w:rsidRPr="00C7542C">
        <w:rPr>
          <w:bCs/>
          <w:sz w:val="20"/>
          <w:szCs w:val="20"/>
          <w:lang w:val="es-ES_tradnl"/>
        </w:rPr>
        <w:t>decidió</w:t>
      </w:r>
      <w:r w:rsidRPr="00C7542C">
        <w:rPr>
          <w:bCs/>
          <w:sz w:val="20"/>
          <w:szCs w:val="20"/>
          <w:lang w:val="es-ES_tradnl"/>
        </w:rPr>
        <w:t xml:space="preserve"> declarar “inadmisibles” ambos recursos de casación</w:t>
      </w:r>
      <w:r w:rsidR="00326700" w:rsidRPr="00C7542C">
        <w:rPr>
          <w:bCs/>
          <w:sz w:val="20"/>
          <w:szCs w:val="20"/>
          <w:lang w:val="es-ES_tradnl"/>
        </w:rPr>
        <w:t xml:space="preserve"> y no ingresó en el estudio de las cuestiones planteadas en ellos</w:t>
      </w:r>
      <w:r w:rsidRPr="00C7542C">
        <w:rPr>
          <w:bCs/>
          <w:sz w:val="20"/>
          <w:szCs w:val="20"/>
          <w:lang w:val="es-ES_tradnl"/>
        </w:rPr>
        <w:t xml:space="preserve">. La </w:t>
      </w:r>
      <w:r w:rsidR="00326700" w:rsidRPr="00C7542C">
        <w:rPr>
          <w:bCs/>
          <w:sz w:val="20"/>
          <w:szCs w:val="20"/>
          <w:lang w:val="es-ES_tradnl"/>
        </w:rPr>
        <w:t>Comisión</w:t>
      </w:r>
      <w:r w:rsidRPr="00C7542C">
        <w:rPr>
          <w:bCs/>
          <w:sz w:val="20"/>
          <w:szCs w:val="20"/>
          <w:lang w:val="es-ES_tradnl"/>
        </w:rPr>
        <w:t xml:space="preserve"> nota que, en la mencionada resolución, el tribunal se limit</w:t>
      </w:r>
      <w:r w:rsidR="00326700" w:rsidRPr="00C7542C">
        <w:rPr>
          <w:bCs/>
          <w:sz w:val="20"/>
          <w:szCs w:val="20"/>
          <w:lang w:val="es-ES_tradnl"/>
        </w:rPr>
        <w:t>ó</w:t>
      </w:r>
      <w:r w:rsidRPr="00C7542C">
        <w:rPr>
          <w:bCs/>
          <w:sz w:val="20"/>
          <w:szCs w:val="20"/>
          <w:lang w:val="es-ES_tradnl"/>
        </w:rPr>
        <w:t xml:space="preserve"> a argumentar que “los Jueces del debate son soberanos en la aplicación de las circunstancias aludidas por el régimen Penal de la Minoridad</w:t>
      </w:r>
      <w:r w:rsidR="00326700" w:rsidRPr="00C7542C">
        <w:rPr>
          <w:bCs/>
          <w:sz w:val="20"/>
          <w:szCs w:val="20"/>
          <w:lang w:val="es-ES_tradnl"/>
        </w:rPr>
        <w:t xml:space="preserve">, Ley 22.278, art. 4, apartado segundo e in fine y por el C.P artículos 40 y </w:t>
      </w:r>
      <w:r w:rsidR="00FF427B" w:rsidRPr="00C7542C">
        <w:rPr>
          <w:bCs/>
          <w:sz w:val="20"/>
          <w:szCs w:val="20"/>
          <w:lang w:val="es-ES_tradnl"/>
        </w:rPr>
        <w:t>41, salvo</w:t>
      </w:r>
      <w:r w:rsidRPr="00C7542C">
        <w:rPr>
          <w:bCs/>
          <w:sz w:val="20"/>
          <w:szCs w:val="20"/>
          <w:lang w:val="es-ES_tradnl"/>
        </w:rPr>
        <w:t xml:space="preserve"> que se alegue y demuestre absurdo en </w:t>
      </w:r>
      <w:r w:rsidR="00326700" w:rsidRPr="00C7542C">
        <w:rPr>
          <w:bCs/>
          <w:sz w:val="20"/>
          <w:szCs w:val="20"/>
          <w:lang w:val="es-ES_tradnl"/>
        </w:rPr>
        <w:t>esa ponderación o que los magistrados hubiesen rebasado la escala penal fijada para el delito, o trastocado la naturaleza o el alcance de aquellas. No corresponde el control casatorio en virtud de no existir un criterio objetivo que determine la actitud que debe guardar el juzgador en punto a la valoración de tales cuestiones fácticas”</w:t>
      </w:r>
      <w:r w:rsidR="00326700" w:rsidRPr="00C7542C">
        <w:rPr>
          <w:rStyle w:val="FootnoteReference"/>
          <w:bCs/>
          <w:sz w:val="20"/>
          <w:szCs w:val="20"/>
          <w:lang w:val="es-ES_tradnl"/>
        </w:rPr>
        <w:footnoteReference w:id="60"/>
      </w:r>
      <w:r w:rsidR="00E02D16" w:rsidRPr="00C7542C">
        <w:rPr>
          <w:bCs/>
          <w:sz w:val="20"/>
          <w:szCs w:val="20"/>
          <w:lang w:val="es-ES_tradnl"/>
        </w:rPr>
        <w:t xml:space="preserve">. </w:t>
      </w:r>
    </w:p>
    <w:p w14:paraId="7C77989A" w14:textId="77777777" w:rsidR="00FF427B" w:rsidRPr="00C7542C" w:rsidRDefault="00FF427B" w:rsidP="00FF427B">
      <w:pPr>
        <w:pStyle w:val="ListParagraph"/>
        <w:ind w:left="0"/>
        <w:jc w:val="both"/>
        <w:rPr>
          <w:sz w:val="20"/>
          <w:szCs w:val="20"/>
          <w:lang w:val="es-ES"/>
        </w:rPr>
      </w:pPr>
    </w:p>
    <w:p w14:paraId="69CA5331" w14:textId="11E66F0C" w:rsidR="00FF427B" w:rsidRPr="00C7542C" w:rsidRDefault="00E02D16" w:rsidP="00FF427B">
      <w:pPr>
        <w:pStyle w:val="ListParagraph"/>
        <w:numPr>
          <w:ilvl w:val="0"/>
          <w:numId w:val="2"/>
        </w:numPr>
        <w:ind w:left="0" w:firstLine="0"/>
        <w:jc w:val="both"/>
        <w:rPr>
          <w:sz w:val="20"/>
          <w:szCs w:val="20"/>
          <w:lang w:val="es-ES"/>
        </w:rPr>
      </w:pPr>
      <w:r w:rsidRPr="00C7542C">
        <w:rPr>
          <w:bCs/>
          <w:sz w:val="20"/>
          <w:szCs w:val="20"/>
          <w:lang w:val="es-ES_tradnl"/>
        </w:rPr>
        <w:t xml:space="preserve">La Comisión entiende que la limitación normativa existente en el Código Procesal Penal de Chubut para la procedencia del recurso de casación ante una sentencia condenatoria vigente al momento de los hechos </w:t>
      </w:r>
      <w:r w:rsidRPr="00C7542C">
        <w:rPr>
          <w:bCs/>
          <w:sz w:val="20"/>
          <w:szCs w:val="20"/>
          <w:lang w:val="es-ES_tradnl"/>
        </w:rPr>
        <w:lastRenderedPageBreak/>
        <w:t>imposibilitó, en el caso concreto, que el Sr. Pacheco pudiera ejercer su derecho a la revisión integral de la decisión judicial dictada por el tribunal de primera instancia</w:t>
      </w:r>
      <w:r w:rsidR="00CD2B2B" w:rsidRPr="00C7542C">
        <w:rPr>
          <w:rStyle w:val="FootnoteReference"/>
          <w:bCs/>
          <w:sz w:val="20"/>
          <w:szCs w:val="20"/>
          <w:lang w:val="es-ES_tradnl"/>
        </w:rPr>
        <w:footnoteReference w:id="61"/>
      </w:r>
      <w:r w:rsidRPr="00C7542C">
        <w:rPr>
          <w:bCs/>
          <w:sz w:val="20"/>
          <w:szCs w:val="20"/>
          <w:lang w:val="es-ES_tradnl"/>
        </w:rPr>
        <w:t>.</w:t>
      </w:r>
    </w:p>
    <w:p w14:paraId="503ED695" w14:textId="77777777" w:rsidR="00FF427B" w:rsidRPr="00C7542C" w:rsidRDefault="00FF427B" w:rsidP="00FF427B">
      <w:pPr>
        <w:pStyle w:val="ListParagraph"/>
        <w:ind w:left="0"/>
        <w:jc w:val="both"/>
        <w:rPr>
          <w:sz w:val="20"/>
          <w:szCs w:val="20"/>
          <w:lang w:val="es-ES"/>
        </w:rPr>
      </w:pPr>
    </w:p>
    <w:p w14:paraId="66129DD6" w14:textId="07FC725D" w:rsidR="00FF427B" w:rsidRPr="00C7542C" w:rsidRDefault="00E02D16" w:rsidP="00FF427B">
      <w:pPr>
        <w:pStyle w:val="ListParagraph"/>
        <w:numPr>
          <w:ilvl w:val="0"/>
          <w:numId w:val="2"/>
        </w:numPr>
        <w:ind w:left="0" w:firstLine="0"/>
        <w:jc w:val="both"/>
        <w:rPr>
          <w:sz w:val="20"/>
          <w:szCs w:val="20"/>
          <w:lang w:val="es-ES"/>
        </w:rPr>
      </w:pPr>
      <w:r w:rsidRPr="00C7542C">
        <w:rPr>
          <w:bCs/>
          <w:sz w:val="20"/>
          <w:szCs w:val="20"/>
          <w:lang w:val="es-ES_tradnl"/>
        </w:rPr>
        <w:t>No corresponde a la CIDH determinar las posibles cuestiones que hubieran podido formularse en el presente caso de no haberse aplicado los factores limitantes. La CIDH ha referido que</w:t>
      </w:r>
      <w:r w:rsidR="004C366A" w:rsidRPr="00C7542C">
        <w:rPr>
          <w:bCs/>
          <w:sz w:val="20"/>
          <w:szCs w:val="20"/>
          <w:lang w:val="es-ES_tradnl"/>
        </w:rPr>
        <w:t xml:space="preserve"> </w:t>
      </w:r>
      <w:r w:rsidRPr="00C7542C">
        <w:rPr>
          <w:bCs/>
          <w:sz w:val="20"/>
          <w:szCs w:val="20"/>
          <w:lang w:val="es-ES_tradnl"/>
        </w:rPr>
        <w:t>“resulta suficiente determinar que las presuntas víctimas iniciaron la etapa recursiva con una limitación normativa respecto de los alegatos que podían presentar (…) Esta exclusión resulta, en sí misma, incompatible con el alcance amplio del recurso contemplado en el artículo 8.2.h de la Convención Americana”. En todo caso, el alcance limitado del recurso de casación se vio reflejado en la manera en que fueron resueltos dichos recursos en el asunto concreto.</w:t>
      </w:r>
    </w:p>
    <w:p w14:paraId="7ABC07B7" w14:textId="77777777" w:rsidR="00FF427B" w:rsidRPr="00C7542C" w:rsidRDefault="00FF427B" w:rsidP="00FF427B">
      <w:pPr>
        <w:pStyle w:val="ListParagraph"/>
        <w:ind w:left="0"/>
        <w:jc w:val="both"/>
        <w:rPr>
          <w:sz w:val="20"/>
          <w:szCs w:val="20"/>
          <w:lang w:val="es-ES"/>
        </w:rPr>
      </w:pPr>
    </w:p>
    <w:p w14:paraId="49F06AB3" w14:textId="273A34F0" w:rsidR="00FF427B" w:rsidRPr="00C7542C" w:rsidRDefault="00E02D16" w:rsidP="00FF427B">
      <w:pPr>
        <w:pStyle w:val="ListParagraph"/>
        <w:numPr>
          <w:ilvl w:val="0"/>
          <w:numId w:val="2"/>
        </w:numPr>
        <w:ind w:left="0" w:firstLine="0"/>
        <w:jc w:val="both"/>
        <w:rPr>
          <w:sz w:val="20"/>
          <w:szCs w:val="20"/>
          <w:lang w:val="es-ES"/>
        </w:rPr>
      </w:pPr>
      <w:r w:rsidRPr="00C7542C">
        <w:rPr>
          <w:bCs/>
          <w:sz w:val="20"/>
          <w:szCs w:val="20"/>
          <w:lang w:val="es-ES_tradnl"/>
        </w:rPr>
        <w:t>Finalmente</w:t>
      </w:r>
      <w:r w:rsidR="00326700" w:rsidRPr="00C7542C">
        <w:rPr>
          <w:bCs/>
          <w:sz w:val="20"/>
          <w:szCs w:val="20"/>
          <w:lang w:val="es-ES_tradnl"/>
        </w:rPr>
        <w:t xml:space="preserve">, la CIDH remarca que las alegaciones efectuadas por los defensores del Sr. Pacheco respecto de una eventual violación del derecho a la revisión integral del fallo condenatorio no fueron analizadas por la Corte Suprema de Justicia de la </w:t>
      </w:r>
      <w:r w:rsidRPr="00C7542C">
        <w:rPr>
          <w:bCs/>
          <w:sz w:val="20"/>
          <w:szCs w:val="20"/>
          <w:lang w:val="es-ES_tradnl"/>
        </w:rPr>
        <w:t xml:space="preserve">Nación, toda vez que este tribunal declaró “improcedente” el recurso extraordinario federal interpuesto. Sin perjuicio de ello, la Comisión estima que las limitaciones que la presunta víctima experimentó en relación con las causales de procedencia del recurso de casación no podrían en principio haber sido subsanadas mediante la interposición del recurso extraordinario federal, el </w:t>
      </w:r>
      <w:r w:rsidR="006E6452" w:rsidRPr="00C7542C">
        <w:rPr>
          <w:bCs/>
          <w:sz w:val="20"/>
          <w:szCs w:val="20"/>
          <w:lang w:val="es-ES_tradnl"/>
        </w:rPr>
        <w:t>cual,</w:t>
      </w:r>
      <w:r w:rsidRPr="00C7542C">
        <w:rPr>
          <w:bCs/>
          <w:sz w:val="20"/>
          <w:szCs w:val="20"/>
          <w:lang w:val="es-ES_tradnl"/>
        </w:rPr>
        <w:t xml:space="preserve"> a su vez, también contemplaba determinadas</w:t>
      </w:r>
      <w:r w:rsidR="00D23D4A" w:rsidRPr="00C7542C">
        <w:rPr>
          <w:bCs/>
          <w:sz w:val="20"/>
          <w:szCs w:val="20"/>
          <w:lang w:val="es-ES_tradnl"/>
        </w:rPr>
        <w:t xml:space="preserve"> </w:t>
      </w:r>
      <w:r w:rsidRPr="00C7542C">
        <w:rPr>
          <w:bCs/>
          <w:sz w:val="20"/>
          <w:szCs w:val="20"/>
          <w:lang w:val="es-ES_tradnl"/>
        </w:rPr>
        <w:t>limitaciones de procedencia para la discusión de cuestiones fácticas, conforme lo establecido en el artículo 14 de la Ley 48</w:t>
      </w:r>
      <w:r w:rsidR="00572B2D" w:rsidRPr="00C7542C">
        <w:rPr>
          <w:rStyle w:val="FootnoteReference"/>
          <w:bCs/>
          <w:sz w:val="20"/>
          <w:szCs w:val="20"/>
          <w:lang w:val="es-ES_tradnl"/>
        </w:rPr>
        <w:footnoteReference w:id="62"/>
      </w:r>
      <w:r w:rsidRPr="00C7542C">
        <w:rPr>
          <w:bCs/>
          <w:sz w:val="20"/>
          <w:szCs w:val="20"/>
          <w:lang w:val="es-ES_tradnl"/>
        </w:rPr>
        <w:t>.</w:t>
      </w:r>
    </w:p>
    <w:p w14:paraId="7F0DA1D7" w14:textId="77777777" w:rsidR="00FF427B" w:rsidRPr="00C7542C" w:rsidRDefault="00FF427B" w:rsidP="00FF427B">
      <w:pPr>
        <w:pStyle w:val="ListParagraph"/>
        <w:ind w:left="0"/>
        <w:jc w:val="both"/>
        <w:rPr>
          <w:sz w:val="20"/>
          <w:szCs w:val="20"/>
          <w:lang w:val="es-ES"/>
        </w:rPr>
      </w:pPr>
    </w:p>
    <w:p w14:paraId="273C538B" w14:textId="505DD123" w:rsidR="00FF427B" w:rsidRPr="00C7542C" w:rsidRDefault="00E02D16" w:rsidP="00FF427B">
      <w:pPr>
        <w:pStyle w:val="ListParagraph"/>
        <w:numPr>
          <w:ilvl w:val="0"/>
          <w:numId w:val="2"/>
        </w:numPr>
        <w:ind w:left="0" w:firstLine="0"/>
        <w:jc w:val="both"/>
        <w:rPr>
          <w:sz w:val="20"/>
          <w:szCs w:val="20"/>
          <w:lang w:val="es-ES"/>
        </w:rPr>
      </w:pPr>
      <w:r w:rsidRPr="00C7542C">
        <w:rPr>
          <w:bCs/>
          <w:sz w:val="20"/>
          <w:szCs w:val="20"/>
          <w:lang w:val="es-ES_tradnl"/>
        </w:rPr>
        <w:t xml:space="preserve">Por </w:t>
      </w:r>
      <w:r w:rsidR="00FF427B" w:rsidRPr="00C7542C">
        <w:rPr>
          <w:bCs/>
          <w:sz w:val="20"/>
          <w:szCs w:val="20"/>
          <w:lang w:val="es-ES_tradnl"/>
        </w:rPr>
        <w:t>último</w:t>
      </w:r>
      <w:r w:rsidRPr="00C7542C">
        <w:rPr>
          <w:bCs/>
          <w:sz w:val="20"/>
          <w:szCs w:val="20"/>
          <w:lang w:val="es-ES_tradnl"/>
        </w:rPr>
        <w:t xml:space="preserve">, la Comisión entiende que, con posterioridad a la sentencia del Superior Tribunal de Justicia de la Provincia del Chubut, </w:t>
      </w:r>
      <w:r w:rsidR="006E6452" w:rsidRPr="00C7542C">
        <w:rPr>
          <w:bCs/>
          <w:sz w:val="20"/>
          <w:szCs w:val="20"/>
          <w:lang w:val="es-ES_tradnl"/>
        </w:rPr>
        <w:t>el régimen procesal penal de la provincia experimentó cambios que, en principio, asegura</w:t>
      </w:r>
      <w:r w:rsidR="00572B2D" w:rsidRPr="00C7542C">
        <w:rPr>
          <w:bCs/>
          <w:sz w:val="20"/>
          <w:szCs w:val="20"/>
          <w:lang w:val="es-ES_tradnl"/>
        </w:rPr>
        <w:t>rían</w:t>
      </w:r>
      <w:r w:rsidR="006E6452" w:rsidRPr="00C7542C">
        <w:rPr>
          <w:bCs/>
          <w:sz w:val="20"/>
          <w:szCs w:val="20"/>
          <w:lang w:val="es-ES_tradnl"/>
        </w:rPr>
        <w:t xml:space="preserve"> a aquellos que son parte en un proceso </w:t>
      </w:r>
      <w:r w:rsidR="00FF427B" w:rsidRPr="00C7542C">
        <w:rPr>
          <w:bCs/>
          <w:sz w:val="20"/>
          <w:szCs w:val="20"/>
          <w:lang w:val="es-ES_tradnl"/>
        </w:rPr>
        <w:t>penal el</w:t>
      </w:r>
      <w:r w:rsidR="006E6452" w:rsidRPr="00C7542C">
        <w:rPr>
          <w:bCs/>
          <w:sz w:val="20"/>
          <w:szCs w:val="20"/>
          <w:lang w:val="es-ES_tradnl"/>
        </w:rPr>
        <w:t xml:space="preserve"> derecho a obtener </w:t>
      </w:r>
      <w:r w:rsidR="00FF427B" w:rsidRPr="00C7542C">
        <w:rPr>
          <w:bCs/>
          <w:sz w:val="20"/>
          <w:szCs w:val="20"/>
          <w:lang w:val="es-ES_tradnl"/>
        </w:rPr>
        <w:t>una revisión</w:t>
      </w:r>
      <w:r w:rsidR="006E6452" w:rsidRPr="00C7542C">
        <w:rPr>
          <w:bCs/>
          <w:sz w:val="20"/>
          <w:szCs w:val="20"/>
          <w:lang w:val="es-ES_tradnl"/>
        </w:rPr>
        <w:t xml:space="preserve"> integral y exhaustiva de la decisión de primera instancia</w:t>
      </w:r>
      <w:r w:rsidR="006E6452" w:rsidRPr="00C7542C">
        <w:rPr>
          <w:rStyle w:val="FootnoteReference"/>
          <w:bCs/>
          <w:sz w:val="20"/>
          <w:szCs w:val="20"/>
          <w:lang w:val="es-ES_tradnl"/>
        </w:rPr>
        <w:footnoteReference w:id="63"/>
      </w:r>
      <w:r w:rsidR="006E6452" w:rsidRPr="00C7542C">
        <w:rPr>
          <w:bCs/>
          <w:sz w:val="20"/>
          <w:szCs w:val="20"/>
          <w:lang w:val="es-ES_tradnl"/>
        </w:rPr>
        <w:t xml:space="preserve">. Asimismo, </w:t>
      </w:r>
      <w:r w:rsidR="00AC0E54" w:rsidRPr="00C7542C">
        <w:rPr>
          <w:bCs/>
          <w:sz w:val="20"/>
          <w:szCs w:val="20"/>
          <w:lang w:val="es-ES_tradnl"/>
        </w:rPr>
        <w:t xml:space="preserve">la CIDH toma nota que, </w:t>
      </w:r>
      <w:r w:rsidR="006E6452" w:rsidRPr="00C7542C">
        <w:rPr>
          <w:bCs/>
          <w:sz w:val="20"/>
          <w:szCs w:val="20"/>
          <w:lang w:val="es-ES_tradnl"/>
        </w:rPr>
        <w:t xml:space="preserve">a nivel </w:t>
      </w:r>
      <w:r w:rsidR="00FF427B" w:rsidRPr="00C7542C">
        <w:rPr>
          <w:bCs/>
          <w:sz w:val="20"/>
          <w:szCs w:val="20"/>
          <w:lang w:val="es-ES_tradnl"/>
        </w:rPr>
        <w:t>federal, han</w:t>
      </w:r>
      <w:r w:rsidR="00572B2D" w:rsidRPr="00C7542C">
        <w:rPr>
          <w:bCs/>
          <w:sz w:val="20"/>
          <w:szCs w:val="20"/>
          <w:lang w:val="es-ES_tradnl"/>
        </w:rPr>
        <w:t xml:space="preserve"> tenido lugar </w:t>
      </w:r>
      <w:r w:rsidR="00AC0E54" w:rsidRPr="00C7542C">
        <w:rPr>
          <w:bCs/>
          <w:sz w:val="20"/>
          <w:szCs w:val="20"/>
          <w:lang w:val="es-ES_tradnl"/>
        </w:rPr>
        <w:t xml:space="preserve">una serie de pronunciamientos </w:t>
      </w:r>
      <w:r w:rsidR="004C366A" w:rsidRPr="00C7542C">
        <w:rPr>
          <w:bCs/>
          <w:sz w:val="20"/>
          <w:szCs w:val="20"/>
          <w:lang w:val="es-ES_tradnl"/>
        </w:rPr>
        <w:t>jurisprudenciales</w:t>
      </w:r>
      <w:r w:rsidR="00AC0E54" w:rsidRPr="00C7542C">
        <w:rPr>
          <w:bCs/>
          <w:sz w:val="20"/>
          <w:szCs w:val="20"/>
          <w:lang w:val="es-ES_tradnl"/>
        </w:rPr>
        <w:t xml:space="preserve"> y, </w:t>
      </w:r>
      <w:r w:rsidR="00FF427B" w:rsidRPr="00C7542C">
        <w:rPr>
          <w:bCs/>
          <w:sz w:val="20"/>
          <w:szCs w:val="20"/>
          <w:lang w:val="es-ES_tradnl"/>
        </w:rPr>
        <w:t>más</w:t>
      </w:r>
      <w:r w:rsidR="00AC0E54" w:rsidRPr="00C7542C">
        <w:rPr>
          <w:bCs/>
          <w:sz w:val="20"/>
          <w:szCs w:val="20"/>
          <w:lang w:val="es-ES_tradnl"/>
        </w:rPr>
        <w:t xml:space="preserve"> recientemente, una reforma legislativa que </w:t>
      </w:r>
      <w:r w:rsidR="00572B2D" w:rsidRPr="00C7542C">
        <w:rPr>
          <w:bCs/>
          <w:sz w:val="20"/>
          <w:szCs w:val="20"/>
          <w:lang w:val="es-ES_tradnl"/>
        </w:rPr>
        <w:t xml:space="preserve">también </w:t>
      </w:r>
      <w:r w:rsidR="004C366A" w:rsidRPr="00C7542C">
        <w:rPr>
          <w:bCs/>
          <w:sz w:val="20"/>
          <w:szCs w:val="20"/>
          <w:lang w:val="es-ES_tradnl"/>
        </w:rPr>
        <w:t xml:space="preserve">perseguirían la creación de un recurso amplio y accesible </w:t>
      </w:r>
      <w:r w:rsidR="00572B2D" w:rsidRPr="00C7542C">
        <w:rPr>
          <w:bCs/>
          <w:sz w:val="20"/>
          <w:szCs w:val="20"/>
          <w:lang w:val="es-ES_tradnl"/>
        </w:rPr>
        <w:t>con el fin de asegurar la</w:t>
      </w:r>
      <w:r w:rsidR="004C366A" w:rsidRPr="00C7542C">
        <w:rPr>
          <w:bCs/>
          <w:sz w:val="20"/>
          <w:szCs w:val="20"/>
          <w:lang w:val="es-ES_tradnl"/>
        </w:rPr>
        <w:t xml:space="preserve"> revisión integral de la sentencia recurrida</w:t>
      </w:r>
      <w:r w:rsidR="004C366A" w:rsidRPr="00C7542C">
        <w:rPr>
          <w:rStyle w:val="FootnoteReference"/>
          <w:bCs/>
          <w:sz w:val="20"/>
          <w:szCs w:val="20"/>
          <w:lang w:val="es-ES_tradnl"/>
        </w:rPr>
        <w:footnoteReference w:id="64"/>
      </w:r>
      <w:r w:rsidR="004C366A" w:rsidRPr="00C7542C">
        <w:rPr>
          <w:bCs/>
          <w:sz w:val="20"/>
          <w:szCs w:val="20"/>
          <w:lang w:val="es-ES_tradnl"/>
        </w:rPr>
        <w:t xml:space="preserve">. Sin embargo, la </w:t>
      </w:r>
      <w:r w:rsidR="00572B2D" w:rsidRPr="00C7542C">
        <w:rPr>
          <w:bCs/>
          <w:sz w:val="20"/>
          <w:szCs w:val="20"/>
          <w:lang w:val="es-ES_tradnl"/>
        </w:rPr>
        <w:t>Comisión</w:t>
      </w:r>
      <w:r w:rsidR="004C366A" w:rsidRPr="00C7542C">
        <w:rPr>
          <w:bCs/>
          <w:sz w:val="20"/>
          <w:szCs w:val="20"/>
          <w:lang w:val="es-ES_tradnl"/>
        </w:rPr>
        <w:t xml:space="preserve"> entiende que</w:t>
      </w:r>
      <w:r w:rsidR="00572B2D" w:rsidRPr="00C7542C">
        <w:rPr>
          <w:bCs/>
          <w:sz w:val="20"/>
          <w:szCs w:val="20"/>
          <w:lang w:val="es-ES_tradnl"/>
        </w:rPr>
        <w:t xml:space="preserve">, </w:t>
      </w:r>
      <w:r w:rsidR="004C366A" w:rsidRPr="00C7542C">
        <w:rPr>
          <w:bCs/>
          <w:sz w:val="20"/>
          <w:szCs w:val="20"/>
          <w:lang w:val="es-ES_tradnl"/>
        </w:rPr>
        <w:t xml:space="preserve">en el </w:t>
      </w:r>
      <w:r w:rsidR="00572B2D" w:rsidRPr="00C7542C">
        <w:rPr>
          <w:bCs/>
          <w:sz w:val="20"/>
          <w:szCs w:val="20"/>
          <w:lang w:val="es-ES_tradnl"/>
        </w:rPr>
        <w:t>presente</w:t>
      </w:r>
      <w:r w:rsidR="004C366A" w:rsidRPr="00C7542C">
        <w:rPr>
          <w:bCs/>
          <w:sz w:val="20"/>
          <w:szCs w:val="20"/>
          <w:lang w:val="es-ES_tradnl"/>
        </w:rPr>
        <w:t xml:space="preserve"> caso</w:t>
      </w:r>
      <w:r w:rsidR="00572B2D" w:rsidRPr="00C7542C">
        <w:rPr>
          <w:bCs/>
          <w:sz w:val="20"/>
          <w:szCs w:val="20"/>
          <w:lang w:val="es-ES_tradnl"/>
        </w:rPr>
        <w:t xml:space="preserve">, dichas reformas </w:t>
      </w:r>
      <w:r w:rsidR="00D23D4A" w:rsidRPr="00C7542C">
        <w:rPr>
          <w:bCs/>
          <w:sz w:val="20"/>
          <w:szCs w:val="20"/>
          <w:lang w:val="es-ES_tradnl"/>
        </w:rPr>
        <w:t xml:space="preserve">en nada </w:t>
      </w:r>
      <w:r w:rsidR="00572B2D" w:rsidRPr="00C7542C">
        <w:rPr>
          <w:bCs/>
          <w:sz w:val="20"/>
          <w:szCs w:val="20"/>
          <w:lang w:val="es-ES_tradnl"/>
        </w:rPr>
        <w:t xml:space="preserve">modificaron la situación procesal del peticionario ya que, para la fecha en que fueron </w:t>
      </w:r>
      <w:r w:rsidR="00CD2B2B" w:rsidRPr="00C7542C">
        <w:rPr>
          <w:bCs/>
          <w:sz w:val="20"/>
          <w:szCs w:val="20"/>
          <w:lang w:val="es-ES_tradnl"/>
        </w:rPr>
        <w:t>implementadas</w:t>
      </w:r>
      <w:r w:rsidR="00572B2D" w:rsidRPr="00C7542C">
        <w:rPr>
          <w:bCs/>
          <w:sz w:val="20"/>
          <w:szCs w:val="20"/>
          <w:lang w:val="es-ES_tradnl"/>
        </w:rPr>
        <w:t xml:space="preserve">, la sentencia dictada contra el Sr. Pacheco ya había adquirido el carácter de cosa juzgada. En consecuencia, la </w:t>
      </w:r>
      <w:r w:rsidR="00CD2B2B" w:rsidRPr="00C7542C">
        <w:rPr>
          <w:bCs/>
          <w:sz w:val="20"/>
          <w:szCs w:val="20"/>
          <w:lang w:val="es-ES_tradnl"/>
        </w:rPr>
        <w:t>Comisión</w:t>
      </w:r>
      <w:r w:rsidR="00572B2D" w:rsidRPr="00C7542C">
        <w:rPr>
          <w:bCs/>
          <w:sz w:val="20"/>
          <w:szCs w:val="20"/>
          <w:lang w:val="es-ES_tradnl"/>
        </w:rPr>
        <w:t xml:space="preserve"> </w:t>
      </w:r>
      <w:r w:rsidR="00CD2B2B" w:rsidRPr="00C7542C">
        <w:rPr>
          <w:bCs/>
          <w:sz w:val="20"/>
          <w:szCs w:val="20"/>
          <w:lang w:val="es-ES_tradnl"/>
        </w:rPr>
        <w:t>concluye que la violación al derecho a recurrir la sentencia condenatoria sufrida por el peticionario</w:t>
      </w:r>
      <w:r w:rsidR="00D23D4A" w:rsidRPr="00C7542C">
        <w:rPr>
          <w:bCs/>
          <w:sz w:val="20"/>
          <w:szCs w:val="20"/>
          <w:lang w:val="es-ES_tradnl"/>
        </w:rPr>
        <w:t xml:space="preserve"> no ha sido adecuada e integralmente reparada por el Estado argentino</w:t>
      </w:r>
      <w:r w:rsidR="00CD2B2B" w:rsidRPr="00C7542C">
        <w:rPr>
          <w:bCs/>
          <w:sz w:val="20"/>
          <w:szCs w:val="20"/>
          <w:lang w:val="es-ES_tradnl"/>
        </w:rPr>
        <w:t xml:space="preserve">. </w:t>
      </w:r>
      <w:r w:rsidR="00572B2D" w:rsidRPr="00C7542C">
        <w:rPr>
          <w:bCs/>
          <w:sz w:val="20"/>
          <w:szCs w:val="20"/>
          <w:lang w:val="es-ES_tradnl"/>
        </w:rPr>
        <w:t xml:space="preserve"> </w:t>
      </w:r>
    </w:p>
    <w:p w14:paraId="3A2D1D28" w14:textId="77777777" w:rsidR="00FF427B" w:rsidRPr="00C7542C" w:rsidRDefault="00FF427B" w:rsidP="00FF427B">
      <w:pPr>
        <w:pStyle w:val="ListParagraph"/>
        <w:ind w:left="0"/>
        <w:jc w:val="both"/>
        <w:rPr>
          <w:sz w:val="20"/>
          <w:szCs w:val="20"/>
          <w:lang w:val="es-ES"/>
        </w:rPr>
      </w:pPr>
    </w:p>
    <w:p w14:paraId="3AA9BC04" w14:textId="4062BEBE" w:rsidR="00C13D02" w:rsidRPr="00C7542C" w:rsidRDefault="00C13D02" w:rsidP="00FF427B">
      <w:pPr>
        <w:pStyle w:val="ListParagraph"/>
        <w:numPr>
          <w:ilvl w:val="0"/>
          <w:numId w:val="2"/>
        </w:numPr>
        <w:ind w:left="0" w:firstLine="0"/>
        <w:jc w:val="both"/>
        <w:rPr>
          <w:sz w:val="20"/>
          <w:szCs w:val="20"/>
          <w:lang w:val="es-ES"/>
        </w:rPr>
      </w:pPr>
      <w:r w:rsidRPr="00C7542C">
        <w:rPr>
          <w:bCs/>
          <w:sz w:val="20"/>
          <w:szCs w:val="20"/>
          <w:lang w:val="es-ES_tradnl"/>
        </w:rPr>
        <w:t xml:space="preserve">En virtud de las anteriores consideraciones, la CIDH </w:t>
      </w:r>
      <w:r w:rsidR="00D23D4A" w:rsidRPr="00C7542C">
        <w:rPr>
          <w:bCs/>
          <w:sz w:val="20"/>
          <w:szCs w:val="20"/>
          <w:lang w:val="es-ES_tradnl"/>
        </w:rPr>
        <w:t xml:space="preserve">arriba a la conclusión </w:t>
      </w:r>
      <w:r w:rsidRPr="00C7542C">
        <w:rPr>
          <w:bCs/>
          <w:sz w:val="20"/>
          <w:szCs w:val="20"/>
          <w:lang w:val="es-ES_tradnl"/>
        </w:rPr>
        <w:t xml:space="preserve">que el </w:t>
      </w:r>
      <w:r w:rsidR="00E02D16" w:rsidRPr="00C7542C">
        <w:rPr>
          <w:bCs/>
          <w:sz w:val="20"/>
          <w:szCs w:val="20"/>
          <w:lang w:val="es-ES_tradnl"/>
        </w:rPr>
        <w:t>Sr. Pacheco</w:t>
      </w:r>
      <w:r w:rsidRPr="00C7542C">
        <w:rPr>
          <w:bCs/>
          <w:sz w:val="20"/>
          <w:szCs w:val="20"/>
          <w:lang w:val="es-ES_tradnl"/>
        </w:rPr>
        <w:t xml:space="preserve"> no contó con un recurso ante autoridad jerárquica que efectuara una revisión integral de la condena emitida en su contra, incluyendo las cuestiones de hecho, derecho, valoración probatoria y debido proceso alegadas por la defensa mediante el recurso de casación. En </w:t>
      </w:r>
      <w:r w:rsidR="00D23D4A" w:rsidRPr="00C7542C">
        <w:rPr>
          <w:bCs/>
          <w:sz w:val="20"/>
          <w:szCs w:val="20"/>
          <w:lang w:val="es-ES_tradnl"/>
        </w:rPr>
        <w:t>tal</w:t>
      </w:r>
      <w:r w:rsidRPr="00C7542C">
        <w:rPr>
          <w:bCs/>
          <w:sz w:val="20"/>
          <w:szCs w:val="20"/>
          <w:lang w:val="es-ES_tradnl"/>
        </w:rPr>
        <w:t xml:space="preserve"> sentido, </w:t>
      </w:r>
      <w:r w:rsidR="00D23D4A" w:rsidRPr="00C7542C">
        <w:rPr>
          <w:bCs/>
          <w:sz w:val="20"/>
          <w:szCs w:val="20"/>
          <w:lang w:val="es-ES_tradnl"/>
        </w:rPr>
        <w:t xml:space="preserve">la Comisión concluye que </w:t>
      </w:r>
      <w:r w:rsidRPr="00C7542C">
        <w:rPr>
          <w:bCs/>
          <w:sz w:val="20"/>
          <w:szCs w:val="20"/>
          <w:lang w:val="es-ES_tradnl"/>
        </w:rPr>
        <w:t xml:space="preserve">el Estado </w:t>
      </w:r>
      <w:r w:rsidR="00D23D4A" w:rsidRPr="00C7542C">
        <w:rPr>
          <w:bCs/>
          <w:sz w:val="20"/>
          <w:szCs w:val="20"/>
          <w:lang w:val="es-ES_tradnl"/>
        </w:rPr>
        <w:t xml:space="preserve">argentino </w:t>
      </w:r>
      <w:r w:rsidRPr="00C7542C">
        <w:rPr>
          <w:bCs/>
          <w:sz w:val="20"/>
          <w:szCs w:val="20"/>
          <w:lang w:val="es-ES_tradnl"/>
        </w:rPr>
        <w:t xml:space="preserve">violó el derecho a recurrir del fallo establecido en el artículo 8.2.h de la CADH, en relación con los artículos 1.1 y 2 del mismo instrumento. Asimismo, la CIDH </w:t>
      </w:r>
      <w:r w:rsidR="00D23D4A" w:rsidRPr="00C7542C">
        <w:rPr>
          <w:bCs/>
          <w:sz w:val="20"/>
          <w:szCs w:val="20"/>
          <w:lang w:val="es-ES_tradnl"/>
        </w:rPr>
        <w:t>entiende</w:t>
      </w:r>
      <w:r w:rsidRPr="00C7542C">
        <w:rPr>
          <w:bCs/>
          <w:sz w:val="20"/>
          <w:szCs w:val="20"/>
          <w:lang w:val="es-ES_tradnl"/>
        </w:rPr>
        <w:t xml:space="preserve"> que</w:t>
      </w:r>
      <w:r w:rsidR="00D23D4A" w:rsidRPr="00C7542C">
        <w:rPr>
          <w:bCs/>
          <w:sz w:val="20"/>
          <w:szCs w:val="20"/>
          <w:lang w:val="es-ES_tradnl"/>
        </w:rPr>
        <w:t>,</w:t>
      </w:r>
      <w:r w:rsidRPr="00C7542C">
        <w:rPr>
          <w:bCs/>
          <w:sz w:val="20"/>
          <w:szCs w:val="20"/>
          <w:lang w:val="es-ES_tradnl"/>
        </w:rPr>
        <w:t xml:space="preserve"> como consecuencia del carácter limitado del recurso de casación, la víctima no contó con recursos judiciales sencillos y efectivos en el marco del proceso penal que culminó con su condena, en violación también del derecho establecido en el artículo 25.1 de la Convención, en relación con las obligaciones de los artículos 1.1 y 2 del mismo instrumento</w:t>
      </w:r>
      <w:r w:rsidR="00D23D4A" w:rsidRPr="00C7542C">
        <w:rPr>
          <w:bCs/>
          <w:sz w:val="20"/>
          <w:szCs w:val="20"/>
          <w:lang w:val="es-ES_tradnl"/>
        </w:rPr>
        <w:t xml:space="preserve">. </w:t>
      </w:r>
    </w:p>
    <w:p w14:paraId="5FB4853A" w14:textId="544ABFAB" w:rsidR="001E3A7D" w:rsidRPr="00C7542C" w:rsidRDefault="001E3A7D" w:rsidP="00FF427B">
      <w:pPr>
        <w:rPr>
          <w:rFonts w:ascii="Cambria" w:hAnsi="Cambria"/>
          <w:sz w:val="20"/>
          <w:szCs w:val="20"/>
          <w:lang w:val="es-ES_tradnl"/>
        </w:rPr>
      </w:pPr>
    </w:p>
    <w:p w14:paraId="6BD546EE" w14:textId="3802D982" w:rsidR="00AD0F38" w:rsidRPr="00C7542C" w:rsidRDefault="00481898" w:rsidP="00481898">
      <w:pPr>
        <w:pStyle w:val="Heading2"/>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360"/>
        <w:jc w:val="both"/>
      </w:pPr>
      <w:bookmarkStart w:id="64" w:name="_Toc78370173"/>
      <w:bookmarkStart w:id="65" w:name="_Toc203382211"/>
      <w:r w:rsidRPr="00C7542C">
        <w:t xml:space="preserve">B. </w:t>
      </w:r>
      <w:r w:rsidR="001E3A7D" w:rsidRPr="00C7542C">
        <w:t>Derecho a la libertad personal</w:t>
      </w:r>
      <w:r w:rsidR="001567BB" w:rsidRPr="00C7542C">
        <w:t>,</w:t>
      </w:r>
      <w:r w:rsidR="001E3A7D" w:rsidRPr="00C7542C">
        <w:t xml:space="preserve"> derechos del niño</w:t>
      </w:r>
      <w:r w:rsidR="001567BB" w:rsidRPr="00C7542C">
        <w:t xml:space="preserve"> y principio de legalidad</w:t>
      </w:r>
      <w:r w:rsidR="001E3A7D" w:rsidRPr="00C7542C">
        <w:t xml:space="preserve"> (artículos 7</w:t>
      </w:r>
      <w:r w:rsidR="001567BB" w:rsidRPr="00C7542C">
        <w:t xml:space="preserve">, </w:t>
      </w:r>
      <w:r w:rsidR="001E3A7D" w:rsidRPr="00C7542C">
        <w:t>19</w:t>
      </w:r>
      <w:r w:rsidR="001567BB" w:rsidRPr="00C7542C">
        <w:t xml:space="preserve"> y 9</w:t>
      </w:r>
      <w:r w:rsidR="001E3A7D" w:rsidRPr="00C7542C">
        <w:t xml:space="preserve"> de la Convención Americana sobre Derechos Humanos en relación con los artículos 1.1 y 2 del mismo tratado)</w:t>
      </w:r>
      <w:bookmarkEnd w:id="64"/>
      <w:bookmarkEnd w:id="65"/>
      <w:r w:rsidR="001E3A7D" w:rsidRPr="00C7542C">
        <w:t xml:space="preserve"> </w:t>
      </w:r>
    </w:p>
    <w:p w14:paraId="2AE3BD76" w14:textId="77777777" w:rsidR="00C11981" w:rsidRPr="00C7542C" w:rsidRDefault="00C11981" w:rsidP="00FF427B">
      <w:pPr>
        <w:rPr>
          <w:rFonts w:ascii="Cambria" w:hAnsi="Cambria"/>
          <w:sz w:val="20"/>
          <w:szCs w:val="20"/>
          <w:lang w:val="es-ES_tradnl"/>
        </w:rPr>
      </w:pPr>
    </w:p>
    <w:p w14:paraId="58EE4932" w14:textId="6B73C77C" w:rsidR="001E3A7D" w:rsidRPr="00C7542C" w:rsidRDefault="001E3A7D" w:rsidP="006C6B75">
      <w:pPr>
        <w:pStyle w:val="ListParagraph"/>
        <w:numPr>
          <w:ilvl w:val="0"/>
          <w:numId w:val="9"/>
        </w:numPr>
        <w:ind w:right="855"/>
        <w:jc w:val="both"/>
        <w:outlineLvl w:val="2"/>
        <w:rPr>
          <w:b/>
          <w:bCs/>
          <w:sz w:val="20"/>
          <w:szCs w:val="20"/>
          <w:lang w:val="es-ES_tradnl"/>
        </w:rPr>
      </w:pPr>
      <w:bookmarkStart w:id="66" w:name="_Toc78370174"/>
      <w:bookmarkStart w:id="67" w:name="_Toc203382212"/>
      <w:r w:rsidRPr="00C7542C">
        <w:rPr>
          <w:b/>
          <w:bCs/>
          <w:sz w:val="20"/>
          <w:szCs w:val="20"/>
          <w:lang w:val="es-ES_tradnl"/>
        </w:rPr>
        <w:lastRenderedPageBreak/>
        <w:t>Consideraciones generales sobre el derecho a la libertad personal</w:t>
      </w:r>
      <w:r w:rsidR="001567BB" w:rsidRPr="00C7542C">
        <w:rPr>
          <w:b/>
          <w:bCs/>
          <w:sz w:val="20"/>
          <w:szCs w:val="20"/>
          <w:lang w:val="es-ES_tradnl"/>
        </w:rPr>
        <w:t>,</w:t>
      </w:r>
      <w:r w:rsidRPr="00C7542C">
        <w:rPr>
          <w:b/>
          <w:bCs/>
          <w:sz w:val="20"/>
          <w:szCs w:val="20"/>
          <w:lang w:val="es-ES_tradnl"/>
        </w:rPr>
        <w:t xml:space="preserve"> sobre la prohibición de la privación de la libertad y el encarcelamiento arbitrario </w:t>
      </w:r>
      <w:r w:rsidR="001567BB" w:rsidRPr="00C7542C">
        <w:rPr>
          <w:b/>
          <w:bCs/>
          <w:sz w:val="20"/>
          <w:szCs w:val="20"/>
          <w:lang w:val="es-ES_tradnl"/>
        </w:rPr>
        <w:t>y sobre el principio de legalidad</w:t>
      </w:r>
      <w:bookmarkEnd w:id="66"/>
      <w:bookmarkEnd w:id="67"/>
    </w:p>
    <w:p w14:paraId="122B66B8" w14:textId="77777777" w:rsidR="00C31090" w:rsidRPr="00C7542C" w:rsidRDefault="00C31090" w:rsidP="001003DF">
      <w:pPr>
        <w:rPr>
          <w:rFonts w:ascii="Cambria" w:hAnsi="Cambria"/>
          <w:sz w:val="20"/>
          <w:szCs w:val="20"/>
          <w:lang w:val="es-ES_tradnl"/>
        </w:rPr>
      </w:pPr>
    </w:p>
    <w:p w14:paraId="26D8D55A" w14:textId="52791A6E" w:rsidR="00E159EF" w:rsidRPr="00C7542C" w:rsidRDefault="009434FC"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C7542C">
        <w:rPr>
          <w:rFonts w:eastAsia="Times New Roman"/>
          <w:sz w:val="20"/>
          <w:szCs w:val="20"/>
          <w:bdr w:val="none" w:sz="0" w:space="0" w:color="auto"/>
          <w:lang w:val="es-419"/>
        </w:rPr>
        <w:t xml:space="preserve">La Convención Americana de Derechos Humanos consagra en el art. 7.1 el derecho de toda persona a gozar de la libertad y de la seguridad personal. </w:t>
      </w:r>
      <w:r w:rsidRPr="00C7542C">
        <w:rPr>
          <w:rFonts w:eastAsia="Times New Roman" w:cs="Tahoma"/>
          <w:sz w:val="20"/>
          <w:szCs w:val="20"/>
          <w:bdr w:val="none" w:sz="0" w:space="0" w:color="auto"/>
          <w:lang w:val="es-419"/>
        </w:rPr>
        <w:t>La Corte IDH en el caso</w:t>
      </w:r>
      <w:r w:rsidRPr="00C7542C">
        <w:rPr>
          <w:rFonts w:eastAsia="Times New Roman"/>
          <w:sz w:val="20"/>
          <w:szCs w:val="20"/>
          <w:bdr w:val="none" w:sz="0" w:space="0" w:color="auto"/>
          <w:lang w:val="es-419"/>
        </w:rPr>
        <w:t xml:space="preserve"> Chaparro Álvarez y Lapo Íñiguez vs. </w:t>
      </w:r>
      <w:r w:rsidRPr="00C7542C">
        <w:rPr>
          <w:rFonts w:eastAsia="Times New Roman"/>
          <w:spacing w:val="-3"/>
          <w:sz w:val="20"/>
          <w:szCs w:val="20"/>
          <w:bdr w:val="none" w:sz="0" w:space="0" w:color="auto"/>
          <w:lang w:val="es-419"/>
        </w:rPr>
        <w:t>Ecuador</w:t>
      </w:r>
      <w:r w:rsidRPr="00C7542C">
        <w:rPr>
          <w:rFonts w:eastAsia="Times New Roman"/>
          <w:sz w:val="20"/>
          <w:szCs w:val="20"/>
          <w:bdr w:val="none" w:sz="0" w:space="0" w:color="auto"/>
          <w:lang w:val="es-419"/>
        </w:rPr>
        <w:t xml:space="preserve"> señaló que la libertad es un derecho humano básico</w:t>
      </w:r>
      <w:r w:rsidR="00C252FC" w:rsidRPr="00C7542C">
        <w:rPr>
          <w:rFonts w:eastAsia="Times New Roman"/>
          <w:sz w:val="20"/>
          <w:szCs w:val="20"/>
          <w:bdr w:val="none" w:sz="0" w:space="0" w:color="auto"/>
          <w:lang w:val="es-419"/>
        </w:rPr>
        <w:t xml:space="preserve">, </w:t>
      </w:r>
      <w:r w:rsidRPr="00C7542C">
        <w:rPr>
          <w:rFonts w:eastAsia="Times New Roman"/>
          <w:spacing w:val="-2"/>
          <w:sz w:val="20"/>
          <w:szCs w:val="20"/>
          <w:bdr w:val="none" w:sz="0" w:space="0" w:color="auto"/>
          <w:lang w:val="es-419"/>
        </w:rPr>
        <w:t xml:space="preserve">propio </w:t>
      </w:r>
      <w:r w:rsidRPr="00C7542C">
        <w:rPr>
          <w:rFonts w:eastAsia="Times New Roman"/>
          <w:sz w:val="20"/>
          <w:szCs w:val="20"/>
          <w:bdr w:val="none" w:sz="0" w:space="0" w:color="auto"/>
          <w:lang w:val="es-419"/>
        </w:rPr>
        <w:t xml:space="preserve">de los atributos de la persona que se proyecta en toda la Convención Americana </w:t>
      </w:r>
      <w:r w:rsidRPr="00C7542C">
        <w:rPr>
          <w:rFonts w:eastAsia="Times New Roman" w:cs="Tahoma"/>
          <w:sz w:val="20"/>
          <w:szCs w:val="20"/>
          <w:bdr w:val="none" w:sz="0" w:space="0" w:color="auto"/>
          <w:lang w:val="es-419"/>
        </w:rPr>
        <w:t>y que, ante su vulneración, se genera un riesgo de que se afecten otros derechos como la integridad personal y la vida</w:t>
      </w:r>
      <w:r w:rsidRPr="00C7542C">
        <w:rPr>
          <w:sz w:val="20"/>
          <w:szCs w:val="20"/>
          <w:bdr w:val="none" w:sz="0" w:space="0" w:color="auto"/>
          <w:vertAlign w:val="superscript"/>
          <w:lang w:val="es-419"/>
        </w:rPr>
        <w:footnoteReference w:id="65"/>
      </w:r>
      <w:r w:rsidRPr="00C7542C">
        <w:rPr>
          <w:rFonts w:eastAsia="Times New Roman" w:cs="Tahoma"/>
          <w:sz w:val="20"/>
          <w:szCs w:val="20"/>
          <w:bdr w:val="none" w:sz="0" w:space="0" w:color="auto"/>
          <w:lang w:val="es-419"/>
        </w:rPr>
        <w:t xml:space="preserve">. </w:t>
      </w:r>
    </w:p>
    <w:p w14:paraId="58F1C2BD" w14:textId="77777777" w:rsidR="00E159EF" w:rsidRPr="00C7542C" w:rsidRDefault="00E159EF"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contextualSpacing/>
        <w:jc w:val="both"/>
        <w:rPr>
          <w:rFonts w:eastAsia="Times New Roman" w:cs="Tahoma"/>
          <w:sz w:val="20"/>
          <w:szCs w:val="20"/>
          <w:bdr w:val="none" w:sz="0" w:space="0" w:color="auto"/>
          <w:lang w:val="es-419"/>
        </w:rPr>
      </w:pPr>
    </w:p>
    <w:p w14:paraId="58B821E2" w14:textId="77777777" w:rsidR="00E159EF" w:rsidRPr="00C7542C" w:rsidRDefault="009434FC"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C7542C">
        <w:rPr>
          <w:rFonts w:eastAsiaTheme="minorHAnsi" w:cstheme="minorBidi"/>
          <w:sz w:val="20"/>
          <w:szCs w:val="20"/>
          <w:bdr w:val="none" w:sz="0" w:space="0" w:color="auto"/>
          <w:lang w:val="es-419"/>
        </w:rPr>
        <w:t>La Corte IDH ha sostenido en numerosos precedentes que el contenido esencial del artículo 7 de la Convención Americana es la protección de la libertad del individuo frente a toda injerencia arbitraria o ilegal del Estado</w:t>
      </w:r>
      <w:r w:rsidRPr="00C7542C">
        <w:rPr>
          <w:sz w:val="20"/>
          <w:szCs w:val="20"/>
          <w:bdr w:val="none" w:sz="0" w:space="0" w:color="auto"/>
          <w:vertAlign w:val="superscript"/>
          <w:lang w:val="es-419"/>
        </w:rPr>
        <w:footnoteReference w:id="66"/>
      </w:r>
      <w:r w:rsidRPr="00C7542C">
        <w:rPr>
          <w:rFonts w:eastAsiaTheme="minorHAnsi" w:cstheme="minorBidi"/>
          <w:sz w:val="20"/>
          <w:szCs w:val="20"/>
          <w:bdr w:val="none" w:sz="0" w:space="0" w:color="auto"/>
          <w:lang w:val="es-419"/>
        </w:rPr>
        <w:t>. El artículo 7.1 consagra la noción tradicional y más elemental del derecho a la libertad, la cual se encuentra emparentada con la libertad ambulatoria de la persona y “cubre los comportamientos corporales que presuponen la presencia física del titular del derecho y que se expresan normalmente en el movimiento físico”</w:t>
      </w:r>
      <w:r w:rsidRPr="00C7542C">
        <w:rPr>
          <w:sz w:val="20"/>
          <w:szCs w:val="20"/>
          <w:bdr w:val="none" w:sz="0" w:space="0" w:color="auto"/>
          <w:vertAlign w:val="superscript"/>
          <w:lang w:val="es-419"/>
        </w:rPr>
        <w:footnoteReference w:id="67"/>
      </w:r>
      <w:r w:rsidRPr="00C7542C">
        <w:rPr>
          <w:rFonts w:eastAsiaTheme="minorHAnsi" w:cstheme="minorBidi"/>
          <w:sz w:val="20"/>
          <w:szCs w:val="20"/>
          <w:bdr w:val="none" w:sz="0" w:space="0" w:color="auto"/>
          <w:lang w:val="es-419"/>
        </w:rPr>
        <w:t>.</w:t>
      </w:r>
    </w:p>
    <w:p w14:paraId="2AF8CFD7" w14:textId="77777777" w:rsidR="00E159EF" w:rsidRPr="00C7542C" w:rsidRDefault="00E159EF" w:rsidP="00A50768">
      <w:pPr>
        <w:pStyle w:val="ListParagraph"/>
        <w:tabs>
          <w:tab w:val="left" w:pos="567"/>
        </w:tabs>
        <w:rPr>
          <w:rFonts w:eastAsiaTheme="minorHAnsi" w:cstheme="minorBidi"/>
          <w:sz w:val="20"/>
          <w:szCs w:val="20"/>
          <w:bdr w:val="none" w:sz="0" w:space="0" w:color="auto"/>
          <w:lang w:val="es-419"/>
        </w:rPr>
      </w:pPr>
    </w:p>
    <w:p w14:paraId="0717D6B0" w14:textId="77777777" w:rsidR="00047F3C" w:rsidRPr="00C7542C" w:rsidRDefault="009434FC"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C7542C">
        <w:rPr>
          <w:rFonts w:eastAsiaTheme="minorHAnsi" w:cstheme="minorBidi"/>
          <w:sz w:val="20"/>
          <w:szCs w:val="20"/>
          <w:bdr w:val="none" w:sz="0" w:space="0" w:color="auto"/>
          <w:lang w:val="es-419"/>
        </w:rPr>
        <w:t xml:space="preserve">De igual manera, </w:t>
      </w:r>
      <w:r w:rsidRPr="00C7542C">
        <w:rPr>
          <w:rFonts w:eastAsiaTheme="minorHAnsi" w:cs="TimesNewRomanPSMT"/>
          <w:sz w:val="20"/>
          <w:szCs w:val="20"/>
          <w:bdr w:val="none" w:sz="0" w:space="0" w:color="auto"/>
          <w:lang w:val="es-419"/>
        </w:rPr>
        <w:t>la Corte IDH ha subrayado la importancia de la protección del derecho a la libertad como prerrequisito para la vigencia de otros derechos. En efecto, toda vez que una persona es privada de su libertad de manera ilegal o arbitraria se “genera un riesgo de que produzca la vulneración de otros derechos, como la integridad personal y, en algunos casos, la vida”</w:t>
      </w:r>
      <w:r w:rsidRPr="00C7542C">
        <w:rPr>
          <w:sz w:val="20"/>
          <w:szCs w:val="20"/>
          <w:bdr w:val="none" w:sz="0" w:space="0" w:color="auto"/>
          <w:vertAlign w:val="superscript"/>
          <w:lang w:val="es-419"/>
        </w:rPr>
        <w:footnoteReference w:id="68"/>
      </w:r>
      <w:r w:rsidRPr="00C7542C">
        <w:rPr>
          <w:rFonts w:eastAsiaTheme="minorHAnsi" w:cs="TimesNewRomanPSMT"/>
          <w:sz w:val="20"/>
          <w:szCs w:val="20"/>
          <w:bdr w:val="none" w:sz="0" w:space="0" w:color="auto"/>
          <w:lang w:val="es-419"/>
        </w:rPr>
        <w:t xml:space="preserve">. Es debido a ello que los órganos encargados de velar por la plena aplicación de los instrumentos internacionales de derechos humanos han enfatizado la importancia capital de establecer requisitos claros y salvaguardas eficaces para prevenir y hacer cesar privaciones de la libertad que pudieran resultar ilegales o arbitrarias. </w:t>
      </w:r>
    </w:p>
    <w:p w14:paraId="3893C460" w14:textId="77777777" w:rsidR="00047F3C" w:rsidRPr="00C7542C" w:rsidRDefault="00047F3C" w:rsidP="00A50768">
      <w:pPr>
        <w:pStyle w:val="ListParagraph"/>
        <w:rPr>
          <w:spacing w:val="-5"/>
          <w:sz w:val="20"/>
          <w:szCs w:val="20"/>
          <w:bdr w:val="none" w:sz="0" w:space="0" w:color="auto"/>
          <w:lang w:val="es-419"/>
        </w:rPr>
      </w:pPr>
    </w:p>
    <w:p w14:paraId="7AF20689" w14:textId="23B69516" w:rsidR="00047F3C" w:rsidRPr="00C7542C" w:rsidRDefault="007B65E6"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C7542C">
        <w:rPr>
          <w:spacing w:val="-5"/>
          <w:sz w:val="20"/>
          <w:szCs w:val="20"/>
          <w:bdr w:val="none" w:sz="0" w:space="0" w:color="auto"/>
          <w:lang w:val="es-419"/>
        </w:rPr>
        <w:t xml:space="preserve">La </w:t>
      </w:r>
      <w:r w:rsidRPr="00C7542C">
        <w:rPr>
          <w:sz w:val="20"/>
          <w:szCs w:val="20"/>
          <w:bdr w:val="none" w:sz="0" w:space="0" w:color="auto"/>
          <w:lang w:val="es-419"/>
        </w:rPr>
        <w:t xml:space="preserve">protección del derecho a la libertad personal es reforzada en el artículo </w:t>
      </w:r>
      <w:r w:rsidRPr="00C7542C">
        <w:rPr>
          <w:rFonts w:cs="Tahoma"/>
          <w:sz w:val="20"/>
          <w:szCs w:val="20"/>
          <w:bdr w:val="none" w:sz="0" w:space="0" w:color="auto"/>
          <w:lang w:val="es-419"/>
        </w:rPr>
        <w:t xml:space="preserve">7.3, el cual establece que “nadie puede ser sometido a detención o encarcelamiento arbitrarios.” </w:t>
      </w:r>
      <w:r w:rsidR="003B15B3" w:rsidRPr="00C7542C">
        <w:rPr>
          <w:rFonts w:cs="Tahoma"/>
          <w:sz w:val="20"/>
          <w:szCs w:val="20"/>
          <w:bdr w:val="none" w:sz="0" w:space="0" w:color="auto"/>
          <w:lang w:val="es-419"/>
        </w:rPr>
        <w:t xml:space="preserve">La prohibición de la privación arbitraria de la libertad responde a un criterio fundamentalmente material o </w:t>
      </w:r>
      <w:r w:rsidR="001003DF" w:rsidRPr="00C7542C">
        <w:rPr>
          <w:rFonts w:cs="Tahoma"/>
          <w:sz w:val="20"/>
          <w:szCs w:val="20"/>
          <w:bdr w:val="none" w:sz="0" w:space="0" w:color="auto"/>
          <w:lang w:val="es-419"/>
        </w:rPr>
        <w:t>sustancial.</w:t>
      </w:r>
      <w:r w:rsidR="003B15B3" w:rsidRPr="00C7542C">
        <w:rPr>
          <w:rFonts w:cs="Tahoma"/>
          <w:sz w:val="20"/>
          <w:szCs w:val="20"/>
          <w:bdr w:val="none" w:sz="0" w:space="0" w:color="auto"/>
          <w:lang w:val="es-419"/>
        </w:rPr>
        <w:t xml:space="preserve"> En este sentido, no </w:t>
      </w:r>
      <w:r w:rsidR="003B15B3" w:rsidRPr="00C7542C">
        <w:rPr>
          <w:sz w:val="20"/>
          <w:szCs w:val="20"/>
          <w:lang w:val="es-419"/>
        </w:rPr>
        <w:t xml:space="preserve">basta que una detención sea conforme a la constitución y las leyes de un país para considerarla licita o legitima, ya que adicionalmente es preciso </w:t>
      </w:r>
      <w:r w:rsidR="003B15B3" w:rsidRPr="00C7542C">
        <w:rPr>
          <w:iCs/>
          <w:sz w:val="20"/>
          <w:szCs w:val="20"/>
          <w:lang w:val="es-419"/>
        </w:rPr>
        <w:t>que esta normatividad se ajuste a principios materiales de razonabilidad o proporcionalidad</w:t>
      </w:r>
      <w:r w:rsidR="00047F3C" w:rsidRPr="00C7542C">
        <w:rPr>
          <w:iCs/>
          <w:sz w:val="20"/>
          <w:szCs w:val="20"/>
          <w:lang w:val="es-419"/>
        </w:rPr>
        <w:t>. Al respecto, la Corte IDH ha establecido que “</w:t>
      </w:r>
      <w:r w:rsidR="00047F3C" w:rsidRPr="00C7542C">
        <w:rPr>
          <w:sz w:val="20"/>
          <w:szCs w:val="20"/>
          <w:lang w:val="es-419"/>
        </w:rPr>
        <w:t xml:space="preserve">nadie puede ser sometido a </w:t>
      </w:r>
      <w:r w:rsidR="001003DF" w:rsidRPr="00C7542C">
        <w:rPr>
          <w:sz w:val="20"/>
          <w:szCs w:val="20"/>
          <w:lang w:val="es-419"/>
        </w:rPr>
        <w:t>detención</w:t>
      </w:r>
      <w:r w:rsidR="00047F3C" w:rsidRPr="00C7542C">
        <w:rPr>
          <w:sz w:val="20"/>
          <w:szCs w:val="20"/>
          <w:lang w:val="es-419"/>
        </w:rPr>
        <w:t xml:space="preserve"> o encarcelamiento por causas y </w:t>
      </w:r>
      <w:r w:rsidR="00C11981" w:rsidRPr="00C7542C">
        <w:rPr>
          <w:sz w:val="20"/>
          <w:szCs w:val="20"/>
          <w:lang w:val="es-419"/>
        </w:rPr>
        <w:t>métodos</w:t>
      </w:r>
      <w:r w:rsidR="00047F3C" w:rsidRPr="00C7542C">
        <w:rPr>
          <w:sz w:val="20"/>
          <w:szCs w:val="20"/>
          <w:lang w:val="es-419"/>
        </w:rPr>
        <w:t xml:space="preserve"> que – </w:t>
      </w:r>
      <w:r w:rsidR="00C11981" w:rsidRPr="00C7542C">
        <w:rPr>
          <w:sz w:val="20"/>
          <w:szCs w:val="20"/>
          <w:lang w:val="es-419"/>
        </w:rPr>
        <w:t>aún</w:t>
      </w:r>
      <w:r w:rsidR="00047F3C" w:rsidRPr="00C7542C">
        <w:rPr>
          <w:sz w:val="20"/>
          <w:szCs w:val="20"/>
          <w:lang w:val="es-419"/>
        </w:rPr>
        <w:t xml:space="preserve"> calificados de legales – puedan reputarse como incompatibles con el respeto a los derechos fundamentales del individuo por ser, entre otras cosas, irrazonables, imprevisibles, o faltos de proporcionalidad”</w:t>
      </w:r>
      <w:r w:rsidR="00047F3C" w:rsidRPr="00C7542C">
        <w:rPr>
          <w:rStyle w:val="FootnoteReference"/>
          <w:sz w:val="20"/>
          <w:szCs w:val="20"/>
          <w:lang w:val="es-419"/>
        </w:rPr>
        <w:footnoteReference w:id="69"/>
      </w:r>
      <w:r w:rsidR="00047F3C" w:rsidRPr="00C7542C">
        <w:rPr>
          <w:sz w:val="20"/>
          <w:szCs w:val="20"/>
          <w:lang w:val="es-419"/>
        </w:rPr>
        <w:t xml:space="preserve">. </w:t>
      </w:r>
    </w:p>
    <w:p w14:paraId="31F1AC4F" w14:textId="77777777" w:rsidR="00047F3C" w:rsidRPr="00C7542C" w:rsidRDefault="00047F3C" w:rsidP="00A50768">
      <w:pPr>
        <w:pStyle w:val="ListParagraph"/>
        <w:rPr>
          <w:rFonts w:eastAsia="Times New Roman"/>
          <w:sz w:val="20"/>
          <w:szCs w:val="20"/>
          <w:bdr w:val="none" w:sz="0" w:space="0" w:color="auto"/>
          <w:lang w:val="es-419"/>
        </w:rPr>
      </w:pPr>
    </w:p>
    <w:p w14:paraId="02A5117A" w14:textId="0F96D9E8" w:rsidR="00C31090" w:rsidRPr="00571B6A" w:rsidRDefault="00047F3C"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C7542C">
        <w:rPr>
          <w:rFonts w:eastAsia="Times New Roman"/>
          <w:sz w:val="20"/>
          <w:szCs w:val="20"/>
          <w:bdr w:val="none" w:sz="0" w:space="0" w:color="auto"/>
          <w:lang w:val="es-419"/>
        </w:rPr>
        <w:t xml:space="preserve">La CIDH destaca que, de manera general, se consideran arbitrarias las privaciones de libertad que no responden a causas </w:t>
      </w:r>
      <w:r w:rsidR="00C11981" w:rsidRPr="00C7542C">
        <w:rPr>
          <w:rFonts w:eastAsia="Times New Roman"/>
          <w:sz w:val="20"/>
          <w:szCs w:val="20"/>
          <w:bdr w:val="none" w:sz="0" w:space="0" w:color="auto"/>
          <w:lang w:val="es-419"/>
        </w:rPr>
        <w:t>especificas</w:t>
      </w:r>
      <w:r w:rsidRPr="00C7542C">
        <w:rPr>
          <w:rFonts w:eastAsia="Times New Roman"/>
          <w:sz w:val="20"/>
          <w:szCs w:val="20"/>
          <w:bdr w:val="none" w:sz="0" w:space="0" w:color="auto"/>
          <w:lang w:val="es-419"/>
        </w:rPr>
        <w:t xml:space="preserve"> o motivos objetivos y concretos, sino que se adoptan con base en supuestos indeterminados, como la mera sospecha, o en simples presunciones o conjeturas. En igual sentido, son arbitrarias las detenciones que no se fundamenten en motivos razonables, en particular las que supongan una </w:t>
      </w:r>
      <w:r w:rsidR="00C11981" w:rsidRPr="00C7542C">
        <w:rPr>
          <w:rFonts w:eastAsia="Times New Roman"/>
          <w:sz w:val="20"/>
          <w:szCs w:val="20"/>
          <w:bdr w:val="none" w:sz="0" w:space="0" w:color="auto"/>
          <w:lang w:val="es-419"/>
        </w:rPr>
        <w:t>discriminación</w:t>
      </w:r>
      <w:r w:rsidRPr="00C7542C">
        <w:rPr>
          <w:rFonts w:eastAsia="Times New Roman"/>
          <w:sz w:val="20"/>
          <w:szCs w:val="20"/>
          <w:bdr w:val="none" w:sz="0" w:space="0" w:color="auto"/>
          <w:lang w:val="es-419"/>
        </w:rPr>
        <w:t xml:space="preserve"> por razones de nacionalidad, de raza u otra </w:t>
      </w:r>
      <w:r w:rsidR="00C11981" w:rsidRPr="00C7542C">
        <w:rPr>
          <w:rFonts w:eastAsia="Times New Roman"/>
          <w:sz w:val="20"/>
          <w:szCs w:val="20"/>
          <w:bdr w:val="none" w:sz="0" w:space="0" w:color="auto"/>
          <w:lang w:val="es-419"/>
        </w:rPr>
        <w:t>condición</w:t>
      </w:r>
      <w:r w:rsidRPr="00C7542C">
        <w:rPr>
          <w:rStyle w:val="FootnoteReference"/>
          <w:rFonts w:eastAsia="Times New Roman"/>
          <w:sz w:val="20"/>
          <w:szCs w:val="20"/>
          <w:bdr w:val="none" w:sz="0" w:space="0" w:color="auto"/>
          <w:lang w:val="es-419"/>
        </w:rPr>
        <w:footnoteReference w:id="70"/>
      </w:r>
      <w:r w:rsidRPr="00C7542C">
        <w:rPr>
          <w:rFonts w:eastAsia="Times New Roman"/>
          <w:sz w:val="20"/>
          <w:szCs w:val="20"/>
          <w:bdr w:val="none" w:sz="0" w:space="0" w:color="auto"/>
          <w:lang w:val="es-419"/>
        </w:rPr>
        <w:t xml:space="preserve">. </w:t>
      </w:r>
    </w:p>
    <w:p w14:paraId="293242DE" w14:textId="77777777" w:rsidR="00571B6A" w:rsidRPr="00571B6A" w:rsidRDefault="00571B6A" w:rsidP="00571B6A">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contextualSpacing/>
        <w:jc w:val="both"/>
        <w:rPr>
          <w:rFonts w:eastAsia="Times New Roman" w:cs="Tahoma"/>
          <w:sz w:val="20"/>
          <w:szCs w:val="20"/>
          <w:bdr w:val="none" w:sz="0" w:space="0" w:color="auto"/>
          <w:lang w:val="es-419"/>
        </w:rPr>
      </w:pPr>
    </w:p>
    <w:p w14:paraId="5DBE1F01" w14:textId="10138E1E" w:rsidR="00571B6A" w:rsidRPr="00EF0A92" w:rsidRDefault="00571B6A"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lang w:val="es-419"/>
        </w:rPr>
      </w:pPr>
      <w:r w:rsidRPr="00EF0A92">
        <w:rPr>
          <w:rFonts w:eastAsia="Times New Roman"/>
          <w:sz w:val="20"/>
          <w:szCs w:val="20"/>
          <w:bdr w:val="none" w:sz="0" w:space="0" w:color="auto"/>
          <w:lang w:val="es-419"/>
        </w:rPr>
        <w:t xml:space="preserve">Finalmente, la </w:t>
      </w:r>
      <w:r w:rsidR="008506B4" w:rsidRPr="00EF0A92">
        <w:rPr>
          <w:rFonts w:eastAsia="Times New Roman"/>
          <w:sz w:val="20"/>
          <w:szCs w:val="20"/>
          <w:bdr w:val="none" w:sz="0" w:space="0" w:color="auto"/>
          <w:lang w:val="es-419"/>
        </w:rPr>
        <w:t>Comisión</w:t>
      </w:r>
      <w:r w:rsidRPr="00EF0A92">
        <w:rPr>
          <w:rFonts w:eastAsia="Times New Roman"/>
          <w:sz w:val="20"/>
          <w:szCs w:val="20"/>
          <w:bdr w:val="none" w:sz="0" w:space="0" w:color="auto"/>
          <w:lang w:val="es-419"/>
        </w:rPr>
        <w:t xml:space="preserve"> resalta que los órganos judiciales encargados de entender en los procesos criminales que se dirijan contra adolescentes en conflicto con la ley penal deben abstenerse de utilizar razonamientos que denoten prejuicios o estereotipos en la </w:t>
      </w:r>
      <w:r w:rsidR="008506B4" w:rsidRPr="00EF0A92">
        <w:rPr>
          <w:rFonts w:eastAsia="Times New Roman"/>
          <w:sz w:val="20"/>
          <w:szCs w:val="20"/>
          <w:bdr w:val="none" w:sz="0" w:space="0" w:color="auto"/>
          <w:lang w:val="es-419"/>
        </w:rPr>
        <w:t>fundamentación</w:t>
      </w:r>
      <w:r w:rsidRPr="00EF0A92">
        <w:rPr>
          <w:rFonts w:eastAsia="Times New Roman"/>
          <w:sz w:val="20"/>
          <w:szCs w:val="20"/>
          <w:bdr w:val="none" w:sz="0" w:space="0" w:color="auto"/>
          <w:lang w:val="es-419"/>
        </w:rPr>
        <w:t xml:space="preserve"> de sus sentencias, especialmente cuando se trate de una sentencia condenatoria que determine la privación de la libertad del acusado. La </w:t>
      </w:r>
      <w:r w:rsidR="008506B4" w:rsidRPr="00EF0A92">
        <w:rPr>
          <w:rFonts w:eastAsia="Times New Roman"/>
          <w:sz w:val="20"/>
          <w:szCs w:val="20"/>
          <w:bdr w:val="none" w:sz="0" w:space="0" w:color="auto"/>
          <w:lang w:val="es-419"/>
        </w:rPr>
        <w:t>Comisión</w:t>
      </w:r>
      <w:r w:rsidRPr="00EF0A92">
        <w:rPr>
          <w:rFonts w:eastAsia="Times New Roman"/>
          <w:sz w:val="20"/>
          <w:szCs w:val="20"/>
          <w:bdr w:val="none" w:sz="0" w:space="0" w:color="auto"/>
          <w:lang w:val="es-419"/>
        </w:rPr>
        <w:t xml:space="preserve"> recuerda que, según la jurisprudencia de los órganos del sistema interamericano, “l</w:t>
      </w:r>
      <w:r w:rsidRPr="00EF0A92">
        <w:rPr>
          <w:sz w:val="20"/>
          <w:szCs w:val="20"/>
          <w:lang w:val="es-AR"/>
        </w:rPr>
        <w:t>os estereotipos constituyen pre-concepciones de los atributos, conductas, papeles o características poseídas por personas que pertenecen a un grupo identificado”</w:t>
      </w:r>
      <w:r w:rsidR="008506B4" w:rsidRPr="00EF0A92">
        <w:rPr>
          <w:rStyle w:val="FootnoteReference"/>
          <w:sz w:val="20"/>
          <w:szCs w:val="20"/>
          <w:lang w:val="es-AR"/>
        </w:rPr>
        <w:footnoteReference w:id="71"/>
      </w:r>
      <w:r w:rsidRPr="00EF0A92">
        <w:rPr>
          <w:sz w:val="20"/>
          <w:szCs w:val="20"/>
          <w:lang w:val="es-AR"/>
        </w:rPr>
        <w:t xml:space="preserve"> y que </w:t>
      </w:r>
      <w:r w:rsidR="008506B4" w:rsidRPr="00EF0A92">
        <w:rPr>
          <w:sz w:val="20"/>
          <w:szCs w:val="20"/>
          <w:lang w:val="es-AR"/>
        </w:rPr>
        <w:t>en una resolución judicial pueden encontrarse, por ejemplo, en la utilización de expresiones discursivas cuya carga valorativa, moral y/o política, denota la aceptación y reproducción de estereotipos que incluyen fuertes prejuicios sociales y culturales , […] sin que se desprenda de hechos probados en el proceso”</w:t>
      </w:r>
      <w:r w:rsidR="008506B4" w:rsidRPr="00EF0A92">
        <w:rPr>
          <w:rStyle w:val="FootnoteReference"/>
          <w:sz w:val="20"/>
          <w:szCs w:val="20"/>
          <w:lang w:val="es-AR"/>
        </w:rPr>
        <w:footnoteReference w:id="72"/>
      </w:r>
      <w:r w:rsidR="008506B4" w:rsidRPr="00EF0A92">
        <w:rPr>
          <w:sz w:val="20"/>
          <w:szCs w:val="20"/>
          <w:lang w:val="es-AR"/>
        </w:rPr>
        <w:t xml:space="preserve"> </w:t>
      </w:r>
    </w:p>
    <w:p w14:paraId="20C36276" w14:textId="77777777" w:rsidR="00C31090" w:rsidRPr="00C7542C" w:rsidRDefault="00C31090" w:rsidP="00C3109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contextualSpacing/>
        <w:jc w:val="both"/>
        <w:rPr>
          <w:rFonts w:eastAsia="Times New Roman" w:cs="Tahoma"/>
          <w:sz w:val="20"/>
          <w:szCs w:val="20"/>
          <w:bdr w:val="none" w:sz="0" w:space="0" w:color="auto"/>
          <w:lang w:val="es-ES"/>
        </w:rPr>
      </w:pPr>
    </w:p>
    <w:p w14:paraId="3AEDEE62" w14:textId="4FA833A9" w:rsidR="00C26077" w:rsidRPr="00C7542C" w:rsidRDefault="009434FC" w:rsidP="006C6B75">
      <w:pPr>
        <w:pStyle w:val="ListParagraph"/>
        <w:numPr>
          <w:ilvl w:val="0"/>
          <w:numId w:val="9"/>
        </w:numPr>
        <w:jc w:val="both"/>
        <w:outlineLvl w:val="2"/>
        <w:rPr>
          <w:b/>
          <w:bCs/>
          <w:sz w:val="20"/>
          <w:szCs w:val="20"/>
          <w:lang w:val="es-ES_tradnl"/>
        </w:rPr>
      </w:pPr>
      <w:bookmarkStart w:id="68" w:name="_Toc78370175"/>
      <w:bookmarkStart w:id="69" w:name="_Toc203382213"/>
      <w:r w:rsidRPr="00C7542C">
        <w:rPr>
          <w:b/>
          <w:bCs/>
          <w:sz w:val="20"/>
          <w:szCs w:val="20"/>
          <w:lang w:val="es-ES_tradnl"/>
        </w:rPr>
        <w:t>Estándares</w:t>
      </w:r>
      <w:r w:rsidR="00AD0F38" w:rsidRPr="00C7542C">
        <w:rPr>
          <w:b/>
          <w:bCs/>
          <w:sz w:val="20"/>
          <w:szCs w:val="20"/>
          <w:lang w:val="es-ES_tradnl"/>
        </w:rPr>
        <w:t xml:space="preserve"> </w:t>
      </w:r>
      <w:r w:rsidRPr="00C7542C">
        <w:rPr>
          <w:b/>
          <w:bCs/>
          <w:sz w:val="20"/>
          <w:szCs w:val="20"/>
          <w:lang w:val="es-ES_tradnl"/>
        </w:rPr>
        <w:t>relevantes</w:t>
      </w:r>
      <w:r w:rsidR="00AD0F38" w:rsidRPr="00C7542C">
        <w:rPr>
          <w:b/>
          <w:bCs/>
          <w:sz w:val="20"/>
          <w:szCs w:val="20"/>
          <w:lang w:val="es-ES_tradnl"/>
        </w:rPr>
        <w:t xml:space="preserve"> en materia de </w:t>
      </w:r>
      <w:r w:rsidRPr="00C7542C">
        <w:rPr>
          <w:b/>
          <w:bCs/>
          <w:sz w:val="20"/>
          <w:szCs w:val="20"/>
          <w:lang w:val="es-ES_tradnl"/>
        </w:rPr>
        <w:t>justicia penal y derechos de niños, niñas y adolescentes</w:t>
      </w:r>
      <w:bookmarkEnd w:id="68"/>
      <w:bookmarkEnd w:id="69"/>
      <w:r w:rsidRPr="00C7542C">
        <w:rPr>
          <w:b/>
          <w:bCs/>
          <w:sz w:val="20"/>
          <w:szCs w:val="20"/>
          <w:lang w:val="es-ES_tradnl"/>
        </w:rPr>
        <w:t xml:space="preserve"> </w:t>
      </w:r>
    </w:p>
    <w:p w14:paraId="02D2C5D9" w14:textId="77777777" w:rsidR="00C26077" w:rsidRPr="00C7542C" w:rsidRDefault="00C26077" w:rsidP="00C26077">
      <w:pPr>
        <w:rPr>
          <w:sz w:val="20"/>
          <w:szCs w:val="20"/>
          <w:lang w:val="es-ES_tradnl"/>
        </w:rPr>
      </w:pPr>
    </w:p>
    <w:p w14:paraId="60AEB20B" w14:textId="65C87D7D" w:rsidR="0062593C" w:rsidRPr="00C7542C" w:rsidRDefault="00C11981"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bCs/>
          <w:sz w:val="20"/>
          <w:szCs w:val="20"/>
          <w:lang w:val="es-ES"/>
        </w:rPr>
        <w:t xml:space="preserve">La Comisión ha abordado en múltiples oportunidades la </w:t>
      </w:r>
      <w:r w:rsidR="00035828" w:rsidRPr="00C7542C">
        <w:rPr>
          <w:bCs/>
          <w:sz w:val="20"/>
          <w:szCs w:val="20"/>
          <w:lang w:val="es-ES"/>
        </w:rPr>
        <w:t>cuestión</w:t>
      </w:r>
      <w:r w:rsidRPr="00C7542C">
        <w:rPr>
          <w:bCs/>
          <w:sz w:val="20"/>
          <w:szCs w:val="20"/>
          <w:lang w:val="es-ES"/>
        </w:rPr>
        <w:t xml:space="preserve"> de la justicia juvenil y su relación con los derechos humano</w:t>
      </w:r>
      <w:r w:rsidR="00035828" w:rsidRPr="00C7542C">
        <w:rPr>
          <w:bCs/>
          <w:sz w:val="20"/>
          <w:szCs w:val="20"/>
          <w:lang w:val="es-ES"/>
        </w:rPr>
        <w:t xml:space="preserve">s. En su informe temático Justicia Juvenil y Derechos Humanos en las Américas, la Comisión identificó los estándares internacionales de derechos humanos que deben ser observados por los sistemas de justicia juvenil y, en particular, las </w:t>
      </w:r>
      <w:r w:rsidR="00035828" w:rsidRPr="00C7542C">
        <w:rPr>
          <w:rFonts w:eastAsia="Times New Roman"/>
          <w:sz w:val="20"/>
          <w:szCs w:val="20"/>
          <w:bdr w:val="none" w:sz="0" w:space="0" w:color="auto"/>
          <w:lang w:val="es-ES"/>
        </w:rPr>
        <w:t xml:space="preserve">obligaciones de los Estados Miembros con respecto a los derechos humanos de los niños, niñas y adolescentes que son acusados </w:t>
      </w:r>
      <w:r w:rsidR="0062593C" w:rsidRPr="00C7542C">
        <w:rPr>
          <w:rFonts w:eastAsia="Times New Roman"/>
          <w:sz w:val="20"/>
          <w:szCs w:val="20"/>
          <w:bdr w:val="none" w:sz="0" w:space="0" w:color="auto"/>
          <w:lang w:val="es-ES"/>
        </w:rPr>
        <w:t>de</w:t>
      </w:r>
      <w:r w:rsidR="00035828" w:rsidRPr="00C7542C">
        <w:rPr>
          <w:rFonts w:eastAsia="Times New Roman"/>
          <w:sz w:val="20"/>
          <w:szCs w:val="20"/>
          <w:bdr w:val="none" w:sz="0" w:space="0" w:color="auto"/>
          <w:lang w:val="es-ES"/>
        </w:rPr>
        <w:t xml:space="preserve"> infringir las leyes penales</w:t>
      </w:r>
      <w:r w:rsidR="0062593C" w:rsidRPr="00C7542C">
        <w:rPr>
          <w:rStyle w:val="FootnoteReference"/>
          <w:rFonts w:eastAsia="Times New Roman"/>
          <w:sz w:val="20"/>
          <w:szCs w:val="20"/>
          <w:bdr w:val="none" w:sz="0" w:space="0" w:color="auto"/>
          <w:lang w:val="es-ES"/>
        </w:rPr>
        <w:footnoteReference w:id="73"/>
      </w:r>
      <w:r w:rsidR="0062593C" w:rsidRPr="00C7542C">
        <w:rPr>
          <w:rFonts w:eastAsia="Times New Roman"/>
          <w:sz w:val="20"/>
          <w:szCs w:val="20"/>
          <w:bdr w:val="none" w:sz="0" w:space="0" w:color="auto"/>
          <w:lang w:val="es-ES"/>
        </w:rPr>
        <w:t xml:space="preserve">. </w:t>
      </w:r>
    </w:p>
    <w:p w14:paraId="471E0592" w14:textId="77777777" w:rsidR="0062593C" w:rsidRPr="00C7542C" w:rsidRDefault="0062593C"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ES"/>
        </w:rPr>
      </w:pPr>
    </w:p>
    <w:p w14:paraId="0A624851" w14:textId="777CF828" w:rsidR="0080032E" w:rsidRPr="0080032E" w:rsidRDefault="00BE7AB4" w:rsidP="0080032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rFonts w:eastAsia="Times New Roman"/>
          <w:sz w:val="20"/>
          <w:szCs w:val="20"/>
          <w:bdr w:val="none" w:sz="0" w:space="0" w:color="auto"/>
          <w:lang w:val="es-ES"/>
        </w:rPr>
        <w:t>L</w:t>
      </w:r>
      <w:r w:rsidR="0062593C" w:rsidRPr="00C7542C">
        <w:rPr>
          <w:rFonts w:eastAsia="Times New Roman"/>
          <w:sz w:val="20"/>
          <w:szCs w:val="20"/>
          <w:bdr w:val="none" w:sz="0" w:space="0" w:color="auto"/>
          <w:lang w:val="es-ES"/>
        </w:rPr>
        <w:t>a Comisión indicó que el sistema de justicia juvenil debe garantizar a los niños, niñas y adolescentes todos los derechos reconocidos para los demás seres humanos, pero además debe garantizarles la protección especial que se les debe suministrar en razón de su edad y etapa de desarrollo, conforme a los objetivos principales del sistema de justicia juvenil, a saber, la rehabilitación de los niños, niñas y adolescentes, su formación integral y su reinserción social a fin de permitirles cumplir un papel constructivo en la sociedad</w:t>
      </w:r>
      <w:r w:rsidR="0062593C" w:rsidRPr="00C7542C">
        <w:rPr>
          <w:rStyle w:val="FootnoteReference"/>
          <w:rFonts w:eastAsia="Times New Roman"/>
          <w:sz w:val="20"/>
          <w:szCs w:val="20"/>
          <w:bdr w:val="none" w:sz="0" w:space="0" w:color="auto"/>
          <w:lang w:val="es-ES"/>
        </w:rPr>
        <w:footnoteReference w:id="74"/>
      </w:r>
      <w:r w:rsidR="0062593C" w:rsidRPr="00C7542C">
        <w:rPr>
          <w:rFonts w:eastAsia="Times New Roman"/>
          <w:sz w:val="20"/>
          <w:szCs w:val="20"/>
          <w:bdr w:val="none" w:sz="0" w:space="0" w:color="auto"/>
          <w:lang w:val="es-AR"/>
        </w:rPr>
        <w:t>.</w:t>
      </w:r>
    </w:p>
    <w:p w14:paraId="1049013B" w14:textId="77777777" w:rsidR="0080032E" w:rsidRPr="0080032E" w:rsidRDefault="0080032E" w:rsidP="0080032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ES"/>
        </w:rPr>
      </w:pPr>
    </w:p>
    <w:p w14:paraId="5A610356" w14:textId="3C97108A" w:rsidR="005076F9" w:rsidRPr="0080032E" w:rsidRDefault="0062593C" w:rsidP="0080032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80032E">
        <w:rPr>
          <w:rFonts w:eastAsia="Times New Roman"/>
          <w:sz w:val="20"/>
          <w:szCs w:val="20"/>
          <w:bdr w:val="none" w:sz="0" w:space="0" w:color="auto"/>
          <w:lang w:val="es-ES"/>
        </w:rPr>
        <w:t xml:space="preserve">Asimismo, la Comisión identificó la existencia de un conjunto de normas vinculadas o </w:t>
      </w:r>
      <w:r w:rsidRPr="0080032E">
        <w:rPr>
          <w:rFonts w:eastAsia="Times New Roman"/>
          <w:i/>
          <w:sz w:val="20"/>
          <w:szCs w:val="20"/>
          <w:bdr w:val="none" w:sz="0" w:space="0" w:color="auto"/>
          <w:lang w:val="es-ES"/>
        </w:rPr>
        <w:t>corpus juris</w:t>
      </w:r>
      <w:r w:rsidRPr="0080032E">
        <w:rPr>
          <w:rFonts w:eastAsia="Times New Roman"/>
          <w:sz w:val="20"/>
          <w:szCs w:val="20"/>
          <w:bdr w:val="none" w:sz="0" w:space="0" w:color="auto"/>
          <w:lang w:val="es-ES"/>
        </w:rPr>
        <w:t xml:space="preserve"> de protección de los derechos de las niñas, niños y adolescentes que debe ser considerado al interpretar el significado del artículo 19 de la Convención Americana y del artículo VII de la Declaración Americana. Entre ellas cabe destacar la Convención sobre los Derechos del Niño de 1989</w:t>
      </w:r>
      <w:r w:rsidRPr="00C7542C">
        <w:rPr>
          <w:rStyle w:val="FootnoteReference"/>
          <w:rFonts w:eastAsia="Times New Roman"/>
          <w:sz w:val="20"/>
          <w:szCs w:val="20"/>
          <w:bdr w:val="none" w:sz="0" w:space="0" w:color="auto"/>
          <w:lang w:val="es-ES"/>
        </w:rPr>
        <w:footnoteReference w:id="75"/>
      </w:r>
      <w:r w:rsidRPr="0080032E">
        <w:rPr>
          <w:rFonts w:eastAsia="Times New Roman"/>
          <w:sz w:val="20"/>
          <w:szCs w:val="20"/>
          <w:bdr w:val="none" w:sz="0" w:space="0" w:color="auto"/>
          <w:lang w:val="es-ES"/>
        </w:rPr>
        <w:t xml:space="preserve"> </w:t>
      </w:r>
      <w:r w:rsidR="001003DF" w:rsidRPr="0080032E">
        <w:rPr>
          <w:rFonts w:eastAsia="Times New Roman"/>
          <w:sz w:val="20"/>
          <w:szCs w:val="20"/>
          <w:bdr w:val="none" w:sz="0" w:space="0" w:color="auto"/>
          <w:lang w:val="es-ES"/>
        </w:rPr>
        <w:t>y las</w:t>
      </w:r>
      <w:r w:rsidRPr="0080032E">
        <w:rPr>
          <w:rFonts w:eastAsia="Times New Roman"/>
          <w:sz w:val="20"/>
          <w:szCs w:val="20"/>
          <w:bdr w:val="none" w:sz="0" w:space="0" w:color="auto"/>
          <w:lang w:val="es-ES"/>
        </w:rPr>
        <w:t xml:space="preserve"> Reglas Mínimas de las Naciones Unidas para la Administración de Justicia de Menores también conocidas como “Reglas de Beijing”</w:t>
      </w:r>
      <w:r w:rsidRPr="00C7542C">
        <w:rPr>
          <w:rStyle w:val="FootnoteReference"/>
          <w:rFonts w:eastAsia="Times New Roman"/>
          <w:sz w:val="20"/>
          <w:szCs w:val="20"/>
          <w:bdr w:val="none" w:sz="0" w:space="0" w:color="auto"/>
          <w:lang w:val="es-ES"/>
        </w:rPr>
        <w:footnoteReference w:id="76"/>
      </w:r>
      <w:r w:rsidRPr="0080032E">
        <w:rPr>
          <w:rFonts w:eastAsia="Times New Roman"/>
          <w:sz w:val="20"/>
          <w:szCs w:val="20"/>
          <w:bdr w:val="none" w:sz="0" w:space="0" w:color="auto"/>
          <w:lang w:val="es-ES"/>
        </w:rPr>
        <w:t xml:space="preserve">. Las </w:t>
      </w:r>
      <w:r w:rsidR="00B352C8" w:rsidRPr="0080032E">
        <w:rPr>
          <w:rFonts w:eastAsia="Times New Roman"/>
          <w:sz w:val="20"/>
          <w:szCs w:val="20"/>
          <w:bdr w:val="none" w:sz="0" w:space="0" w:color="auto"/>
          <w:lang w:val="es-ES"/>
        </w:rPr>
        <w:t>reglas normativas que surgen de dichos instrumentos deben complementarse con las decisiones adoptadas por el Comité de los Derechos del Niño en cumplimiento de su mandato y con la Observación General 10 sobre derechos del niño en la justicia de menores</w:t>
      </w:r>
      <w:r w:rsidR="00B352C8" w:rsidRPr="00C7542C">
        <w:rPr>
          <w:rStyle w:val="FootnoteReference"/>
          <w:rFonts w:eastAsia="Times New Roman"/>
          <w:sz w:val="20"/>
          <w:szCs w:val="20"/>
          <w:bdr w:val="none" w:sz="0" w:space="0" w:color="auto"/>
          <w:lang w:val="es-ES"/>
        </w:rPr>
        <w:footnoteReference w:id="77"/>
      </w:r>
      <w:r w:rsidR="00B352C8" w:rsidRPr="0080032E">
        <w:rPr>
          <w:rFonts w:eastAsia="Times New Roman"/>
          <w:sz w:val="20"/>
          <w:szCs w:val="20"/>
          <w:bdr w:val="none" w:sz="0" w:space="0" w:color="auto"/>
          <w:lang w:val="es-ES"/>
        </w:rPr>
        <w:t xml:space="preserve">. </w:t>
      </w:r>
    </w:p>
    <w:p w14:paraId="7FF8D3F0" w14:textId="77777777" w:rsidR="005076F9" w:rsidRPr="00C7542C" w:rsidRDefault="005076F9" w:rsidP="005076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ES"/>
        </w:rPr>
      </w:pPr>
    </w:p>
    <w:p w14:paraId="0072C157" w14:textId="1623999E" w:rsidR="00BA2DEB" w:rsidRPr="005076F9" w:rsidRDefault="00B352C8" w:rsidP="005076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sz w:val="20"/>
          <w:szCs w:val="20"/>
          <w:bdr w:val="none" w:sz="0" w:space="0" w:color="auto"/>
          <w:lang w:val="es-ES"/>
        </w:rPr>
        <w:t xml:space="preserve">El Articulo 5 de la Convención sobre los Derechos del Niño establece que las instituciones </w:t>
      </w:r>
      <w:r w:rsidR="001003DF" w:rsidRPr="00C7542C">
        <w:rPr>
          <w:sz w:val="20"/>
          <w:szCs w:val="20"/>
          <w:bdr w:val="none" w:sz="0" w:space="0" w:color="auto"/>
          <w:lang w:val="es-ES"/>
        </w:rPr>
        <w:t>públicas</w:t>
      </w:r>
      <w:r w:rsidRPr="00C7542C">
        <w:rPr>
          <w:sz w:val="20"/>
          <w:szCs w:val="20"/>
          <w:bdr w:val="none" w:sz="0" w:space="0" w:color="auto"/>
          <w:lang w:val="es-ES"/>
        </w:rPr>
        <w:t xml:space="preserve"> y privadas de cualquier </w:t>
      </w:r>
      <w:r w:rsidR="00D47362" w:rsidRPr="00C7542C">
        <w:rPr>
          <w:sz w:val="20"/>
          <w:szCs w:val="20"/>
          <w:bdr w:val="none" w:sz="0" w:space="0" w:color="auto"/>
          <w:lang w:val="es-ES"/>
        </w:rPr>
        <w:t>naturaleza</w:t>
      </w:r>
      <w:r w:rsidRPr="00C7542C">
        <w:rPr>
          <w:sz w:val="20"/>
          <w:szCs w:val="20"/>
          <w:bdr w:val="none" w:sz="0" w:space="0" w:color="auto"/>
          <w:lang w:val="es-ES"/>
        </w:rPr>
        <w:t xml:space="preserve"> deberán tener siempre en consideración el interés superior del niño en todas las medidas o decisiones que tomen. La Corte IDH ha puntualizado que el concepto de interés superior del niño </w:t>
      </w:r>
      <w:r w:rsidRPr="00C7542C">
        <w:rPr>
          <w:sz w:val="20"/>
          <w:szCs w:val="20"/>
          <w:lang w:val="es-ES"/>
        </w:rPr>
        <w:t xml:space="preserve">“implica que el desarrollo de éste y el pleno ejercicio de sus derechos deben ser considerados como criterios </w:t>
      </w:r>
      <w:r w:rsidRPr="00C7542C">
        <w:rPr>
          <w:sz w:val="20"/>
          <w:szCs w:val="20"/>
          <w:lang w:val="es-ES"/>
        </w:rPr>
        <w:lastRenderedPageBreak/>
        <w:t>rectores para la elaboración de normas y la aplicación de éstas en todos los órdenes relativos a la vida del niño”</w:t>
      </w:r>
      <w:r w:rsidR="00D47362" w:rsidRPr="00C7542C">
        <w:rPr>
          <w:rStyle w:val="FootnoteReference"/>
          <w:sz w:val="20"/>
          <w:szCs w:val="20"/>
          <w:lang w:val="es-ES"/>
        </w:rPr>
        <w:footnoteReference w:id="78"/>
      </w:r>
      <w:r w:rsidRPr="00C7542C">
        <w:rPr>
          <w:sz w:val="20"/>
          <w:szCs w:val="20"/>
          <w:lang w:val="es-ES"/>
        </w:rPr>
        <w:t>.</w:t>
      </w:r>
    </w:p>
    <w:p w14:paraId="24711325" w14:textId="77777777" w:rsidR="005076F9" w:rsidRDefault="005076F9" w:rsidP="005076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ES"/>
        </w:rPr>
      </w:pPr>
    </w:p>
    <w:p w14:paraId="20353EFA" w14:textId="16537BDE" w:rsidR="00F93189" w:rsidRPr="005076F9" w:rsidRDefault="00374380" w:rsidP="005076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ES"/>
        </w:rPr>
      </w:pPr>
      <w:r w:rsidRPr="005076F9">
        <w:rPr>
          <w:sz w:val="20"/>
          <w:szCs w:val="20"/>
          <w:lang w:val="es-ES"/>
        </w:rPr>
        <w:t>Asimismo, y d</w:t>
      </w:r>
      <w:r w:rsidR="00BA2DEB" w:rsidRPr="005076F9">
        <w:rPr>
          <w:sz w:val="20"/>
          <w:szCs w:val="20"/>
          <w:lang w:val="es-ES"/>
        </w:rPr>
        <w:t>ado que el derecho internacional ha establecido claramente que la mayoría de edad se alcanza a los 18 años de edad cumplidos</w:t>
      </w:r>
      <w:r w:rsidR="00BE7AB4" w:rsidRPr="005076F9">
        <w:rPr>
          <w:rStyle w:val="FootnoteReference"/>
          <w:sz w:val="20"/>
          <w:szCs w:val="20"/>
          <w:lang w:val="es-ES"/>
        </w:rPr>
        <w:footnoteReference w:id="79"/>
      </w:r>
      <w:r w:rsidR="00BA2DEB" w:rsidRPr="005076F9">
        <w:rPr>
          <w:sz w:val="20"/>
          <w:szCs w:val="20"/>
          <w:lang w:val="es-ES"/>
        </w:rPr>
        <w:t>,</w:t>
      </w:r>
      <w:r w:rsidR="00FA3FBD" w:rsidRPr="005076F9">
        <w:rPr>
          <w:sz w:val="20"/>
          <w:szCs w:val="20"/>
          <w:lang w:val="es-ES"/>
        </w:rPr>
        <w:t xml:space="preserve"> </w:t>
      </w:r>
      <w:r w:rsidR="00BA2DEB" w:rsidRPr="005076F9">
        <w:rPr>
          <w:sz w:val="20"/>
          <w:szCs w:val="20"/>
          <w:lang w:val="es-ES"/>
        </w:rPr>
        <w:t>toda persona debe estar sometida a un régimen especial de justicia penal cuando del acervo probatorio en un determinado caso se desprenda que ésta no había alcanzado los 18 años de edad al momento de la presunta infracción de la ley penal</w:t>
      </w:r>
      <w:r w:rsidR="00BE7AB4" w:rsidRPr="005076F9">
        <w:rPr>
          <w:rStyle w:val="FootnoteReference"/>
          <w:sz w:val="20"/>
          <w:szCs w:val="20"/>
          <w:lang w:val="es-ES"/>
        </w:rPr>
        <w:footnoteReference w:id="80"/>
      </w:r>
      <w:r w:rsidR="00BA2DEB" w:rsidRPr="005076F9">
        <w:rPr>
          <w:sz w:val="20"/>
          <w:szCs w:val="20"/>
          <w:lang w:val="es-ES"/>
        </w:rPr>
        <w:t>.</w:t>
      </w:r>
      <w:r w:rsidRPr="005076F9">
        <w:rPr>
          <w:sz w:val="20"/>
          <w:szCs w:val="20"/>
          <w:lang w:val="es-ES"/>
        </w:rPr>
        <w:t xml:space="preserve"> </w:t>
      </w:r>
      <w:r w:rsidRPr="00075752">
        <w:rPr>
          <w:sz w:val="20"/>
          <w:szCs w:val="20"/>
          <w:lang w:val="es-ES"/>
        </w:rPr>
        <w:t xml:space="preserve">En este sentido, </w:t>
      </w:r>
      <w:r w:rsidR="00F93189" w:rsidRPr="00075752">
        <w:rPr>
          <w:sz w:val="20"/>
          <w:szCs w:val="20"/>
          <w:lang w:val="es-ES"/>
        </w:rPr>
        <w:t xml:space="preserve">recientemente </w:t>
      </w:r>
      <w:r w:rsidRPr="00075752">
        <w:rPr>
          <w:sz w:val="20"/>
          <w:szCs w:val="20"/>
          <w:lang w:val="es-ES"/>
        </w:rPr>
        <w:t xml:space="preserve">la CIDH en su informe </w:t>
      </w:r>
      <w:r w:rsidR="005076F9" w:rsidRPr="00075752">
        <w:rPr>
          <w:sz w:val="20"/>
          <w:szCs w:val="20"/>
          <w:lang w:val="es-ES"/>
        </w:rPr>
        <w:t xml:space="preserve">sobre </w:t>
      </w:r>
      <w:r w:rsidR="00F93189" w:rsidRPr="00075752">
        <w:rPr>
          <w:sz w:val="20"/>
          <w:szCs w:val="20"/>
          <w:lang w:val="es-ES"/>
        </w:rPr>
        <w:t xml:space="preserve">Niños, Niñas y Adolescentes en el Sistema Penal Adulto en los Estados Unidos señaló </w:t>
      </w:r>
      <w:r w:rsidR="0080032E" w:rsidRPr="00075752">
        <w:rPr>
          <w:sz w:val="20"/>
          <w:szCs w:val="20"/>
          <w:lang w:val="es-ES"/>
        </w:rPr>
        <w:t>que “</w:t>
      </w:r>
      <w:r w:rsidR="00F93189" w:rsidRPr="00075752">
        <w:rPr>
          <w:sz w:val="20"/>
          <w:szCs w:val="20"/>
          <w:lang w:val="es-ES"/>
        </w:rPr>
        <w:t>los niños son distintos a los adultos y requieren de un tratamiento especial en relación a su responsabilidad penal por los delitos cometidos. En particular, se ha identificado que es necesario priorizar la rehabilitación de los niños que cometen delitos por sobre los objetivos de retribución y encarcelamiento”</w:t>
      </w:r>
      <w:r w:rsidR="005076F9" w:rsidRPr="00075752">
        <w:rPr>
          <w:rStyle w:val="FootnoteReference"/>
          <w:sz w:val="20"/>
          <w:szCs w:val="20"/>
          <w:lang w:val="es-ES"/>
        </w:rPr>
        <w:footnoteReference w:id="81"/>
      </w:r>
      <w:r w:rsidR="00F93189" w:rsidRPr="00075752">
        <w:rPr>
          <w:sz w:val="20"/>
          <w:szCs w:val="20"/>
          <w:lang w:val="es-ES"/>
        </w:rPr>
        <w:t xml:space="preserve"> y concluy</w:t>
      </w:r>
      <w:r w:rsidR="005076F9" w:rsidRPr="00075752">
        <w:rPr>
          <w:sz w:val="20"/>
          <w:szCs w:val="20"/>
          <w:lang w:val="es-ES"/>
        </w:rPr>
        <w:t>ó</w:t>
      </w:r>
      <w:r w:rsidR="00F93189" w:rsidRPr="00075752">
        <w:rPr>
          <w:sz w:val="20"/>
          <w:szCs w:val="20"/>
          <w:lang w:val="es-ES"/>
        </w:rPr>
        <w:t xml:space="preserve"> que </w:t>
      </w:r>
      <w:r w:rsidR="005076F9" w:rsidRPr="00075752">
        <w:rPr>
          <w:sz w:val="20"/>
          <w:szCs w:val="20"/>
          <w:lang w:val="es-ES"/>
        </w:rPr>
        <w:t>t</w:t>
      </w:r>
      <w:r w:rsidR="00F93189" w:rsidRPr="00075752">
        <w:rPr>
          <w:sz w:val="20"/>
          <w:szCs w:val="20"/>
          <w:lang w:val="es-ES"/>
        </w:rPr>
        <w:t>odos los adolescentes acusados de cometer un delito tienen derecho a ser juzgados en un sistema especial de justicia juvenil separado del sistema de justicia penal en el que son juzgados los adultos, a fin de garantizar que sus derechos fundamentales se protejan y se respeten, de conformidad con su edad y sus necesidades de desarrollo</w:t>
      </w:r>
      <w:r w:rsidR="005076F9" w:rsidRPr="00075752">
        <w:rPr>
          <w:sz w:val="20"/>
          <w:szCs w:val="20"/>
          <w:lang w:val="es-ES"/>
        </w:rPr>
        <w:t>”</w:t>
      </w:r>
      <w:r w:rsidR="005076F9" w:rsidRPr="00075752">
        <w:rPr>
          <w:rStyle w:val="FootnoteReference"/>
          <w:sz w:val="20"/>
          <w:szCs w:val="20"/>
          <w:lang w:val="es-ES"/>
        </w:rPr>
        <w:footnoteReference w:id="82"/>
      </w:r>
      <w:r w:rsidR="005076F9" w:rsidRPr="00075752">
        <w:rPr>
          <w:sz w:val="20"/>
          <w:szCs w:val="20"/>
          <w:lang w:val="es-ES"/>
        </w:rPr>
        <w:t>.</w:t>
      </w:r>
      <w:r w:rsidR="005076F9" w:rsidRPr="005076F9">
        <w:rPr>
          <w:sz w:val="20"/>
          <w:szCs w:val="20"/>
          <w:lang w:val="es-ES"/>
        </w:rPr>
        <w:t xml:space="preserve"> </w:t>
      </w:r>
    </w:p>
    <w:p w14:paraId="6A91874E" w14:textId="77777777" w:rsidR="00496BD2" w:rsidRPr="005076F9" w:rsidRDefault="00496BD2" w:rsidP="005076F9">
      <w:pPr>
        <w:jc w:val="both"/>
        <w:rPr>
          <w:sz w:val="20"/>
          <w:szCs w:val="20"/>
          <w:lang w:val="es-ES"/>
        </w:rPr>
      </w:pPr>
    </w:p>
    <w:p w14:paraId="0E8B3D09" w14:textId="77777777" w:rsidR="007D69F0" w:rsidRPr="007D69F0" w:rsidRDefault="00BA2DEB" w:rsidP="007D69F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rFonts w:eastAsia="Times New Roman"/>
          <w:sz w:val="20"/>
          <w:szCs w:val="20"/>
          <w:bdr w:val="none" w:sz="0" w:space="0" w:color="auto"/>
          <w:lang w:val="es-ES"/>
        </w:rPr>
        <w:t>En términos de las garantías</w:t>
      </w:r>
      <w:r w:rsidR="004C3394" w:rsidRPr="00C7542C">
        <w:rPr>
          <w:rFonts w:eastAsia="Times New Roman"/>
          <w:sz w:val="20"/>
          <w:szCs w:val="20"/>
          <w:bdr w:val="none" w:sz="0" w:space="0" w:color="auto"/>
          <w:lang w:val="es-ES"/>
        </w:rPr>
        <w:t xml:space="preserve"> sustantivas</w:t>
      </w:r>
      <w:r w:rsidRPr="00C7542C">
        <w:rPr>
          <w:rFonts w:eastAsia="Times New Roman"/>
          <w:sz w:val="20"/>
          <w:szCs w:val="20"/>
          <w:bdr w:val="none" w:sz="0" w:space="0" w:color="auto"/>
          <w:lang w:val="es-ES"/>
        </w:rPr>
        <w:t xml:space="preserve"> que deben aplicarse en el </w:t>
      </w:r>
      <w:r w:rsidR="00496BD2" w:rsidRPr="00C7542C">
        <w:rPr>
          <w:rFonts w:eastAsia="Times New Roman"/>
          <w:sz w:val="20"/>
          <w:szCs w:val="20"/>
          <w:bdr w:val="none" w:sz="0" w:space="0" w:color="auto"/>
          <w:lang w:val="es-ES"/>
        </w:rPr>
        <w:t xml:space="preserve">proceso penal juvenil, la </w:t>
      </w:r>
      <w:r w:rsidR="00496BD2" w:rsidRPr="00C7542C">
        <w:rPr>
          <w:sz w:val="20"/>
          <w:szCs w:val="20"/>
          <w:lang w:val="es-ES"/>
        </w:rPr>
        <w:t>Comisión</w:t>
      </w:r>
      <w:r w:rsidR="00496BD2" w:rsidRPr="00C7542C">
        <w:rPr>
          <w:rFonts w:eastAsia="Times New Roman"/>
          <w:sz w:val="20"/>
          <w:szCs w:val="20"/>
          <w:bdr w:val="none" w:sz="0" w:space="0" w:color="auto"/>
          <w:lang w:val="es-ES"/>
        </w:rPr>
        <w:t xml:space="preserve"> destaca</w:t>
      </w:r>
      <w:r w:rsidR="00D36487" w:rsidRPr="00C7542C">
        <w:rPr>
          <w:rFonts w:eastAsia="Times New Roman"/>
          <w:sz w:val="20"/>
          <w:szCs w:val="20"/>
          <w:bdr w:val="none" w:sz="0" w:space="0" w:color="auto"/>
          <w:lang w:val="es-ES"/>
        </w:rPr>
        <w:t>,</w:t>
      </w:r>
      <w:r w:rsidR="00496BD2" w:rsidRPr="00C7542C">
        <w:rPr>
          <w:rFonts w:eastAsia="Times New Roman"/>
          <w:sz w:val="20"/>
          <w:szCs w:val="20"/>
          <w:bdr w:val="none" w:sz="0" w:space="0" w:color="auto"/>
          <w:lang w:val="es-ES"/>
        </w:rPr>
        <w:t xml:space="preserve"> en primer lugar</w:t>
      </w:r>
      <w:r w:rsidR="00393594" w:rsidRPr="00C7542C">
        <w:rPr>
          <w:rFonts w:eastAsia="Times New Roman"/>
          <w:sz w:val="20"/>
          <w:szCs w:val="20"/>
          <w:bdr w:val="none" w:sz="0" w:space="0" w:color="auto"/>
          <w:lang w:val="es-ES"/>
        </w:rPr>
        <w:t xml:space="preserve"> y en lo pertinente al presente caso, </w:t>
      </w:r>
      <w:r w:rsidR="00496BD2" w:rsidRPr="00C7542C">
        <w:rPr>
          <w:rFonts w:eastAsia="Times New Roman"/>
          <w:sz w:val="20"/>
          <w:szCs w:val="20"/>
          <w:bdr w:val="none" w:sz="0" w:space="0" w:color="auto"/>
          <w:lang w:val="es-ES"/>
        </w:rPr>
        <w:t xml:space="preserve">que el </w:t>
      </w:r>
      <w:r w:rsidR="00496BD2" w:rsidRPr="00C7542C">
        <w:rPr>
          <w:sz w:val="20"/>
          <w:szCs w:val="20"/>
          <w:lang w:val="es-ES"/>
        </w:rPr>
        <w:t xml:space="preserve">principio de legalidad penal contemplado en el artículo 9 de la Convención Americana debe regir la normatividad del sistema de justicia juvenil y que la restricción de libertad de un </w:t>
      </w:r>
      <w:r w:rsidR="00F93189">
        <w:rPr>
          <w:sz w:val="20"/>
          <w:szCs w:val="20"/>
          <w:lang w:val="es-ES"/>
        </w:rPr>
        <w:t xml:space="preserve">niño, niña y adolescente </w:t>
      </w:r>
      <w:r w:rsidR="00496BD2" w:rsidRPr="00C7542C">
        <w:rPr>
          <w:sz w:val="20"/>
          <w:szCs w:val="20"/>
          <w:lang w:val="es-ES"/>
        </w:rPr>
        <w:t>no basada en la ley, o en una acción tipificada como delito, constituye una grave violación de los derechos humanos. </w:t>
      </w:r>
      <w:r w:rsidR="00393594" w:rsidRPr="00C7542C">
        <w:rPr>
          <w:sz w:val="20"/>
          <w:szCs w:val="20"/>
          <w:lang w:val="es-ES"/>
        </w:rPr>
        <w:t xml:space="preserve"> En consecuencia, e</w:t>
      </w:r>
      <w:r w:rsidR="00496BD2" w:rsidRPr="00C7542C">
        <w:rPr>
          <w:sz w:val="20"/>
          <w:szCs w:val="20"/>
          <w:lang w:val="es-ES"/>
        </w:rPr>
        <w:t xml:space="preserve">l Estado no puede, invocando razones de tutela del </w:t>
      </w:r>
      <w:r w:rsidR="005076F9">
        <w:rPr>
          <w:sz w:val="20"/>
          <w:szCs w:val="20"/>
          <w:lang w:val="es-ES"/>
        </w:rPr>
        <w:t>niño, niña o adolescente</w:t>
      </w:r>
      <w:r w:rsidR="00496BD2" w:rsidRPr="00C7542C">
        <w:rPr>
          <w:sz w:val="20"/>
          <w:szCs w:val="20"/>
          <w:lang w:val="es-ES"/>
        </w:rPr>
        <w:t>, privarlo de su libertad o de otros derechos inherentes a su persona</w:t>
      </w:r>
      <w:r w:rsidR="00D36487" w:rsidRPr="00C7542C">
        <w:rPr>
          <w:rStyle w:val="FootnoteReference"/>
          <w:sz w:val="20"/>
          <w:szCs w:val="20"/>
          <w:lang w:val="es-ES"/>
        </w:rPr>
        <w:footnoteReference w:id="83"/>
      </w:r>
      <w:r w:rsidR="00496BD2" w:rsidRPr="00C7542C">
        <w:rPr>
          <w:sz w:val="20"/>
          <w:szCs w:val="20"/>
          <w:lang w:val="es-ES"/>
        </w:rPr>
        <w:t>.</w:t>
      </w:r>
      <w:r w:rsidR="00915DCE">
        <w:rPr>
          <w:sz w:val="20"/>
          <w:szCs w:val="20"/>
          <w:lang w:val="es-ES"/>
        </w:rPr>
        <w:t xml:space="preserve"> </w:t>
      </w:r>
    </w:p>
    <w:p w14:paraId="0EB13706" w14:textId="77777777" w:rsidR="007D69F0" w:rsidRPr="007D69F0" w:rsidRDefault="007D69F0" w:rsidP="007D69F0">
      <w:pPr>
        <w:pStyle w:val="ListParagraph"/>
        <w:rPr>
          <w:sz w:val="20"/>
          <w:szCs w:val="20"/>
          <w:bdr w:val="none" w:sz="0" w:space="0" w:color="auto"/>
          <w:lang w:val="es-ES"/>
        </w:rPr>
      </w:pPr>
    </w:p>
    <w:p w14:paraId="2AA403EA" w14:textId="28DD6B1C" w:rsidR="007D69F0" w:rsidRPr="007D69F0" w:rsidRDefault="00D36487" w:rsidP="007D69F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7D69F0">
        <w:rPr>
          <w:sz w:val="20"/>
          <w:szCs w:val="20"/>
          <w:bdr w:val="none" w:sz="0" w:space="0" w:color="auto"/>
          <w:lang w:val="es-ES"/>
        </w:rPr>
        <w:t xml:space="preserve">En segundo </w:t>
      </w:r>
      <w:r w:rsidR="009756A4" w:rsidRPr="007D69F0">
        <w:rPr>
          <w:sz w:val="20"/>
          <w:szCs w:val="20"/>
          <w:bdr w:val="none" w:sz="0" w:space="0" w:color="auto"/>
          <w:lang w:val="es-ES"/>
        </w:rPr>
        <w:t xml:space="preserve">lugar, los Estados deben </w:t>
      </w:r>
      <w:r w:rsidR="004C3394" w:rsidRPr="007D69F0">
        <w:rPr>
          <w:sz w:val="20"/>
          <w:szCs w:val="20"/>
          <w:bdr w:val="none" w:sz="0" w:space="0" w:color="auto"/>
          <w:lang w:val="es-ES"/>
        </w:rPr>
        <w:t>observar</w:t>
      </w:r>
      <w:r w:rsidR="009756A4" w:rsidRPr="007D69F0">
        <w:rPr>
          <w:sz w:val="20"/>
          <w:szCs w:val="20"/>
          <w:bdr w:val="none" w:sz="0" w:space="0" w:color="auto"/>
          <w:lang w:val="es-ES"/>
        </w:rPr>
        <w:t xml:space="preserve"> el principio de excepcionalidad, el cual, conforme el </w:t>
      </w:r>
      <w:r w:rsidR="001003DF" w:rsidRPr="00075752">
        <w:rPr>
          <w:sz w:val="20"/>
          <w:szCs w:val="20"/>
          <w:bdr w:val="none" w:sz="0" w:space="0" w:color="auto"/>
          <w:lang w:val="es-ES"/>
        </w:rPr>
        <w:t>artículo</w:t>
      </w:r>
      <w:r w:rsidR="009756A4" w:rsidRPr="00075752">
        <w:rPr>
          <w:sz w:val="20"/>
          <w:szCs w:val="20"/>
          <w:bdr w:val="none" w:sz="0" w:space="0" w:color="auto"/>
          <w:lang w:val="es-ES"/>
        </w:rPr>
        <w:t xml:space="preserve"> 37.b de la </w:t>
      </w:r>
      <w:r w:rsidR="004C3394" w:rsidRPr="00075752">
        <w:rPr>
          <w:sz w:val="20"/>
          <w:szCs w:val="20"/>
          <w:bdr w:val="none" w:sz="0" w:space="0" w:color="auto"/>
          <w:lang w:val="es-ES"/>
        </w:rPr>
        <w:t>Convención</w:t>
      </w:r>
      <w:r w:rsidR="009756A4" w:rsidRPr="00075752">
        <w:rPr>
          <w:sz w:val="20"/>
          <w:szCs w:val="20"/>
          <w:bdr w:val="none" w:sz="0" w:space="0" w:color="auto"/>
          <w:lang w:val="es-ES"/>
        </w:rPr>
        <w:t xml:space="preserve"> </w:t>
      </w:r>
      <w:r w:rsidR="00CC554D" w:rsidRPr="00075752">
        <w:rPr>
          <w:sz w:val="20"/>
          <w:szCs w:val="20"/>
          <w:bdr w:val="none" w:sz="0" w:space="0" w:color="auto"/>
          <w:lang w:val="es-ES"/>
        </w:rPr>
        <w:t>sobre los Derechos del Niño</w:t>
      </w:r>
      <w:r w:rsidR="00150122" w:rsidRPr="00075752">
        <w:rPr>
          <w:sz w:val="20"/>
          <w:szCs w:val="20"/>
          <w:bdr w:val="none" w:sz="0" w:space="0" w:color="auto"/>
          <w:lang w:val="es-ES"/>
        </w:rPr>
        <w:t>,</w:t>
      </w:r>
      <w:r w:rsidR="00CC554D" w:rsidRPr="00075752">
        <w:rPr>
          <w:sz w:val="20"/>
          <w:szCs w:val="20"/>
          <w:bdr w:val="none" w:sz="0" w:space="0" w:color="auto"/>
          <w:lang w:val="es-ES"/>
        </w:rPr>
        <w:t xml:space="preserve"> </w:t>
      </w:r>
      <w:r w:rsidR="009756A4" w:rsidRPr="00075752">
        <w:rPr>
          <w:sz w:val="20"/>
          <w:szCs w:val="20"/>
          <w:bdr w:val="none" w:sz="0" w:space="0" w:color="auto"/>
          <w:lang w:val="es-ES"/>
        </w:rPr>
        <w:t>impone que</w:t>
      </w:r>
      <w:r w:rsidRPr="00075752">
        <w:rPr>
          <w:sz w:val="20"/>
          <w:szCs w:val="20"/>
          <w:bdr w:val="none" w:sz="0" w:space="0" w:color="auto"/>
          <w:lang w:val="es-ES"/>
        </w:rPr>
        <w:t xml:space="preserve"> </w:t>
      </w:r>
      <w:r w:rsidR="00CC554D" w:rsidRPr="00075752">
        <w:rPr>
          <w:sz w:val="20"/>
          <w:szCs w:val="20"/>
          <w:lang w:val="es-ES"/>
        </w:rPr>
        <w:t xml:space="preserve">los </w:t>
      </w:r>
      <w:r w:rsidR="001003DF" w:rsidRPr="00075752">
        <w:rPr>
          <w:sz w:val="20"/>
          <w:szCs w:val="20"/>
          <w:lang w:val="es-ES"/>
        </w:rPr>
        <w:t>Estados parte</w:t>
      </w:r>
      <w:r w:rsidR="00CC554D" w:rsidRPr="00075752">
        <w:rPr>
          <w:sz w:val="20"/>
          <w:szCs w:val="20"/>
          <w:lang w:val="es-ES"/>
        </w:rPr>
        <w:t xml:space="preserve"> velarán por que la detención, el encarcelamiento o la prisión de un niño se lleven a cabo como medidas de último recurso</w:t>
      </w:r>
      <w:r w:rsidR="002629D5" w:rsidRPr="00075752">
        <w:rPr>
          <w:sz w:val="20"/>
          <w:szCs w:val="20"/>
          <w:lang w:val="es-ES"/>
        </w:rPr>
        <w:t>.</w:t>
      </w:r>
      <w:r w:rsidR="003A575F" w:rsidRPr="00075752">
        <w:rPr>
          <w:sz w:val="20"/>
          <w:szCs w:val="20"/>
          <w:lang w:val="es-ES"/>
        </w:rPr>
        <w:t xml:space="preserve"> La </w:t>
      </w:r>
      <w:r w:rsidR="007D69F0" w:rsidRPr="00075752">
        <w:rPr>
          <w:sz w:val="20"/>
          <w:szCs w:val="20"/>
          <w:lang w:val="es-ES"/>
        </w:rPr>
        <w:t>Comisión</w:t>
      </w:r>
      <w:r w:rsidR="003A575F" w:rsidRPr="00075752">
        <w:rPr>
          <w:sz w:val="20"/>
          <w:szCs w:val="20"/>
          <w:lang w:val="es-ES"/>
        </w:rPr>
        <w:t xml:space="preserve"> </w:t>
      </w:r>
      <w:r w:rsidR="007D69F0" w:rsidRPr="00075752">
        <w:rPr>
          <w:sz w:val="20"/>
          <w:szCs w:val="20"/>
          <w:lang w:val="es-ES"/>
        </w:rPr>
        <w:t xml:space="preserve">consignó </w:t>
      </w:r>
      <w:r w:rsidR="00075752" w:rsidRPr="00075752">
        <w:rPr>
          <w:sz w:val="20"/>
          <w:szCs w:val="20"/>
          <w:lang w:val="es-ES"/>
        </w:rPr>
        <w:t>que “</w:t>
      </w:r>
      <w:r w:rsidR="007D69F0" w:rsidRPr="00075752">
        <w:rPr>
          <w:sz w:val="20"/>
          <w:szCs w:val="20"/>
          <w:lang w:val="es-ES"/>
        </w:rPr>
        <w:t>el sistema de justicia juvenil, y en particular la detención de niños, son medidas que deben utilizarse como último recurso y únicamente de manera excepcional por el período más breve posible”</w:t>
      </w:r>
      <w:r w:rsidR="007D69F0" w:rsidRPr="00075752">
        <w:rPr>
          <w:rStyle w:val="FootnoteReference"/>
          <w:sz w:val="20"/>
          <w:szCs w:val="20"/>
          <w:lang w:val="es-ES"/>
        </w:rPr>
        <w:footnoteReference w:id="84"/>
      </w:r>
      <w:r w:rsidR="007D69F0" w:rsidRPr="00075752">
        <w:rPr>
          <w:sz w:val="20"/>
          <w:szCs w:val="20"/>
          <w:lang w:val="es-ES"/>
        </w:rPr>
        <w:t>. Asimismo, señaló que “los Estados deben adoptar las medidas a su alcance para reducir al mínimo el contacto de los niños con el sistema de justicia juvenil, regulando proporcionalmente los plazos de prescripción de la acción, así como para limitar el uso de la privación de libertad, sea preventiva o como sanción, al infringir las leyes penales”</w:t>
      </w:r>
      <w:r w:rsidR="007D69F0" w:rsidRPr="00075752">
        <w:rPr>
          <w:rStyle w:val="FootnoteReference"/>
          <w:sz w:val="20"/>
          <w:szCs w:val="20"/>
          <w:lang w:val="es-ES"/>
        </w:rPr>
        <w:footnoteReference w:id="85"/>
      </w:r>
      <w:r w:rsidR="007D69F0" w:rsidRPr="00075752">
        <w:rPr>
          <w:sz w:val="20"/>
          <w:szCs w:val="20"/>
          <w:lang w:val="es-ES"/>
        </w:rPr>
        <w:t>.</w:t>
      </w:r>
    </w:p>
    <w:p w14:paraId="20CC6F84" w14:textId="77777777" w:rsidR="003A575F" w:rsidRPr="007D69F0" w:rsidRDefault="003A575F" w:rsidP="007D69F0">
      <w:pPr>
        <w:rPr>
          <w:sz w:val="20"/>
          <w:szCs w:val="20"/>
          <w:lang w:val="es-ES"/>
        </w:rPr>
      </w:pPr>
    </w:p>
    <w:p w14:paraId="0C2918FD" w14:textId="5C3CE7CA" w:rsidR="00C31090" w:rsidRPr="00C7542C" w:rsidRDefault="002629D5"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sz w:val="20"/>
          <w:szCs w:val="20"/>
          <w:lang w:val="es-ES"/>
        </w:rPr>
        <w:t xml:space="preserve"> </w:t>
      </w:r>
      <w:r w:rsidR="004C3394" w:rsidRPr="00C7542C">
        <w:rPr>
          <w:sz w:val="20"/>
          <w:szCs w:val="20"/>
          <w:lang w:val="es-ES"/>
        </w:rPr>
        <w:t xml:space="preserve">En </w:t>
      </w:r>
      <w:r w:rsidR="003A575F">
        <w:rPr>
          <w:sz w:val="20"/>
          <w:szCs w:val="20"/>
          <w:lang w:val="es-ES"/>
        </w:rPr>
        <w:t>idéntico</w:t>
      </w:r>
      <w:r w:rsidR="004C3394" w:rsidRPr="00C7542C">
        <w:rPr>
          <w:sz w:val="20"/>
          <w:szCs w:val="20"/>
          <w:lang w:val="es-ES"/>
        </w:rPr>
        <w:t xml:space="preserve"> sentido, la Observación General Nro. 10 del Comité de los Derechos del Niño dispone que “las leyes deben ofrecer al tribunal/juez, o a cualquier otra autoridad u órgano judicial competente, </w:t>
      </w:r>
      <w:r w:rsidR="004C3394" w:rsidRPr="00C7542C">
        <w:rPr>
          <w:sz w:val="20"/>
          <w:szCs w:val="20"/>
          <w:lang w:val="es-ES"/>
        </w:rPr>
        <w:lastRenderedPageBreak/>
        <w:t>independiente e imparcial, una amplia variedad de alternativas posibles a la internación en instituciones y la privación de libertad (…)  a fin de que la privación de libertad se utilice tan sólo como medida de último recurso y durante el período más breve que sea posible (artículo 37 b) de la Convención)”</w:t>
      </w:r>
      <w:r w:rsidR="004C3394" w:rsidRPr="00C7542C">
        <w:rPr>
          <w:rStyle w:val="FootnoteReference"/>
          <w:sz w:val="20"/>
          <w:szCs w:val="20"/>
          <w:lang w:val="es-ES"/>
        </w:rPr>
        <w:footnoteReference w:id="86"/>
      </w:r>
      <w:r w:rsidR="004C3394" w:rsidRPr="00C7542C">
        <w:rPr>
          <w:sz w:val="20"/>
          <w:szCs w:val="20"/>
          <w:lang w:val="es-ES"/>
        </w:rPr>
        <w:t xml:space="preserve">. </w:t>
      </w:r>
    </w:p>
    <w:p w14:paraId="1FB04CEC" w14:textId="77777777" w:rsidR="00C31090" w:rsidRPr="00C7542C" w:rsidRDefault="00C31090" w:rsidP="00A50768">
      <w:pPr>
        <w:pStyle w:val="ListParagraph"/>
        <w:rPr>
          <w:sz w:val="20"/>
          <w:szCs w:val="20"/>
          <w:bdr w:val="none" w:sz="0" w:space="0" w:color="auto"/>
          <w:lang w:val="es-ES"/>
        </w:rPr>
      </w:pPr>
    </w:p>
    <w:p w14:paraId="48556737" w14:textId="203EDE98" w:rsidR="00C31090" w:rsidRPr="00C7542C" w:rsidRDefault="007342A9"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sz w:val="20"/>
          <w:szCs w:val="20"/>
          <w:bdr w:val="none" w:sz="0" w:space="0" w:color="auto"/>
          <w:lang w:val="es-ES"/>
        </w:rPr>
        <w:t xml:space="preserve">En tercer </w:t>
      </w:r>
      <w:r w:rsidR="001003DF" w:rsidRPr="00C7542C">
        <w:rPr>
          <w:sz w:val="20"/>
          <w:szCs w:val="20"/>
          <w:bdr w:val="none" w:sz="0" w:space="0" w:color="auto"/>
          <w:lang w:val="es-ES"/>
        </w:rPr>
        <w:t>término</w:t>
      </w:r>
      <w:r w:rsidRPr="00C7542C">
        <w:rPr>
          <w:sz w:val="20"/>
          <w:szCs w:val="20"/>
          <w:bdr w:val="none" w:sz="0" w:space="0" w:color="auto"/>
          <w:lang w:val="es-ES"/>
        </w:rPr>
        <w:t xml:space="preserve">, la </w:t>
      </w:r>
      <w:r w:rsidR="00C31090" w:rsidRPr="00C7542C">
        <w:rPr>
          <w:sz w:val="20"/>
          <w:szCs w:val="20"/>
          <w:bdr w:val="none" w:sz="0" w:space="0" w:color="auto"/>
          <w:lang w:val="es-ES"/>
        </w:rPr>
        <w:t>Comisión</w:t>
      </w:r>
      <w:r w:rsidRPr="00C7542C">
        <w:rPr>
          <w:sz w:val="20"/>
          <w:szCs w:val="20"/>
          <w:bdr w:val="none" w:sz="0" w:space="0" w:color="auto"/>
          <w:lang w:val="es-ES"/>
        </w:rPr>
        <w:t xml:space="preserve"> destaca que, conforme al principio de especialización que surge de</w:t>
      </w:r>
      <w:r w:rsidR="00C31090" w:rsidRPr="00C7542C">
        <w:rPr>
          <w:sz w:val="20"/>
          <w:szCs w:val="20"/>
          <w:bdr w:val="none" w:sz="0" w:space="0" w:color="auto"/>
          <w:lang w:val="es-ES"/>
        </w:rPr>
        <w:t xml:space="preserve"> </w:t>
      </w:r>
      <w:r w:rsidRPr="00C7542C">
        <w:rPr>
          <w:sz w:val="20"/>
          <w:szCs w:val="20"/>
          <w:bdr w:val="none" w:sz="0" w:space="0" w:color="auto"/>
          <w:lang w:val="es-ES"/>
        </w:rPr>
        <w:t>l</w:t>
      </w:r>
      <w:r w:rsidR="00C31090" w:rsidRPr="00C7542C">
        <w:rPr>
          <w:sz w:val="20"/>
          <w:szCs w:val="20"/>
          <w:bdr w:val="none" w:sz="0" w:space="0" w:color="auto"/>
          <w:lang w:val="es-ES"/>
        </w:rPr>
        <w:t>os</w:t>
      </w:r>
      <w:r w:rsidRPr="00C7542C">
        <w:rPr>
          <w:sz w:val="20"/>
          <w:szCs w:val="20"/>
          <w:bdr w:val="none" w:sz="0" w:space="0" w:color="auto"/>
          <w:lang w:val="es-ES"/>
        </w:rPr>
        <w:t xml:space="preserve"> </w:t>
      </w:r>
      <w:r w:rsidR="00C31090" w:rsidRPr="00C7542C">
        <w:rPr>
          <w:sz w:val="20"/>
          <w:szCs w:val="20"/>
          <w:bdr w:val="none" w:sz="0" w:space="0" w:color="auto"/>
          <w:lang w:val="es-ES"/>
        </w:rPr>
        <w:t>artículos</w:t>
      </w:r>
      <w:r w:rsidRPr="00C7542C">
        <w:rPr>
          <w:sz w:val="20"/>
          <w:szCs w:val="20"/>
          <w:bdr w:val="none" w:sz="0" w:space="0" w:color="auto"/>
          <w:lang w:val="es-ES"/>
        </w:rPr>
        <w:t xml:space="preserve"> 5.5 de la </w:t>
      </w:r>
      <w:r w:rsidR="00C31090" w:rsidRPr="00C7542C">
        <w:rPr>
          <w:sz w:val="20"/>
          <w:szCs w:val="20"/>
          <w:bdr w:val="none" w:sz="0" w:space="0" w:color="auto"/>
          <w:lang w:val="es-ES"/>
        </w:rPr>
        <w:t>Convención</w:t>
      </w:r>
      <w:r w:rsidRPr="00C7542C">
        <w:rPr>
          <w:sz w:val="20"/>
          <w:szCs w:val="20"/>
          <w:lang w:val="es-ES"/>
        </w:rPr>
        <w:t xml:space="preserve"> Americana y 40.3 de la </w:t>
      </w:r>
      <w:r w:rsidR="00C31090" w:rsidRPr="00C7542C">
        <w:rPr>
          <w:sz w:val="20"/>
          <w:szCs w:val="20"/>
          <w:lang w:val="es-ES"/>
        </w:rPr>
        <w:t>Convención</w:t>
      </w:r>
      <w:r w:rsidRPr="00C7542C">
        <w:rPr>
          <w:sz w:val="20"/>
          <w:szCs w:val="20"/>
          <w:lang w:val="es-ES"/>
        </w:rPr>
        <w:t xml:space="preserve"> sobre los Derechos del Niño, los niños que sean acusados de infringir leyes penales deben ser sometidos a un sistema especializado de justicia</w:t>
      </w:r>
      <w:r w:rsidRPr="00C7542C">
        <w:rPr>
          <w:rStyle w:val="FootnoteReference"/>
          <w:sz w:val="20"/>
          <w:szCs w:val="20"/>
          <w:lang w:val="es-ES"/>
        </w:rPr>
        <w:footnoteReference w:id="87"/>
      </w:r>
      <w:r w:rsidRPr="00C7542C">
        <w:rPr>
          <w:sz w:val="20"/>
          <w:szCs w:val="20"/>
          <w:lang w:val="es-ES"/>
        </w:rPr>
        <w:t xml:space="preserve">. </w:t>
      </w:r>
      <w:r w:rsidR="00C31090" w:rsidRPr="00C7542C">
        <w:rPr>
          <w:sz w:val="20"/>
          <w:szCs w:val="20"/>
          <w:lang w:val="es-ES"/>
        </w:rPr>
        <w:t>De manera similar, la Corte IDH ha sostenido que una consecuencia evidente de la pertinencia de atender en forma diferenciada y específica las cuestiones referentes a los niños, y particularmente, las relacionadas con la conducta ilícita, es el establecimiento de órganos jurisdiccionales especializados para el conocimiento de conductas penalmente típicas atribuidas a aquéllos y un procedimiento especial por el cual se conozcan estas infracciones a la ley penal</w:t>
      </w:r>
      <w:r w:rsidR="00C31090" w:rsidRPr="00C7542C">
        <w:rPr>
          <w:rStyle w:val="FootnoteReference"/>
          <w:sz w:val="20"/>
          <w:szCs w:val="20"/>
          <w:lang w:val="es-ES"/>
        </w:rPr>
        <w:footnoteReference w:id="88"/>
      </w:r>
      <w:r w:rsidR="00C31090" w:rsidRPr="00C7542C">
        <w:rPr>
          <w:sz w:val="20"/>
          <w:szCs w:val="20"/>
          <w:lang w:val="es-ES"/>
        </w:rPr>
        <w:t xml:space="preserve">. </w:t>
      </w:r>
    </w:p>
    <w:p w14:paraId="0F65909C" w14:textId="77777777" w:rsidR="00C31090" w:rsidRPr="00C7542C" w:rsidRDefault="00C31090" w:rsidP="001003DF">
      <w:pPr>
        <w:pStyle w:val="ListParagraph"/>
        <w:rPr>
          <w:sz w:val="20"/>
          <w:szCs w:val="20"/>
          <w:lang w:val="es-ES"/>
        </w:rPr>
      </w:pPr>
    </w:p>
    <w:p w14:paraId="2C765EF7" w14:textId="5261DB79" w:rsidR="00F47689" w:rsidRPr="00C7542C" w:rsidRDefault="00F47689" w:rsidP="00F4768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sz w:val="20"/>
          <w:szCs w:val="20"/>
          <w:lang w:val="es-US"/>
        </w:rPr>
        <w:t>La observancia de los anteriores aspectos resulta esencial para que el Estado no incurra en violaciones a la Convención Americana en el contexto de restricciones a la libertad de niños, niñas y adolescentes, El artículo 37.b) de la Convención sobre los Derechos del Niño dispone que los Estados deben velar por que “[n]ingún niño sea privado de su libertad ilegal o arbitrariamente”. Todo lo anterior implica que</w:t>
      </w:r>
      <w:r w:rsidR="00FA3FBD" w:rsidRPr="00C7542C">
        <w:rPr>
          <w:sz w:val="20"/>
          <w:szCs w:val="20"/>
          <w:lang w:val="es-US"/>
        </w:rPr>
        <w:t>,</w:t>
      </w:r>
      <w:r w:rsidRPr="00C7542C">
        <w:rPr>
          <w:sz w:val="20"/>
          <w:szCs w:val="20"/>
          <w:lang w:val="es-US"/>
        </w:rPr>
        <w:t xml:space="preserve"> si los jueces deciden que es necesaria la aplicación de una sanción penal, y si </w:t>
      </w:r>
      <w:r w:rsidR="00A50768" w:rsidRPr="00C7542C">
        <w:rPr>
          <w:sz w:val="20"/>
          <w:szCs w:val="20"/>
          <w:lang w:val="es-US"/>
        </w:rPr>
        <w:t xml:space="preserve">tal </w:t>
      </w:r>
      <w:r w:rsidR="00915DCE" w:rsidRPr="00C7542C">
        <w:rPr>
          <w:sz w:val="20"/>
          <w:szCs w:val="20"/>
          <w:lang w:val="es-US"/>
        </w:rPr>
        <w:t>sanción</w:t>
      </w:r>
      <w:r w:rsidR="00A50768" w:rsidRPr="00C7542C">
        <w:rPr>
          <w:sz w:val="20"/>
          <w:szCs w:val="20"/>
          <w:lang w:val="es-US"/>
        </w:rPr>
        <w:t xml:space="preserve"> es </w:t>
      </w:r>
      <w:r w:rsidRPr="00C7542C">
        <w:rPr>
          <w:sz w:val="20"/>
          <w:szCs w:val="20"/>
          <w:lang w:val="es-US"/>
        </w:rPr>
        <w:t>privativa de la libertad, aun estando prevista por la ley, su aplicación puede ser arbitraria</w:t>
      </w:r>
      <w:r w:rsidR="00A50768" w:rsidRPr="00C7542C">
        <w:rPr>
          <w:sz w:val="20"/>
          <w:szCs w:val="20"/>
          <w:lang w:val="es-US"/>
        </w:rPr>
        <w:t xml:space="preserve"> y violatoria del artículo 7.3 de la Convención Americana</w:t>
      </w:r>
      <w:r w:rsidRPr="00C7542C">
        <w:rPr>
          <w:sz w:val="20"/>
          <w:szCs w:val="20"/>
          <w:lang w:val="es-US"/>
        </w:rPr>
        <w:t>, si no se consideran los principios básicos que rigen esta materia</w:t>
      </w:r>
      <w:r w:rsidRPr="00C7542C">
        <w:rPr>
          <w:rStyle w:val="FootnoteReference"/>
          <w:sz w:val="20"/>
          <w:szCs w:val="20"/>
          <w:lang w:val="es-US"/>
        </w:rPr>
        <w:footnoteReference w:id="89"/>
      </w:r>
      <w:r w:rsidRPr="00C7542C">
        <w:rPr>
          <w:sz w:val="20"/>
          <w:szCs w:val="20"/>
          <w:lang w:val="es-US"/>
        </w:rPr>
        <w:t>.</w:t>
      </w:r>
    </w:p>
    <w:p w14:paraId="3FF0B33D" w14:textId="77777777" w:rsidR="00F47689" w:rsidRPr="00C7542C" w:rsidRDefault="00F47689" w:rsidP="00FB2A6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ES"/>
        </w:rPr>
      </w:pPr>
    </w:p>
    <w:p w14:paraId="028ED3C0" w14:textId="5392C086" w:rsidR="00BA2DEB" w:rsidRPr="00C7542C" w:rsidRDefault="00C31090" w:rsidP="001003D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sz w:val="20"/>
          <w:szCs w:val="20"/>
          <w:lang w:val="es-ES"/>
        </w:rPr>
        <w:t>La Corte</w:t>
      </w:r>
      <w:r w:rsidR="00D879AA" w:rsidRPr="00C7542C">
        <w:rPr>
          <w:sz w:val="20"/>
          <w:szCs w:val="20"/>
          <w:lang w:val="es-ES"/>
        </w:rPr>
        <w:t xml:space="preserve"> IDH</w:t>
      </w:r>
      <w:r w:rsidRPr="00C7542C">
        <w:rPr>
          <w:sz w:val="20"/>
          <w:szCs w:val="20"/>
          <w:lang w:val="es-ES"/>
        </w:rPr>
        <w:t xml:space="preserve"> ha explicado también </w:t>
      </w:r>
      <w:r w:rsidR="001003DF" w:rsidRPr="00C7542C">
        <w:rPr>
          <w:sz w:val="20"/>
          <w:szCs w:val="20"/>
          <w:lang w:val="es-ES"/>
        </w:rPr>
        <w:t>que,</w:t>
      </w:r>
      <w:r w:rsidRPr="00C7542C">
        <w:rPr>
          <w:sz w:val="20"/>
          <w:szCs w:val="20"/>
          <w:lang w:val="es-ES"/>
        </w:rPr>
        <w:t xml:space="preserve"> en una jurisdicción penal especializada para niños, </w:t>
      </w:r>
      <w:r w:rsidR="001003DF" w:rsidRPr="00C7542C">
        <w:rPr>
          <w:sz w:val="20"/>
          <w:szCs w:val="20"/>
          <w:lang w:val="es-ES"/>
        </w:rPr>
        <w:t xml:space="preserve">aquellos </w:t>
      </w:r>
      <w:r w:rsidRPr="00C7542C">
        <w:rPr>
          <w:sz w:val="20"/>
          <w:szCs w:val="20"/>
          <w:lang w:val="es-ES"/>
        </w:rPr>
        <w:t>que ejerzan facultades en las diferentes etapas de los juicios y en las distintas fases de la administración de justicia de niños deberán estar especialmente preparados y capacitados en los derechos humanos del niño y la psicología infantil para evitar cualquier abuso de la discrecionalidad y para asegurar que las medidas ordenadas en cada caso sean idóneas, necesarias y proporcionales</w:t>
      </w:r>
      <w:r w:rsidRPr="00C7542C">
        <w:rPr>
          <w:rStyle w:val="FootnoteReference"/>
          <w:sz w:val="20"/>
          <w:szCs w:val="20"/>
          <w:lang w:val="es-ES"/>
        </w:rPr>
        <w:footnoteReference w:id="90"/>
      </w:r>
      <w:r w:rsidRPr="00C7542C">
        <w:rPr>
          <w:sz w:val="20"/>
          <w:szCs w:val="20"/>
          <w:lang w:val="es-ES"/>
        </w:rPr>
        <w:t xml:space="preserve">. </w:t>
      </w:r>
    </w:p>
    <w:p w14:paraId="67F9629A" w14:textId="77777777" w:rsidR="00BA2DEB" w:rsidRPr="00C7542C" w:rsidRDefault="00BA2DEB" w:rsidP="00BA2DEB">
      <w:pPr>
        <w:pStyle w:val="ListParagraph"/>
        <w:rPr>
          <w:rFonts w:eastAsia="Times New Roman"/>
          <w:sz w:val="20"/>
          <w:szCs w:val="20"/>
          <w:bdr w:val="none" w:sz="0" w:space="0" w:color="auto"/>
          <w:lang w:val="es-ES"/>
        </w:rPr>
      </w:pPr>
    </w:p>
    <w:p w14:paraId="5574CDEE" w14:textId="7D0CFCC6" w:rsidR="00812956" w:rsidRPr="00812956" w:rsidRDefault="00945CFC" w:rsidP="008129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C7542C">
        <w:rPr>
          <w:rFonts w:eastAsia="Times New Roman"/>
          <w:sz w:val="20"/>
          <w:szCs w:val="20"/>
          <w:bdr w:val="none" w:sz="0" w:space="0" w:color="auto"/>
          <w:lang w:val="es-ES"/>
        </w:rPr>
        <w:t>Finalmente,</w:t>
      </w:r>
      <w:r w:rsidR="007342A9" w:rsidRPr="00C7542C">
        <w:rPr>
          <w:rFonts w:eastAsia="Times New Roman"/>
          <w:sz w:val="20"/>
          <w:szCs w:val="20"/>
          <w:bdr w:val="none" w:sz="0" w:space="0" w:color="auto"/>
          <w:lang w:val="es-ES"/>
        </w:rPr>
        <w:t xml:space="preserve"> y con respecto </w:t>
      </w:r>
      <w:r w:rsidR="00C31090" w:rsidRPr="00C7542C">
        <w:rPr>
          <w:rFonts w:eastAsia="Times New Roman"/>
          <w:sz w:val="20"/>
          <w:szCs w:val="20"/>
          <w:bdr w:val="none" w:sz="0" w:space="0" w:color="auto"/>
          <w:lang w:val="es-ES"/>
        </w:rPr>
        <w:t>a la normativa argentina aplicable al presente caso</w:t>
      </w:r>
      <w:r w:rsidR="00BA2DEB" w:rsidRPr="00C7542C">
        <w:rPr>
          <w:rFonts w:eastAsia="Times New Roman"/>
          <w:sz w:val="20"/>
          <w:szCs w:val="20"/>
          <w:bdr w:val="none" w:sz="0" w:space="0" w:color="auto"/>
          <w:lang w:val="es-ES"/>
        </w:rPr>
        <w:t xml:space="preserve">, la </w:t>
      </w:r>
      <w:r w:rsidR="00C31090" w:rsidRPr="00C7542C">
        <w:rPr>
          <w:rFonts w:eastAsia="Times New Roman"/>
          <w:sz w:val="20"/>
          <w:szCs w:val="20"/>
          <w:bdr w:val="none" w:sz="0" w:space="0" w:color="auto"/>
          <w:lang w:val="es-ES"/>
        </w:rPr>
        <w:t>Comisión</w:t>
      </w:r>
      <w:r w:rsidR="00BA2DEB" w:rsidRPr="00C7542C">
        <w:rPr>
          <w:rFonts w:eastAsia="Times New Roman"/>
          <w:sz w:val="20"/>
          <w:szCs w:val="20"/>
          <w:bdr w:val="none" w:sz="0" w:space="0" w:color="auto"/>
          <w:lang w:val="es-ES"/>
        </w:rPr>
        <w:t xml:space="preserve"> indicó</w:t>
      </w:r>
      <w:r w:rsidR="007342A9" w:rsidRPr="00C7542C">
        <w:rPr>
          <w:rFonts w:eastAsia="Times New Roman"/>
          <w:sz w:val="20"/>
          <w:szCs w:val="20"/>
          <w:bdr w:val="none" w:sz="0" w:space="0" w:color="auto"/>
          <w:lang w:val="es-ES"/>
        </w:rPr>
        <w:t xml:space="preserve"> en su </w:t>
      </w:r>
      <w:r w:rsidR="003A575F">
        <w:rPr>
          <w:rFonts w:eastAsia="Times New Roman"/>
          <w:sz w:val="20"/>
          <w:szCs w:val="20"/>
          <w:bdr w:val="none" w:sz="0" w:space="0" w:color="auto"/>
          <w:lang w:val="es-ES"/>
        </w:rPr>
        <w:t>I</w:t>
      </w:r>
      <w:r w:rsidR="007342A9" w:rsidRPr="00C7542C">
        <w:rPr>
          <w:rFonts w:eastAsia="Times New Roman"/>
          <w:sz w:val="20"/>
          <w:szCs w:val="20"/>
          <w:bdr w:val="none" w:sz="0" w:space="0" w:color="auto"/>
          <w:lang w:val="es-ES"/>
        </w:rPr>
        <w:t xml:space="preserve">nforme sobre Justicia Juvenil y Derechos Humanos en las </w:t>
      </w:r>
      <w:r w:rsidR="00C31090" w:rsidRPr="00C7542C">
        <w:rPr>
          <w:rFonts w:eastAsia="Times New Roman"/>
          <w:sz w:val="20"/>
          <w:szCs w:val="20"/>
          <w:bdr w:val="none" w:sz="0" w:space="0" w:color="auto"/>
          <w:lang w:val="es-ES"/>
        </w:rPr>
        <w:t>Américas</w:t>
      </w:r>
      <w:r w:rsidR="007342A9" w:rsidRPr="00C7542C">
        <w:rPr>
          <w:rFonts w:eastAsia="Times New Roman"/>
          <w:sz w:val="20"/>
          <w:szCs w:val="20"/>
          <w:bdr w:val="none" w:sz="0" w:space="0" w:color="auto"/>
          <w:lang w:val="es-ES"/>
        </w:rPr>
        <w:t xml:space="preserve"> </w:t>
      </w:r>
      <w:r w:rsidR="00BA2DEB" w:rsidRPr="00C7542C">
        <w:rPr>
          <w:rFonts w:eastAsia="Times New Roman"/>
          <w:sz w:val="20"/>
          <w:szCs w:val="20"/>
          <w:bdr w:val="none" w:sz="0" w:space="0" w:color="auto"/>
          <w:lang w:val="es-ES"/>
        </w:rPr>
        <w:t xml:space="preserve">que la ley 22.278 </w:t>
      </w:r>
      <w:r w:rsidR="00BA2DEB" w:rsidRPr="00C7542C">
        <w:rPr>
          <w:sz w:val="20"/>
          <w:szCs w:val="20"/>
          <w:lang w:val="es-ES"/>
        </w:rPr>
        <w:t xml:space="preserve">permite un tratamiento igual al de los adultos a personas que cometieron algunos delitos entre los 16 y los 18 años.  Si bien la autoridad judicial se encuentra facultada para no imponer una sanción penal, o para reducirla al grado de tentativa, la norma permite, a discreción del juez, la imposición de las sanciones previstas en la normativa penal ordinaria. </w:t>
      </w:r>
      <w:r w:rsidR="003A575F">
        <w:rPr>
          <w:sz w:val="20"/>
          <w:szCs w:val="20"/>
          <w:lang w:val="es-ES"/>
        </w:rPr>
        <w:t>La Comisión sostuvo en dicho informe que e</w:t>
      </w:r>
      <w:r w:rsidR="00BA2DEB" w:rsidRPr="00C7542C">
        <w:rPr>
          <w:sz w:val="20"/>
          <w:szCs w:val="20"/>
          <w:lang w:val="es-ES"/>
        </w:rPr>
        <w:t>ste tratamiento no diferenciado puede resultar incompatible con el principio de proporcionalidad de la pena y con el juicio de reproche del menor que debe subyacer a toda conducta cometida por un o una adolescente conforme al interés superior del niño</w:t>
      </w:r>
      <w:r w:rsidR="00D879AA" w:rsidRPr="00C7542C">
        <w:rPr>
          <w:rStyle w:val="FootnoteReference"/>
          <w:sz w:val="20"/>
          <w:szCs w:val="20"/>
          <w:lang w:val="es-ES"/>
        </w:rPr>
        <w:footnoteReference w:id="91"/>
      </w:r>
      <w:r w:rsidR="00BA2DEB" w:rsidRPr="00C7542C">
        <w:rPr>
          <w:sz w:val="20"/>
          <w:szCs w:val="20"/>
          <w:lang w:val="es-ES"/>
        </w:rPr>
        <w:t xml:space="preserve">. </w:t>
      </w:r>
    </w:p>
    <w:p w14:paraId="764A258C" w14:textId="77777777" w:rsidR="00812956" w:rsidRPr="00812956" w:rsidRDefault="00812956" w:rsidP="008129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ES"/>
        </w:rPr>
      </w:pPr>
    </w:p>
    <w:p w14:paraId="1AD59907" w14:textId="5A83E709" w:rsidR="00812956" w:rsidRPr="00812956" w:rsidRDefault="00812956" w:rsidP="008129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ES"/>
        </w:rPr>
      </w:pPr>
      <w:r w:rsidRPr="00812956">
        <w:rPr>
          <w:sz w:val="20"/>
          <w:szCs w:val="20"/>
          <w:lang w:val="es-419"/>
        </w:rPr>
        <w:t xml:space="preserve">Por último, la Comisión recuerda que en el caso </w:t>
      </w:r>
      <w:r w:rsidRPr="00812956">
        <w:rPr>
          <w:iCs/>
          <w:sz w:val="20"/>
          <w:szCs w:val="20"/>
          <w:lang w:val="es-419"/>
        </w:rPr>
        <w:t>Mendoza y otros vs. Argentina</w:t>
      </w:r>
      <w:r w:rsidRPr="00812956">
        <w:rPr>
          <w:i/>
          <w:iCs/>
          <w:sz w:val="20"/>
          <w:szCs w:val="20"/>
          <w:lang w:val="es-419"/>
        </w:rPr>
        <w:t xml:space="preserve"> </w:t>
      </w:r>
      <w:r w:rsidRPr="00812956">
        <w:rPr>
          <w:sz w:val="20"/>
          <w:szCs w:val="20"/>
          <w:lang w:val="es-419"/>
        </w:rPr>
        <w:t xml:space="preserve">la Corte Interamericana se ha referido a las diversas problemáticas derivadas de la aplicación de la Ley 22.278 y al incumplimiento por parte del Estado de su obligación consagrada en el artículo 2 de la Convención Americana de adoptar disposiciones de carácter interno para garantizar el ejercicio de los derechos. Al respecto, la Corte indicó en relación con dicha norma – que fue sancionada durante la última dictadura militar argentina - que: </w:t>
      </w:r>
    </w:p>
    <w:p w14:paraId="0F5C5A1E" w14:textId="77777777" w:rsidR="00812956" w:rsidRPr="00C7542C" w:rsidRDefault="00812956" w:rsidP="00812956">
      <w:pPr>
        <w:tabs>
          <w:tab w:val="left" w:pos="567"/>
        </w:tabs>
        <w:jc w:val="both"/>
        <w:rPr>
          <w:sz w:val="20"/>
          <w:szCs w:val="20"/>
          <w:lang w:val="es-419"/>
        </w:rPr>
      </w:pPr>
    </w:p>
    <w:p w14:paraId="64F9E9B1" w14:textId="77777777" w:rsidR="00812956" w:rsidRPr="00C7542C" w:rsidRDefault="00812956" w:rsidP="008129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50" w:right="720"/>
        <w:jc w:val="both"/>
        <w:rPr>
          <w:sz w:val="20"/>
          <w:szCs w:val="20"/>
          <w:lang w:val="es-419"/>
        </w:rPr>
      </w:pPr>
      <w:r w:rsidRPr="00C7542C">
        <w:rPr>
          <w:sz w:val="20"/>
          <w:szCs w:val="20"/>
          <w:lang w:val="es-419"/>
        </w:rPr>
        <w:lastRenderedPageBreak/>
        <w:t>El sistema previsto por el artículo 4 de la Ley 22.278 (…) deja un amplio margen de arbitrio al juez para determinar las consecuencias jurídicas de la comisión de un delito por personas menores de 18 años, tomando como base no sólo el delito, sino también otros aspectos como “los antecedentes del menor, el resultado del tratamiento tutelar y la impresión directa recogida por el juez”. Asimismo, de la redacción del párrafo 3 del artículo 4 de la Ley 22.278 se desprende que los jueces pueden imponer a los niños las mismas penas previstas para los adultos, incluyendo la privación de la libertad, contempladas en el Código Penal de la Nación, (…) De lo anterior, la Corte estima que la consideración de otros elementos más allá del delito cometido, así como la posibilidad de imponer a niños sanciones penales previstas para adultos, son contrarias al principio de proporcionalidad.</w:t>
      </w:r>
    </w:p>
    <w:p w14:paraId="43EB1ACA" w14:textId="77777777" w:rsidR="00596668" w:rsidRPr="00812956" w:rsidRDefault="00596668" w:rsidP="003E22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03CD659A" w14:textId="497D2175" w:rsidR="00596668" w:rsidRPr="00C7542C" w:rsidRDefault="00596668" w:rsidP="003E2229">
      <w:pPr>
        <w:ind w:left="720"/>
        <w:jc w:val="both"/>
        <w:outlineLvl w:val="2"/>
        <w:rPr>
          <w:rFonts w:ascii="Cambria" w:hAnsi="Cambria"/>
          <w:b/>
          <w:bCs/>
          <w:sz w:val="20"/>
          <w:szCs w:val="20"/>
          <w:lang w:val="es-ES_tradnl"/>
        </w:rPr>
      </w:pPr>
      <w:bookmarkStart w:id="70" w:name="_Toc78370176"/>
      <w:bookmarkStart w:id="71" w:name="_Toc203382214"/>
      <w:r w:rsidRPr="00C7542C">
        <w:rPr>
          <w:rFonts w:ascii="Cambria" w:hAnsi="Cambria"/>
          <w:b/>
          <w:bCs/>
          <w:sz w:val="20"/>
          <w:szCs w:val="20"/>
          <w:lang w:val="es-ES_tradnl"/>
        </w:rPr>
        <w:t>iii) Análisis del caso</w:t>
      </w:r>
      <w:bookmarkEnd w:id="70"/>
      <w:bookmarkEnd w:id="71"/>
    </w:p>
    <w:p w14:paraId="60796DE1" w14:textId="77777777" w:rsidR="003E2229" w:rsidRPr="00C7542C" w:rsidRDefault="003E2229" w:rsidP="00481898">
      <w:pPr>
        <w:rPr>
          <w:sz w:val="20"/>
          <w:szCs w:val="20"/>
          <w:lang w:val="es-ES_tradnl"/>
        </w:rPr>
      </w:pPr>
    </w:p>
    <w:p w14:paraId="41EA47E5" w14:textId="1C5C9435" w:rsidR="00596668" w:rsidRPr="00C7542C" w:rsidRDefault="00596668" w:rsidP="003E222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sz w:val="20"/>
          <w:szCs w:val="20"/>
          <w:lang w:val="es-419"/>
        </w:rPr>
        <w:t xml:space="preserve">La Comisión resalta en primer lugar que, conforme a la información que surge del expediente, </w:t>
      </w:r>
      <w:r w:rsidR="00915DCE">
        <w:rPr>
          <w:sz w:val="20"/>
          <w:szCs w:val="20"/>
          <w:lang w:val="es-419"/>
        </w:rPr>
        <w:t>Diego</w:t>
      </w:r>
      <w:r w:rsidR="00A901C2">
        <w:rPr>
          <w:sz w:val="20"/>
          <w:szCs w:val="20"/>
          <w:lang w:val="es-419"/>
        </w:rPr>
        <w:t xml:space="preserve"> Armando</w:t>
      </w:r>
      <w:r w:rsidRPr="00C7542C">
        <w:rPr>
          <w:sz w:val="20"/>
          <w:szCs w:val="20"/>
          <w:lang w:val="es-419"/>
        </w:rPr>
        <w:t xml:space="preserve"> Pacheco fue vinculado a proceso penal por el delito de homicidio simple, el cual habría sido cometido cuando</w:t>
      </w:r>
      <w:r w:rsidR="003C4066" w:rsidRPr="00C7542C">
        <w:rPr>
          <w:sz w:val="20"/>
          <w:szCs w:val="20"/>
          <w:lang w:val="es-419"/>
        </w:rPr>
        <w:t xml:space="preserve"> el peticionario</w:t>
      </w:r>
      <w:r w:rsidRPr="00C7542C">
        <w:rPr>
          <w:sz w:val="20"/>
          <w:szCs w:val="20"/>
          <w:lang w:val="es-419"/>
        </w:rPr>
        <w:t xml:space="preserve"> contaba con 17 años de edad. En consecuencia, y según se aprecia en el expediente, el proceso judicial estuvo regido por el Código Procesal Penal de la Provincia de</w:t>
      </w:r>
      <w:r w:rsidR="00915DCE">
        <w:rPr>
          <w:sz w:val="20"/>
          <w:szCs w:val="20"/>
          <w:lang w:val="es-419"/>
        </w:rPr>
        <w:t xml:space="preserve"> </w:t>
      </w:r>
      <w:r w:rsidRPr="00C7542C">
        <w:rPr>
          <w:sz w:val="20"/>
          <w:szCs w:val="20"/>
          <w:lang w:val="es-419"/>
        </w:rPr>
        <w:t>Chubut vigente al momento y</w:t>
      </w:r>
      <w:r w:rsidR="003C4066">
        <w:rPr>
          <w:sz w:val="20"/>
          <w:szCs w:val="20"/>
          <w:lang w:val="es-419"/>
        </w:rPr>
        <w:t xml:space="preserve"> </w:t>
      </w:r>
      <w:r w:rsidRPr="00C7542C">
        <w:rPr>
          <w:sz w:val="20"/>
          <w:szCs w:val="20"/>
          <w:lang w:val="es-419"/>
        </w:rPr>
        <w:t xml:space="preserve">por la ley </w:t>
      </w:r>
      <w:r w:rsidR="003C4066">
        <w:rPr>
          <w:sz w:val="20"/>
          <w:szCs w:val="20"/>
          <w:lang w:val="es-419"/>
        </w:rPr>
        <w:t xml:space="preserve">nacional </w:t>
      </w:r>
      <w:r w:rsidRPr="00C7542C">
        <w:rPr>
          <w:sz w:val="20"/>
          <w:szCs w:val="20"/>
          <w:lang w:val="es-419"/>
        </w:rPr>
        <w:t>22.278 de Régimen Penal de la Minoridad.</w:t>
      </w:r>
    </w:p>
    <w:p w14:paraId="2C28DFFE" w14:textId="77777777" w:rsidR="00596668" w:rsidRPr="00C7542C" w:rsidRDefault="00596668" w:rsidP="005966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197AC3FC" w14:textId="72A2DE58" w:rsidR="00596668" w:rsidRPr="00C7542C" w:rsidRDefault="00A73C66"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075752">
        <w:rPr>
          <w:sz w:val="20"/>
          <w:szCs w:val="20"/>
          <w:lang w:val="es-419"/>
        </w:rPr>
        <w:t xml:space="preserve">En observancia del </w:t>
      </w:r>
      <w:r w:rsidR="00596668" w:rsidRPr="00075752">
        <w:rPr>
          <w:sz w:val="20"/>
          <w:szCs w:val="20"/>
          <w:lang w:val="es-419"/>
        </w:rPr>
        <w:t>artículo</w:t>
      </w:r>
      <w:r w:rsidRPr="00075752">
        <w:rPr>
          <w:sz w:val="20"/>
          <w:szCs w:val="20"/>
          <w:lang w:val="es-419"/>
        </w:rPr>
        <w:t xml:space="preserve"> 4° de la ley 22.278, la Cámara Primera en lo Criminal de la </w:t>
      </w:r>
      <w:r w:rsidR="00C92274" w:rsidRPr="00075752">
        <w:rPr>
          <w:sz w:val="20"/>
          <w:szCs w:val="20"/>
          <w:lang w:val="es-419"/>
        </w:rPr>
        <w:t>Circunscripción</w:t>
      </w:r>
      <w:r w:rsidRPr="00075752">
        <w:rPr>
          <w:sz w:val="20"/>
          <w:szCs w:val="20"/>
          <w:lang w:val="es-419"/>
        </w:rPr>
        <w:t xml:space="preserve"> Judicial de Comodoro Rivadavia declaró a Diego Armando Pacheco “penalmente</w:t>
      </w:r>
      <w:r w:rsidRPr="00C7542C">
        <w:rPr>
          <w:sz w:val="20"/>
          <w:szCs w:val="20"/>
          <w:lang w:val="es-419"/>
        </w:rPr>
        <w:t xml:space="preserve"> responsable” del delito de homicidio simple y dispuso someterlo “a tratamiento tutelar hasta su mayoría de edad bajo la supervisión de la Asesora Civil de Familia e Incapaces”. La </w:t>
      </w:r>
      <w:r w:rsidR="00913C29" w:rsidRPr="00C7542C">
        <w:rPr>
          <w:sz w:val="20"/>
          <w:szCs w:val="20"/>
          <w:lang w:val="es-419"/>
        </w:rPr>
        <w:t>Comisión</w:t>
      </w:r>
      <w:r w:rsidRPr="00C7542C">
        <w:rPr>
          <w:sz w:val="20"/>
          <w:szCs w:val="20"/>
          <w:lang w:val="es-419"/>
        </w:rPr>
        <w:t xml:space="preserve"> </w:t>
      </w:r>
      <w:r w:rsidR="00913C29" w:rsidRPr="00C7542C">
        <w:rPr>
          <w:sz w:val="20"/>
          <w:szCs w:val="20"/>
          <w:lang w:val="es-419"/>
        </w:rPr>
        <w:t>considera necesario añadir que, en la misma sentencia, otros dos coimputados mayores de edad fueron absueltos.</w:t>
      </w:r>
      <w:r w:rsidR="00B24232">
        <w:rPr>
          <w:sz w:val="20"/>
          <w:szCs w:val="20"/>
          <w:lang w:val="es-419"/>
        </w:rPr>
        <w:t xml:space="preserve"> </w:t>
      </w:r>
    </w:p>
    <w:p w14:paraId="1DE225C3" w14:textId="77777777" w:rsidR="00596668" w:rsidRPr="00C7542C"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08A02E51" w14:textId="2F1AB000" w:rsidR="00596668" w:rsidRPr="00C7542C" w:rsidRDefault="00C92274"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sz w:val="20"/>
          <w:szCs w:val="20"/>
          <w:lang w:val="es-419"/>
        </w:rPr>
        <w:t xml:space="preserve">A continuación, y tal como fue descripto en el apartado de determinaciones de hecho, la </w:t>
      </w:r>
      <w:r w:rsidR="00F66999" w:rsidRPr="00C7542C">
        <w:rPr>
          <w:sz w:val="20"/>
          <w:szCs w:val="20"/>
          <w:lang w:val="es-419"/>
        </w:rPr>
        <w:t>Cámara</w:t>
      </w:r>
      <w:r w:rsidRPr="00C7542C">
        <w:rPr>
          <w:sz w:val="20"/>
          <w:szCs w:val="20"/>
          <w:lang w:val="es-419"/>
        </w:rPr>
        <w:t xml:space="preserve"> Primera</w:t>
      </w:r>
      <w:r w:rsidR="00D24D9B">
        <w:rPr>
          <w:sz w:val="20"/>
          <w:szCs w:val="20"/>
          <w:lang w:val="es-419"/>
        </w:rPr>
        <w:t>,</w:t>
      </w:r>
      <w:r w:rsidRPr="00C7542C">
        <w:rPr>
          <w:sz w:val="20"/>
          <w:szCs w:val="20"/>
          <w:lang w:val="es-419"/>
        </w:rPr>
        <w:t xml:space="preserve"> mediante resolución de fecha 17 de septiembre de 2002</w:t>
      </w:r>
      <w:r w:rsidR="00D24D9B">
        <w:rPr>
          <w:sz w:val="20"/>
          <w:szCs w:val="20"/>
          <w:lang w:val="es-419"/>
        </w:rPr>
        <w:t>,</w:t>
      </w:r>
      <w:r w:rsidRPr="00C7542C">
        <w:rPr>
          <w:sz w:val="20"/>
          <w:szCs w:val="20"/>
          <w:lang w:val="es-419"/>
        </w:rPr>
        <w:t xml:space="preserve"> </w:t>
      </w:r>
      <w:r w:rsidR="00F66999" w:rsidRPr="00C7542C">
        <w:rPr>
          <w:sz w:val="20"/>
          <w:szCs w:val="20"/>
          <w:lang w:val="es-419"/>
        </w:rPr>
        <w:t>decidió</w:t>
      </w:r>
      <w:r w:rsidRPr="00C7542C">
        <w:rPr>
          <w:sz w:val="20"/>
          <w:szCs w:val="20"/>
          <w:lang w:val="es-419"/>
        </w:rPr>
        <w:t xml:space="preserve"> imponerle a</w:t>
      </w:r>
      <w:r w:rsidR="00F66999" w:rsidRPr="00C7542C">
        <w:rPr>
          <w:sz w:val="20"/>
          <w:szCs w:val="20"/>
          <w:lang w:val="es-419"/>
        </w:rPr>
        <w:t>l peticionario la pena de 4 años de prisión. La Comisión resalta que como parte de fundamentación de su decisión, uno de los jueces afirm</w:t>
      </w:r>
      <w:r w:rsidR="004E7F1A" w:rsidRPr="00C7542C">
        <w:rPr>
          <w:sz w:val="20"/>
          <w:szCs w:val="20"/>
          <w:lang w:val="es-419"/>
        </w:rPr>
        <w:t>ó</w:t>
      </w:r>
      <w:r w:rsidR="00F66999" w:rsidRPr="00C7542C">
        <w:rPr>
          <w:sz w:val="20"/>
          <w:szCs w:val="20"/>
          <w:lang w:val="es-419"/>
        </w:rPr>
        <w:t>, luego de reseñar la declaración del Sr. Pacheco y de la Delegada de Control, Lic, Sandra Nora Romero,  que “no puede soslayarse a la hora de resolver sobre el punto traído a decisión: la falta de certeza acerca de la posibilidad de que el justiciable vuelva a reincidir en conductas antisociales, la que tiene su génesis en su falta de contención afectiva y en su comprobada y declarada adicción al alcohol”</w:t>
      </w:r>
      <w:r w:rsidR="003E0FB1" w:rsidRPr="00C7542C">
        <w:rPr>
          <w:rStyle w:val="FootnoteReference"/>
          <w:sz w:val="20"/>
          <w:szCs w:val="20"/>
          <w:lang w:val="es-419"/>
        </w:rPr>
        <w:footnoteReference w:id="92"/>
      </w:r>
      <w:r w:rsidR="00F66999" w:rsidRPr="00C7542C">
        <w:rPr>
          <w:sz w:val="20"/>
          <w:szCs w:val="20"/>
          <w:lang w:val="es-419"/>
        </w:rPr>
        <w:t>.</w:t>
      </w:r>
    </w:p>
    <w:p w14:paraId="7F904A9C" w14:textId="77777777" w:rsidR="00596668" w:rsidRPr="00C7542C"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7704F5D7" w14:textId="2E14D16A" w:rsidR="00596668" w:rsidRPr="00C7542C" w:rsidRDefault="00F66999"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sz w:val="20"/>
          <w:szCs w:val="20"/>
          <w:lang w:val="es-419"/>
        </w:rPr>
        <w:t xml:space="preserve">De igual manera, otro de los jueces que suscribió la sentencia condenatoria </w:t>
      </w:r>
      <w:r w:rsidR="001567BB" w:rsidRPr="00C7542C">
        <w:rPr>
          <w:sz w:val="20"/>
          <w:szCs w:val="20"/>
          <w:lang w:val="es-419"/>
        </w:rPr>
        <w:t xml:space="preserve">argumentó que “no puede descartarse, en absoluto, que el joven Pacheco vaya a incurrir en nuevas conductas delictivas graves. Al efecto, se computa que el resultado del tratamiento tutelar impuesta oportunamente en la sentencia que declaró su responsabilidad penal, no se advierte que haya producido ninguna modificación de importancia en el comportamiento, hábitos, </w:t>
      </w:r>
      <w:r w:rsidR="00EC2549" w:rsidRPr="00C7542C">
        <w:rPr>
          <w:sz w:val="20"/>
          <w:szCs w:val="20"/>
          <w:lang w:val="es-419"/>
        </w:rPr>
        <w:t>etc.</w:t>
      </w:r>
      <w:r w:rsidR="001567BB" w:rsidRPr="00C7542C">
        <w:rPr>
          <w:sz w:val="20"/>
          <w:szCs w:val="20"/>
          <w:lang w:val="es-419"/>
        </w:rPr>
        <w:t xml:space="preserve"> del imputado”</w:t>
      </w:r>
      <w:r w:rsidR="003E0FB1" w:rsidRPr="00C7542C">
        <w:rPr>
          <w:rStyle w:val="FootnoteReference"/>
          <w:sz w:val="20"/>
          <w:szCs w:val="20"/>
          <w:lang w:val="es-419"/>
        </w:rPr>
        <w:footnoteReference w:id="93"/>
      </w:r>
      <w:r w:rsidR="001567BB" w:rsidRPr="00C7542C">
        <w:rPr>
          <w:sz w:val="20"/>
          <w:szCs w:val="20"/>
          <w:lang w:val="es-419"/>
        </w:rPr>
        <w:t xml:space="preserve">. </w:t>
      </w:r>
    </w:p>
    <w:p w14:paraId="1761E009" w14:textId="77777777" w:rsidR="00596668" w:rsidRPr="00C7542C"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3221E1C0" w14:textId="5177CDE4" w:rsidR="00596668" w:rsidRPr="00D24D9B" w:rsidRDefault="001567BB"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sz w:val="20"/>
          <w:szCs w:val="20"/>
          <w:lang w:val="es-419"/>
        </w:rPr>
        <w:t xml:space="preserve">A partir del análisis de las sentencias anteriormente reseñadas, la Comisión entiende, en primer </w:t>
      </w:r>
      <w:r w:rsidR="00576300" w:rsidRPr="00C7542C">
        <w:rPr>
          <w:sz w:val="20"/>
          <w:szCs w:val="20"/>
          <w:lang w:val="es-419"/>
        </w:rPr>
        <w:t>término</w:t>
      </w:r>
      <w:r w:rsidRPr="00C7542C">
        <w:rPr>
          <w:sz w:val="20"/>
          <w:szCs w:val="20"/>
          <w:lang w:val="es-419"/>
        </w:rPr>
        <w:t xml:space="preserve">, que la decisión de imponer una pena de prisión al Sr. Pacheco no obedeció de manera exclusiva a </w:t>
      </w:r>
      <w:r w:rsidR="00EC2549" w:rsidRPr="00C7542C">
        <w:rPr>
          <w:sz w:val="20"/>
          <w:szCs w:val="20"/>
          <w:lang w:val="es-419"/>
        </w:rPr>
        <w:t>la conducta</w:t>
      </w:r>
      <w:r w:rsidRPr="00C7542C">
        <w:rPr>
          <w:sz w:val="20"/>
          <w:szCs w:val="20"/>
          <w:lang w:val="es-419"/>
        </w:rPr>
        <w:t xml:space="preserve"> delictiva que eventualmente haya cometido</w:t>
      </w:r>
      <w:r w:rsidR="00125AE4">
        <w:rPr>
          <w:sz w:val="20"/>
          <w:szCs w:val="20"/>
          <w:lang w:val="es-419"/>
        </w:rPr>
        <w:t xml:space="preserve"> el peticionario, </w:t>
      </w:r>
      <w:r w:rsidR="00125AE4" w:rsidRPr="00C7542C">
        <w:rPr>
          <w:sz w:val="20"/>
          <w:szCs w:val="20"/>
          <w:lang w:val="es-419"/>
        </w:rPr>
        <w:t>tal</w:t>
      </w:r>
      <w:r w:rsidRPr="00C7542C">
        <w:rPr>
          <w:sz w:val="20"/>
          <w:szCs w:val="20"/>
          <w:lang w:val="es-419"/>
        </w:rPr>
        <w:t xml:space="preserve"> como lo exige el </w:t>
      </w:r>
      <w:r w:rsidR="00137A47" w:rsidRPr="00C7542C">
        <w:rPr>
          <w:sz w:val="20"/>
          <w:szCs w:val="20"/>
          <w:lang w:val="es-419"/>
        </w:rPr>
        <w:t>principio</w:t>
      </w:r>
      <w:r w:rsidRPr="00C7542C">
        <w:rPr>
          <w:sz w:val="20"/>
          <w:szCs w:val="20"/>
          <w:lang w:val="es-419"/>
        </w:rPr>
        <w:t xml:space="preserve"> de legalidad y el derecho a la libertad personal. Por el contrario, ocupa una </w:t>
      </w:r>
      <w:r w:rsidR="00BB0F0A" w:rsidRPr="00C7542C">
        <w:rPr>
          <w:sz w:val="20"/>
          <w:szCs w:val="20"/>
          <w:lang w:val="es-419"/>
        </w:rPr>
        <w:t>porción</w:t>
      </w:r>
      <w:r w:rsidRPr="00C7542C">
        <w:rPr>
          <w:sz w:val="20"/>
          <w:szCs w:val="20"/>
          <w:lang w:val="es-419"/>
        </w:rPr>
        <w:t xml:space="preserve"> importante en la argumentación de los jueces el alegado fracaso del tratamiento tutelar al que fue sometido el peticionario conforme el </w:t>
      </w:r>
      <w:r w:rsidR="00576300" w:rsidRPr="00C7542C">
        <w:rPr>
          <w:sz w:val="20"/>
          <w:szCs w:val="20"/>
          <w:lang w:val="es-419"/>
        </w:rPr>
        <w:t>artículo</w:t>
      </w:r>
      <w:r w:rsidRPr="00C7542C">
        <w:rPr>
          <w:sz w:val="20"/>
          <w:szCs w:val="20"/>
          <w:lang w:val="es-419"/>
        </w:rPr>
        <w:t xml:space="preserve"> 4° de la ley 22.278 como </w:t>
      </w:r>
      <w:r w:rsidR="00137A47" w:rsidRPr="00C7542C">
        <w:rPr>
          <w:sz w:val="20"/>
          <w:szCs w:val="20"/>
          <w:lang w:val="es-419"/>
        </w:rPr>
        <w:t>así</w:t>
      </w:r>
      <w:r w:rsidRPr="00C7542C">
        <w:rPr>
          <w:sz w:val="20"/>
          <w:szCs w:val="20"/>
          <w:lang w:val="es-419"/>
        </w:rPr>
        <w:t xml:space="preserve"> </w:t>
      </w:r>
      <w:r w:rsidR="00137A47" w:rsidRPr="00C7542C">
        <w:rPr>
          <w:sz w:val="20"/>
          <w:szCs w:val="20"/>
          <w:lang w:val="es-419"/>
        </w:rPr>
        <w:t>también</w:t>
      </w:r>
      <w:r w:rsidRPr="00C7542C">
        <w:rPr>
          <w:sz w:val="20"/>
          <w:szCs w:val="20"/>
          <w:lang w:val="es-419"/>
        </w:rPr>
        <w:t xml:space="preserve"> una serie de consideraciones de naturaleza preventivo-generales relacionadas con un supuesto riesgo de </w:t>
      </w:r>
      <w:r w:rsidRPr="00075752">
        <w:rPr>
          <w:sz w:val="20"/>
          <w:szCs w:val="20"/>
          <w:lang w:val="es-419"/>
        </w:rPr>
        <w:t>reincidencia futura que no guardan relación con el hecho por el cual el peticionario fue vinculado a proceso.</w:t>
      </w:r>
    </w:p>
    <w:p w14:paraId="7A8DE9D9" w14:textId="77777777" w:rsidR="00D24D9B" w:rsidRPr="003C4066" w:rsidRDefault="00D24D9B" w:rsidP="00D24D9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0C0B9E93" w14:textId="2EDB3529" w:rsidR="003C4066" w:rsidRPr="00EF0A92" w:rsidRDefault="00D24D9B"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EF0A92">
        <w:rPr>
          <w:rFonts w:eastAsia="Times New Roman"/>
          <w:sz w:val="20"/>
          <w:szCs w:val="20"/>
          <w:bdr w:val="none" w:sz="0" w:space="0" w:color="auto"/>
          <w:lang w:val="es-419"/>
        </w:rPr>
        <w:lastRenderedPageBreak/>
        <w:t xml:space="preserve">En este sentido, la Comisión resalta que la argumentación utilizada para sustentar la condena del peticionario estuvo </w:t>
      </w:r>
      <w:r w:rsidR="00C27334" w:rsidRPr="00EF0A92">
        <w:rPr>
          <w:rFonts w:eastAsia="Times New Roman"/>
          <w:sz w:val="20"/>
          <w:szCs w:val="20"/>
          <w:bdr w:val="none" w:sz="0" w:space="0" w:color="auto"/>
          <w:lang w:val="es-419"/>
        </w:rPr>
        <w:t xml:space="preserve">en parte </w:t>
      </w:r>
      <w:r w:rsidR="001D5304" w:rsidRPr="00EF0A92">
        <w:rPr>
          <w:rFonts w:eastAsia="Times New Roman"/>
          <w:sz w:val="20"/>
          <w:szCs w:val="20"/>
          <w:bdr w:val="none" w:sz="0" w:space="0" w:color="auto"/>
          <w:lang w:val="es-419"/>
        </w:rPr>
        <w:t>basada en</w:t>
      </w:r>
      <w:r w:rsidRPr="00EF0A92">
        <w:rPr>
          <w:rFonts w:eastAsia="Times New Roman"/>
          <w:sz w:val="20"/>
          <w:szCs w:val="20"/>
          <w:bdr w:val="none" w:sz="0" w:space="0" w:color="auto"/>
          <w:lang w:val="es-419"/>
        </w:rPr>
        <w:t xml:space="preserve"> pre</w:t>
      </w:r>
      <w:r w:rsidR="001D5304" w:rsidRPr="00EF0A92">
        <w:rPr>
          <w:rFonts w:eastAsia="Times New Roman"/>
          <w:sz w:val="20"/>
          <w:szCs w:val="20"/>
          <w:bdr w:val="none" w:sz="0" w:space="0" w:color="auto"/>
          <w:lang w:val="es-419"/>
        </w:rPr>
        <w:t xml:space="preserve">juicios </w:t>
      </w:r>
      <w:r w:rsidRPr="00EF0A92">
        <w:rPr>
          <w:rFonts w:eastAsia="Times New Roman"/>
          <w:sz w:val="20"/>
          <w:szCs w:val="20"/>
          <w:bdr w:val="none" w:sz="0" w:space="0" w:color="auto"/>
          <w:lang w:val="es-419"/>
        </w:rPr>
        <w:t xml:space="preserve">y estereotipos que vincularon automáticamente la alegada adicción al alcohol de la presunta víctima, sus presuntos hábitos personales </w:t>
      </w:r>
      <w:r w:rsidR="001D5304" w:rsidRPr="00EF0A92">
        <w:rPr>
          <w:rFonts w:eastAsia="Times New Roman"/>
          <w:sz w:val="20"/>
          <w:szCs w:val="20"/>
          <w:bdr w:val="none" w:sz="0" w:space="0" w:color="auto"/>
          <w:lang w:val="es-419"/>
        </w:rPr>
        <w:t xml:space="preserve">- de los cuales no se hace mayor referencia </w:t>
      </w:r>
      <w:r w:rsidR="00125AE4" w:rsidRPr="00EF0A92">
        <w:rPr>
          <w:rFonts w:eastAsia="Times New Roman"/>
          <w:sz w:val="20"/>
          <w:szCs w:val="20"/>
          <w:bdr w:val="none" w:sz="0" w:space="0" w:color="auto"/>
          <w:lang w:val="es-419"/>
        </w:rPr>
        <w:t>- y</w:t>
      </w:r>
      <w:r w:rsidRPr="00EF0A92">
        <w:rPr>
          <w:rFonts w:eastAsia="Times New Roman"/>
          <w:sz w:val="20"/>
          <w:szCs w:val="20"/>
          <w:bdr w:val="none" w:sz="0" w:space="0" w:color="auto"/>
          <w:lang w:val="es-419"/>
        </w:rPr>
        <w:t xml:space="preserve"> el resultado del tratamiento tutelar con la probabilidad de una futura reincidencia</w:t>
      </w:r>
      <w:r w:rsidR="00812956" w:rsidRPr="00EF0A92">
        <w:rPr>
          <w:rFonts w:eastAsia="Times New Roman"/>
          <w:sz w:val="20"/>
          <w:szCs w:val="20"/>
          <w:bdr w:val="none" w:sz="0" w:space="0" w:color="auto"/>
          <w:lang w:val="es-419"/>
        </w:rPr>
        <w:t xml:space="preserve"> delictiva</w:t>
      </w:r>
      <w:r w:rsidRPr="00EF0A92">
        <w:rPr>
          <w:rFonts w:eastAsia="Times New Roman"/>
          <w:sz w:val="20"/>
          <w:szCs w:val="20"/>
          <w:bdr w:val="none" w:sz="0" w:space="0" w:color="auto"/>
          <w:lang w:val="es-419"/>
        </w:rPr>
        <w:t xml:space="preserve">.  </w:t>
      </w:r>
    </w:p>
    <w:p w14:paraId="255206E0" w14:textId="56DE885B" w:rsidR="00596668" w:rsidRPr="00EF0A92" w:rsidRDefault="001567BB"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r w:rsidRPr="00EF0A92">
        <w:rPr>
          <w:sz w:val="20"/>
          <w:szCs w:val="20"/>
          <w:lang w:val="es-419"/>
        </w:rPr>
        <w:t xml:space="preserve"> </w:t>
      </w:r>
    </w:p>
    <w:p w14:paraId="272DF058" w14:textId="090069CD" w:rsidR="00596668" w:rsidRPr="00075752" w:rsidRDefault="003C4066"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EF0A92">
        <w:rPr>
          <w:sz w:val="20"/>
          <w:szCs w:val="20"/>
          <w:lang w:val="es-419"/>
        </w:rPr>
        <w:t>Con respecto al tratamiento tutelar</w:t>
      </w:r>
      <w:r w:rsidR="00BB0F0A" w:rsidRPr="00EF0A92">
        <w:rPr>
          <w:sz w:val="20"/>
          <w:szCs w:val="20"/>
          <w:lang w:val="es-419"/>
        </w:rPr>
        <w:t xml:space="preserve"> contemplado en el </w:t>
      </w:r>
      <w:r w:rsidR="00576300" w:rsidRPr="00EF0A92">
        <w:rPr>
          <w:sz w:val="20"/>
          <w:szCs w:val="20"/>
          <w:lang w:val="es-419"/>
        </w:rPr>
        <w:t>artículo</w:t>
      </w:r>
      <w:r w:rsidR="00BB0F0A" w:rsidRPr="00EF0A92">
        <w:rPr>
          <w:sz w:val="20"/>
          <w:szCs w:val="20"/>
          <w:lang w:val="es-419"/>
        </w:rPr>
        <w:t xml:space="preserve"> 4 inciso 3 de la ley 22.278</w:t>
      </w:r>
      <w:r w:rsidRPr="00EF0A92">
        <w:rPr>
          <w:sz w:val="20"/>
          <w:szCs w:val="20"/>
          <w:lang w:val="es-419"/>
        </w:rPr>
        <w:t>, la Comisión observa que este perseguiría un fin licito toda vez que su objetivo sería lograr que el</w:t>
      </w:r>
      <w:r w:rsidR="00BB0F0A" w:rsidRPr="00EF0A92">
        <w:rPr>
          <w:sz w:val="20"/>
          <w:szCs w:val="20"/>
          <w:lang w:val="es-419"/>
        </w:rPr>
        <w:t xml:space="preserve"> adolescente en conflicto con la ley penal internalice las normas fundamentales que gobiernan la convivencia </w:t>
      </w:r>
      <w:r w:rsidR="00576300" w:rsidRPr="00EF0A92">
        <w:rPr>
          <w:sz w:val="20"/>
          <w:szCs w:val="20"/>
          <w:lang w:val="es-419"/>
        </w:rPr>
        <w:t>pacífica</w:t>
      </w:r>
      <w:r w:rsidR="00BB0F0A" w:rsidRPr="00EF0A92">
        <w:rPr>
          <w:sz w:val="20"/>
          <w:szCs w:val="20"/>
          <w:lang w:val="es-419"/>
        </w:rPr>
        <w:t xml:space="preserve"> </w:t>
      </w:r>
      <w:r w:rsidR="0046163F" w:rsidRPr="00EF0A92">
        <w:rPr>
          <w:sz w:val="20"/>
          <w:szCs w:val="20"/>
          <w:lang w:val="es-419"/>
        </w:rPr>
        <w:t>y</w:t>
      </w:r>
      <w:r w:rsidRPr="00EF0A92">
        <w:rPr>
          <w:sz w:val="20"/>
          <w:szCs w:val="20"/>
          <w:lang w:val="es-419"/>
        </w:rPr>
        <w:t xml:space="preserve">, de esta manera, </w:t>
      </w:r>
      <w:r w:rsidR="00125AE4" w:rsidRPr="00EF0A92">
        <w:rPr>
          <w:sz w:val="20"/>
          <w:szCs w:val="20"/>
          <w:lang w:val="es-419"/>
        </w:rPr>
        <w:t>posibilitar</w:t>
      </w:r>
      <w:r w:rsidR="00BB0F0A" w:rsidRPr="00EF0A92">
        <w:rPr>
          <w:sz w:val="20"/>
          <w:szCs w:val="20"/>
          <w:lang w:val="es-419"/>
        </w:rPr>
        <w:t xml:space="preserve"> su reinserción socia</w:t>
      </w:r>
      <w:r w:rsidR="00125984" w:rsidRPr="00EF0A92">
        <w:rPr>
          <w:sz w:val="20"/>
          <w:szCs w:val="20"/>
          <w:lang w:val="es-419"/>
        </w:rPr>
        <w:t xml:space="preserve">l. No obstante lo anterior, la Comisión estima </w:t>
      </w:r>
      <w:r w:rsidR="00812956" w:rsidRPr="00EF0A92">
        <w:rPr>
          <w:sz w:val="20"/>
          <w:szCs w:val="20"/>
          <w:lang w:val="es-419"/>
        </w:rPr>
        <w:t>que</w:t>
      </w:r>
      <w:r w:rsidR="0046163F" w:rsidRPr="00EF0A92">
        <w:rPr>
          <w:sz w:val="20"/>
          <w:szCs w:val="20"/>
          <w:lang w:val="es-419"/>
        </w:rPr>
        <w:t xml:space="preserve"> </w:t>
      </w:r>
      <w:r w:rsidR="00C762DC" w:rsidRPr="00EF0A92">
        <w:rPr>
          <w:sz w:val="20"/>
          <w:szCs w:val="20"/>
          <w:lang w:val="es-419"/>
        </w:rPr>
        <w:t xml:space="preserve">si </w:t>
      </w:r>
      <w:r w:rsidR="00D24D9B" w:rsidRPr="00EF0A92">
        <w:rPr>
          <w:sz w:val="20"/>
          <w:szCs w:val="20"/>
          <w:lang w:val="es-419"/>
        </w:rPr>
        <w:t>el tratamiento</w:t>
      </w:r>
      <w:r w:rsidRPr="00EF0A92">
        <w:rPr>
          <w:sz w:val="20"/>
          <w:szCs w:val="20"/>
          <w:lang w:val="es-419"/>
        </w:rPr>
        <w:t xml:space="preserve"> tutelar</w:t>
      </w:r>
      <w:r w:rsidR="00C762DC" w:rsidRPr="00EF0A92">
        <w:rPr>
          <w:sz w:val="20"/>
          <w:szCs w:val="20"/>
          <w:lang w:val="es-419"/>
        </w:rPr>
        <w:t xml:space="preserve"> </w:t>
      </w:r>
      <w:r w:rsidR="00BB0F0A" w:rsidRPr="00EF0A92">
        <w:rPr>
          <w:sz w:val="20"/>
          <w:szCs w:val="20"/>
          <w:lang w:val="es-419"/>
        </w:rPr>
        <w:t>no arroja los resultados que los profesionales a su cargo trazaron</w:t>
      </w:r>
      <w:r w:rsidR="00125AE4" w:rsidRPr="00EF0A92">
        <w:rPr>
          <w:sz w:val="20"/>
          <w:szCs w:val="20"/>
          <w:lang w:val="es-419"/>
        </w:rPr>
        <w:t>, o aquellos que los jueces</w:t>
      </w:r>
      <w:r w:rsidR="00BB0F0A" w:rsidRPr="00EF0A92">
        <w:rPr>
          <w:sz w:val="20"/>
          <w:szCs w:val="20"/>
          <w:lang w:val="es-419"/>
        </w:rPr>
        <w:t xml:space="preserve"> desean, esta situación</w:t>
      </w:r>
      <w:r w:rsidR="00BB0F0A" w:rsidRPr="00075752">
        <w:rPr>
          <w:sz w:val="20"/>
          <w:szCs w:val="20"/>
          <w:lang w:val="es-419"/>
        </w:rPr>
        <w:t xml:space="preserve"> no puede formar parte del juicio de reproche penal que culmina con la imposición de una pena privativa de la libertad. </w:t>
      </w:r>
    </w:p>
    <w:p w14:paraId="55F5F50D" w14:textId="77777777" w:rsidR="00596668" w:rsidRPr="00075752" w:rsidRDefault="00596668"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40D354D7" w14:textId="7E5B7B91" w:rsidR="00596668" w:rsidRPr="00C7542C" w:rsidRDefault="00125AE4"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Pr>
          <w:sz w:val="20"/>
          <w:szCs w:val="20"/>
          <w:lang w:val="es-419"/>
        </w:rPr>
        <w:t xml:space="preserve">En torno a este punto, la </w:t>
      </w:r>
      <w:r w:rsidRPr="00075752">
        <w:rPr>
          <w:sz w:val="20"/>
          <w:szCs w:val="20"/>
          <w:lang w:val="es-419"/>
        </w:rPr>
        <w:t>Comisión</w:t>
      </w:r>
      <w:r w:rsidR="005E3051" w:rsidRPr="00075752">
        <w:rPr>
          <w:sz w:val="20"/>
          <w:szCs w:val="20"/>
          <w:lang w:val="es-419"/>
        </w:rPr>
        <w:t xml:space="preserve"> no puede dejar de resaltar que, según lo alegado por los peticionarios, el Sr. Pacheco se </w:t>
      </w:r>
      <w:r w:rsidR="00576300" w:rsidRPr="00075752">
        <w:rPr>
          <w:sz w:val="20"/>
          <w:szCs w:val="20"/>
          <w:lang w:val="es-419"/>
        </w:rPr>
        <w:t>enfrentó</w:t>
      </w:r>
      <w:r w:rsidR="005E3051" w:rsidRPr="00075752">
        <w:rPr>
          <w:sz w:val="20"/>
          <w:szCs w:val="20"/>
          <w:lang w:val="es-419"/>
        </w:rPr>
        <w:t xml:space="preserve"> a una serie de inconvenientes materiales que hicieron imposible que pudiera asistir de manera asidua a las consultas con su psicóloga y </w:t>
      </w:r>
      <w:r w:rsidR="00AB021C" w:rsidRPr="00075752">
        <w:rPr>
          <w:sz w:val="20"/>
          <w:szCs w:val="20"/>
          <w:lang w:val="es-419"/>
        </w:rPr>
        <w:t xml:space="preserve">con su </w:t>
      </w:r>
      <w:r w:rsidR="005E3051" w:rsidRPr="00075752">
        <w:rPr>
          <w:sz w:val="20"/>
          <w:szCs w:val="20"/>
          <w:lang w:val="es-419"/>
        </w:rPr>
        <w:t>asesora tutelar</w:t>
      </w:r>
      <w:r w:rsidR="005E3051" w:rsidRPr="00C7542C">
        <w:rPr>
          <w:sz w:val="20"/>
          <w:szCs w:val="20"/>
          <w:lang w:val="es-419"/>
        </w:rPr>
        <w:t xml:space="preserve">. </w:t>
      </w:r>
      <w:r>
        <w:rPr>
          <w:sz w:val="20"/>
          <w:szCs w:val="20"/>
          <w:lang w:val="es-419"/>
        </w:rPr>
        <w:t>A modo de ejemplo</w:t>
      </w:r>
      <w:r w:rsidR="00137A47" w:rsidRPr="00C7542C">
        <w:rPr>
          <w:sz w:val="20"/>
          <w:szCs w:val="20"/>
          <w:lang w:val="es-419"/>
        </w:rPr>
        <w:t xml:space="preserve">, los peticionarios mencionaron que el Sr. Pacheco </w:t>
      </w:r>
      <w:r w:rsidR="00AB021C" w:rsidRPr="00C7542C">
        <w:rPr>
          <w:sz w:val="20"/>
          <w:szCs w:val="20"/>
          <w:lang w:val="es-419"/>
        </w:rPr>
        <w:t>residía</w:t>
      </w:r>
      <w:r w:rsidR="00137A47" w:rsidRPr="00C7542C">
        <w:rPr>
          <w:sz w:val="20"/>
          <w:szCs w:val="20"/>
          <w:lang w:val="es-419"/>
        </w:rPr>
        <w:t xml:space="preserve"> a </w:t>
      </w:r>
      <w:r w:rsidR="00576300" w:rsidRPr="00C7542C">
        <w:rPr>
          <w:sz w:val="20"/>
          <w:szCs w:val="20"/>
          <w:lang w:val="es-419"/>
        </w:rPr>
        <w:t>más</w:t>
      </w:r>
      <w:r w:rsidR="00137A47" w:rsidRPr="00C7542C">
        <w:rPr>
          <w:sz w:val="20"/>
          <w:szCs w:val="20"/>
          <w:lang w:val="es-419"/>
        </w:rPr>
        <w:t xml:space="preserve"> de 120 </w:t>
      </w:r>
      <w:r w:rsidR="00AB021C" w:rsidRPr="00C7542C">
        <w:rPr>
          <w:sz w:val="20"/>
          <w:szCs w:val="20"/>
          <w:lang w:val="es-419"/>
        </w:rPr>
        <w:t>kilómetros</w:t>
      </w:r>
      <w:r w:rsidR="00137A47" w:rsidRPr="00C7542C">
        <w:rPr>
          <w:sz w:val="20"/>
          <w:szCs w:val="20"/>
          <w:lang w:val="es-419"/>
        </w:rPr>
        <w:t xml:space="preserve"> de distancia del lugar donde debía tener las </w:t>
      </w:r>
      <w:r w:rsidR="00AB021C" w:rsidRPr="00C7542C">
        <w:rPr>
          <w:sz w:val="20"/>
          <w:szCs w:val="20"/>
          <w:lang w:val="es-419"/>
        </w:rPr>
        <w:t>consultas</w:t>
      </w:r>
      <w:r w:rsidR="00137A47" w:rsidRPr="00C7542C">
        <w:rPr>
          <w:sz w:val="20"/>
          <w:szCs w:val="20"/>
          <w:lang w:val="es-419"/>
        </w:rPr>
        <w:t xml:space="preserve">; que los medios de transporte desde Sarmiento, su ciudad de residencia, hasta Comodoro Rivadavia donde estaba su psicóloga eran </w:t>
      </w:r>
      <w:r w:rsidR="00AB021C" w:rsidRPr="00C7542C">
        <w:rPr>
          <w:sz w:val="20"/>
          <w:szCs w:val="20"/>
          <w:lang w:val="es-419"/>
        </w:rPr>
        <w:t>escasos tenían pocas frecuencias y que muchas veces no podía concurrir a las entrevistas por encontrarse trabajando</w:t>
      </w:r>
      <w:r w:rsidR="00596668" w:rsidRPr="00C7542C">
        <w:rPr>
          <w:rStyle w:val="FootnoteReference"/>
          <w:sz w:val="20"/>
          <w:szCs w:val="20"/>
          <w:lang w:val="es-419"/>
        </w:rPr>
        <w:footnoteReference w:id="94"/>
      </w:r>
      <w:r w:rsidR="00AB021C" w:rsidRPr="00C7542C">
        <w:rPr>
          <w:sz w:val="20"/>
          <w:szCs w:val="20"/>
          <w:lang w:val="es-419"/>
        </w:rPr>
        <w:t xml:space="preserve">. </w:t>
      </w:r>
    </w:p>
    <w:p w14:paraId="43B66330" w14:textId="77777777" w:rsidR="00596668" w:rsidRPr="00C7542C" w:rsidRDefault="00596668"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1CCFAF3E" w14:textId="158399D6" w:rsidR="00596668" w:rsidRPr="00C7542C" w:rsidRDefault="00125AE4"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Pr>
          <w:sz w:val="20"/>
          <w:szCs w:val="20"/>
          <w:lang w:val="es-419"/>
        </w:rPr>
        <w:t>Con este panorama en mente,</w:t>
      </w:r>
      <w:r w:rsidR="00812956">
        <w:rPr>
          <w:sz w:val="20"/>
          <w:szCs w:val="20"/>
          <w:lang w:val="es-419"/>
        </w:rPr>
        <w:t xml:space="preserve"> </w:t>
      </w:r>
      <w:r w:rsidR="00AB021C" w:rsidRPr="00C7542C">
        <w:rPr>
          <w:sz w:val="20"/>
          <w:szCs w:val="20"/>
          <w:lang w:val="es-419"/>
        </w:rPr>
        <w:t xml:space="preserve"> la Comisión manifiesta que</w:t>
      </w:r>
      <w:r>
        <w:rPr>
          <w:sz w:val="20"/>
          <w:szCs w:val="20"/>
          <w:lang w:val="es-419"/>
        </w:rPr>
        <w:t>,</w:t>
      </w:r>
      <w:r w:rsidR="00AB021C" w:rsidRPr="00C7542C">
        <w:rPr>
          <w:sz w:val="20"/>
          <w:szCs w:val="20"/>
          <w:lang w:val="es-419"/>
        </w:rPr>
        <w:t xml:space="preserve"> si bien las causas</w:t>
      </w:r>
      <w:r>
        <w:rPr>
          <w:sz w:val="20"/>
          <w:szCs w:val="20"/>
          <w:lang w:val="es-419"/>
        </w:rPr>
        <w:t xml:space="preserve"> o motivos</w:t>
      </w:r>
      <w:r w:rsidR="00AB021C" w:rsidRPr="00C7542C">
        <w:rPr>
          <w:sz w:val="20"/>
          <w:szCs w:val="20"/>
          <w:lang w:val="es-419"/>
        </w:rPr>
        <w:t xml:space="preserve"> por l</w:t>
      </w:r>
      <w:r>
        <w:rPr>
          <w:sz w:val="20"/>
          <w:szCs w:val="20"/>
          <w:lang w:val="es-419"/>
        </w:rPr>
        <w:t>o</w:t>
      </w:r>
      <w:r w:rsidR="00AB021C" w:rsidRPr="00C7542C">
        <w:rPr>
          <w:sz w:val="20"/>
          <w:szCs w:val="20"/>
          <w:lang w:val="es-419"/>
        </w:rPr>
        <w:t>s cuales el tratamiento tutelar no arroj</w:t>
      </w:r>
      <w:r w:rsidR="00B24232">
        <w:rPr>
          <w:sz w:val="20"/>
          <w:szCs w:val="20"/>
          <w:lang w:val="es-419"/>
        </w:rPr>
        <w:t>ó</w:t>
      </w:r>
      <w:r w:rsidR="00AB021C" w:rsidRPr="00C7542C">
        <w:rPr>
          <w:sz w:val="20"/>
          <w:szCs w:val="20"/>
          <w:lang w:val="es-419"/>
        </w:rPr>
        <w:t xml:space="preserve"> los resultados trazados o esperados por los jueces no modifican las conclusiones </w:t>
      </w:r>
      <w:r>
        <w:rPr>
          <w:sz w:val="20"/>
          <w:szCs w:val="20"/>
          <w:lang w:val="es-419"/>
        </w:rPr>
        <w:t>plasmadas</w:t>
      </w:r>
      <w:r w:rsidR="00AB021C" w:rsidRPr="00C7542C">
        <w:rPr>
          <w:sz w:val="20"/>
          <w:szCs w:val="20"/>
          <w:lang w:val="es-419"/>
        </w:rPr>
        <w:t xml:space="preserve"> en los párrafos precedentes,  resulta especialmente problemático a la luz de los principios de interés superior del niño y excepcionalidad de la pena que la respuesta del Estado</w:t>
      </w:r>
      <w:r w:rsidR="00F92AFF" w:rsidRPr="00C7542C">
        <w:rPr>
          <w:sz w:val="20"/>
          <w:szCs w:val="20"/>
          <w:lang w:val="es-419"/>
        </w:rPr>
        <w:t>,</w:t>
      </w:r>
      <w:r w:rsidR="00AB021C" w:rsidRPr="00C7542C">
        <w:rPr>
          <w:sz w:val="20"/>
          <w:szCs w:val="20"/>
          <w:lang w:val="es-419"/>
        </w:rPr>
        <w:t xml:space="preserve"> ante las dificultades</w:t>
      </w:r>
      <w:r>
        <w:rPr>
          <w:sz w:val="20"/>
          <w:szCs w:val="20"/>
          <w:lang w:val="es-419"/>
        </w:rPr>
        <w:t xml:space="preserve"> objetivas</w:t>
      </w:r>
      <w:r w:rsidR="00AB021C" w:rsidRPr="00C7542C">
        <w:rPr>
          <w:sz w:val="20"/>
          <w:szCs w:val="20"/>
          <w:lang w:val="es-419"/>
        </w:rPr>
        <w:t xml:space="preserve"> presentadas por el Sr. Pacheco para avanzar en su tratamiento tutelar</w:t>
      </w:r>
      <w:r w:rsidR="00F92AFF" w:rsidRPr="00C7542C">
        <w:rPr>
          <w:sz w:val="20"/>
          <w:szCs w:val="20"/>
          <w:lang w:val="es-419"/>
        </w:rPr>
        <w:t>,</w:t>
      </w:r>
      <w:r w:rsidR="00AB021C" w:rsidRPr="00C7542C">
        <w:rPr>
          <w:sz w:val="20"/>
          <w:szCs w:val="20"/>
          <w:lang w:val="es-419"/>
        </w:rPr>
        <w:t xml:space="preserve"> haya sido la imposición de una </w:t>
      </w:r>
      <w:r w:rsidR="00812956">
        <w:rPr>
          <w:sz w:val="20"/>
          <w:szCs w:val="20"/>
          <w:lang w:val="es-419"/>
        </w:rPr>
        <w:t>pena</w:t>
      </w:r>
      <w:r w:rsidR="00AB021C" w:rsidRPr="00C7542C">
        <w:rPr>
          <w:sz w:val="20"/>
          <w:szCs w:val="20"/>
          <w:lang w:val="es-419"/>
        </w:rPr>
        <w:t xml:space="preserve"> privativa de </w:t>
      </w:r>
      <w:r w:rsidR="00F92AFF" w:rsidRPr="00C7542C">
        <w:rPr>
          <w:sz w:val="20"/>
          <w:szCs w:val="20"/>
          <w:lang w:val="es-419"/>
        </w:rPr>
        <w:t>su</w:t>
      </w:r>
      <w:r w:rsidR="00AB021C" w:rsidRPr="00C7542C">
        <w:rPr>
          <w:sz w:val="20"/>
          <w:szCs w:val="20"/>
          <w:lang w:val="es-419"/>
        </w:rPr>
        <w:t xml:space="preserve"> libertad. </w:t>
      </w:r>
    </w:p>
    <w:p w14:paraId="393B3319" w14:textId="77777777" w:rsidR="00596668" w:rsidRPr="00C7542C"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13C3876E" w14:textId="6015AEBB" w:rsidR="0023715B" w:rsidRPr="00C7542C" w:rsidRDefault="0023715B"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sz w:val="20"/>
          <w:szCs w:val="20"/>
          <w:lang w:val="es-419"/>
        </w:rPr>
        <w:t xml:space="preserve">En este sentido, </w:t>
      </w:r>
      <w:r w:rsidR="008D3D4E">
        <w:rPr>
          <w:sz w:val="20"/>
          <w:szCs w:val="20"/>
          <w:lang w:val="es-419"/>
        </w:rPr>
        <w:t xml:space="preserve">la Comisión considera que </w:t>
      </w:r>
      <w:r w:rsidRPr="00C7542C">
        <w:rPr>
          <w:sz w:val="20"/>
          <w:szCs w:val="20"/>
          <w:lang w:val="es-419"/>
        </w:rPr>
        <w:t>una privación de la libertad como la experimentada por el Sr. Pacheco, cuya fundamentación no estuvo circunscripta a la acción delictiva cometida, sino que se integró, además, por el alegado fracaso o falta de cumplimiento responsable del tratamiento tutelar y por un pronóstico de una probable reincidencia futura</w:t>
      </w:r>
      <w:r w:rsidR="00125AE4">
        <w:rPr>
          <w:sz w:val="20"/>
          <w:szCs w:val="20"/>
          <w:lang w:val="es-419"/>
        </w:rPr>
        <w:t xml:space="preserve"> basado en </w:t>
      </w:r>
      <w:r w:rsidR="00812956">
        <w:rPr>
          <w:sz w:val="20"/>
          <w:szCs w:val="20"/>
          <w:lang w:val="es-419"/>
        </w:rPr>
        <w:t>estereotipos y preconceptos sobre las características personales del peticionario</w:t>
      </w:r>
      <w:r w:rsidRPr="00C7542C">
        <w:rPr>
          <w:sz w:val="20"/>
          <w:szCs w:val="20"/>
          <w:lang w:val="es-419"/>
        </w:rPr>
        <w:t xml:space="preserve">, vulnera el principio de legalidad consagrado en el artículo 9 del mismo tratado y torna la </w:t>
      </w:r>
      <w:r w:rsidR="00125AE4">
        <w:rPr>
          <w:sz w:val="20"/>
          <w:szCs w:val="20"/>
          <w:lang w:val="es-419"/>
        </w:rPr>
        <w:t>privación de la libertad</w:t>
      </w:r>
      <w:r w:rsidRPr="00C7542C">
        <w:rPr>
          <w:sz w:val="20"/>
          <w:szCs w:val="20"/>
          <w:lang w:val="es-419"/>
        </w:rPr>
        <w:t xml:space="preserve"> en arbitraria e incompatible con el artículo 7.3 de la Convención Americana</w:t>
      </w:r>
      <w:r w:rsidR="002B5D7B" w:rsidRPr="00C7542C">
        <w:rPr>
          <w:sz w:val="20"/>
          <w:szCs w:val="20"/>
          <w:lang w:val="es-419"/>
        </w:rPr>
        <w:t>. Todo ello</w:t>
      </w:r>
      <w:r w:rsidR="00125AE4">
        <w:rPr>
          <w:sz w:val="20"/>
          <w:szCs w:val="20"/>
          <w:lang w:val="es-419"/>
        </w:rPr>
        <w:t xml:space="preserve"> es también violatorio de </w:t>
      </w:r>
      <w:r w:rsidR="002B5D7B" w:rsidRPr="00C7542C">
        <w:rPr>
          <w:sz w:val="20"/>
          <w:szCs w:val="20"/>
          <w:lang w:val="es-419"/>
        </w:rPr>
        <w:t>las obligaciones especiales de protección del interés superior del niño establecida</w:t>
      </w:r>
      <w:r w:rsidR="001D5304">
        <w:rPr>
          <w:sz w:val="20"/>
          <w:szCs w:val="20"/>
          <w:lang w:val="es-419"/>
        </w:rPr>
        <w:t>s</w:t>
      </w:r>
      <w:r w:rsidR="002B5D7B" w:rsidRPr="00C7542C">
        <w:rPr>
          <w:sz w:val="20"/>
          <w:szCs w:val="20"/>
          <w:lang w:val="es-419"/>
        </w:rPr>
        <w:t xml:space="preserve"> en el artículo 19 de la Convención Americana.</w:t>
      </w:r>
    </w:p>
    <w:p w14:paraId="4CBE9DE1" w14:textId="5B451789" w:rsidR="0023715B" w:rsidRPr="00C7542C" w:rsidRDefault="0023715B" w:rsidP="008129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07E7BB39" w14:textId="146DABEA" w:rsidR="00C7542C" w:rsidRDefault="00812956" w:rsidP="005C234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812956">
        <w:rPr>
          <w:sz w:val="20"/>
          <w:szCs w:val="20"/>
          <w:lang w:val="es-419"/>
        </w:rPr>
        <w:t>Finalmente</w:t>
      </w:r>
      <w:r w:rsidR="00075752" w:rsidRPr="00812956">
        <w:rPr>
          <w:sz w:val="20"/>
          <w:szCs w:val="20"/>
          <w:lang w:val="es-419"/>
        </w:rPr>
        <w:t>, la</w:t>
      </w:r>
      <w:r w:rsidR="005E3051" w:rsidRPr="00812956">
        <w:rPr>
          <w:sz w:val="20"/>
          <w:szCs w:val="20"/>
          <w:lang w:val="es-419"/>
        </w:rPr>
        <w:t xml:space="preserve"> </w:t>
      </w:r>
      <w:r w:rsidR="00F229E1" w:rsidRPr="00812956">
        <w:rPr>
          <w:sz w:val="20"/>
          <w:szCs w:val="20"/>
          <w:lang w:val="es-419"/>
        </w:rPr>
        <w:t>Comisión</w:t>
      </w:r>
      <w:r w:rsidR="005E3051" w:rsidRPr="00812956">
        <w:rPr>
          <w:sz w:val="20"/>
          <w:szCs w:val="20"/>
          <w:lang w:val="es-419"/>
        </w:rPr>
        <w:t xml:space="preserve"> </w:t>
      </w:r>
      <w:r w:rsidR="00AB021C" w:rsidRPr="00812956">
        <w:rPr>
          <w:sz w:val="20"/>
          <w:szCs w:val="20"/>
          <w:lang w:val="es-419"/>
        </w:rPr>
        <w:t>resalta</w:t>
      </w:r>
      <w:r w:rsidR="005E3051" w:rsidRPr="00812956">
        <w:rPr>
          <w:sz w:val="20"/>
          <w:szCs w:val="20"/>
          <w:lang w:val="es-419"/>
        </w:rPr>
        <w:t xml:space="preserve"> que el proceso judicial al que fue vinculado el Sr. Pacheco estuvo dirigido desde</w:t>
      </w:r>
      <w:r w:rsidR="00AB021C" w:rsidRPr="00812956">
        <w:rPr>
          <w:sz w:val="20"/>
          <w:szCs w:val="20"/>
          <w:lang w:val="es-419"/>
        </w:rPr>
        <w:t xml:space="preserve"> un comienzo por el Juzgado de Sarmiento y, en la etapa plenaria o de juicio, por la </w:t>
      </w:r>
      <w:r w:rsidR="00F229E1" w:rsidRPr="00812956">
        <w:rPr>
          <w:sz w:val="20"/>
          <w:szCs w:val="20"/>
          <w:lang w:val="es-419"/>
        </w:rPr>
        <w:t>Cámara</w:t>
      </w:r>
      <w:r w:rsidR="00AB021C" w:rsidRPr="00812956">
        <w:rPr>
          <w:sz w:val="20"/>
          <w:szCs w:val="20"/>
          <w:lang w:val="es-419"/>
        </w:rPr>
        <w:t xml:space="preserve"> Primera en lo Criminal de la </w:t>
      </w:r>
      <w:r w:rsidR="00F229E1" w:rsidRPr="00812956">
        <w:rPr>
          <w:sz w:val="20"/>
          <w:szCs w:val="20"/>
          <w:lang w:val="es-419"/>
        </w:rPr>
        <w:t>Circunscripción</w:t>
      </w:r>
      <w:r w:rsidR="00AB021C" w:rsidRPr="00812956">
        <w:rPr>
          <w:sz w:val="20"/>
          <w:szCs w:val="20"/>
          <w:lang w:val="es-419"/>
        </w:rPr>
        <w:t xml:space="preserve"> Judicial de Comodoro Rivadavia.</w:t>
      </w:r>
      <w:r w:rsidR="005E3051" w:rsidRPr="00812956">
        <w:rPr>
          <w:sz w:val="20"/>
          <w:szCs w:val="20"/>
          <w:lang w:val="es-419"/>
        </w:rPr>
        <w:t xml:space="preserve"> </w:t>
      </w:r>
      <w:r w:rsidR="00AB021C" w:rsidRPr="00812956">
        <w:rPr>
          <w:sz w:val="20"/>
          <w:szCs w:val="20"/>
          <w:lang w:val="es-419"/>
        </w:rPr>
        <w:t xml:space="preserve">La CIDH entiende que ambos tribunales eran </w:t>
      </w:r>
      <w:r w:rsidR="00F229E1" w:rsidRPr="00812956">
        <w:rPr>
          <w:sz w:val="20"/>
          <w:szCs w:val="20"/>
          <w:lang w:val="es-419"/>
        </w:rPr>
        <w:t>tribunales</w:t>
      </w:r>
      <w:r w:rsidR="00AB021C" w:rsidRPr="00812956">
        <w:rPr>
          <w:sz w:val="20"/>
          <w:szCs w:val="20"/>
          <w:lang w:val="es-419"/>
        </w:rPr>
        <w:t xml:space="preserve"> ordinarios no </w:t>
      </w:r>
      <w:r w:rsidR="00F229E1" w:rsidRPr="00812956">
        <w:rPr>
          <w:sz w:val="20"/>
          <w:szCs w:val="20"/>
          <w:lang w:val="es-419"/>
        </w:rPr>
        <w:t>especializados</w:t>
      </w:r>
      <w:r w:rsidR="00AB021C" w:rsidRPr="00812956">
        <w:rPr>
          <w:sz w:val="20"/>
          <w:szCs w:val="20"/>
          <w:lang w:val="es-419"/>
        </w:rPr>
        <w:t xml:space="preserve"> en cuestiones de derecho penal juvenil</w:t>
      </w:r>
      <w:r w:rsidRPr="00812956">
        <w:rPr>
          <w:sz w:val="20"/>
          <w:szCs w:val="20"/>
          <w:lang w:val="es-419"/>
        </w:rPr>
        <w:t xml:space="preserve">, circunstancia que vulnera el principio de especialización consagrado en los artículos </w:t>
      </w:r>
      <w:r w:rsidRPr="00812956">
        <w:rPr>
          <w:sz w:val="20"/>
          <w:szCs w:val="20"/>
          <w:bdr w:val="none" w:sz="0" w:space="0" w:color="auto"/>
          <w:lang w:val="es-ES"/>
        </w:rPr>
        <w:t>5.5 de la Convención</w:t>
      </w:r>
      <w:r w:rsidRPr="00812956">
        <w:rPr>
          <w:sz w:val="20"/>
          <w:szCs w:val="20"/>
          <w:lang w:val="es-ES"/>
        </w:rPr>
        <w:t xml:space="preserve"> Americana y 40.3 de la Convención sobre los Derechos del Niño</w:t>
      </w:r>
      <w:r w:rsidR="00C7542C" w:rsidRPr="00C7542C">
        <w:rPr>
          <w:rStyle w:val="FootnoteReference"/>
          <w:rFonts w:eastAsia="Times New Roman"/>
          <w:sz w:val="20"/>
          <w:szCs w:val="20"/>
          <w:bdr w:val="none" w:sz="0" w:space="0" w:color="auto"/>
          <w:lang w:val="es-419"/>
        </w:rPr>
        <w:footnoteReference w:id="95"/>
      </w:r>
      <w:r w:rsidR="00F229E1" w:rsidRPr="00812956">
        <w:rPr>
          <w:sz w:val="20"/>
          <w:szCs w:val="20"/>
          <w:lang w:val="es-419"/>
        </w:rPr>
        <w:t xml:space="preserve">. </w:t>
      </w:r>
    </w:p>
    <w:p w14:paraId="4E68DD7D" w14:textId="77777777" w:rsidR="00812956" w:rsidRPr="00812956" w:rsidRDefault="00812956" w:rsidP="008129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lang w:val="es-419"/>
        </w:rPr>
      </w:pPr>
    </w:p>
    <w:p w14:paraId="7DD76A01" w14:textId="0FD691AD" w:rsidR="00BA577A" w:rsidRDefault="00C7542C" w:rsidP="008576E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7542C">
        <w:rPr>
          <w:rFonts w:eastAsia="Times New Roman"/>
          <w:sz w:val="20"/>
          <w:szCs w:val="20"/>
          <w:bdr w:val="none" w:sz="0" w:space="0" w:color="auto"/>
          <w:lang w:val="es-419"/>
        </w:rPr>
        <w:t xml:space="preserve">En </w:t>
      </w:r>
      <w:r w:rsidR="003C4066">
        <w:rPr>
          <w:rFonts w:eastAsia="Times New Roman"/>
          <w:sz w:val="20"/>
          <w:szCs w:val="20"/>
          <w:bdr w:val="none" w:sz="0" w:space="0" w:color="auto"/>
          <w:lang w:val="es-419"/>
        </w:rPr>
        <w:t>función de lo expuesto previamente, y sin perjuicio de las violaciones anteriormente reseñada</w:t>
      </w:r>
      <w:r w:rsidR="001D5304">
        <w:rPr>
          <w:rFonts w:eastAsia="Times New Roman"/>
          <w:sz w:val="20"/>
          <w:szCs w:val="20"/>
          <w:bdr w:val="none" w:sz="0" w:space="0" w:color="auto"/>
          <w:lang w:val="es-419"/>
        </w:rPr>
        <w:t>s</w:t>
      </w:r>
      <w:r w:rsidRPr="00C7542C">
        <w:rPr>
          <w:rFonts w:eastAsia="Times New Roman"/>
          <w:sz w:val="20"/>
          <w:szCs w:val="20"/>
          <w:bdr w:val="none" w:sz="0" w:space="0" w:color="auto"/>
          <w:lang w:val="es-419"/>
        </w:rPr>
        <w:t xml:space="preserve">, la Comisión </w:t>
      </w:r>
      <w:r w:rsidR="003C4066" w:rsidRPr="00C7542C">
        <w:rPr>
          <w:rFonts w:eastAsia="Times New Roman"/>
          <w:sz w:val="20"/>
          <w:szCs w:val="20"/>
          <w:bdr w:val="none" w:sz="0" w:space="0" w:color="auto"/>
          <w:lang w:val="es-419"/>
        </w:rPr>
        <w:t>con</w:t>
      </w:r>
      <w:r w:rsidR="003C4066">
        <w:rPr>
          <w:rFonts w:eastAsia="Times New Roman"/>
          <w:sz w:val="20"/>
          <w:szCs w:val="20"/>
          <w:bdr w:val="none" w:sz="0" w:space="0" w:color="auto"/>
          <w:lang w:val="es-419"/>
        </w:rPr>
        <w:t>cluirá</w:t>
      </w:r>
      <w:r w:rsidR="00812956">
        <w:rPr>
          <w:rFonts w:eastAsia="Times New Roman"/>
          <w:sz w:val="20"/>
          <w:szCs w:val="20"/>
          <w:bdr w:val="none" w:sz="0" w:space="0" w:color="auto"/>
          <w:lang w:val="es-419"/>
        </w:rPr>
        <w:t xml:space="preserve"> asimismo</w:t>
      </w:r>
      <w:r w:rsidR="003C4066">
        <w:rPr>
          <w:rFonts w:eastAsia="Times New Roman"/>
          <w:sz w:val="20"/>
          <w:szCs w:val="20"/>
          <w:bdr w:val="none" w:sz="0" w:space="0" w:color="auto"/>
          <w:lang w:val="es-419"/>
        </w:rPr>
        <w:t xml:space="preserve"> </w:t>
      </w:r>
      <w:r w:rsidRPr="00C7542C">
        <w:rPr>
          <w:rFonts w:eastAsia="Times New Roman"/>
          <w:sz w:val="20"/>
          <w:szCs w:val="20"/>
          <w:bdr w:val="none" w:sz="0" w:space="0" w:color="auto"/>
          <w:lang w:val="es-419"/>
        </w:rPr>
        <w:t xml:space="preserve">que </w:t>
      </w:r>
      <w:r w:rsidR="00A07CD2" w:rsidRPr="00C7542C">
        <w:rPr>
          <w:rFonts w:eastAsia="Times New Roman"/>
          <w:sz w:val="20"/>
          <w:szCs w:val="20"/>
          <w:bdr w:val="none" w:sz="0" w:space="0" w:color="auto"/>
          <w:lang w:val="es-419"/>
        </w:rPr>
        <w:t xml:space="preserve">el Estado argentino </w:t>
      </w:r>
      <w:r w:rsidR="003C4066">
        <w:rPr>
          <w:rFonts w:eastAsia="Times New Roman"/>
          <w:sz w:val="20"/>
          <w:szCs w:val="20"/>
          <w:bdr w:val="none" w:sz="0" w:space="0" w:color="auto"/>
          <w:lang w:val="es-419"/>
        </w:rPr>
        <w:t xml:space="preserve">incumplió su deber </w:t>
      </w:r>
      <w:r w:rsidR="001D5304">
        <w:rPr>
          <w:rFonts w:eastAsia="Times New Roman"/>
          <w:sz w:val="20"/>
          <w:szCs w:val="20"/>
          <w:bdr w:val="none" w:sz="0" w:space="0" w:color="auto"/>
          <w:lang w:val="es-419"/>
        </w:rPr>
        <w:t xml:space="preserve">de </w:t>
      </w:r>
      <w:r w:rsidR="001D5304" w:rsidRPr="00C7542C">
        <w:rPr>
          <w:rFonts w:eastAsia="Times New Roman"/>
          <w:sz w:val="20"/>
          <w:szCs w:val="20"/>
          <w:bdr w:val="none" w:sz="0" w:space="0" w:color="auto"/>
          <w:lang w:val="es-419"/>
        </w:rPr>
        <w:t>adecuar</w:t>
      </w:r>
      <w:r w:rsidRPr="00C7542C">
        <w:rPr>
          <w:rFonts w:eastAsia="Times New Roman"/>
          <w:sz w:val="20"/>
          <w:szCs w:val="20"/>
          <w:bdr w:val="none" w:sz="0" w:space="0" w:color="auto"/>
          <w:lang w:val="es-419"/>
        </w:rPr>
        <w:t xml:space="preserve"> su ordenamiento jurídico </w:t>
      </w:r>
      <w:r w:rsidR="003C4066">
        <w:rPr>
          <w:rFonts w:eastAsia="Times New Roman"/>
          <w:sz w:val="20"/>
          <w:szCs w:val="20"/>
          <w:bdr w:val="none" w:sz="0" w:space="0" w:color="auto"/>
          <w:lang w:val="es-419"/>
        </w:rPr>
        <w:t xml:space="preserve">a efectos </w:t>
      </w:r>
      <w:r w:rsidR="001D5304">
        <w:rPr>
          <w:rFonts w:eastAsia="Times New Roman"/>
          <w:sz w:val="20"/>
          <w:szCs w:val="20"/>
          <w:bdr w:val="none" w:sz="0" w:space="0" w:color="auto"/>
          <w:lang w:val="es-419"/>
        </w:rPr>
        <w:t xml:space="preserve">de </w:t>
      </w:r>
      <w:r w:rsidR="001D5304" w:rsidRPr="00C7542C">
        <w:rPr>
          <w:rFonts w:eastAsia="Times New Roman"/>
          <w:sz w:val="20"/>
          <w:szCs w:val="20"/>
          <w:bdr w:val="none" w:sz="0" w:space="0" w:color="auto"/>
          <w:lang w:val="es-419"/>
        </w:rPr>
        <w:t>garantizar</w:t>
      </w:r>
      <w:r w:rsidR="003C4066">
        <w:rPr>
          <w:rFonts w:eastAsia="Times New Roman"/>
          <w:sz w:val="20"/>
          <w:szCs w:val="20"/>
          <w:bdr w:val="none" w:sz="0" w:space="0" w:color="auto"/>
          <w:lang w:val="es-419"/>
        </w:rPr>
        <w:t xml:space="preserve"> una protección especial</w:t>
      </w:r>
      <w:r w:rsidR="00812956">
        <w:rPr>
          <w:rFonts w:eastAsia="Times New Roman"/>
          <w:sz w:val="20"/>
          <w:szCs w:val="20"/>
          <w:bdr w:val="none" w:sz="0" w:space="0" w:color="auto"/>
          <w:lang w:val="es-419"/>
        </w:rPr>
        <w:t xml:space="preserve"> a</w:t>
      </w:r>
      <w:r w:rsidR="003C4066">
        <w:rPr>
          <w:rFonts w:eastAsia="Times New Roman"/>
          <w:sz w:val="20"/>
          <w:szCs w:val="20"/>
          <w:bdr w:val="none" w:sz="0" w:space="0" w:color="auto"/>
          <w:lang w:val="es-419"/>
        </w:rPr>
        <w:t xml:space="preserve"> </w:t>
      </w:r>
      <w:r w:rsidR="001D5304">
        <w:rPr>
          <w:rFonts w:eastAsia="Times New Roman"/>
          <w:sz w:val="20"/>
          <w:szCs w:val="20"/>
          <w:bdr w:val="none" w:sz="0" w:space="0" w:color="auto"/>
          <w:lang w:val="es-419"/>
        </w:rPr>
        <w:t xml:space="preserve">Diego Armando </w:t>
      </w:r>
      <w:r w:rsidR="003C4066">
        <w:rPr>
          <w:rFonts w:eastAsia="Times New Roman"/>
          <w:sz w:val="20"/>
          <w:szCs w:val="20"/>
          <w:bdr w:val="none" w:sz="0" w:space="0" w:color="auto"/>
          <w:lang w:val="es-419"/>
        </w:rPr>
        <w:t xml:space="preserve">Pacheco en su carácter de adolescente en conflicto con la ley penal. </w:t>
      </w:r>
      <w:r w:rsidRPr="00C7542C">
        <w:rPr>
          <w:rFonts w:eastAsia="Times New Roman"/>
          <w:sz w:val="20"/>
          <w:szCs w:val="20"/>
          <w:bdr w:val="none" w:sz="0" w:space="0" w:color="auto"/>
          <w:lang w:val="es-419"/>
        </w:rPr>
        <w:t xml:space="preserve">En consecuencia, la Comisión concluye que el Estado </w:t>
      </w:r>
      <w:r w:rsidR="00812956">
        <w:rPr>
          <w:rFonts w:eastAsia="Times New Roman"/>
          <w:sz w:val="20"/>
          <w:szCs w:val="20"/>
          <w:bdr w:val="none" w:sz="0" w:space="0" w:color="auto"/>
          <w:lang w:val="es-419"/>
        </w:rPr>
        <w:t xml:space="preserve">es responsable por la violación </w:t>
      </w:r>
      <w:r w:rsidR="00982E29">
        <w:rPr>
          <w:rFonts w:eastAsia="Times New Roman"/>
          <w:sz w:val="20"/>
          <w:szCs w:val="20"/>
          <w:bdr w:val="none" w:sz="0" w:space="0" w:color="auto"/>
          <w:lang w:val="es-419"/>
        </w:rPr>
        <w:lastRenderedPageBreak/>
        <w:t xml:space="preserve">del </w:t>
      </w:r>
      <w:r w:rsidR="00982E29" w:rsidRPr="00C7542C">
        <w:rPr>
          <w:rFonts w:eastAsia="Times New Roman"/>
          <w:sz w:val="20"/>
          <w:szCs w:val="20"/>
          <w:bdr w:val="none" w:sz="0" w:space="0" w:color="auto"/>
          <w:lang w:val="es-419"/>
        </w:rPr>
        <w:t>artículo</w:t>
      </w:r>
      <w:r w:rsidR="003C4066">
        <w:rPr>
          <w:rFonts w:eastAsia="Times New Roman"/>
          <w:sz w:val="20"/>
          <w:szCs w:val="20"/>
          <w:bdr w:val="none" w:sz="0" w:space="0" w:color="auto"/>
          <w:lang w:val="es-419"/>
        </w:rPr>
        <w:t xml:space="preserve"> </w:t>
      </w:r>
      <w:r w:rsidR="003C4066" w:rsidRPr="00C7542C">
        <w:rPr>
          <w:rFonts w:eastAsia="Times New Roman"/>
          <w:sz w:val="20"/>
          <w:szCs w:val="20"/>
          <w:bdr w:val="none" w:sz="0" w:space="0" w:color="auto"/>
          <w:lang w:val="es-419"/>
        </w:rPr>
        <w:t>19</w:t>
      </w:r>
      <w:r w:rsidRPr="00C7542C">
        <w:rPr>
          <w:rFonts w:eastAsia="Times New Roman"/>
          <w:sz w:val="20"/>
          <w:szCs w:val="20"/>
          <w:bdr w:val="none" w:sz="0" w:space="0" w:color="auto"/>
          <w:lang w:val="es-419"/>
        </w:rPr>
        <w:t xml:space="preserve"> </w:t>
      </w:r>
      <w:r w:rsidR="003C4066">
        <w:rPr>
          <w:rFonts w:eastAsia="Times New Roman"/>
          <w:sz w:val="20"/>
          <w:szCs w:val="20"/>
          <w:bdr w:val="none" w:sz="0" w:space="0" w:color="auto"/>
          <w:lang w:val="es-419"/>
        </w:rPr>
        <w:t xml:space="preserve">de la Convención Americana sobre Derechos Humanos </w:t>
      </w:r>
      <w:r w:rsidRPr="00C7542C">
        <w:rPr>
          <w:rFonts w:eastAsia="Times New Roman"/>
          <w:sz w:val="20"/>
          <w:szCs w:val="20"/>
          <w:bdr w:val="none" w:sz="0" w:space="0" w:color="auto"/>
          <w:lang w:val="es-419"/>
        </w:rPr>
        <w:t>en relación con el artículo 2 del mismo tratado.</w:t>
      </w:r>
    </w:p>
    <w:p w14:paraId="66982CE7" w14:textId="77777777" w:rsidR="00ED4A4C" w:rsidRPr="00ED4A4C" w:rsidRDefault="00ED4A4C" w:rsidP="00ED4A4C">
      <w:pPr>
        <w:pStyle w:val="ListParagraph"/>
        <w:rPr>
          <w:rFonts w:eastAsia="Times New Roman"/>
          <w:sz w:val="20"/>
          <w:szCs w:val="20"/>
          <w:bdr w:val="none" w:sz="0" w:space="0" w:color="auto"/>
          <w:lang w:val="es-419"/>
        </w:rPr>
      </w:pPr>
    </w:p>
    <w:p w14:paraId="67683F04" w14:textId="770D007E" w:rsidR="00ED4A4C" w:rsidRPr="00C6191A" w:rsidRDefault="00ED4A4C" w:rsidP="006C6B75">
      <w:pPr>
        <w:pStyle w:val="Heading1"/>
        <w:numPr>
          <w:ilvl w:val="0"/>
          <w:numId w:val="6"/>
        </w:numPr>
        <w:ind w:left="0" w:firstLine="0"/>
      </w:pPr>
      <w:r w:rsidRPr="00ED4A4C">
        <w:t xml:space="preserve"> </w:t>
      </w:r>
      <w:bookmarkStart w:id="72" w:name="_Toc195697671"/>
      <w:bookmarkStart w:id="73" w:name="_Toc203382215"/>
      <w:r w:rsidR="00496467" w:rsidRPr="00C6191A">
        <w:t xml:space="preserve">ACTUACIONES POSTERIORES AL INFORME </w:t>
      </w:r>
      <w:r w:rsidR="000044EB" w:rsidRPr="00C6191A">
        <w:t>138</w:t>
      </w:r>
      <w:r w:rsidR="00496467" w:rsidRPr="00C6191A">
        <w:t>/21 E INFORMACIÓN SOBRE CUMPLIMIENTO</w:t>
      </w:r>
      <w:bookmarkEnd w:id="72"/>
      <w:bookmarkEnd w:id="73"/>
    </w:p>
    <w:p w14:paraId="1EF0E7E4" w14:textId="77777777" w:rsidR="00ED4A4C" w:rsidRPr="00C6191A" w:rsidRDefault="00ED4A4C" w:rsidP="00ED4A4C">
      <w:pPr>
        <w:pStyle w:val="ListParagraph"/>
        <w:rPr>
          <w:rFonts w:eastAsia="Times New Roman"/>
          <w:sz w:val="20"/>
          <w:szCs w:val="20"/>
          <w:bdr w:val="none" w:sz="0" w:space="0" w:color="auto"/>
          <w:lang w:val="es-419"/>
        </w:rPr>
      </w:pPr>
    </w:p>
    <w:p w14:paraId="4079E13C" w14:textId="780DF8FC" w:rsidR="00ED4A4C" w:rsidRPr="00C6191A" w:rsidRDefault="00ED4A4C" w:rsidP="00ED4A4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lang w:val="es-419"/>
        </w:rPr>
      </w:pPr>
      <w:r w:rsidRPr="00C6191A">
        <w:rPr>
          <w:rFonts w:eastAsia="Times New Roman"/>
          <w:sz w:val="20"/>
          <w:szCs w:val="20"/>
          <w:bdr w:val="none" w:sz="0" w:space="0" w:color="auto"/>
          <w:lang w:val="es-419"/>
        </w:rPr>
        <w:t xml:space="preserve">La Comisión adoptó el </w:t>
      </w:r>
      <w:r w:rsidR="00B43381" w:rsidRPr="00C6191A">
        <w:rPr>
          <w:rFonts w:eastAsia="Times New Roman"/>
          <w:sz w:val="20"/>
          <w:szCs w:val="20"/>
          <w:bdr w:val="none" w:sz="0" w:space="0" w:color="auto"/>
          <w:lang w:val="es-419"/>
        </w:rPr>
        <w:t>I</w:t>
      </w:r>
      <w:r w:rsidRPr="00C6191A">
        <w:rPr>
          <w:rFonts w:eastAsia="Times New Roman"/>
          <w:sz w:val="20"/>
          <w:szCs w:val="20"/>
          <w:bdr w:val="none" w:sz="0" w:space="0" w:color="auto"/>
          <w:lang w:val="es-419"/>
        </w:rPr>
        <w:t xml:space="preserve">nforme de </w:t>
      </w:r>
      <w:r w:rsidR="00B43381" w:rsidRPr="00C6191A">
        <w:rPr>
          <w:rFonts w:eastAsia="Times New Roman"/>
          <w:sz w:val="20"/>
          <w:szCs w:val="20"/>
          <w:bdr w:val="none" w:sz="0" w:space="0" w:color="auto"/>
          <w:lang w:val="es-419"/>
        </w:rPr>
        <w:t>Admisibilidad y F</w:t>
      </w:r>
      <w:r w:rsidRPr="00C6191A">
        <w:rPr>
          <w:rFonts w:eastAsia="Times New Roman"/>
          <w:sz w:val="20"/>
          <w:szCs w:val="20"/>
          <w:bdr w:val="none" w:sz="0" w:space="0" w:color="auto"/>
          <w:lang w:val="es-419"/>
        </w:rPr>
        <w:t>ondo No</w:t>
      </w:r>
      <w:r w:rsidR="001A7787" w:rsidRPr="00C6191A">
        <w:rPr>
          <w:rFonts w:eastAsia="Times New Roman"/>
          <w:sz w:val="20"/>
          <w:szCs w:val="20"/>
          <w:bdr w:val="none" w:sz="0" w:space="0" w:color="auto"/>
          <w:lang w:val="es-419"/>
        </w:rPr>
        <w:t>.</w:t>
      </w:r>
      <w:r w:rsidR="00932523" w:rsidRPr="00C6191A">
        <w:rPr>
          <w:rFonts w:eastAsia="Times New Roman"/>
          <w:sz w:val="20"/>
          <w:szCs w:val="20"/>
          <w:bdr w:val="none" w:sz="0" w:space="0" w:color="auto"/>
          <w:lang w:val="es-419"/>
        </w:rPr>
        <w:t xml:space="preserve"> 138/21 el 28 de junio de 2021</w:t>
      </w:r>
      <w:r w:rsidRPr="00C6191A">
        <w:rPr>
          <w:rFonts w:eastAsia="Times New Roman"/>
          <w:sz w:val="20"/>
          <w:szCs w:val="20"/>
          <w:bdr w:val="none" w:sz="0" w:space="0" w:color="auto"/>
          <w:lang w:val="es-419"/>
        </w:rPr>
        <w:t xml:space="preserve"> que comprende los párrafos 1 a </w:t>
      </w:r>
      <w:r w:rsidR="009B181A" w:rsidRPr="00C6191A">
        <w:rPr>
          <w:rFonts w:eastAsia="Times New Roman"/>
          <w:sz w:val="20"/>
          <w:szCs w:val="20"/>
          <w:bdr w:val="none" w:sz="0" w:space="0" w:color="auto"/>
          <w:lang w:val="es-419"/>
        </w:rPr>
        <w:t>1</w:t>
      </w:r>
      <w:r w:rsidRPr="00C6191A">
        <w:rPr>
          <w:rFonts w:eastAsia="Times New Roman"/>
          <w:sz w:val="20"/>
          <w:szCs w:val="20"/>
          <w:bdr w:val="none" w:sz="0" w:space="0" w:color="auto"/>
          <w:lang w:val="es-419"/>
        </w:rPr>
        <w:t>0</w:t>
      </w:r>
      <w:r w:rsidR="009B181A" w:rsidRPr="00C6191A">
        <w:rPr>
          <w:rFonts w:eastAsia="Times New Roman"/>
          <w:sz w:val="20"/>
          <w:szCs w:val="20"/>
          <w:bdr w:val="none" w:sz="0" w:space="0" w:color="auto"/>
          <w:lang w:val="es-419"/>
        </w:rPr>
        <w:t>5</w:t>
      </w:r>
      <w:r w:rsidRPr="00C6191A">
        <w:rPr>
          <w:rFonts w:eastAsia="Times New Roman"/>
          <w:sz w:val="20"/>
          <w:szCs w:val="20"/>
          <w:bdr w:val="none" w:sz="0" w:space="0" w:color="auto"/>
          <w:lang w:val="es-419"/>
        </w:rPr>
        <w:t xml:space="preserve"> </w:t>
      </w:r>
      <w:r w:rsidRPr="00C6191A">
        <w:rPr>
          <w:rFonts w:eastAsia="Times New Roman"/>
          <w:i/>
          <w:iCs/>
          <w:sz w:val="20"/>
          <w:szCs w:val="20"/>
          <w:bdr w:val="none" w:sz="0" w:space="0" w:color="auto"/>
          <w:lang w:val="es-419"/>
        </w:rPr>
        <w:t>supra</w:t>
      </w:r>
      <w:r w:rsidRPr="00C6191A">
        <w:rPr>
          <w:rFonts w:eastAsia="Times New Roman"/>
          <w:sz w:val="20"/>
          <w:szCs w:val="20"/>
          <w:bdr w:val="none" w:sz="0" w:space="0" w:color="auto"/>
          <w:lang w:val="es-419"/>
        </w:rPr>
        <w:t xml:space="preserve"> y lo transmitió al Estado el </w:t>
      </w:r>
      <w:r w:rsidR="00932523" w:rsidRPr="00C6191A">
        <w:rPr>
          <w:rFonts w:eastAsia="Times New Roman"/>
          <w:sz w:val="20"/>
          <w:szCs w:val="20"/>
          <w:bdr w:val="none" w:sz="0" w:space="0" w:color="auto"/>
          <w:lang w:val="es-419"/>
        </w:rPr>
        <w:t>27 de agosto del mismo año</w:t>
      </w:r>
      <w:r w:rsidRPr="00C6191A">
        <w:rPr>
          <w:rFonts w:eastAsia="Times New Roman"/>
          <w:sz w:val="20"/>
          <w:szCs w:val="20"/>
          <w:bdr w:val="none" w:sz="0" w:space="0" w:color="auto"/>
          <w:lang w:val="es-419"/>
        </w:rPr>
        <w:t>. En dicho informe la Comisión recomend</w:t>
      </w:r>
      <w:r w:rsidRPr="00C6191A">
        <w:rPr>
          <w:sz w:val="20"/>
          <w:szCs w:val="20"/>
          <w:lang w:val="es-ES_tradnl"/>
        </w:rPr>
        <w:t>ó:</w:t>
      </w:r>
    </w:p>
    <w:p w14:paraId="64528E6E" w14:textId="77777777" w:rsidR="00ED4A4C" w:rsidRPr="00C6191A" w:rsidRDefault="00ED4A4C" w:rsidP="00ED4A4C">
      <w:pPr>
        <w:tabs>
          <w:tab w:val="left" w:pos="567"/>
        </w:tabs>
        <w:ind w:left="426"/>
        <w:jc w:val="both"/>
        <w:rPr>
          <w:sz w:val="20"/>
          <w:szCs w:val="20"/>
          <w:lang w:val="es-419"/>
        </w:rPr>
      </w:pPr>
    </w:p>
    <w:p w14:paraId="55F48F8D" w14:textId="77777777" w:rsidR="00ED4A4C" w:rsidRPr="00C6191A" w:rsidRDefault="00ED4A4C" w:rsidP="00ED4A4C">
      <w:pPr>
        <w:pStyle w:val="Default"/>
        <w:ind w:left="426"/>
        <w:jc w:val="both"/>
        <w:rPr>
          <w:rFonts w:eastAsia="Times New Roman"/>
          <w:sz w:val="20"/>
          <w:szCs w:val="20"/>
          <w:u w:color="000000"/>
          <w:lang w:val="es-419" w:eastAsia="es-ES"/>
        </w:rPr>
      </w:pPr>
      <w:r w:rsidRPr="00C6191A">
        <w:rPr>
          <w:rFonts w:eastAsia="Times New Roman"/>
          <w:sz w:val="20"/>
          <w:szCs w:val="20"/>
          <w:u w:color="000000"/>
          <w:lang w:val="es-419" w:eastAsia="es-ES"/>
        </w:rPr>
        <w:t xml:space="preserve">1. Reparar integralmente las violaciones de derechos humanos declaradas en este informe tanto en el aspecto material como inmaterial. </w:t>
      </w:r>
    </w:p>
    <w:p w14:paraId="2233E9B8" w14:textId="77777777" w:rsidR="00ED4A4C" w:rsidRPr="00C6191A" w:rsidRDefault="00ED4A4C" w:rsidP="00ED4A4C">
      <w:pPr>
        <w:pStyle w:val="Default"/>
        <w:ind w:left="426"/>
        <w:jc w:val="both"/>
        <w:rPr>
          <w:rFonts w:eastAsia="Times New Roman"/>
          <w:sz w:val="20"/>
          <w:szCs w:val="20"/>
          <w:u w:color="000000"/>
          <w:lang w:val="es-419" w:eastAsia="es-ES"/>
        </w:rPr>
      </w:pPr>
    </w:p>
    <w:p w14:paraId="3C99F4FC" w14:textId="77777777" w:rsidR="00ED4A4C" w:rsidRPr="00C6191A" w:rsidRDefault="00ED4A4C" w:rsidP="00ED4A4C">
      <w:pPr>
        <w:pStyle w:val="Default"/>
        <w:ind w:left="426"/>
        <w:jc w:val="both"/>
        <w:rPr>
          <w:rFonts w:eastAsia="Times New Roman"/>
          <w:sz w:val="20"/>
          <w:szCs w:val="20"/>
          <w:u w:color="000000"/>
          <w:lang w:val="es-419" w:eastAsia="es-ES"/>
        </w:rPr>
      </w:pPr>
      <w:r w:rsidRPr="00C6191A">
        <w:rPr>
          <w:rFonts w:eastAsia="Times New Roman"/>
          <w:sz w:val="20"/>
          <w:szCs w:val="20"/>
          <w:u w:color="000000"/>
          <w:lang w:val="es-419" w:eastAsia="es-ES"/>
        </w:rPr>
        <w:t xml:space="preserve">2. Disponer las medidas necesarias para que Diego Armando Pacheco, pueda acceder a un proceso penal con las debidas garantías judiciales. En particular, disponer las medidas necesarias para que, en caso de ser su voluntad, Diego Armando Pacheco, pueda interponer un recurso mediante el cual se garantice una revisión amplia de la sentencia en cumplimiento del artículo 8.2.h de la Convención Americana. </w:t>
      </w:r>
    </w:p>
    <w:p w14:paraId="795849C6" w14:textId="77777777" w:rsidR="00ED4A4C" w:rsidRPr="00C6191A" w:rsidRDefault="00ED4A4C" w:rsidP="00ED4A4C">
      <w:pPr>
        <w:pStyle w:val="Default"/>
        <w:ind w:left="426"/>
        <w:jc w:val="both"/>
        <w:rPr>
          <w:rFonts w:eastAsia="Times New Roman"/>
          <w:sz w:val="20"/>
          <w:szCs w:val="20"/>
          <w:u w:color="000000"/>
          <w:lang w:val="es-419" w:eastAsia="es-ES"/>
        </w:rPr>
      </w:pPr>
    </w:p>
    <w:p w14:paraId="5CB98C96" w14:textId="77777777" w:rsidR="00ED4A4C" w:rsidRPr="00C6191A" w:rsidRDefault="00ED4A4C" w:rsidP="00ED4A4C">
      <w:pPr>
        <w:tabs>
          <w:tab w:val="left" w:pos="567"/>
        </w:tabs>
        <w:ind w:left="426"/>
        <w:jc w:val="both"/>
        <w:rPr>
          <w:rFonts w:ascii="Cambria" w:hAnsi="Cambria" w:cs="Cambria"/>
          <w:color w:val="000000"/>
          <w:sz w:val="20"/>
          <w:szCs w:val="20"/>
          <w:u w:color="000000"/>
          <w:lang w:val="es-419" w:eastAsia="es-ES"/>
        </w:rPr>
      </w:pPr>
      <w:r w:rsidRPr="00C6191A">
        <w:rPr>
          <w:rFonts w:ascii="Cambria" w:hAnsi="Cambria" w:cs="Cambria"/>
          <w:color w:val="000000"/>
          <w:sz w:val="20"/>
          <w:szCs w:val="20"/>
          <w:u w:color="000000"/>
          <w:lang w:val="es-419" w:eastAsia="es-ES"/>
        </w:rPr>
        <w:t xml:space="preserve">3. Realizar las reformas normativas necesarias a fin de asegurar que los adolescentes de entre 16 y 18 años en conflicto con la ley penal sean juzgados en procesos diferenciados a aquellos destinados para los adultos, atendiendo a los principios que rigen para garantizar los derechos de niños y niñas, conforme a su interés superior y la proporcionalidad de la pena, legalidad, excepcionalidad y especialización para la imposición de sanciones.  </w:t>
      </w:r>
    </w:p>
    <w:p w14:paraId="73B6FB72" w14:textId="77777777" w:rsidR="00ED4A4C" w:rsidRPr="00C6191A" w:rsidRDefault="00ED4A4C" w:rsidP="00ED4A4C">
      <w:pPr>
        <w:tabs>
          <w:tab w:val="left" w:pos="567"/>
        </w:tabs>
        <w:ind w:left="426"/>
        <w:jc w:val="both"/>
        <w:rPr>
          <w:rFonts w:ascii="Cambria" w:hAnsi="Cambria" w:cs="Cambria"/>
          <w:color w:val="000000"/>
          <w:sz w:val="20"/>
          <w:szCs w:val="20"/>
          <w:u w:color="000000"/>
          <w:lang w:val="es-419" w:eastAsia="es-ES"/>
        </w:rPr>
      </w:pPr>
    </w:p>
    <w:p w14:paraId="0B6CDB98" w14:textId="77777777" w:rsidR="00813AFA" w:rsidRPr="00C6191A" w:rsidRDefault="00ED4A4C" w:rsidP="00813AFA">
      <w:pPr>
        <w:pStyle w:val="ListParagraph"/>
        <w:numPr>
          <w:ilvl w:val="0"/>
          <w:numId w:val="2"/>
        </w:numPr>
        <w:tabs>
          <w:tab w:val="left" w:pos="567"/>
        </w:tabs>
        <w:ind w:left="567" w:hanging="567"/>
        <w:jc w:val="both"/>
        <w:rPr>
          <w:sz w:val="20"/>
          <w:szCs w:val="20"/>
          <w:bdr w:val="none" w:sz="0" w:space="0" w:color="auto"/>
          <w:lang w:val="es-419"/>
        </w:rPr>
      </w:pPr>
      <w:r w:rsidRPr="00C6191A">
        <w:rPr>
          <w:sz w:val="20"/>
          <w:szCs w:val="20"/>
          <w:bdr w:val="none" w:sz="0" w:space="0" w:color="auto"/>
          <w:lang w:val="es-419"/>
        </w:rPr>
        <w:t>La Comisión recibió informes del Estado sobre el cumplimiento de las recomendaciones establecidas y</w:t>
      </w:r>
    </w:p>
    <w:p w14:paraId="3EB51C91" w14:textId="028B44E3" w:rsidR="00ED4A4C" w:rsidRPr="00C6191A" w:rsidRDefault="00ED4A4C" w:rsidP="00813AFA">
      <w:pPr>
        <w:tabs>
          <w:tab w:val="left" w:pos="567"/>
        </w:tabs>
        <w:jc w:val="both"/>
        <w:rPr>
          <w:rFonts w:ascii="Cambria" w:hAnsi="Cambria"/>
          <w:sz w:val="20"/>
          <w:szCs w:val="20"/>
          <w:lang w:val="es-419"/>
        </w:rPr>
      </w:pPr>
      <w:r w:rsidRPr="00C6191A">
        <w:rPr>
          <w:rFonts w:ascii="Cambria" w:hAnsi="Cambria"/>
          <w:sz w:val="20"/>
          <w:szCs w:val="20"/>
          <w:lang w:val="es-419"/>
        </w:rPr>
        <w:t xml:space="preserve">observaciones de la parte peticionaria. Durante este período la Comisión otorgó </w:t>
      </w:r>
      <w:r w:rsidR="00E20150" w:rsidRPr="00C6191A">
        <w:rPr>
          <w:rFonts w:ascii="Cambria" w:hAnsi="Cambria"/>
          <w:sz w:val="20"/>
          <w:szCs w:val="20"/>
          <w:lang w:val="es-419"/>
        </w:rPr>
        <w:t>siete</w:t>
      </w:r>
      <w:r w:rsidRPr="00C6191A">
        <w:rPr>
          <w:rFonts w:ascii="Cambria" w:hAnsi="Cambria"/>
          <w:sz w:val="20"/>
          <w:szCs w:val="20"/>
          <w:lang w:val="es-419"/>
        </w:rPr>
        <w:t xml:space="preserve"> prórrogas al Estado para la suspensión del plazo previsto en el artículo 51 de la Convención Americana. Asimismo, el Estado, reiteró su voluntad de cumplir con las recomendaciones y renunció expresamente a interponer excepciones preliminares respecto del cumplimiento del plazo previsto por el mencionado artículo, de conformidad con lo dispuesto en el artículo 46 del Reglamento de la Comisión.</w:t>
      </w:r>
    </w:p>
    <w:p w14:paraId="2A0EBA44" w14:textId="77777777" w:rsidR="00932523" w:rsidRPr="00C6191A" w:rsidRDefault="00932523" w:rsidP="00932523">
      <w:pPr>
        <w:rPr>
          <w:rFonts w:ascii="Cambria" w:hAnsi="Cambria"/>
          <w:lang w:val="es-ES_tradnl" w:eastAsia="es-ES"/>
        </w:rPr>
      </w:pPr>
    </w:p>
    <w:p w14:paraId="06A52BC7" w14:textId="2573C127" w:rsidR="00932523" w:rsidRPr="00C6191A" w:rsidRDefault="00932523" w:rsidP="00E10C8B">
      <w:pPr>
        <w:pStyle w:val="ListParagraph"/>
        <w:numPr>
          <w:ilvl w:val="0"/>
          <w:numId w:val="2"/>
        </w:numPr>
        <w:tabs>
          <w:tab w:val="left" w:pos="0"/>
          <w:tab w:val="left" w:pos="567"/>
        </w:tabs>
        <w:ind w:left="0" w:firstLine="0"/>
        <w:jc w:val="both"/>
        <w:rPr>
          <w:sz w:val="20"/>
          <w:szCs w:val="20"/>
          <w:bdr w:val="none" w:sz="0" w:space="0" w:color="auto"/>
          <w:lang w:val="es-419"/>
        </w:rPr>
      </w:pPr>
      <w:r w:rsidRPr="00C6191A">
        <w:rPr>
          <w:sz w:val="20"/>
          <w:szCs w:val="20"/>
          <w:bdr w:val="none" w:sz="0" w:space="0" w:color="auto"/>
          <w:lang w:val="es-419"/>
        </w:rPr>
        <w:t>La Comisión toma nota de que el 9 de agosto de 2022 las partes suscribieron un “Acuerdo de Cumplimiento de Recomendaciones”</w:t>
      </w:r>
      <w:r w:rsidR="00E10C8B" w:rsidRPr="00C6191A">
        <w:rPr>
          <w:sz w:val="20"/>
          <w:szCs w:val="20"/>
          <w:bdr w:val="none" w:sz="0" w:space="0" w:color="auto"/>
          <w:lang w:val="es-419"/>
        </w:rPr>
        <w:t xml:space="preserve"> </w:t>
      </w:r>
      <w:r w:rsidR="00D955D4" w:rsidRPr="00C6191A">
        <w:rPr>
          <w:sz w:val="20"/>
          <w:szCs w:val="20"/>
          <w:bdr w:val="none" w:sz="0" w:space="0" w:color="auto"/>
          <w:lang w:val="es-419"/>
        </w:rPr>
        <w:t xml:space="preserve">mediante el cual </w:t>
      </w:r>
      <w:r w:rsidRPr="00C6191A">
        <w:rPr>
          <w:sz w:val="20"/>
          <w:szCs w:val="20"/>
          <w:bdr w:val="none" w:sz="0" w:space="0" w:color="auto"/>
          <w:lang w:val="es-419"/>
        </w:rPr>
        <w:t xml:space="preserve">el Estado </w:t>
      </w:r>
      <w:r w:rsidR="00D955D4" w:rsidRPr="00C6191A">
        <w:rPr>
          <w:sz w:val="20"/>
          <w:szCs w:val="20"/>
          <w:bdr w:val="none" w:sz="0" w:space="0" w:color="auto"/>
          <w:lang w:val="es-419"/>
        </w:rPr>
        <w:t xml:space="preserve">se compromete a </w:t>
      </w:r>
      <w:r w:rsidRPr="00C6191A">
        <w:rPr>
          <w:sz w:val="20"/>
          <w:szCs w:val="20"/>
          <w:bdr w:val="none" w:sz="0" w:space="0" w:color="auto"/>
          <w:lang w:val="es-419"/>
        </w:rPr>
        <w:t>adoptar las siguientes medidas:</w:t>
      </w:r>
    </w:p>
    <w:p w14:paraId="6F0A2920" w14:textId="77777777" w:rsidR="00932523" w:rsidRPr="00C6191A" w:rsidRDefault="00932523" w:rsidP="00932523">
      <w:pPr>
        <w:pStyle w:val="ListParagraph"/>
        <w:rPr>
          <w:sz w:val="20"/>
          <w:szCs w:val="20"/>
          <w:bdr w:val="none" w:sz="0" w:space="0" w:color="auto"/>
          <w:lang w:val="es-419"/>
        </w:rPr>
      </w:pPr>
    </w:p>
    <w:p w14:paraId="616EB45C" w14:textId="149C6DE7" w:rsidR="00932523" w:rsidRPr="00C6191A" w:rsidRDefault="00932523" w:rsidP="006C6B75">
      <w:pPr>
        <w:pStyle w:val="ListParagraph"/>
        <w:numPr>
          <w:ilvl w:val="0"/>
          <w:numId w:val="10"/>
        </w:numPr>
        <w:tabs>
          <w:tab w:val="left" w:pos="0"/>
          <w:tab w:val="left" w:pos="567"/>
        </w:tabs>
        <w:ind w:left="540"/>
        <w:jc w:val="both"/>
        <w:rPr>
          <w:sz w:val="20"/>
          <w:szCs w:val="20"/>
          <w:bdr w:val="none" w:sz="0" w:space="0" w:color="auto"/>
          <w:lang w:val="es-419"/>
        </w:rPr>
      </w:pPr>
      <w:r w:rsidRPr="00C6191A">
        <w:rPr>
          <w:sz w:val="20"/>
          <w:szCs w:val="20"/>
          <w:bdr w:val="none" w:sz="0" w:space="0" w:color="auto"/>
          <w:lang w:val="es-419"/>
        </w:rPr>
        <w:t>Dar publicidad del presente acuerdo en el “</w:t>
      </w:r>
      <w:r w:rsidR="009B181A" w:rsidRPr="00C6191A">
        <w:rPr>
          <w:sz w:val="20"/>
          <w:szCs w:val="20"/>
          <w:bdr w:val="none" w:sz="0" w:space="0" w:color="auto"/>
          <w:lang w:val="es-419"/>
        </w:rPr>
        <w:t>Boletín</w:t>
      </w:r>
      <w:r w:rsidRPr="00C6191A">
        <w:rPr>
          <w:sz w:val="20"/>
          <w:szCs w:val="20"/>
          <w:bdr w:val="none" w:sz="0" w:space="0" w:color="auto"/>
          <w:lang w:val="es-419"/>
        </w:rPr>
        <w:t xml:space="preserve"> Oficial de la </w:t>
      </w:r>
      <w:r w:rsidR="009B181A" w:rsidRPr="00C6191A">
        <w:rPr>
          <w:sz w:val="20"/>
          <w:szCs w:val="20"/>
          <w:bdr w:val="none" w:sz="0" w:space="0" w:color="auto"/>
          <w:lang w:val="es-419"/>
        </w:rPr>
        <w:t>República</w:t>
      </w:r>
      <w:r w:rsidRPr="00C6191A">
        <w:rPr>
          <w:sz w:val="20"/>
          <w:szCs w:val="20"/>
          <w:bdr w:val="none" w:sz="0" w:space="0" w:color="auto"/>
          <w:lang w:val="es-419"/>
        </w:rPr>
        <w:t xml:space="preserve"> Argentina”. </w:t>
      </w:r>
      <w:r w:rsidR="009B181A" w:rsidRPr="00C6191A">
        <w:rPr>
          <w:sz w:val="20"/>
          <w:szCs w:val="20"/>
          <w:bdr w:val="none" w:sz="0" w:space="0" w:color="auto"/>
          <w:lang w:val="es-419"/>
        </w:rPr>
        <w:t>Asimismo</w:t>
      </w:r>
      <w:r w:rsidRPr="00C6191A">
        <w:rPr>
          <w:sz w:val="20"/>
          <w:szCs w:val="20"/>
          <w:bdr w:val="none" w:sz="0" w:space="0" w:color="auto"/>
          <w:lang w:val="es-419"/>
        </w:rPr>
        <w:t xml:space="preserve">, se </w:t>
      </w:r>
      <w:r w:rsidR="009B181A" w:rsidRPr="00C6191A">
        <w:rPr>
          <w:sz w:val="20"/>
          <w:szCs w:val="20"/>
          <w:bdr w:val="none" w:sz="0" w:space="0" w:color="auto"/>
          <w:lang w:val="es-419"/>
        </w:rPr>
        <w:t>publicará</w:t>
      </w:r>
      <w:r w:rsidRPr="00C6191A">
        <w:rPr>
          <w:sz w:val="20"/>
          <w:szCs w:val="20"/>
          <w:bdr w:val="none" w:sz="0" w:space="0" w:color="auto"/>
          <w:lang w:val="es-419"/>
        </w:rPr>
        <w:t xml:space="preserve"> una gacetilla en un diario local de amplia </w:t>
      </w:r>
      <w:r w:rsidR="009B181A" w:rsidRPr="00C6191A">
        <w:rPr>
          <w:sz w:val="20"/>
          <w:szCs w:val="20"/>
          <w:bdr w:val="none" w:sz="0" w:space="0" w:color="auto"/>
          <w:lang w:val="es-419"/>
        </w:rPr>
        <w:t>circulación</w:t>
      </w:r>
      <w:r w:rsidRPr="00C6191A">
        <w:rPr>
          <w:sz w:val="20"/>
          <w:szCs w:val="20"/>
          <w:bdr w:val="none" w:sz="0" w:space="0" w:color="auto"/>
          <w:lang w:val="es-419"/>
        </w:rPr>
        <w:t xml:space="preserve"> dentro de la </w:t>
      </w:r>
      <w:r w:rsidR="009B181A" w:rsidRPr="00C6191A">
        <w:rPr>
          <w:sz w:val="20"/>
          <w:szCs w:val="20"/>
          <w:bdr w:val="none" w:sz="0" w:space="0" w:color="auto"/>
          <w:lang w:val="es-419"/>
        </w:rPr>
        <w:t>Pr</w:t>
      </w:r>
      <w:r w:rsidRPr="00C6191A">
        <w:rPr>
          <w:sz w:val="20"/>
          <w:szCs w:val="20"/>
          <w:bdr w:val="none" w:sz="0" w:space="0" w:color="auto"/>
          <w:lang w:val="es-419"/>
        </w:rPr>
        <w:t>ovincia de Chubut</w:t>
      </w:r>
      <w:r w:rsidR="009B181A" w:rsidRPr="00C6191A">
        <w:rPr>
          <w:sz w:val="20"/>
          <w:szCs w:val="20"/>
          <w:bdr w:val="none" w:sz="0" w:space="0" w:color="auto"/>
          <w:lang w:val="es-419"/>
        </w:rPr>
        <w:t xml:space="preserve"> </w:t>
      </w:r>
      <w:r w:rsidRPr="00C6191A">
        <w:rPr>
          <w:sz w:val="20"/>
          <w:szCs w:val="20"/>
          <w:bdr w:val="none" w:sz="0" w:space="0" w:color="auto"/>
          <w:lang w:val="es-419"/>
        </w:rPr>
        <w:t>y en diario de circulación nacional</w:t>
      </w:r>
      <w:r w:rsidR="009B181A" w:rsidRPr="00C6191A">
        <w:rPr>
          <w:sz w:val="20"/>
          <w:szCs w:val="20"/>
          <w:bdr w:val="none" w:sz="0" w:space="0" w:color="auto"/>
          <w:lang w:val="es-419"/>
        </w:rPr>
        <w:t>; e</w:t>
      </w:r>
      <w:r w:rsidRPr="00C6191A">
        <w:rPr>
          <w:sz w:val="20"/>
          <w:szCs w:val="20"/>
          <w:bdr w:val="none" w:sz="0" w:space="0" w:color="auto"/>
          <w:lang w:val="es-419"/>
        </w:rPr>
        <w:t xml:space="preserve">l contenido </w:t>
      </w:r>
      <w:r w:rsidR="009B181A" w:rsidRPr="00C6191A">
        <w:rPr>
          <w:sz w:val="20"/>
          <w:szCs w:val="20"/>
          <w:bdr w:val="none" w:sz="0" w:space="0" w:color="auto"/>
          <w:lang w:val="es-419"/>
        </w:rPr>
        <w:t xml:space="preserve">de este </w:t>
      </w:r>
      <w:r w:rsidRPr="00C6191A">
        <w:rPr>
          <w:sz w:val="20"/>
          <w:szCs w:val="20"/>
          <w:bdr w:val="none" w:sz="0" w:space="0" w:color="auto"/>
          <w:lang w:val="es-419"/>
        </w:rPr>
        <w:t xml:space="preserve">se </w:t>
      </w:r>
      <w:r w:rsidR="009B181A" w:rsidRPr="00C6191A">
        <w:rPr>
          <w:sz w:val="20"/>
          <w:szCs w:val="20"/>
          <w:bdr w:val="none" w:sz="0" w:space="0" w:color="auto"/>
          <w:lang w:val="es-419"/>
        </w:rPr>
        <w:t>consultará</w:t>
      </w:r>
      <w:r w:rsidRPr="00C6191A">
        <w:rPr>
          <w:sz w:val="20"/>
          <w:szCs w:val="20"/>
          <w:bdr w:val="none" w:sz="0" w:space="0" w:color="auto"/>
          <w:lang w:val="es-419"/>
        </w:rPr>
        <w:t xml:space="preserve"> entre las partes.</w:t>
      </w:r>
    </w:p>
    <w:p w14:paraId="40338603" w14:textId="77777777" w:rsidR="00932523" w:rsidRPr="00C6191A" w:rsidRDefault="00932523" w:rsidP="00932523">
      <w:pPr>
        <w:pStyle w:val="ListParagraph"/>
        <w:tabs>
          <w:tab w:val="left" w:pos="0"/>
          <w:tab w:val="left" w:pos="567"/>
        </w:tabs>
        <w:jc w:val="both"/>
        <w:rPr>
          <w:sz w:val="20"/>
          <w:szCs w:val="20"/>
          <w:bdr w:val="none" w:sz="0" w:space="0" w:color="auto"/>
          <w:lang w:val="es-419"/>
        </w:rPr>
      </w:pPr>
    </w:p>
    <w:p w14:paraId="1FC23C98" w14:textId="0BE565D7" w:rsidR="00932523" w:rsidRPr="00C6191A" w:rsidRDefault="00932523" w:rsidP="006C6B75">
      <w:pPr>
        <w:pStyle w:val="ListParagraph"/>
        <w:numPr>
          <w:ilvl w:val="0"/>
          <w:numId w:val="10"/>
        </w:numPr>
        <w:tabs>
          <w:tab w:val="left" w:pos="0"/>
          <w:tab w:val="left" w:pos="567"/>
        </w:tabs>
        <w:ind w:left="540"/>
        <w:jc w:val="both"/>
        <w:rPr>
          <w:sz w:val="20"/>
          <w:szCs w:val="20"/>
          <w:bdr w:val="none" w:sz="0" w:space="0" w:color="auto"/>
          <w:lang w:val="es-419"/>
        </w:rPr>
      </w:pPr>
      <w:r w:rsidRPr="00C6191A">
        <w:rPr>
          <w:sz w:val="20"/>
          <w:szCs w:val="20"/>
          <w:bdr w:val="none" w:sz="0" w:space="0" w:color="auto"/>
          <w:lang w:val="es-419"/>
        </w:rPr>
        <w:t xml:space="preserve">En relación con la segunda </w:t>
      </w:r>
      <w:r w:rsidR="009B181A" w:rsidRPr="00C6191A">
        <w:rPr>
          <w:sz w:val="20"/>
          <w:szCs w:val="20"/>
          <w:bdr w:val="none" w:sz="0" w:space="0" w:color="auto"/>
          <w:lang w:val="es-419"/>
        </w:rPr>
        <w:t>recomendación</w:t>
      </w:r>
      <w:r w:rsidRPr="00C6191A">
        <w:rPr>
          <w:sz w:val="20"/>
          <w:szCs w:val="20"/>
          <w:bdr w:val="none" w:sz="0" w:space="0" w:color="auto"/>
          <w:lang w:val="es-419"/>
        </w:rPr>
        <w:t>, la parte peticionaria manifestó que no es voluntad del joven volver a someter su caso a</w:t>
      </w:r>
      <w:r w:rsidR="009B181A" w:rsidRPr="00C6191A">
        <w:rPr>
          <w:sz w:val="20"/>
          <w:szCs w:val="20"/>
          <w:bdr w:val="none" w:sz="0" w:space="0" w:color="auto"/>
          <w:lang w:val="es-419"/>
        </w:rPr>
        <w:t>l ámbito de la</w:t>
      </w:r>
      <w:r w:rsidRPr="00C6191A">
        <w:rPr>
          <w:sz w:val="20"/>
          <w:szCs w:val="20"/>
          <w:bdr w:val="none" w:sz="0" w:space="0" w:color="auto"/>
          <w:lang w:val="es-419"/>
        </w:rPr>
        <w:t xml:space="preserve"> justicia, toda vez que resultaría revictimizante. En </w:t>
      </w:r>
      <w:r w:rsidR="009B181A" w:rsidRPr="00C6191A">
        <w:rPr>
          <w:sz w:val="20"/>
          <w:szCs w:val="20"/>
          <w:bdr w:val="none" w:sz="0" w:space="0" w:color="auto"/>
          <w:lang w:val="es-419"/>
        </w:rPr>
        <w:t>cambio,</w:t>
      </w:r>
      <w:r w:rsidRPr="00C6191A">
        <w:rPr>
          <w:sz w:val="20"/>
          <w:szCs w:val="20"/>
          <w:bdr w:val="none" w:sz="0" w:space="0" w:color="auto"/>
          <w:lang w:val="es-419"/>
        </w:rPr>
        <w:t xml:space="preserve"> se </w:t>
      </w:r>
      <w:r w:rsidR="009B181A" w:rsidRPr="00C6191A">
        <w:rPr>
          <w:sz w:val="20"/>
          <w:szCs w:val="20"/>
          <w:bdr w:val="none" w:sz="0" w:space="0" w:color="auto"/>
          <w:lang w:val="es-419"/>
        </w:rPr>
        <w:t>solicitó</w:t>
      </w:r>
      <w:r w:rsidRPr="00C6191A">
        <w:rPr>
          <w:sz w:val="20"/>
          <w:szCs w:val="20"/>
          <w:bdr w:val="none" w:sz="0" w:space="0" w:color="auto"/>
          <w:lang w:val="es-419"/>
        </w:rPr>
        <w:t xml:space="preserve"> que se arbitraran los medios para que no exista ningún tipo de registro de antecedentes penales, ni en el ámbito local ni nacional, a su respecto, vinculados con el caso que origin</w:t>
      </w:r>
      <w:r w:rsidR="009B181A" w:rsidRPr="00C6191A">
        <w:rPr>
          <w:sz w:val="20"/>
          <w:szCs w:val="20"/>
          <w:lang w:val="es-419"/>
        </w:rPr>
        <w:t>ó</w:t>
      </w:r>
      <w:r w:rsidRPr="00C6191A">
        <w:rPr>
          <w:sz w:val="20"/>
          <w:szCs w:val="20"/>
          <w:bdr w:val="none" w:sz="0" w:space="0" w:color="auto"/>
          <w:lang w:val="es-419"/>
        </w:rPr>
        <w:t xml:space="preserve"> la petición ante la Comisión. El Estado indic</w:t>
      </w:r>
      <w:r w:rsidR="009B181A" w:rsidRPr="00C6191A">
        <w:rPr>
          <w:sz w:val="20"/>
          <w:szCs w:val="20"/>
          <w:lang w:val="es-419"/>
        </w:rPr>
        <w:t>ó</w:t>
      </w:r>
      <w:r w:rsidRPr="00C6191A">
        <w:rPr>
          <w:sz w:val="20"/>
          <w:szCs w:val="20"/>
          <w:bdr w:val="none" w:sz="0" w:space="0" w:color="auto"/>
          <w:lang w:val="es-419"/>
        </w:rPr>
        <w:t xml:space="preserve"> que desde el día 16 de febrero de 2022, Diego Armando Pacheco no posee antecedentes </w:t>
      </w:r>
      <w:r w:rsidR="009B181A" w:rsidRPr="00C6191A">
        <w:rPr>
          <w:sz w:val="20"/>
          <w:szCs w:val="20"/>
          <w:bdr w:val="none" w:sz="0" w:space="0" w:color="auto"/>
          <w:lang w:val="es-419"/>
        </w:rPr>
        <w:t>registrados</w:t>
      </w:r>
      <w:r w:rsidRPr="00C6191A">
        <w:rPr>
          <w:sz w:val="20"/>
          <w:szCs w:val="20"/>
          <w:bdr w:val="none" w:sz="0" w:space="0" w:color="auto"/>
          <w:lang w:val="es-419"/>
        </w:rPr>
        <w:t>. En cuanto a los antecedentes obrantes en el ámbito provincial, la parte peticionaria realiz</w:t>
      </w:r>
      <w:r w:rsidR="009B181A" w:rsidRPr="00C6191A">
        <w:rPr>
          <w:sz w:val="20"/>
          <w:szCs w:val="20"/>
          <w:lang w:val="es-419"/>
        </w:rPr>
        <w:t>ó</w:t>
      </w:r>
      <w:r w:rsidRPr="00C6191A">
        <w:rPr>
          <w:sz w:val="20"/>
          <w:szCs w:val="20"/>
          <w:bdr w:val="none" w:sz="0" w:space="0" w:color="auto"/>
          <w:lang w:val="es-419"/>
        </w:rPr>
        <w:t xml:space="preserve"> el pedido ante el Registro Provincial de Antecedentes Penales, </w:t>
      </w:r>
      <w:r w:rsidR="009B181A" w:rsidRPr="00C6191A">
        <w:rPr>
          <w:sz w:val="20"/>
          <w:szCs w:val="20"/>
          <w:bdr w:val="none" w:sz="0" w:space="0" w:color="auto"/>
          <w:lang w:val="es-419"/>
        </w:rPr>
        <w:t xml:space="preserve">ya </w:t>
      </w:r>
      <w:r w:rsidRPr="00C6191A">
        <w:rPr>
          <w:sz w:val="20"/>
          <w:szCs w:val="20"/>
          <w:bdr w:val="none" w:sz="0" w:space="0" w:color="auto"/>
          <w:lang w:val="es-419"/>
        </w:rPr>
        <w:t>que debía ser cursado por la defensa del joven</w:t>
      </w:r>
      <w:r w:rsidR="009B181A" w:rsidRPr="00C6191A">
        <w:rPr>
          <w:sz w:val="20"/>
          <w:szCs w:val="20"/>
          <w:bdr w:val="none" w:sz="0" w:space="0" w:color="auto"/>
          <w:lang w:val="es-419"/>
        </w:rPr>
        <w:t xml:space="preserve">; y según fuera informado por la propia defensa, el peticionario no registra actualmente antecedentes en el ámbito de la Provincia. </w:t>
      </w:r>
    </w:p>
    <w:p w14:paraId="799B44AB" w14:textId="77777777" w:rsidR="00932523" w:rsidRPr="00C6191A" w:rsidRDefault="00932523" w:rsidP="00932523">
      <w:pPr>
        <w:pStyle w:val="ListParagraph"/>
        <w:rPr>
          <w:sz w:val="20"/>
          <w:szCs w:val="20"/>
          <w:bdr w:val="none" w:sz="0" w:space="0" w:color="auto"/>
          <w:lang w:val="es-419"/>
        </w:rPr>
      </w:pPr>
    </w:p>
    <w:p w14:paraId="2500966B" w14:textId="6A84202B" w:rsidR="00932523" w:rsidRPr="00C6191A" w:rsidRDefault="00932523" w:rsidP="006C6B75">
      <w:pPr>
        <w:pStyle w:val="ListParagraph"/>
        <w:numPr>
          <w:ilvl w:val="0"/>
          <w:numId w:val="10"/>
        </w:numPr>
        <w:tabs>
          <w:tab w:val="left" w:pos="0"/>
          <w:tab w:val="left" w:pos="567"/>
        </w:tabs>
        <w:ind w:left="540"/>
        <w:jc w:val="both"/>
        <w:rPr>
          <w:sz w:val="20"/>
          <w:szCs w:val="20"/>
          <w:bdr w:val="none" w:sz="0" w:space="0" w:color="auto"/>
          <w:lang w:val="es-419"/>
        </w:rPr>
      </w:pPr>
      <w:r w:rsidRPr="00C6191A">
        <w:rPr>
          <w:sz w:val="20"/>
          <w:szCs w:val="20"/>
          <w:bdr w:val="none" w:sz="0" w:space="0" w:color="auto"/>
          <w:lang w:val="es-419"/>
        </w:rPr>
        <w:t xml:space="preserve">En relación con la </w:t>
      </w:r>
      <w:r w:rsidR="009B181A" w:rsidRPr="00C6191A">
        <w:rPr>
          <w:sz w:val="20"/>
          <w:szCs w:val="20"/>
          <w:bdr w:val="none" w:sz="0" w:space="0" w:color="auto"/>
          <w:lang w:val="es-419"/>
        </w:rPr>
        <w:t>tercera recomendación</w:t>
      </w:r>
      <w:r w:rsidRPr="00C6191A">
        <w:rPr>
          <w:sz w:val="20"/>
          <w:szCs w:val="20"/>
          <w:bdr w:val="none" w:sz="0" w:space="0" w:color="auto"/>
          <w:lang w:val="es-419"/>
        </w:rPr>
        <w:t>, el Estado indic</w:t>
      </w:r>
      <w:r w:rsidR="009B181A" w:rsidRPr="00C6191A">
        <w:rPr>
          <w:sz w:val="20"/>
          <w:szCs w:val="20"/>
          <w:lang w:val="es-419"/>
        </w:rPr>
        <w:t>ó</w:t>
      </w:r>
      <w:r w:rsidRPr="00C6191A">
        <w:rPr>
          <w:sz w:val="20"/>
          <w:szCs w:val="20"/>
          <w:bdr w:val="none" w:sz="0" w:space="0" w:color="auto"/>
          <w:lang w:val="es-419"/>
        </w:rPr>
        <w:t xml:space="preserve"> que desde 2005 se encuentra vigente el nuevo </w:t>
      </w:r>
      <w:r w:rsidR="009B181A" w:rsidRPr="00C6191A">
        <w:rPr>
          <w:sz w:val="20"/>
          <w:szCs w:val="20"/>
          <w:bdr w:val="none" w:sz="0" w:space="0" w:color="auto"/>
          <w:lang w:val="es-419"/>
        </w:rPr>
        <w:t>Código</w:t>
      </w:r>
      <w:r w:rsidRPr="00C6191A">
        <w:rPr>
          <w:sz w:val="20"/>
          <w:szCs w:val="20"/>
          <w:bdr w:val="none" w:sz="0" w:space="0" w:color="auto"/>
          <w:lang w:val="es-419"/>
        </w:rPr>
        <w:t xml:space="preserve"> de Procedimiento Penal de la Provincia de Chubut (LEY XV N°9) que prevé</w:t>
      </w:r>
      <w:r w:rsidR="009B181A" w:rsidRPr="00C6191A">
        <w:rPr>
          <w:sz w:val="20"/>
          <w:szCs w:val="20"/>
          <w:bdr w:val="none" w:sz="0" w:space="0" w:color="auto"/>
          <w:lang w:val="es-419"/>
        </w:rPr>
        <w:t>,</w:t>
      </w:r>
      <w:r w:rsidRPr="00C6191A">
        <w:rPr>
          <w:sz w:val="20"/>
          <w:szCs w:val="20"/>
          <w:bdr w:val="none" w:sz="0" w:space="0" w:color="auto"/>
          <w:lang w:val="es-419"/>
        </w:rPr>
        <w:t xml:space="preserve"> e</w:t>
      </w:r>
      <w:r w:rsidR="009B181A" w:rsidRPr="00C6191A">
        <w:rPr>
          <w:sz w:val="20"/>
          <w:szCs w:val="20"/>
          <w:bdr w:val="none" w:sz="0" w:space="0" w:color="auto"/>
          <w:lang w:val="es-419"/>
        </w:rPr>
        <w:t>n</w:t>
      </w:r>
      <w:r w:rsidRPr="00C6191A">
        <w:rPr>
          <w:sz w:val="20"/>
          <w:szCs w:val="20"/>
          <w:bdr w:val="none" w:sz="0" w:space="0" w:color="auto"/>
          <w:lang w:val="es-419"/>
        </w:rPr>
        <w:t xml:space="preserve"> el libro V</w:t>
      </w:r>
      <w:r w:rsidR="009B181A" w:rsidRPr="00C6191A">
        <w:rPr>
          <w:sz w:val="20"/>
          <w:szCs w:val="20"/>
          <w:bdr w:val="none" w:sz="0" w:space="0" w:color="auto"/>
          <w:lang w:val="es-419"/>
        </w:rPr>
        <w:t>,</w:t>
      </w:r>
      <w:r w:rsidRPr="00C6191A">
        <w:rPr>
          <w:sz w:val="20"/>
          <w:szCs w:val="20"/>
          <w:bdr w:val="none" w:sz="0" w:space="0" w:color="auto"/>
          <w:lang w:val="es-419"/>
        </w:rPr>
        <w:t xml:space="preserve"> las reglas </w:t>
      </w:r>
      <w:r w:rsidR="009B181A" w:rsidRPr="00C6191A">
        <w:rPr>
          <w:sz w:val="20"/>
          <w:szCs w:val="20"/>
          <w:bdr w:val="none" w:sz="0" w:space="0" w:color="auto"/>
          <w:lang w:val="es-419"/>
        </w:rPr>
        <w:t>especial</w:t>
      </w:r>
      <w:r w:rsidRPr="00C6191A">
        <w:rPr>
          <w:sz w:val="20"/>
          <w:szCs w:val="20"/>
          <w:bdr w:val="none" w:sz="0" w:space="0" w:color="auto"/>
          <w:lang w:val="es-419"/>
        </w:rPr>
        <w:t xml:space="preserve"> para niños y adolescentes, que establecen características del proceso diferenciado para las personas menores de edad. Por ello</w:t>
      </w:r>
      <w:r w:rsidR="009B181A" w:rsidRPr="00C6191A">
        <w:rPr>
          <w:sz w:val="20"/>
          <w:szCs w:val="20"/>
          <w:bdr w:val="none" w:sz="0" w:space="0" w:color="auto"/>
          <w:lang w:val="es-419"/>
        </w:rPr>
        <w:t>,</w:t>
      </w:r>
      <w:r w:rsidRPr="00C6191A">
        <w:rPr>
          <w:sz w:val="20"/>
          <w:szCs w:val="20"/>
          <w:bdr w:val="none" w:sz="0" w:space="0" w:color="auto"/>
          <w:lang w:val="es-419"/>
        </w:rPr>
        <w:t xml:space="preserve"> las partes acuerdan que este punto no requiere ser materia de un acuerdo de un cumplimiento de recomendaciones. </w:t>
      </w:r>
    </w:p>
    <w:p w14:paraId="22975A6B" w14:textId="77777777" w:rsidR="00932523" w:rsidRPr="00C6191A" w:rsidRDefault="00932523" w:rsidP="00932523">
      <w:pPr>
        <w:pStyle w:val="ListParagraph"/>
        <w:rPr>
          <w:sz w:val="20"/>
          <w:szCs w:val="20"/>
          <w:bdr w:val="none" w:sz="0" w:space="0" w:color="auto"/>
          <w:lang w:val="es-419"/>
        </w:rPr>
      </w:pPr>
    </w:p>
    <w:p w14:paraId="57F98946" w14:textId="7A7CA6B5" w:rsidR="00932523" w:rsidRPr="00C6191A" w:rsidRDefault="009B181A" w:rsidP="006C6B75">
      <w:pPr>
        <w:pStyle w:val="ListParagraph"/>
        <w:numPr>
          <w:ilvl w:val="0"/>
          <w:numId w:val="10"/>
        </w:numPr>
        <w:tabs>
          <w:tab w:val="left" w:pos="0"/>
          <w:tab w:val="left" w:pos="567"/>
        </w:tabs>
        <w:ind w:left="540"/>
        <w:jc w:val="both"/>
        <w:rPr>
          <w:sz w:val="20"/>
          <w:szCs w:val="20"/>
          <w:bdr w:val="none" w:sz="0" w:space="0" w:color="auto"/>
          <w:lang w:val="es-419"/>
        </w:rPr>
      </w:pPr>
      <w:r w:rsidRPr="00C6191A">
        <w:rPr>
          <w:sz w:val="20"/>
          <w:szCs w:val="20"/>
          <w:bdr w:val="none" w:sz="0" w:space="0" w:color="auto"/>
          <w:lang w:val="es-419"/>
        </w:rPr>
        <w:lastRenderedPageBreak/>
        <w:t>En relación con</w:t>
      </w:r>
      <w:r w:rsidR="00932523" w:rsidRPr="00C6191A">
        <w:rPr>
          <w:sz w:val="20"/>
          <w:szCs w:val="20"/>
          <w:bdr w:val="none" w:sz="0" w:space="0" w:color="auto"/>
          <w:lang w:val="es-419"/>
        </w:rPr>
        <w:t xml:space="preserve"> la reparación pecuniaria, las partes convienen constituir un Tribunal Arbitral </w:t>
      </w:r>
      <w:r w:rsidR="00932523" w:rsidRPr="00C6191A">
        <w:rPr>
          <w:i/>
          <w:iCs/>
          <w:sz w:val="20"/>
          <w:szCs w:val="20"/>
          <w:bdr w:val="none" w:sz="0" w:space="0" w:color="auto"/>
          <w:lang w:val="es-419"/>
        </w:rPr>
        <w:t>a</w:t>
      </w:r>
      <w:r w:rsidRPr="00C6191A">
        <w:rPr>
          <w:i/>
          <w:iCs/>
          <w:sz w:val="20"/>
          <w:szCs w:val="20"/>
          <w:bdr w:val="none" w:sz="0" w:space="0" w:color="auto"/>
          <w:lang w:val="es-419"/>
        </w:rPr>
        <w:t>d</w:t>
      </w:r>
      <w:r w:rsidR="00932523" w:rsidRPr="00C6191A">
        <w:rPr>
          <w:i/>
          <w:iCs/>
          <w:sz w:val="20"/>
          <w:szCs w:val="20"/>
          <w:bdr w:val="none" w:sz="0" w:space="0" w:color="auto"/>
          <w:lang w:val="es-419"/>
        </w:rPr>
        <w:t xml:space="preserve">-hoc </w:t>
      </w:r>
      <w:r w:rsidR="00932523" w:rsidRPr="00C6191A">
        <w:rPr>
          <w:sz w:val="20"/>
          <w:szCs w:val="20"/>
          <w:bdr w:val="none" w:sz="0" w:space="0" w:color="auto"/>
          <w:lang w:val="es-419"/>
        </w:rPr>
        <w:t xml:space="preserve">a efectos de que </w:t>
      </w:r>
      <w:r w:rsidRPr="00C6191A">
        <w:rPr>
          <w:sz w:val="20"/>
          <w:szCs w:val="20"/>
          <w:bdr w:val="none" w:sz="0" w:space="0" w:color="auto"/>
          <w:lang w:val="es-419"/>
        </w:rPr>
        <w:t>determine</w:t>
      </w:r>
      <w:r w:rsidR="00932523" w:rsidRPr="00C6191A">
        <w:rPr>
          <w:sz w:val="20"/>
          <w:szCs w:val="20"/>
          <w:bdr w:val="none" w:sz="0" w:space="0" w:color="auto"/>
          <w:lang w:val="es-419"/>
        </w:rPr>
        <w:t xml:space="preserve"> el monto de las reparaciones pecuniarias debidas al </w:t>
      </w:r>
      <w:r w:rsidRPr="00C6191A">
        <w:rPr>
          <w:sz w:val="20"/>
          <w:szCs w:val="20"/>
          <w:bdr w:val="none" w:sz="0" w:space="0" w:color="auto"/>
          <w:lang w:val="es-419"/>
        </w:rPr>
        <w:t>peticionario,</w:t>
      </w:r>
      <w:r w:rsidR="00932523" w:rsidRPr="00C6191A">
        <w:rPr>
          <w:sz w:val="20"/>
          <w:szCs w:val="20"/>
          <w:bdr w:val="none" w:sz="0" w:space="0" w:color="auto"/>
          <w:lang w:val="es-419"/>
        </w:rPr>
        <w:t xml:space="preserve"> así como las costas el proceso</w:t>
      </w:r>
      <w:r w:rsidRPr="00C6191A">
        <w:rPr>
          <w:sz w:val="20"/>
          <w:szCs w:val="20"/>
          <w:bdr w:val="none" w:sz="0" w:space="0" w:color="auto"/>
          <w:lang w:val="es-419"/>
        </w:rPr>
        <w:t>, tanto en el ámbito del proceso internacional como en el que se siga en el proceso arbitral</w:t>
      </w:r>
      <w:r w:rsidR="00932523" w:rsidRPr="00C6191A">
        <w:rPr>
          <w:sz w:val="20"/>
          <w:szCs w:val="20"/>
          <w:bdr w:val="none" w:sz="0" w:space="0" w:color="auto"/>
          <w:lang w:val="es-419"/>
        </w:rPr>
        <w:t xml:space="preserve">. El tribunal estará </w:t>
      </w:r>
      <w:r w:rsidRPr="00C6191A">
        <w:rPr>
          <w:sz w:val="20"/>
          <w:szCs w:val="20"/>
          <w:bdr w:val="none" w:sz="0" w:space="0" w:color="auto"/>
          <w:lang w:val="es-419"/>
        </w:rPr>
        <w:t>integrado</w:t>
      </w:r>
      <w:r w:rsidR="00932523" w:rsidRPr="00C6191A">
        <w:rPr>
          <w:sz w:val="20"/>
          <w:szCs w:val="20"/>
          <w:bdr w:val="none" w:sz="0" w:space="0" w:color="auto"/>
          <w:lang w:val="es-419"/>
        </w:rPr>
        <w:t xml:space="preserve"> por tres expertos/as </w:t>
      </w:r>
      <w:r w:rsidRPr="00C6191A">
        <w:rPr>
          <w:sz w:val="20"/>
          <w:szCs w:val="20"/>
          <w:bdr w:val="none" w:sz="0" w:space="0" w:color="auto"/>
          <w:lang w:val="es-419"/>
        </w:rPr>
        <w:t>i</w:t>
      </w:r>
      <w:r w:rsidR="00932523" w:rsidRPr="00C6191A">
        <w:rPr>
          <w:sz w:val="20"/>
          <w:szCs w:val="20"/>
          <w:bdr w:val="none" w:sz="0" w:space="0" w:color="auto"/>
          <w:lang w:val="es-419"/>
        </w:rPr>
        <w:t xml:space="preserve">ndependientes, uno designado a propuesta de la parte peticionaria, otro a </w:t>
      </w:r>
      <w:r w:rsidRPr="00C6191A">
        <w:rPr>
          <w:sz w:val="20"/>
          <w:szCs w:val="20"/>
          <w:bdr w:val="none" w:sz="0" w:space="0" w:color="auto"/>
          <w:lang w:val="es-419"/>
        </w:rPr>
        <w:t>propuesta</w:t>
      </w:r>
      <w:r w:rsidR="00932523" w:rsidRPr="00C6191A">
        <w:rPr>
          <w:sz w:val="20"/>
          <w:szCs w:val="20"/>
          <w:bdr w:val="none" w:sz="0" w:space="0" w:color="auto"/>
          <w:lang w:val="es-419"/>
        </w:rPr>
        <w:t xml:space="preserve"> del Estado, y el tercero a propuesta de los dos anteriores.  En tanto </w:t>
      </w:r>
      <w:r w:rsidRPr="00C6191A">
        <w:rPr>
          <w:sz w:val="20"/>
          <w:szCs w:val="20"/>
          <w:bdr w:val="none" w:sz="0" w:space="0" w:color="auto"/>
          <w:lang w:val="es-419"/>
        </w:rPr>
        <w:t xml:space="preserve">y en cuanto </w:t>
      </w:r>
      <w:r w:rsidR="00932523" w:rsidRPr="00C6191A">
        <w:rPr>
          <w:sz w:val="20"/>
          <w:szCs w:val="20"/>
          <w:bdr w:val="none" w:sz="0" w:space="0" w:color="auto"/>
          <w:lang w:val="es-419"/>
        </w:rPr>
        <w:t>las partes no hayan presentado objeciones a los/as expertos/as propuestos, el Tribunal quedar</w:t>
      </w:r>
      <w:r w:rsidR="00285D82" w:rsidRPr="00C6191A">
        <w:rPr>
          <w:sz w:val="20"/>
          <w:szCs w:val="20"/>
          <w:bdr w:val="none" w:sz="0" w:space="0" w:color="auto"/>
          <w:lang w:val="es-US"/>
        </w:rPr>
        <w:t xml:space="preserve">á </w:t>
      </w:r>
      <w:r w:rsidR="00932523" w:rsidRPr="00C6191A">
        <w:rPr>
          <w:sz w:val="20"/>
          <w:szCs w:val="20"/>
          <w:bdr w:val="none" w:sz="0" w:space="0" w:color="auto"/>
          <w:lang w:val="es-419"/>
        </w:rPr>
        <w:t>integrado, a m</w:t>
      </w:r>
      <w:r w:rsidR="00285D82" w:rsidRPr="00C6191A">
        <w:rPr>
          <w:sz w:val="20"/>
          <w:szCs w:val="20"/>
          <w:bdr w:val="none" w:sz="0" w:space="0" w:color="auto"/>
          <w:lang w:val="es-419"/>
        </w:rPr>
        <w:t>á</w:t>
      </w:r>
      <w:r w:rsidR="00932523" w:rsidRPr="00C6191A">
        <w:rPr>
          <w:sz w:val="20"/>
          <w:szCs w:val="20"/>
          <w:bdr w:val="none" w:sz="0" w:space="0" w:color="auto"/>
          <w:lang w:val="es-419"/>
        </w:rPr>
        <w:t xml:space="preserve">s tardar, dentro de los 45 </w:t>
      </w:r>
      <w:r w:rsidRPr="00C6191A">
        <w:rPr>
          <w:sz w:val="20"/>
          <w:szCs w:val="20"/>
          <w:bdr w:val="none" w:sz="0" w:space="0" w:color="auto"/>
          <w:lang w:val="es-419"/>
        </w:rPr>
        <w:t>días</w:t>
      </w:r>
      <w:r w:rsidR="00932523" w:rsidRPr="00C6191A">
        <w:rPr>
          <w:sz w:val="20"/>
          <w:szCs w:val="20"/>
          <w:bdr w:val="none" w:sz="0" w:space="0" w:color="auto"/>
          <w:lang w:val="es-419"/>
        </w:rPr>
        <w:t xml:space="preserve"> corridos siguientes a la publicación del Decreto del Poder Ejecutivo Nacional que apruebe el presente acuerdo. </w:t>
      </w:r>
      <w:r w:rsidRPr="00C6191A">
        <w:rPr>
          <w:sz w:val="20"/>
          <w:szCs w:val="20"/>
          <w:bdr w:val="none" w:sz="0" w:space="0" w:color="auto"/>
          <w:lang w:val="es-419"/>
        </w:rPr>
        <w:t>El procedimiento por aplicar</w:t>
      </w:r>
      <w:r w:rsidR="00932523" w:rsidRPr="00C6191A">
        <w:rPr>
          <w:sz w:val="20"/>
          <w:szCs w:val="20"/>
          <w:bdr w:val="none" w:sz="0" w:space="0" w:color="auto"/>
          <w:lang w:val="es-419"/>
        </w:rPr>
        <w:t xml:space="preserve"> será definido de común acuerdo entre las partes</w:t>
      </w:r>
      <w:r w:rsidRPr="00C6191A">
        <w:rPr>
          <w:sz w:val="20"/>
          <w:szCs w:val="20"/>
          <w:bdr w:val="none" w:sz="0" w:space="0" w:color="auto"/>
          <w:lang w:val="es-419"/>
        </w:rPr>
        <w:t>, quienes redactarán su reglamento, y</w:t>
      </w:r>
      <w:r w:rsidR="00932523" w:rsidRPr="00C6191A">
        <w:rPr>
          <w:sz w:val="20"/>
          <w:szCs w:val="20"/>
          <w:bdr w:val="none" w:sz="0" w:space="0" w:color="auto"/>
          <w:lang w:val="es-419"/>
        </w:rPr>
        <w:t xml:space="preserve"> los costos que demande la actuación de dicho tribunal serán solventados por el Estado. </w:t>
      </w:r>
      <w:r w:rsidRPr="00C6191A">
        <w:rPr>
          <w:sz w:val="20"/>
          <w:szCs w:val="20"/>
          <w:bdr w:val="none" w:sz="0" w:space="0" w:color="auto"/>
          <w:lang w:val="es-419"/>
        </w:rPr>
        <w:t>Asimismo,</w:t>
      </w:r>
      <w:r w:rsidR="00932523" w:rsidRPr="00C6191A">
        <w:rPr>
          <w:sz w:val="20"/>
          <w:szCs w:val="20"/>
          <w:bdr w:val="none" w:sz="0" w:space="0" w:color="auto"/>
          <w:lang w:val="es-419"/>
        </w:rPr>
        <w:t xml:space="preserve"> el laudo será definitivo e irrecurrible, salvo que se verifique alguno de los supuestos de nulidad contemplados en el </w:t>
      </w:r>
      <w:r w:rsidRPr="00C6191A">
        <w:rPr>
          <w:sz w:val="20"/>
          <w:szCs w:val="20"/>
          <w:bdr w:val="none" w:sz="0" w:space="0" w:color="auto"/>
          <w:lang w:val="es-419"/>
        </w:rPr>
        <w:t>artículo</w:t>
      </w:r>
      <w:r w:rsidR="00932523" w:rsidRPr="00C6191A">
        <w:rPr>
          <w:sz w:val="20"/>
          <w:szCs w:val="20"/>
          <w:bdr w:val="none" w:sz="0" w:space="0" w:color="auto"/>
          <w:lang w:val="es-419"/>
        </w:rPr>
        <w:t xml:space="preserve"> 760 del </w:t>
      </w:r>
      <w:r w:rsidRPr="00C6191A">
        <w:rPr>
          <w:sz w:val="20"/>
          <w:szCs w:val="20"/>
          <w:bdr w:val="none" w:sz="0" w:space="0" w:color="auto"/>
          <w:lang w:val="es-419"/>
        </w:rPr>
        <w:t>Código</w:t>
      </w:r>
      <w:r w:rsidR="00932523" w:rsidRPr="00C6191A">
        <w:rPr>
          <w:sz w:val="20"/>
          <w:szCs w:val="20"/>
          <w:bdr w:val="none" w:sz="0" w:space="0" w:color="auto"/>
          <w:lang w:val="es-419"/>
        </w:rPr>
        <w:t xml:space="preserve"> Procesal Civil y Comercial de la Nación, en cuyo caso procederá el recurso de nulidad ante el fuero en los Contencioso Administrativo Federal.</w:t>
      </w:r>
    </w:p>
    <w:p w14:paraId="7BE8CEAC" w14:textId="77777777" w:rsidR="00932523" w:rsidRPr="00C6191A" w:rsidRDefault="00932523" w:rsidP="00932523">
      <w:pPr>
        <w:tabs>
          <w:tab w:val="left" w:pos="0"/>
          <w:tab w:val="left" w:pos="567"/>
        </w:tabs>
        <w:ind w:left="360"/>
        <w:jc w:val="both"/>
        <w:rPr>
          <w:sz w:val="20"/>
          <w:szCs w:val="20"/>
          <w:lang w:val="es-419"/>
        </w:rPr>
      </w:pPr>
    </w:p>
    <w:p w14:paraId="75BCBC5C" w14:textId="187DC0E1" w:rsidR="00932523" w:rsidRPr="00C6191A" w:rsidRDefault="005E38FE" w:rsidP="009B18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419"/>
        </w:rPr>
      </w:pPr>
      <w:r w:rsidRPr="00C6191A">
        <w:rPr>
          <w:sz w:val="20"/>
          <w:szCs w:val="20"/>
          <w:lang w:val="es-419"/>
        </w:rPr>
        <w:t>E</w:t>
      </w:r>
      <w:r w:rsidR="00932523" w:rsidRPr="00C6191A">
        <w:rPr>
          <w:sz w:val="20"/>
          <w:szCs w:val="20"/>
          <w:lang w:val="es-419"/>
        </w:rPr>
        <w:t>l 24 de julio de 2023 mediante Decreto N</w:t>
      </w:r>
      <w:r w:rsidRPr="00C6191A">
        <w:rPr>
          <w:sz w:val="20"/>
          <w:szCs w:val="20"/>
          <w:lang w:val="es-419"/>
        </w:rPr>
        <w:t>o.</w:t>
      </w:r>
      <w:r w:rsidR="00932523" w:rsidRPr="00C6191A">
        <w:rPr>
          <w:sz w:val="20"/>
          <w:szCs w:val="20"/>
          <w:lang w:val="es-419"/>
        </w:rPr>
        <w:t xml:space="preserve"> 388 se aprobó el acuerdo de cumplimiento de recomendaciones celebrado el día 9 de agosto de 2022</w:t>
      </w:r>
      <w:r w:rsidR="001315A7" w:rsidRPr="00C6191A">
        <w:rPr>
          <w:sz w:val="20"/>
          <w:szCs w:val="20"/>
          <w:lang w:val="es-419"/>
        </w:rPr>
        <w:t>, el cual</w:t>
      </w:r>
      <w:r w:rsidR="00932523" w:rsidRPr="00C6191A">
        <w:rPr>
          <w:sz w:val="20"/>
          <w:szCs w:val="20"/>
          <w:lang w:val="es-419"/>
        </w:rPr>
        <w:t xml:space="preserve"> fue publicado en el </w:t>
      </w:r>
      <w:r w:rsidR="009B181A" w:rsidRPr="00C6191A">
        <w:rPr>
          <w:sz w:val="20"/>
          <w:szCs w:val="20"/>
          <w:lang w:val="es-419"/>
        </w:rPr>
        <w:t>Boletín</w:t>
      </w:r>
      <w:r w:rsidR="00932523" w:rsidRPr="00C6191A">
        <w:rPr>
          <w:sz w:val="20"/>
          <w:szCs w:val="20"/>
          <w:lang w:val="es-419"/>
        </w:rPr>
        <w:t xml:space="preserve"> Oficial el 25 de julio de 2023. </w:t>
      </w:r>
      <w:r w:rsidR="009B181A" w:rsidRPr="00C6191A">
        <w:rPr>
          <w:sz w:val="20"/>
          <w:szCs w:val="20"/>
          <w:lang w:val="es-419"/>
        </w:rPr>
        <w:t xml:space="preserve"> </w:t>
      </w:r>
    </w:p>
    <w:p w14:paraId="5CEBB5E5" w14:textId="77777777" w:rsidR="004D08E1" w:rsidRPr="00C6191A" w:rsidRDefault="004D08E1" w:rsidP="004D08E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419"/>
        </w:rPr>
      </w:pPr>
    </w:p>
    <w:p w14:paraId="68197BFE" w14:textId="77777777" w:rsidR="004D08E1" w:rsidRPr="00C6191A" w:rsidRDefault="004D08E1" w:rsidP="004D08E1">
      <w:pPr>
        <w:pStyle w:val="ListParagraph"/>
        <w:numPr>
          <w:ilvl w:val="0"/>
          <w:numId w:val="2"/>
        </w:numPr>
        <w:tabs>
          <w:tab w:val="left" w:pos="0"/>
        </w:tabs>
        <w:ind w:left="0" w:firstLine="0"/>
        <w:jc w:val="both"/>
        <w:rPr>
          <w:sz w:val="20"/>
          <w:szCs w:val="20"/>
          <w:bdr w:val="none" w:sz="0" w:space="0" w:color="auto"/>
          <w:lang w:val="es-419"/>
        </w:rPr>
      </w:pPr>
      <w:r w:rsidRPr="00C6191A">
        <w:rPr>
          <w:sz w:val="20"/>
          <w:szCs w:val="20"/>
          <w:bdr w:val="none" w:sz="0" w:space="0" w:color="auto"/>
          <w:lang w:val="es-419"/>
        </w:rPr>
        <w:t xml:space="preserve">Tras evaluar la información disponible sobre el estado de cumplimiento de las recomendaciones, la </w:t>
      </w:r>
      <w:r w:rsidRPr="00C6191A">
        <w:rPr>
          <w:sz w:val="20"/>
          <w:szCs w:val="20"/>
          <w:lang w:val="es-419"/>
        </w:rPr>
        <w:t xml:space="preserve">Comisión decidió el 17 de agosto de 2023 no enviar el caso a la Corte Interamericana y proceder hacia la publicación del informe de fondo según lo establecido en los artículos 51 de la Convención Americana y 47 del Reglamento de la CIDH. </w:t>
      </w:r>
    </w:p>
    <w:p w14:paraId="2B01334B" w14:textId="77777777" w:rsidR="004D08E1" w:rsidRPr="00C6191A" w:rsidRDefault="004D08E1" w:rsidP="004D08E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419"/>
        </w:rPr>
      </w:pPr>
    </w:p>
    <w:p w14:paraId="01BA6FC5" w14:textId="57195C68" w:rsidR="004D08E1" w:rsidRPr="00C6191A" w:rsidRDefault="004D08E1" w:rsidP="004D08E1">
      <w:pPr>
        <w:pStyle w:val="ListParagraph"/>
        <w:numPr>
          <w:ilvl w:val="0"/>
          <w:numId w:val="2"/>
        </w:numPr>
        <w:tabs>
          <w:tab w:val="left" w:pos="0"/>
        </w:tabs>
        <w:ind w:left="0" w:firstLine="0"/>
        <w:jc w:val="both"/>
        <w:rPr>
          <w:sz w:val="20"/>
          <w:szCs w:val="20"/>
          <w:lang w:val="es-419"/>
        </w:rPr>
      </w:pPr>
      <w:r w:rsidRPr="00C6191A">
        <w:rPr>
          <w:sz w:val="20"/>
          <w:szCs w:val="20"/>
          <w:lang w:val="es-419"/>
        </w:rPr>
        <w:t xml:space="preserve">La Comisión </w:t>
      </w:r>
      <w:r w:rsidRPr="00C6191A">
        <w:rPr>
          <w:sz w:val="20"/>
          <w:szCs w:val="20"/>
          <w:bdr w:val="none" w:sz="0" w:space="0" w:color="auto"/>
          <w:lang w:val="es-419"/>
        </w:rPr>
        <w:t>informó</w:t>
      </w:r>
      <w:r w:rsidRPr="00C6191A">
        <w:rPr>
          <w:sz w:val="20"/>
          <w:szCs w:val="20"/>
          <w:lang w:val="es-419"/>
        </w:rPr>
        <w:t xml:space="preserve"> a las partes que:</w:t>
      </w:r>
    </w:p>
    <w:p w14:paraId="336C0D26" w14:textId="77777777" w:rsidR="004D08E1" w:rsidRPr="00C6191A" w:rsidRDefault="004D08E1" w:rsidP="004D08E1">
      <w:pPr>
        <w:pStyle w:val="ListParagraph"/>
        <w:rPr>
          <w:sz w:val="20"/>
          <w:szCs w:val="20"/>
          <w:lang w:val="es-419"/>
        </w:rPr>
      </w:pPr>
    </w:p>
    <w:p w14:paraId="696A91A3" w14:textId="68EA2DC4" w:rsidR="004D08E1" w:rsidRPr="00C6191A" w:rsidRDefault="00862202" w:rsidP="00862202">
      <w:pPr>
        <w:pStyle w:val="ListParagraph"/>
        <w:tabs>
          <w:tab w:val="left" w:pos="0"/>
        </w:tabs>
        <w:ind w:right="720"/>
        <w:jc w:val="both"/>
        <w:rPr>
          <w:sz w:val="18"/>
          <w:szCs w:val="18"/>
          <w:lang w:val="es-419"/>
        </w:rPr>
      </w:pPr>
      <w:r w:rsidRPr="00C6191A">
        <w:rPr>
          <w:sz w:val="18"/>
          <w:szCs w:val="18"/>
          <w:lang w:val="es-US"/>
        </w:rPr>
        <w:t>Al examinar el caso, la Comisión evaluó los avances sustantivos en el cumplimiento integral de las recomendaciones del Informe de Fondo. En particular, la Comisión notó que las partes suscribieron un acuerdo de cumplimiento en el cual se convino constituir un Tribunal Arbitral a efectos de determinar el monto de las reparaciones pecuniarias. La Comisión también observó que, en el acuerdo se establece que éste deberá ser aprobado por un Decreto del Poder Ejecutivo Nacional e inmediatamente publicado en el Boletín Oficial de la República Argentina, luego de lo cual, según lo acordado por las partes, el Ministerio de Relaciones Exteriores, Comercio Internacional y Culto solicitaría a la CIDH la adopción del informe contemplado en el artículo 51 de la Convención Americana. En este sentido, la Comisión notó que el 24 de julio de 2023, se publicó en el Boletín Oficial el Decreto Presidencial de aprobación del acuerdo y que el 2 de agosto del año en curso, el Estado realizó la solicitud de proceder con la adopción del informe contemplado en el artículo 51 de la Convención. Dicha solicitud fue trasladada a la parte peticionaria sin que se obtuviesen observaciones durante el plazo otorgado.</w:t>
      </w:r>
    </w:p>
    <w:p w14:paraId="0B7228E3" w14:textId="77777777" w:rsidR="009B181A" w:rsidRPr="00C6191A" w:rsidRDefault="009B181A" w:rsidP="009B181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419"/>
        </w:rPr>
      </w:pPr>
    </w:p>
    <w:p w14:paraId="3E1B868D" w14:textId="7AEAFE70" w:rsidR="00932523" w:rsidRPr="00C6191A" w:rsidRDefault="00932523" w:rsidP="009B18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419"/>
        </w:rPr>
      </w:pPr>
      <w:r w:rsidRPr="00C6191A">
        <w:rPr>
          <w:sz w:val="20"/>
          <w:szCs w:val="20"/>
          <w:lang w:val="es-419"/>
        </w:rPr>
        <w:t>El 15 de noviembre de 2023 el Estado indic</w:t>
      </w:r>
      <w:r w:rsidR="009B181A" w:rsidRPr="00C6191A">
        <w:rPr>
          <w:sz w:val="20"/>
          <w:szCs w:val="20"/>
          <w:lang w:val="es-419"/>
        </w:rPr>
        <w:t>ó</w:t>
      </w:r>
      <w:r w:rsidRPr="00C6191A">
        <w:rPr>
          <w:sz w:val="20"/>
          <w:szCs w:val="20"/>
          <w:lang w:val="es-419"/>
        </w:rPr>
        <w:t xml:space="preserve"> que se </w:t>
      </w:r>
      <w:r w:rsidR="009B181A" w:rsidRPr="00C6191A">
        <w:rPr>
          <w:sz w:val="20"/>
          <w:szCs w:val="20"/>
          <w:lang w:val="es-419"/>
        </w:rPr>
        <w:t>remitió</w:t>
      </w:r>
      <w:r w:rsidRPr="00C6191A">
        <w:rPr>
          <w:sz w:val="20"/>
          <w:szCs w:val="20"/>
          <w:lang w:val="es-419"/>
        </w:rPr>
        <w:t xml:space="preserve"> a la parte peticionaria, para su </w:t>
      </w:r>
      <w:r w:rsidR="009B181A" w:rsidRPr="00C6191A">
        <w:rPr>
          <w:sz w:val="20"/>
          <w:szCs w:val="20"/>
          <w:lang w:val="es-419"/>
        </w:rPr>
        <w:t>consideración</w:t>
      </w:r>
      <w:r w:rsidRPr="00C6191A">
        <w:rPr>
          <w:sz w:val="20"/>
          <w:szCs w:val="20"/>
          <w:lang w:val="es-419"/>
        </w:rPr>
        <w:t>, el texto de la gacetilla para difusión del acuerdo de cumplimiento</w:t>
      </w:r>
      <w:r w:rsidR="009B181A" w:rsidRPr="00C6191A">
        <w:rPr>
          <w:sz w:val="20"/>
          <w:szCs w:val="20"/>
          <w:lang w:val="es-419"/>
        </w:rPr>
        <w:t xml:space="preserve"> de recomendaciones.</w:t>
      </w:r>
    </w:p>
    <w:p w14:paraId="67715113" w14:textId="77777777" w:rsidR="009B181A" w:rsidRPr="00C6191A" w:rsidRDefault="009B181A" w:rsidP="009B181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419"/>
        </w:rPr>
      </w:pPr>
    </w:p>
    <w:p w14:paraId="6E97D2D0" w14:textId="76DA9DE4" w:rsidR="00932523" w:rsidRPr="00C6191A" w:rsidRDefault="00932523" w:rsidP="009B18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419"/>
        </w:rPr>
      </w:pPr>
      <w:r w:rsidRPr="00C6191A">
        <w:rPr>
          <w:sz w:val="20"/>
          <w:szCs w:val="20"/>
          <w:lang w:val="es-419"/>
        </w:rPr>
        <w:t>E</w:t>
      </w:r>
      <w:r w:rsidR="001315A7" w:rsidRPr="00C6191A">
        <w:rPr>
          <w:sz w:val="20"/>
          <w:szCs w:val="20"/>
          <w:lang w:val="es-419"/>
        </w:rPr>
        <w:t xml:space="preserve">l </w:t>
      </w:r>
      <w:r w:rsidR="009B181A" w:rsidRPr="00C6191A">
        <w:rPr>
          <w:sz w:val="20"/>
          <w:szCs w:val="20"/>
          <w:lang w:val="es-419"/>
        </w:rPr>
        <w:t>6</w:t>
      </w:r>
      <w:r w:rsidRPr="00C6191A">
        <w:rPr>
          <w:sz w:val="20"/>
          <w:szCs w:val="20"/>
          <w:lang w:val="es-419"/>
        </w:rPr>
        <w:t xml:space="preserve"> de diciembre de 2023, el Estado </w:t>
      </w:r>
      <w:r w:rsidR="009B181A" w:rsidRPr="00C6191A">
        <w:rPr>
          <w:sz w:val="20"/>
          <w:szCs w:val="20"/>
          <w:lang w:val="es-419"/>
        </w:rPr>
        <w:t>remitió</w:t>
      </w:r>
      <w:r w:rsidRPr="00C6191A">
        <w:rPr>
          <w:sz w:val="20"/>
          <w:szCs w:val="20"/>
          <w:lang w:val="es-419"/>
        </w:rPr>
        <w:t xml:space="preserve"> anexos de la publicación del resumen consensuado con la Defensoría </w:t>
      </w:r>
      <w:r w:rsidR="009B181A" w:rsidRPr="00C6191A">
        <w:rPr>
          <w:sz w:val="20"/>
          <w:szCs w:val="20"/>
          <w:lang w:val="es-419"/>
        </w:rPr>
        <w:t>G</w:t>
      </w:r>
      <w:r w:rsidRPr="00C6191A">
        <w:rPr>
          <w:sz w:val="20"/>
          <w:szCs w:val="20"/>
          <w:lang w:val="es-419"/>
        </w:rPr>
        <w:t xml:space="preserve">eneral de la Provincia de Chubut, en el diario de circulación nacional Página 12 y en el diario Crónica de la Provincia </w:t>
      </w:r>
      <w:r w:rsidR="009B181A" w:rsidRPr="00C6191A">
        <w:rPr>
          <w:sz w:val="20"/>
          <w:szCs w:val="20"/>
          <w:lang w:val="es-419"/>
        </w:rPr>
        <w:t>de</w:t>
      </w:r>
      <w:r w:rsidRPr="00C6191A">
        <w:rPr>
          <w:sz w:val="20"/>
          <w:szCs w:val="20"/>
          <w:lang w:val="es-419"/>
        </w:rPr>
        <w:t xml:space="preserve"> Chubut, de</w:t>
      </w:r>
      <w:r w:rsidR="006706A1" w:rsidRPr="00C6191A">
        <w:rPr>
          <w:sz w:val="20"/>
          <w:szCs w:val="20"/>
          <w:lang w:val="es-419"/>
        </w:rPr>
        <w:t xml:space="preserve"> </w:t>
      </w:r>
      <w:r w:rsidRPr="00C6191A">
        <w:rPr>
          <w:sz w:val="20"/>
          <w:szCs w:val="20"/>
          <w:lang w:val="es-419"/>
        </w:rPr>
        <w:t>30 de noviembre de 2023.</w:t>
      </w:r>
    </w:p>
    <w:p w14:paraId="1939E83A" w14:textId="77777777" w:rsidR="009B181A" w:rsidRPr="00C6191A" w:rsidRDefault="009B181A" w:rsidP="009B181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lang w:val="es-419"/>
        </w:rPr>
      </w:pPr>
    </w:p>
    <w:p w14:paraId="5E6B37DB" w14:textId="68F29259" w:rsidR="00932523" w:rsidRPr="00C6191A" w:rsidRDefault="00932523" w:rsidP="009B18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419"/>
        </w:rPr>
      </w:pPr>
      <w:r w:rsidRPr="00C6191A">
        <w:rPr>
          <w:sz w:val="20"/>
          <w:szCs w:val="20"/>
          <w:lang w:val="es-419"/>
        </w:rPr>
        <w:t xml:space="preserve">La CIDH valora las medidas adoptadas por el Estado para alcanzar un acuerdo de cumplimiento de recomendaciones con la parte peticionaria. </w:t>
      </w:r>
      <w:r w:rsidR="00832C08" w:rsidRPr="00C6191A">
        <w:rPr>
          <w:sz w:val="20"/>
          <w:szCs w:val="20"/>
          <w:lang w:val="es-419"/>
        </w:rPr>
        <w:t>El Estado informó sobre cumplimiento de dicho acuerdo en los tres puntos señalados en el párrafo 1</w:t>
      </w:r>
      <w:r w:rsidR="00406347" w:rsidRPr="00C6191A">
        <w:rPr>
          <w:sz w:val="20"/>
          <w:szCs w:val="20"/>
          <w:lang w:val="es-419"/>
        </w:rPr>
        <w:t>08</w:t>
      </w:r>
      <w:r w:rsidR="00832C08" w:rsidRPr="00C6191A">
        <w:rPr>
          <w:sz w:val="20"/>
          <w:szCs w:val="20"/>
          <w:lang w:val="es-419"/>
        </w:rPr>
        <w:t xml:space="preserve"> incisos 1, 2 y 3. </w:t>
      </w:r>
      <w:r w:rsidR="00832C08" w:rsidRPr="00C6191A">
        <w:rPr>
          <w:i/>
          <w:iCs/>
          <w:sz w:val="20"/>
          <w:szCs w:val="20"/>
          <w:lang w:val="es-419"/>
        </w:rPr>
        <w:t>supra</w:t>
      </w:r>
      <w:r w:rsidR="00832C08" w:rsidRPr="00C6191A">
        <w:rPr>
          <w:sz w:val="20"/>
          <w:szCs w:val="20"/>
          <w:lang w:val="es-419"/>
        </w:rPr>
        <w:t xml:space="preserve">. En atención a ello, ambas partes solicitaron a la CIDH, a través del Ministerio de Relaciones Exteriores, Comercio Internacional y Culto, que emita el informe de fondo definitivo de acuerdo con el artículo 51 de la Convención Americana, oportunidad en la cual el acuerdo adquirirá plena virtualidad jurídica. </w:t>
      </w:r>
    </w:p>
    <w:p w14:paraId="09521923" w14:textId="77777777" w:rsidR="00881330" w:rsidRPr="00C6191A" w:rsidRDefault="00881330" w:rsidP="00881330">
      <w:pPr>
        <w:pStyle w:val="ListParagraph"/>
        <w:rPr>
          <w:sz w:val="20"/>
          <w:szCs w:val="20"/>
          <w:lang w:val="es-419"/>
        </w:rPr>
      </w:pPr>
    </w:p>
    <w:p w14:paraId="1BAF57D3" w14:textId="18BBD712" w:rsidR="00881330" w:rsidRPr="00C6191A" w:rsidRDefault="00881330" w:rsidP="009B18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lang w:val="es-419"/>
        </w:rPr>
      </w:pPr>
      <w:r w:rsidRPr="00C6191A">
        <w:rPr>
          <w:sz w:val="20"/>
          <w:szCs w:val="20"/>
          <w:lang w:val="es-419"/>
        </w:rPr>
        <w:t xml:space="preserve">En relación a la </w:t>
      </w:r>
      <w:r w:rsidRPr="00C6191A">
        <w:rPr>
          <w:b/>
          <w:bCs/>
          <w:sz w:val="20"/>
          <w:szCs w:val="20"/>
          <w:lang w:val="es-419"/>
        </w:rPr>
        <w:t>primera recomendación</w:t>
      </w:r>
      <w:r w:rsidRPr="00C6191A">
        <w:rPr>
          <w:sz w:val="20"/>
          <w:szCs w:val="20"/>
          <w:lang w:val="es-419"/>
        </w:rPr>
        <w:t xml:space="preserve">, </w:t>
      </w:r>
      <w:r w:rsidR="00F750B4" w:rsidRPr="00C6191A">
        <w:rPr>
          <w:sz w:val="20"/>
          <w:szCs w:val="20"/>
          <w:lang w:val="es-419"/>
        </w:rPr>
        <w:t xml:space="preserve">sin perjuicio del cumplimiento de las publicaciones acordadas en el Acuerdo de Cumplimiento </w:t>
      </w:r>
      <w:r w:rsidR="00406347" w:rsidRPr="00C6191A">
        <w:rPr>
          <w:sz w:val="20"/>
          <w:szCs w:val="20"/>
          <w:lang w:val="es-419"/>
        </w:rPr>
        <w:t xml:space="preserve">(párrafo 108 inciso 1 supra), </w:t>
      </w:r>
      <w:r w:rsidRPr="00C6191A">
        <w:rPr>
          <w:sz w:val="20"/>
          <w:szCs w:val="20"/>
          <w:lang w:val="es-419"/>
        </w:rPr>
        <w:t>la Comisión no</w:t>
      </w:r>
      <w:r w:rsidR="000832C8" w:rsidRPr="00C6191A">
        <w:rPr>
          <w:sz w:val="20"/>
          <w:szCs w:val="20"/>
          <w:lang w:val="es-419"/>
        </w:rPr>
        <w:t xml:space="preserve"> ha recibido información sobre la conformación del tribunal </w:t>
      </w:r>
      <w:r w:rsidR="00E95D2D" w:rsidRPr="00C6191A">
        <w:rPr>
          <w:sz w:val="20"/>
          <w:szCs w:val="20"/>
          <w:lang w:val="es-419"/>
        </w:rPr>
        <w:t xml:space="preserve">arbitral </w:t>
      </w:r>
      <w:r w:rsidR="000832C8" w:rsidRPr="00C6191A">
        <w:rPr>
          <w:sz w:val="20"/>
          <w:szCs w:val="20"/>
          <w:lang w:val="es-419"/>
        </w:rPr>
        <w:t xml:space="preserve">o </w:t>
      </w:r>
      <w:r w:rsidR="00140BBB" w:rsidRPr="00C6191A">
        <w:rPr>
          <w:sz w:val="20"/>
          <w:szCs w:val="20"/>
          <w:lang w:val="es-419"/>
        </w:rPr>
        <w:t>el laudo adoptado</w:t>
      </w:r>
      <w:r w:rsidR="000832C8" w:rsidRPr="00C6191A">
        <w:rPr>
          <w:sz w:val="20"/>
          <w:szCs w:val="20"/>
          <w:lang w:val="es-419"/>
        </w:rPr>
        <w:t xml:space="preserve"> so</w:t>
      </w:r>
      <w:r w:rsidR="002D1F79" w:rsidRPr="00C6191A">
        <w:rPr>
          <w:sz w:val="20"/>
          <w:szCs w:val="20"/>
          <w:lang w:val="es-419"/>
        </w:rPr>
        <w:t>bre el</w:t>
      </w:r>
      <w:r w:rsidR="00140BBB" w:rsidRPr="00C6191A">
        <w:rPr>
          <w:sz w:val="20"/>
          <w:szCs w:val="20"/>
          <w:lang w:val="es-419"/>
        </w:rPr>
        <w:t xml:space="preserve"> </w:t>
      </w:r>
      <w:r w:rsidR="002D1F79" w:rsidRPr="00C6191A">
        <w:rPr>
          <w:sz w:val="20"/>
          <w:szCs w:val="20"/>
          <w:lang w:val="es-419"/>
        </w:rPr>
        <w:t xml:space="preserve">monto </w:t>
      </w:r>
      <w:r w:rsidR="00140BBB" w:rsidRPr="00C6191A">
        <w:rPr>
          <w:sz w:val="20"/>
          <w:szCs w:val="20"/>
          <w:lang w:val="es-419"/>
        </w:rPr>
        <w:t>de las reparaciones pecuniarias</w:t>
      </w:r>
      <w:r w:rsidR="00E95D2D" w:rsidRPr="00C6191A">
        <w:rPr>
          <w:sz w:val="20"/>
          <w:szCs w:val="20"/>
          <w:lang w:val="es-419"/>
        </w:rPr>
        <w:t>, ni el pago de las mismas</w:t>
      </w:r>
      <w:r w:rsidR="007E3BAE" w:rsidRPr="00C6191A">
        <w:rPr>
          <w:sz w:val="20"/>
          <w:szCs w:val="20"/>
          <w:lang w:val="es-419"/>
        </w:rPr>
        <w:t xml:space="preserve">. Por lo tanto, el Estado </w:t>
      </w:r>
      <w:r w:rsidR="00E95D2D" w:rsidRPr="00C6191A">
        <w:rPr>
          <w:sz w:val="20"/>
          <w:szCs w:val="20"/>
          <w:lang w:val="es-419"/>
        </w:rPr>
        <w:t>ha dado cumplimiento parcial a esta reparación</w:t>
      </w:r>
      <w:r w:rsidR="007E3BAE" w:rsidRPr="00C6191A">
        <w:rPr>
          <w:sz w:val="20"/>
          <w:szCs w:val="20"/>
          <w:lang w:val="es-419"/>
        </w:rPr>
        <w:t>.</w:t>
      </w:r>
    </w:p>
    <w:p w14:paraId="57E745E5" w14:textId="77777777" w:rsidR="009C1089" w:rsidRPr="00C6191A" w:rsidRDefault="009C1089" w:rsidP="009C1089">
      <w:pPr>
        <w:pStyle w:val="ListParagraph"/>
        <w:rPr>
          <w:sz w:val="20"/>
          <w:szCs w:val="20"/>
          <w:lang w:val="es-419"/>
        </w:rPr>
      </w:pPr>
    </w:p>
    <w:p w14:paraId="6C7BD2E2" w14:textId="00B8745D" w:rsidR="00D12F4B" w:rsidRPr="00C6191A" w:rsidRDefault="009C1089" w:rsidP="00575C6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Arial Unicode MS" w:cs="Verdana"/>
          <w:sz w:val="20"/>
          <w:szCs w:val="20"/>
          <w:lang w:val="es-US" w:bidi="en-US"/>
        </w:rPr>
      </w:pPr>
      <w:r w:rsidRPr="00C6191A">
        <w:rPr>
          <w:sz w:val="20"/>
          <w:szCs w:val="20"/>
          <w:lang w:val="es-419"/>
        </w:rPr>
        <w:t xml:space="preserve">En relación a la </w:t>
      </w:r>
      <w:r w:rsidRPr="00C6191A">
        <w:rPr>
          <w:b/>
          <w:bCs/>
          <w:sz w:val="20"/>
          <w:szCs w:val="20"/>
          <w:lang w:val="es-419"/>
        </w:rPr>
        <w:t>segunda recomendación</w:t>
      </w:r>
      <w:r w:rsidRPr="00C6191A">
        <w:rPr>
          <w:sz w:val="20"/>
          <w:szCs w:val="20"/>
          <w:lang w:val="es-419"/>
        </w:rPr>
        <w:t xml:space="preserve">, la Comisión nota que </w:t>
      </w:r>
      <w:r w:rsidR="00E95D2D" w:rsidRPr="00C6191A">
        <w:rPr>
          <w:sz w:val="20"/>
          <w:szCs w:val="20"/>
          <w:bdr w:val="none" w:sz="0" w:space="0" w:color="auto"/>
          <w:lang w:val="es-419"/>
        </w:rPr>
        <w:t xml:space="preserve">no es voluntad de la víctima volver a someter su caso al ámbito de la justicia, toda vez que resultaría revictimizante. Asimismo, nota que ante su solicitud </w:t>
      </w:r>
      <w:r w:rsidR="006360F8" w:rsidRPr="00C6191A">
        <w:rPr>
          <w:sz w:val="20"/>
          <w:szCs w:val="20"/>
          <w:bdr w:val="none" w:sz="0" w:space="0" w:color="auto"/>
          <w:lang w:val="es-419"/>
        </w:rPr>
        <w:t xml:space="preserve">de </w:t>
      </w:r>
      <w:r w:rsidR="00E95D2D" w:rsidRPr="00C6191A">
        <w:rPr>
          <w:sz w:val="20"/>
          <w:szCs w:val="20"/>
          <w:bdr w:val="none" w:sz="0" w:space="0" w:color="auto"/>
          <w:lang w:val="es-419"/>
        </w:rPr>
        <w:t xml:space="preserve">que se arbitraran los medios para que no exista ningún tipo de registro de antecedentes penales, ni en el ámbito local ni nacional, a su respecto, vinculados con el caso </w:t>
      </w:r>
      <w:r w:rsidR="006360F8" w:rsidRPr="00C6191A">
        <w:rPr>
          <w:sz w:val="20"/>
          <w:szCs w:val="20"/>
          <w:bdr w:val="none" w:sz="0" w:space="0" w:color="auto"/>
          <w:lang w:val="es-419"/>
        </w:rPr>
        <w:t xml:space="preserve">el Estado informó que </w:t>
      </w:r>
      <w:r w:rsidR="00E95D2D" w:rsidRPr="00C6191A">
        <w:rPr>
          <w:sz w:val="20"/>
          <w:szCs w:val="20"/>
          <w:bdr w:val="none" w:sz="0" w:space="0" w:color="auto"/>
          <w:lang w:val="es-419"/>
        </w:rPr>
        <w:t>Diego Armando Pacheco no posee antecedentes registrados</w:t>
      </w:r>
      <w:r w:rsidR="006360F8" w:rsidRPr="00C6191A">
        <w:rPr>
          <w:sz w:val="20"/>
          <w:szCs w:val="20"/>
          <w:bdr w:val="none" w:sz="0" w:space="0" w:color="auto"/>
          <w:lang w:val="es-419"/>
        </w:rPr>
        <w:t xml:space="preserve"> a nivel </w:t>
      </w:r>
      <w:r w:rsidR="009169F5" w:rsidRPr="00C6191A">
        <w:rPr>
          <w:sz w:val="20"/>
          <w:szCs w:val="20"/>
          <w:bdr w:val="none" w:sz="0" w:space="0" w:color="auto"/>
          <w:lang w:val="es-419"/>
        </w:rPr>
        <w:t>local ni nacional.</w:t>
      </w:r>
      <w:r w:rsidR="00D12F4B" w:rsidRPr="00C6191A">
        <w:rPr>
          <w:rFonts w:eastAsia="Arial Unicode MS" w:cs="Verdana"/>
          <w:sz w:val="20"/>
          <w:szCs w:val="20"/>
          <w:lang w:val="es-ES_tradnl" w:bidi="en-US"/>
        </w:rPr>
        <w:t xml:space="preserve"> </w:t>
      </w:r>
      <w:r w:rsidR="0013032B" w:rsidRPr="00C6191A">
        <w:rPr>
          <w:rFonts w:eastAsia="Arial Unicode MS" w:cs="Verdana"/>
          <w:sz w:val="20"/>
          <w:szCs w:val="20"/>
          <w:lang w:val="es-ES_tradnl" w:bidi="en-US"/>
        </w:rPr>
        <w:t xml:space="preserve">En vista de esto, </w:t>
      </w:r>
      <w:r w:rsidR="00D12F4B" w:rsidRPr="00C6191A">
        <w:rPr>
          <w:rFonts w:eastAsia="Arial Unicode MS" w:cs="Verdana"/>
          <w:sz w:val="20"/>
          <w:szCs w:val="20"/>
          <w:lang w:val="es-ES_tradnl" w:bidi="en-US"/>
        </w:rPr>
        <w:t>la Comisión considera que el Estado no requiere impulsar otras acciones encaminadas a</w:t>
      </w:r>
      <w:r w:rsidR="0013032B" w:rsidRPr="00C6191A">
        <w:rPr>
          <w:rFonts w:eastAsia="Arial Unicode MS" w:cs="Verdana"/>
          <w:sz w:val="20"/>
          <w:szCs w:val="20"/>
          <w:lang w:val="es-ES_tradnl" w:bidi="en-US"/>
        </w:rPr>
        <w:t>l</w:t>
      </w:r>
      <w:r w:rsidR="00D12F4B" w:rsidRPr="00C6191A">
        <w:rPr>
          <w:rFonts w:eastAsia="Arial Unicode MS" w:cs="Verdana"/>
          <w:sz w:val="20"/>
          <w:szCs w:val="20"/>
          <w:lang w:val="es-ES_tradnl" w:bidi="en-US"/>
        </w:rPr>
        <w:t xml:space="preserve"> cumplimiento</w:t>
      </w:r>
      <w:r w:rsidR="0013032B" w:rsidRPr="00C6191A">
        <w:rPr>
          <w:rFonts w:eastAsia="Arial Unicode MS" w:cs="Verdana"/>
          <w:sz w:val="20"/>
          <w:szCs w:val="20"/>
          <w:lang w:val="es-ES_tradnl" w:bidi="en-US"/>
        </w:rPr>
        <w:t xml:space="preserve"> de esta recomendación</w:t>
      </w:r>
      <w:r w:rsidR="00D12F4B" w:rsidRPr="00C6191A">
        <w:rPr>
          <w:rFonts w:eastAsia="Arial Unicode MS" w:cs="Verdana"/>
          <w:sz w:val="20"/>
          <w:szCs w:val="20"/>
          <w:lang w:val="es-ES_tradnl" w:bidi="en-US"/>
        </w:rPr>
        <w:t>. C</w:t>
      </w:r>
      <w:r w:rsidR="0013032B" w:rsidRPr="00C6191A">
        <w:rPr>
          <w:rFonts w:eastAsia="Arial Unicode MS" w:cs="Verdana"/>
          <w:sz w:val="20"/>
          <w:szCs w:val="20"/>
          <w:lang w:val="es-US" w:bidi="en-US"/>
        </w:rPr>
        <w:t>onsecuentemente</w:t>
      </w:r>
      <w:r w:rsidR="00D12F4B" w:rsidRPr="00C6191A">
        <w:rPr>
          <w:rFonts w:eastAsia="Arial Unicode MS" w:cs="Verdana"/>
          <w:sz w:val="20"/>
          <w:szCs w:val="20"/>
          <w:lang w:val="es-US" w:bidi="en-US"/>
        </w:rPr>
        <w:t>, en vista de lo solicitado por las partes y teniendo en cuenta la naturaleza de la violación, en las circunstancias de este caso, no se realizará seguimiento a esta recomendación</w:t>
      </w:r>
      <w:r w:rsidR="00575C67" w:rsidRPr="00C6191A">
        <w:rPr>
          <w:rFonts w:eastAsia="Arial Unicode MS" w:cs="Verdana"/>
          <w:sz w:val="20"/>
          <w:szCs w:val="20"/>
          <w:lang w:val="es-US" w:bidi="en-US"/>
        </w:rPr>
        <w:t>.</w:t>
      </w:r>
    </w:p>
    <w:p w14:paraId="306A6D19" w14:textId="77777777" w:rsidR="00DE0637" w:rsidRPr="00C6191A" w:rsidRDefault="00DE0637" w:rsidP="00DE0637">
      <w:pPr>
        <w:pStyle w:val="ListParagraph"/>
        <w:rPr>
          <w:rFonts w:eastAsia="Arial Unicode MS" w:cs="Verdana"/>
          <w:sz w:val="20"/>
          <w:szCs w:val="20"/>
          <w:lang w:val="es-US" w:bidi="en-US"/>
        </w:rPr>
      </w:pPr>
    </w:p>
    <w:p w14:paraId="407DAD34" w14:textId="5BE6A777" w:rsidR="00DE0637" w:rsidRPr="001C7829" w:rsidRDefault="00DE0637" w:rsidP="00575C6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Arial Unicode MS" w:cs="Verdana"/>
          <w:sz w:val="20"/>
          <w:szCs w:val="20"/>
          <w:lang w:val="es-US" w:bidi="en-US"/>
        </w:rPr>
      </w:pPr>
      <w:r w:rsidRPr="00C6191A">
        <w:rPr>
          <w:sz w:val="20"/>
          <w:szCs w:val="20"/>
          <w:lang w:val="es-419"/>
        </w:rPr>
        <w:t xml:space="preserve">En relación a la </w:t>
      </w:r>
      <w:r w:rsidRPr="00C6191A">
        <w:rPr>
          <w:b/>
          <w:bCs/>
          <w:sz w:val="20"/>
          <w:szCs w:val="20"/>
          <w:lang w:val="es-419"/>
        </w:rPr>
        <w:t>tercera recomendación</w:t>
      </w:r>
      <w:r w:rsidRPr="00C6191A">
        <w:rPr>
          <w:sz w:val="20"/>
          <w:szCs w:val="20"/>
          <w:lang w:val="es-419"/>
        </w:rPr>
        <w:t>, la Comisión nota que</w:t>
      </w:r>
      <w:r w:rsidR="00605211" w:rsidRPr="00C6191A">
        <w:rPr>
          <w:sz w:val="20"/>
          <w:szCs w:val="20"/>
          <w:lang w:val="es-419"/>
        </w:rPr>
        <w:t xml:space="preserve"> </w:t>
      </w:r>
      <w:r w:rsidR="00605211" w:rsidRPr="00C6191A">
        <w:rPr>
          <w:sz w:val="20"/>
          <w:szCs w:val="20"/>
          <w:bdr w:val="none" w:sz="0" w:space="0" w:color="auto"/>
          <w:lang w:val="es-419"/>
        </w:rPr>
        <w:t>desde 2005 se encuentra vigente el nuevo Código de Procedimiento Penal de la Provincia de Chubut (LEY XV N°9) que prevé, en el libro V, las reglas especial para niños y adolescentes, que establecen características del proceso diferenciado para las personas menores de edad</w:t>
      </w:r>
      <w:r w:rsidR="00420D2D" w:rsidRPr="00C6191A">
        <w:rPr>
          <w:sz w:val="20"/>
          <w:szCs w:val="20"/>
          <w:bdr w:val="none" w:sz="0" w:space="0" w:color="auto"/>
          <w:lang w:val="es-419"/>
        </w:rPr>
        <w:t xml:space="preserve"> por lo que las partes indicaron que este punto no requiere ser materia d</w:t>
      </w:r>
      <w:r w:rsidR="00605211" w:rsidRPr="00C6191A">
        <w:rPr>
          <w:sz w:val="20"/>
          <w:szCs w:val="20"/>
          <w:bdr w:val="none" w:sz="0" w:space="0" w:color="auto"/>
          <w:lang w:val="es-419"/>
        </w:rPr>
        <w:t xml:space="preserve">el </w:t>
      </w:r>
      <w:r w:rsidR="00420D2D" w:rsidRPr="00C6191A">
        <w:rPr>
          <w:sz w:val="20"/>
          <w:szCs w:val="20"/>
          <w:bdr w:val="none" w:sz="0" w:space="0" w:color="auto"/>
          <w:lang w:val="es-419"/>
        </w:rPr>
        <w:t>Acuerdo de Cumplimiento.</w:t>
      </w:r>
      <w:r w:rsidR="00EF36D9" w:rsidRPr="00C6191A">
        <w:rPr>
          <w:rFonts w:eastAsia="Arial Unicode MS" w:cs="Verdana"/>
          <w:sz w:val="20"/>
          <w:szCs w:val="20"/>
          <w:lang w:val="es-ES_tradnl" w:bidi="en-US"/>
        </w:rPr>
        <w:t xml:space="preserve"> En vista de esto, la Comisión </w:t>
      </w:r>
      <w:r w:rsidR="000468E5" w:rsidRPr="00C6191A">
        <w:rPr>
          <w:rFonts w:eastAsia="Arial Unicode MS" w:cs="Verdana"/>
          <w:sz w:val="20"/>
          <w:szCs w:val="20"/>
          <w:lang w:val="es-ES_tradnl" w:bidi="en-US"/>
        </w:rPr>
        <w:t>nota</w:t>
      </w:r>
      <w:r w:rsidR="00EF36D9" w:rsidRPr="00C6191A">
        <w:rPr>
          <w:rFonts w:eastAsia="Arial Unicode MS" w:cs="Verdana"/>
          <w:sz w:val="20"/>
          <w:szCs w:val="20"/>
          <w:lang w:val="es-ES_tradnl" w:bidi="en-US"/>
        </w:rPr>
        <w:t xml:space="preserve"> que</w:t>
      </w:r>
      <w:r w:rsidR="00B82BF9" w:rsidRPr="00C6191A">
        <w:rPr>
          <w:rFonts w:eastAsia="Arial Unicode MS" w:cs="Verdana"/>
          <w:sz w:val="20"/>
          <w:szCs w:val="20"/>
          <w:lang w:val="es-ES_tradnl" w:bidi="en-US"/>
        </w:rPr>
        <w:t xml:space="preserve"> el Código Procesal Penal de</w:t>
      </w:r>
      <w:r w:rsidR="00EF36D9" w:rsidRPr="00C6191A">
        <w:rPr>
          <w:rFonts w:eastAsia="Arial Unicode MS" w:cs="Verdana"/>
          <w:sz w:val="20"/>
          <w:szCs w:val="20"/>
          <w:lang w:val="es-ES_tradnl" w:bidi="en-US"/>
        </w:rPr>
        <w:t xml:space="preserve"> </w:t>
      </w:r>
      <w:r w:rsidR="00EC5EA6" w:rsidRPr="00C6191A">
        <w:rPr>
          <w:rFonts w:eastAsia="Arial Unicode MS" w:cs="Verdana"/>
          <w:sz w:val="20"/>
          <w:szCs w:val="20"/>
          <w:lang w:val="es-ES_tradnl" w:bidi="en-US"/>
        </w:rPr>
        <w:t>la Provincia de Chubut</w:t>
      </w:r>
      <w:r w:rsidR="003F4D17" w:rsidRPr="00C6191A">
        <w:rPr>
          <w:rStyle w:val="FootnoteReference"/>
          <w:sz w:val="20"/>
          <w:szCs w:val="20"/>
          <w:bdr w:val="none" w:sz="0" w:space="0" w:color="auto"/>
          <w:lang w:val="es-419"/>
        </w:rPr>
        <w:footnoteReference w:id="96"/>
      </w:r>
      <w:r w:rsidR="00EC5EA6" w:rsidRPr="00C6191A">
        <w:rPr>
          <w:rFonts w:eastAsia="Arial Unicode MS" w:cs="Verdana"/>
          <w:sz w:val="20"/>
          <w:szCs w:val="20"/>
          <w:lang w:val="es-ES_tradnl" w:bidi="en-US"/>
        </w:rPr>
        <w:t xml:space="preserve"> </w:t>
      </w:r>
      <w:r w:rsidR="00EF36D9" w:rsidRPr="00C6191A">
        <w:rPr>
          <w:rFonts w:eastAsia="Arial Unicode MS" w:cs="Verdana"/>
          <w:sz w:val="20"/>
          <w:szCs w:val="20"/>
          <w:lang w:val="es-ES_tradnl" w:bidi="en-US"/>
        </w:rPr>
        <w:t>cue</w:t>
      </w:r>
      <w:r w:rsidR="00B464EE" w:rsidRPr="00C6191A">
        <w:rPr>
          <w:rFonts w:eastAsia="Arial Unicode MS" w:cs="Verdana"/>
          <w:sz w:val="20"/>
          <w:szCs w:val="20"/>
          <w:lang w:val="es-ES_tradnl" w:bidi="en-US"/>
        </w:rPr>
        <w:t>n</w:t>
      </w:r>
      <w:r w:rsidR="00EF36D9" w:rsidRPr="00C6191A">
        <w:rPr>
          <w:rFonts w:eastAsia="Arial Unicode MS" w:cs="Verdana"/>
          <w:sz w:val="20"/>
          <w:szCs w:val="20"/>
          <w:lang w:val="es-ES_tradnl" w:bidi="en-US"/>
        </w:rPr>
        <w:t>ta</w:t>
      </w:r>
      <w:r w:rsidR="00B464EE" w:rsidRPr="00C6191A">
        <w:rPr>
          <w:rFonts w:eastAsia="Arial Unicode MS" w:cs="Verdana"/>
          <w:sz w:val="20"/>
          <w:szCs w:val="20"/>
          <w:lang w:val="es-ES_tradnl" w:bidi="en-US"/>
        </w:rPr>
        <w:t xml:space="preserve"> </w:t>
      </w:r>
      <w:r w:rsidR="00B82BF9" w:rsidRPr="00C6191A">
        <w:rPr>
          <w:rFonts w:eastAsia="Arial Unicode MS" w:cs="Verdana"/>
          <w:sz w:val="20"/>
          <w:szCs w:val="20"/>
          <w:lang w:val="es-ES_tradnl" w:bidi="en-US"/>
        </w:rPr>
        <w:t>con reglas especiales para el juzgamiento de niños y adolescentes</w:t>
      </w:r>
      <w:r w:rsidR="003F4D17" w:rsidRPr="00C6191A">
        <w:rPr>
          <w:rFonts w:eastAsia="Arial Unicode MS" w:cs="Verdana"/>
          <w:sz w:val="20"/>
          <w:szCs w:val="20"/>
          <w:lang w:val="es-ES_tradnl" w:bidi="en-US"/>
        </w:rPr>
        <w:t xml:space="preserve">, </w:t>
      </w:r>
      <w:r w:rsidR="00FD2A89" w:rsidRPr="00C6191A">
        <w:rPr>
          <w:rFonts w:eastAsia="Arial Unicode MS" w:cs="Verdana"/>
          <w:sz w:val="20"/>
          <w:szCs w:val="20"/>
          <w:lang w:val="es-ES_tradnl" w:bidi="en-US"/>
        </w:rPr>
        <w:t xml:space="preserve">que </w:t>
      </w:r>
      <w:r w:rsidR="00D44BA5" w:rsidRPr="00C6191A">
        <w:rPr>
          <w:rFonts w:eastAsia="Arial Unicode MS" w:cs="Verdana"/>
          <w:sz w:val="20"/>
          <w:szCs w:val="20"/>
          <w:lang w:val="es-ES_tradnl" w:bidi="en-US"/>
        </w:rPr>
        <w:t xml:space="preserve">permite </w:t>
      </w:r>
      <w:r w:rsidR="004716C8" w:rsidRPr="00C6191A">
        <w:rPr>
          <w:sz w:val="20"/>
          <w:szCs w:val="20"/>
          <w:lang w:val="es-419"/>
        </w:rPr>
        <w:t>asegurar que los adolescentes de entre 16 y 18 años en conflicto con la ley penal sean juzgados en procesos diferenciados a aquellos destinados para los adultos</w:t>
      </w:r>
      <w:r w:rsidR="001B4C92" w:rsidRPr="00C6191A">
        <w:rPr>
          <w:sz w:val="20"/>
          <w:szCs w:val="20"/>
          <w:lang w:val="es-419"/>
        </w:rPr>
        <w:t>.</w:t>
      </w:r>
      <w:r w:rsidR="007C7441" w:rsidRPr="00C6191A">
        <w:rPr>
          <w:sz w:val="20"/>
          <w:szCs w:val="20"/>
          <w:lang w:val="es-419"/>
        </w:rPr>
        <w:t xml:space="preserve"> </w:t>
      </w:r>
      <w:r w:rsidR="007C7441" w:rsidRPr="00C6191A">
        <w:rPr>
          <w:rFonts w:eastAsia="Arial Unicode MS" w:cs="Verdana"/>
          <w:sz w:val="20"/>
          <w:szCs w:val="20"/>
          <w:lang w:val="es-ES_tradnl" w:bidi="en-US"/>
        </w:rPr>
        <w:t>En vista de esto, la Comisión considera que el Estado no requiere impulsar otras acciones encaminadas al cumplimiento de esta recomendación y no se realizará seguimiento a esta recomendación.</w:t>
      </w:r>
    </w:p>
    <w:p w14:paraId="091B5595" w14:textId="77777777" w:rsidR="001C7829" w:rsidRPr="001C7829" w:rsidRDefault="001C7829" w:rsidP="001C7829">
      <w:pPr>
        <w:pStyle w:val="ListParagraph"/>
        <w:rPr>
          <w:rFonts w:eastAsia="Arial Unicode MS" w:cs="Verdana"/>
          <w:sz w:val="20"/>
          <w:szCs w:val="20"/>
          <w:lang w:val="es-US" w:bidi="en-US"/>
        </w:rPr>
      </w:pPr>
    </w:p>
    <w:p w14:paraId="21C0D56D" w14:textId="7F7187D9" w:rsidR="001C7829" w:rsidRPr="00CF40FE" w:rsidRDefault="001C7829" w:rsidP="006C6B75">
      <w:pPr>
        <w:pStyle w:val="Heading1"/>
        <w:numPr>
          <w:ilvl w:val="0"/>
          <w:numId w:val="6"/>
        </w:numPr>
        <w:ind w:left="0" w:firstLine="0"/>
        <w:rPr>
          <w:color w:val="auto"/>
          <w:lang w:val="es-VE"/>
        </w:rPr>
      </w:pPr>
      <w:bookmarkStart w:id="74" w:name="_Toc83747595"/>
      <w:bookmarkStart w:id="75" w:name="_Toc194050570"/>
      <w:bookmarkStart w:id="76" w:name="_Toc203382216"/>
      <w:r w:rsidRPr="00CF40FE">
        <w:rPr>
          <w:color w:val="auto"/>
          <w:lang w:val="es-VE"/>
        </w:rPr>
        <w:t>ACTUACIONES POSTERIORES AL INFORME No. 70/25 E INFORMACIÓN SOBRE CUMPLIMIENTO</w:t>
      </w:r>
      <w:bookmarkEnd w:id="74"/>
      <w:bookmarkEnd w:id="75"/>
      <w:bookmarkEnd w:id="76"/>
    </w:p>
    <w:p w14:paraId="7DC885B8" w14:textId="77777777" w:rsidR="001C7829" w:rsidRPr="00CF40FE" w:rsidRDefault="001C7829" w:rsidP="001C782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10BEDCDB" w14:textId="097214E9" w:rsidR="001C7829" w:rsidRPr="00CF40FE" w:rsidRDefault="001C7829" w:rsidP="00C21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cs="Verdana"/>
          <w:sz w:val="20"/>
          <w:szCs w:val="20"/>
          <w:lang w:val="es-US" w:bidi="en-US"/>
        </w:rPr>
      </w:pPr>
      <w:r w:rsidRPr="00CF40FE">
        <w:rPr>
          <w:sz w:val="20"/>
          <w:szCs w:val="20"/>
          <w:lang w:val="es-419"/>
        </w:rPr>
        <w:t>El</w:t>
      </w:r>
      <w:r w:rsidRPr="00CF40FE">
        <w:rPr>
          <w:rFonts w:cs="Verdana"/>
          <w:sz w:val="20"/>
          <w:szCs w:val="20"/>
          <w:lang w:val="es-US" w:bidi="en-US"/>
        </w:rPr>
        <w:t xml:space="preserve"> 1 de mayo de 2025 </w:t>
      </w:r>
      <w:r w:rsidRPr="00CF40FE">
        <w:rPr>
          <w:sz w:val="20"/>
          <w:szCs w:val="20"/>
          <w:lang w:val="es-VE"/>
        </w:rPr>
        <w:t>la</w:t>
      </w:r>
      <w:r w:rsidRPr="00CF40FE">
        <w:rPr>
          <w:rFonts w:cs="Verdana"/>
          <w:sz w:val="20"/>
          <w:szCs w:val="20"/>
          <w:lang w:val="es-US" w:bidi="en-US"/>
        </w:rPr>
        <w:t xml:space="preserve"> Comisión adoptó el Informe de </w:t>
      </w:r>
      <w:r w:rsidR="00834AA6" w:rsidRPr="00CF40FE">
        <w:rPr>
          <w:rFonts w:cs="Verdana"/>
          <w:sz w:val="20"/>
          <w:szCs w:val="20"/>
          <w:lang w:val="es-US" w:bidi="en-US"/>
        </w:rPr>
        <w:t xml:space="preserve">Admisibilidad y </w:t>
      </w:r>
      <w:r w:rsidRPr="00CF40FE">
        <w:rPr>
          <w:rFonts w:cs="Verdana"/>
          <w:sz w:val="20"/>
          <w:szCs w:val="20"/>
          <w:lang w:val="es-US" w:bidi="en-US"/>
        </w:rPr>
        <w:t xml:space="preserve">Fondo </w:t>
      </w:r>
      <w:r w:rsidR="00834AA6" w:rsidRPr="00CF40FE">
        <w:rPr>
          <w:rFonts w:cs="Verdana"/>
          <w:sz w:val="20"/>
          <w:szCs w:val="20"/>
          <w:lang w:val="es-US" w:bidi="en-US"/>
        </w:rPr>
        <w:t xml:space="preserve">(Final) </w:t>
      </w:r>
      <w:r w:rsidRPr="00CF40FE">
        <w:rPr>
          <w:rFonts w:cs="Verdana"/>
          <w:sz w:val="20"/>
          <w:szCs w:val="20"/>
          <w:lang w:val="es-US" w:bidi="en-US"/>
        </w:rPr>
        <w:t>No. 70</w:t>
      </w:r>
      <w:r w:rsidRPr="00CF40FE">
        <w:rPr>
          <w:sz w:val="20"/>
          <w:szCs w:val="20"/>
          <w:lang w:val="es-VE"/>
        </w:rPr>
        <w:t>/</w:t>
      </w:r>
      <w:r w:rsidRPr="00CF40FE">
        <w:rPr>
          <w:rFonts w:cs="Verdana"/>
          <w:sz w:val="20"/>
          <w:szCs w:val="20"/>
          <w:lang w:val="es-US" w:bidi="en-US"/>
        </w:rPr>
        <w:t xml:space="preserve">25 </w:t>
      </w:r>
      <w:r w:rsidRPr="00CF40FE">
        <w:rPr>
          <w:rFonts w:eastAsia="Arial Unicode MS"/>
          <w:sz w:val="20"/>
          <w:szCs w:val="20"/>
          <w:lang w:val="es-ES"/>
        </w:rPr>
        <w:t xml:space="preserve">que incluye los párrafos 1 a 117 </w:t>
      </w:r>
      <w:r w:rsidRPr="00CF40FE">
        <w:rPr>
          <w:rFonts w:eastAsia="Arial Unicode MS"/>
          <w:i/>
          <w:iCs/>
          <w:sz w:val="20"/>
          <w:szCs w:val="20"/>
          <w:lang w:val="es-ES"/>
        </w:rPr>
        <w:t>supra</w:t>
      </w:r>
      <w:r w:rsidRPr="00CF40FE">
        <w:rPr>
          <w:rFonts w:eastAsia="Arial Unicode MS"/>
          <w:sz w:val="20"/>
          <w:szCs w:val="20"/>
          <w:lang w:val="es-ES"/>
        </w:rPr>
        <w:t xml:space="preserve">, y emitió sus conclusiones y recomendaciones finales al Estado. El </w:t>
      </w:r>
      <w:r w:rsidRPr="00CF40FE">
        <w:rPr>
          <w:sz w:val="20"/>
          <w:szCs w:val="20"/>
          <w:lang w:val="es-ES"/>
        </w:rPr>
        <w:t>1</w:t>
      </w:r>
      <w:r w:rsidR="0016043F" w:rsidRPr="00CF40FE">
        <w:rPr>
          <w:rFonts w:eastAsia="Arial Unicode MS"/>
          <w:sz w:val="20"/>
          <w:szCs w:val="20"/>
          <w:lang w:val="es-ES"/>
        </w:rPr>
        <w:t xml:space="preserve">4 </w:t>
      </w:r>
      <w:r w:rsidRPr="00CF40FE">
        <w:rPr>
          <w:rFonts w:eastAsia="Arial Unicode MS"/>
          <w:sz w:val="20"/>
          <w:szCs w:val="20"/>
          <w:lang w:val="es-ES"/>
        </w:rPr>
        <w:t xml:space="preserve">de </w:t>
      </w:r>
      <w:r w:rsidR="0016043F" w:rsidRPr="00CF40FE">
        <w:rPr>
          <w:rFonts w:eastAsia="Arial Unicode MS"/>
          <w:sz w:val="20"/>
          <w:szCs w:val="20"/>
          <w:lang w:val="es-ES"/>
        </w:rPr>
        <w:t xml:space="preserve">mayo </w:t>
      </w:r>
      <w:r w:rsidRPr="00CF40FE">
        <w:rPr>
          <w:rFonts w:eastAsia="Arial Unicode MS"/>
          <w:sz w:val="20"/>
          <w:szCs w:val="20"/>
          <w:lang w:val="es-ES"/>
        </w:rPr>
        <w:t>de</w:t>
      </w:r>
      <w:r w:rsidR="0016043F" w:rsidRPr="00CF40FE">
        <w:rPr>
          <w:rFonts w:eastAsia="Arial Unicode MS"/>
          <w:sz w:val="20"/>
          <w:szCs w:val="20"/>
          <w:lang w:val="es-ES"/>
        </w:rPr>
        <w:t>l</w:t>
      </w:r>
      <w:r w:rsidRPr="00CF40FE">
        <w:rPr>
          <w:rFonts w:eastAsia="Arial Unicode MS"/>
          <w:sz w:val="20"/>
          <w:szCs w:val="20"/>
          <w:lang w:val="es-ES"/>
        </w:rPr>
        <w:t xml:space="preserve"> mismo año</w:t>
      </w:r>
      <w:r w:rsidRPr="00CF40FE">
        <w:rPr>
          <w:rFonts w:cs="Verdana"/>
          <w:sz w:val="20"/>
          <w:szCs w:val="20"/>
          <w:lang w:val="es-US" w:bidi="en-US"/>
        </w:rPr>
        <w:t xml:space="preserve"> lo transmitió al Estado y a la parte peticionaria otorgándoles el plazo de dos semanas para informar a la CIDH sobre las medidas adoptadas para el cumplimiento de sus recomendaciones</w:t>
      </w:r>
      <w:r w:rsidR="00432E51" w:rsidRPr="00CF40FE">
        <w:rPr>
          <w:rFonts w:cs="Verdana"/>
          <w:sz w:val="20"/>
          <w:szCs w:val="20"/>
          <w:lang w:val="es-US" w:bidi="en-US"/>
        </w:rPr>
        <w:t xml:space="preserve">. </w:t>
      </w:r>
      <w:r w:rsidRPr="00CF40FE">
        <w:rPr>
          <w:rFonts w:cs="Verdana"/>
          <w:sz w:val="20"/>
          <w:szCs w:val="20"/>
          <w:lang w:val="es-US" w:bidi="en-US"/>
        </w:rPr>
        <w:t xml:space="preserve">Hasta la fecha la Comisión no ha recibido respuesta del Estado argentino con respecto al Informe No. </w:t>
      </w:r>
      <w:r w:rsidR="00CA6B18" w:rsidRPr="00CF40FE">
        <w:rPr>
          <w:rFonts w:cs="Verdana"/>
          <w:sz w:val="20"/>
          <w:szCs w:val="20"/>
          <w:lang w:val="es-US" w:bidi="en-US"/>
        </w:rPr>
        <w:t>70</w:t>
      </w:r>
      <w:r w:rsidRPr="00CF40FE">
        <w:rPr>
          <w:rFonts w:cs="Verdana"/>
          <w:sz w:val="20"/>
          <w:szCs w:val="20"/>
          <w:lang w:val="es-US" w:bidi="en-US"/>
        </w:rPr>
        <w:t>/25.</w:t>
      </w:r>
    </w:p>
    <w:p w14:paraId="62379350" w14:textId="77777777" w:rsidR="001C7829" w:rsidRPr="00CF40FE" w:rsidRDefault="001C7829" w:rsidP="001C78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Arial Unicode MS" w:cs="Verdana"/>
          <w:sz w:val="20"/>
          <w:szCs w:val="20"/>
          <w:lang w:val="es-US" w:bidi="en-US"/>
        </w:rPr>
      </w:pPr>
    </w:p>
    <w:p w14:paraId="6C3F74B3" w14:textId="77777777" w:rsidR="00596668" w:rsidRPr="00CF40FE" w:rsidRDefault="00596668" w:rsidP="00932523">
      <w:pPr>
        <w:pStyle w:val="ListParagraph"/>
        <w:tabs>
          <w:tab w:val="left" w:pos="0"/>
          <w:tab w:val="left" w:pos="567"/>
        </w:tabs>
        <w:ind w:left="0"/>
        <w:jc w:val="both"/>
        <w:rPr>
          <w:sz w:val="20"/>
          <w:szCs w:val="20"/>
          <w:bdr w:val="none" w:sz="0" w:space="0" w:color="auto"/>
          <w:lang w:val="es-419"/>
        </w:rPr>
      </w:pPr>
    </w:p>
    <w:p w14:paraId="7D0D5466" w14:textId="423A5C69" w:rsidR="00B928F2" w:rsidRPr="00CF40FE" w:rsidRDefault="00B928F2" w:rsidP="006C6B75">
      <w:pPr>
        <w:pStyle w:val="Heading1"/>
        <w:numPr>
          <w:ilvl w:val="0"/>
          <w:numId w:val="6"/>
        </w:numPr>
        <w:ind w:left="0" w:firstLine="0"/>
      </w:pPr>
      <w:bookmarkStart w:id="77" w:name="_Toc40962139"/>
      <w:bookmarkStart w:id="78" w:name="_Toc42679788"/>
      <w:bookmarkStart w:id="79" w:name="_Toc78370177"/>
      <w:bookmarkStart w:id="80" w:name="_Toc203382217"/>
      <w:r w:rsidRPr="00CF40FE">
        <w:t>CONCLUSIONES Y RECOMENDACIONE</w:t>
      </w:r>
      <w:bookmarkEnd w:id="77"/>
      <w:bookmarkEnd w:id="78"/>
      <w:bookmarkEnd w:id="79"/>
      <w:r w:rsidR="0089588B" w:rsidRPr="00CF40FE">
        <w:t>S</w:t>
      </w:r>
      <w:r w:rsidRPr="00CF40FE">
        <w:t xml:space="preserve"> </w:t>
      </w:r>
      <w:r w:rsidR="00ED4A4C" w:rsidRPr="00CF40FE">
        <w:t>FINALES</w:t>
      </w:r>
      <w:bookmarkEnd w:id="80"/>
    </w:p>
    <w:p w14:paraId="036BB595" w14:textId="77777777" w:rsidR="00B928F2" w:rsidRPr="00CF40FE" w:rsidRDefault="00B928F2" w:rsidP="00B928F2">
      <w:pPr>
        <w:rPr>
          <w:sz w:val="20"/>
          <w:szCs w:val="20"/>
          <w:lang w:val="es-ES_tradnl" w:eastAsia="es-ES"/>
        </w:rPr>
      </w:pPr>
    </w:p>
    <w:p w14:paraId="2EA5EE26" w14:textId="77777777" w:rsidR="00ED4A4C" w:rsidRPr="00CF40FE" w:rsidRDefault="00B67ECF" w:rsidP="00ED4A4C">
      <w:pPr>
        <w:pStyle w:val="ListParagraph"/>
        <w:numPr>
          <w:ilvl w:val="0"/>
          <w:numId w:val="2"/>
        </w:numPr>
        <w:tabs>
          <w:tab w:val="left" w:pos="567"/>
        </w:tabs>
        <w:spacing w:after="240"/>
        <w:ind w:left="0" w:firstLine="0"/>
        <w:jc w:val="both"/>
        <w:rPr>
          <w:sz w:val="20"/>
          <w:szCs w:val="20"/>
          <w:lang w:val="es-ES_tradnl"/>
        </w:rPr>
      </w:pPr>
      <w:r w:rsidRPr="00CF40FE">
        <w:rPr>
          <w:sz w:val="20"/>
          <w:szCs w:val="20"/>
          <w:lang w:val="es-ES_tradnl"/>
        </w:rPr>
        <w:t xml:space="preserve">La Comisión concluye que el Estado argentino es responsable por la violación del derecho </w:t>
      </w:r>
      <w:r w:rsidR="00DB3D71" w:rsidRPr="00CF40FE">
        <w:rPr>
          <w:sz w:val="20"/>
          <w:szCs w:val="20"/>
          <w:lang w:val="es-ES_tradnl"/>
        </w:rPr>
        <w:t>a</w:t>
      </w:r>
      <w:r w:rsidRPr="00CF40FE">
        <w:rPr>
          <w:sz w:val="20"/>
          <w:szCs w:val="20"/>
          <w:lang w:val="es-ES_tradnl"/>
        </w:rPr>
        <w:t xml:space="preserve"> recurrir del fallo</w:t>
      </w:r>
      <w:r w:rsidR="00137A47" w:rsidRPr="00CF40FE">
        <w:rPr>
          <w:sz w:val="20"/>
          <w:szCs w:val="20"/>
          <w:lang w:val="es-ES_tradnl"/>
        </w:rPr>
        <w:t xml:space="preserve">, </w:t>
      </w:r>
      <w:r w:rsidR="009434FC" w:rsidRPr="00CF40FE">
        <w:rPr>
          <w:sz w:val="20"/>
          <w:szCs w:val="20"/>
          <w:lang w:val="es-ES_tradnl"/>
        </w:rPr>
        <w:t xml:space="preserve">del derecho a no ser sometido a detención o encarcelamiento </w:t>
      </w:r>
      <w:r w:rsidR="0065102E" w:rsidRPr="00CF40FE">
        <w:rPr>
          <w:sz w:val="20"/>
          <w:szCs w:val="20"/>
          <w:lang w:val="es-ES_tradnl"/>
        </w:rPr>
        <w:t>arbitrarios</w:t>
      </w:r>
      <w:r w:rsidR="00157692" w:rsidRPr="00CF40FE">
        <w:rPr>
          <w:sz w:val="20"/>
          <w:szCs w:val="20"/>
          <w:lang w:val="es-ES_tradnl"/>
        </w:rPr>
        <w:t>, d</w:t>
      </w:r>
      <w:r w:rsidR="00137A47" w:rsidRPr="00CF40FE">
        <w:rPr>
          <w:sz w:val="20"/>
          <w:szCs w:val="20"/>
          <w:lang w:val="es-ES_tradnl"/>
        </w:rPr>
        <w:t>el principio de legalidad</w:t>
      </w:r>
      <w:r w:rsidR="0065102E" w:rsidRPr="00CF40FE">
        <w:rPr>
          <w:sz w:val="20"/>
          <w:szCs w:val="20"/>
          <w:lang w:val="es-ES_tradnl"/>
        </w:rPr>
        <w:t xml:space="preserve"> </w:t>
      </w:r>
      <w:r w:rsidR="00157692" w:rsidRPr="00CF40FE">
        <w:rPr>
          <w:sz w:val="20"/>
          <w:szCs w:val="20"/>
          <w:lang w:val="es-ES_tradnl"/>
        </w:rPr>
        <w:t xml:space="preserve">y de su deber de adoptar medidas de protección especial a los adolescentes en conflicto con la ley penal </w:t>
      </w:r>
      <w:r w:rsidR="0065102E" w:rsidRPr="00CF40FE">
        <w:rPr>
          <w:sz w:val="20"/>
          <w:szCs w:val="20"/>
          <w:lang w:val="es-ES_tradnl"/>
        </w:rPr>
        <w:t>consagrados</w:t>
      </w:r>
      <w:r w:rsidRPr="00CF40FE">
        <w:rPr>
          <w:sz w:val="20"/>
          <w:szCs w:val="20"/>
          <w:lang w:val="es-ES_tradnl"/>
        </w:rPr>
        <w:t xml:space="preserve"> en </w:t>
      </w:r>
      <w:r w:rsidR="009434FC" w:rsidRPr="00CF40FE">
        <w:rPr>
          <w:sz w:val="20"/>
          <w:szCs w:val="20"/>
          <w:lang w:val="es-ES_tradnl"/>
        </w:rPr>
        <w:t xml:space="preserve">los </w:t>
      </w:r>
      <w:r w:rsidRPr="00CF40FE">
        <w:rPr>
          <w:sz w:val="20"/>
          <w:szCs w:val="20"/>
          <w:lang w:val="es-ES_tradnl"/>
        </w:rPr>
        <w:t>artículo</w:t>
      </w:r>
      <w:r w:rsidR="009434FC" w:rsidRPr="00CF40FE">
        <w:rPr>
          <w:sz w:val="20"/>
          <w:szCs w:val="20"/>
          <w:lang w:val="es-ES_tradnl"/>
        </w:rPr>
        <w:t>s</w:t>
      </w:r>
      <w:r w:rsidRPr="00CF40FE">
        <w:rPr>
          <w:sz w:val="20"/>
          <w:szCs w:val="20"/>
          <w:lang w:val="es-ES_tradnl"/>
        </w:rPr>
        <w:t xml:space="preserve"> 8.2.h</w:t>
      </w:r>
      <w:r w:rsidR="009945AC" w:rsidRPr="00CF40FE">
        <w:rPr>
          <w:sz w:val="20"/>
          <w:szCs w:val="20"/>
          <w:lang w:val="es-ES_tradnl"/>
        </w:rPr>
        <w:t xml:space="preserve">), </w:t>
      </w:r>
      <w:r w:rsidR="00EC2549" w:rsidRPr="00CF40FE">
        <w:rPr>
          <w:sz w:val="20"/>
          <w:szCs w:val="20"/>
          <w:lang w:val="es-ES_tradnl"/>
        </w:rPr>
        <w:t>7.3</w:t>
      </w:r>
      <w:r w:rsidR="002B5D7B" w:rsidRPr="00CF40FE">
        <w:rPr>
          <w:sz w:val="20"/>
          <w:szCs w:val="20"/>
          <w:lang w:val="es-ES_tradnl"/>
        </w:rPr>
        <w:t>,</w:t>
      </w:r>
      <w:r w:rsidR="00137A47" w:rsidRPr="00CF40FE">
        <w:rPr>
          <w:sz w:val="20"/>
          <w:szCs w:val="20"/>
          <w:lang w:val="es-ES_tradnl"/>
        </w:rPr>
        <w:t>9</w:t>
      </w:r>
      <w:r w:rsidR="002B5D7B" w:rsidRPr="00CF40FE">
        <w:rPr>
          <w:sz w:val="20"/>
          <w:szCs w:val="20"/>
          <w:lang w:val="es-ES_tradnl"/>
        </w:rPr>
        <w:t xml:space="preserve"> y 19</w:t>
      </w:r>
      <w:r w:rsidR="00137A47" w:rsidRPr="00CF40FE">
        <w:rPr>
          <w:sz w:val="20"/>
          <w:szCs w:val="20"/>
          <w:lang w:val="es-ES_tradnl"/>
        </w:rPr>
        <w:t xml:space="preserve"> </w:t>
      </w:r>
      <w:r w:rsidR="00713DFB" w:rsidRPr="00CF40FE">
        <w:rPr>
          <w:sz w:val="20"/>
          <w:szCs w:val="20"/>
          <w:lang w:val="es-ES_tradnl"/>
        </w:rPr>
        <w:t>de</w:t>
      </w:r>
      <w:r w:rsidRPr="00CF40FE">
        <w:rPr>
          <w:sz w:val="20"/>
          <w:szCs w:val="20"/>
          <w:lang w:val="es-ES_tradnl"/>
        </w:rPr>
        <w:t xml:space="preserve"> la Convención Americana, en relación con los artículos 1.1 </w:t>
      </w:r>
      <w:r w:rsidR="002B5D7B" w:rsidRPr="00CF40FE">
        <w:rPr>
          <w:sz w:val="20"/>
          <w:szCs w:val="20"/>
          <w:lang w:val="es-ES_tradnl"/>
        </w:rPr>
        <w:t xml:space="preserve">y 2 </w:t>
      </w:r>
      <w:r w:rsidRPr="00CF40FE">
        <w:rPr>
          <w:sz w:val="20"/>
          <w:szCs w:val="20"/>
          <w:lang w:val="es-ES_tradnl"/>
        </w:rPr>
        <w:t>del mismo instrumento internacional, en perjuicio de Diego Armando Pacheco.</w:t>
      </w:r>
    </w:p>
    <w:p w14:paraId="1952759C" w14:textId="469A75CC" w:rsidR="00ED4A4C" w:rsidRPr="00CF40FE" w:rsidRDefault="00ED4A4C" w:rsidP="00ED4A4C">
      <w:pPr>
        <w:pStyle w:val="ListParagraph"/>
        <w:numPr>
          <w:ilvl w:val="0"/>
          <w:numId w:val="2"/>
        </w:numPr>
        <w:tabs>
          <w:tab w:val="left" w:pos="567"/>
        </w:tabs>
        <w:spacing w:after="240"/>
        <w:ind w:left="0" w:firstLine="0"/>
        <w:jc w:val="both"/>
        <w:rPr>
          <w:sz w:val="20"/>
          <w:szCs w:val="20"/>
          <w:lang w:val="es-ES_tradnl"/>
        </w:rPr>
      </w:pPr>
      <w:r w:rsidRPr="00CF40FE">
        <w:rPr>
          <w:sz w:val="20"/>
          <w:szCs w:val="20"/>
          <w:lang w:val="es-ES_tradnl"/>
        </w:rPr>
        <w:t>Con fundamento en el análisis y las conclusiones del presente informe,</w:t>
      </w:r>
    </w:p>
    <w:p w14:paraId="19FE3F07" w14:textId="77777777" w:rsidR="00ED4A4C" w:rsidRPr="00CF40FE" w:rsidRDefault="00207009" w:rsidP="00ED4A4C">
      <w:pPr>
        <w:jc w:val="center"/>
        <w:rPr>
          <w:rFonts w:ascii="Cambria" w:eastAsia="Cambria" w:hAnsi="Cambria" w:cs="Arial"/>
          <w:b/>
          <w:color w:val="000000"/>
          <w:sz w:val="20"/>
          <w:szCs w:val="20"/>
          <w:u w:color="000000"/>
          <w:shd w:val="clear" w:color="auto" w:fill="FCFCFC"/>
          <w:lang w:val="es-ES_tradnl" w:eastAsia="es-ES"/>
        </w:rPr>
      </w:pPr>
      <w:r w:rsidRPr="00CF40FE">
        <w:rPr>
          <w:rFonts w:ascii="Cambria" w:eastAsia="Cambria" w:hAnsi="Cambria" w:cs="Arial"/>
          <w:b/>
          <w:color w:val="000000"/>
          <w:sz w:val="20"/>
          <w:szCs w:val="20"/>
          <w:u w:color="000000"/>
          <w:shd w:val="clear" w:color="auto" w:fill="FCFCFC"/>
          <w:lang w:val="es-ES_tradnl" w:eastAsia="es-ES"/>
        </w:rPr>
        <w:t xml:space="preserve">LA COMISIÓN INTERAMERICANA DE DERECHOS HUMANOS, </w:t>
      </w:r>
    </w:p>
    <w:p w14:paraId="0D8ECF91" w14:textId="704B7617" w:rsidR="00234827" w:rsidRPr="00CF40FE" w:rsidRDefault="00ED4A4C" w:rsidP="00ED4A4C">
      <w:pPr>
        <w:jc w:val="center"/>
        <w:rPr>
          <w:rFonts w:ascii="Cambria" w:eastAsia="Cambria" w:hAnsi="Cambria" w:cs="Arial"/>
          <w:b/>
          <w:color w:val="000000"/>
          <w:sz w:val="20"/>
          <w:szCs w:val="20"/>
          <w:u w:color="000000"/>
          <w:shd w:val="clear" w:color="auto" w:fill="FCFCFC"/>
          <w:lang w:val="es-ES_tradnl" w:eastAsia="es-ES"/>
        </w:rPr>
      </w:pPr>
      <w:r w:rsidRPr="00CF40FE">
        <w:rPr>
          <w:rFonts w:ascii="Cambria" w:eastAsia="Cambria" w:hAnsi="Cambria" w:cs="Arial"/>
          <w:b/>
          <w:color w:val="000000"/>
          <w:sz w:val="20"/>
          <w:szCs w:val="20"/>
          <w:u w:color="000000"/>
          <w:shd w:val="clear" w:color="auto" w:fill="FCFCFC"/>
          <w:lang w:val="es-ES_tradnl" w:eastAsia="es-ES"/>
        </w:rPr>
        <w:t>REITERA</w:t>
      </w:r>
      <w:r w:rsidR="00207009" w:rsidRPr="00CF40FE">
        <w:rPr>
          <w:rFonts w:ascii="Cambria" w:eastAsia="Cambria" w:hAnsi="Cambria" w:cs="Arial"/>
          <w:b/>
          <w:color w:val="000000"/>
          <w:sz w:val="20"/>
          <w:szCs w:val="20"/>
          <w:u w:color="000000"/>
          <w:shd w:val="clear" w:color="auto" w:fill="FCFCFC"/>
          <w:lang w:val="es-ES_tradnl" w:eastAsia="es-ES"/>
        </w:rPr>
        <w:t xml:space="preserve"> AL ESTADO DE ARGENTINA,</w:t>
      </w:r>
    </w:p>
    <w:p w14:paraId="32193265" w14:textId="77777777" w:rsidR="00596668" w:rsidRPr="00CF40FE" w:rsidRDefault="00596668" w:rsidP="00596668">
      <w:pPr>
        <w:jc w:val="both"/>
        <w:rPr>
          <w:rFonts w:ascii="Cambria" w:eastAsia="Cambria" w:hAnsi="Cambria" w:cs="Arial"/>
          <w:b/>
          <w:color w:val="000000"/>
          <w:sz w:val="17"/>
          <w:szCs w:val="17"/>
          <w:u w:color="000000"/>
          <w:shd w:val="clear" w:color="auto" w:fill="FCFCFC"/>
          <w:lang w:val="es-ES_tradnl" w:eastAsia="es-ES"/>
        </w:rPr>
      </w:pPr>
    </w:p>
    <w:p w14:paraId="7CFD82AC" w14:textId="1E97A567" w:rsidR="00ED4A4C" w:rsidRPr="00CF40FE" w:rsidRDefault="006237CE" w:rsidP="006C6B75">
      <w:pPr>
        <w:pStyle w:val="Default"/>
        <w:numPr>
          <w:ilvl w:val="0"/>
          <w:numId w:val="11"/>
        </w:numPr>
        <w:jc w:val="both"/>
        <w:rPr>
          <w:rFonts w:eastAsia="Cambria"/>
          <w:sz w:val="20"/>
          <w:szCs w:val="20"/>
          <w:u w:color="000000"/>
          <w:bdr w:val="nil"/>
          <w:lang w:val="es-ES_tradnl" w:eastAsia="es-ES"/>
        </w:rPr>
      </w:pPr>
      <w:r w:rsidRPr="00CF40FE">
        <w:rPr>
          <w:rFonts w:eastAsia="Cambria"/>
          <w:sz w:val="20"/>
          <w:szCs w:val="20"/>
          <w:u w:color="000000"/>
          <w:bdr w:val="nil"/>
          <w:lang w:val="es-ES_tradnl" w:eastAsia="es-ES"/>
        </w:rPr>
        <w:t>Reparar integralmente las violaciones de derechos humanos declaradas en este informe tanto en el aspecto material como inmaterial.</w:t>
      </w:r>
    </w:p>
    <w:p w14:paraId="0E95A996" w14:textId="7E570228" w:rsidR="009B181A" w:rsidRPr="00CF40FE" w:rsidRDefault="009B181A" w:rsidP="009B181A">
      <w:pPr>
        <w:pStyle w:val="Default"/>
        <w:ind w:left="644"/>
        <w:jc w:val="both"/>
        <w:rPr>
          <w:rFonts w:eastAsia="Cambria"/>
          <w:sz w:val="20"/>
          <w:szCs w:val="20"/>
          <w:u w:color="000000"/>
          <w:bdr w:val="nil"/>
          <w:lang w:val="es-ES_tradnl" w:eastAsia="es-ES"/>
        </w:rPr>
      </w:pPr>
    </w:p>
    <w:p w14:paraId="0344BA63" w14:textId="3C5683A5" w:rsidR="009B181A" w:rsidRPr="00CF40FE" w:rsidRDefault="00CA6B18" w:rsidP="006C6B75">
      <w:pPr>
        <w:pStyle w:val="Heading1"/>
        <w:numPr>
          <w:ilvl w:val="0"/>
          <w:numId w:val="6"/>
        </w:numPr>
        <w:ind w:left="0" w:firstLine="0"/>
      </w:pPr>
      <w:bookmarkStart w:id="81" w:name="_Toc203382218"/>
      <w:r w:rsidRPr="00CF40FE">
        <w:t>PUBLI</w:t>
      </w:r>
      <w:r w:rsidR="00ED4A4C" w:rsidRPr="00CF40FE">
        <w:t>CACIÓN</w:t>
      </w:r>
      <w:bookmarkEnd w:id="81"/>
    </w:p>
    <w:p w14:paraId="487EB796" w14:textId="77777777" w:rsidR="00ED4A4C" w:rsidRPr="00CF40FE" w:rsidRDefault="00ED4A4C" w:rsidP="00ED4A4C">
      <w:pPr>
        <w:pStyle w:val="Default"/>
        <w:jc w:val="both"/>
        <w:rPr>
          <w:sz w:val="17"/>
          <w:szCs w:val="17"/>
        </w:rPr>
      </w:pPr>
    </w:p>
    <w:p w14:paraId="22D9FF6D" w14:textId="77777777" w:rsidR="000C7938" w:rsidRPr="00CF40FE" w:rsidRDefault="000C7938" w:rsidP="00751F79">
      <w:pPr>
        <w:pStyle w:val="ListParagraph"/>
        <w:numPr>
          <w:ilvl w:val="0"/>
          <w:numId w:val="2"/>
        </w:numPr>
        <w:tabs>
          <w:tab w:val="left" w:pos="567"/>
        </w:tabs>
        <w:ind w:left="0" w:firstLine="0"/>
        <w:jc w:val="both"/>
        <w:rPr>
          <w:rFonts w:eastAsia="Arial Unicode MS"/>
          <w:sz w:val="20"/>
          <w:szCs w:val="20"/>
          <w:lang w:val="es-ES_tradnl"/>
        </w:rPr>
      </w:pPr>
      <w:r w:rsidRPr="00CF40FE">
        <w:rPr>
          <w:sz w:val="20"/>
          <w:szCs w:val="20"/>
          <w:lang w:val="es-ES_tradnl"/>
        </w:rPr>
        <w:t>D</w:t>
      </w:r>
      <w:r w:rsidRPr="00CF40FE">
        <w:rPr>
          <w:sz w:val="20"/>
          <w:szCs w:val="20"/>
          <w:lang w:val="es-US"/>
        </w:rPr>
        <w:t>e</w:t>
      </w:r>
      <w:r w:rsidRPr="00CF40FE">
        <w:rPr>
          <w:rFonts w:eastAsia="Arial Unicode MS"/>
          <w:sz w:val="20"/>
          <w:szCs w:val="20"/>
          <w:lang w:val="es-US"/>
        </w:rPr>
        <w:t xml:space="preserve"> acuerdo con lo señalado y de conformidad con lo dispuesto en el artículo 51.3 de la Convención Americana, la Comisión Interamericana de Derechos Humanos decide publicar este informe e incluirlo en su </w:t>
      </w:r>
      <w:r w:rsidRPr="00CF40FE">
        <w:rPr>
          <w:rFonts w:eastAsia="Arial Unicode MS"/>
          <w:sz w:val="20"/>
          <w:szCs w:val="20"/>
          <w:lang w:val="es-US"/>
        </w:rPr>
        <w:lastRenderedPageBreak/>
        <w:t>Informe Anual a la Asamblea General de la Organización de Estados Americanos. La Comisión Interamericana, de acuerdo con las normas establecidas en los instrumentos que regulan su mandato, continuará evaluando que el Estado de Argentina repare integralmente a la víctima de acuerdo con lo establecido en la recomendación arriba señalada, hasta que determine que se le ha dado un total cumplimiento.</w:t>
      </w:r>
    </w:p>
    <w:p w14:paraId="7F7DC444" w14:textId="77777777" w:rsidR="00751F79" w:rsidRDefault="00751F79" w:rsidP="00751F79">
      <w:pPr>
        <w:pStyle w:val="Default"/>
        <w:jc w:val="both"/>
        <w:rPr>
          <w:rFonts w:eastAsia="Cambria"/>
          <w:sz w:val="20"/>
          <w:szCs w:val="20"/>
          <w:u w:color="000000"/>
          <w:bdr w:val="nil"/>
          <w:lang w:val="es-ES_tradnl" w:eastAsia="es-ES"/>
        </w:rPr>
      </w:pPr>
    </w:p>
    <w:p w14:paraId="280DF4A9" w14:textId="7479E3E8" w:rsidR="00751F79" w:rsidRPr="00401157" w:rsidRDefault="00751F79" w:rsidP="00751F79">
      <w:pPr>
        <w:ind w:firstLine="708"/>
        <w:jc w:val="both"/>
        <w:rPr>
          <w:rFonts w:ascii="Cambria" w:eastAsia="Arial Unicode MS" w:hAnsi="Cambria"/>
          <w:color w:val="000000"/>
          <w:sz w:val="20"/>
          <w:szCs w:val="20"/>
          <w:bdr w:val="nil"/>
          <w:lang w:val="es-VE"/>
        </w:rPr>
      </w:pPr>
      <w:r w:rsidRPr="00401157">
        <w:rPr>
          <w:rFonts w:ascii="Cambria" w:eastAsia="Arial Unicode MS" w:hAnsi="Cambria"/>
          <w:color w:val="000000"/>
          <w:sz w:val="20"/>
          <w:szCs w:val="20"/>
          <w:bdr w:val="nil"/>
          <w:lang w:val="es-VE"/>
        </w:rPr>
        <w:t>Aprobado por la Comisión Interamericana de Derechos Humanos a los 1</w:t>
      </w:r>
      <w:r>
        <w:rPr>
          <w:rFonts w:ascii="Cambria" w:eastAsia="Arial Unicode MS" w:hAnsi="Cambria"/>
          <w:color w:val="000000"/>
          <w:sz w:val="20"/>
          <w:szCs w:val="20"/>
          <w:bdr w:val="nil"/>
          <w:lang w:val="es-VE"/>
        </w:rPr>
        <w:t>4</w:t>
      </w:r>
      <w:r w:rsidRPr="00401157">
        <w:rPr>
          <w:rFonts w:ascii="Cambria" w:eastAsia="Arial Unicode MS" w:hAnsi="Cambria"/>
          <w:color w:val="000000"/>
          <w:sz w:val="20"/>
          <w:szCs w:val="20"/>
          <w:bdr w:val="nil"/>
          <w:lang w:val="es-VE"/>
        </w:rPr>
        <w:t xml:space="preserve"> días del mes de julio de 2025. (Firmado): José Luis Caballero Ochoa, Presidente</w:t>
      </w:r>
      <w:r w:rsidR="00173D79">
        <w:rPr>
          <w:rFonts w:ascii="Cambria" w:eastAsia="Arial Unicode MS" w:hAnsi="Cambria"/>
          <w:color w:val="000000"/>
          <w:sz w:val="20"/>
          <w:szCs w:val="20"/>
          <w:bdr w:val="nil"/>
          <w:lang w:val="es-VE"/>
        </w:rPr>
        <w:t>;</w:t>
      </w:r>
      <w:r w:rsidRPr="00401157">
        <w:rPr>
          <w:rFonts w:ascii="Cambria" w:eastAsia="Arial Unicode MS" w:hAnsi="Cambria"/>
          <w:color w:val="000000"/>
          <w:sz w:val="20"/>
          <w:szCs w:val="20"/>
          <w:bdr w:val="nil"/>
          <w:lang w:val="es-VE"/>
        </w:rPr>
        <w:t xml:space="preserve"> Arif Bulkan, Segundo Vicepresidente</w:t>
      </w:r>
      <w:r w:rsidR="00173D79">
        <w:rPr>
          <w:rFonts w:ascii="Cambria" w:eastAsia="Arial Unicode MS" w:hAnsi="Cambria"/>
          <w:color w:val="000000"/>
          <w:sz w:val="20"/>
          <w:szCs w:val="20"/>
          <w:bdr w:val="nil"/>
          <w:lang w:val="es-VE"/>
        </w:rPr>
        <w:t>;</w:t>
      </w:r>
      <w:r w:rsidRPr="00401157">
        <w:rPr>
          <w:rFonts w:ascii="Cambria" w:eastAsia="Arial Unicode MS" w:hAnsi="Cambria"/>
          <w:color w:val="000000"/>
          <w:sz w:val="20"/>
          <w:szCs w:val="20"/>
          <w:bdr w:val="nil"/>
          <w:lang w:val="es-VE"/>
        </w:rPr>
        <w:t xml:space="preserve"> Roberta Clarke</w:t>
      </w:r>
      <w:r w:rsidR="00173D79">
        <w:rPr>
          <w:rFonts w:ascii="Cambria" w:eastAsia="Arial Unicode MS" w:hAnsi="Cambria"/>
          <w:color w:val="000000"/>
          <w:sz w:val="20"/>
          <w:szCs w:val="20"/>
          <w:bdr w:val="nil"/>
          <w:lang w:val="es-VE"/>
        </w:rPr>
        <w:t>,</w:t>
      </w:r>
      <w:r w:rsidRPr="00401157">
        <w:rPr>
          <w:rFonts w:ascii="Cambria" w:eastAsia="Arial Unicode MS" w:hAnsi="Cambria"/>
          <w:color w:val="000000"/>
          <w:sz w:val="20"/>
          <w:szCs w:val="20"/>
          <w:bdr w:val="nil"/>
          <w:lang w:val="es-VE"/>
        </w:rPr>
        <w:t xml:space="preserve"> Carlos Bernal Pulido y Gloria Monique de Mees, Miembros de la Comisión.</w:t>
      </w:r>
    </w:p>
    <w:p w14:paraId="3A6FB908" w14:textId="77777777" w:rsidR="00751F79" w:rsidRPr="00401157" w:rsidRDefault="00751F79" w:rsidP="00751F79">
      <w:pPr>
        <w:jc w:val="both"/>
        <w:rPr>
          <w:rFonts w:ascii="Cambria" w:eastAsia="Arial Unicode MS" w:hAnsi="Cambria"/>
          <w:color w:val="000000"/>
          <w:sz w:val="20"/>
          <w:szCs w:val="20"/>
          <w:bdr w:val="nil"/>
          <w:lang w:val="es-VE"/>
        </w:rPr>
      </w:pPr>
    </w:p>
    <w:p w14:paraId="15B52FB0" w14:textId="7B93FB88" w:rsidR="00751F79" w:rsidRDefault="00751F79" w:rsidP="00423F82">
      <w:pPr>
        <w:tabs>
          <w:tab w:val="left" w:pos="3926"/>
        </w:tabs>
        <w:rPr>
          <w:rFonts w:ascii="Cambria" w:hAnsi="Cambria" w:cs="Calibri"/>
          <w:sz w:val="20"/>
          <w:szCs w:val="20"/>
        </w:rPr>
      </w:pPr>
    </w:p>
    <w:sectPr w:rsidR="00751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F745" w14:textId="77777777" w:rsidR="00211D76" w:rsidRDefault="00211D76">
      <w:r>
        <w:separator/>
      </w:r>
    </w:p>
    <w:p w14:paraId="1DD2DA99" w14:textId="77777777" w:rsidR="00211D76" w:rsidRDefault="00211D76"/>
  </w:endnote>
  <w:endnote w:type="continuationSeparator" w:id="0">
    <w:p w14:paraId="0128814B" w14:textId="77777777" w:rsidR="00211D76" w:rsidRDefault="00211D76">
      <w:r>
        <w:continuationSeparator/>
      </w:r>
    </w:p>
    <w:p w14:paraId="09F4B84C" w14:textId="77777777" w:rsidR="00211D76" w:rsidRDefault="0021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ay Devanagari">
    <w:altName w:val="Cambay Devanagari"/>
    <w:charset w:val="4D"/>
    <w:family w:val="auto"/>
    <w:pitch w:val="variable"/>
    <w:sig w:usb0="00000001" w:usb1="00000000" w:usb2="00000000" w:usb3="00000000" w:csb0="00000093" w:csb1="00000000"/>
  </w:font>
  <w:font w:name="TimesNewRomanPSMT">
    <w:panose1 w:val="00000000000000000000"/>
    <w:charset w:val="4D"/>
    <w:family w:val="roman"/>
    <w:notTrueType/>
    <w:pitch w:val="default"/>
    <w:sig w:usb0="03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0FEFA0D1" w14:textId="77777777" w:rsidR="005076F9" w:rsidRPr="00934A2C" w:rsidRDefault="00507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EB56" w14:textId="77777777" w:rsidR="005076F9" w:rsidRPr="00934A2C" w:rsidRDefault="005076F9">
    <w:pPr>
      <w:pStyle w:val="Footer"/>
      <w:jc w:val="center"/>
      <w:rPr>
        <w:sz w:val="16"/>
        <w:szCs w:val="22"/>
      </w:rPr>
    </w:pPr>
  </w:p>
  <w:p w14:paraId="7D6426CB" w14:textId="77777777" w:rsidR="005076F9" w:rsidRDefault="0050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3339" w14:textId="77777777" w:rsidR="00211D76" w:rsidRDefault="00211D76">
      <w:r>
        <w:separator/>
      </w:r>
    </w:p>
    <w:p w14:paraId="093F11C3" w14:textId="77777777" w:rsidR="00211D76" w:rsidRDefault="00211D76"/>
  </w:footnote>
  <w:footnote w:type="continuationSeparator" w:id="0">
    <w:p w14:paraId="35DFADE8" w14:textId="77777777" w:rsidR="00211D76" w:rsidRDefault="00211D76">
      <w:r>
        <w:continuationSeparator/>
      </w:r>
    </w:p>
    <w:p w14:paraId="611F66A2" w14:textId="77777777" w:rsidR="00211D76" w:rsidRDefault="00211D76"/>
  </w:footnote>
  <w:footnote w:id="1">
    <w:p w14:paraId="68BCCDA3" w14:textId="77777777" w:rsidR="00070FDC" w:rsidRPr="00DB6A3A" w:rsidRDefault="00070FDC" w:rsidP="00070FDC">
      <w:pPr>
        <w:pStyle w:val="FootnoteText"/>
        <w:jc w:val="both"/>
        <w:rPr>
          <w:rFonts w:ascii="Cambria" w:hAnsi="Cambria"/>
          <w:sz w:val="16"/>
          <w:szCs w:val="16"/>
          <w:lang w:val="es-MX"/>
        </w:rPr>
      </w:pPr>
      <w:r w:rsidRPr="00C6191A">
        <w:rPr>
          <w:rStyle w:val="FootnoteReference"/>
          <w:rFonts w:ascii="Cambria" w:hAnsi="Cambria"/>
          <w:sz w:val="16"/>
          <w:szCs w:val="16"/>
        </w:rPr>
        <w:footnoteRef/>
      </w:r>
      <w:r w:rsidRPr="00C6191A">
        <w:rPr>
          <w:rFonts w:ascii="Cambria" w:hAnsi="Cambria"/>
          <w:sz w:val="16"/>
          <w:szCs w:val="16"/>
          <w:lang w:val="es-US"/>
        </w:rPr>
        <w:t xml:space="preserve"> </w:t>
      </w:r>
      <w:r w:rsidRPr="00C6191A">
        <w:rPr>
          <w:rFonts w:ascii="Cambria" w:hAnsi="Cambria"/>
          <w:sz w:val="16"/>
          <w:szCs w:val="16"/>
          <w:lang w:val="es-CO"/>
        </w:rPr>
        <w:t xml:space="preserve">Conforme a lo dispuesto en el artículo 17.2 del Reglamento de la Comisión, la Comisionada </w:t>
      </w:r>
      <w:bookmarkStart w:id="6" w:name="LuisVargas"/>
      <w:bookmarkEnd w:id="6"/>
      <w:r w:rsidRPr="00C6191A">
        <w:rPr>
          <w:rFonts w:ascii="Cambria" w:hAnsi="Cambria"/>
          <w:sz w:val="16"/>
          <w:szCs w:val="16"/>
          <w:lang w:val="es-CO"/>
        </w:rPr>
        <w:t xml:space="preserve">Andrea </w:t>
      </w:r>
      <w:r w:rsidRPr="00C6191A">
        <w:rPr>
          <w:rFonts w:ascii="Cambria" w:hAnsi="Cambria"/>
          <w:bCs/>
          <w:sz w:val="16"/>
          <w:szCs w:val="16"/>
          <w:lang w:val="es-MX"/>
        </w:rPr>
        <w:t>Pochak</w:t>
      </w:r>
      <w:r w:rsidRPr="00C6191A">
        <w:rPr>
          <w:rFonts w:ascii="Cambria" w:hAnsi="Cambria"/>
          <w:sz w:val="16"/>
          <w:szCs w:val="16"/>
          <w:lang w:val="es-CO"/>
        </w:rPr>
        <w:t xml:space="preserve">, de nacionalidad </w:t>
      </w:r>
      <w:r w:rsidRPr="00C6191A">
        <w:rPr>
          <w:rFonts w:ascii="Cambria" w:hAnsi="Cambria"/>
          <w:sz w:val="16"/>
          <w:szCs w:val="16"/>
          <w:lang w:val="es-MX"/>
        </w:rPr>
        <w:t>argentina, no participó en el debate ni en la decisión del presente caso.</w:t>
      </w:r>
      <w:r w:rsidRPr="00DB6A3A">
        <w:rPr>
          <w:rFonts w:ascii="Cambria" w:hAnsi="Cambria"/>
          <w:sz w:val="16"/>
          <w:szCs w:val="16"/>
          <w:lang w:val="es-MX"/>
        </w:rPr>
        <w:t xml:space="preserve"> </w:t>
      </w:r>
    </w:p>
  </w:footnote>
  <w:footnote w:id="2">
    <w:p w14:paraId="3644B162" w14:textId="77777777"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CIDH, Informe</w:t>
      </w:r>
      <w:r w:rsidRPr="00F47689">
        <w:rPr>
          <w:rFonts w:ascii="Cambria" w:hAnsi="Cambria"/>
          <w:sz w:val="16"/>
          <w:szCs w:val="16"/>
          <w:lang w:val="es-AR"/>
        </w:rPr>
        <w:t xml:space="preserve"> No. 82/17, Petición 1067-07. Admisibilidad. Rosa Ángela Martino y María Cristina González. Argentina. 7 de julio de 2017, párr. 12.</w:t>
      </w:r>
    </w:p>
  </w:footnote>
  <w:footnote w:id="3">
    <w:p w14:paraId="0455BA46" w14:textId="77777777"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CIDH, Informe No. 39/09, Petición 717-00. Inadmisibilidad. Tomás Eduardo Jiménez Villada. Argentina. 27 de marzo de 2009 párr. 59.</w:t>
      </w:r>
    </w:p>
  </w:footnote>
  <w:footnote w:id="4">
    <w:p w14:paraId="67D7AF59" w14:textId="77777777"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CIDH, Informe No. 90/03, Petición 0581/1999. Inadmisibilidad. Gustavo Trujillo González. Perú. 22 de octubre de 2003, párr</w:t>
      </w:r>
      <w:r w:rsidRPr="00F47689">
        <w:rPr>
          <w:rFonts w:ascii="Cambria" w:hAnsi="Cambria"/>
          <w:sz w:val="16"/>
          <w:szCs w:val="16"/>
          <w:lang w:val="es-AR"/>
        </w:rPr>
        <w:t>. 32.</w:t>
      </w:r>
    </w:p>
  </w:footnote>
  <w:footnote w:id="5">
    <w:p w14:paraId="586ED1B5" w14:textId="13FC9C24" w:rsidR="005076F9" w:rsidRPr="00541DF6"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w:t>
      </w:r>
      <w:bookmarkStart w:id="27" w:name="_Hlk78304394"/>
      <w:r w:rsidRPr="00982E29">
        <w:rPr>
          <w:rFonts w:ascii="Cambria" w:hAnsi="Cambria"/>
          <w:b/>
          <w:sz w:val="16"/>
          <w:szCs w:val="16"/>
        </w:rPr>
        <w:t xml:space="preserve">ANEXO </w:t>
      </w:r>
      <w:r w:rsidR="003E66F3" w:rsidRPr="00982E29">
        <w:rPr>
          <w:rFonts w:ascii="Cambria" w:hAnsi="Cambria"/>
          <w:b/>
          <w:sz w:val="16"/>
          <w:szCs w:val="16"/>
        </w:rPr>
        <w:t>1</w:t>
      </w:r>
      <w:r w:rsidRPr="00982E29">
        <w:rPr>
          <w:rFonts w:ascii="Cambria" w:hAnsi="Cambria"/>
          <w:b/>
          <w:sz w:val="16"/>
          <w:szCs w:val="16"/>
        </w:rPr>
        <w:t xml:space="preserve">. </w:t>
      </w:r>
      <w:r w:rsidRPr="00982E29">
        <w:rPr>
          <w:rFonts w:ascii="Cambria" w:hAnsi="Cambria"/>
          <w:sz w:val="16"/>
          <w:szCs w:val="16"/>
        </w:rPr>
        <w:t>Recurso</w:t>
      </w:r>
      <w:r w:rsidRPr="00F47689">
        <w:rPr>
          <w:rFonts w:ascii="Cambria" w:hAnsi="Cambria"/>
          <w:sz w:val="16"/>
          <w:szCs w:val="16"/>
        </w:rPr>
        <w:t xml:space="preserve"> de queja por denegatoria de recurso extraordinario federal interpuesto por Arnaldo Hugo Barone, Defensor General de la Provincia de Chubut en representación legal de Diego Armando Pacheco. Anexo 14 a la comunicación de la parte peticionaria recibida por la Comisión el 21 de mayo de 2004.  </w:t>
      </w:r>
      <w:bookmarkEnd w:id="27"/>
    </w:p>
  </w:footnote>
  <w:footnote w:id="6">
    <w:p w14:paraId="2E6FE792" w14:textId="77777777"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CIDH, Informe No. 135/18, Petición 1045-07. Inadmisibilidad. Enrique Alberto Elías Waiman. Argentina. 20 de noviembre de 2018, párrs. 9 y 10.</w:t>
      </w:r>
    </w:p>
  </w:footnote>
  <w:footnote w:id="7">
    <w:p w14:paraId="16138536" w14:textId="77777777" w:rsidR="005076F9" w:rsidRPr="007B0E80"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Corte Suprema de Justicia de la Nación. Acordada </w:t>
      </w:r>
      <w:r w:rsidRPr="00F47689">
        <w:rPr>
          <w:rFonts w:ascii="Cambria" w:hAnsi="Cambria"/>
          <w:sz w:val="16"/>
          <w:szCs w:val="16"/>
        </w:rPr>
        <w:t xml:space="preserve">5/2010. Tabla de distancias entre la Capital Federal y los asientos federales. Accesible en: </w:t>
      </w:r>
      <w:hyperlink r:id="rId1" w:history="1">
        <w:r w:rsidRPr="00BE7AB4">
          <w:rPr>
            <w:rStyle w:val="Hyperlink"/>
            <w:rFonts w:ascii="Cambria" w:hAnsi="Cambria"/>
            <w:sz w:val="16"/>
            <w:szCs w:val="16"/>
          </w:rPr>
          <w:t>https://www.argentina.gob.ar/normativa/nacional/acordada-5-2010-165599/texto</w:t>
        </w:r>
      </w:hyperlink>
      <w:r w:rsidRPr="007B0E80">
        <w:rPr>
          <w:rFonts w:ascii="Cambria" w:hAnsi="Cambria"/>
          <w:sz w:val="16"/>
          <w:szCs w:val="16"/>
          <w:lang w:val="es-AR"/>
        </w:rPr>
        <w:t xml:space="preserve"> </w:t>
      </w:r>
    </w:p>
  </w:footnote>
  <w:footnote w:id="8">
    <w:p w14:paraId="05EA32CD" w14:textId="77777777" w:rsidR="005076F9" w:rsidRPr="00F47689" w:rsidRDefault="005076F9" w:rsidP="0046163F">
      <w:pPr>
        <w:pStyle w:val="NormalWeb"/>
        <w:spacing w:before="0" w:beforeAutospacing="0" w:after="0" w:afterAutospacing="0"/>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w:t>
      </w:r>
      <w:r w:rsidRPr="00F47689">
        <w:rPr>
          <w:rFonts w:ascii="Cambria" w:eastAsia="Arial Unicode MS" w:hAnsi="Cambria"/>
          <w:sz w:val="16"/>
          <w:szCs w:val="16"/>
          <w:bdr w:val="nil"/>
          <w:lang w:val="es-ES"/>
        </w:rPr>
        <w:t xml:space="preserve">CIDH, Informe No. 56/08, Petición 11.602. Admisibilidad. Trabajadores despedidos de Petróleos Del Perú́ (Petroperú́) Zona Noroeste – </w:t>
      </w:r>
      <w:r w:rsidRPr="00F47689">
        <w:rPr>
          <w:rFonts w:ascii="Cambria" w:eastAsia="Arial Unicode MS" w:hAnsi="Cambria"/>
          <w:sz w:val="16"/>
          <w:szCs w:val="16"/>
          <w:bdr w:val="nil"/>
          <w:lang w:val="es-ES"/>
        </w:rPr>
        <w:br/>
        <w:t>Talara. Perú́. 24 de julio de 2008, párr. 58.</w:t>
      </w:r>
    </w:p>
  </w:footnote>
  <w:footnote w:id="9">
    <w:p w14:paraId="04AB8F35" w14:textId="77777777"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Código Procesal Civil y Comercial, art 238. </w:t>
      </w:r>
    </w:p>
  </w:footnote>
  <w:footnote w:id="10">
    <w:p w14:paraId="44A1A897" w14:textId="77777777" w:rsidR="005076F9" w:rsidRPr="007B0E80"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Código Procesal Civil y Comercial, art 160.</w:t>
      </w:r>
      <w:r w:rsidRPr="007B0E80">
        <w:rPr>
          <w:rFonts w:ascii="Cambria" w:hAnsi="Cambria"/>
          <w:sz w:val="16"/>
          <w:szCs w:val="16"/>
        </w:rPr>
        <w:t xml:space="preserve"> </w:t>
      </w:r>
    </w:p>
  </w:footnote>
  <w:footnote w:id="11">
    <w:p w14:paraId="4D21CF19" w14:textId="2D4AFDE2" w:rsidR="005076F9" w:rsidRPr="00722598" w:rsidRDefault="005076F9" w:rsidP="00722598">
      <w:pPr>
        <w:pStyle w:val="NormalWeb"/>
        <w:spacing w:before="0" w:beforeAutospacing="0" w:after="0" w:afterAutospacing="0"/>
        <w:jc w:val="both"/>
        <w:rPr>
          <w:rFonts w:ascii="Cambria" w:eastAsia="Arial Unicode MS" w:hAnsi="Cambria"/>
          <w:sz w:val="16"/>
          <w:szCs w:val="16"/>
          <w:bdr w:val="nil"/>
          <w:lang w:val="es-ES"/>
        </w:rPr>
      </w:pPr>
      <w:r w:rsidRPr="00BE7AB4">
        <w:rPr>
          <w:rStyle w:val="FootnoteReference"/>
          <w:rFonts w:ascii="Cambria" w:hAnsi="Cambria"/>
          <w:sz w:val="16"/>
          <w:szCs w:val="16"/>
          <w:lang w:val="es-ES"/>
        </w:rPr>
        <w:footnoteRef/>
      </w:r>
      <w:r w:rsidRPr="00BE7AB4">
        <w:rPr>
          <w:rStyle w:val="FootnoteReference"/>
          <w:rFonts w:ascii="Cambria" w:hAnsi="Cambria"/>
          <w:sz w:val="16"/>
          <w:szCs w:val="16"/>
          <w:lang w:val="es-ES"/>
        </w:rPr>
        <w:t xml:space="preserve"> </w:t>
      </w:r>
      <w:r w:rsidRPr="00F47689">
        <w:rPr>
          <w:rFonts w:ascii="Cambria" w:eastAsia="Arial Unicode MS" w:hAnsi="Cambria"/>
          <w:sz w:val="16"/>
          <w:szCs w:val="16"/>
          <w:bdr w:val="nil"/>
          <w:lang w:val="es-ES"/>
        </w:rPr>
        <w:t xml:space="preserve">CIDH, Informe No. 16/18, Petición 884-07. Admisibilidad. Victoria Piedad Palacios Tejada De Saavedra. Perú́. 24 de febrero de 2018, párr. 12. </w:t>
      </w:r>
    </w:p>
  </w:footnote>
  <w:footnote w:id="12">
    <w:p w14:paraId="2512C7E0" w14:textId="22871D8B"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2</w:t>
      </w:r>
      <w:r w:rsidRPr="00982E29">
        <w:rPr>
          <w:rFonts w:ascii="Cambria" w:hAnsi="Cambria"/>
          <w:b/>
          <w:sz w:val="16"/>
          <w:szCs w:val="16"/>
        </w:rPr>
        <w:t>.</w:t>
      </w:r>
      <w:r w:rsidRPr="00982E29">
        <w:rPr>
          <w:rFonts w:ascii="Cambria" w:hAnsi="Cambria"/>
          <w:sz w:val="16"/>
          <w:szCs w:val="16"/>
        </w:rPr>
        <w:t xml:space="preserve"> Recurso de casación interpuesto por María Isabel Díaz de Fajardo, Asesora Civil de Familia e Incapaces, en representación de Diego Armando Pacheco, recibido por la Cámara Primera en lo Criminal el 26 de septiembre de 2002. Anexo 2 a la comunicación de la parte peticionaria recibida por la Comisión el 21 de mayo de 2004.  </w:t>
      </w:r>
    </w:p>
  </w:footnote>
  <w:footnote w:id="13">
    <w:p w14:paraId="5C8AB563" w14:textId="624547F9"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3</w:t>
      </w:r>
      <w:r w:rsidRPr="00982E29">
        <w:rPr>
          <w:rFonts w:ascii="Cambria" w:hAnsi="Cambria"/>
          <w:b/>
          <w:sz w:val="16"/>
          <w:szCs w:val="16"/>
        </w:rPr>
        <w:t>.</w:t>
      </w:r>
      <w:r w:rsidRPr="00982E29">
        <w:rPr>
          <w:rFonts w:ascii="Cambria" w:hAnsi="Cambria"/>
          <w:sz w:val="16"/>
          <w:szCs w:val="16"/>
        </w:rPr>
        <w:t xml:space="preserve"> Recurso de casación interpuesto por Esteban Mantecón Auxiliar Letrado de la Defensoría de Cámara asistiendo técnicamente a Diego Armando Pacheco, recibido por Cámara Primera en lo Criminal el 2 de octubre de 2002. Anexo 3 a la comunicación de la parte peticionaria recibida por la Comisión el 21 de mayo de 2004.  </w:t>
      </w:r>
    </w:p>
  </w:footnote>
  <w:footnote w:id="14">
    <w:p w14:paraId="505D8F13" w14:textId="37E26B5F"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4</w:t>
      </w:r>
      <w:r w:rsidRPr="00982E29">
        <w:rPr>
          <w:rFonts w:ascii="Cambria" w:hAnsi="Cambria"/>
          <w:b/>
          <w:sz w:val="16"/>
          <w:szCs w:val="16"/>
        </w:rPr>
        <w:t>.</w:t>
      </w:r>
      <w:r w:rsidRPr="00982E29">
        <w:rPr>
          <w:rFonts w:ascii="Cambria" w:hAnsi="Cambria"/>
          <w:sz w:val="16"/>
          <w:szCs w:val="16"/>
        </w:rPr>
        <w:t xml:space="preserve"> Sentencia del Superior Tribunal de Justicia de la Provincia de Chubut de fecha 16 de diciembre de 2002. Anexo 6 a la comunicación de la parte peticionaria recibida por la Comisión el 21 de mayo de 2004.  </w:t>
      </w:r>
    </w:p>
  </w:footnote>
  <w:footnote w:id="15">
    <w:p w14:paraId="3046AC43" w14:textId="4138FE8B" w:rsidR="005076F9" w:rsidRPr="00541DF6"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5</w:t>
      </w:r>
      <w:r w:rsidRPr="00982E29">
        <w:rPr>
          <w:rFonts w:ascii="Cambria" w:hAnsi="Cambria"/>
          <w:b/>
          <w:sz w:val="16"/>
          <w:szCs w:val="16"/>
        </w:rPr>
        <w:t xml:space="preserve">. </w:t>
      </w:r>
      <w:r w:rsidRPr="00982E29">
        <w:rPr>
          <w:rFonts w:ascii="Cambria" w:hAnsi="Cambria"/>
          <w:sz w:val="16"/>
          <w:szCs w:val="16"/>
        </w:rPr>
        <w:t>Recurso extraordinario federal interpuesto por Arnaldo Hugo Barone, Defensor General de la Provincia de Chubut en representación legal de Diego Armando Pacheco. Anexo 8 a la comunicación de la parte peticionaria recibida por la Comisión el 21 de mayo de 2004</w:t>
      </w:r>
      <w:r w:rsidRPr="00F47689">
        <w:rPr>
          <w:rFonts w:ascii="Cambria" w:hAnsi="Cambria"/>
          <w:sz w:val="16"/>
          <w:szCs w:val="16"/>
        </w:rPr>
        <w:t xml:space="preserve">.  </w:t>
      </w:r>
    </w:p>
  </w:footnote>
  <w:footnote w:id="16">
    <w:p w14:paraId="224B5072" w14:textId="77777777" w:rsidR="005076F9" w:rsidRPr="002D197F" w:rsidRDefault="005076F9" w:rsidP="0046163F">
      <w:pPr>
        <w:pStyle w:val="NormalWeb"/>
        <w:spacing w:before="0" w:beforeAutospacing="0" w:after="0" w:afterAutospacing="0"/>
        <w:jc w:val="both"/>
        <w:rPr>
          <w:rFonts w:ascii="Cambria" w:hAnsi="Cambria"/>
          <w:sz w:val="16"/>
          <w:szCs w:val="16"/>
          <w:lang w:val="es-419"/>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w:t>
      </w:r>
      <w:r w:rsidRPr="00F47689">
        <w:rPr>
          <w:rFonts w:ascii="Cambria" w:eastAsia="Arial Unicode MS" w:hAnsi="Cambria"/>
          <w:sz w:val="16"/>
          <w:szCs w:val="16"/>
          <w:bdr w:val="nil"/>
          <w:lang w:val="es-ES"/>
        </w:rPr>
        <w:t xml:space="preserve">CIDH, Informe No. 75/14, Petición 1018-08. Admisibilidad. Ronald Moya Chacón y Freddy Parrales Chaves. Costa Rica. 15 de agosto de </w:t>
      </w:r>
      <w:r w:rsidRPr="00BB6AA9">
        <w:rPr>
          <w:rFonts w:ascii="Cambria" w:eastAsia="Arial Unicode MS" w:hAnsi="Cambria"/>
          <w:sz w:val="16"/>
          <w:szCs w:val="16"/>
          <w:bdr w:val="nil"/>
          <w:lang w:val="es-ES"/>
        </w:rPr>
        <w:t>2014, párr. 32.</w:t>
      </w:r>
      <w:r w:rsidRPr="00BB6AA9">
        <w:rPr>
          <w:rFonts w:ascii="Cambria" w:hAnsi="Cambria" w:cs="Calibri"/>
          <w:color w:val="7F7F7F"/>
          <w:sz w:val="16"/>
          <w:szCs w:val="16"/>
          <w:lang w:val="es-ES"/>
        </w:rPr>
        <w:t xml:space="preserve"> </w:t>
      </w:r>
    </w:p>
  </w:footnote>
  <w:footnote w:id="17">
    <w:p w14:paraId="73F64003" w14:textId="2CDC8BC6" w:rsidR="005076F9" w:rsidRPr="00982E29" w:rsidRDefault="005076F9" w:rsidP="0046163F">
      <w:pPr>
        <w:pStyle w:val="NormalWeb"/>
        <w:spacing w:before="0" w:beforeAutospacing="0" w:after="0" w:afterAutospacing="0"/>
        <w:jc w:val="both"/>
        <w:rPr>
          <w:rFonts w:ascii="Cambria" w:hAnsi="Cambria" w:cs="Arial"/>
          <w:sz w:val="20"/>
          <w:szCs w:val="20"/>
          <w:lang w:val="es-US"/>
        </w:rPr>
      </w:pPr>
      <w:r w:rsidRPr="002D197F">
        <w:rPr>
          <w:rStyle w:val="FootnoteReference"/>
          <w:rFonts w:ascii="Cambria" w:hAnsi="Cambria"/>
          <w:sz w:val="16"/>
          <w:szCs w:val="16"/>
          <w:lang w:val="es-419"/>
        </w:rPr>
        <w:footnoteRef/>
      </w:r>
      <w:r w:rsidRPr="002D197F">
        <w:rPr>
          <w:rStyle w:val="FootnoteReference"/>
          <w:rFonts w:ascii="Cambria" w:hAnsi="Cambria"/>
          <w:sz w:val="16"/>
          <w:szCs w:val="16"/>
          <w:lang w:val="es-419"/>
        </w:rPr>
        <w:t xml:space="preserve"> </w:t>
      </w:r>
      <w:r w:rsidR="0046163F" w:rsidRPr="002D197F">
        <w:rPr>
          <w:rFonts w:ascii="Cambria" w:eastAsia="Arial Unicode MS" w:hAnsi="Cambria"/>
          <w:sz w:val="16"/>
          <w:szCs w:val="16"/>
          <w:bdr w:val="nil"/>
          <w:lang w:val="es-419"/>
        </w:rPr>
        <w:t xml:space="preserve">Al respecto, la CIDH ha indicado que “si bien en principio, en un caso como el presente puede ser suficiente que la presunta </w:t>
      </w:r>
      <w:r w:rsidR="002D197F" w:rsidRPr="002D197F">
        <w:rPr>
          <w:rFonts w:ascii="Cambria" w:eastAsia="Arial Unicode MS" w:hAnsi="Cambria"/>
          <w:sz w:val="16"/>
          <w:szCs w:val="16"/>
          <w:bdr w:val="nil"/>
          <w:lang w:val="es-419"/>
        </w:rPr>
        <w:t>víctima</w:t>
      </w:r>
      <w:r w:rsidR="0046163F" w:rsidRPr="002D197F">
        <w:rPr>
          <w:rFonts w:ascii="Cambria" w:eastAsia="Arial Unicode MS" w:hAnsi="Cambria"/>
          <w:sz w:val="16"/>
          <w:szCs w:val="16"/>
          <w:bdr w:val="nil"/>
          <w:lang w:val="es-419"/>
        </w:rPr>
        <w:t xml:space="preserve"> agote los recursos ordinarios, si agota recursos extraordinarios con la expectativa razonable de obtener un resultado favorable, entonces los mismos pueden tomarse en cuenta como recursos </w:t>
      </w:r>
      <w:r w:rsidR="002D197F" w:rsidRPr="002D197F">
        <w:rPr>
          <w:rFonts w:ascii="Cambria" w:eastAsia="Arial Unicode MS" w:hAnsi="Cambria"/>
          <w:sz w:val="16"/>
          <w:szCs w:val="16"/>
          <w:bdr w:val="nil"/>
          <w:lang w:val="es-419"/>
        </w:rPr>
        <w:t>válidamente</w:t>
      </w:r>
      <w:r w:rsidR="0046163F" w:rsidRPr="002D197F">
        <w:rPr>
          <w:rFonts w:ascii="Cambria" w:eastAsia="Arial Unicode MS" w:hAnsi="Cambria"/>
          <w:sz w:val="16"/>
          <w:szCs w:val="16"/>
          <w:bdr w:val="nil"/>
          <w:lang w:val="es-419"/>
        </w:rPr>
        <w:t xml:space="preserve"> agotados para efectos del cumplimiento de los requisitos de admisibilidad de la </w:t>
      </w:r>
      <w:r w:rsidR="002D197F" w:rsidRPr="002D197F">
        <w:rPr>
          <w:rFonts w:ascii="Cambria" w:eastAsia="Arial Unicode MS" w:hAnsi="Cambria"/>
          <w:sz w:val="16"/>
          <w:szCs w:val="16"/>
          <w:bdr w:val="nil"/>
          <w:lang w:val="es-419"/>
        </w:rPr>
        <w:t>petición</w:t>
      </w:r>
      <w:r w:rsidR="0046163F" w:rsidRPr="002D197F">
        <w:rPr>
          <w:rFonts w:ascii="Cambria" w:eastAsia="Arial Unicode MS" w:hAnsi="Cambria"/>
          <w:sz w:val="16"/>
          <w:szCs w:val="16"/>
          <w:bdr w:val="nil"/>
          <w:lang w:val="es-419"/>
        </w:rPr>
        <w:t xml:space="preserve">” </w:t>
      </w:r>
      <w:r w:rsidRPr="002D197F">
        <w:rPr>
          <w:rFonts w:ascii="Cambria" w:eastAsia="Arial Unicode MS" w:hAnsi="Cambria"/>
          <w:sz w:val="16"/>
          <w:szCs w:val="16"/>
          <w:bdr w:val="nil"/>
          <w:lang w:val="es-419"/>
        </w:rPr>
        <w:t>CIDH, Informe No. 58/18. Admisibilidad. Rómulo Rubén</w:t>
      </w:r>
      <w:r w:rsidRPr="0080032E">
        <w:rPr>
          <w:rFonts w:ascii="Cambria" w:eastAsia="Arial Unicode MS" w:hAnsi="Cambria"/>
          <w:sz w:val="16"/>
          <w:szCs w:val="16"/>
          <w:bdr w:val="nil"/>
          <w:lang w:val="es-ES"/>
        </w:rPr>
        <w:t xml:space="preserve"> Palma Rodríguez. Perú́. 5 de mayo de 2018, párr. 15; </w:t>
      </w:r>
      <w:r w:rsidRPr="0080032E">
        <w:rPr>
          <w:rFonts w:ascii="Cambria" w:hAnsi="Cambria"/>
          <w:sz w:val="16"/>
          <w:szCs w:val="16"/>
          <w:lang w:val="es-ES"/>
        </w:rPr>
        <w:t>CIDH, Informe No</w:t>
      </w:r>
      <w:r w:rsidRPr="00982E29">
        <w:rPr>
          <w:rFonts w:ascii="Cambria" w:hAnsi="Cambria"/>
          <w:sz w:val="16"/>
          <w:szCs w:val="16"/>
          <w:lang w:val="es-ES"/>
        </w:rPr>
        <w:t>. 156/17, Petición 585-08. Admisibilidad. Carlos Alfonso Fonseca Murillo. Ecuador. 30 de noviembre de 2017, párr. 17</w:t>
      </w:r>
      <w:r w:rsidRPr="00982E29">
        <w:rPr>
          <w:rFonts w:ascii="Cambria" w:hAnsi="Cambria"/>
          <w:sz w:val="20"/>
          <w:szCs w:val="20"/>
          <w:lang w:val="es-ES"/>
        </w:rPr>
        <w:t xml:space="preserve"> </w:t>
      </w:r>
    </w:p>
  </w:footnote>
  <w:footnote w:id="18">
    <w:p w14:paraId="3E59F18B" w14:textId="2D2186EE" w:rsidR="005076F9" w:rsidRPr="00982E29" w:rsidRDefault="005076F9" w:rsidP="0046163F">
      <w:pPr>
        <w:pStyle w:val="FootnoteText"/>
        <w:jc w:val="both"/>
        <w:rPr>
          <w:rFonts w:ascii="Cambria" w:hAnsi="Cambria"/>
          <w:sz w:val="16"/>
          <w:szCs w:val="16"/>
          <w:lang w:val="es-419"/>
        </w:rPr>
      </w:pPr>
      <w:r w:rsidRPr="00982E29">
        <w:rPr>
          <w:rStyle w:val="FootnoteReference"/>
          <w:rFonts w:ascii="Cambria" w:hAnsi="Cambria"/>
          <w:sz w:val="16"/>
          <w:szCs w:val="16"/>
        </w:rPr>
        <w:footnoteRef/>
      </w:r>
      <w:r w:rsidRPr="00982E29">
        <w:rPr>
          <w:rFonts w:ascii="Cambria" w:hAnsi="Cambria"/>
          <w:sz w:val="16"/>
          <w:szCs w:val="16"/>
        </w:rPr>
        <w:t xml:space="preserve"> </w:t>
      </w:r>
      <w:bookmarkStart w:id="34" w:name="_Hlk78304484"/>
      <w:r w:rsidRPr="00982E29">
        <w:rPr>
          <w:rFonts w:ascii="Cambria" w:hAnsi="Cambria"/>
          <w:b/>
          <w:sz w:val="16"/>
          <w:szCs w:val="16"/>
        </w:rPr>
        <w:t xml:space="preserve">ANEXO </w:t>
      </w:r>
      <w:r w:rsidR="00982E29" w:rsidRPr="00982E29">
        <w:rPr>
          <w:rFonts w:ascii="Cambria" w:hAnsi="Cambria"/>
          <w:b/>
          <w:sz w:val="16"/>
          <w:szCs w:val="16"/>
        </w:rPr>
        <w:t>6</w:t>
      </w:r>
      <w:r w:rsidRPr="00982E29">
        <w:rPr>
          <w:rFonts w:ascii="Cambria" w:hAnsi="Cambria"/>
          <w:b/>
          <w:sz w:val="16"/>
          <w:szCs w:val="16"/>
        </w:rPr>
        <w:t>.</w:t>
      </w:r>
      <w:r w:rsidRPr="00982E29">
        <w:rPr>
          <w:rFonts w:ascii="Cambria" w:hAnsi="Cambria"/>
          <w:sz w:val="16"/>
          <w:szCs w:val="16"/>
        </w:rPr>
        <w:t xml:space="preserve"> Cedula de notificación 55637/03 suscripta por el Ujier de la Corte Suprema de Justicia de la Nación. Anexo 2 a la comunicación</w:t>
      </w:r>
      <w:r w:rsidRPr="00982E29">
        <w:rPr>
          <w:rFonts w:ascii="Cambria" w:hAnsi="Cambria"/>
          <w:sz w:val="16"/>
          <w:szCs w:val="16"/>
          <w:lang w:val="es-419"/>
        </w:rPr>
        <w:t xml:space="preserve"> del peticionario de fecha 4 de agosto de 2009. </w:t>
      </w:r>
      <w:bookmarkEnd w:id="34"/>
    </w:p>
  </w:footnote>
  <w:footnote w:id="19">
    <w:p w14:paraId="1B9429F4" w14:textId="77777777" w:rsidR="005076F9" w:rsidRPr="00982E29" w:rsidRDefault="005076F9" w:rsidP="0046163F">
      <w:pPr>
        <w:pStyle w:val="FootnoteText"/>
        <w:jc w:val="both"/>
        <w:rPr>
          <w:rFonts w:ascii="Cambria" w:hAnsi="Cambria"/>
          <w:sz w:val="16"/>
          <w:szCs w:val="16"/>
          <w:lang w:val="es-419"/>
        </w:rPr>
      </w:pPr>
      <w:r w:rsidRPr="00982E29">
        <w:rPr>
          <w:rStyle w:val="FootnoteReference"/>
          <w:rFonts w:ascii="Cambria" w:hAnsi="Cambria"/>
          <w:sz w:val="16"/>
          <w:szCs w:val="16"/>
          <w:lang w:val="es-419"/>
        </w:rPr>
        <w:footnoteRef/>
      </w:r>
      <w:r w:rsidRPr="00982E29">
        <w:rPr>
          <w:rFonts w:ascii="Cambria" w:hAnsi="Cambria"/>
          <w:sz w:val="16"/>
          <w:szCs w:val="16"/>
          <w:lang w:val="es-419"/>
        </w:rPr>
        <w:t xml:space="preserve"> CIDH, Informe No. 173/17, Petición 1111-08. Admisibilidad. Marcela Brenda Iglesias, Nora Ester Ribaudo y Eduardo Rubén Iglesias. Argentina. 29 de diciembre de 2017, párr. 8.</w:t>
      </w:r>
    </w:p>
  </w:footnote>
  <w:footnote w:id="20">
    <w:p w14:paraId="477A8D3E" w14:textId="42FC0B97" w:rsidR="005076F9" w:rsidRPr="00BE7AB4" w:rsidRDefault="005076F9" w:rsidP="0046163F">
      <w:pPr>
        <w:pStyle w:val="NoSpacing"/>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ARTICULO 2°</w:t>
      </w:r>
      <w:r w:rsidRPr="00982E29">
        <w:rPr>
          <w:rFonts w:ascii="Cambria" w:hAnsi="Cambria"/>
          <w:sz w:val="16"/>
          <w:szCs w:val="16"/>
        </w:rPr>
        <w:t xml:space="preserve"> - Es punible el menor de dieciséis (16) años a dieciocho (18) años de edad que incurriere en delito que no fuera de los enunciados en el artículo 1°. En esos casos la autoridad judicial lo someterá al respectivo proceso y deberá disponerlo provisionalmente durante su tramitación a fin de posibilitar la aplicación de las facultades conferidas por el articulo 4°. </w:t>
      </w:r>
      <w:r w:rsidRPr="00982E29">
        <w:rPr>
          <w:rFonts w:ascii="Cambria" w:hAnsi="Cambria"/>
          <w:sz w:val="16"/>
          <w:szCs w:val="16"/>
          <w:u w:color="000000"/>
          <w:lang w:eastAsia="es-ES"/>
        </w:rPr>
        <w:br/>
        <w:t>Cualquiera fuese el resultado de la causa, si de los estudios realizados apareciera que el menor se halla abandonado, falto de asistencia en peligro material o moral, o presenta problemas de conducta, el juez dispondrá definitivamente del mismo por auto fundado, previa audiencia de los padres, tutor o</w:t>
      </w:r>
      <w:r w:rsidRPr="00BE7AB4">
        <w:rPr>
          <w:rFonts w:ascii="Cambria" w:hAnsi="Cambria"/>
          <w:sz w:val="16"/>
          <w:szCs w:val="16"/>
          <w:u w:color="000000"/>
          <w:lang w:eastAsia="es-ES"/>
        </w:rPr>
        <w:t xml:space="preserve"> guardador.</w:t>
      </w:r>
    </w:p>
  </w:footnote>
  <w:footnote w:id="21">
    <w:p w14:paraId="05AD8D7E" w14:textId="4F779257" w:rsidR="005076F9" w:rsidRPr="00BE7AB4" w:rsidRDefault="005076F9" w:rsidP="0046163F">
      <w:pPr>
        <w:pStyle w:val="NoSpacing"/>
        <w:jc w:val="both"/>
        <w:rPr>
          <w:rFonts w:ascii="Cambria" w:hAnsi="Cambria"/>
          <w:sz w:val="16"/>
          <w:szCs w:val="16"/>
          <w:u w:color="000000"/>
          <w:lang w:eastAsia="es-ES"/>
        </w:rPr>
      </w:pPr>
      <w:r w:rsidRPr="00BE7AB4">
        <w:rPr>
          <w:rStyle w:val="FootnoteReference"/>
          <w:rFonts w:ascii="Cambria" w:hAnsi="Cambria"/>
          <w:sz w:val="16"/>
          <w:szCs w:val="16"/>
        </w:rPr>
        <w:footnoteRef/>
      </w:r>
      <w:r w:rsidRPr="00BE7AB4">
        <w:rPr>
          <w:rStyle w:val="FootnoteReference"/>
          <w:rFonts w:ascii="Cambria" w:hAnsi="Cambria"/>
          <w:sz w:val="16"/>
          <w:szCs w:val="16"/>
        </w:rPr>
        <w:t xml:space="preserve"> </w:t>
      </w:r>
      <w:r w:rsidRPr="00BE7AB4">
        <w:rPr>
          <w:rFonts w:ascii="Cambria" w:hAnsi="Cambria"/>
          <w:sz w:val="16"/>
          <w:szCs w:val="16"/>
        </w:rPr>
        <w:t xml:space="preserve"> </w:t>
      </w:r>
      <w:r w:rsidRPr="00BE7AB4">
        <w:rPr>
          <w:rFonts w:ascii="Cambria" w:hAnsi="Cambria"/>
          <w:b/>
          <w:sz w:val="16"/>
          <w:szCs w:val="16"/>
          <w:u w:color="000000"/>
          <w:lang w:eastAsia="es-ES"/>
        </w:rPr>
        <w:t>ARTICULO 4º</w:t>
      </w:r>
      <w:r w:rsidRPr="00BE7AB4">
        <w:rPr>
          <w:rFonts w:ascii="Cambria" w:hAnsi="Cambria"/>
          <w:sz w:val="16"/>
          <w:szCs w:val="16"/>
          <w:u w:color="000000"/>
          <w:lang w:eastAsia="es-ES"/>
        </w:rPr>
        <w:t xml:space="preserve"> - La imposición de pena respecto del menor a que se refiere el artículo segundo estará supeditada a los siguientes requisitos:</w:t>
      </w:r>
      <w:r w:rsidRPr="00BE7AB4">
        <w:rPr>
          <w:rFonts w:ascii="Cambria" w:hAnsi="Cambria"/>
          <w:sz w:val="16"/>
          <w:szCs w:val="16"/>
          <w:u w:color="000000"/>
          <w:lang w:eastAsia="es-ES"/>
        </w:rPr>
        <w:br/>
        <w:t>1º - Que previamente haya sido declarada su responsabilidad penal y la civil si correspondiere, conforme a las normas procesales.</w:t>
      </w:r>
    </w:p>
    <w:p w14:paraId="3935F610" w14:textId="3F46840F" w:rsidR="005076F9" w:rsidRPr="00BE7AB4" w:rsidRDefault="005076F9" w:rsidP="0046163F">
      <w:pPr>
        <w:pStyle w:val="NoSpacing"/>
        <w:jc w:val="both"/>
        <w:rPr>
          <w:rFonts w:ascii="Cambria" w:hAnsi="Cambria"/>
          <w:sz w:val="16"/>
          <w:szCs w:val="16"/>
          <w:u w:color="000000"/>
          <w:lang w:eastAsia="es-ES"/>
        </w:rPr>
      </w:pPr>
      <w:r w:rsidRPr="00BE7AB4">
        <w:rPr>
          <w:rFonts w:ascii="Cambria" w:hAnsi="Cambria"/>
          <w:sz w:val="16"/>
          <w:szCs w:val="16"/>
          <w:u w:color="000000"/>
          <w:lang w:eastAsia="es-ES"/>
        </w:rPr>
        <w:t xml:space="preserve">2° - Que haya cumplido dieciocho (18) años de edad. </w:t>
      </w:r>
    </w:p>
    <w:p w14:paraId="440B863C" w14:textId="25862762" w:rsidR="005076F9" w:rsidRPr="00DE1DCB" w:rsidRDefault="005076F9" w:rsidP="0046163F">
      <w:pPr>
        <w:pStyle w:val="NoSpacing"/>
        <w:jc w:val="both"/>
      </w:pPr>
      <w:r w:rsidRPr="00BE7AB4">
        <w:rPr>
          <w:rFonts w:ascii="Cambria" w:hAnsi="Cambria"/>
          <w:sz w:val="16"/>
          <w:szCs w:val="16"/>
          <w:u w:color="000000"/>
          <w:lang w:eastAsia="es-ES"/>
        </w:rPr>
        <w:t>3° - Que haya sido sometido a un periodo de tratamiento tutelar no inferior a un (1) año, prorrogable en caso necesario hasta la mayoría de edad</w:t>
      </w:r>
      <w:r w:rsidRPr="00BE7AB4">
        <w:rPr>
          <w:rFonts w:ascii="Cambria" w:hAnsi="Cambria"/>
          <w:sz w:val="16"/>
          <w:szCs w:val="16"/>
          <w:u w:color="000000"/>
          <w:lang w:eastAsia="es-ES"/>
        </w:rPr>
        <w:br/>
        <w:t>Una vez cumplidos estos requisitos, si las modalidades del hecho, los antecedentes del menor, el resultado del tratamiento tutelar y la impresión directa recogida por el juez hicieren necesario aplicarle una sanción, así lo resolverá, pudiendo reducirla en la forma prevista para la tentativa.</w:t>
      </w:r>
      <w:r w:rsidRPr="00BE7AB4">
        <w:rPr>
          <w:rFonts w:ascii="Cambria" w:hAnsi="Cambria"/>
          <w:sz w:val="16"/>
          <w:szCs w:val="16"/>
          <w:u w:color="000000"/>
          <w:lang w:eastAsia="es-ES"/>
        </w:rPr>
        <w:br/>
        <w:t>Contrariamente, si fuese innecesario aplicarle sanción, lo absolverá, en cuyo caso podrá prescindir del requisito del inciso segundo.</w:t>
      </w:r>
    </w:p>
  </w:footnote>
  <w:footnote w:id="22">
    <w:p w14:paraId="1B042A76" w14:textId="0A5CB2EF"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bookmarkStart w:id="43" w:name="_Hlk78304513"/>
      <w:r w:rsidRPr="00982E29">
        <w:rPr>
          <w:rFonts w:ascii="Cambria" w:hAnsi="Cambria"/>
          <w:b/>
          <w:sz w:val="16"/>
          <w:szCs w:val="16"/>
        </w:rPr>
        <w:t xml:space="preserve">ANEXO </w:t>
      </w:r>
      <w:r w:rsidR="00982E29" w:rsidRPr="00982E29">
        <w:rPr>
          <w:rFonts w:ascii="Cambria" w:hAnsi="Cambria"/>
          <w:b/>
          <w:sz w:val="16"/>
          <w:szCs w:val="16"/>
        </w:rPr>
        <w:t>7</w:t>
      </w:r>
      <w:r w:rsidRPr="00982E29">
        <w:rPr>
          <w:rFonts w:ascii="Cambria" w:hAnsi="Cambria"/>
          <w:sz w:val="16"/>
          <w:szCs w:val="16"/>
        </w:rPr>
        <w:t>. Sentencia Nro. 17/2002 de la Cámara Primera en lo Criminal de la Circunscripción Judicial de Comodoro Rivadavia de fecha 19 de mayo de 2000. Anexo 3 a la comunicación de la parte peticionaria de fecha 4 de agosto de 2009.</w:t>
      </w:r>
      <w:bookmarkEnd w:id="43"/>
    </w:p>
  </w:footnote>
  <w:footnote w:id="23">
    <w:p w14:paraId="3185BFC8" w14:textId="77543679"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7</w:t>
      </w:r>
      <w:r w:rsidRPr="00982E29">
        <w:rPr>
          <w:rFonts w:ascii="Cambria" w:hAnsi="Cambria"/>
          <w:b/>
          <w:sz w:val="16"/>
          <w:szCs w:val="16"/>
        </w:rPr>
        <w:t>.</w:t>
      </w:r>
      <w:r w:rsidRPr="00982E29">
        <w:rPr>
          <w:rFonts w:ascii="Cambria" w:hAnsi="Cambria"/>
          <w:sz w:val="16"/>
          <w:szCs w:val="16"/>
        </w:rPr>
        <w:t xml:space="preserve"> Sentencia Nro. 17/2002 de la Cámara Primera en lo Criminal de la Circunscripción Judicial de Comodoro Rivadavia de fecha 19 de mayo de 2000. Anexo 3 a la comunicación de la parte peticionaria de fecha 4 de agosto de 2009.</w:t>
      </w:r>
    </w:p>
  </w:footnote>
  <w:footnote w:id="24">
    <w:p w14:paraId="1607D9E1" w14:textId="488FF2D7"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lang w:val="es-AR"/>
        </w:rPr>
        <w:t xml:space="preserve">ANEXO </w:t>
      </w:r>
      <w:r w:rsidR="00982E29" w:rsidRPr="00982E29">
        <w:rPr>
          <w:rFonts w:ascii="Cambria" w:hAnsi="Cambria"/>
          <w:b/>
          <w:sz w:val="16"/>
          <w:szCs w:val="16"/>
          <w:lang w:val="es-AR"/>
        </w:rPr>
        <w:t>8</w:t>
      </w:r>
      <w:r w:rsidRPr="00982E29">
        <w:rPr>
          <w:rFonts w:ascii="Cambria" w:hAnsi="Cambria"/>
          <w:sz w:val="16"/>
          <w:szCs w:val="16"/>
          <w:lang w:val="es-AR"/>
        </w:rPr>
        <w:t xml:space="preserve">. Sentencia Nro. 50/2002 de la </w:t>
      </w:r>
      <w:r w:rsidRPr="00982E29">
        <w:rPr>
          <w:rFonts w:ascii="Cambria" w:hAnsi="Cambria"/>
          <w:sz w:val="16"/>
          <w:szCs w:val="16"/>
        </w:rPr>
        <w:t xml:space="preserve">Cámara Primera en lo Criminal de la Circunscripción Judicial de Comodoro Rivadavia de fecha 17 de septiembre de 2002. Anexo 1 a la comunicación de la parte peticionaria recibida por la Comisión el 21 de mayo de 2004.  </w:t>
      </w:r>
    </w:p>
  </w:footnote>
  <w:footnote w:id="25">
    <w:p w14:paraId="27347BF3" w14:textId="3EE24DC0"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lang w:val="es-AR"/>
        </w:rPr>
        <w:t xml:space="preserve">ANEXO </w:t>
      </w:r>
      <w:r w:rsidR="00982E29" w:rsidRPr="00982E29">
        <w:rPr>
          <w:rFonts w:ascii="Cambria" w:hAnsi="Cambria"/>
          <w:b/>
          <w:sz w:val="16"/>
          <w:szCs w:val="16"/>
          <w:lang w:val="es-AR"/>
        </w:rPr>
        <w:t>8</w:t>
      </w:r>
      <w:r w:rsidRPr="00982E29">
        <w:rPr>
          <w:rFonts w:ascii="Cambria" w:hAnsi="Cambria"/>
          <w:sz w:val="16"/>
          <w:szCs w:val="16"/>
          <w:lang w:val="es-AR"/>
        </w:rPr>
        <w:t xml:space="preserve">. Sentencia Nro. 50/2002 de la </w:t>
      </w:r>
      <w:r w:rsidRPr="00982E29">
        <w:rPr>
          <w:rFonts w:ascii="Cambria" w:hAnsi="Cambria"/>
          <w:sz w:val="16"/>
          <w:szCs w:val="16"/>
        </w:rPr>
        <w:t xml:space="preserve">Cámara Primera en lo Criminal de la Circunscripción Judicial de Comodoro Rivadavia de fecha 17 de septiembre de 2002. Anexo 1 a la comunicación de la parte peticionaria recibida por la Comisión el 21 de mayo de 2004.  </w:t>
      </w:r>
    </w:p>
  </w:footnote>
  <w:footnote w:id="26">
    <w:p w14:paraId="26652540" w14:textId="66D010A5"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bookmarkStart w:id="44" w:name="_Hlk78304546"/>
      <w:r w:rsidRPr="00982E29">
        <w:rPr>
          <w:rFonts w:ascii="Cambria" w:hAnsi="Cambria"/>
          <w:b/>
          <w:sz w:val="16"/>
          <w:szCs w:val="16"/>
          <w:lang w:val="es-AR"/>
        </w:rPr>
        <w:t xml:space="preserve">ANEXO </w:t>
      </w:r>
      <w:r w:rsidR="00982E29" w:rsidRPr="00982E29">
        <w:rPr>
          <w:rFonts w:ascii="Cambria" w:hAnsi="Cambria"/>
          <w:b/>
          <w:sz w:val="16"/>
          <w:szCs w:val="16"/>
          <w:lang w:val="es-AR"/>
        </w:rPr>
        <w:t>8</w:t>
      </w:r>
      <w:r w:rsidRPr="00982E29">
        <w:rPr>
          <w:rFonts w:ascii="Cambria" w:hAnsi="Cambria"/>
          <w:sz w:val="16"/>
          <w:szCs w:val="16"/>
          <w:lang w:val="es-AR"/>
        </w:rPr>
        <w:t xml:space="preserve">. Sentencia Nro. 50/2002 de la </w:t>
      </w:r>
      <w:r w:rsidRPr="00982E29">
        <w:rPr>
          <w:rFonts w:ascii="Cambria" w:hAnsi="Cambria"/>
          <w:sz w:val="16"/>
          <w:szCs w:val="16"/>
        </w:rPr>
        <w:t xml:space="preserve">Cámara Primera en lo Criminal de la Circunscripción Judicial de Comodoro Rivadavia de fecha 17 de septiembre de 2002. Anexo 1 a la comunicación de la parte peticionaria recibida por la Comisión el 21 de mayo de 2004.  </w:t>
      </w:r>
      <w:bookmarkEnd w:id="44"/>
    </w:p>
  </w:footnote>
  <w:footnote w:id="27">
    <w:p w14:paraId="22C4398C" w14:textId="156302FA" w:rsidR="005076F9" w:rsidRPr="00541DF6"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2</w:t>
      </w:r>
      <w:r w:rsidRPr="00982E29">
        <w:rPr>
          <w:rFonts w:ascii="Cambria" w:hAnsi="Cambria"/>
          <w:b/>
          <w:sz w:val="16"/>
          <w:szCs w:val="16"/>
        </w:rPr>
        <w:t>.</w:t>
      </w:r>
      <w:r w:rsidRPr="00982E29">
        <w:rPr>
          <w:rFonts w:ascii="Cambria" w:hAnsi="Cambria"/>
          <w:sz w:val="16"/>
          <w:szCs w:val="16"/>
        </w:rPr>
        <w:t xml:space="preserve"> Recurso de casación interpuesto por María Isabel Díaz de Fajardo, Asesora Civil de Familia e Incapaces, en representación de Diego Armando Pacheco, recibido por la Cámara Primera en lo Criminal el 26 de septiembre de 2002. Anexo 2 a la comunicación de la parte peticionaria recibida por la Comisión el 21 de mayo de 2004.</w:t>
      </w:r>
      <w:r w:rsidRPr="00F47689">
        <w:rPr>
          <w:rFonts w:ascii="Cambria" w:hAnsi="Cambria"/>
          <w:sz w:val="16"/>
          <w:szCs w:val="16"/>
        </w:rPr>
        <w:t xml:space="preserve">  </w:t>
      </w:r>
    </w:p>
  </w:footnote>
  <w:footnote w:id="28">
    <w:p w14:paraId="048A1D35" w14:textId="44899E1B" w:rsidR="005076F9" w:rsidRPr="00982E29"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3</w:t>
      </w:r>
      <w:r w:rsidRPr="00982E29">
        <w:rPr>
          <w:rFonts w:ascii="Cambria" w:hAnsi="Cambria"/>
          <w:b/>
          <w:sz w:val="16"/>
          <w:szCs w:val="16"/>
        </w:rPr>
        <w:t>.</w:t>
      </w:r>
      <w:r w:rsidRPr="00982E29">
        <w:rPr>
          <w:rFonts w:ascii="Cambria" w:hAnsi="Cambria"/>
          <w:sz w:val="16"/>
          <w:szCs w:val="16"/>
        </w:rPr>
        <w:t xml:space="preserve"> Recurso de casación interpuesto por Esteban Mantecón, Auxiliar Letrado de la Defensoría de Cámara, recibido por Cámara Primera en lo Criminal el 2 de octubre de 2002. Anexo 3 a la comunicación de la parte peticionaria recibida por la Comisión el 21 de mayo de 2004.  </w:t>
      </w:r>
    </w:p>
  </w:footnote>
  <w:footnote w:id="29">
    <w:p w14:paraId="613FF8AA" w14:textId="2A368DFC"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2</w:t>
      </w:r>
      <w:r w:rsidRPr="00982E29">
        <w:rPr>
          <w:rFonts w:ascii="Cambria" w:hAnsi="Cambria"/>
          <w:b/>
          <w:sz w:val="16"/>
          <w:szCs w:val="16"/>
        </w:rPr>
        <w:t>.</w:t>
      </w:r>
      <w:r w:rsidRPr="00982E29">
        <w:rPr>
          <w:rFonts w:ascii="Cambria" w:hAnsi="Cambria"/>
          <w:sz w:val="16"/>
          <w:szCs w:val="16"/>
        </w:rPr>
        <w:t xml:space="preserve"> Recurso de casación interpuesto por María Isabel Díaz de Fajardo, Asesora Civil de Familia e Incapaces, en representación de Diego Armando Pacheco, recibido por la Cámara Primera en lo Criminal el 26 de septiembre de 2002. Anexo 2 a la comunicación de la parte peticionaria recibida por la Comisión el 21 de mayo de 2004.  </w:t>
      </w:r>
    </w:p>
  </w:footnote>
  <w:footnote w:id="30">
    <w:p w14:paraId="596CEF97" w14:textId="10D3F670" w:rsidR="005076F9" w:rsidRPr="00982E2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3</w:t>
      </w:r>
      <w:r w:rsidRPr="00982E29">
        <w:rPr>
          <w:rFonts w:ascii="Cambria" w:hAnsi="Cambria"/>
          <w:b/>
          <w:sz w:val="16"/>
          <w:szCs w:val="16"/>
        </w:rPr>
        <w:t>.</w:t>
      </w:r>
      <w:r w:rsidRPr="00982E29">
        <w:rPr>
          <w:rFonts w:ascii="Cambria" w:hAnsi="Cambria"/>
          <w:sz w:val="16"/>
          <w:szCs w:val="16"/>
        </w:rPr>
        <w:t xml:space="preserve"> Recurso de casación interpuesto por Esteban Mantecón, Auxiliar Letrado de la Defensoría de Cámara, recibido por Cámara Primera en lo Criminal el 2 de octubre de 2002. Anexo 3 a la comunicación de la parte peticionaria recibida por la Comisión el 21 de mayo de 2004.  </w:t>
      </w:r>
    </w:p>
  </w:footnote>
  <w:footnote w:id="31">
    <w:p w14:paraId="07DBE419" w14:textId="398FB6F2" w:rsidR="005076F9" w:rsidRPr="00982E2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bookmarkStart w:id="47" w:name="_Hlk78304621"/>
      <w:r w:rsidRPr="00982E29">
        <w:rPr>
          <w:rFonts w:ascii="Cambria" w:hAnsi="Cambria"/>
          <w:b/>
          <w:sz w:val="16"/>
          <w:szCs w:val="16"/>
        </w:rPr>
        <w:t xml:space="preserve">ANEXO </w:t>
      </w:r>
      <w:r w:rsidR="00982E29" w:rsidRPr="00982E29">
        <w:rPr>
          <w:rFonts w:ascii="Cambria" w:hAnsi="Cambria"/>
          <w:b/>
          <w:sz w:val="16"/>
          <w:szCs w:val="16"/>
        </w:rPr>
        <w:t>9</w:t>
      </w:r>
      <w:r w:rsidRPr="00982E29">
        <w:rPr>
          <w:rFonts w:ascii="Cambria" w:hAnsi="Cambria"/>
          <w:sz w:val="16"/>
          <w:szCs w:val="16"/>
        </w:rPr>
        <w:t xml:space="preserve">. Resolución de la Cámara Primera en lo Criminal de Comodoro Rivadavia de fecha 3 de octubre de 2002. Anexo 4 a la comunicación de la parte peticionaria recibida por la Comisión el 21 de mayo de 2004.  </w:t>
      </w:r>
      <w:bookmarkEnd w:id="47"/>
    </w:p>
  </w:footnote>
  <w:footnote w:id="32">
    <w:p w14:paraId="2BDE70D8" w14:textId="0506887C"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4</w:t>
      </w:r>
      <w:r w:rsidRPr="00982E29">
        <w:rPr>
          <w:rFonts w:ascii="Cambria" w:hAnsi="Cambria"/>
          <w:b/>
          <w:sz w:val="16"/>
          <w:szCs w:val="16"/>
        </w:rPr>
        <w:t>.</w:t>
      </w:r>
      <w:r w:rsidRPr="00982E29">
        <w:rPr>
          <w:rFonts w:ascii="Cambria" w:hAnsi="Cambria"/>
          <w:sz w:val="16"/>
          <w:szCs w:val="16"/>
        </w:rPr>
        <w:t xml:space="preserve"> Sentencia del Superior Tribunal de Justicia de la Provincia del Chubut de fecha 16 de diciembre de 2002. Anexo 6 a la comunicación de la parte peticionaria recibida por la Comisión el 21 de mayo de 2004.  </w:t>
      </w:r>
    </w:p>
  </w:footnote>
  <w:footnote w:id="33">
    <w:p w14:paraId="67BD790B" w14:textId="763E9D5E" w:rsidR="005076F9" w:rsidRPr="00982E2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5</w:t>
      </w:r>
      <w:r w:rsidRPr="00982E29">
        <w:rPr>
          <w:rFonts w:ascii="Cambria" w:hAnsi="Cambria"/>
          <w:b/>
          <w:sz w:val="16"/>
          <w:szCs w:val="16"/>
        </w:rPr>
        <w:t xml:space="preserve">. </w:t>
      </w:r>
      <w:r w:rsidRPr="00982E29">
        <w:rPr>
          <w:rFonts w:ascii="Cambria" w:hAnsi="Cambria"/>
          <w:sz w:val="16"/>
          <w:szCs w:val="16"/>
        </w:rPr>
        <w:t xml:space="preserve">Recurso extraordinario federal interpuesto por Arnaldo Hugo Barone, Defensor General de la Provincia del Chubut en representación legal de Diego Armando Pacheco. Anexo 8 a la comunicación de la parte peticionaria recibida por la Comisión el 21 de mayo de 2004.  </w:t>
      </w:r>
    </w:p>
  </w:footnote>
  <w:footnote w:id="34">
    <w:p w14:paraId="588A0570" w14:textId="1A6B8841" w:rsidR="005076F9" w:rsidRPr="00F4768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bookmarkStart w:id="48" w:name="_Hlk78304688"/>
      <w:r w:rsidRPr="00982E29">
        <w:rPr>
          <w:rFonts w:ascii="Cambria" w:hAnsi="Cambria"/>
          <w:b/>
          <w:sz w:val="16"/>
          <w:szCs w:val="16"/>
        </w:rPr>
        <w:t xml:space="preserve">ANEXO </w:t>
      </w:r>
      <w:r w:rsidR="00982E29" w:rsidRPr="00982E29">
        <w:rPr>
          <w:rFonts w:ascii="Cambria" w:hAnsi="Cambria"/>
          <w:b/>
          <w:sz w:val="16"/>
          <w:szCs w:val="16"/>
        </w:rPr>
        <w:t>10</w:t>
      </w:r>
      <w:r w:rsidRPr="00982E29">
        <w:rPr>
          <w:rFonts w:ascii="Cambria" w:hAnsi="Cambria"/>
          <w:b/>
          <w:sz w:val="16"/>
          <w:szCs w:val="16"/>
        </w:rPr>
        <w:t>.</w:t>
      </w:r>
      <w:r w:rsidRPr="00982E29">
        <w:rPr>
          <w:rFonts w:ascii="Cambria" w:hAnsi="Cambria"/>
          <w:sz w:val="16"/>
          <w:szCs w:val="16"/>
        </w:rPr>
        <w:t xml:space="preserve"> Sentencia del Superior Tribunal de Justicia de la Provincia del Chubut de fecha 30 de junio de 2003. Anexo 12 a la comunicación de la parte peticionaria recibida por la Comisión el 21 de mayo de 2004.</w:t>
      </w:r>
      <w:r w:rsidRPr="00F47689">
        <w:rPr>
          <w:rFonts w:ascii="Cambria" w:hAnsi="Cambria"/>
          <w:sz w:val="16"/>
          <w:szCs w:val="16"/>
        </w:rPr>
        <w:t xml:space="preserve">  </w:t>
      </w:r>
      <w:bookmarkEnd w:id="48"/>
    </w:p>
  </w:footnote>
  <w:footnote w:id="35">
    <w:p w14:paraId="4CA2E090" w14:textId="55AED226" w:rsidR="005076F9" w:rsidRPr="00982E2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11</w:t>
      </w:r>
      <w:r w:rsidRPr="00982E29">
        <w:rPr>
          <w:rFonts w:ascii="Cambria" w:hAnsi="Cambria"/>
          <w:b/>
          <w:sz w:val="16"/>
          <w:szCs w:val="16"/>
        </w:rPr>
        <w:t xml:space="preserve">. </w:t>
      </w:r>
      <w:r w:rsidRPr="00982E29">
        <w:rPr>
          <w:rFonts w:ascii="Cambria" w:hAnsi="Cambria"/>
          <w:sz w:val="16"/>
          <w:szCs w:val="16"/>
        </w:rPr>
        <w:t xml:space="preserve">Recurso de queja por denegatoria de recurso extraordinario federal interpuesto por Arnaldo Hugo Barone, Defensor General de la Provincia del Chubut en representación legal de Diego Armando Pacheco. Anexo 14 a la comunicación de la parte peticionaria recibida por la Comisión el 21 de mayo de 2004.  </w:t>
      </w:r>
    </w:p>
  </w:footnote>
  <w:footnote w:id="36">
    <w:p w14:paraId="57CAFC01" w14:textId="37F8A81A" w:rsidR="005076F9" w:rsidRPr="00F4768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12</w:t>
      </w:r>
      <w:r w:rsidRPr="00982E29">
        <w:rPr>
          <w:rFonts w:ascii="Cambria" w:hAnsi="Cambria"/>
          <w:b/>
          <w:sz w:val="16"/>
          <w:szCs w:val="16"/>
        </w:rPr>
        <w:t>.</w:t>
      </w:r>
      <w:r w:rsidRPr="00982E29">
        <w:rPr>
          <w:rFonts w:ascii="Cambria" w:hAnsi="Cambria"/>
          <w:sz w:val="16"/>
          <w:szCs w:val="16"/>
        </w:rPr>
        <w:t xml:space="preserve"> Sentencia de la Corte Suprema de Justicia de la Nación de fecha 11 de noviembre de 2003. Anexo 1 a la comunicación de la parte peticionaria de fecha 4 de agosto de 2009.</w:t>
      </w:r>
      <w:r w:rsidRPr="00F47689">
        <w:rPr>
          <w:rFonts w:ascii="Cambria" w:hAnsi="Cambria"/>
          <w:sz w:val="16"/>
          <w:szCs w:val="16"/>
        </w:rPr>
        <w:t xml:space="preserve"> </w:t>
      </w:r>
    </w:p>
  </w:footnote>
  <w:footnote w:id="37">
    <w:p w14:paraId="5A087C92" w14:textId="050C995C"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Comunicación del Estado argentino de fecha 27 de julio de 2015. </w:t>
      </w:r>
    </w:p>
  </w:footnote>
  <w:footnote w:id="38">
    <w:p w14:paraId="3C8EA282" w14:textId="77777777" w:rsidR="005076F9" w:rsidRPr="00541DF6" w:rsidRDefault="005076F9" w:rsidP="0046163F">
      <w:pPr>
        <w:jc w:val="both"/>
        <w:rPr>
          <w:rFonts w:ascii="Cambria" w:hAnsi="Cambria"/>
          <w:sz w:val="16"/>
          <w:szCs w:val="16"/>
          <w:lang w:val="es-419"/>
        </w:rPr>
      </w:pPr>
      <w:r w:rsidRPr="00BE7AB4">
        <w:rPr>
          <w:rStyle w:val="FootnoteReference"/>
          <w:rFonts w:ascii="Cambria" w:hAnsi="Cambria"/>
          <w:sz w:val="16"/>
          <w:szCs w:val="16"/>
          <w:lang w:val="es-419"/>
        </w:rPr>
        <w:footnoteRef/>
      </w:r>
      <w:r w:rsidRPr="008576EE">
        <w:rPr>
          <w:rFonts w:ascii="Cambria" w:hAnsi="Cambria"/>
          <w:sz w:val="16"/>
          <w:szCs w:val="16"/>
          <w:lang w:val="pt-BR"/>
        </w:rPr>
        <w:t xml:space="preserve"> </w:t>
      </w:r>
      <w:r w:rsidRPr="008576EE">
        <w:rPr>
          <w:rFonts w:ascii="Cambria" w:hAnsi="Cambria"/>
          <w:bCs/>
          <w:color w:val="000000"/>
          <w:sz w:val="16"/>
          <w:szCs w:val="16"/>
          <w:shd w:val="clear" w:color="auto" w:fill="FFFFFF"/>
          <w:lang w:val="pt-BR"/>
        </w:rPr>
        <w:t xml:space="preserve">Corte IDH. </w:t>
      </w:r>
      <w:r w:rsidRPr="008576EE">
        <w:rPr>
          <w:rFonts w:ascii="Cambria" w:hAnsi="Cambria"/>
          <w:bCs/>
          <w:i/>
          <w:color w:val="000000"/>
          <w:sz w:val="16"/>
          <w:szCs w:val="16"/>
          <w:shd w:val="clear" w:color="auto" w:fill="FFFFFF"/>
          <w:lang w:val="pt-BR"/>
        </w:rPr>
        <w:t xml:space="preserve">Caso Herrera Ulloa Vs. </w:t>
      </w:r>
      <w:r w:rsidRPr="00F47689">
        <w:rPr>
          <w:rFonts w:ascii="Cambria" w:hAnsi="Cambria"/>
          <w:bCs/>
          <w:i/>
          <w:color w:val="000000"/>
          <w:sz w:val="16"/>
          <w:szCs w:val="16"/>
          <w:shd w:val="clear" w:color="auto" w:fill="FFFFFF"/>
          <w:lang w:val="es-419"/>
        </w:rPr>
        <w:t>Costa Rica</w:t>
      </w:r>
      <w:r w:rsidRPr="00F47689">
        <w:rPr>
          <w:rFonts w:ascii="Cambria" w:hAnsi="Cambria"/>
          <w:bCs/>
          <w:color w:val="000000"/>
          <w:sz w:val="16"/>
          <w:szCs w:val="16"/>
          <w:shd w:val="clear" w:color="auto" w:fill="FFFFFF"/>
          <w:lang w:val="es-419"/>
        </w:rPr>
        <w:t xml:space="preserve">. Excepciones Preliminares, Fondo, Reparaciones y Costas. Sentencia de 2 de julio de 2004. Serie C No. 107. Párr. 158 a 161; Corte IDH. </w:t>
      </w:r>
      <w:r w:rsidRPr="00F47689">
        <w:rPr>
          <w:rFonts w:ascii="Cambria" w:hAnsi="Cambria"/>
          <w:bCs/>
          <w:i/>
          <w:color w:val="000000"/>
          <w:sz w:val="16"/>
          <w:szCs w:val="16"/>
          <w:shd w:val="clear" w:color="auto" w:fill="FFFFFF"/>
          <w:lang w:val="es-419"/>
        </w:rPr>
        <w:t>Caso Mendoza y otros Vs. Argentina</w:t>
      </w:r>
      <w:r w:rsidRPr="00F47689">
        <w:rPr>
          <w:rFonts w:ascii="Cambria" w:hAnsi="Cambria"/>
          <w:bCs/>
          <w:color w:val="000000"/>
          <w:sz w:val="16"/>
          <w:szCs w:val="16"/>
          <w:shd w:val="clear" w:color="auto" w:fill="FFFFFF"/>
          <w:lang w:val="es-419"/>
        </w:rPr>
        <w:t>. Excepciones Preliminares, Fondo y Reparaciones. Sentencia de 14 de mayo de 2013. Ser</w:t>
      </w:r>
      <w:r w:rsidRPr="00541DF6">
        <w:rPr>
          <w:rFonts w:ascii="Cambria" w:hAnsi="Cambria"/>
          <w:bCs/>
          <w:color w:val="000000"/>
          <w:sz w:val="16"/>
          <w:szCs w:val="16"/>
          <w:shd w:val="clear" w:color="auto" w:fill="FFFFFF"/>
          <w:lang w:val="es-419"/>
        </w:rPr>
        <w:t xml:space="preserve">ie C No. 260. Párr. 242. </w:t>
      </w:r>
      <w:r w:rsidRPr="00541DF6">
        <w:rPr>
          <w:rFonts w:ascii="Cambria" w:hAnsi="Cambria"/>
          <w:sz w:val="16"/>
          <w:szCs w:val="16"/>
          <w:lang w:val="es-419"/>
        </w:rPr>
        <w:t xml:space="preserve"> </w:t>
      </w:r>
    </w:p>
  </w:footnote>
  <w:footnote w:id="39">
    <w:p w14:paraId="46FD37E8" w14:textId="77777777" w:rsidR="005076F9" w:rsidRPr="00F47689" w:rsidRDefault="005076F9" w:rsidP="0046163F">
      <w:pPr>
        <w:pStyle w:val="NormalWeb"/>
        <w:spacing w:before="0" w:beforeAutospacing="0" w:after="0" w:afterAutospacing="0"/>
        <w:jc w:val="both"/>
        <w:rPr>
          <w:rFonts w:ascii="Cambria" w:hAnsi="Cambria"/>
          <w:sz w:val="16"/>
          <w:szCs w:val="16"/>
          <w:lang w:val="es-ES"/>
        </w:rPr>
      </w:pPr>
      <w:r w:rsidRPr="00BE7AB4">
        <w:rPr>
          <w:rStyle w:val="FootnoteReference"/>
          <w:rFonts w:ascii="Cambria" w:hAnsi="Cambria"/>
          <w:sz w:val="16"/>
          <w:szCs w:val="16"/>
          <w:lang w:val="es-419"/>
        </w:rPr>
        <w:footnoteRef/>
      </w:r>
      <w:r w:rsidRPr="00BE7AB4">
        <w:rPr>
          <w:rFonts w:ascii="Cambria" w:hAnsi="Cambria"/>
          <w:sz w:val="16"/>
          <w:szCs w:val="16"/>
          <w:lang w:val="es-419"/>
        </w:rPr>
        <w:t xml:space="preserve"> CIDH. Informe No. 33/14. Caso 12.820. Fondo. Manfred Amrhein y otros. Costa Rica. 4 de abril de 2014. Parr 197. Ver en el mismo sentido: </w:t>
      </w:r>
      <w:r w:rsidRPr="00F47689">
        <w:rPr>
          <w:rFonts w:ascii="Cambria" w:hAnsi="Cambria" w:cs="Calibri"/>
          <w:sz w:val="16"/>
          <w:szCs w:val="16"/>
          <w:lang w:val="es-419"/>
        </w:rPr>
        <w:t>ONU, Comité́ de Derechos Humanos. Observación General No. 32 “Artículo 14. El derecho a un juicio imparcial y a la igualdad ante los tribunales y cortes de justicia”. 2007, Párrs. 47-50.</w:t>
      </w:r>
      <w:r w:rsidRPr="00F47689">
        <w:rPr>
          <w:rFonts w:ascii="Cambria" w:hAnsi="Cambria" w:cs="Calibri"/>
          <w:sz w:val="16"/>
          <w:szCs w:val="16"/>
          <w:lang w:val="es-ES"/>
        </w:rPr>
        <w:t xml:space="preserve"> </w:t>
      </w:r>
    </w:p>
  </w:footnote>
  <w:footnote w:id="40">
    <w:p w14:paraId="7B56A195" w14:textId="77777777" w:rsidR="005076F9" w:rsidRPr="00F47689" w:rsidRDefault="005076F9" w:rsidP="0046163F">
      <w:pPr>
        <w:jc w:val="both"/>
        <w:rPr>
          <w:rFonts w:ascii="Cambria" w:hAnsi="Cambria"/>
          <w:sz w:val="16"/>
          <w:szCs w:val="16"/>
          <w:lang w:val="es-419"/>
        </w:rPr>
      </w:pPr>
      <w:r w:rsidRPr="00BE7AB4">
        <w:rPr>
          <w:rStyle w:val="FootnoteReference"/>
          <w:rFonts w:ascii="Cambria" w:hAnsi="Cambria"/>
          <w:sz w:val="16"/>
          <w:szCs w:val="16"/>
          <w:lang w:val="es-419"/>
        </w:rPr>
        <w:footnoteRef/>
      </w:r>
      <w:r w:rsidRPr="00BE7AB4">
        <w:rPr>
          <w:rFonts w:ascii="Cambria" w:hAnsi="Cambria"/>
          <w:sz w:val="16"/>
          <w:szCs w:val="16"/>
          <w:lang w:val="es-419"/>
        </w:rPr>
        <w:t xml:space="preserve"> </w:t>
      </w:r>
      <w:r w:rsidRPr="00F47689">
        <w:rPr>
          <w:rFonts w:ascii="Cambria" w:hAnsi="Cambria"/>
          <w:bCs/>
          <w:color w:val="000000"/>
          <w:sz w:val="16"/>
          <w:szCs w:val="16"/>
          <w:shd w:val="clear" w:color="auto" w:fill="FFFFFF"/>
          <w:lang w:val="es-419"/>
        </w:rPr>
        <w:t xml:space="preserve">Corte IDH. Caso Mohamed Vs. Argentina. Excepción Preliminar, Fondo, Reparaciones y Costas. Sentencia de 23 noviembre de 2012. Serie C No. 255. Párr. 119. </w:t>
      </w:r>
      <w:r w:rsidRPr="00F47689">
        <w:rPr>
          <w:rFonts w:ascii="Cambria" w:hAnsi="Cambria"/>
          <w:sz w:val="16"/>
          <w:szCs w:val="16"/>
          <w:lang w:val="es-419"/>
        </w:rPr>
        <w:t xml:space="preserve"> </w:t>
      </w:r>
    </w:p>
  </w:footnote>
  <w:footnote w:id="41">
    <w:p w14:paraId="4581DD52" w14:textId="77777777" w:rsidR="005076F9" w:rsidRPr="00F47689" w:rsidRDefault="005076F9" w:rsidP="0046163F">
      <w:pPr>
        <w:jc w:val="both"/>
        <w:rPr>
          <w:rFonts w:ascii="Cambria" w:hAnsi="Cambria"/>
          <w:sz w:val="16"/>
          <w:szCs w:val="16"/>
          <w:lang w:val="es-419"/>
        </w:rPr>
      </w:pPr>
      <w:r w:rsidRPr="00BE7AB4">
        <w:rPr>
          <w:rStyle w:val="FootnoteReference"/>
          <w:rFonts w:ascii="Cambria" w:hAnsi="Cambria"/>
          <w:sz w:val="16"/>
          <w:szCs w:val="16"/>
          <w:lang w:val="es-419"/>
        </w:rPr>
        <w:footnoteRef/>
      </w:r>
      <w:r w:rsidRPr="00BE7AB4">
        <w:rPr>
          <w:rFonts w:ascii="Cambria" w:hAnsi="Cambria"/>
          <w:sz w:val="16"/>
          <w:szCs w:val="16"/>
          <w:lang w:val="es-419"/>
        </w:rPr>
        <w:t xml:space="preserve"> </w:t>
      </w:r>
      <w:r w:rsidRPr="00F47689">
        <w:rPr>
          <w:rFonts w:ascii="Cambria" w:hAnsi="Cambria"/>
          <w:bCs/>
          <w:color w:val="000000"/>
          <w:sz w:val="16"/>
          <w:szCs w:val="16"/>
          <w:shd w:val="clear" w:color="auto" w:fill="FFFFFF"/>
          <w:lang w:val="es-419"/>
        </w:rPr>
        <w:t xml:space="preserve">Corte IDH. Caso Amrhein y otros Vs. Costa Rica. Excepciones Preliminares, Fondo, Reparaciones y Costas. Sentencia de 25 de abril de 2018. Serie C No. 354. Párr. 186. </w:t>
      </w:r>
    </w:p>
  </w:footnote>
  <w:footnote w:id="42">
    <w:p w14:paraId="221466F0" w14:textId="6147C263" w:rsidR="005076F9" w:rsidRPr="00BE7AB4" w:rsidRDefault="005076F9" w:rsidP="0046163F">
      <w:pPr>
        <w:pStyle w:val="NormalWeb"/>
        <w:spacing w:before="0" w:beforeAutospacing="0" w:after="0" w:afterAutospacing="0"/>
        <w:jc w:val="both"/>
        <w:rPr>
          <w:rFonts w:ascii="Cambria" w:hAnsi="Cambria" w:cs="Calibri"/>
          <w:sz w:val="16"/>
          <w:szCs w:val="16"/>
          <w:lang w:val="es-419"/>
        </w:rPr>
      </w:pPr>
      <w:r w:rsidRPr="00BE7AB4">
        <w:rPr>
          <w:rStyle w:val="FootnoteReference"/>
          <w:rFonts w:ascii="Cambria" w:hAnsi="Cambria"/>
          <w:sz w:val="16"/>
          <w:szCs w:val="16"/>
          <w:lang w:val="es-419"/>
        </w:rPr>
        <w:footnoteRef/>
      </w:r>
      <w:r w:rsidRPr="00BE7AB4">
        <w:rPr>
          <w:rFonts w:ascii="Cambria" w:hAnsi="Cambria"/>
          <w:sz w:val="16"/>
          <w:szCs w:val="16"/>
          <w:lang w:val="es-419"/>
        </w:rPr>
        <w:t xml:space="preserve"> Corte IDH. </w:t>
      </w:r>
      <w:r w:rsidRPr="00F47689">
        <w:rPr>
          <w:rFonts w:ascii="Cambria" w:hAnsi="Cambria" w:cs="Calibri"/>
          <w:iCs/>
          <w:sz w:val="16"/>
          <w:szCs w:val="16"/>
          <w:lang w:val="es-419"/>
        </w:rPr>
        <w:t xml:space="preserve">Caso Barreto Leiva Vs. Venezuela. </w:t>
      </w:r>
      <w:r w:rsidRPr="00F47689">
        <w:rPr>
          <w:rFonts w:ascii="Cambria" w:hAnsi="Cambria" w:cs="Calibri"/>
          <w:sz w:val="16"/>
          <w:szCs w:val="16"/>
          <w:lang w:val="es-419"/>
        </w:rPr>
        <w:t>Sentencia de Fondo, Reparaciones y Costas 17 de noviembre de 2009. Serie C No. 206</w:t>
      </w:r>
      <w:r w:rsidRPr="00F47689">
        <w:rPr>
          <w:rFonts w:ascii="Cambria" w:hAnsi="Cambria" w:cs="Calibri"/>
          <w:iCs/>
          <w:sz w:val="16"/>
          <w:szCs w:val="16"/>
          <w:lang w:val="es-419"/>
        </w:rPr>
        <w:t xml:space="preserve">, </w:t>
      </w:r>
      <w:r w:rsidRPr="00F47689">
        <w:rPr>
          <w:rFonts w:ascii="Cambria" w:hAnsi="Cambria" w:cs="Calibri"/>
          <w:sz w:val="16"/>
          <w:szCs w:val="16"/>
          <w:lang w:val="es-419"/>
        </w:rPr>
        <w:t xml:space="preserve">párr. 89; Corte IDH. </w:t>
      </w:r>
      <w:r w:rsidRPr="00541DF6">
        <w:rPr>
          <w:rFonts w:ascii="Cambria" w:hAnsi="Cambria" w:cs="Calibri"/>
          <w:iCs/>
          <w:sz w:val="16"/>
          <w:szCs w:val="16"/>
          <w:lang w:val="es-419"/>
        </w:rPr>
        <w:t xml:space="preserve">Caso Mohamed Vs. Argentina. </w:t>
      </w:r>
      <w:r w:rsidRPr="00541DF6">
        <w:rPr>
          <w:rFonts w:ascii="Cambria" w:hAnsi="Cambria" w:cs="Calibri"/>
          <w:sz w:val="16"/>
          <w:szCs w:val="16"/>
          <w:lang w:val="es-419"/>
        </w:rPr>
        <w:t xml:space="preserve">Sentencia de Excepción Preliminar, Fondo, Reparaciones y Costas. </w:t>
      </w:r>
      <w:r w:rsidRPr="00C6191A">
        <w:rPr>
          <w:rFonts w:ascii="Cambria" w:hAnsi="Cambria" w:cs="Calibri"/>
          <w:sz w:val="16"/>
          <w:szCs w:val="16"/>
          <w:lang w:val="pt-BR"/>
        </w:rPr>
        <w:t xml:space="preserve">23 noviembre de 2012. </w:t>
      </w:r>
      <w:r w:rsidRPr="00541DF6">
        <w:rPr>
          <w:rFonts w:ascii="Cambria" w:hAnsi="Cambria" w:cs="Calibri"/>
          <w:sz w:val="16"/>
          <w:szCs w:val="16"/>
          <w:lang w:val="pt-BR"/>
        </w:rPr>
        <w:t xml:space="preserve">Serie C No. 255, párr. 97; </w:t>
      </w:r>
      <w:r w:rsidRPr="00BE7AB4">
        <w:rPr>
          <w:rFonts w:ascii="Cambria" w:hAnsi="Cambria" w:cs="Calibri"/>
          <w:color w:val="232323"/>
          <w:sz w:val="16"/>
          <w:szCs w:val="16"/>
          <w:lang w:val="pt-BR"/>
        </w:rPr>
        <w:t xml:space="preserve">Corte IDH. Caso Liakat Ali Alibux Vs. </w:t>
      </w:r>
      <w:r w:rsidRPr="00C6191A">
        <w:rPr>
          <w:rFonts w:ascii="Cambria" w:hAnsi="Cambria" w:cs="Calibri"/>
          <w:color w:val="232323"/>
          <w:sz w:val="16"/>
          <w:szCs w:val="16"/>
          <w:lang w:val="pt-BR"/>
        </w:rPr>
        <w:t xml:space="preserve">Surinam. </w:t>
      </w:r>
      <w:r w:rsidRPr="00BE7AB4">
        <w:rPr>
          <w:rFonts w:ascii="Cambria" w:hAnsi="Cambria" w:cs="Calibri"/>
          <w:color w:val="232323"/>
          <w:sz w:val="16"/>
          <w:szCs w:val="16"/>
          <w:lang w:val="es-419"/>
        </w:rPr>
        <w:t xml:space="preserve">Excepciones Preliminares, Fondo, Reparaciones y </w:t>
      </w:r>
      <w:r w:rsidRPr="00BE7AB4">
        <w:rPr>
          <w:rFonts w:ascii="Cambria" w:hAnsi="Cambria" w:cs="Calibri"/>
          <w:sz w:val="16"/>
          <w:szCs w:val="16"/>
          <w:lang w:val="es-419"/>
        </w:rPr>
        <w:t xml:space="preserve">Costas. Sentencia de 30 de enero de 2014. Serie C No. 276, párr. 85. </w:t>
      </w:r>
    </w:p>
  </w:footnote>
  <w:footnote w:id="43">
    <w:p w14:paraId="03BDB7FE" w14:textId="77777777" w:rsidR="005076F9" w:rsidRPr="00541DF6" w:rsidRDefault="005076F9" w:rsidP="0046163F">
      <w:pPr>
        <w:pStyle w:val="NormalWeb"/>
        <w:spacing w:before="0" w:beforeAutospacing="0" w:after="0" w:afterAutospacing="0"/>
        <w:jc w:val="both"/>
        <w:rPr>
          <w:rFonts w:ascii="Cambria" w:hAnsi="Cambria"/>
          <w:sz w:val="16"/>
          <w:szCs w:val="16"/>
          <w:lang w:val="es-419"/>
        </w:rPr>
      </w:pPr>
      <w:r w:rsidRPr="00BE7AB4">
        <w:rPr>
          <w:rStyle w:val="FootnoteReference"/>
          <w:rFonts w:ascii="Cambria" w:hAnsi="Cambria"/>
          <w:sz w:val="16"/>
          <w:szCs w:val="16"/>
          <w:lang w:val="es-419"/>
        </w:rPr>
        <w:footnoteRef/>
      </w:r>
      <w:r w:rsidRPr="00C6191A">
        <w:rPr>
          <w:rFonts w:ascii="Cambria" w:hAnsi="Cambria"/>
          <w:sz w:val="16"/>
          <w:szCs w:val="16"/>
          <w:lang w:val="es-US"/>
        </w:rPr>
        <w:t xml:space="preserve"> </w:t>
      </w:r>
      <w:r w:rsidRPr="00C6191A">
        <w:rPr>
          <w:rFonts w:ascii="Cambria" w:hAnsi="Cambria" w:cs="Calibri"/>
          <w:sz w:val="16"/>
          <w:szCs w:val="16"/>
          <w:lang w:val="es-US"/>
        </w:rPr>
        <w:t xml:space="preserve">Corte IDH., </w:t>
      </w:r>
      <w:r w:rsidRPr="00C6191A">
        <w:rPr>
          <w:rFonts w:ascii="Cambria" w:hAnsi="Cambria" w:cs="Calibri"/>
          <w:iCs/>
          <w:sz w:val="16"/>
          <w:szCs w:val="16"/>
          <w:lang w:val="es-US"/>
        </w:rPr>
        <w:t xml:space="preserve">Caso Herrera Ulloa Vs. </w:t>
      </w:r>
      <w:r w:rsidRPr="00F47689">
        <w:rPr>
          <w:rFonts w:ascii="Cambria" w:hAnsi="Cambria" w:cs="Calibri"/>
          <w:iCs/>
          <w:sz w:val="16"/>
          <w:szCs w:val="16"/>
          <w:lang w:val="es-419"/>
        </w:rPr>
        <w:t>Costa Rica</w:t>
      </w:r>
      <w:r w:rsidRPr="00F47689">
        <w:rPr>
          <w:rFonts w:ascii="Cambria" w:hAnsi="Cambria" w:cs="Calibri"/>
          <w:sz w:val="16"/>
          <w:szCs w:val="16"/>
          <w:lang w:val="es-419"/>
        </w:rPr>
        <w:t xml:space="preserve">. Sentencia de Excepciones Preliminares, Fondo, Reparaciones y Costas. 2 de julio de 2004. Serie C No. 107, párr. 165; ONU, Comité́ de Derechos Humanos. </w:t>
      </w:r>
      <w:r w:rsidRPr="00F47689">
        <w:rPr>
          <w:rFonts w:ascii="Cambria" w:hAnsi="Cambria" w:cs="Calibri"/>
          <w:iCs/>
          <w:sz w:val="16"/>
          <w:szCs w:val="16"/>
          <w:lang w:val="es-419"/>
        </w:rPr>
        <w:t>Gómez Vázquez v. España</w:t>
      </w:r>
      <w:r w:rsidRPr="00F47689">
        <w:rPr>
          <w:rFonts w:ascii="Cambria" w:hAnsi="Cambria" w:cs="Calibri"/>
          <w:sz w:val="16"/>
          <w:szCs w:val="16"/>
          <w:lang w:val="es-419"/>
        </w:rPr>
        <w:t xml:space="preserve">. Comunicación No. 701/1996. Decisión de 11 de agosto de 2000, párr. 11.1. </w:t>
      </w:r>
    </w:p>
  </w:footnote>
  <w:footnote w:id="44">
    <w:p w14:paraId="20484499" w14:textId="77777777" w:rsidR="005076F9" w:rsidRPr="00C6191A" w:rsidRDefault="005076F9" w:rsidP="0046163F">
      <w:pPr>
        <w:jc w:val="both"/>
        <w:rPr>
          <w:rFonts w:ascii="Cambria" w:hAnsi="Cambria"/>
          <w:sz w:val="16"/>
          <w:szCs w:val="16"/>
          <w:lang w:val="pt-BR"/>
        </w:rPr>
      </w:pPr>
      <w:r w:rsidRPr="00BE7AB4">
        <w:rPr>
          <w:rStyle w:val="FootnoteReference"/>
          <w:rFonts w:ascii="Cambria" w:hAnsi="Cambria"/>
          <w:sz w:val="16"/>
          <w:szCs w:val="16"/>
          <w:lang w:val="es-419"/>
        </w:rPr>
        <w:footnoteRef/>
      </w:r>
      <w:r w:rsidRPr="00C6191A">
        <w:rPr>
          <w:rFonts w:ascii="Cambria" w:hAnsi="Cambria"/>
          <w:sz w:val="16"/>
          <w:szCs w:val="16"/>
          <w:lang w:val="es-US"/>
        </w:rPr>
        <w:t xml:space="preserve"> </w:t>
      </w:r>
      <w:r w:rsidRPr="00C6191A">
        <w:rPr>
          <w:rFonts w:ascii="Cambria" w:hAnsi="Cambria" w:cs="Calibri"/>
          <w:sz w:val="16"/>
          <w:szCs w:val="16"/>
          <w:lang w:val="es-US"/>
        </w:rPr>
        <w:t xml:space="preserve">Corte IDH., </w:t>
      </w:r>
      <w:r w:rsidRPr="00C6191A">
        <w:rPr>
          <w:rFonts w:ascii="Cambria" w:hAnsi="Cambria" w:cs="Calibri"/>
          <w:iCs/>
          <w:sz w:val="16"/>
          <w:szCs w:val="16"/>
          <w:lang w:val="es-US"/>
        </w:rPr>
        <w:t xml:space="preserve">Caso Herrera Ulloa Vs. </w:t>
      </w:r>
      <w:r w:rsidRPr="00F47689">
        <w:rPr>
          <w:rFonts w:ascii="Cambria" w:hAnsi="Cambria" w:cs="Calibri"/>
          <w:iCs/>
          <w:sz w:val="16"/>
          <w:szCs w:val="16"/>
          <w:lang w:val="es-419"/>
        </w:rPr>
        <w:t>Costa Rica</w:t>
      </w:r>
      <w:r w:rsidRPr="00F47689">
        <w:rPr>
          <w:rFonts w:ascii="Cambria" w:hAnsi="Cambria" w:cs="Calibri"/>
          <w:sz w:val="16"/>
          <w:szCs w:val="16"/>
          <w:lang w:val="es-419"/>
        </w:rPr>
        <w:t xml:space="preserve">. Sentencia de Excepciones Preliminares, Fondo, Reparaciones y Costas. 2 de julio de 2004. Serie C No. 107, párr. 158; </w:t>
      </w:r>
      <w:r w:rsidRPr="00F47689">
        <w:rPr>
          <w:rStyle w:val="Strong"/>
          <w:rFonts w:ascii="Cambria" w:eastAsia="Cambria" w:hAnsi="Cambria"/>
          <w:b w:val="0"/>
          <w:sz w:val="16"/>
          <w:szCs w:val="16"/>
          <w:shd w:val="clear" w:color="auto" w:fill="FFFFFF"/>
          <w:lang w:val="es-419"/>
        </w:rPr>
        <w:t xml:space="preserve">Corte IDH. Caso Norín Catrimán y otros (Dirigentes, Miembros y Activista del Pueblo Indígena Mapuche) Vs. Chile. Fondo, Reparaciones y Costas. Sentencia de 29 de mayo de 2014. </w:t>
      </w:r>
      <w:r w:rsidRPr="00C6191A">
        <w:rPr>
          <w:rStyle w:val="Strong"/>
          <w:rFonts w:ascii="Cambria" w:eastAsia="Cambria" w:hAnsi="Cambria"/>
          <w:b w:val="0"/>
          <w:sz w:val="16"/>
          <w:szCs w:val="16"/>
          <w:shd w:val="clear" w:color="auto" w:fill="FFFFFF"/>
          <w:lang w:val="pt-BR"/>
        </w:rPr>
        <w:t>Serie C No. 279. Parr 270.</w:t>
      </w:r>
      <w:r w:rsidRPr="00C6191A">
        <w:rPr>
          <w:rStyle w:val="Strong"/>
          <w:rFonts w:ascii="Cambria" w:eastAsia="Cambria" w:hAnsi="Cambria"/>
          <w:sz w:val="16"/>
          <w:szCs w:val="16"/>
          <w:shd w:val="clear" w:color="auto" w:fill="FFFFFF"/>
          <w:lang w:val="pt-BR"/>
        </w:rPr>
        <w:t xml:space="preserve"> </w:t>
      </w:r>
      <w:r w:rsidRPr="00C6191A">
        <w:rPr>
          <w:rFonts w:ascii="Cambria" w:hAnsi="Cambria"/>
          <w:sz w:val="16"/>
          <w:szCs w:val="16"/>
          <w:lang w:val="pt-BR"/>
        </w:rPr>
        <w:t xml:space="preserve"> </w:t>
      </w:r>
    </w:p>
  </w:footnote>
  <w:footnote w:id="45">
    <w:p w14:paraId="0F7C5356" w14:textId="77777777" w:rsidR="005076F9" w:rsidRPr="00541DF6" w:rsidRDefault="005076F9" w:rsidP="0046163F">
      <w:pPr>
        <w:pStyle w:val="FootnoteText"/>
        <w:jc w:val="both"/>
        <w:rPr>
          <w:rFonts w:ascii="Cambria" w:hAnsi="Cambria"/>
          <w:sz w:val="16"/>
          <w:szCs w:val="16"/>
          <w:lang w:val="es-419"/>
        </w:rPr>
      </w:pPr>
      <w:r w:rsidRPr="00BE7AB4">
        <w:rPr>
          <w:rStyle w:val="FootnoteReference"/>
          <w:rFonts w:ascii="Cambria" w:hAnsi="Cambria"/>
          <w:sz w:val="16"/>
          <w:szCs w:val="16"/>
          <w:lang w:val="es-419"/>
        </w:rPr>
        <w:footnoteRef/>
      </w:r>
      <w:r w:rsidRPr="00C6191A">
        <w:rPr>
          <w:rFonts w:ascii="Cambria" w:hAnsi="Cambria"/>
          <w:sz w:val="16"/>
          <w:szCs w:val="16"/>
          <w:lang w:val="pt-BR"/>
        </w:rPr>
        <w:t xml:space="preserve"> Corte IDH. </w:t>
      </w:r>
      <w:r w:rsidRPr="00C6191A">
        <w:rPr>
          <w:rFonts w:ascii="Cambria" w:hAnsi="Cambria" w:cs="Calibri"/>
          <w:iCs/>
          <w:sz w:val="16"/>
          <w:szCs w:val="16"/>
          <w:lang w:val="pt-BR"/>
        </w:rPr>
        <w:t xml:space="preserve">Caso Barreto Leiva Vs. </w:t>
      </w:r>
      <w:r w:rsidRPr="00F47689">
        <w:rPr>
          <w:rFonts w:ascii="Cambria" w:hAnsi="Cambria" w:cs="Calibri"/>
          <w:iCs/>
          <w:sz w:val="16"/>
          <w:szCs w:val="16"/>
          <w:lang w:val="es-419"/>
        </w:rPr>
        <w:t xml:space="preserve">Venezuela. </w:t>
      </w:r>
      <w:r w:rsidRPr="00F47689">
        <w:rPr>
          <w:rFonts w:ascii="Cambria" w:hAnsi="Cambria" w:cs="Calibri"/>
          <w:sz w:val="16"/>
          <w:szCs w:val="16"/>
          <w:lang w:val="es-419"/>
        </w:rPr>
        <w:t>Sentencia de Fondo, Reparaciones y Costas 17 de noviembre de 2009. Serie C No. 206</w:t>
      </w:r>
      <w:r w:rsidRPr="00F47689">
        <w:rPr>
          <w:rFonts w:ascii="Cambria" w:hAnsi="Cambria" w:cs="Calibri"/>
          <w:iCs/>
          <w:sz w:val="16"/>
          <w:szCs w:val="16"/>
          <w:lang w:val="es-419"/>
        </w:rPr>
        <w:t xml:space="preserve">, </w:t>
      </w:r>
      <w:r w:rsidRPr="00F47689">
        <w:rPr>
          <w:rFonts w:ascii="Cambria" w:hAnsi="Cambria" w:cs="Calibri"/>
          <w:sz w:val="16"/>
          <w:szCs w:val="16"/>
          <w:lang w:val="es-419"/>
        </w:rPr>
        <w:t xml:space="preserve">párr. 90. </w:t>
      </w:r>
    </w:p>
  </w:footnote>
  <w:footnote w:id="46">
    <w:p w14:paraId="2F95D519" w14:textId="2E885EAD" w:rsidR="005076F9" w:rsidRPr="00BE7AB4" w:rsidRDefault="005076F9" w:rsidP="0046163F">
      <w:pPr>
        <w:pStyle w:val="FootnoteText"/>
        <w:jc w:val="both"/>
        <w:rPr>
          <w:rFonts w:ascii="Cambria" w:hAnsi="Cambria"/>
          <w:sz w:val="16"/>
          <w:szCs w:val="16"/>
          <w:lang w:val="es-419"/>
        </w:rPr>
      </w:pPr>
      <w:r w:rsidRPr="00BE7AB4">
        <w:rPr>
          <w:rStyle w:val="FootnoteReference"/>
          <w:rFonts w:ascii="Cambria" w:hAnsi="Cambria"/>
          <w:sz w:val="16"/>
          <w:szCs w:val="16"/>
          <w:lang w:val="es-419"/>
        </w:rPr>
        <w:footnoteRef/>
      </w:r>
      <w:r w:rsidRPr="00C6191A">
        <w:rPr>
          <w:rFonts w:ascii="Cambria" w:hAnsi="Cambria"/>
          <w:sz w:val="16"/>
          <w:szCs w:val="16"/>
          <w:lang w:val="es-US"/>
        </w:rPr>
        <w:t xml:space="preserve"> </w:t>
      </w:r>
      <w:r w:rsidRPr="00C6191A">
        <w:rPr>
          <w:rFonts w:ascii="Cambria" w:hAnsi="Cambria" w:cs="Calibri"/>
          <w:sz w:val="16"/>
          <w:szCs w:val="16"/>
          <w:lang w:val="es-US"/>
        </w:rPr>
        <w:t xml:space="preserve">Corte IDH., </w:t>
      </w:r>
      <w:r w:rsidRPr="00C6191A">
        <w:rPr>
          <w:rFonts w:ascii="Cambria" w:hAnsi="Cambria" w:cs="Calibri"/>
          <w:iCs/>
          <w:sz w:val="16"/>
          <w:szCs w:val="16"/>
          <w:lang w:val="es-US"/>
        </w:rPr>
        <w:t xml:space="preserve">Caso Herrera Ulloa Vs. </w:t>
      </w:r>
      <w:r w:rsidRPr="00F47689">
        <w:rPr>
          <w:rFonts w:ascii="Cambria" w:hAnsi="Cambria" w:cs="Calibri"/>
          <w:iCs/>
          <w:sz w:val="16"/>
          <w:szCs w:val="16"/>
          <w:lang w:val="es-419"/>
        </w:rPr>
        <w:t>Costa Rica</w:t>
      </w:r>
      <w:r w:rsidRPr="00F47689">
        <w:rPr>
          <w:rFonts w:ascii="Cambria" w:hAnsi="Cambria" w:cs="Calibri"/>
          <w:sz w:val="16"/>
          <w:szCs w:val="16"/>
          <w:lang w:val="es-419"/>
        </w:rPr>
        <w:t xml:space="preserve">. Sentencia de Excepciones Preliminares, Fondo, Reparaciones y Costas. </w:t>
      </w:r>
      <w:r w:rsidRPr="00F47689">
        <w:rPr>
          <w:rFonts w:ascii="Cambria" w:hAnsi="Cambria" w:cs="Calibri"/>
          <w:sz w:val="16"/>
          <w:szCs w:val="16"/>
          <w:lang w:val="pt-BR"/>
        </w:rPr>
        <w:t xml:space="preserve">2 de julio de 2004. Serie C No. 107, párr. 161; </w:t>
      </w:r>
      <w:r w:rsidRPr="00541DF6">
        <w:rPr>
          <w:rFonts w:ascii="Cambria" w:hAnsi="Cambria" w:cs="Calibri"/>
          <w:color w:val="232323"/>
          <w:sz w:val="16"/>
          <w:szCs w:val="16"/>
          <w:lang w:val="pt-BR"/>
        </w:rPr>
        <w:t xml:space="preserve">Corte IDH. Caso Liakat Ali Alibux Vs. </w:t>
      </w:r>
      <w:r w:rsidRPr="00541DF6">
        <w:rPr>
          <w:rFonts w:ascii="Cambria" w:hAnsi="Cambria" w:cs="Calibri"/>
          <w:color w:val="232323"/>
          <w:sz w:val="16"/>
          <w:szCs w:val="16"/>
          <w:lang w:val="es-419"/>
        </w:rPr>
        <w:t xml:space="preserve">Surinam. Excepciones Preliminares, Fondo, Reparaciones y </w:t>
      </w:r>
      <w:r w:rsidRPr="00541DF6">
        <w:rPr>
          <w:rFonts w:ascii="Cambria" w:hAnsi="Cambria" w:cs="Calibri"/>
          <w:sz w:val="16"/>
          <w:szCs w:val="16"/>
          <w:lang w:val="es-419"/>
        </w:rPr>
        <w:t xml:space="preserve">Costas. Sentencia de 30 de enero de 2014. </w:t>
      </w:r>
      <w:r w:rsidRPr="00BE7AB4">
        <w:rPr>
          <w:rFonts w:ascii="Cambria" w:hAnsi="Cambria" w:cs="Calibri"/>
          <w:sz w:val="16"/>
          <w:szCs w:val="16"/>
          <w:lang w:val="es-419"/>
        </w:rPr>
        <w:t xml:space="preserve">Serie C No. 276, párr. 94. </w:t>
      </w:r>
    </w:p>
  </w:footnote>
  <w:footnote w:id="47">
    <w:p w14:paraId="221CE52B" w14:textId="77777777" w:rsidR="005076F9" w:rsidRPr="00F47689" w:rsidRDefault="005076F9" w:rsidP="0046163F">
      <w:pPr>
        <w:pStyle w:val="FootnoteText"/>
        <w:jc w:val="both"/>
        <w:rPr>
          <w:rFonts w:ascii="Cambria" w:hAnsi="Cambria"/>
          <w:sz w:val="16"/>
          <w:szCs w:val="16"/>
          <w:lang w:val="es-419"/>
        </w:rPr>
      </w:pPr>
      <w:r w:rsidRPr="00BE7AB4">
        <w:rPr>
          <w:rStyle w:val="FootnoteReference"/>
          <w:rFonts w:ascii="Cambria" w:hAnsi="Cambria"/>
          <w:sz w:val="16"/>
          <w:szCs w:val="16"/>
          <w:lang w:val="es-419"/>
        </w:rPr>
        <w:footnoteRef/>
      </w:r>
      <w:r w:rsidRPr="00C6191A">
        <w:rPr>
          <w:rFonts w:ascii="Cambria" w:hAnsi="Cambria"/>
          <w:sz w:val="16"/>
          <w:szCs w:val="16"/>
          <w:lang w:val="es-US"/>
        </w:rPr>
        <w:t xml:space="preserve"> </w:t>
      </w:r>
      <w:r w:rsidRPr="00C6191A">
        <w:rPr>
          <w:rFonts w:ascii="Cambria" w:hAnsi="Cambria" w:cs="Calibri"/>
          <w:sz w:val="16"/>
          <w:szCs w:val="16"/>
          <w:lang w:val="es-US"/>
        </w:rPr>
        <w:t xml:space="preserve">Corte IDH. </w:t>
      </w:r>
      <w:r w:rsidRPr="00C6191A">
        <w:rPr>
          <w:rFonts w:ascii="Cambria" w:hAnsi="Cambria" w:cs="Calibri"/>
          <w:iCs/>
          <w:sz w:val="16"/>
          <w:szCs w:val="16"/>
          <w:lang w:val="es-US"/>
        </w:rPr>
        <w:t xml:space="preserve">Caso Mohamed Vs. </w:t>
      </w:r>
      <w:r w:rsidRPr="00F47689">
        <w:rPr>
          <w:rFonts w:ascii="Cambria" w:hAnsi="Cambria" w:cs="Calibri"/>
          <w:iCs/>
          <w:sz w:val="16"/>
          <w:szCs w:val="16"/>
          <w:lang w:val="es-419"/>
        </w:rPr>
        <w:t xml:space="preserve">Argentina. </w:t>
      </w:r>
      <w:r w:rsidRPr="00F47689">
        <w:rPr>
          <w:rFonts w:ascii="Cambria" w:hAnsi="Cambria" w:cs="Calibri"/>
          <w:sz w:val="16"/>
          <w:szCs w:val="16"/>
          <w:lang w:val="es-419"/>
        </w:rPr>
        <w:t xml:space="preserve">Sentencia de Excepción Preliminar, Fondo, Reparaciones y Costas. 23 noviembre de 2012. Serie C No. 255, párr. 99; </w:t>
      </w:r>
      <w:r w:rsidRPr="00F47689">
        <w:rPr>
          <w:rStyle w:val="Strong"/>
          <w:rFonts w:ascii="Cambria" w:eastAsia="Cambria" w:hAnsi="Cambria"/>
          <w:b w:val="0"/>
          <w:sz w:val="16"/>
          <w:szCs w:val="16"/>
          <w:shd w:val="clear" w:color="auto" w:fill="FFFFFF"/>
          <w:lang w:val="es-419"/>
        </w:rPr>
        <w:t>Corte IDH. Caso Norín Catrimán y otros (Dirigentes, Miembros y Activista del Pueblo Indígena Mapuche) Vs. Chile. Fondo, Reparaciones y Costas. Sentencia de 29 de mayo de 2014. Serie C No. 279. Párr. 270.</w:t>
      </w:r>
      <w:r w:rsidRPr="007B0E80">
        <w:rPr>
          <w:rStyle w:val="Strong"/>
          <w:rFonts w:ascii="Cambria" w:eastAsia="Cambria" w:hAnsi="Cambria"/>
          <w:sz w:val="16"/>
          <w:szCs w:val="16"/>
          <w:shd w:val="clear" w:color="auto" w:fill="FFFFFF"/>
          <w:lang w:val="es-419"/>
        </w:rPr>
        <w:t xml:space="preserve"> </w:t>
      </w:r>
      <w:r w:rsidRPr="00BE7AB4">
        <w:rPr>
          <w:rFonts w:ascii="Cambria" w:hAnsi="Cambria"/>
          <w:sz w:val="16"/>
          <w:szCs w:val="16"/>
          <w:lang w:val="es-419"/>
        </w:rPr>
        <w:t xml:space="preserve">  </w:t>
      </w:r>
    </w:p>
  </w:footnote>
  <w:footnote w:id="48">
    <w:p w14:paraId="4990683B" w14:textId="77777777" w:rsidR="005076F9" w:rsidRPr="00F47689" w:rsidRDefault="005076F9" w:rsidP="0046163F">
      <w:pPr>
        <w:pStyle w:val="FootnoteText"/>
        <w:jc w:val="both"/>
        <w:rPr>
          <w:rFonts w:ascii="Cambria" w:hAnsi="Cambria"/>
          <w:sz w:val="16"/>
          <w:szCs w:val="16"/>
          <w:lang w:val="es-US"/>
        </w:rPr>
      </w:pPr>
      <w:r w:rsidRPr="00BE7AB4">
        <w:rPr>
          <w:rStyle w:val="FootnoteReference"/>
          <w:rFonts w:ascii="Cambria" w:hAnsi="Cambria"/>
          <w:sz w:val="16"/>
          <w:szCs w:val="16"/>
          <w:lang w:val="es-419"/>
        </w:rPr>
        <w:footnoteRef/>
      </w:r>
      <w:r w:rsidRPr="00BE7AB4">
        <w:rPr>
          <w:rFonts w:ascii="Cambria" w:hAnsi="Cambria"/>
          <w:sz w:val="16"/>
          <w:szCs w:val="16"/>
          <w:lang w:val="es-419"/>
        </w:rPr>
        <w:t xml:space="preserve"> </w:t>
      </w:r>
      <w:r w:rsidRPr="00F47689">
        <w:rPr>
          <w:rFonts w:ascii="Cambria" w:hAnsi="Cambria"/>
          <w:bCs/>
          <w:color w:val="000000"/>
          <w:sz w:val="16"/>
          <w:szCs w:val="16"/>
          <w:shd w:val="clear" w:color="auto" w:fill="FFFFFF"/>
          <w:lang w:val="es-419"/>
        </w:rPr>
        <w:t>Corte IDH. Caso Amrhein y otros Vs. Costa Rica. Excepciones Preliminares, Fondo, Reparaciones y Costas. Sentencia de 25 de abril de 2018. Serie C No. 354. Párr. 196.</w:t>
      </w:r>
      <w:r w:rsidRPr="00F47689">
        <w:rPr>
          <w:rFonts w:ascii="Cambria" w:hAnsi="Cambria"/>
          <w:bCs/>
          <w:color w:val="000000"/>
          <w:sz w:val="16"/>
          <w:szCs w:val="16"/>
          <w:shd w:val="clear" w:color="auto" w:fill="FFFFFF"/>
        </w:rPr>
        <w:t xml:space="preserve"> </w:t>
      </w:r>
    </w:p>
  </w:footnote>
  <w:footnote w:id="49">
    <w:p w14:paraId="43FB6F75" w14:textId="77777777" w:rsidR="005076F9" w:rsidRPr="007B0E80"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US"/>
        </w:rPr>
        <w:t xml:space="preserve"> </w:t>
      </w:r>
      <w:r w:rsidRPr="00F47689">
        <w:rPr>
          <w:rFonts w:ascii="Cambria" w:hAnsi="Cambria" w:cs="Calibri"/>
          <w:sz w:val="16"/>
          <w:szCs w:val="16"/>
        </w:rPr>
        <w:t xml:space="preserve">Corte IDH. </w:t>
      </w:r>
      <w:r w:rsidRPr="00F47689">
        <w:rPr>
          <w:rFonts w:ascii="Cambria" w:hAnsi="Cambria" w:cs="Calibri"/>
          <w:iCs/>
          <w:sz w:val="16"/>
          <w:szCs w:val="16"/>
        </w:rPr>
        <w:t xml:space="preserve">Caso Mohamed Vs. Argentina. </w:t>
      </w:r>
      <w:r w:rsidRPr="00F47689">
        <w:rPr>
          <w:rFonts w:ascii="Cambria" w:hAnsi="Cambria" w:cs="Calibri"/>
          <w:sz w:val="16"/>
          <w:szCs w:val="16"/>
        </w:rPr>
        <w:t xml:space="preserve">Sentencia de Excepción Preliminar, Fondo, Reparaciones y Costas. 23 noviembre de 2012. Serie C No. 255, párr. 100. </w:t>
      </w:r>
    </w:p>
  </w:footnote>
  <w:footnote w:id="50">
    <w:p w14:paraId="1FEFB50C" w14:textId="77777777" w:rsidR="005076F9" w:rsidRPr="00F47689" w:rsidRDefault="005076F9" w:rsidP="0046163F">
      <w:pPr>
        <w:pStyle w:val="FootnoteText"/>
        <w:tabs>
          <w:tab w:val="left" w:pos="284"/>
        </w:tabs>
        <w:jc w:val="both"/>
        <w:rPr>
          <w:rFonts w:ascii="Cambria" w:hAnsi="Cambria"/>
          <w:sz w:val="16"/>
          <w:szCs w:val="16"/>
        </w:rPr>
      </w:pPr>
      <w:r w:rsidRPr="00BE7AB4">
        <w:rPr>
          <w:rStyle w:val="FootnoteReference"/>
          <w:rFonts w:ascii="Cambria" w:hAnsi="Cambria"/>
          <w:sz w:val="16"/>
          <w:szCs w:val="16"/>
        </w:rPr>
        <w:footnoteRef/>
      </w:r>
      <w:r w:rsidRPr="00BE7AB4">
        <w:rPr>
          <w:rStyle w:val="Strong"/>
          <w:rFonts w:ascii="Cambria" w:eastAsia="Cambria" w:hAnsi="Cambria"/>
          <w:sz w:val="16"/>
          <w:szCs w:val="16"/>
          <w:shd w:val="clear" w:color="auto" w:fill="FFFFFF"/>
        </w:rPr>
        <w:t xml:space="preserve"> </w:t>
      </w:r>
      <w:r w:rsidRPr="00F47689">
        <w:rPr>
          <w:rStyle w:val="Strong"/>
          <w:rFonts w:ascii="Cambria" w:eastAsia="Cambria" w:hAnsi="Cambria"/>
          <w:b w:val="0"/>
          <w:sz w:val="16"/>
          <w:szCs w:val="16"/>
          <w:shd w:val="clear" w:color="auto" w:fill="FFFFFF"/>
        </w:rPr>
        <w:t xml:space="preserve">Corte IDH. Caso Norín Catrimán y otros (Dirigentes, Miembros y Activista del Pueblo Indígena Mapuche) Vs. Chile. Fondo, Reparaciones y Costas. Sentencia de 29 de mayo de 2014. Serie C No. 279. Párr. 270. </w:t>
      </w:r>
      <w:r w:rsidRPr="00F47689">
        <w:rPr>
          <w:rFonts w:ascii="Cambria" w:hAnsi="Cambria"/>
          <w:b/>
          <w:sz w:val="16"/>
          <w:szCs w:val="16"/>
        </w:rPr>
        <w:t xml:space="preserve">  </w:t>
      </w:r>
    </w:p>
  </w:footnote>
  <w:footnote w:id="51">
    <w:p w14:paraId="4A014328" w14:textId="77777777"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CIDH. Informe No. 55/97. Caso 11.137. Fondo. Juan Carlos Abella. Argentina. 18 de noviembre de 1997. Párr. 161 a 162. </w:t>
      </w:r>
    </w:p>
  </w:footnote>
  <w:footnote w:id="52">
    <w:p w14:paraId="2D7A3F68" w14:textId="77777777" w:rsidR="005076F9" w:rsidRPr="00F47689" w:rsidRDefault="005076F9" w:rsidP="0046163F">
      <w:pPr>
        <w:pStyle w:val="NormalWeb"/>
        <w:spacing w:before="0" w:beforeAutospacing="0" w:after="0" w:afterAutospacing="0"/>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w:t>
      </w:r>
      <w:r w:rsidRPr="00F47689">
        <w:rPr>
          <w:rFonts w:ascii="Cambria" w:hAnsi="Cambria" w:cs="Calibri"/>
          <w:sz w:val="16"/>
          <w:szCs w:val="16"/>
          <w:lang w:val="es-ES"/>
        </w:rPr>
        <w:t xml:space="preserve">La redacción del artículo 14.5 del PIDCP es sustancialmente similar a la del artículo 8.2.h de la Convención Americana, por lo tanto, las interpretaciones que haga el Comité́ de los Derechos Humanos de la ONU con relación al contenido y alcance de dicho artículo son pertinentes como pauta de interpretación del artículo 8.2.h de la Convención Americana. </w:t>
      </w:r>
    </w:p>
  </w:footnote>
  <w:footnote w:id="53">
    <w:p w14:paraId="45DF4582" w14:textId="77777777" w:rsidR="005076F9" w:rsidRPr="00BE7AB4" w:rsidRDefault="005076F9" w:rsidP="0046163F">
      <w:pPr>
        <w:pStyle w:val="NormalWeb"/>
        <w:spacing w:before="0" w:beforeAutospacing="0" w:after="0" w:afterAutospacing="0"/>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w:t>
      </w:r>
      <w:r w:rsidRPr="00F47689">
        <w:rPr>
          <w:rFonts w:ascii="Cambria" w:hAnsi="Cambria" w:cs="Calibri"/>
          <w:sz w:val="16"/>
          <w:szCs w:val="16"/>
          <w:lang w:val="es-ES"/>
        </w:rPr>
        <w:t xml:space="preserve">ONU, Comité́ de Derechos Humanos. </w:t>
      </w:r>
      <w:r w:rsidRPr="00F47689">
        <w:rPr>
          <w:rFonts w:ascii="Cambria" w:hAnsi="Cambria" w:cs="Calibri"/>
          <w:iCs/>
          <w:sz w:val="16"/>
          <w:szCs w:val="16"/>
          <w:lang w:val="es-ES"/>
        </w:rPr>
        <w:t>Aliboev v. Tajikistan</w:t>
      </w:r>
      <w:r w:rsidRPr="00F47689">
        <w:rPr>
          <w:rFonts w:ascii="Cambria" w:hAnsi="Cambria" w:cs="Calibri"/>
          <w:sz w:val="16"/>
          <w:szCs w:val="16"/>
          <w:lang w:val="es-ES"/>
        </w:rPr>
        <w:t xml:space="preserve">, Comunicación No. 985/2001, Decisión de 18 de octubre de 2005; </w:t>
      </w:r>
      <w:r w:rsidRPr="00F47689">
        <w:rPr>
          <w:rFonts w:ascii="Cambria" w:hAnsi="Cambria" w:cs="Calibri"/>
          <w:iCs/>
          <w:sz w:val="16"/>
          <w:szCs w:val="16"/>
          <w:lang w:val="es-ES"/>
        </w:rPr>
        <w:t>Khalilov v. Tajikistan</w:t>
      </w:r>
      <w:r w:rsidRPr="00541DF6">
        <w:rPr>
          <w:rFonts w:ascii="Cambria" w:hAnsi="Cambria" w:cs="Calibri"/>
          <w:sz w:val="16"/>
          <w:szCs w:val="16"/>
          <w:lang w:val="es-ES"/>
        </w:rPr>
        <w:t xml:space="preserve">, Comunicación No. 973/2001, Decisión de 30 de marzo de 2005; </w:t>
      </w:r>
      <w:r w:rsidRPr="00541DF6">
        <w:rPr>
          <w:rFonts w:ascii="Cambria" w:hAnsi="Cambria" w:cs="Calibri"/>
          <w:iCs/>
          <w:sz w:val="16"/>
          <w:szCs w:val="16"/>
          <w:lang w:val="es-ES"/>
        </w:rPr>
        <w:t xml:space="preserve">Domukovsky et al. v. Georgia, </w:t>
      </w:r>
      <w:r w:rsidRPr="00541DF6">
        <w:rPr>
          <w:rFonts w:ascii="Cambria" w:hAnsi="Cambria" w:cs="Calibri"/>
          <w:sz w:val="16"/>
          <w:szCs w:val="16"/>
          <w:lang w:val="es-ES"/>
        </w:rPr>
        <w:t>Comunicación No. 623-627/1995, Decisión de 6 de abril d</w:t>
      </w:r>
      <w:r w:rsidRPr="00BE7AB4">
        <w:rPr>
          <w:rFonts w:ascii="Cambria" w:hAnsi="Cambria" w:cs="Calibri"/>
          <w:sz w:val="16"/>
          <w:szCs w:val="16"/>
          <w:lang w:val="es-ES"/>
        </w:rPr>
        <w:t xml:space="preserve">e 1998; y </w:t>
      </w:r>
      <w:r w:rsidRPr="00BE7AB4">
        <w:rPr>
          <w:rFonts w:ascii="Cambria" w:hAnsi="Cambria" w:cs="Calibri"/>
          <w:iCs/>
          <w:sz w:val="16"/>
          <w:szCs w:val="16"/>
          <w:lang w:val="es-ES"/>
        </w:rPr>
        <w:t>Saidova v. Tajikistan</w:t>
      </w:r>
      <w:r w:rsidRPr="00BE7AB4">
        <w:rPr>
          <w:rFonts w:ascii="Cambria" w:hAnsi="Cambria" w:cs="Calibri"/>
          <w:sz w:val="16"/>
          <w:szCs w:val="16"/>
          <w:lang w:val="es-ES"/>
        </w:rPr>
        <w:t xml:space="preserve">, Comunicación No. 964/2001, Decisión de 8 de julio de 2004. </w:t>
      </w:r>
    </w:p>
  </w:footnote>
  <w:footnote w:id="54">
    <w:p w14:paraId="217A6611" w14:textId="77777777" w:rsidR="005076F9" w:rsidRPr="00F47689" w:rsidRDefault="005076F9" w:rsidP="0046163F">
      <w:pPr>
        <w:pStyle w:val="NormalWeb"/>
        <w:spacing w:before="0" w:beforeAutospacing="0" w:after="0" w:afterAutospacing="0"/>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w:t>
      </w:r>
      <w:r w:rsidRPr="00F47689">
        <w:rPr>
          <w:rFonts w:ascii="Cambria" w:hAnsi="Cambria" w:cs="Calibri"/>
          <w:sz w:val="16"/>
          <w:szCs w:val="16"/>
          <w:lang w:val="es-ES"/>
        </w:rPr>
        <w:t xml:space="preserve">CIDH, Informe No. 172/10, Caso 12.561, Fondo, César Alberto Mendoza y otros (Prisión y reclusión perpetuas de adolescentes), Argentina, 2 de noviembre de 2010, párr. 189. </w:t>
      </w:r>
    </w:p>
  </w:footnote>
  <w:footnote w:id="55">
    <w:p w14:paraId="6D6BD99E" w14:textId="04837BBE" w:rsidR="005076F9" w:rsidRPr="00541DF6" w:rsidRDefault="005076F9" w:rsidP="00787398">
      <w:pPr>
        <w:pStyle w:val="FootnoteText"/>
        <w:jc w:val="both"/>
        <w:rPr>
          <w:rFonts w:ascii="Cambria" w:hAnsi="Cambria"/>
          <w:sz w:val="16"/>
          <w:szCs w:val="16"/>
        </w:rPr>
      </w:pPr>
      <w:r w:rsidRPr="00BE7AB4">
        <w:rPr>
          <w:rFonts w:ascii="Cambria" w:hAnsi="Cambria"/>
          <w:sz w:val="16"/>
          <w:szCs w:val="16"/>
          <w:vertAlign w:val="superscript"/>
        </w:rPr>
        <w:footnoteRef/>
      </w:r>
      <w:r w:rsidRPr="00BE7AB4">
        <w:rPr>
          <w:rFonts w:ascii="Cambria" w:hAnsi="Cambria"/>
          <w:sz w:val="16"/>
          <w:szCs w:val="16"/>
          <w:vertAlign w:val="superscript"/>
        </w:rPr>
        <w:t xml:space="preserve"> </w:t>
      </w:r>
      <w:r w:rsidRPr="00F47689">
        <w:rPr>
          <w:rFonts w:ascii="Cambria" w:hAnsi="Cambria"/>
          <w:sz w:val="16"/>
          <w:szCs w:val="16"/>
          <w:vertAlign w:val="superscript"/>
        </w:rPr>
        <w:t xml:space="preserve"> </w:t>
      </w:r>
      <w:r w:rsidRPr="00F47689">
        <w:rPr>
          <w:rFonts w:ascii="Cambria" w:hAnsi="Cambria"/>
          <w:sz w:val="16"/>
          <w:szCs w:val="16"/>
        </w:rPr>
        <w:t>Convención sobre los Derechos del Niño. adoptada y abierta a la firma y ratificación por la Asamblea General en su resolución 44/25, de 20 de noviembre de 1989. Entrada en vigor: 2 de septiembre de 1990, de conformidad con el artículo 49. Nueva York, 20 de noviembre de 1989. Artículo 40.2.b.V.</w:t>
      </w:r>
      <w:r w:rsidRPr="00541DF6">
        <w:rPr>
          <w:rFonts w:ascii="Cambria" w:hAnsi="Cambria"/>
          <w:sz w:val="16"/>
          <w:szCs w:val="16"/>
        </w:rPr>
        <w:t xml:space="preserve"> </w:t>
      </w:r>
    </w:p>
  </w:footnote>
  <w:footnote w:id="56">
    <w:p w14:paraId="3E102CC0" w14:textId="06CB40F6"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Organización de las Naciones Unidas. Comité de los Derechos del Niño. </w:t>
      </w:r>
      <w:r w:rsidRPr="00F47689">
        <w:rPr>
          <w:rFonts w:ascii="Cambria" w:hAnsi="Cambria"/>
          <w:iCs/>
          <w:sz w:val="16"/>
          <w:szCs w:val="16"/>
        </w:rPr>
        <w:t>Observación General No. 10.</w:t>
      </w:r>
      <w:r w:rsidRPr="00F47689">
        <w:rPr>
          <w:rFonts w:ascii="Cambria" w:hAnsi="Cambria"/>
          <w:sz w:val="16"/>
          <w:szCs w:val="16"/>
        </w:rPr>
        <w:t xml:space="preserve"> </w:t>
      </w:r>
      <w:r w:rsidRPr="00F47689">
        <w:rPr>
          <w:rFonts w:ascii="Cambria" w:hAnsi="Cambria"/>
          <w:iCs/>
          <w:sz w:val="16"/>
          <w:szCs w:val="16"/>
        </w:rPr>
        <w:t xml:space="preserve">Los derechos del niño en la justicia de menores. </w:t>
      </w:r>
      <w:r w:rsidRPr="00F47689">
        <w:rPr>
          <w:rFonts w:ascii="Cambria" w:hAnsi="Cambria"/>
          <w:sz w:val="16"/>
          <w:szCs w:val="16"/>
        </w:rPr>
        <w:t xml:space="preserve">CRC/C/GC/10. 25 de abril de 2007. Párr. 60.  </w:t>
      </w:r>
    </w:p>
  </w:footnote>
  <w:footnote w:id="57">
    <w:p w14:paraId="0D918B1C" w14:textId="1DE324BD" w:rsidR="005076F9" w:rsidRPr="0023715B"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Or</w:t>
      </w:r>
      <w:r w:rsidRPr="00F47689">
        <w:rPr>
          <w:rFonts w:ascii="Cambria" w:hAnsi="Cambria"/>
          <w:sz w:val="16"/>
          <w:szCs w:val="16"/>
        </w:rPr>
        <w:t xml:space="preserve">ganización de las Naciones Unidas. Comité de los Derechos del Niño. </w:t>
      </w:r>
      <w:r w:rsidRPr="00F47689">
        <w:rPr>
          <w:rFonts w:ascii="Cambria" w:hAnsi="Cambria"/>
          <w:iCs/>
          <w:sz w:val="16"/>
          <w:szCs w:val="16"/>
        </w:rPr>
        <w:t>Observación General No. 10.</w:t>
      </w:r>
      <w:r w:rsidRPr="00F47689">
        <w:rPr>
          <w:rFonts w:ascii="Cambria" w:hAnsi="Cambria"/>
          <w:sz w:val="16"/>
          <w:szCs w:val="16"/>
        </w:rPr>
        <w:t xml:space="preserve"> </w:t>
      </w:r>
      <w:r w:rsidRPr="00F47689">
        <w:rPr>
          <w:rFonts w:ascii="Cambria" w:hAnsi="Cambria"/>
          <w:iCs/>
          <w:sz w:val="16"/>
          <w:szCs w:val="16"/>
        </w:rPr>
        <w:t xml:space="preserve">Los derechos del niño en la justicia de menores. </w:t>
      </w:r>
      <w:r w:rsidRPr="00F47689">
        <w:rPr>
          <w:rFonts w:ascii="Cambria" w:hAnsi="Cambria"/>
          <w:sz w:val="16"/>
          <w:szCs w:val="16"/>
        </w:rPr>
        <w:t xml:space="preserve">CRC/C/GC/10. 25 de abril de 2007. Párr. 60.  </w:t>
      </w:r>
    </w:p>
  </w:footnote>
  <w:footnote w:id="58">
    <w:p w14:paraId="23925DFB" w14:textId="77777777" w:rsidR="005076F9" w:rsidRPr="0023715B"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Corte IDH. </w:t>
      </w:r>
      <w:r w:rsidRPr="00F47689">
        <w:rPr>
          <w:rFonts w:ascii="Cambria" w:hAnsi="Cambria"/>
          <w:iCs/>
          <w:sz w:val="16"/>
          <w:szCs w:val="16"/>
        </w:rPr>
        <w:t>Caso Mendoza y otros Vs. Argentina.</w:t>
      </w:r>
      <w:r w:rsidRPr="00F47689">
        <w:rPr>
          <w:rFonts w:ascii="Cambria" w:hAnsi="Cambria"/>
          <w:i/>
          <w:iCs/>
          <w:sz w:val="16"/>
          <w:szCs w:val="16"/>
        </w:rPr>
        <w:t xml:space="preserve"> </w:t>
      </w:r>
      <w:r w:rsidRPr="00F47689">
        <w:rPr>
          <w:rFonts w:ascii="Cambria" w:hAnsi="Cambria"/>
          <w:sz w:val="16"/>
          <w:szCs w:val="16"/>
        </w:rPr>
        <w:t xml:space="preserve">Excepciones Preliminares, Fondo y Reparaciones. Sentencia de 14 de mayo de 2013. Serie C No. 260. Párr. 247.  </w:t>
      </w:r>
    </w:p>
  </w:footnote>
  <w:footnote w:id="59">
    <w:p w14:paraId="01256AF3" w14:textId="3B9BE12D"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w:t>
      </w:r>
      <w:bookmarkStart w:id="63" w:name="_Hlk78304789"/>
      <w:r w:rsidRPr="00982E29">
        <w:rPr>
          <w:rFonts w:ascii="Cambria" w:hAnsi="Cambria"/>
          <w:b/>
          <w:sz w:val="16"/>
          <w:szCs w:val="16"/>
        </w:rPr>
        <w:t xml:space="preserve">ANEXO </w:t>
      </w:r>
      <w:r w:rsidR="00982E29" w:rsidRPr="00982E29">
        <w:rPr>
          <w:rFonts w:ascii="Cambria" w:hAnsi="Cambria"/>
          <w:b/>
          <w:sz w:val="16"/>
          <w:szCs w:val="16"/>
        </w:rPr>
        <w:t>13</w:t>
      </w:r>
      <w:r w:rsidRPr="00982E29">
        <w:rPr>
          <w:rFonts w:ascii="Cambria" w:hAnsi="Cambria"/>
          <w:b/>
          <w:sz w:val="16"/>
          <w:szCs w:val="16"/>
        </w:rPr>
        <w:t>.</w:t>
      </w:r>
      <w:r w:rsidRPr="00982E29">
        <w:rPr>
          <w:rFonts w:ascii="Cambria" w:hAnsi="Cambria"/>
          <w:sz w:val="16"/>
          <w:szCs w:val="16"/>
        </w:rPr>
        <w:t xml:space="preserve"> Código Procesal Penal de la Provincia de Chubut, Ley 3155, articulo 415. Anexo 17 a la comunicación de la parte peticionaria recibida por la Comisión el 21 de mayo de 2004.</w:t>
      </w:r>
      <w:r w:rsidRPr="00F47689">
        <w:rPr>
          <w:rFonts w:ascii="Cambria" w:hAnsi="Cambria"/>
          <w:sz w:val="16"/>
          <w:szCs w:val="16"/>
        </w:rPr>
        <w:t xml:space="preserve">  </w:t>
      </w:r>
      <w:bookmarkEnd w:id="63"/>
    </w:p>
  </w:footnote>
  <w:footnote w:id="60">
    <w:p w14:paraId="1FA7307E" w14:textId="71FE333E" w:rsidR="005076F9" w:rsidRPr="00F47689"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w:t>
      </w:r>
      <w:r w:rsidRPr="00982E29">
        <w:rPr>
          <w:rFonts w:ascii="Cambria" w:hAnsi="Cambria"/>
          <w:b/>
          <w:sz w:val="16"/>
          <w:szCs w:val="16"/>
        </w:rPr>
        <w:t xml:space="preserve">ANEXO </w:t>
      </w:r>
      <w:r w:rsidR="00982E29" w:rsidRPr="00982E29">
        <w:rPr>
          <w:rFonts w:ascii="Cambria" w:hAnsi="Cambria"/>
          <w:b/>
          <w:sz w:val="16"/>
          <w:szCs w:val="16"/>
        </w:rPr>
        <w:t>4</w:t>
      </w:r>
      <w:r w:rsidRPr="00982E29">
        <w:rPr>
          <w:rFonts w:ascii="Cambria" w:hAnsi="Cambria"/>
          <w:b/>
          <w:sz w:val="16"/>
          <w:szCs w:val="16"/>
        </w:rPr>
        <w:t>.</w:t>
      </w:r>
      <w:r w:rsidRPr="00982E29">
        <w:rPr>
          <w:rFonts w:ascii="Cambria" w:hAnsi="Cambria"/>
          <w:sz w:val="16"/>
          <w:szCs w:val="16"/>
        </w:rPr>
        <w:t xml:space="preserve"> Sentencia del Superior Tribunal de Justicia de la Provincia de Chubut de fecha 16 de diciembre de 2002. Anexo 6 a la comunicación de la parte peticionaria recibida por la Comisión el 21 de mayo de 2004.</w:t>
      </w:r>
      <w:r w:rsidRPr="00F47689">
        <w:rPr>
          <w:rFonts w:ascii="Cambria" w:hAnsi="Cambria"/>
          <w:sz w:val="16"/>
          <w:szCs w:val="16"/>
        </w:rPr>
        <w:t xml:space="preserve">  </w:t>
      </w:r>
    </w:p>
  </w:footnote>
  <w:footnote w:id="61">
    <w:p w14:paraId="56A91E75" w14:textId="1726E2CC"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Corte IDH Caso Castillo Petruzzi y otros Vs. </w:t>
      </w:r>
      <w:r w:rsidRPr="00F47689">
        <w:rPr>
          <w:rFonts w:ascii="Cambria" w:hAnsi="Cambria"/>
          <w:sz w:val="16"/>
          <w:szCs w:val="16"/>
          <w:lang w:val="es-AR"/>
        </w:rPr>
        <w:t>Perú. Fondo, Reparaciones y Costas, párr. 161; Corte IDH Caso Herrera Ulloa Vs. Costa Rica. Excepciones Preliminares, Fondo, Reparaciones y Costas, párrs. 157 a 168,</w:t>
      </w:r>
    </w:p>
  </w:footnote>
  <w:footnote w:id="62">
    <w:p w14:paraId="17348A99" w14:textId="15D3603E" w:rsidR="005076F9" w:rsidRPr="00F47689" w:rsidRDefault="005076F9" w:rsidP="0046163F">
      <w:pPr>
        <w:pStyle w:val="FootnoteText"/>
        <w:jc w:val="both"/>
        <w:rPr>
          <w:rFonts w:ascii="Cambria" w:hAnsi="Cambria"/>
          <w:sz w:val="16"/>
          <w:szCs w:val="16"/>
        </w:rPr>
      </w:pPr>
      <w:r w:rsidRPr="00BE7AB4">
        <w:rPr>
          <w:rStyle w:val="FootnoteReference"/>
          <w:rFonts w:ascii="Cambria" w:hAnsi="Cambria"/>
          <w:sz w:val="16"/>
          <w:szCs w:val="16"/>
        </w:rPr>
        <w:footnoteRef/>
      </w:r>
      <w:r w:rsidRPr="00BE7AB4">
        <w:rPr>
          <w:rFonts w:ascii="Cambria" w:hAnsi="Cambria"/>
          <w:sz w:val="16"/>
          <w:szCs w:val="16"/>
        </w:rPr>
        <w:t xml:space="preserve"> CIDH. Informe N° 55/97. Caso 11.137. Juan Carlos Abella. Argentina. Párrs 431 a 435.  Corte IDH. Caso Mohamed Vs. Argentina. Sentencia de Excepción Preliminar, Fondo, Reparaciones y Costas. 23 de noviembre de 2012. Serie C No. 255, párr. 104  </w:t>
      </w:r>
    </w:p>
  </w:footnote>
  <w:footnote w:id="63">
    <w:p w14:paraId="7641D6D3" w14:textId="2D864DD9"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Ver en es</w:t>
      </w:r>
      <w:r w:rsidRPr="00F47689">
        <w:rPr>
          <w:rFonts w:ascii="Cambria" w:hAnsi="Cambria"/>
          <w:sz w:val="16"/>
          <w:szCs w:val="16"/>
          <w:lang w:val="es-AR"/>
        </w:rPr>
        <w:t xml:space="preserve">te sentido: Código Procesal Penal de la Provincia del Chubut LEY XV-9 (ANTES LEY 5478). Artículos 374 a 377. Accesible en: </w:t>
      </w:r>
      <w:hyperlink r:id="rId2" w:history="1">
        <w:r w:rsidRPr="00BE7AB4">
          <w:rPr>
            <w:rStyle w:val="Hyperlink"/>
            <w:rFonts w:ascii="Cambria" w:hAnsi="Cambria"/>
            <w:sz w:val="16"/>
            <w:szCs w:val="16"/>
            <w:lang w:val="es-AR"/>
          </w:rPr>
          <w:t>http://www.mpfchubut.gov.ar/images/pdf/cpp.pdf</w:t>
        </w:r>
      </w:hyperlink>
      <w:r w:rsidRPr="00BE7AB4">
        <w:rPr>
          <w:rFonts w:ascii="Cambria" w:hAnsi="Cambria"/>
          <w:sz w:val="16"/>
          <w:szCs w:val="16"/>
          <w:lang w:val="es-AR"/>
        </w:rPr>
        <w:t xml:space="preserve"> </w:t>
      </w:r>
    </w:p>
  </w:footnote>
  <w:footnote w:id="64">
    <w:p w14:paraId="4AB1025E" w14:textId="595DB255" w:rsidR="005076F9" w:rsidRPr="007B0E80"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pt-BR"/>
        </w:rPr>
        <w:t xml:space="preserve"> CIDH, Informe Nº 97/</w:t>
      </w:r>
      <w:r w:rsidRPr="00F47689">
        <w:rPr>
          <w:rFonts w:ascii="Cambria" w:hAnsi="Cambria"/>
          <w:sz w:val="16"/>
          <w:szCs w:val="16"/>
          <w:lang w:val="pt-BR"/>
        </w:rPr>
        <w:t xml:space="preserve">17, Caso 12.924. Fondo. </w:t>
      </w:r>
      <w:r w:rsidRPr="00F47689">
        <w:rPr>
          <w:rFonts w:ascii="Cambria" w:hAnsi="Cambria"/>
          <w:sz w:val="16"/>
          <w:szCs w:val="16"/>
        </w:rPr>
        <w:t>Julio César Ramón del Valle Ambrosio y Carlos Eduardo Domínguez Linares. Argentina. 5 de septiembre de 2017; CIDH, Informe Nº 98/17, Caso Nº 12.925, Fondo, Oscar Raúl Gorigoitia, Argentina, 5 de septiembre de 2017.</w:t>
      </w:r>
      <w:r w:rsidRPr="007B0E80">
        <w:rPr>
          <w:rFonts w:ascii="Cambria" w:hAnsi="Cambria"/>
          <w:sz w:val="16"/>
          <w:szCs w:val="16"/>
        </w:rPr>
        <w:t xml:space="preserve">  </w:t>
      </w:r>
    </w:p>
  </w:footnote>
  <w:footnote w:id="65">
    <w:p w14:paraId="55213842" w14:textId="1FBEFF46" w:rsidR="005076F9" w:rsidRPr="00F47689" w:rsidRDefault="005076F9" w:rsidP="0046163F">
      <w:pPr>
        <w:jc w:val="both"/>
        <w:rPr>
          <w:rFonts w:ascii="Cambria" w:hAnsi="Cambria" w:cs="Cambay Devanagari"/>
          <w:sz w:val="16"/>
          <w:szCs w:val="16"/>
          <w:highlight w:val="green"/>
          <w:lang w:val="es-419"/>
        </w:rPr>
      </w:pPr>
      <w:r w:rsidRPr="00BE7AB4">
        <w:rPr>
          <w:rStyle w:val="FootnoteReference"/>
          <w:rFonts w:ascii="Cambria" w:hAnsi="Cambria" w:cs="Cambay Devanagari"/>
          <w:sz w:val="16"/>
          <w:szCs w:val="16"/>
          <w:lang w:val="es-419"/>
        </w:rPr>
        <w:footnoteRef/>
      </w:r>
      <w:r w:rsidRPr="00BE7AB4">
        <w:rPr>
          <w:rFonts w:ascii="Cambria" w:hAnsi="Cambria" w:cs="Cambay Devanagari"/>
          <w:sz w:val="16"/>
          <w:szCs w:val="16"/>
          <w:lang w:val="es-419"/>
        </w:rPr>
        <w:t xml:space="preserve"> Corte IDH. Ca</w:t>
      </w:r>
      <w:r w:rsidRPr="004E7F1A">
        <w:rPr>
          <w:rFonts w:ascii="Cambria" w:hAnsi="Cambria" w:cs="Cambay Devanagari"/>
          <w:sz w:val="16"/>
          <w:szCs w:val="16"/>
          <w:lang w:val="es-419"/>
        </w:rPr>
        <w:t>so Chaparro Álvarez y Lapo Íñiguez Vs. Ecuador. Excepciones Preliminares, Fondo, Reparaciones y Costas. Sentencia de 21 de noviembre de 2007. Serie C No. 170. Párr. 52</w:t>
      </w:r>
    </w:p>
  </w:footnote>
  <w:footnote w:id="66">
    <w:p w14:paraId="5BEB9632" w14:textId="2FDB0E63" w:rsidR="005076F9" w:rsidRPr="00F47689" w:rsidRDefault="005076F9" w:rsidP="0046163F">
      <w:pPr>
        <w:pStyle w:val="FootnoteText"/>
        <w:jc w:val="both"/>
        <w:rPr>
          <w:rFonts w:ascii="Cambria" w:hAnsi="Cambria" w:cs="Cambay Devanagari"/>
          <w:b/>
          <w:sz w:val="16"/>
          <w:szCs w:val="16"/>
          <w:lang w:val="es-419"/>
        </w:rPr>
      </w:pPr>
      <w:r w:rsidRPr="00BE7AB4">
        <w:rPr>
          <w:rStyle w:val="FootnoteReference"/>
          <w:rFonts w:ascii="Cambria" w:hAnsi="Cambria" w:cs="Cambay Devanagari"/>
          <w:sz w:val="16"/>
          <w:szCs w:val="16"/>
          <w:lang w:val="es-419"/>
        </w:rPr>
        <w:footnoteRef/>
      </w:r>
      <w:r w:rsidRPr="00BE7AB4">
        <w:rPr>
          <w:rStyle w:val="Strong"/>
          <w:rFonts w:ascii="Cambria" w:hAnsi="Cambria" w:cs="Cambay Devanagari"/>
          <w:sz w:val="16"/>
          <w:szCs w:val="16"/>
          <w:shd w:val="clear" w:color="auto" w:fill="FFFFFF"/>
          <w:lang w:val="es-419"/>
        </w:rPr>
        <w:t xml:space="preserve"> </w:t>
      </w:r>
      <w:r w:rsidRPr="004E7F1A">
        <w:rPr>
          <w:rStyle w:val="Strong"/>
          <w:rFonts w:ascii="Cambria" w:hAnsi="Cambria" w:cs="Cambay Devanagari"/>
          <w:b w:val="0"/>
          <w:sz w:val="16"/>
          <w:szCs w:val="16"/>
          <w:shd w:val="clear" w:color="auto" w:fill="FFFFFF"/>
          <w:lang w:val="es-419"/>
        </w:rPr>
        <w:t>Corte IDH. Caso Juan Humberto Sánchez Vs. Honduras. Excepción Preliminar, Fondo, Reparaciones y Costas. Sentencia de 7 de junio de 2003. Serie C No. 99. Párr. 77; Corte IDH. Caso de los Hermanos Gómez Paquiyauri Vs. Perú. Fondo, Reparaciones y Costas. Sent</w:t>
      </w:r>
      <w:r w:rsidRPr="00F47689">
        <w:rPr>
          <w:rStyle w:val="Strong"/>
          <w:rFonts w:ascii="Cambria" w:hAnsi="Cambria" w:cs="Cambay Devanagari"/>
          <w:b w:val="0"/>
          <w:sz w:val="16"/>
          <w:szCs w:val="16"/>
          <w:shd w:val="clear" w:color="auto" w:fill="FFFFFF"/>
          <w:lang w:val="es-419"/>
        </w:rPr>
        <w:t xml:space="preserve">encia de 8 de julio de 2004. Serie C No. 110. Párr. 82; Corte IDH. Caso Chaparro Álvarez y Lapo Íñiguez Vs. Ecuador. Excepciones Preliminares, Fondo, Reparaciones y Costas. Sentencia de 21 de noviembre de 2007. Serie C No. 170. Párr. 52. </w:t>
      </w:r>
    </w:p>
  </w:footnote>
  <w:footnote w:id="67">
    <w:p w14:paraId="77EDD8FF" w14:textId="01C3C13D" w:rsidR="005076F9" w:rsidRPr="00F47689" w:rsidRDefault="005076F9" w:rsidP="0046163F">
      <w:pPr>
        <w:pStyle w:val="FootnoteText"/>
        <w:jc w:val="both"/>
        <w:rPr>
          <w:rFonts w:ascii="Cambria" w:hAnsi="Cambria" w:cs="Cambay Devanagari"/>
          <w:b/>
          <w:sz w:val="16"/>
          <w:szCs w:val="16"/>
          <w:lang w:val="es-419"/>
        </w:rPr>
      </w:pPr>
      <w:r w:rsidRPr="00BE7AB4">
        <w:rPr>
          <w:rStyle w:val="FootnoteReference"/>
          <w:rFonts w:ascii="Cambria" w:hAnsi="Cambria" w:cs="Cambay Devanagari"/>
          <w:sz w:val="16"/>
          <w:szCs w:val="16"/>
          <w:lang w:val="es-419"/>
        </w:rPr>
        <w:footnoteRef/>
      </w:r>
      <w:r w:rsidRPr="00BE7AB4">
        <w:rPr>
          <w:rStyle w:val="Strong"/>
          <w:rFonts w:ascii="Cambria" w:hAnsi="Cambria" w:cs="Cambay Devanagari"/>
          <w:sz w:val="16"/>
          <w:szCs w:val="16"/>
          <w:shd w:val="clear" w:color="auto" w:fill="FFFFFF"/>
          <w:lang w:val="es-419"/>
        </w:rPr>
        <w:t xml:space="preserve"> </w:t>
      </w:r>
      <w:r w:rsidRPr="004E7F1A">
        <w:rPr>
          <w:rStyle w:val="Strong"/>
          <w:rFonts w:ascii="Cambria" w:hAnsi="Cambria" w:cs="Cambay Devanagari"/>
          <w:b w:val="0"/>
          <w:sz w:val="16"/>
          <w:szCs w:val="16"/>
          <w:shd w:val="clear" w:color="auto" w:fill="FFFFFF"/>
          <w:lang w:val="es-419"/>
        </w:rPr>
        <w:t>Corte IDH. Caso</w:t>
      </w:r>
      <w:r w:rsidRPr="00F47689">
        <w:rPr>
          <w:rStyle w:val="Strong"/>
          <w:rFonts w:ascii="Cambria" w:hAnsi="Cambria" w:cs="Cambay Devanagari"/>
          <w:b w:val="0"/>
          <w:sz w:val="16"/>
          <w:szCs w:val="16"/>
          <w:shd w:val="clear" w:color="auto" w:fill="FFFFFF"/>
          <w:lang w:val="es-419"/>
        </w:rPr>
        <w:t xml:space="preserve"> Chaparro Álvarez y Lapo Íñiguez Vs. Ecuador. Excepciones Preliminares, Fondo, Reparaciones y Costas. Sentencia de 21 de noviembre de 2007. Serie C No. 170. Párr. 53. </w:t>
      </w:r>
    </w:p>
  </w:footnote>
  <w:footnote w:id="68">
    <w:p w14:paraId="7AAAB0DC" w14:textId="4DD8E965" w:rsidR="005076F9" w:rsidRPr="00F47689" w:rsidRDefault="005076F9" w:rsidP="0046163F">
      <w:pPr>
        <w:pStyle w:val="FootnoteText"/>
        <w:jc w:val="both"/>
        <w:rPr>
          <w:rFonts w:ascii="Cambria" w:hAnsi="Cambria" w:cs="Cambay Devanagari"/>
          <w:b/>
          <w:sz w:val="16"/>
          <w:szCs w:val="16"/>
          <w:lang w:val="pt-BR"/>
        </w:rPr>
      </w:pPr>
      <w:r w:rsidRPr="00BE7AB4">
        <w:rPr>
          <w:rStyle w:val="FootnoteReference"/>
          <w:rFonts w:ascii="Cambria" w:hAnsi="Cambria" w:cs="Cambay Devanagari"/>
          <w:sz w:val="16"/>
          <w:szCs w:val="16"/>
          <w:lang w:val="es-419"/>
        </w:rPr>
        <w:footnoteRef/>
      </w:r>
      <w:r w:rsidRPr="00BE7AB4">
        <w:rPr>
          <w:rStyle w:val="Strong"/>
          <w:rFonts w:ascii="Cambria" w:hAnsi="Cambria" w:cs="Cambay Devanagari"/>
          <w:sz w:val="16"/>
          <w:szCs w:val="16"/>
          <w:shd w:val="clear" w:color="auto" w:fill="FFFFFF"/>
          <w:lang w:val="es-419"/>
        </w:rPr>
        <w:t xml:space="preserve"> </w:t>
      </w:r>
      <w:r w:rsidRPr="004E7F1A">
        <w:rPr>
          <w:rStyle w:val="Strong"/>
          <w:rFonts w:ascii="Cambria" w:hAnsi="Cambria" w:cs="Cambay Devanagari"/>
          <w:b w:val="0"/>
          <w:sz w:val="16"/>
          <w:szCs w:val="16"/>
          <w:shd w:val="clear" w:color="auto" w:fill="FFFFFF"/>
          <w:lang w:val="es-419"/>
        </w:rPr>
        <w:t>Corte IDH. Caso Servellón García y otros Vs. Honduras. Sentencia de 21 de septiembre d</w:t>
      </w:r>
      <w:r w:rsidRPr="00F47689">
        <w:rPr>
          <w:rStyle w:val="Strong"/>
          <w:rFonts w:ascii="Cambria" w:hAnsi="Cambria" w:cs="Cambay Devanagari"/>
          <w:b w:val="0"/>
          <w:sz w:val="16"/>
          <w:szCs w:val="16"/>
          <w:shd w:val="clear" w:color="auto" w:fill="FFFFFF"/>
          <w:lang w:val="es-419"/>
        </w:rPr>
        <w:t xml:space="preserve">e 2006. </w:t>
      </w:r>
      <w:r w:rsidRPr="00F47689">
        <w:rPr>
          <w:rStyle w:val="Strong"/>
          <w:rFonts w:ascii="Cambria" w:hAnsi="Cambria" w:cs="Cambay Devanagari"/>
          <w:b w:val="0"/>
          <w:sz w:val="16"/>
          <w:szCs w:val="16"/>
          <w:shd w:val="clear" w:color="auto" w:fill="FFFFFF"/>
          <w:lang w:val="pt-BR"/>
        </w:rPr>
        <w:t>Serie C No. 152. Párr. 87.</w:t>
      </w:r>
      <w:r w:rsidRPr="00F47689">
        <w:rPr>
          <w:rStyle w:val="Strong"/>
          <w:rFonts w:ascii="Cambria" w:hAnsi="Cambria" w:cs="Cambay Devanagari"/>
          <w:sz w:val="16"/>
          <w:szCs w:val="16"/>
          <w:shd w:val="clear" w:color="auto" w:fill="FFFFFF"/>
          <w:lang w:val="pt-BR"/>
        </w:rPr>
        <w:t xml:space="preserve"> </w:t>
      </w:r>
    </w:p>
  </w:footnote>
  <w:footnote w:id="69">
    <w:p w14:paraId="7E11A280" w14:textId="2F5AE542" w:rsidR="005076F9" w:rsidRPr="007B0E80"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pt-BR"/>
        </w:rPr>
        <w:t xml:space="preserve"> </w:t>
      </w:r>
      <w:r w:rsidRPr="00F47689">
        <w:rPr>
          <w:rStyle w:val="Strong"/>
          <w:rFonts w:ascii="Cambria" w:eastAsia="Arial Unicode MS" w:hAnsi="Cambria" w:cs="Cambay Devanagari"/>
          <w:b w:val="0"/>
          <w:sz w:val="16"/>
          <w:szCs w:val="16"/>
          <w:bdr w:val="nil"/>
          <w:lang w:val="pt-BR"/>
        </w:rPr>
        <w:t xml:space="preserve">Corte IDH. Caso Gangaram Panday Vs. </w:t>
      </w:r>
      <w:r w:rsidRPr="00F47689">
        <w:rPr>
          <w:rStyle w:val="Strong"/>
          <w:rFonts w:ascii="Cambria" w:eastAsia="Arial Unicode MS" w:hAnsi="Cambria" w:cs="Cambay Devanagari"/>
          <w:b w:val="0"/>
          <w:sz w:val="16"/>
          <w:szCs w:val="16"/>
          <w:bdr w:val="nil"/>
          <w:lang w:val="es-AR"/>
        </w:rPr>
        <w:t>Surinam. Fondo, Reparaciones y Costas. Sentencia de 21 de enero de 1994. Serie C No. 16. Párr. 47.</w:t>
      </w:r>
      <w:r w:rsidRPr="007B0E80">
        <w:rPr>
          <w:rFonts w:ascii="Cambria" w:hAnsi="Cambria" w:cs="Arial"/>
          <w:color w:val="494848"/>
          <w:sz w:val="16"/>
          <w:szCs w:val="16"/>
          <w:shd w:val="clear" w:color="auto" w:fill="FFFFFF"/>
          <w:lang w:val="es-AR"/>
        </w:rPr>
        <w:t xml:space="preserve"> </w:t>
      </w:r>
    </w:p>
  </w:footnote>
  <w:footnote w:id="70">
    <w:p w14:paraId="2FF3405A" w14:textId="0C0C6D1F" w:rsidR="005076F9" w:rsidRPr="008506B4" w:rsidRDefault="005076F9" w:rsidP="0046163F">
      <w:pPr>
        <w:jc w:val="both"/>
        <w:rPr>
          <w:rFonts w:ascii="Cambria" w:hAnsi="Cambria"/>
          <w:sz w:val="16"/>
          <w:szCs w:val="16"/>
          <w:lang w:val="es-ES"/>
        </w:rPr>
      </w:pPr>
      <w:r w:rsidRPr="008506B4">
        <w:rPr>
          <w:rStyle w:val="FootnoteReference"/>
          <w:rFonts w:ascii="Cambria" w:hAnsi="Cambria"/>
          <w:sz w:val="16"/>
          <w:szCs w:val="16"/>
          <w:lang w:val="es-ES"/>
        </w:rPr>
        <w:footnoteRef/>
      </w:r>
      <w:r w:rsidRPr="008506B4">
        <w:rPr>
          <w:rFonts w:ascii="Cambria" w:hAnsi="Cambria"/>
          <w:sz w:val="16"/>
          <w:szCs w:val="16"/>
          <w:lang w:val="es-ES"/>
        </w:rPr>
        <w:t xml:space="preserve"> </w:t>
      </w:r>
      <w:r w:rsidRPr="008506B4">
        <w:rPr>
          <w:rFonts w:ascii="Cambria" w:eastAsia="Arial Unicode MS" w:hAnsi="Cambria" w:cs="Cambay Devanagari"/>
          <w:sz w:val="16"/>
          <w:szCs w:val="16"/>
          <w:bdr w:val="nil"/>
          <w:lang w:val="es-ES"/>
        </w:rPr>
        <w:t>Corte IDH. Caso Torres Millacura y otros Vs. Argentina. Fondo, Reparaciones y Costas. Sentencia de 26 de agosto de 2011. Serie C No. 229. Párr. 78.</w:t>
      </w:r>
      <w:r w:rsidRPr="008506B4">
        <w:rPr>
          <w:rFonts w:ascii="Cambria" w:hAnsi="Cambria" w:cs="Arial"/>
          <w:color w:val="494848"/>
          <w:sz w:val="16"/>
          <w:szCs w:val="16"/>
          <w:shd w:val="clear" w:color="auto" w:fill="FFFFFF"/>
          <w:lang w:val="es-ES"/>
        </w:rPr>
        <w:t xml:space="preserve"> </w:t>
      </w:r>
      <w:r w:rsidRPr="008506B4">
        <w:rPr>
          <w:rFonts w:ascii="Cambria" w:hAnsi="Cambria" w:cs="Cambay Devanagari"/>
          <w:sz w:val="16"/>
          <w:szCs w:val="16"/>
          <w:lang w:val="es-ES"/>
        </w:rPr>
        <w:t>Corte IDH. Caso Rodríguez Vera y otros (Desaparecidos del Palacio de Justicia) Vs. Colombia. Excepciones Preliminares, Fondo, Reparaciones y Costas. Sentencia de 14 de noviembre de 2014. Serie C No. 287. Párr. 408; Corte IDH. Caso Norín Catrimán y otros (Dirigentes, Miembros y Activista del Pueblo Indígena Mapuche) Vs. Chile. Fondo, Reparaciones y Costas. Sentencia de 29 de mayo de 2014. Serie C No. 279. Párrs 320 y 326.</w:t>
      </w:r>
    </w:p>
  </w:footnote>
  <w:footnote w:id="71">
    <w:p w14:paraId="0DD1D653" w14:textId="7942C608" w:rsidR="008506B4" w:rsidRPr="008506B4" w:rsidRDefault="008506B4" w:rsidP="008506B4">
      <w:pPr>
        <w:pStyle w:val="FootnoteText"/>
        <w:jc w:val="both"/>
        <w:rPr>
          <w:rFonts w:ascii="Cambria" w:eastAsia="Times New Roman" w:hAnsi="Cambria" w:cs="Cambay Devanagari"/>
          <w:sz w:val="16"/>
          <w:szCs w:val="16"/>
          <w:bdr w:val="none" w:sz="0" w:space="0" w:color="auto"/>
        </w:rPr>
      </w:pPr>
      <w:r w:rsidRPr="008506B4">
        <w:rPr>
          <w:rStyle w:val="FootnoteReference"/>
          <w:rFonts w:ascii="Cambria" w:hAnsi="Cambria"/>
          <w:sz w:val="16"/>
          <w:szCs w:val="16"/>
        </w:rPr>
        <w:footnoteRef/>
      </w:r>
      <w:r w:rsidRPr="008506B4">
        <w:rPr>
          <w:rStyle w:val="FootnoteReference"/>
          <w:sz w:val="16"/>
          <w:szCs w:val="16"/>
        </w:rPr>
        <w:t xml:space="preserve"> </w:t>
      </w:r>
      <w:r w:rsidRPr="008506B4">
        <w:rPr>
          <w:rFonts w:ascii="Cambria" w:eastAsia="Times New Roman" w:hAnsi="Cambria" w:cs="Cambay Devanagari"/>
          <w:sz w:val="16"/>
          <w:szCs w:val="16"/>
          <w:bdr w:val="none" w:sz="0" w:space="0" w:color="auto"/>
        </w:rPr>
        <w:t xml:space="preserve">Corte IDH. Caso González y otras (“Campo Algodonero”) Vs. México. Excepción Preliminar, Fondo, Reparaciones y Costas. Sentencia de 16 de noviembre de 2009. Serie C No. 205. Par 401; Corte IDH. Caso Atala Riffo y niñas Vs. Chile. Solicitud de Interpretación de la Sentencia de Fondo, Reparaciones y Costas. Sentencia de 21 de noviembre de 2012. Serie C No. 254. Par 111. </w:t>
      </w:r>
    </w:p>
  </w:footnote>
  <w:footnote w:id="72">
    <w:p w14:paraId="58B896B5" w14:textId="572D657E" w:rsidR="008506B4" w:rsidRPr="008506B4" w:rsidRDefault="008506B4" w:rsidP="008506B4">
      <w:pPr>
        <w:pStyle w:val="FootnoteText"/>
        <w:jc w:val="both"/>
        <w:rPr>
          <w:sz w:val="16"/>
          <w:szCs w:val="16"/>
          <w:lang w:val="es-AR"/>
        </w:rPr>
      </w:pPr>
      <w:r w:rsidRPr="008506B4">
        <w:rPr>
          <w:rStyle w:val="FootnoteReference"/>
          <w:rFonts w:ascii="Cambria" w:hAnsi="Cambria"/>
          <w:sz w:val="16"/>
          <w:szCs w:val="16"/>
        </w:rPr>
        <w:footnoteRef/>
      </w:r>
      <w:r w:rsidRPr="008506B4">
        <w:rPr>
          <w:rFonts w:ascii="Cambria" w:eastAsia="Times New Roman" w:hAnsi="Cambria" w:cs="Cambay Devanagari"/>
          <w:sz w:val="16"/>
          <w:szCs w:val="16"/>
          <w:bdr w:val="none" w:sz="0" w:space="0" w:color="auto"/>
        </w:rPr>
        <w:t xml:space="preserve"> Corte IDH. Caso Norín Catrimán y otros (Dirigentes, Miembros y Activista del Pueblo Indígena Mapuche) Vs. Chile. Fondo, Reparaciones y Costas. Sentencia de 29 de mayo de 2014. Serie C No. 279. Par 225.</w:t>
      </w:r>
      <w:r w:rsidRPr="008506B4">
        <w:rPr>
          <w:rFonts w:ascii="Open Sans" w:hAnsi="Open Sans" w:cs="Open Sans"/>
          <w:color w:val="494848"/>
          <w:sz w:val="16"/>
          <w:szCs w:val="16"/>
          <w:shd w:val="clear" w:color="auto" w:fill="FFFFFF"/>
        </w:rPr>
        <w:t xml:space="preserve"> </w:t>
      </w:r>
    </w:p>
  </w:footnote>
  <w:footnote w:id="73">
    <w:p w14:paraId="5783213D" w14:textId="2B59973F" w:rsidR="005076F9" w:rsidRPr="008506B4" w:rsidRDefault="005076F9" w:rsidP="0046163F">
      <w:pPr>
        <w:jc w:val="both"/>
        <w:rPr>
          <w:rFonts w:ascii="Cambria" w:hAnsi="Cambria"/>
          <w:sz w:val="16"/>
          <w:szCs w:val="16"/>
          <w:lang w:val="es-ES"/>
        </w:rPr>
      </w:pPr>
      <w:r w:rsidRPr="008506B4">
        <w:rPr>
          <w:rStyle w:val="FootnoteReference"/>
          <w:rFonts w:ascii="Cambria" w:hAnsi="Cambria"/>
          <w:sz w:val="16"/>
          <w:szCs w:val="16"/>
          <w:lang w:val="es-ES"/>
        </w:rPr>
        <w:footnoteRef/>
      </w:r>
      <w:r w:rsidRPr="008506B4">
        <w:rPr>
          <w:rFonts w:ascii="Cambria" w:hAnsi="Cambria"/>
          <w:sz w:val="16"/>
          <w:szCs w:val="16"/>
          <w:lang w:val="es-ES"/>
        </w:rPr>
        <w:t xml:space="preserve"> CIDH. Justicia Juvenil y Derechos Humanos en las Américas. </w:t>
      </w:r>
      <w:r w:rsidRPr="008506B4">
        <w:rPr>
          <w:rFonts w:ascii="Cambria" w:hAnsi="Cambria"/>
          <w:sz w:val="16"/>
          <w:szCs w:val="16"/>
          <w:lang w:val="pt-BR"/>
        </w:rPr>
        <w:t>OEA/Ser.L/V/II. Doc.  </w:t>
      </w:r>
      <w:r w:rsidRPr="008506B4">
        <w:rPr>
          <w:rFonts w:ascii="Cambria" w:hAnsi="Cambria"/>
          <w:sz w:val="16"/>
          <w:szCs w:val="16"/>
          <w:lang w:val="es-ES"/>
        </w:rPr>
        <w:t>78 13 julio 2011 Original: Español. Accesible en: https://www.oas.org/es/cidh/infancia/docs/pdf/JusticiaJuvenil.pdf</w:t>
      </w:r>
    </w:p>
  </w:footnote>
  <w:footnote w:id="74">
    <w:p w14:paraId="5E640A1E" w14:textId="158C3F37" w:rsidR="005076F9" w:rsidRPr="00F47689" w:rsidRDefault="005076F9" w:rsidP="0046163F">
      <w:pPr>
        <w:pStyle w:val="FootnoteText"/>
        <w:jc w:val="both"/>
        <w:rPr>
          <w:rFonts w:ascii="Cambria" w:hAnsi="Cambria"/>
          <w:sz w:val="16"/>
          <w:szCs w:val="16"/>
        </w:rPr>
      </w:pPr>
      <w:r w:rsidRPr="008506B4">
        <w:rPr>
          <w:rStyle w:val="FootnoteReference"/>
          <w:rFonts w:ascii="Cambria" w:hAnsi="Cambria"/>
          <w:sz w:val="16"/>
          <w:szCs w:val="16"/>
        </w:rPr>
        <w:footnoteRef/>
      </w:r>
      <w:r w:rsidRPr="008506B4">
        <w:rPr>
          <w:rFonts w:ascii="Cambria" w:hAnsi="Cambria"/>
          <w:sz w:val="16"/>
          <w:szCs w:val="16"/>
        </w:rPr>
        <w:t xml:space="preserve"> CIDH. Justicia Juvenil y Derechos Humanos en las Américas, parr 4. </w:t>
      </w:r>
      <w:r w:rsidRPr="008506B4">
        <w:rPr>
          <w:rFonts w:ascii="Cambria" w:eastAsia="Times New Roman" w:hAnsi="Cambria"/>
          <w:sz w:val="16"/>
          <w:szCs w:val="16"/>
          <w:bdr w:val="none" w:sz="0" w:space="0" w:color="auto"/>
        </w:rPr>
        <w:t>OEA/Ser.L/V/II. Doc.  78 13 julio 2011 Original: Español. Accesible en: https://www</w:t>
      </w:r>
      <w:r w:rsidRPr="00F47689">
        <w:rPr>
          <w:rFonts w:ascii="Cambria" w:eastAsia="Times New Roman" w:hAnsi="Cambria"/>
          <w:sz w:val="16"/>
          <w:szCs w:val="16"/>
          <w:bdr w:val="none" w:sz="0" w:space="0" w:color="auto"/>
        </w:rPr>
        <w:t>.oas.org/es/cidh/infancia/docs/pdf/JusticiaJuvenil.pdf</w:t>
      </w:r>
    </w:p>
  </w:footnote>
  <w:footnote w:id="75">
    <w:p w14:paraId="6AA3FE21" w14:textId="08FDE80B" w:rsidR="005076F9" w:rsidRPr="00F47689"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Convención sobre los Derechos del Niño. adoptada</w:t>
      </w:r>
      <w:r w:rsidRPr="00F47689">
        <w:rPr>
          <w:rFonts w:ascii="Cambria" w:hAnsi="Cambria"/>
          <w:sz w:val="16"/>
          <w:szCs w:val="16"/>
        </w:rPr>
        <w:t xml:space="preserve"> y abierta a la firma y ratificación por la Asamblea General en su resolución 44/25, de 20 de noviembre de 1989. Entrada en vigor: 2 de septiembre de 1990, de conformidad con el artículo 49. Nueva York, 20 de noviembre de 1989. Artículo 40.2.b.V.</w:t>
      </w:r>
    </w:p>
  </w:footnote>
  <w:footnote w:id="76">
    <w:p w14:paraId="75840B77" w14:textId="65425A08" w:rsidR="005076F9" w:rsidRPr="00F47689" w:rsidRDefault="005076F9" w:rsidP="0046163F">
      <w:pPr>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Organiz</w:t>
      </w:r>
      <w:r w:rsidRPr="00F47689">
        <w:rPr>
          <w:rFonts w:ascii="Cambria" w:hAnsi="Cambria"/>
          <w:sz w:val="16"/>
          <w:szCs w:val="16"/>
          <w:lang w:val="es-ES"/>
        </w:rPr>
        <w:t>ación de las Naciones Unidas. Reglas mínimas de las Naciones Unidas para la administración de la justicia de menores (“reglas de Beijing”). Adoptadas por la Asamblea General en su resolución 40/33, de 28 de noviembre de 1985</w:t>
      </w:r>
    </w:p>
  </w:footnote>
  <w:footnote w:id="77">
    <w:p w14:paraId="651D04C2" w14:textId="3B878A4C" w:rsidR="005076F9" w:rsidRPr="00F47689"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Organización de las Naciones </w:t>
      </w:r>
      <w:r w:rsidRPr="00F47689">
        <w:rPr>
          <w:rFonts w:ascii="Cambria" w:hAnsi="Cambria"/>
          <w:sz w:val="16"/>
          <w:szCs w:val="16"/>
        </w:rPr>
        <w:t xml:space="preserve">Unidas. Comité de los Derechos del Niño. </w:t>
      </w:r>
      <w:r w:rsidRPr="00F47689">
        <w:rPr>
          <w:rFonts w:ascii="Cambria" w:hAnsi="Cambria"/>
          <w:iCs/>
          <w:sz w:val="16"/>
          <w:szCs w:val="16"/>
        </w:rPr>
        <w:t>Observación General No. 10.</w:t>
      </w:r>
      <w:r w:rsidRPr="00F47689">
        <w:rPr>
          <w:rFonts w:ascii="Cambria" w:hAnsi="Cambria"/>
          <w:sz w:val="16"/>
          <w:szCs w:val="16"/>
        </w:rPr>
        <w:t xml:space="preserve"> </w:t>
      </w:r>
      <w:r w:rsidRPr="00F47689">
        <w:rPr>
          <w:rFonts w:ascii="Cambria" w:hAnsi="Cambria"/>
          <w:iCs/>
          <w:sz w:val="16"/>
          <w:szCs w:val="16"/>
        </w:rPr>
        <w:t xml:space="preserve">Los derechos del niño en la justicia de menores. </w:t>
      </w:r>
      <w:r w:rsidRPr="00F47689">
        <w:rPr>
          <w:rFonts w:ascii="Cambria" w:hAnsi="Cambria"/>
          <w:sz w:val="16"/>
          <w:szCs w:val="16"/>
        </w:rPr>
        <w:t xml:space="preserve">CRC/C/GC/10. 25 de abril de 2007. Párr. 60.  </w:t>
      </w:r>
    </w:p>
  </w:footnote>
  <w:footnote w:id="78">
    <w:p w14:paraId="1A7116CC" w14:textId="3DA6A507" w:rsidR="005076F9" w:rsidRPr="00F47689" w:rsidRDefault="005076F9" w:rsidP="0046163F">
      <w:pPr>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lang w:val="es-AR"/>
        </w:rPr>
        <w:t xml:space="preserve"> </w:t>
      </w:r>
      <w:r w:rsidRPr="00BE7AB4">
        <w:rPr>
          <w:rFonts w:ascii="Cambria" w:hAnsi="Cambria"/>
          <w:sz w:val="16"/>
          <w:szCs w:val="16"/>
          <w:lang w:val="es-ES"/>
        </w:rPr>
        <w:t xml:space="preserve">Corte IDH. Condición jurídica y derechos humanos del niño. Opinión Consultiva OC-17/02 de 28 de agosto de 2002. Serie A No. 17. Parr 53. </w:t>
      </w:r>
    </w:p>
  </w:footnote>
  <w:footnote w:id="79">
    <w:p w14:paraId="504289C2" w14:textId="33C20C36" w:rsidR="005076F9" w:rsidRPr="003A575F" w:rsidRDefault="005076F9" w:rsidP="0046163F">
      <w:pPr>
        <w:pStyle w:val="FootnoteText"/>
        <w:jc w:val="both"/>
        <w:rPr>
          <w:rFonts w:ascii="Cambria" w:hAnsi="Cambria"/>
          <w:sz w:val="16"/>
          <w:szCs w:val="16"/>
        </w:rPr>
      </w:pPr>
      <w:r w:rsidRPr="00A50768">
        <w:rPr>
          <w:rStyle w:val="FootnoteReference"/>
          <w:rFonts w:ascii="Cambria" w:hAnsi="Cambria"/>
          <w:sz w:val="16"/>
          <w:szCs w:val="16"/>
        </w:rPr>
        <w:footnoteRef/>
      </w:r>
      <w:r w:rsidR="007D69F0">
        <w:rPr>
          <w:rFonts w:ascii="Cambria" w:hAnsi="Cambria"/>
          <w:sz w:val="16"/>
          <w:szCs w:val="16"/>
        </w:rPr>
        <w:t xml:space="preserve"> </w:t>
      </w:r>
      <w:r w:rsidRPr="00A50768">
        <w:rPr>
          <w:rFonts w:ascii="Cambria" w:hAnsi="Cambria"/>
          <w:sz w:val="16"/>
          <w:szCs w:val="16"/>
        </w:rPr>
        <w:t xml:space="preserve">La Convención Americana sobre Derechos Humanos no define el término “niña, niño y adolescente”.  Sin embargo, la Corte Interamericana, en su Opinión Consultiva 17, precisó que “tomando en cuenta la normativa internacional y el criterio sustentado por la Corte en otros casos, se entiende por “niño” a toda persona que no ha cumplido 18 años de edad. En particular, la Corte tomó en cuenta la definición de niño, niña o adolescente contenida en el artículo 1 de la CDN y el corpus juris internacional sobre la materia. Corte IDH.  Condición </w:t>
      </w:r>
      <w:r w:rsidRPr="003A575F">
        <w:rPr>
          <w:rFonts w:ascii="Cambria" w:hAnsi="Cambria"/>
          <w:sz w:val="16"/>
          <w:szCs w:val="16"/>
        </w:rPr>
        <w:t>Jurídica y Derechos Humanos del Niño. Opinión Consultiva OC‐17/02 de 28 de agosto de 2002. Serie A No. 17, párr. 42</w:t>
      </w:r>
    </w:p>
  </w:footnote>
  <w:footnote w:id="80">
    <w:p w14:paraId="70B80BAD" w14:textId="1B645EF9" w:rsidR="005076F9" w:rsidRPr="007D69F0" w:rsidRDefault="005076F9" w:rsidP="0046163F">
      <w:pPr>
        <w:pStyle w:val="FootnoteText"/>
        <w:jc w:val="both"/>
        <w:rPr>
          <w:rFonts w:ascii="Cambria" w:hAnsi="Cambria"/>
          <w:sz w:val="16"/>
          <w:szCs w:val="16"/>
        </w:rPr>
      </w:pPr>
      <w:r w:rsidRPr="003A575F">
        <w:rPr>
          <w:rStyle w:val="FootnoteReference"/>
          <w:rFonts w:ascii="Cambria" w:hAnsi="Cambria"/>
          <w:sz w:val="16"/>
          <w:szCs w:val="16"/>
        </w:rPr>
        <w:footnoteRef/>
      </w:r>
      <w:r w:rsidRPr="003A575F">
        <w:rPr>
          <w:rFonts w:ascii="Cambria" w:hAnsi="Cambria"/>
          <w:sz w:val="16"/>
          <w:szCs w:val="16"/>
        </w:rPr>
        <w:t xml:space="preserve"> Ver en ese sentido, Comité de los Derechos del Niño, Observación General No. 10, Los derechos del niño en la justicia de menores, CRC/C/GC/10, 25 de abril de 2007, párrs. 36 y 37. CIDH. Justicia Juvenil y Derechos Humanos en las Américas, párr. 66. OEA/Ser.L/V/II. </w:t>
      </w:r>
      <w:r w:rsidRPr="007D69F0">
        <w:rPr>
          <w:rFonts w:ascii="Cambria" w:hAnsi="Cambria"/>
          <w:sz w:val="16"/>
          <w:szCs w:val="16"/>
        </w:rPr>
        <w:t>Doc.  78 13 julio 2011, párr. 38.</w:t>
      </w:r>
    </w:p>
  </w:footnote>
  <w:footnote w:id="81">
    <w:p w14:paraId="67934D54" w14:textId="343B7981" w:rsidR="005076F9" w:rsidRPr="007D69F0" w:rsidRDefault="005076F9" w:rsidP="0046163F">
      <w:pPr>
        <w:jc w:val="both"/>
        <w:rPr>
          <w:rFonts w:ascii="Cambria" w:hAnsi="Cambria"/>
          <w:sz w:val="16"/>
          <w:szCs w:val="16"/>
          <w:lang w:val="es-ES"/>
        </w:rPr>
      </w:pPr>
      <w:r w:rsidRPr="007D69F0">
        <w:rPr>
          <w:rStyle w:val="FootnoteReference"/>
          <w:rFonts w:ascii="Cambria" w:hAnsi="Cambria"/>
          <w:sz w:val="16"/>
          <w:szCs w:val="16"/>
          <w:lang w:val="es-ES"/>
        </w:rPr>
        <w:footnoteRef/>
      </w:r>
      <w:r w:rsidR="007D69F0">
        <w:rPr>
          <w:rFonts w:ascii="Cambria" w:hAnsi="Cambria"/>
          <w:sz w:val="16"/>
          <w:szCs w:val="16"/>
          <w:lang w:val="es-ES"/>
        </w:rPr>
        <w:t xml:space="preserve"> </w:t>
      </w:r>
      <w:r w:rsidR="003A575F" w:rsidRPr="007D69F0">
        <w:rPr>
          <w:rFonts w:ascii="Cambria" w:hAnsi="Cambria"/>
          <w:sz w:val="16"/>
          <w:szCs w:val="16"/>
          <w:lang w:val="es-ES"/>
        </w:rPr>
        <w:t>CIDH. Niños, Niñas y Adolescentes en el Sistema Penal Adulto en los Estados Unidos OAS/Ser.L/V/II.167 Doc. 34 1 marzo 2018 Original: Inglés. Parr 29. Accesible en: http://www.oas.org/es/cidh/informes/pdfs/NNA-USA.pdf</w:t>
      </w:r>
    </w:p>
  </w:footnote>
  <w:footnote w:id="82">
    <w:p w14:paraId="7F0898B2" w14:textId="799C0837" w:rsidR="005076F9" w:rsidRPr="007D69F0" w:rsidRDefault="005076F9" w:rsidP="0046163F">
      <w:pPr>
        <w:pStyle w:val="FootnoteText"/>
        <w:jc w:val="both"/>
        <w:rPr>
          <w:rFonts w:ascii="Cambria" w:hAnsi="Cambria"/>
          <w:sz w:val="16"/>
          <w:szCs w:val="16"/>
        </w:rPr>
      </w:pPr>
      <w:r w:rsidRPr="007D69F0">
        <w:rPr>
          <w:rStyle w:val="FootnoteReference"/>
          <w:rFonts w:ascii="Cambria" w:hAnsi="Cambria"/>
          <w:sz w:val="16"/>
          <w:szCs w:val="16"/>
        </w:rPr>
        <w:footnoteRef/>
      </w:r>
      <w:r w:rsidRPr="007D69F0">
        <w:rPr>
          <w:rFonts w:ascii="Cambria" w:hAnsi="Cambria"/>
          <w:sz w:val="16"/>
          <w:szCs w:val="16"/>
        </w:rPr>
        <w:t xml:space="preserve"> </w:t>
      </w:r>
      <w:r w:rsidR="003A575F" w:rsidRPr="007D69F0">
        <w:rPr>
          <w:rFonts w:ascii="Cambria" w:hAnsi="Cambria"/>
          <w:sz w:val="16"/>
          <w:szCs w:val="16"/>
        </w:rPr>
        <w:t>CIDH. Niños, Niñas y Adolescentes en el Sistema Penal Adulto en los Estados Unidos OAS/Ser.L/V/II.167 Doc. 34 1 marzo 2018 Original: Inglés. Parr 36. Accesible en: http://www.oas.org/es/cidh/informes/pdfs/NNA-USA.pdf</w:t>
      </w:r>
    </w:p>
  </w:footnote>
  <w:footnote w:id="83">
    <w:p w14:paraId="28C3E07D" w14:textId="44AEEAF2" w:rsidR="005076F9" w:rsidRPr="007D69F0" w:rsidRDefault="005076F9" w:rsidP="0046163F">
      <w:pPr>
        <w:jc w:val="both"/>
        <w:rPr>
          <w:rFonts w:ascii="Cambria" w:hAnsi="Cambria"/>
          <w:sz w:val="16"/>
          <w:szCs w:val="16"/>
          <w:lang w:val="es-ES"/>
        </w:rPr>
      </w:pPr>
      <w:r w:rsidRPr="007D69F0">
        <w:rPr>
          <w:rStyle w:val="FootnoteReference"/>
          <w:rFonts w:ascii="Cambria" w:hAnsi="Cambria"/>
          <w:sz w:val="16"/>
          <w:szCs w:val="16"/>
          <w:lang w:val="es-ES"/>
        </w:rPr>
        <w:footnoteRef/>
      </w:r>
      <w:r w:rsidRPr="007D69F0">
        <w:rPr>
          <w:rFonts w:ascii="Cambria" w:hAnsi="Cambria"/>
          <w:sz w:val="16"/>
          <w:szCs w:val="16"/>
          <w:lang w:val="es-ES"/>
        </w:rPr>
        <w:t xml:space="preserve"> CIDH. Justicia Juvenil y Derechos Humanos en las Américas, párr. 66. OEA/Ser.L/V/II. Doc.  78 13 julio 2011, párr. 66. Original: Español. Accesible en: </w:t>
      </w:r>
      <w:hyperlink r:id="rId3" w:history="1">
        <w:r w:rsidRPr="007D69F0">
          <w:rPr>
            <w:rStyle w:val="Hyperlink"/>
            <w:rFonts w:ascii="Cambria" w:hAnsi="Cambria"/>
            <w:sz w:val="16"/>
            <w:szCs w:val="16"/>
            <w:lang w:val="es-ES"/>
          </w:rPr>
          <w:t>https://www.oas.org/es/cidh/infancia/docs/pdf/JusticiaJuvenil.pdf</w:t>
        </w:r>
      </w:hyperlink>
      <w:r w:rsidRPr="007D69F0">
        <w:rPr>
          <w:rFonts w:ascii="Cambria" w:hAnsi="Cambria"/>
          <w:sz w:val="16"/>
          <w:szCs w:val="16"/>
          <w:lang w:val="es-ES"/>
        </w:rPr>
        <w:t>. CIDH, Informe No. 41/99, Caso 11.491, Admisibilidad y Fondo, Menores detenidos, Honduras, 10 de marzo de 1999, párrs. 109 y 110.</w:t>
      </w:r>
    </w:p>
  </w:footnote>
  <w:footnote w:id="84">
    <w:p w14:paraId="0393E7D8" w14:textId="1C3CFE72" w:rsidR="007D69F0" w:rsidRPr="0046163F" w:rsidRDefault="007D69F0" w:rsidP="0046163F">
      <w:pPr>
        <w:pStyle w:val="FootnoteText"/>
        <w:jc w:val="both"/>
        <w:rPr>
          <w:rFonts w:ascii="Cambria" w:hAnsi="Cambria"/>
          <w:sz w:val="16"/>
          <w:szCs w:val="16"/>
          <w:lang w:val="es-US"/>
        </w:rPr>
      </w:pPr>
      <w:r w:rsidRPr="007D69F0">
        <w:rPr>
          <w:rStyle w:val="FootnoteReference"/>
          <w:rFonts w:ascii="Cambria" w:hAnsi="Cambria"/>
          <w:sz w:val="16"/>
          <w:szCs w:val="16"/>
        </w:rPr>
        <w:footnoteRef/>
      </w:r>
      <w:r w:rsidRPr="007D69F0">
        <w:rPr>
          <w:rFonts w:ascii="Cambria" w:hAnsi="Cambria"/>
          <w:sz w:val="16"/>
          <w:szCs w:val="16"/>
        </w:rPr>
        <w:t xml:space="preserve"> CIDH. Justicia Juvenil y Derechos Humanos en las Américas, párr. 66. OEA/Ser.L/V/II. Doc.  78 13 julio 2011, párr. 80. Original: Español. Accesible en: </w:t>
      </w:r>
      <w:hyperlink r:id="rId4" w:history="1">
        <w:r w:rsidRPr="007D69F0">
          <w:rPr>
            <w:rStyle w:val="Hyperlink"/>
            <w:rFonts w:ascii="Cambria" w:hAnsi="Cambria"/>
            <w:sz w:val="16"/>
            <w:szCs w:val="16"/>
          </w:rPr>
          <w:t>https://www.oas.org/es/cidh/infancia/docs/pdf/JusticiaJuvenil.pdf</w:t>
        </w:r>
      </w:hyperlink>
      <w:r w:rsidRPr="007D69F0">
        <w:rPr>
          <w:rFonts w:ascii="Cambria" w:hAnsi="Cambria"/>
          <w:sz w:val="16"/>
          <w:szCs w:val="16"/>
        </w:rPr>
        <w:t>.</w:t>
      </w:r>
    </w:p>
  </w:footnote>
  <w:footnote w:id="85">
    <w:p w14:paraId="27CBF6F4" w14:textId="0C6FB010" w:rsidR="007D69F0" w:rsidRPr="007D69F0" w:rsidRDefault="007D69F0" w:rsidP="0046163F">
      <w:pPr>
        <w:pStyle w:val="FootnoteText"/>
        <w:jc w:val="both"/>
      </w:pPr>
      <w:r w:rsidRPr="007D69F0">
        <w:rPr>
          <w:rStyle w:val="FootnoteReference"/>
          <w:rFonts w:ascii="Cambria" w:hAnsi="Cambria"/>
          <w:sz w:val="16"/>
          <w:szCs w:val="16"/>
        </w:rPr>
        <w:footnoteRef/>
      </w:r>
      <w:r w:rsidRPr="007D69F0">
        <w:rPr>
          <w:rFonts w:ascii="Cambria" w:hAnsi="Cambria"/>
          <w:sz w:val="16"/>
          <w:szCs w:val="16"/>
        </w:rPr>
        <w:t xml:space="preserve"> CIDH. Justicia Juvenil y Derechos Humanos en las Américas, párr. 66. OEA/Ser.L/V/II. Doc.  78 13 julio 2011, párr. 80. Original: Español. Accesible en: </w:t>
      </w:r>
      <w:hyperlink r:id="rId5" w:history="1">
        <w:r w:rsidRPr="007D69F0">
          <w:rPr>
            <w:rStyle w:val="Hyperlink"/>
            <w:rFonts w:ascii="Cambria" w:hAnsi="Cambria"/>
            <w:sz w:val="16"/>
            <w:szCs w:val="16"/>
          </w:rPr>
          <w:t>https://www.oas.org/es/cidh/infancia/docs/pdf/JusticiaJuvenil.pdf</w:t>
        </w:r>
      </w:hyperlink>
      <w:r w:rsidRPr="007D69F0">
        <w:rPr>
          <w:rFonts w:ascii="Cambria" w:hAnsi="Cambria"/>
          <w:sz w:val="16"/>
          <w:szCs w:val="16"/>
        </w:rPr>
        <w:t>.</w:t>
      </w:r>
    </w:p>
  </w:footnote>
  <w:footnote w:id="86">
    <w:p w14:paraId="253E8116" w14:textId="7C6A5B19" w:rsidR="005076F9" w:rsidRPr="00A50768" w:rsidRDefault="005076F9" w:rsidP="0046163F">
      <w:pPr>
        <w:pStyle w:val="FootnoteText"/>
        <w:jc w:val="both"/>
        <w:rPr>
          <w:rFonts w:ascii="Cambria" w:hAnsi="Cambria"/>
          <w:sz w:val="16"/>
          <w:szCs w:val="16"/>
        </w:rPr>
      </w:pPr>
      <w:r w:rsidRPr="00A50768">
        <w:rPr>
          <w:rStyle w:val="FootnoteReference"/>
          <w:rFonts w:ascii="Cambria" w:hAnsi="Cambria"/>
          <w:sz w:val="16"/>
          <w:szCs w:val="16"/>
        </w:rPr>
        <w:footnoteRef/>
      </w:r>
      <w:r w:rsidRPr="00A50768">
        <w:rPr>
          <w:rFonts w:ascii="Cambria" w:hAnsi="Cambria"/>
          <w:sz w:val="16"/>
          <w:szCs w:val="16"/>
        </w:rPr>
        <w:t xml:space="preserve"> Organización de las Naciones Unidas. Comité de los Derechos del Niño. </w:t>
      </w:r>
      <w:r w:rsidRPr="00A50768">
        <w:rPr>
          <w:rFonts w:ascii="Cambria" w:hAnsi="Cambria"/>
          <w:iCs/>
          <w:sz w:val="16"/>
          <w:szCs w:val="16"/>
        </w:rPr>
        <w:t>Observación General No. 10.</w:t>
      </w:r>
      <w:r w:rsidRPr="00A50768">
        <w:rPr>
          <w:rFonts w:ascii="Cambria" w:hAnsi="Cambria"/>
          <w:sz w:val="16"/>
          <w:szCs w:val="16"/>
        </w:rPr>
        <w:t xml:space="preserve"> </w:t>
      </w:r>
      <w:r w:rsidRPr="00A50768">
        <w:rPr>
          <w:rFonts w:ascii="Cambria" w:hAnsi="Cambria"/>
          <w:iCs/>
          <w:sz w:val="16"/>
          <w:szCs w:val="16"/>
        </w:rPr>
        <w:t xml:space="preserve">Los derechos del niño en la justicia de menores. </w:t>
      </w:r>
      <w:r w:rsidRPr="00A50768">
        <w:rPr>
          <w:rFonts w:ascii="Cambria" w:hAnsi="Cambria"/>
          <w:sz w:val="16"/>
          <w:szCs w:val="16"/>
        </w:rPr>
        <w:t xml:space="preserve">CRC/C/GC/10. 25 de abril de 2007. Párr. 70. </w:t>
      </w:r>
    </w:p>
  </w:footnote>
  <w:footnote w:id="87">
    <w:p w14:paraId="7CABB4A5" w14:textId="7F9D6AFE" w:rsidR="005076F9" w:rsidRPr="00A50768" w:rsidRDefault="005076F9" w:rsidP="0046163F">
      <w:pPr>
        <w:pStyle w:val="FootnoteText"/>
        <w:jc w:val="both"/>
        <w:rPr>
          <w:rFonts w:ascii="Cambria" w:hAnsi="Cambria"/>
          <w:sz w:val="16"/>
          <w:szCs w:val="16"/>
        </w:rPr>
      </w:pPr>
      <w:r w:rsidRPr="00A50768">
        <w:rPr>
          <w:rStyle w:val="FootnoteReference"/>
          <w:rFonts w:ascii="Cambria" w:hAnsi="Cambria"/>
          <w:sz w:val="16"/>
          <w:szCs w:val="16"/>
        </w:rPr>
        <w:footnoteRef/>
      </w:r>
      <w:r w:rsidRPr="00A50768">
        <w:rPr>
          <w:rFonts w:ascii="Cambria" w:hAnsi="Cambria"/>
          <w:sz w:val="16"/>
          <w:szCs w:val="16"/>
        </w:rPr>
        <w:t xml:space="preserve"> CIDH. Justicia Juvenil y Derechos Humanos en las Américas, párr. 81. </w:t>
      </w:r>
      <w:r w:rsidRPr="00A50768">
        <w:rPr>
          <w:rFonts w:ascii="Cambria" w:eastAsia="Times New Roman" w:hAnsi="Cambria"/>
          <w:sz w:val="16"/>
          <w:szCs w:val="16"/>
          <w:bdr w:val="none" w:sz="0" w:space="0" w:color="auto"/>
        </w:rPr>
        <w:t xml:space="preserve">OEA/Ser.L/V/II. Doc.  78 13 julio 2011 Original: Español. Accesible en: </w:t>
      </w:r>
      <w:hyperlink r:id="rId6" w:history="1">
        <w:r w:rsidRPr="00A50768">
          <w:rPr>
            <w:rStyle w:val="Hyperlink"/>
            <w:rFonts w:ascii="Cambria" w:eastAsia="Times New Roman" w:hAnsi="Cambria"/>
            <w:sz w:val="16"/>
            <w:szCs w:val="16"/>
            <w:bdr w:val="none" w:sz="0" w:space="0" w:color="auto"/>
          </w:rPr>
          <w:t>https://www.oas.org/es/cidh/infancia/docs/pdf/JusticiaJuvenil.pdf</w:t>
        </w:r>
      </w:hyperlink>
      <w:r w:rsidRPr="00A50768">
        <w:rPr>
          <w:rFonts w:ascii="Cambria" w:eastAsia="Times New Roman" w:hAnsi="Cambria"/>
          <w:sz w:val="16"/>
          <w:szCs w:val="16"/>
          <w:bdr w:val="none" w:sz="0" w:space="0" w:color="auto"/>
        </w:rPr>
        <w:t>.</w:t>
      </w:r>
    </w:p>
  </w:footnote>
  <w:footnote w:id="88">
    <w:p w14:paraId="0A653045" w14:textId="508C8975" w:rsidR="005076F9" w:rsidRPr="00A50768" w:rsidRDefault="005076F9" w:rsidP="0046163F">
      <w:pPr>
        <w:jc w:val="both"/>
        <w:rPr>
          <w:rFonts w:ascii="Cambria" w:hAnsi="Cambria"/>
          <w:sz w:val="16"/>
          <w:szCs w:val="16"/>
          <w:lang w:val="es-ES"/>
        </w:rPr>
      </w:pPr>
      <w:r w:rsidRPr="00A50768">
        <w:rPr>
          <w:rStyle w:val="FootnoteReference"/>
          <w:rFonts w:ascii="Cambria" w:hAnsi="Cambria"/>
          <w:sz w:val="16"/>
          <w:szCs w:val="16"/>
          <w:lang w:val="es-ES"/>
        </w:rPr>
        <w:footnoteRef/>
      </w:r>
      <w:r w:rsidRPr="00A50768">
        <w:rPr>
          <w:rFonts w:ascii="Cambria" w:hAnsi="Cambria"/>
          <w:sz w:val="16"/>
          <w:szCs w:val="16"/>
          <w:lang w:val="es-ES"/>
        </w:rPr>
        <w:t xml:space="preserve"> Corte IDH. Condición Jurídica y Derechos Humanos del Niño. Opinión Consultiva OC</w:t>
      </w:r>
      <w:r w:rsidRPr="00A50768">
        <w:rPr>
          <w:rFonts w:ascii="Cambria" w:hAnsi="Cambria" w:cs="Cambria Math"/>
          <w:sz w:val="16"/>
          <w:szCs w:val="16"/>
          <w:lang w:val="es-ES"/>
        </w:rPr>
        <w:t>‐</w:t>
      </w:r>
      <w:r w:rsidRPr="00A50768">
        <w:rPr>
          <w:rFonts w:ascii="Cambria" w:hAnsi="Cambria"/>
          <w:sz w:val="16"/>
          <w:szCs w:val="16"/>
          <w:lang w:val="es-ES"/>
        </w:rPr>
        <w:t>17/02 de 28 de agosto de 2002. Serie A No. 17, párr. 109. CIDH, Informe No. 41/99, Caso 11.491, Admisibilidad y Fondo, Menores detenidos, Honduras, 10 de marzo de 1999, párr. 125.</w:t>
      </w:r>
    </w:p>
  </w:footnote>
  <w:footnote w:id="89">
    <w:p w14:paraId="32BE6B2B" w14:textId="1FFC06C6" w:rsidR="005076F9" w:rsidRPr="00FA3FBD" w:rsidRDefault="005076F9" w:rsidP="0046163F">
      <w:pPr>
        <w:pStyle w:val="FootnoteText"/>
        <w:jc w:val="both"/>
        <w:rPr>
          <w:lang w:val="es-US"/>
        </w:rPr>
      </w:pPr>
      <w:r w:rsidRPr="00A50768">
        <w:rPr>
          <w:rStyle w:val="FootnoteReference"/>
          <w:rFonts w:ascii="Cambria" w:hAnsi="Cambria"/>
          <w:sz w:val="16"/>
          <w:szCs w:val="16"/>
        </w:rPr>
        <w:footnoteRef/>
      </w:r>
      <w:r w:rsidRPr="00A50768">
        <w:rPr>
          <w:rFonts w:ascii="Cambria" w:hAnsi="Cambria"/>
          <w:sz w:val="16"/>
          <w:szCs w:val="16"/>
        </w:rPr>
        <w:t xml:space="preserve"> </w:t>
      </w:r>
      <w:r w:rsidRPr="00A50768">
        <w:rPr>
          <w:rFonts w:ascii="Cambria" w:hAnsi="Cambria"/>
          <w:bCs/>
          <w:color w:val="000000"/>
          <w:sz w:val="16"/>
          <w:szCs w:val="16"/>
          <w:shd w:val="clear" w:color="auto" w:fill="FFFFFF"/>
          <w:lang w:val="es-419"/>
        </w:rPr>
        <w:t>Corte IDH. Caso Mendoza y otros Vs. Argentina. Excepciones Preliminares, Fondo y Reparaciones. Sentencia de 14 de mayo de 2013. Serie C No. 260. Párr. 161.</w:t>
      </w:r>
    </w:p>
  </w:footnote>
  <w:footnote w:id="90">
    <w:p w14:paraId="5696632C" w14:textId="670D6B06" w:rsidR="005076F9" w:rsidRPr="00F47689" w:rsidRDefault="005076F9" w:rsidP="0046163F">
      <w:pPr>
        <w:jc w:val="both"/>
        <w:rPr>
          <w:rFonts w:ascii="Cambria" w:hAnsi="Cambria"/>
          <w:sz w:val="16"/>
          <w:szCs w:val="16"/>
          <w:lang w:val="es-ES"/>
        </w:rPr>
      </w:pPr>
      <w:r w:rsidRPr="00BE7AB4">
        <w:rPr>
          <w:rStyle w:val="FootnoteReference"/>
          <w:rFonts w:ascii="Cambria" w:hAnsi="Cambria"/>
          <w:sz w:val="16"/>
          <w:szCs w:val="16"/>
          <w:lang w:val="es-ES"/>
        </w:rPr>
        <w:footnoteRef/>
      </w:r>
      <w:r w:rsidRPr="00BE7AB4">
        <w:rPr>
          <w:rFonts w:ascii="Cambria" w:hAnsi="Cambria"/>
          <w:sz w:val="16"/>
          <w:szCs w:val="16"/>
          <w:lang w:val="es-ES"/>
        </w:rPr>
        <w:t xml:space="preserve"> Corte IDH.  Caso Instituto de Reeducación del Menor Vs. Paraguay.  Excepciones Preliminares, Fondo, Reparaciones y Costas. Sentencia de 2 de septiembre de 2004.  Serie C No. 112, p</w:t>
      </w:r>
      <w:r w:rsidRPr="00F47689">
        <w:rPr>
          <w:rFonts w:ascii="Cambria" w:hAnsi="Cambria"/>
          <w:sz w:val="16"/>
          <w:szCs w:val="16"/>
          <w:lang w:val="es-ES"/>
        </w:rPr>
        <w:t>árr. 211.</w:t>
      </w:r>
    </w:p>
  </w:footnote>
  <w:footnote w:id="91">
    <w:p w14:paraId="412B2C37" w14:textId="129959FE" w:rsidR="005076F9" w:rsidRPr="004E7F1A"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w:t>
      </w:r>
      <w:r w:rsidRPr="004E7F1A">
        <w:rPr>
          <w:rFonts w:ascii="Cambria" w:hAnsi="Cambria"/>
          <w:sz w:val="16"/>
          <w:szCs w:val="16"/>
        </w:rPr>
        <w:t xml:space="preserve">CIDH. Justicia Juvenil y Derechos Humanos en las Américas, párr. 42. </w:t>
      </w:r>
      <w:r w:rsidRPr="00F47689">
        <w:rPr>
          <w:rFonts w:ascii="Cambria" w:eastAsia="Times New Roman" w:hAnsi="Cambria"/>
          <w:sz w:val="16"/>
          <w:szCs w:val="16"/>
          <w:bdr w:val="none" w:sz="0" w:space="0" w:color="auto"/>
        </w:rPr>
        <w:t xml:space="preserve">OEA/Ser.L/V/II. Doc.  78. 13 julio 2011 Original: Español. Accesible en: </w:t>
      </w:r>
      <w:hyperlink r:id="rId7" w:history="1">
        <w:r w:rsidRPr="00BE7AB4">
          <w:rPr>
            <w:rStyle w:val="Hyperlink"/>
            <w:rFonts w:ascii="Cambria" w:eastAsia="Times New Roman" w:hAnsi="Cambria"/>
            <w:sz w:val="16"/>
            <w:szCs w:val="16"/>
            <w:bdr w:val="none" w:sz="0" w:space="0" w:color="auto"/>
          </w:rPr>
          <w:t>https://www.oas.org/es/cidh/infancia/docs/pdf/JusticiaJuvenil.pdf</w:t>
        </w:r>
      </w:hyperlink>
      <w:r w:rsidRPr="00BE7AB4">
        <w:rPr>
          <w:rFonts w:ascii="Cambria" w:eastAsia="Times New Roman" w:hAnsi="Cambria"/>
          <w:sz w:val="16"/>
          <w:szCs w:val="16"/>
          <w:bdr w:val="none" w:sz="0" w:space="0" w:color="auto"/>
        </w:rPr>
        <w:t>.</w:t>
      </w:r>
    </w:p>
  </w:footnote>
  <w:footnote w:id="92">
    <w:p w14:paraId="170D7A80" w14:textId="4F7BC246" w:rsidR="005076F9" w:rsidRPr="00982E29" w:rsidRDefault="005076F9" w:rsidP="0046163F">
      <w:pPr>
        <w:pStyle w:val="FootnoteText"/>
        <w:jc w:val="both"/>
        <w:rPr>
          <w:rFonts w:ascii="Cambria" w:hAnsi="Cambria"/>
          <w:sz w:val="16"/>
          <w:szCs w:val="16"/>
          <w:lang w:val="es-AR"/>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lang w:val="es-AR"/>
        </w:rPr>
        <w:t xml:space="preserve">ANEXO </w:t>
      </w:r>
      <w:r w:rsidR="00982E29" w:rsidRPr="00982E29">
        <w:rPr>
          <w:rFonts w:ascii="Cambria" w:hAnsi="Cambria"/>
          <w:b/>
          <w:sz w:val="16"/>
          <w:szCs w:val="16"/>
          <w:lang w:val="es-AR"/>
        </w:rPr>
        <w:t>8</w:t>
      </w:r>
      <w:r w:rsidRPr="00982E29">
        <w:rPr>
          <w:rFonts w:ascii="Cambria" w:hAnsi="Cambria"/>
          <w:sz w:val="16"/>
          <w:szCs w:val="16"/>
          <w:lang w:val="es-AR"/>
        </w:rPr>
        <w:t xml:space="preserve">. Sentencia Nro. 50/2002 de la </w:t>
      </w:r>
      <w:r w:rsidRPr="00982E29">
        <w:rPr>
          <w:rFonts w:ascii="Cambria" w:hAnsi="Cambria"/>
          <w:sz w:val="16"/>
          <w:szCs w:val="16"/>
        </w:rPr>
        <w:t xml:space="preserve">Cámara Primera en lo Criminal de la Circunscripción Judicial de Comodoro Rivadavia de fecha 17 de septiembre de 2002, pág. 15. Anexo 1 a la comunicación de la parte peticionaria recibida por la Comisión el 21 de mayo de 2004.  </w:t>
      </w:r>
    </w:p>
  </w:footnote>
  <w:footnote w:id="93">
    <w:p w14:paraId="6FB28BBF" w14:textId="5C5BC7A6" w:rsidR="005076F9" w:rsidRPr="00FB2A69" w:rsidRDefault="005076F9" w:rsidP="0046163F">
      <w:pPr>
        <w:pStyle w:val="FootnoteText"/>
        <w:jc w:val="both"/>
        <w:rPr>
          <w:rFonts w:ascii="Cambria" w:hAnsi="Cambria"/>
          <w:sz w:val="16"/>
          <w:szCs w:val="16"/>
        </w:rPr>
      </w:pPr>
      <w:r w:rsidRPr="00982E29">
        <w:rPr>
          <w:rStyle w:val="FootnoteReference"/>
          <w:rFonts w:ascii="Cambria" w:hAnsi="Cambria"/>
          <w:sz w:val="16"/>
          <w:szCs w:val="16"/>
        </w:rPr>
        <w:footnoteRef/>
      </w:r>
      <w:r w:rsidRPr="00982E29">
        <w:rPr>
          <w:rFonts w:ascii="Cambria" w:hAnsi="Cambria"/>
          <w:sz w:val="16"/>
          <w:szCs w:val="16"/>
        </w:rPr>
        <w:t xml:space="preserve"> </w:t>
      </w:r>
      <w:r w:rsidRPr="00982E29">
        <w:rPr>
          <w:rFonts w:ascii="Cambria" w:hAnsi="Cambria"/>
          <w:b/>
          <w:sz w:val="16"/>
          <w:szCs w:val="16"/>
          <w:lang w:val="es-AR"/>
        </w:rPr>
        <w:t xml:space="preserve">ANEXO </w:t>
      </w:r>
      <w:r w:rsidR="00982E29" w:rsidRPr="00982E29">
        <w:rPr>
          <w:rFonts w:ascii="Cambria" w:hAnsi="Cambria"/>
          <w:b/>
          <w:sz w:val="16"/>
          <w:szCs w:val="16"/>
          <w:lang w:val="es-AR"/>
        </w:rPr>
        <w:t>8</w:t>
      </w:r>
      <w:r w:rsidRPr="00982E29">
        <w:rPr>
          <w:rFonts w:ascii="Cambria" w:hAnsi="Cambria"/>
          <w:sz w:val="16"/>
          <w:szCs w:val="16"/>
          <w:lang w:val="es-AR"/>
        </w:rPr>
        <w:t xml:space="preserve">. Sentencia Nro. 50/2002 de la </w:t>
      </w:r>
      <w:r w:rsidRPr="00982E29">
        <w:rPr>
          <w:rFonts w:ascii="Cambria" w:hAnsi="Cambria"/>
          <w:sz w:val="16"/>
          <w:szCs w:val="16"/>
        </w:rPr>
        <w:t xml:space="preserve">Cámara Primera en lo Criminal de la Circunscripción Judicial de Comodoro Rivadavia de fecha 17 de septiembre de 2002, </w:t>
      </w:r>
      <w:r w:rsidR="00982E29" w:rsidRPr="00982E29">
        <w:rPr>
          <w:rFonts w:ascii="Cambria" w:hAnsi="Cambria"/>
          <w:sz w:val="16"/>
          <w:szCs w:val="16"/>
        </w:rPr>
        <w:t>págs.</w:t>
      </w:r>
      <w:r w:rsidRPr="00982E29">
        <w:rPr>
          <w:rFonts w:ascii="Cambria" w:hAnsi="Cambria"/>
          <w:sz w:val="16"/>
          <w:szCs w:val="16"/>
        </w:rPr>
        <w:t xml:space="preserve"> 23 y 24. Anexo 1 a la comunicación de la parte peticionaria recibida por la Comisión el 21 de mayo de 2004.</w:t>
      </w:r>
      <w:r w:rsidRPr="00F47689">
        <w:rPr>
          <w:rFonts w:ascii="Cambria" w:hAnsi="Cambria"/>
          <w:sz w:val="16"/>
          <w:szCs w:val="16"/>
        </w:rPr>
        <w:t xml:space="preserve">  </w:t>
      </w:r>
    </w:p>
  </w:footnote>
  <w:footnote w:id="94">
    <w:p w14:paraId="44CF5C7E" w14:textId="0025280A" w:rsidR="005076F9" w:rsidRPr="00BE7AB4" w:rsidRDefault="005076F9" w:rsidP="0046163F">
      <w:pPr>
        <w:pStyle w:val="FootnoteText"/>
        <w:jc w:val="both"/>
        <w:rPr>
          <w:rFonts w:ascii="Cambria" w:hAnsi="Cambria"/>
          <w:sz w:val="16"/>
          <w:szCs w:val="16"/>
          <w:lang w:val="es-AR"/>
        </w:rPr>
      </w:pPr>
      <w:r w:rsidRPr="00BE7AB4">
        <w:rPr>
          <w:rStyle w:val="FootnoteReference"/>
          <w:rFonts w:ascii="Cambria" w:hAnsi="Cambria"/>
          <w:sz w:val="16"/>
          <w:szCs w:val="16"/>
        </w:rPr>
        <w:footnoteRef/>
      </w:r>
      <w:r w:rsidRPr="00BE7AB4">
        <w:rPr>
          <w:rFonts w:ascii="Cambria" w:hAnsi="Cambria"/>
          <w:sz w:val="16"/>
          <w:szCs w:val="16"/>
        </w:rPr>
        <w:t xml:space="preserve"> Comunicación del peticionario de fecha 11 de mayo de 2004. </w:t>
      </w:r>
    </w:p>
  </w:footnote>
  <w:footnote w:id="95">
    <w:p w14:paraId="2934B392" w14:textId="7E3BEF7A" w:rsidR="005076F9" w:rsidRPr="00A07CD2" w:rsidRDefault="005076F9" w:rsidP="0046163F">
      <w:pPr>
        <w:jc w:val="both"/>
        <w:rPr>
          <w:rFonts w:eastAsia="Arial Unicode MS"/>
          <w:bdr w:val="nil"/>
          <w:lang w:val="es-ES"/>
        </w:rPr>
      </w:pPr>
      <w:r w:rsidRPr="00A07CD2">
        <w:rPr>
          <w:rStyle w:val="FootnoteReference"/>
          <w:rFonts w:ascii="Cambria" w:hAnsi="Cambria"/>
          <w:sz w:val="16"/>
          <w:szCs w:val="16"/>
          <w:lang w:val="es-ES"/>
        </w:rPr>
        <w:footnoteRef/>
      </w:r>
      <w:r w:rsidRPr="00A07CD2">
        <w:rPr>
          <w:rStyle w:val="FootnoteReference"/>
          <w:lang w:val="es-ES"/>
        </w:rPr>
        <w:t xml:space="preserve"> </w:t>
      </w:r>
      <w:r w:rsidRPr="00A07CD2">
        <w:rPr>
          <w:rFonts w:ascii="Cambria" w:eastAsia="Arial Unicode MS" w:hAnsi="Cambria"/>
          <w:sz w:val="16"/>
          <w:szCs w:val="16"/>
          <w:bdr w:val="nil"/>
          <w:lang w:val="es-ES"/>
        </w:rPr>
        <w:t>Corte IDH. Caso "Instituto de Reeducación del Menor" Vs. Paraguay. Excepciones Preliminares, Fondo, Reparaciones y Costas. Sentencia de 2 de septiembre de 2004. Serie C No. 112. P</w:t>
      </w:r>
      <w:r w:rsidR="00E70AFB">
        <w:rPr>
          <w:rFonts w:ascii="Cambria" w:eastAsia="Arial Unicode MS" w:hAnsi="Cambria"/>
          <w:sz w:val="16"/>
          <w:szCs w:val="16"/>
          <w:bdr w:val="nil"/>
          <w:lang w:val="es-ES"/>
        </w:rPr>
        <w:t>á</w:t>
      </w:r>
      <w:r w:rsidRPr="00A07CD2">
        <w:rPr>
          <w:rFonts w:ascii="Cambria" w:eastAsia="Arial Unicode MS" w:hAnsi="Cambria"/>
          <w:sz w:val="16"/>
          <w:szCs w:val="16"/>
          <w:bdr w:val="nil"/>
          <w:lang w:val="es-ES"/>
        </w:rPr>
        <w:t>rr</w:t>
      </w:r>
      <w:r w:rsidR="00E70AFB">
        <w:rPr>
          <w:rFonts w:ascii="Cambria" w:eastAsia="Arial Unicode MS" w:hAnsi="Cambria"/>
          <w:sz w:val="16"/>
          <w:szCs w:val="16"/>
          <w:bdr w:val="nil"/>
          <w:lang w:val="es-ES"/>
        </w:rPr>
        <w:t>.</w:t>
      </w:r>
      <w:r w:rsidRPr="00A07CD2">
        <w:rPr>
          <w:rFonts w:ascii="Cambria" w:eastAsia="Arial Unicode MS" w:hAnsi="Cambria"/>
          <w:sz w:val="16"/>
          <w:szCs w:val="16"/>
          <w:bdr w:val="nil"/>
          <w:lang w:val="es-ES"/>
        </w:rPr>
        <w:t xml:space="preserve"> 201 a 213.</w:t>
      </w:r>
      <w:r w:rsidRPr="00A07CD2">
        <w:rPr>
          <w:rFonts w:eastAsia="Arial Unicode MS"/>
          <w:bdr w:val="nil"/>
          <w:lang w:val="es-ES"/>
        </w:rPr>
        <w:t xml:space="preserve"> </w:t>
      </w:r>
    </w:p>
    <w:p w14:paraId="65D9BC8E" w14:textId="77777777" w:rsidR="005076F9" w:rsidRPr="00C7542C" w:rsidRDefault="005076F9" w:rsidP="0046163F">
      <w:pPr>
        <w:pStyle w:val="FootnoteText"/>
        <w:jc w:val="both"/>
        <w:rPr>
          <w:lang w:val="es-US"/>
        </w:rPr>
      </w:pPr>
    </w:p>
  </w:footnote>
  <w:footnote w:id="96">
    <w:p w14:paraId="4389AD37" w14:textId="77777777" w:rsidR="003F4D17" w:rsidRPr="00D048DB" w:rsidRDefault="003F4D17" w:rsidP="003F4D17">
      <w:pPr>
        <w:pStyle w:val="FootnoteText"/>
        <w:rPr>
          <w:rFonts w:ascii="Cambria" w:hAnsi="Cambria"/>
          <w:sz w:val="16"/>
          <w:szCs w:val="16"/>
          <w:lang w:val="es-US"/>
        </w:rPr>
      </w:pPr>
      <w:r w:rsidRPr="00D048DB">
        <w:rPr>
          <w:rStyle w:val="FootnoteReference"/>
          <w:rFonts w:ascii="Cambria" w:hAnsi="Cambria"/>
          <w:sz w:val="16"/>
          <w:szCs w:val="16"/>
        </w:rPr>
        <w:footnoteRef/>
      </w:r>
      <w:r w:rsidRPr="00D048DB">
        <w:rPr>
          <w:rFonts w:ascii="Cambria" w:hAnsi="Cambria"/>
          <w:sz w:val="16"/>
          <w:szCs w:val="16"/>
        </w:rPr>
        <w:t xml:space="preserve"> </w:t>
      </w:r>
      <w:hyperlink r:id="rId8" w:history="1">
        <w:r w:rsidRPr="00494AF1">
          <w:rPr>
            <w:rStyle w:val="Hyperlink"/>
            <w:rFonts w:ascii="Cambria" w:hAnsi="Cambria"/>
            <w:sz w:val="16"/>
            <w:szCs w:val="16"/>
          </w:rPr>
          <w:t>Código Procesal Penal de la Provincia del Chubut y leyes complementarias.</w:t>
        </w:r>
      </w:hyperlink>
      <w:r w:rsidRPr="00D048DB">
        <w:rPr>
          <w:rFonts w:ascii="Cambria" w:hAnsi="Cambria"/>
          <w:sz w:val="16"/>
          <w:szCs w:val="16"/>
        </w:rPr>
        <w:t xml:space="preserve"> Publicación: Boletín Oficial 5 de mayo de 2006 N° 998. Arts. 401-413.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42F6" w14:textId="77777777" w:rsidR="005076F9" w:rsidRDefault="005076F9" w:rsidP="00613C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7EA1A0" w14:textId="77777777" w:rsidR="005076F9" w:rsidRDefault="0050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C73A" w14:textId="77777777" w:rsidR="005076F9" w:rsidRDefault="005076F9" w:rsidP="00613C9B">
    <w:pPr>
      <w:pStyle w:val="Header"/>
      <w:tabs>
        <w:tab w:val="clear" w:pos="4320"/>
        <w:tab w:val="clear" w:pos="8640"/>
      </w:tabs>
      <w:jc w:val="center"/>
      <w:rPr>
        <w:sz w:val="22"/>
        <w:szCs w:val="22"/>
      </w:rPr>
    </w:pPr>
    <w:r>
      <w:rPr>
        <w:noProof/>
        <w:sz w:val="22"/>
        <w:szCs w:val="22"/>
        <w:lang w:val="es-AR" w:eastAsia="es-AR"/>
      </w:rPr>
      <w:drawing>
        <wp:inline distT="0" distB="0" distL="0" distR="0" wp14:anchorId="7804DCE0" wp14:editId="6D9A667F">
          <wp:extent cx="1972237" cy="104775"/>
          <wp:effectExtent l="0" t="0" r="9525" b="0"/>
          <wp:docPr id="16"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FC5FAF6" w14:textId="77777777" w:rsidR="005076F9" w:rsidRPr="00EC7D62" w:rsidRDefault="00CF58BB" w:rsidP="00613C9B">
    <w:pPr>
      <w:pStyle w:val="Header"/>
      <w:tabs>
        <w:tab w:val="clear" w:pos="4320"/>
        <w:tab w:val="clear" w:pos="8640"/>
      </w:tabs>
      <w:jc w:val="center"/>
      <w:rPr>
        <w:sz w:val="22"/>
        <w:szCs w:val="22"/>
      </w:rPr>
    </w:pPr>
    <w:r>
      <w:rPr>
        <w:noProof/>
        <w:sz w:val="22"/>
        <w:szCs w:val="22"/>
      </w:rPr>
      <w:pict w14:anchorId="3F1A777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DDF"/>
    <w:multiLevelType w:val="hybridMultilevel"/>
    <w:tmpl w:val="898C4A2C"/>
    <w:lvl w:ilvl="0" w:tplc="05A4E08A">
      <w:start w:val="1"/>
      <w:numFmt w:val="decimal"/>
      <w:lvlText w:val="%1."/>
      <w:lvlJc w:val="left"/>
      <w:pPr>
        <w:ind w:left="720" w:hanging="360"/>
      </w:pPr>
      <w:rPr>
        <w:rFonts w:hint="default"/>
        <w:b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 w15:restartNumberingAfterBreak="0">
    <w:nsid w:val="372A0BA1"/>
    <w:multiLevelType w:val="hybridMultilevel"/>
    <w:tmpl w:val="6AE0A3F8"/>
    <w:lvl w:ilvl="0" w:tplc="F42CFD8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93090"/>
    <w:multiLevelType w:val="hybridMultilevel"/>
    <w:tmpl w:val="D1B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144A0"/>
    <w:multiLevelType w:val="hybridMultilevel"/>
    <w:tmpl w:val="B732839E"/>
    <w:lvl w:ilvl="0" w:tplc="746857E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56DB558C"/>
    <w:multiLevelType w:val="hybridMultilevel"/>
    <w:tmpl w:val="9FBEDD9A"/>
    <w:lvl w:ilvl="0" w:tplc="99C6A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97FE7"/>
    <w:multiLevelType w:val="hybridMultilevel"/>
    <w:tmpl w:val="6512F8FE"/>
    <w:lvl w:ilvl="0" w:tplc="1518A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385B32"/>
    <w:multiLevelType w:val="hybridMultilevel"/>
    <w:tmpl w:val="B74C6B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48172D"/>
    <w:multiLevelType w:val="hybridMultilevel"/>
    <w:tmpl w:val="5DDE9766"/>
    <w:lvl w:ilvl="0" w:tplc="EA986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D7FD1"/>
    <w:multiLevelType w:val="hybridMultilevel"/>
    <w:tmpl w:val="70946CB4"/>
    <w:lvl w:ilvl="0" w:tplc="D05C068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324F9"/>
    <w:multiLevelType w:val="hybridMultilevel"/>
    <w:tmpl w:val="B1020580"/>
    <w:lvl w:ilvl="0" w:tplc="46BC02B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D53C4"/>
    <w:multiLevelType w:val="hybridMultilevel"/>
    <w:tmpl w:val="79C63C30"/>
    <w:lvl w:ilvl="0" w:tplc="04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0916907">
    <w:abstractNumId w:val="2"/>
  </w:num>
  <w:num w:numId="2" w16cid:durableId="2140175689">
    <w:abstractNumId w:val="0"/>
  </w:num>
  <w:num w:numId="3" w16cid:durableId="1226377154">
    <w:abstractNumId w:val="11"/>
  </w:num>
  <w:num w:numId="4" w16cid:durableId="1031880930">
    <w:abstractNumId w:val="10"/>
  </w:num>
  <w:num w:numId="5" w16cid:durableId="1761412852">
    <w:abstractNumId w:val="9"/>
  </w:num>
  <w:num w:numId="6" w16cid:durableId="1326393823">
    <w:abstractNumId w:val="5"/>
  </w:num>
  <w:num w:numId="7" w16cid:durableId="1042292234">
    <w:abstractNumId w:val="3"/>
  </w:num>
  <w:num w:numId="8" w16cid:durableId="723025149">
    <w:abstractNumId w:val="8"/>
  </w:num>
  <w:num w:numId="9" w16cid:durableId="914321463">
    <w:abstractNumId w:val="6"/>
  </w:num>
  <w:num w:numId="10" w16cid:durableId="471361685">
    <w:abstractNumId w:val="7"/>
  </w:num>
  <w:num w:numId="11" w16cid:durableId="790318539">
    <w:abstractNumId w:val="4"/>
  </w:num>
  <w:num w:numId="12" w16cid:durableId="41382107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00252D"/>
    <w:rsid w:val="0000305A"/>
    <w:rsid w:val="000044EB"/>
    <w:rsid w:val="00004549"/>
    <w:rsid w:val="0000475B"/>
    <w:rsid w:val="00005F15"/>
    <w:rsid w:val="0001106E"/>
    <w:rsid w:val="0001225F"/>
    <w:rsid w:val="00013A1A"/>
    <w:rsid w:val="00014A74"/>
    <w:rsid w:val="00014E39"/>
    <w:rsid w:val="000157EE"/>
    <w:rsid w:val="0001691C"/>
    <w:rsid w:val="00020767"/>
    <w:rsid w:val="00021A8F"/>
    <w:rsid w:val="0002263F"/>
    <w:rsid w:val="00025BF0"/>
    <w:rsid w:val="00025E5C"/>
    <w:rsid w:val="000269E8"/>
    <w:rsid w:val="00026D5B"/>
    <w:rsid w:val="00035828"/>
    <w:rsid w:val="00035FFF"/>
    <w:rsid w:val="00037FA3"/>
    <w:rsid w:val="000417F6"/>
    <w:rsid w:val="00041A20"/>
    <w:rsid w:val="00042727"/>
    <w:rsid w:val="00043814"/>
    <w:rsid w:val="00043DC6"/>
    <w:rsid w:val="000466FA"/>
    <w:rsid w:val="000468E5"/>
    <w:rsid w:val="00047F3C"/>
    <w:rsid w:val="00054227"/>
    <w:rsid w:val="00054BF2"/>
    <w:rsid w:val="000565BA"/>
    <w:rsid w:val="00056BA3"/>
    <w:rsid w:val="00062333"/>
    <w:rsid w:val="0006601A"/>
    <w:rsid w:val="000703F1"/>
    <w:rsid w:val="000704C5"/>
    <w:rsid w:val="000706D8"/>
    <w:rsid w:val="00070FDC"/>
    <w:rsid w:val="00071E1D"/>
    <w:rsid w:val="0007560E"/>
    <w:rsid w:val="00075752"/>
    <w:rsid w:val="00077603"/>
    <w:rsid w:val="0007791A"/>
    <w:rsid w:val="0008282D"/>
    <w:rsid w:val="00082B5B"/>
    <w:rsid w:val="000832C8"/>
    <w:rsid w:val="00083CAA"/>
    <w:rsid w:val="00083E46"/>
    <w:rsid w:val="00086648"/>
    <w:rsid w:val="00086BF7"/>
    <w:rsid w:val="0009088B"/>
    <w:rsid w:val="0009711E"/>
    <w:rsid w:val="00097360"/>
    <w:rsid w:val="0009775D"/>
    <w:rsid w:val="000A2D01"/>
    <w:rsid w:val="000A5677"/>
    <w:rsid w:val="000A5EFB"/>
    <w:rsid w:val="000A6873"/>
    <w:rsid w:val="000B65FB"/>
    <w:rsid w:val="000C057A"/>
    <w:rsid w:val="000C1406"/>
    <w:rsid w:val="000C48F6"/>
    <w:rsid w:val="000C547B"/>
    <w:rsid w:val="000C7938"/>
    <w:rsid w:val="000D0F86"/>
    <w:rsid w:val="000D1795"/>
    <w:rsid w:val="000D6EEB"/>
    <w:rsid w:val="000D738C"/>
    <w:rsid w:val="000E1330"/>
    <w:rsid w:val="000E2E29"/>
    <w:rsid w:val="000E2E79"/>
    <w:rsid w:val="000E3237"/>
    <w:rsid w:val="000E58C0"/>
    <w:rsid w:val="000E7CAD"/>
    <w:rsid w:val="000E7F71"/>
    <w:rsid w:val="000F0B26"/>
    <w:rsid w:val="000F1937"/>
    <w:rsid w:val="000F1EF8"/>
    <w:rsid w:val="000F2F30"/>
    <w:rsid w:val="000F4882"/>
    <w:rsid w:val="000F74B2"/>
    <w:rsid w:val="000F7683"/>
    <w:rsid w:val="000F7E3C"/>
    <w:rsid w:val="001003DF"/>
    <w:rsid w:val="00100E62"/>
    <w:rsid w:val="0010399B"/>
    <w:rsid w:val="001051F9"/>
    <w:rsid w:val="001105BF"/>
    <w:rsid w:val="00114443"/>
    <w:rsid w:val="00114678"/>
    <w:rsid w:val="00114FAE"/>
    <w:rsid w:val="00116104"/>
    <w:rsid w:val="00116995"/>
    <w:rsid w:val="00120F62"/>
    <w:rsid w:val="001227FA"/>
    <w:rsid w:val="00123B56"/>
    <w:rsid w:val="0012503D"/>
    <w:rsid w:val="00125984"/>
    <w:rsid w:val="00125AE4"/>
    <w:rsid w:val="00125BE7"/>
    <w:rsid w:val="0012771B"/>
    <w:rsid w:val="0013032B"/>
    <w:rsid w:val="00130E18"/>
    <w:rsid w:val="001313E2"/>
    <w:rsid w:val="001315A7"/>
    <w:rsid w:val="0013176F"/>
    <w:rsid w:val="0013181B"/>
    <w:rsid w:val="001336E7"/>
    <w:rsid w:val="00133927"/>
    <w:rsid w:val="001354AD"/>
    <w:rsid w:val="00137A47"/>
    <w:rsid w:val="00140BBB"/>
    <w:rsid w:val="00144F6E"/>
    <w:rsid w:val="00146813"/>
    <w:rsid w:val="00150122"/>
    <w:rsid w:val="0015021F"/>
    <w:rsid w:val="00151721"/>
    <w:rsid w:val="0015265A"/>
    <w:rsid w:val="001539A3"/>
    <w:rsid w:val="001567BB"/>
    <w:rsid w:val="00157692"/>
    <w:rsid w:val="00157DE9"/>
    <w:rsid w:val="0016043F"/>
    <w:rsid w:val="00160BD8"/>
    <w:rsid w:val="00163567"/>
    <w:rsid w:val="00163FA2"/>
    <w:rsid w:val="00165F4F"/>
    <w:rsid w:val="0016603F"/>
    <w:rsid w:val="00166786"/>
    <w:rsid w:val="00173D79"/>
    <w:rsid w:val="001743BC"/>
    <w:rsid w:val="001769FB"/>
    <w:rsid w:val="00176B52"/>
    <w:rsid w:val="0017769F"/>
    <w:rsid w:val="0018058F"/>
    <w:rsid w:val="001861B0"/>
    <w:rsid w:val="00186251"/>
    <w:rsid w:val="001875EB"/>
    <w:rsid w:val="00190EF0"/>
    <w:rsid w:val="0019289E"/>
    <w:rsid w:val="00193036"/>
    <w:rsid w:val="0019605B"/>
    <w:rsid w:val="00196E16"/>
    <w:rsid w:val="001A521F"/>
    <w:rsid w:val="001A6DEC"/>
    <w:rsid w:val="001A73A4"/>
    <w:rsid w:val="001A7787"/>
    <w:rsid w:val="001B12DB"/>
    <w:rsid w:val="001B1F51"/>
    <w:rsid w:val="001B4BF5"/>
    <w:rsid w:val="001B4C92"/>
    <w:rsid w:val="001C0015"/>
    <w:rsid w:val="001C15F0"/>
    <w:rsid w:val="001C1978"/>
    <w:rsid w:val="001C1C93"/>
    <w:rsid w:val="001C7829"/>
    <w:rsid w:val="001C7E32"/>
    <w:rsid w:val="001C7E37"/>
    <w:rsid w:val="001D2117"/>
    <w:rsid w:val="001D4753"/>
    <w:rsid w:val="001D478D"/>
    <w:rsid w:val="001D5304"/>
    <w:rsid w:val="001D757C"/>
    <w:rsid w:val="001D76F2"/>
    <w:rsid w:val="001E21CD"/>
    <w:rsid w:val="001E3A7D"/>
    <w:rsid w:val="001E692C"/>
    <w:rsid w:val="001E7760"/>
    <w:rsid w:val="001F0179"/>
    <w:rsid w:val="001F20F9"/>
    <w:rsid w:val="001F2165"/>
    <w:rsid w:val="001F336F"/>
    <w:rsid w:val="001F3912"/>
    <w:rsid w:val="001F6E0C"/>
    <w:rsid w:val="001F7203"/>
    <w:rsid w:val="00200029"/>
    <w:rsid w:val="002019F4"/>
    <w:rsid w:val="0020543B"/>
    <w:rsid w:val="00205926"/>
    <w:rsid w:val="00206A75"/>
    <w:rsid w:val="00207009"/>
    <w:rsid w:val="00210771"/>
    <w:rsid w:val="00210AF6"/>
    <w:rsid w:val="00211D76"/>
    <w:rsid w:val="00213A2E"/>
    <w:rsid w:val="00220E2B"/>
    <w:rsid w:val="002214BB"/>
    <w:rsid w:val="00221D43"/>
    <w:rsid w:val="002246F8"/>
    <w:rsid w:val="0022718D"/>
    <w:rsid w:val="00227D23"/>
    <w:rsid w:val="002315F0"/>
    <w:rsid w:val="00233505"/>
    <w:rsid w:val="00233BF9"/>
    <w:rsid w:val="00234827"/>
    <w:rsid w:val="0023562B"/>
    <w:rsid w:val="0023589C"/>
    <w:rsid w:val="0023715B"/>
    <w:rsid w:val="00237A5E"/>
    <w:rsid w:val="00237D89"/>
    <w:rsid w:val="0024137D"/>
    <w:rsid w:val="002441C4"/>
    <w:rsid w:val="0024747B"/>
    <w:rsid w:val="0024771A"/>
    <w:rsid w:val="002507B8"/>
    <w:rsid w:val="00251B98"/>
    <w:rsid w:val="00251C64"/>
    <w:rsid w:val="00252EC2"/>
    <w:rsid w:val="00253806"/>
    <w:rsid w:val="00253A89"/>
    <w:rsid w:val="00261A42"/>
    <w:rsid w:val="0026213E"/>
    <w:rsid w:val="002629D5"/>
    <w:rsid w:val="00262D71"/>
    <w:rsid w:val="00275CCF"/>
    <w:rsid w:val="00275F19"/>
    <w:rsid w:val="002809A7"/>
    <w:rsid w:val="00280A0F"/>
    <w:rsid w:val="00282829"/>
    <w:rsid w:val="00283821"/>
    <w:rsid w:val="00285D82"/>
    <w:rsid w:val="00286137"/>
    <w:rsid w:val="00286968"/>
    <w:rsid w:val="00286C04"/>
    <w:rsid w:val="00287A08"/>
    <w:rsid w:val="00290D65"/>
    <w:rsid w:val="00292428"/>
    <w:rsid w:val="0029391F"/>
    <w:rsid w:val="00293925"/>
    <w:rsid w:val="0029481D"/>
    <w:rsid w:val="00297506"/>
    <w:rsid w:val="002A138D"/>
    <w:rsid w:val="002A1D24"/>
    <w:rsid w:val="002A6250"/>
    <w:rsid w:val="002A74B2"/>
    <w:rsid w:val="002B031F"/>
    <w:rsid w:val="002B1D7F"/>
    <w:rsid w:val="002B3035"/>
    <w:rsid w:val="002B3ADC"/>
    <w:rsid w:val="002B5D7B"/>
    <w:rsid w:val="002C64FC"/>
    <w:rsid w:val="002C7D19"/>
    <w:rsid w:val="002D197F"/>
    <w:rsid w:val="002D1F79"/>
    <w:rsid w:val="002D3B03"/>
    <w:rsid w:val="002D6103"/>
    <w:rsid w:val="002D75E9"/>
    <w:rsid w:val="002E1D2B"/>
    <w:rsid w:val="002E60DE"/>
    <w:rsid w:val="002E6FB0"/>
    <w:rsid w:val="002F1D5F"/>
    <w:rsid w:val="002F1FBC"/>
    <w:rsid w:val="002F2AAE"/>
    <w:rsid w:val="00300D69"/>
    <w:rsid w:val="003035AB"/>
    <w:rsid w:val="00304377"/>
    <w:rsid w:val="00311E6A"/>
    <w:rsid w:val="0031262A"/>
    <w:rsid w:val="00313537"/>
    <w:rsid w:val="00314D26"/>
    <w:rsid w:val="0031517D"/>
    <w:rsid w:val="00315D0A"/>
    <w:rsid w:val="003160A5"/>
    <w:rsid w:val="003171EA"/>
    <w:rsid w:val="00320968"/>
    <w:rsid w:val="003211BD"/>
    <w:rsid w:val="003214A0"/>
    <w:rsid w:val="0032245D"/>
    <w:rsid w:val="00322FF6"/>
    <w:rsid w:val="00323378"/>
    <w:rsid w:val="00326700"/>
    <w:rsid w:val="003271B5"/>
    <w:rsid w:val="00335538"/>
    <w:rsid w:val="00341957"/>
    <w:rsid w:val="003448BE"/>
    <w:rsid w:val="00344D94"/>
    <w:rsid w:val="00350ACC"/>
    <w:rsid w:val="00351462"/>
    <w:rsid w:val="003515E2"/>
    <w:rsid w:val="003523CD"/>
    <w:rsid w:val="003527D6"/>
    <w:rsid w:val="00352B8B"/>
    <w:rsid w:val="00354788"/>
    <w:rsid w:val="00355E2E"/>
    <w:rsid w:val="00361095"/>
    <w:rsid w:val="00361F6B"/>
    <w:rsid w:val="00364B78"/>
    <w:rsid w:val="00366008"/>
    <w:rsid w:val="00366378"/>
    <w:rsid w:val="0037054F"/>
    <w:rsid w:val="0037126E"/>
    <w:rsid w:val="00371CD1"/>
    <w:rsid w:val="00372C58"/>
    <w:rsid w:val="00374380"/>
    <w:rsid w:val="00375C0C"/>
    <w:rsid w:val="0037769E"/>
    <w:rsid w:val="0038750E"/>
    <w:rsid w:val="003877BA"/>
    <w:rsid w:val="00391AA7"/>
    <w:rsid w:val="0039294C"/>
    <w:rsid w:val="00393594"/>
    <w:rsid w:val="00393606"/>
    <w:rsid w:val="00393C04"/>
    <w:rsid w:val="00395CFC"/>
    <w:rsid w:val="00396100"/>
    <w:rsid w:val="003A27EF"/>
    <w:rsid w:val="003A3D5C"/>
    <w:rsid w:val="003A3F71"/>
    <w:rsid w:val="003A4D85"/>
    <w:rsid w:val="003A575F"/>
    <w:rsid w:val="003B15B3"/>
    <w:rsid w:val="003B1D66"/>
    <w:rsid w:val="003B7BF6"/>
    <w:rsid w:val="003C1F32"/>
    <w:rsid w:val="003C27CC"/>
    <w:rsid w:val="003C28A2"/>
    <w:rsid w:val="003C334F"/>
    <w:rsid w:val="003C4066"/>
    <w:rsid w:val="003C4B21"/>
    <w:rsid w:val="003C4EEA"/>
    <w:rsid w:val="003D0187"/>
    <w:rsid w:val="003D0502"/>
    <w:rsid w:val="003D1561"/>
    <w:rsid w:val="003D5027"/>
    <w:rsid w:val="003D65D2"/>
    <w:rsid w:val="003D75A0"/>
    <w:rsid w:val="003E0FB1"/>
    <w:rsid w:val="003E167B"/>
    <w:rsid w:val="003E2229"/>
    <w:rsid w:val="003E2FBB"/>
    <w:rsid w:val="003E66F3"/>
    <w:rsid w:val="003F0F45"/>
    <w:rsid w:val="003F4D17"/>
    <w:rsid w:val="00402796"/>
    <w:rsid w:val="00406347"/>
    <w:rsid w:val="004079DB"/>
    <w:rsid w:val="004117A0"/>
    <w:rsid w:val="00411E3A"/>
    <w:rsid w:val="004157EB"/>
    <w:rsid w:val="00420C92"/>
    <w:rsid w:val="00420D2D"/>
    <w:rsid w:val="0042192D"/>
    <w:rsid w:val="00423F82"/>
    <w:rsid w:val="00426A42"/>
    <w:rsid w:val="00430ED6"/>
    <w:rsid w:val="00431520"/>
    <w:rsid w:val="00432E51"/>
    <w:rsid w:val="00442176"/>
    <w:rsid w:val="004422AB"/>
    <w:rsid w:val="00443DDC"/>
    <w:rsid w:val="004449EC"/>
    <w:rsid w:val="00451FE8"/>
    <w:rsid w:val="00452A17"/>
    <w:rsid w:val="004548D1"/>
    <w:rsid w:val="00457378"/>
    <w:rsid w:val="00457826"/>
    <w:rsid w:val="0046163F"/>
    <w:rsid w:val="00461CA8"/>
    <w:rsid w:val="00463F0C"/>
    <w:rsid w:val="004652D0"/>
    <w:rsid w:val="00466235"/>
    <w:rsid w:val="00466283"/>
    <w:rsid w:val="00470792"/>
    <w:rsid w:val="004716C8"/>
    <w:rsid w:val="0047266C"/>
    <w:rsid w:val="00472D65"/>
    <w:rsid w:val="00473719"/>
    <w:rsid w:val="00474EA8"/>
    <w:rsid w:val="00474ED5"/>
    <w:rsid w:val="004767B7"/>
    <w:rsid w:val="004804CA"/>
    <w:rsid w:val="00480544"/>
    <w:rsid w:val="0048119D"/>
    <w:rsid w:val="00481680"/>
    <w:rsid w:val="00481898"/>
    <w:rsid w:val="004838AB"/>
    <w:rsid w:val="00485858"/>
    <w:rsid w:val="00487749"/>
    <w:rsid w:val="004900D6"/>
    <w:rsid w:val="0049323B"/>
    <w:rsid w:val="00494010"/>
    <w:rsid w:val="00494AF1"/>
    <w:rsid w:val="00495A64"/>
    <w:rsid w:val="00496467"/>
    <w:rsid w:val="00496BD2"/>
    <w:rsid w:val="004A0CFC"/>
    <w:rsid w:val="004A0D0D"/>
    <w:rsid w:val="004A17C1"/>
    <w:rsid w:val="004A283D"/>
    <w:rsid w:val="004A5346"/>
    <w:rsid w:val="004A5797"/>
    <w:rsid w:val="004A5B5E"/>
    <w:rsid w:val="004A79CE"/>
    <w:rsid w:val="004B2647"/>
    <w:rsid w:val="004B359A"/>
    <w:rsid w:val="004B36B7"/>
    <w:rsid w:val="004B4503"/>
    <w:rsid w:val="004B6D4F"/>
    <w:rsid w:val="004C3394"/>
    <w:rsid w:val="004C366A"/>
    <w:rsid w:val="004C3AE4"/>
    <w:rsid w:val="004C4AB6"/>
    <w:rsid w:val="004C4AEF"/>
    <w:rsid w:val="004C4E8A"/>
    <w:rsid w:val="004C62D7"/>
    <w:rsid w:val="004C6A64"/>
    <w:rsid w:val="004D08E1"/>
    <w:rsid w:val="004D62C0"/>
    <w:rsid w:val="004D6BCA"/>
    <w:rsid w:val="004E61C8"/>
    <w:rsid w:val="004E6F4A"/>
    <w:rsid w:val="004E6F89"/>
    <w:rsid w:val="004E7F1A"/>
    <w:rsid w:val="004F05C2"/>
    <w:rsid w:val="004F0DFD"/>
    <w:rsid w:val="004F2E75"/>
    <w:rsid w:val="004F4CEF"/>
    <w:rsid w:val="004F58FC"/>
    <w:rsid w:val="004F62FA"/>
    <w:rsid w:val="004F657A"/>
    <w:rsid w:val="004F712D"/>
    <w:rsid w:val="0050080B"/>
    <w:rsid w:val="0050292D"/>
    <w:rsid w:val="00502AAD"/>
    <w:rsid w:val="00503175"/>
    <w:rsid w:val="0050386F"/>
    <w:rsid w:val="005076F9"/>
    <w:rsid w:val="005100A1"/>
    <w:rsid w:val="005109EA"/>
    <w:rsid w:val="00510F4F"/>
    <w:rsid w:val="00511F59"/>
    <w:rsid w:val="0051552D"/>
    <w:rsid w:val="00521DB4"/>
    <w:rsid w:val="005236B0"/>
    <w:rsid w:val="005274C0"/>
    <w:rsid w:val="005324F0"/>
    <w:rsid w:val="00532C6C"/>
    <w:rsid w:val="00541DF6"/>
    <w:rsid w:val="00543444"/>
    <w:rsid w:val="00544340"/>
    <w:rsid w:val="00547C4C"/>
    <w:rsid w:val="005502EE"/>
    <w:rsid w:val="005512FC"/>
    <w:rsid w:val="00556C3A"/>
    <w:rsid w:val="00557DCB"/>
    <w:rsid w:val="00565CCA"/>
    <w:rsid w:val="00571270"/>
    <w:rsid w:val="00571B6A"/>
    <w:rsid w:val="00572883"/>
    <w:rsid w:val="00572B2D"/>
    <w:rsid w:val="0057336C"/>
    <w:rsid w:val="00573384"/>
    <w:rsid w:val="005744A3"/>
    <w:rsid w:val="0057476E"/>
    <w:rsid w:val="00575C67"/>
    <w:rsid w:val="00576300"/>
    <w:rsid w:val="005772CD"/>
    <w:rsid w:val="00581DD5"/>
    <w:rsid w:val="005820ED"/>
    <w:rsid w:val="00582B40"/>
    <w:rsid w:val="00584C88"/>
    <w:rsid w:val="005869E9"/>
    <w:rsid w:val="00587E70"/>
    <w:rsid w:val="005903B1"/>
    <w:rsid w:val="00591419"/>
    <w:rsid w:val="0059310B"/>
    <w:rsid w:val="00596010"/>
    <w:rsid w:val="00596668"/>
    <w:rsid w:val="00596A81"/>
    <w:rsid w:val="00596C5E"/>
    <w:rsid w:val="00596D4D"/>
    <w:rsid w:val="00596DC9"/>
    <w:rsid w:val="005973D4"/>
    <w:rsid w:val="00597E2A"/>
    <w:rsid w:val="005A3F8C"/>
    <w:rsid w:val="005A6829"/>
    <w:rsid w:val="005A6F9C"/>
    <w:rsid w:val="005B0204"/>
    <w:rsid w:val="005B0F2E"/>
    <w:rsid w:val="005B187A"/>
    <w:rsid w:val="005B5CCF"/>
    <w:rsid w:val="005C212A"/>
    <w:rsid w:val="005C4ADD"/>
    <w:rsid w:val="005C50B9"/>
    <w:rsid w:val="005C661A"/>
    <w:rsid w:val="005C66E6"/>
    <w:rsid w:val="005C6984"/>
    <w:rsid w:val="005C70A3"/>
    <w:rsid w:val="005D1B7C"/>
    <w:rsid w:val="005D70F0"/>
    <w:rsid w:val="005E3051"/>
    <w:rsid w:val="005E38FE"/>
    <w:rsid w:val="005E5F22"/>
    <w:rsid w:val="005E647C"/>
    <w:rsid w:val="005E6B0C"/>
    <w:rsid w:val="005F02DC"/>
    <w:rsid w:val="005F07ED"/>
    <w:rsid w:val="005F3271"/>
    <w:rsid w:val="005F6DA3"/>
    <w:rsid w:val="005F7103"/>
    <w:rsid w:val="005F7E19"/>
    <w:rsid w:val="00600F8F"/>
    <w:rsid w:val="00605211"/>
    <w:rsid w:val="00613C9B"/>
    <w:rsid w:val="006159CC"/>
    <w:rsid w:val="006164C4"/>
    <w:rsid w:val="0061659E"/>
    <w:rsid w:val="00617ABA"/>
    <w:rsid w:val="006207D5"/>
    <w:rsid w:val="006237CE"/>
    <w:rsid w:val="00624AEA"/>
    <w:rsid w:val="0062593C"/>
    <w:rsid w:val="0062720F"/>
    <w:rsid w:val="006276A1"/>
    <w:rsid w:val="006302F3"/>
    <w:rsid w:val="006325D8"/>
    <w:rsid w:val="00632F44"/>
    <w:rsid w:val="00634597"/>
    <w:rsid w:val="00634956"/>
    <w:rsid w:val="006360F8"/>
    <w:rsid w:val="006362A6"/>
    <w:rsid w:val="00642917"/>
    <w:rsid w:val="00643A4D"/>
    <w:rsid w:val="00647F52"/>
    <w:rsid w:val="00647F7F"/>
    <w:rsid w:val="00650031"/>
    <w:rsid w:val="00650892"/>
    <w:rsid w:val="00650FBB"/>
    <w:rsid w:val="0065102E"/>
    <w:rsid w:val="00663A5B"/>
    <w:rsid w:val="0066406B"/>
    <w:rsid w:val="00665C6A"/>
    <w:rsid w:val="00666CFB"/>
    <w:rsid w:val="00667FD1"/>
    <w:rsid w:val="006706A1"/>
    <w:rsid w:val="00673CEE"/>
    <w:rsid w:val="00675D78"/>
    <w:rsid w:val="00680B97"/>
    <w:rsid w:val="00684514"/>
    <w:rsid w:val="0068521D"/>
    <w:rsid w:val="00690578"/>
    <w:rsid w:val="0069131C"/>
    <w:rsid w:val="00692A96"/>
    <w:rsid w:val="00693406"/>
    <w:rsid w:val="00697B99"/>
    <w:rsid w:val="006A0C39"/>
    <w:rsid w:val="006A130E"/>
    <w:rsid w:val="006A1A57"/>
    <w:rsid w:val="006A20B3"/>
    <w:rsid w:val="006A22AD"/>
    <w:rsid w:val="006A339A"/>
    <w:rsid w:val="006A3D4C"/>
    <w:rsid w:val="006A5054"/>
    <w:rsid w:val="006B0650"/>
    <w:rsid w:val="006B0F77"/>
    <w:rsid w:val="006B1568"/>
    <w:rsid w:val="006B5E27"/>
    <w:rsid w:val="006C1242"/>
    <w:rsid w:val="006C28E2"/>
    <w:rsid w:val="006C2906"/>
    <w:rsid w:val="006C4637"/>
    <w:rsid w:val="006C6B75"/>
    <w:rsid w:val="006D565D"/>
    <w:rsid w:val="006E04FF"/>
    <w:rsid w:val="006E0D6D"/>
    <w:rsid w:val="006E2520"/>
    <w:rsid w:val="006E56E3"/>
    <w:rsid w:val="006E6452"/>
    <w:rsid w:val="006E72A1"/>
    <w:rsid w:val="006F3281"/>
    <w:rsid w:val="0070158C"/>
    <w:rsid w:val="00702674"/>
    <w:rsid w:val="00704C68"/>
    <w:rsid w:val="007053FE"/>
    <w:rsid w:val="00706F84"/>
    <w:rsid w:val="00710183"/>
    <w:rsid w:val="00711DDD"/>
    <w:rsid w:val="007124D9"/>
    <w:rsid w:val="0071380A"/>
    <w:rsid w:val="00713DFB"/>
    <w:rsid w:val="00716606"/>
    <w:rsid w:val="00720DE8"/>
    <w:rsid w:val="00721EA9"/>
    <w:rsid w:val="00722473"/>
    <w:rsid w:val="00722598"/>
    <w:rsid w:val="00724D11"/>
    <w:rsid w:val="00725DAC"/>
    <w:rsid w:val="00730A94"/>
    <w:rsid w:val="00731465"/>
    <w:rsid w:val="007342A9"/>
    <w:rsid w:val="00734367"/>
    <w:rsid w:val="00735FE3"/>
    <w:rsid w:val="0073743C"/>
    <w:rsid w:val="0074058B"/>
    <w:rsid w:val="007502B4"/>
    <w:rsid w:val="007508CF"/>
    <w:rsid w:val="00751F79"/>
    <w:rsid w:val="00752CA8"/>
    <w:rsid w:val="0075365D"/>
    <w:rsid w:val="0075401D"/>
    <w:rsid w:val="00755DF7"/>
    <w:rsid w:val="007605EF"/>
    <w:rsid w:val="00760AAE"/>
    <w:rsid w:val="00760B65"/>
    <w:rsid w:val="0076172A"/>
    <w:rsid w:val="00762B8F"/>
    <w:rsid w:val="00763C7D"/>
    <w:rsid w:val="007665BB"/>
    <w:rsid w:val="00766B9B"/>
    <w:rsid w:val="00767413"/>
    <w:rsid w:val="00770939"/>
    <w:rsid w:val="00771971"/>
    <w:rsid w:val="00780EED"/>
    <w:rsid w:val="00781001"/>
    <w:rsid w:val="0078119A"/>
    <w:rsid w:val="00781ED9"/>
    <w:rsid w:val="00783E22"/>
    <w:rsid w:val="0078570D"/>
    <w:rsid w:val="00787398"/>
    <w:rsid w:val="00787DA0"/>
    <w:rsid w:val="00790893"/>
    <w:rsid w:val="007913F3"/>
    <w:rsid w:val="00791A7C"/>
    <w:rsid w:val="00792AEC"/>
    <w:rsid w:val="00793E5F"/>
    <w:rsid w:val="007949B3"/>
    <w:rsid w:val="007959C7"/>
    <w:rsid w:val="007A4E54"/>
    <w:rsid w:val="007A6BFE"/>
    <w:rsid w:val="007A7B1A"/>
    <w:rsid w:val="007B0E80"/>
    <w:rsid w:val="007B22A9"/>
    <w:rsid w:val="007B2355"/>
    <w:rsid w:val="007B3FCC"/>
    <w:rsid w:val="007B65E6"/>
    <w:rsid w:val="007C358C"/>
    <w:rsid w:val="007C7441"/>
    <w:rsid w:val="007D04BC"/>
    <w:rsid w:val="007D2D80"/>
    <w:rsid w:val="007D34EC"/>
    <w:rsid w:val="007D4BF4"/>
    <w:rsid w:val="007D52D2"/>
    <w:rsid w:val="007D5436"/>
    <w:rsid w:val="007D556E"/>
    <w:rsid w:val="007D5F34"/>
    <w:rsid w:val="007D64F6"/>
    <w:rsid w:val="007D69F0"/>
    <w:rsid w:val="007E10DD"/>
    <w:rsid w:val="007E3B88"/>
    <w:rsid w:val="007E3BAE"/>
    <w:rsid w:val="007E48FB"/>
    <w:rsid w:val="007E5E34"/>
    <w:rsid w:val="007E5E83"/>
    <w:rsid w:val="007E725B"/>
    <w:rsid w:val="007F17F3"/>
    <w:rsid w:val="007F5FF3"/>
    <w:rsid w:val="007F6DBB"/>
    <w:rsid w:val="007F7077"/>
    <w:rsid w:val="007F7833"/>
    <w:rsid w:val="007F785F"/>
    <w:rsid w:val="007F7D07"/>
    <w:rsid w:val="0080032E"/>
    <w:rsid w:val="00801175"/>
    <w:rsid w:val="008015C5"/>
    <w:rsid w:val="0080181C"/>
    <w:rsid w:val="00802601"/>
    <w:rsid w:val="008060C8"/>
    <w:rsid w:val="00806573"/>
    <w:rsid w:val="00812956"/>
    <w:rsid w:val="0081315C"/>
    <w:rsid w:val="00813AFA"/>
    <w:rsid w:val="00815166"/>
    <w:rsid w:val="00815C17"/>
    <w:rsid w:val="008177D7"/>
    <w:rsid w:val="00817E8C"/>
    <w:rsid w:val="00821C91"/>
    <w:rsid w:val="00823A66"/>
    <w:rsid w:val="00823D0A"/>
    <w:rsid w:val="00824AB3"/>
    <w:rsid w:val="008253BE"/>
    <w:rsid w:val="00826161"/>
    <w:rsid w:val="008266B3"/>
    <w:rsid w:val="00826842"/>
    <w:rsid w:val="00832C08"/>
    <w:rsid w:val="00834AA6"/>
    <w:rsid w:val="00834E34"/>
    <w:rsid w:val="0083776B"/>
    <w:rsid w:val="00837987"/>
    <w:rsid w:val="008415EE"/>
    <w:rsid w:val="0084164E"/>
    <w:rsid w:val="00844F49"/>
    <w:rsid w:val="00847A0A"/>
    <w:rsid w:val="008506B4"/>
    <w:rsid w:val="00850739"/>
    <w:rsid w:val="008521FE"/>
    <w:rsid w:val="008528CE"/>
    <w:rsid w:val="00854C89"/>
    <w:rsid w:val="008576EE"/>
    <w:rsid w:val="0086126C"/>
    <w:rsid w:val="008613D6"/>
    <w:rsid w:val="008616B2"/>
    <w:rsid w:val="00862202"/>
    <w:rsid w:val="008639BC"/>
    <w:rsid w:val="00863B78"/>
    <w:rsid w:val="0086537B"/>
    <w:rsid w:val="00865886"/>
    <w:rsid w:val="00866154"/>
    <w:rsid w:val="00866914"/>
    <w:rsid w:val="008671EF"/>
    <w:rsid w:val="00872555"/>
    <w:rsid w:val="00872F6B"/>
    <w:rsid w:val="00875BB9"/>
    <w:rsid w:val="00881330"/>
    <w:rsid w:val="00883FA8"/>
    <w:rsid w:val="008878E5"/>
    <w:rsid w:val="00887974"/>
    <w:rsid w:val="008915C9"/>
    <w:rsid w:val="00891BD2"/>
    <w:rsid w:val="008922CE"/>
    <w:rsid w:val="0089588B"/>
    <w:rsid w:val="008961FE"/>
    <w:rsid w:val="0089676C"/>
    <w:rsid w:val="008A2A37"/>
    <w:rsid w:val="008A3AE1"/>
    <w:rsid w:val="008A4CF3"/>
    <w:rsid w:val="008B0D70"/>
    <w:rsid w:val="008B2AAB"/>
    <w:rsid w:val="008C052E"/>
    <w:rsid w:val="008C0CD0"/>
    <w:rsid w:val="008C377A"/>
    <w:rsid w:val="008C4A62"/>
    <w:rsid w:val="008C7C63"/>
    <w:rsid w:val="008C7F3B"/>
    <w:rsid w:val="008D09F7"/>
    <w:rsid w:val="008D1623"/>
    <w:rsid w:val="008D3480"/>
    <w:rsid w:val="008D3D4E"/>
    <w:rsid w:val="008D648B"/>
    <w:rsid w:val="008D6816"/>
    <w:rsid w:val="008E1FC8"/>
    <w:rsid w:val="008E546F"/>
    <w:rsid w:val="008E7D45"/>
    <w:rsid w:val="008F078D"/>
    <w:rsid w:val="008F0D99"/>
    <w:rsid w:val="008F3490"/>
    <w:rsid w:val="008F3D7A"/>
    <w:rsid w:val="008F6031"/>
    <w:rsid w:val="008F6B60"/>
    <w:rsid w:val="00906061"/>
    <w:rsid w:val="009061DE"/>
    <w:rsid w:val="00910355"/>
    <w:rsid w:val="00912B80"/>
    <w:rsid w:val="00912FEE"/>
    <w:rsid w:val="00913C29"/>
    <w:rsid w:val="00915DCE"/>
    <w:rsid w:val="009169F5"/>
    <w:rsid w:val="0092638C"/>
    <w:rsid w:val="009308EF"/>
    <w:rsid w:val="00932523"/>
    <w:rsid w:val="009337AF"/>
    <w:rsid w:val="00933F84"/>
    <w:rsid w:val="0093423B"/>
    <w:rsid w:val="00934733"/>
    <w:rsid w:val="00940166"/>
    <w:rsid w:val="009434FC"/>
    <w:rsid w:val="009444AE"/>
    <w:rsid w:val="00945CFC"/>
    <w:rsid w:val="00946DD9"/>
    <w:rsid w:val="00950C0F"/>
    <w:rsid w:val="00951299"/>
    <w:rsid w:val="00956AC3"/>
    <w:rsid w:val="00960E74"/>
    <w:rsid w:val="0096534F"/>
    <w:rsid w:val="009670FF"/>
    <w:rsid w:val="00970548"/>
    <w:rsid w:val="009712E3"/>
    <w:rsid w:val="00972DF7"/>
    <w:rsid w:val="009756A4"/>
    <w:rsid w:val="00975C65"/>
    <w:rsid w:val="00976A60"/>
    <w:rsid w:val="00980180"/>
    <w:rsid w:val="00982E29"/>
    <w:rsid w:val="009845A5"/>
    <w:rsid w:val="00986F0F"/>
    <w:rsid w:val="00992CA5"/>
    <w:rsid w:val="009945AC"/>
    <w:rsid w:val="00994A1D"/>
    <w:rsid w:val="00994E6B"/>
    <w:rsid w:val="009A1BB5"/>
    <w:rsid w:val="009A2D64"/>
    <w:rsid w:val="009A306A"/>
    <w:rsid w:val="009A4B00"/>
    <w:rsid w:val="009A7272"/>
    <w:rsid w:val="009B0111"/>
    <w:rsid w:val="009B0537"/>
    <w:rsid w:val="009B0D4A"/>
    <w:rsid w:val="009B106D"/>
    <w:rsid w:val="009B181A"/>
    <w:rsid w:val="009B276D"/>
    <w:rsid w:val="009B342C"/>
    <w:rsid w:val="009B3756"/>
    <w:rsid w:val="009B3826"/>
    <w:rsid w:val="009B6E26"/>
    <w:rsid w:val="009B7731"/>
    <w:rsid w:val="009C1089"/>
    <w:rsid w:val="009C10D3"/>
    <w:rsid w:val="009C18FC"/>
    <w:rsid w:val="009C343C"/>
    <w:rsid w:val="009C373F"/>
    <w:rsid w:val="009C5CA5"/>
    <w:rsid w:val="009D094A"/>
    <w:rsid w:val="009D122C"/>
    <w:rsid w:val="009D2E49"/>
    <w:rsid w:val="009D395A"/>
    <w:rsid w:val="009D4502"/>
    <w:rsid w:val="009E0250"/>
    <w:rsid w:val="009E0545"/>
    <w:rsid w:val="009E086F"/>
    <w:rsid w:val="009E244F"/>
    <w:rsid w:val="009E528E"/>
    <w:rsid w:val="009E6EA2"/>
    <w:rsid w:val="009F01A8"/>
    <w:rsid w:val="009F0D78"/>
    <w:rsid w:val="009F1B2C"/>
    <w:rsid w:val="009F1F06"/>
    <w:rsid w:val="009F3A2C"/>
    <w:rsid w:val="009F46E7"/>
    <w:rsid w:val="009F56AC"/>
    <w:rsid w:val="009F7C3D"/>
    <w:rsid w:val="00A00380"/>
    <w:rsid w:val="00A011CC"/>
    <w:rsid w:val="00A022E6"/>
    <w:rsid w:val="00A0561D"/>
    <w:rsid w:val="00A05947"/>
    <w:rsid w:val="00A07CD2"/>
    <w:rsid w:val="00A12786"/>
    <w:rsid w:val="00A13940"/>
    <w:rsid w:val="00A169E0"/>
    <w:rsid w:val="00A17DF1"/>
    <w:rsid w:val="00A21F22"/>
    <w:rsid w:val="00A23486"/>
    <w:rsid w:val="00A2389D"/>
    <w:rsid w:val="00A24491"/>
    <w:rsid w:val="00A32C74"/>
    <w:rsid w:val="00A32FCE"/>
    <w:rsid w:val="00A3330E"/>
    <w:rsid w:val="00A37D18"/>
    <w:rsid w:val="00A419ED"/>
    <w:rsid w:val="00A4524E"/>
    <w:rsid w:val="00A46631"/>
    <w:rsid w:val="00A50768"/>
    <w:rsid w:val="00A5219B"/>
    <w:rsid w:val="00A523B3"/>
    <w:rsid w:val="00A53A6B"/>
    <w:rsid w:val="00A53AE7"/>
    <w:rsid w:val="00A550E1"/>
    <w:rsid w:val="00A55E6D"/>
    <w:rsid w:val="00A56253"/>
    <w:rsid w:val="00A574CB"/>
    <w:rsid w:val="00A62172"/>
    <w:rsid w:val="00A622F2"/>
    <w:rsid w:val="00A631EE"/>
    <w:rsid w:val="00A63BF5"/>
    <w:rsid w:val="00A64712"/>
    <w:rsid w:val="00A66B6B"/>
    <w:rsid w:val="00A70D37"/>
    <w:rsid w:val="00A73C66"/>
    <w:rsid w:val="00A741E1"/>
    <w:rsid w:val="00A74792"/>
    <w:rsid w:val="00A75BCF"/>
    <w:rsid w:val="00A75BF4"/>
    <w:rsid w:val="00A81AA3"/>
    <w:rsid w:val="00A84C71"/>
    <w:rsid w:val="00A873BE"/>
    <w:rsid w:val="00A901C2"/>
    <w:rsid w:val="00A94116"/>
    <w:rsid w:val="00A947CB"/>
    <w:rsid w:val="00A94C3E"/>
    <w:rsid w:val="00A94DA0"/>
    <w:rsid w:val="00A95A6E"/>
    <w:rsid w:val="00A95AE5"/>
    <w:rsid w:val="00AA237B"/>
    <w:rsid w:val="00AA529B"/>
    <w:rsid w:val="00AA52D4"/>
    <w:rsid w:val="00AA6386"/>
    <w:rsid w:val="00AA718D"/>
    <w:rsid w:val="00AB00C0"/>
    <w:rsid w:val="00AB021C"/>
    <w:rsid w:val="00AB0806"/>
    <w:rsid w:val="00AB32A5"/>
    <w:rsid w:val="00AB462A"/>
    <w:rsid w:val="00AB5193"/>
    <w:rsid w:val="00AB7884"/>
    <w:rsid w:val="00AC0E54"/>
    <w:rsid w:val="00AC11CF"/>
    <w:rsid w:val="00AC24C9"/>
    <w:rsid w:val="00AC4CD2"/>
    <w:rsid w:val="00AC6B53"/>
    <w:rsid w:val="00AD0F38"/>
    <w:rsid w:val="00AD245A"/>
    <w:rsid w:val="00AE2E55"/>
    <w:rsid w:val="00AE3233"/>
    <w:rsid w:val="00AE5ACF"/>
    <w:rsid w:val="00AE75F4"/>
    <w:rsid w:val="00AF07A1"/>
    <w:rsid w:val="00AF4FC1"/>
    <w:rsid w:val="00B03490"/>
    <w:rsid w:val="00B06FAD"/>
    <w:rsid w:val="00B1056B"/>
    <w:rsid w:val="00B10EBE"/>
    <w:rsid w:val="00B11450"/>
    <w:rsid w:val="00B131FC"/>
    <w:rsid w:val="00B171BC"/>
    <w:rsid w:val="00B22B9D"/>
    <w:rsid w:val="00B24232"/>
    <w:rsid w:val="00B25030"/>
    <w:rsid w:val="00B257FA"/>
    <w:rsid w:val="00B26320"/>
    <w:rsid w:val="00B278CA"/>
    <w:rsid w:val="00B308FC"/>
    <w:rsid w:val="00B32565"/>
    <w:rsid w:val="00B337AC"/>
    <w:rsid w:val="00B352C8"/>
    <w:rsid w:val="00B362D0"/>
    <w:rsid w:val="00B4146F"/>
    <w:rsid w:val="00B43381"/>
    <w:rsid w:val="00B4464A"/>
    <w:rsid w:val="00B464EE"/>
    <w:rsid w:val="00B46E87"/>
    <w:rsid w:val="00B47DE2"/>
    <w:rsid w:val="00B50A76"/>
    <w:rsid w:val="00B50C63"/>
    <w:rsid w:val="00B514E6"/>
    <w:rsid w:val="00B53C9B"/>
    <w:rsid w:val="00B5526C"/>
    <w:rsid w:val="00B55B2A"/>
    <w:rsid w:val="00B57DD5"/>
    <w:rsid w:val="00B61D37"/>
    <w:rsid w:val="00B62DD4"/>
    <w:rsid w:val="00B652E1"/>
    <w:rsid w:val="00B66C42"/>
    <w:rsid w:val="00B67ECF"/>
    <w:rsid w:val="00B7089A"/>
    <w:rsid w:val="00B72607"/>
    <w:rsid w:val="00B73196"/>
    <w:rsid w:val="00B737D2"/>
    <w:rsid w:val="00B77DD3"/>
    <w:rsid w:val="00B80825"/>
    <w:rsid w:val="00B81776"/>
    <w:rsid w:val="00B8207F"/>
    <w:rsid w:val="00B82BF9"/>
    <w:rsid w:val="00B83EA6"/>
    <w:rsid w:val="00B849AE"/>
    <w:rsid w:val="00B84F86"/>
    <w:rsid w:val="00B86CD5"/>
    <w:rsid w:val="00B871EA"/>
    <w:rsid w:val="00B928F2"/>
    <w:rsid w:val="00B93CBA"/>
    <w:rsid w:val="00B97C1B"/>
    <w:rsid w:val="00BA2DEB"/>
    <w:rsid w:val="00BA32A7"/>
    <w:rsid w:val="00BA4D21"/>
    <w:rsid w:val="00BA577A"/>
    <w:rsid w:val="00BB0527"/>
    <w:rsid w:val="00BB0F0A"/>
    <w:rsid w:val="00BB1BB5"/>
    <w:rsid w:val="00BB361B"/>
    <w:rsid w:val="00BB5DE7"/>
    <w:rsid w:val="00BB6289"/>
    <w:rsid w:val="00BB6AA9"/>
    <w:rsid w:val="00BB6BA4"/>
    <w:rsid w:val="00BC6BD3"/>
    <w:rsid w:val="00BC730E"/>
    <w:rsid w:val="00BC7FAB"/>
    <w:rsid w:val="00BD10E5"/>
    <w:rsid w:val="00BE3524"/>
    <w:rsid w:val="00BE3655"/>
    <w:rsid w:val="00BE5615"/>
    <w:rsid w:val="00BE7A37"/>
    <w:rsid w:val="00BE7AB4"/>
    <w:rsid w:val="00BF0418"/>
    <w:rsid w:val="00BF21DE"/>
    <w:rsid w:val="00BF385A"/>
    <w:rsid w:val="00BF42CE"/>
    <w:rsid w:val="00BF49E3"/>
    <w:rsid w:val="00BF4AD8"/>
    <w:rsid w:val="00BF66CB"/>
    <w:rsid w:val="00BF687A"/>
    <w:rsid w:val="00BF737D"/>
    <w:rsid w:val="00C008E4"/>
    <w:rsid w:val="00C0272C"/>
    <w:rsid w:val="00C075BA"/>
    <w:rsid w:val="00C100FA"/>
    <w:rsid w:val="00C10139"/>
    <w:rsid w:val="00C117AD"/>
    <w:rsid w:val="00C11981"/>
    <w:rsid w:val="00C1293B"/>
    <w:rsid w:val="00C12B38"/>
    <w:rsid w:val="00C13D02"/>
    <w:rsid w:val="00C142FD"/>
    <w:rsid w:val="00C15377"/>
    <w:rsid w:val="00C15ADA"/>
    <w:rsid w:val="00C21BC5"/>
    <w:rsid w:val="00C2246D"/>
    <w:rsid w:val="00C252FC"/>
    <w:rsid w:val="00C25CF4"/>
    <w:rsid w:val="00C25F3C"/>
    <w:rsid w:val="00C26077"/>
    <w:rsid w:val="00C2625B"/>
    <w:rsid w:val="00C2702F"/>
    <w:rsid w:val="00C27334"/>
    <w:rsid w:val="00C31090"/>
    <w:rsid w:val="00C3209D"/>
    <w:rsid w:val="00C337E2"/>
    <w:rsid w:val="00C33EB7"/>
    <w:rsid w:val="00C36990"/>
    <w:rsid w:val="00C42922"/>
    <w:rsid w:val="00C4516A"/>
    <w:rsid w:val="00C458C0"/>
    <w:rsid w:val="00C506C3"/>
    <w:rsid w:val="00C5209F"/>
    <w:rsid w:val="00C531F4"/>
    <w:rsid w:val="00C5321C"/>
    <w:rsid w:val="00C54F55"/>
    <w:rsid w:val="00C61760"/>
    <w:rsid w:val="00C6191A"/>
    <w:rsid w:val="00C7542C"/>
    <w:rsid w:val="00C762DC"/>
    <w:rsid w:val="00C76DAA"/>
    <w:rsid w:val="00C77B4A"/>
    <w:rsid w:val="00C8147F"/>
    <w:rsid w:val="00C82E08"/>
    <w:rsid w:val="00C84A15"/>
    <w:rsid w:val="00C8616A"/>
    <w:rsid w:val="00C861A6"/>
    <w:rsid w:val="00C90093"/>
    <w:rsid w:val="00C907EE"/>
    <w:rsid w:val="00C92274"/>
    <w:rsid w:val="00C9382D"/>
    <w:rsid w:val="00C97C4B"/>
    <w:rsid w:val="00CA01C7"/>
    <w:rsid w:val="00CA1C0E"/>
    <w:rsid w:val="00CA369F"/>
    <w:rsid w:val="00CA4210"/>
    <w:rsid w:val="00CA6339"/>
    <w:rsid w:val="00CA6B18"/>
    <w:rsid w:val="00CA7D9E"/>
    <w:rsid w:val="00CB1220"/>
    <w:rsid w:val="00CB55C4"/>
    <w:rsid w:val="00CB5D0D"/>
    <w:rsid w:val="00CB6EAE"/>
    <w:rsid w:val="00CB749A"/>
    <w:rsid w:val="00CC554D"/>
    <w:rsid w:val="00CC5902"/>
    <w:rsid w:val="00CC5DC8"/>
    <w:rsid w:val="00CD0A67"/>
    <w:rsid w:val="00CD2B2B"/>
    <w:rsid w:val="00CD3449"/>
    <w:rsid w:val="00CD3F3B"/>
    <w:rsid w:val="00CD4E96"/>
    <w:rsid w:val="00CD58FB"/>
    <w:rsid w:val="00CE122A"/>
    <w:rsid w:val="00CE24BA"/>
    <w:rsid w:val="00CE25E3"/>
    <w:rsid w:val="00CE44D6"/>
    <w:rsid w:val="00CE5475"/>
    <w:rsid w:val="00CE63DC"/>
    <w:rsid w:val="00CE6D52"/>
    <w:rsid w:val="00CE7D3B"/>
    <w:rsid w:val="00CF0AB6"/>
    <w:rsid w:val="00CF0C04"/>
    <w:rsid w:val="00CF4003"/>
    <w:rsid w:val="00CF40FE"/>
    <w:rsid w:val="00CF4547"/>
    <w:rsid w:val="00CF58BB"/>
    <w:rsid w:val="00CF6CB2"/>
    <w:rsid w:val="00CF7160"/>
    <w:rsid w:val="00CF7643"/>
    <w:rsid w:val="00D0130F"/>
    <w:rsid w:val="00D0343A"/>
    <w:rsid w:val="00D048DB"/>
    <w:rsid w:val="00D04EF0"/>
    <w:rsid w:val="00D05087"/>
    <w:rsid w:val="00D072C7"/>
    <w:rsid w:val="00D073DB"/>
    <w:rsid w:val="00D07793"/>
    <w:rsid w:val="00D1035C"/>
    <w:rsid w:val="00D12B52"/>
    <w:rsid w:val="00D12F4B"/>
    <w:rsid w:val="00D14E41"/>
    <w:rsid w:val="00D20865"/>
    <w:rsid w:val="00D237E5"/>
    <w:rsid w:val="00D23D4A"/>
    <w:rsid w:val="00D24D9B"/>
    <w:rsid w:val="00D25838"/>
    <w:rsid w:val="00D27684"/>
    <w:rsid w:val="00D27836"/>
    <w:rsid w:val="00D30751"/>
    <w:rsid w:val="00D34DAC"/>
    <w:rsid w:val="00D34E5B"/>
    <w:rsid w:val="00D36487"/>
    <w:rsid w:val="00D44BA5"/>
    <w:rsid w:val="00D46E74"/>
    <w:rsid w:val="00D47362"/>
    <w:rsid w:val="00D47E88"/>
    <w:rsid w:val="00D50716"/>
    <w:rsid w:val="00D50E88"/>
    <w:rsid w:val="00D53E84"/>
    <w:rsid w:val="00D65EA6"/>
    <w:rsid w:val="00D660D0"/>
    <w:rsid w:val="00D72067"/>
    <w:rsid w:val="00D729F4"/>
    <w:rsid w:val="00D73A8E"/>
    <w:rsid w:val="00D73B13"/>
    <w:rsid w:val="00D7557A"/>
    <w:rsid w:val="00D80D2F"/>
    <w:rsid w:val="00D8373B"/>
    <w:rsid w:val="00D85D38"/>
    <w:rsid w:val="00D879AA"/>
    <w:rsid w:val="00D90E58"/>
    <w:rsid w:val="00D921BC"/>
    <w:rsid w:val="00D9298E"/>
    <w:rsid w:val="00D93C68"/>
    <w:rsid w:val="00D94B24"/>
    <w:rsid w:val="00D952AF"/>
    <w:rsid w:val="00D955D4"/>
    <w:rsid w:val="00D9582F"/>
    <w:rsid w:val="00DA3DC2"/>
    <w:rsid w:val="00DA44E2"/>
    <w:rsid w:val="00DA4A56"/>
    <w:rsid w:val="00DA4A6C"/>
    <w:rsid w:val="00DB1394"/>
    <w:rsid w:val="00DB3D71"/>
    <w:rsid w:val="00DB59EB"/>
    <w:rsid w:val="00DC05D3"/>
    <w:rsid w:val="00DC3AE3"/>
    <w:rsid w:val="00DC41CC"/>
    <w:rsid w:val="00DD3A50"/>
    <w:rsid w:val="00DE0637"/>
    <w:rsid w:val="00DE1DCB"/>
    <w:rsid w:val="00DE32EB"/>
    <w:rsid w:val="00DE3D9F"/>
    <w:rsid w:val="00DE52CB"/>
    <w:rsid w:val="00DF0CE2"/>
    <w:rsid w:val="00DF19E6"/>
    <w:rsid w:val="00E00ECD"/>
    <w:rsid w:val="00E01046"/>
    <w:rsid w:val="00E02D16"/>
    <w:rsid w:val="00E05589"/>
    <w:rsid w:val="00E062DB"/>
    <w:rsid w:val="00E0797E"/>
    <w:rsid w:val="00E10C8B"/>
    <w:rsid w:val="00E10E4D"/>
    <w:rsid w:val="00E115D3"/>
    <w:rsid w:val="00E11FBB"/>
    <w:rsid w:val="00E122D1"/>
    <w:rsid w:val="00E152CE"/>
    <w:rsid w:val="00E159EF"/>
    <w:rsid w:val="00E20150"/>
    <w:rsid w:val="00E22D45"/>
    <w:rsid w:val="00E2335C"/>
    <w:rsid w:val="00E23C61"/>
    <w:rsid w:val="00E23C98"/>
    <w:rsid w:val="00E332FF"/>
    <w:rsid w:val="00E35306"/>
    <w:rsid w:val="00E3687E"/>
    <w:rsid w:val="00E37067"/>
    <w:rsid w:val="00E44559"/>
    <w:rsid w:val="00E44B49"/>
    <w:rsid w:val="00E45487"/>
    <w:rsid w:val="00E50D84"/>
    <w:rsid w:val="00E5125B"/>
    <w:rsid w:val="00E52616"/>
    <w:rsid w:val="00E526A0"/>
    <w:rsid w:val="00E547DE"/>
    <w:rsid w:val="00E55484"/>
    <w:rsid w:val="00E55E36"/>
    <w:rsid w:val="00E60FBD"/>
    <w:rsid w:val="00E63626"/>
    <w:rsid w:val="00E70AFB"/>
    <w:rsid w:val="00E74066"/>
    <w:rsid w:val="00E75ED2"/>
    <w:rsid w:val="00E817F5"/>
    <w:rsid w:val="00E81885"/>
    <w:rsid w:val="00E826DE"/>
    <w:rsid w:val="00E86AF1"/>
    <w:rsid w:val="00E87689"/>
    <w:rsid w:val="00E9170D"/>
    <w:rsid w:val="00E91D17"/>
    <w:rsid w:val="00E9540F"/>
    <w:rsid w:val="00E95D2D"/>
    <w:rsid w:val="00E962E6"/>
    <w:rsid w:val="00E97241"/>
    <w:rsid w:val="00EA1C56"/>
    <w:rsid w:val="00EA26EE"/>
    <w:rsid w:val="00EA3BA4"/>
    <w:rsid w:val="00EA4EA8"/>
    <w:rsid w:val="00EA74FD"/>
    <w:rsid w:val="00EB186D"/>
    <w:rsid w:val="00EB535C"/>
    <w:rsid w:val="00EB54F1"/>
    <w:rsid w:val="00EB6506"/>
    <w:rsid w:val="00EC2549"/>
    <w:rsid w:val="00EC5AB6"/>
    <w:rsid w:val="00EC5EA6"/>
    <w:rsid w:val="00ED23C1"/>
    <w:rsid w:val="00ED4A4C"/>
    <w:rsid w:val="00ED5E66"/>
    <w:rsid w:val="00EE0DF2"/>
    <w:rsid w:val="00EE3E06"/>
    <w:rsid w:val="00EE77EE"/>
    <w:rsid w:val="00EF0A92"/>
    <w:rsid w:val="00EF225C"/>
    <w:rsid w:val="00EF36D9"/>
    <w:rsid w:val="00EF611D"/>
    <w:rsid w:val="00EF7A45"/>
    <w:rsid w:val="00F01855"/>
    <w:rsid w:val="00F01ABB"/>
    <w:rsid w:val="00F02458"/>
    <w:rsid w:val="00F040B2"/>
    <w:rsid w:val="00F04732"/>
    <w:rsid w:val="00F07338"/>
    <w:rsid w:val="00F07606"/>
    <w:rsid w:val="00F0792E"/>
    <w:rsid w:val="00F12C1D"/>
    <w:rsid w:val="00F1363A"/>
    <w:rsid w:val="00F229E1"/>
    <w:rsid w:val="00F25BDB"/>
    <w:rsid w:val="00F26E0A"/>
    <w:rsid w:val="00F27BCE"/>
    <w:rsid w:val="00F27C58"/>
    <w:rsid w:val="00F3585A"/>
    <w:rsid w:val="00F3589A"/>
    <w:rsid w:val="00F35B3D"/>
    <w:rsid w:val="00F412A4"/>
    <w:rsid w:val="00F43277"/>
    <w:rsid w:val="00F47689"/>
    <w:rsid w:val="00F47946"/>
    <w:rsid w:val="00F47CC7"/>
    <w:rsid w:val="00F52787"/>
    <w:rsid w:val="00F539BC"/>
    <w:rsid w:val="00F53F71"/>
    <w:rsid w:val="00F575A0"/>
    <w:rsid w:val="00F578F1"/>
    <w:rsid w:val="00F62C94"/>
    <w:rsid w:val="00F64418"/>
    <w:rsid w:val="00F65253"/>
    <w:rsid w:val="00F657E0"/>
    <w:rsid w:val="00F65C43"/>
    <w:rsid w:val="00F66999"/>
    <w:rsid w:val="00F70D84"/>
    <w:rsid w:val="00F70ED6"/>
    <w:rsid w:val="00F71DB4"/>
    <w:rsid w:val="00F72E58"/>
    <w:rsid w:val="00F73896"/>
    <w:rsid w:val="00F750B4"/>
    <w:rsid w:val="00F76904"/>
    <w:rsid w:val="00F77656"/>
    <w:rsid w:val="00F8085E"/>
    <w:rsid w:val="00F81E06"/>
    <w:rsid w:val="00F83634"/>
    <w:rsid w:val="00F85E43"/>
    <w:rsid w:val="00F92AFF"/>
    <w:rsid w:val="00F93189"/>
    <w:rsid w:val="00F97069"/>
    <w:rsid w:val="00FA10A4"/>
    <w:rsid w:val="00FA3FBD"/>
    <w:rsid w:val="00FA46A9"/>
    <w:rsid w:val="00FA6F72"/>
    <w:rsid w:val="00FA7D34"/>
    <w:rsid w:val="00FB0FBA"/>
    <w:rsid w:val="00FB2A69"/>
    <w:rsid w:val="00FB2C1F"/>
    <w:rsid w:val="00FB2F1B"/>
    <w:rsid w:val="00FB6DCF"/>
    <w:rsid w:val="00FB7894"/>
    <w:rsid w:val="00FC0626"/>
    <w:rsid w:val="00FC0634"/>
    <w:rsid w:val="00FC1DEC"/>
    <w:rsid w:val="00FC30EA"/>
    <w:rsid w:val="00FC62AE"/>
    <w:rsid w:val="00FD2A89"/>
    <w:rsid w:val="00FE22AE"/>
    <w:rsid w:val="00FE3AD7"/>
    <w:rsid w:val="00FE716A"/>
    <w:rsid w:val="00FE7735"/>
    <w:rsid w:val="00FF0A71"/>
    <w:rsid w:val="00FF1386"/>
    <w:rsid w:val="00FF13F2"/>
    <w:rsid w:val="00FF2000"/>
    <w:rsid w:val="00FF2F8F"/>
    <w:rsid w:val="00FF4154"/>
    <w:rsid w:val="00FF427B"/>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6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48BE"/>
    <w:pPr>
      <w:numPr>
        <w:numId w:val="1"/>
      </w:numPr>
      <w:pBdr>
        <w:top w:val="nil"/>
        <w:left w:val="nil"/>
        <w:bottom w:val="nil"/>
        <w:right w:val="nil"/>
        <w:between w:val="nil"/>
        <w:bar w:val="nil"/>
      </w:pBdr>
      <w:tabs>
        <w:tab w:val="left" w:pos="360"/>
      </w:tabs>
      <w:suppressAutoHyphens/>
      <w:ind w:right="720"/>
      <w:jc w:val="both"/>
      <w:outlineLvl w:val="0"/>
    </w:pPr>
    <w:rPr>
      <w:rFonts w:ascii="Cambria" w:eastAsia="Cambria" w:hAnsi="Cambria" w:cs="Arial"/>
      <w:b/>
      <w:color w:val="000000"/>
      <w:sz w:val="20"/>
      <w:szCs w:val="20"/>
      <w:u w:color="000000"/>
      <w:bdr w:val="nil"/>
      <w:shd w:val="clear" w:color="auto" w:fill="FCFCFC"/>
      <w:lang w:val="es-ES_tradnl" w:eastAsia="es-ES"/>
    </w:rPr>
  </w:style>
  <w:style w:type="paragraph" w:styleId="Heading2">
    <w:name w:val="heading 2"/>
    <w:basedOn w:val="ListParagraph"/>
    <w:next w:val="Normal"/>
    <w:link w:val="Heading2Char"/>
    <w:uiPriority w:val="9"/>
    <w:unhideWhenUsed/>
    <w:qFormat/>
    <w:rsid w:val="003448BE"/>
    <w:pPr>
      <w:numPr>
        <w:numId w:val="5"/>
      </w:numPr>
      <w:outlineLvl w:val="1"/>
    </w:pPr>
    <w:rPr>
      <w:b/>
      <w:sz w:val="20"/>
      <w:szCs w:val="20"/>
      <w:lang w:val="es-ES_tradnl"/>
    </w:rPr>
  </w:style>
  <w:style w:type="paragraph" w:styleId="Heading3">
    <w:name w:val="heading 3"/>
    <w:basedOn w:val="Normal"/>
    <w:next w:val="Normal"/>
    <w:link w:val="Heading3Char"/>
    <w:uiPriority w:val="9"/>
    <w:unhideWhenUsed/>
    <w:qFormat/>
    <w:rsid w:val="00D72067"/>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BE"/>
    <w:rPr>
      <w:rFonts w:ascii="Cambria" w:eastAsia="Cambria" w:hAnsi="Cambria" w:cs="Arial"/>
      <w:b/>
      <w:color w:val="000000"/>
      <w:sz w:val="20"/>
      <w:szCs w:val="20"/>
      <w:u w:color="000000"/>
      <w:bdr w:val="nil"/>
      <w:lang w:val="es-ES_tradnl" w:eastAsia="es-ES"/>
    </w:rPr>
  </w:style>
  <w:style w:type="paragraph" w:styleId="Footer">
    <w:name w:val="footer"/>
    <w:link w:val="FooterChar"/>
    <w:uiPriority w:val="99"/>
    <w:rsid w:val="009F3A2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9F3A2C"/>
    <w:rPr>
      <w:rFonts w:ascii="Cambria" w:eastAsia="Cambria" w:hAnsi="Cambria" w:cs="Cambria"/>
      <w:color w:val="000000"/>
      <w:sz w:val="24"/>
      <w:szCs w:val="24"/>
      <w:u w:color="000000"/>
      <w:bdr w:val="nil"/>
      <w:lang w:eastAsia="es-ES"/>
    </w:rPr>
  </w:style>
  <w:style w:type="paragraph" w:styleId="ListParagraph">
    <w:name w:val="List Paragraph"/>
    <w:aliases w:val="Párrafo de lista1,List Paragraph1,Colorful List - Accent 11,List Paragraph11,List Paragraph2,Lista vistosa - Énfasis 11,Subtle Emphasis1,Footnote1"/>
    <w:link w:val="ListParagraphChar"/>
    <w:uiPriority w:val="34"/>
    <w:qFormat/>
    <w:rsid w:val="009F3A2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9F3A2C"/>
    <w:pPr>
      <w:widowControl w:val="0"/>
      <w:tabs>
        <w:tab w:val="center" w:pos="4320"/>
        <w:tab w:val="right" w:pos="8640"/>
      </w:tabs>
      <w:snapToGrid w:val="0"/>
    </w:pPr>
    <w:rPr>
      <w:rFonts w:ascii="Univers" w:hAnsi="Univers" w:cs="Univers"/>
      <w:lang w:val="es-ES"/>
    </w:rPr>
  </w:style>
  <w:style w:type="character" w:customStyle="1" w:styleId="HeaderChar">
    <w:name w:val="Header Char"/>
    <w:aliases w:val="encabezado Char"/>
    <w:basedOn w:val="DefaultParagraphFont"/>
    <w:link w:val="Header"/>
    <w:rsid w:val="009F3A2C"/>
    <w:rPr>
      <w:rFonts w:ascii="Univers" w:eastAsia="Times New Roman" w:hAnsi="Univers" w:cs="Univers"/>
      <w:sz w:val="24"/>
      <w:szCs w:val="24"/>
    </w:rPr>
  </w:style>
  <w:style w:type="character" w:styleId="PageNumber">
    <w:name w:val="page number"/>
    <w:basedOn w:val="DefaultParagraphFont"/>
    <w:rsid w:val="009F3A2C"/>
  </w:style>
  <w:style w:type="table" w:styleId="TableGrid">
    <w:name w:val="Table Grid"/>
    <w:basedOn w:val="TableNormal"/>
    <w:uiPriority w:val="39"/>
    <w:rsid w:val="0091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qFormat/>
    <w:rsid w:val="00160BD8"/>
    <w:pPr>
      <w:pBdr>
        <w:top w:val="nil"/>
        <w:left w:val="nil"/>
        <w:bottom w:val="nil"/>
        <w:right w:val="nil"/>
        <w:between w:val="nil"/>
        <w:bar w:val="nil"/>
      </w:pBdr>
    </w:pPr>
    <w:rPr>
      <w:rFonts w:eastAsia="Arial Unicode MS"/>
      <w:sz w:val="20"/>
      <w:szCs w:val="20"/>
      <w:bdr w:val="nil"/>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160BD8"/>
    <w:rPr>
      <w:rFonts w:ascii="Times New Roman" w:eastAsia="Arial Unicode MS" w:hAnsi="Times New Roman" w:cs="Times New Roman"/>
      <w:sz w:val="20"/>
      <w:szCs w:val="20"/>
      <w:bdr w:val="nil"/>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160BD8"/>
    <w:rPr>
      <w:vertAlign w:val="superscript"/>
    </w:rPr>
  </w:style>
  <w:style w:type="paragraph" w:styleId="TOCHeading">
    <w:name w:val="TOC Heading"/>
    <w:basedOn w:val="Heading1"/>
    <w:next w:val="Normal"/>
    <w:uiPriority w:val="39"/>
    <w:unhideWhenUsed/>
    <w:qFormat/>
    <w:rsid w:val="003663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s-MX" w:eastAsia="es-MX"/>
    </w:rPr>
  </w:style>
  <w:style w:type="paragraph" w:styleId="TOC1">
    <w:name w:val="toc 1"/>
    <w:basedOn w:val="Normal"/>
    <w:next w:val="Normal"/>
    <w:autoRedefine/>
    <w:uiPriority w:val="39"/>
    <w:unhideWhenUsed/>
    <w:rsid w:val="009B181A"/>
    <w:pPr>
      <w:pBdr>
        <w:top w:val="nil"/>
        <w:left w:val="nil"/>
        <w:bottom w:val="nil"/>
        <w:right w:val="nil"/>
        <w:between w:val="nil"/>
        <w:bar w:val="nil"/>
      </w:pBdr>
      <w:tabs>
        <w:tab w:val="left" w:pos="480"/>
        <w:tab w:val="right" w:leader="dot" w:pos="9350"/>
      </w:tabs>
      <w:spacing w:before="120" w:after="120"/>
    </w:pPr>
    <w:rPr>
      <w:rFonts w:ascii="Cambria" w:eastAsia="Cambria" w:hAnsi="Cambria" w:cs="Arial"/>
      <w:b/>
      <w:noProof/>
      <w:sz w:val="20"/>
      <w:szCs w:val="20"/>
      <w:bdr w:val="nil"/>
      <w:lang w:val="es-ES_tradnl" w:eastAsia="es-ES"/>
    </w:rPr>
  </w:style>
  <w:style w:type="paragraph" w:styleId="TOC2">
    <w:name w:val="toc 2"/>
    <w:basedOn w:val="Normal"/>
    <w:next w:val="Normal"/>
    <w:autoRedefine/>
    <w:uiPriority w:val="39"/>
    <w:unhideWhenUsed/>
    <w:rsid w:val="00EF0A92"/>
    <w:pPr>
      <w:pBdr>
        <w:top w:val="nil"/>
        <w:left w:val="nil"/>
        <w:bottom w:val="nil"/>
        <w:right w:val="nil"/>
        <w:between w:val="nil"/>
        <w:bar w:val="nil"/>
      </w:pBdr>
      <w:tabs>
        <w:tab w:val="right" w:leader="dot" w:pos="9350"/>
      </w:tabs>
      <w:spacing w:before="120"/>
      <w:ind w:left="240"/>
    </w:pPr>
    <w:rPr>
      <w:rFonts w:ascii="Cambria" w:eastAsia="Arial Unicode MS" w:hAnsi="Cambria" w:cstheme="minorHAnsi"/>
      <w:b/>
      <w:bCs/>
      <w:noProof/>
      <w:sz w:val="20"/>
      <w:szCs w:val="20"/>
      <w:bdr w:val="nil"/>
      <w:lang w:val="es-AR"/>
    </w:rPr>
  </w:style>
  <w:style w:type="paragraph" w:styleId="TOC3">
    <w:name w:val="toc 3"/>
    <w:basedOn w:val="Normal"/>
    <w:next w:val="Normal"/>
    <w:autoRedefine/>
    <w:uiPriority w:val="39"/>
    <w:unhideWhenUsed/>
    <w:rsid w:val="00366378"/>
    <w:pPr>
      <w:pBdr>
        <w:top w:val="nil"/>
        <w:left w:val="nil"/>
        <w:bottom w:val="nil"/>
        <w:right w:val="nil"/>
        <w:between w:val="nil"/>
        <w:bar w:val="nil"/>
      </w:pBdr>
      <w:ind w:left="480"/>
    </w:pPr>
    <w:rPr>
      <w:rFonts w:asciiTheme="minorHAnsi" w:eastAsia="Arial Unicode MS" w:hAnsiTheme="minorHAnsi" w:cstheme="minorHAnsi"/>
      <w:sz w:val="20"/>
      <w:szCs w:val="20"/>
      <w:bdr w:val="nil"/>
      <w:lang w:val="es-ES"/>
    </w:rPr>
  </w:style>
  <w:style w:type="character" w:styleId="Hyperlink">
    <w:name w:val="Hyperlink"/>
    <w:basedOn w:val="DefaultParagraphFont"/>
    <w:uiPriority w:val="99"/>
    <w:unhideWhenUsed/>
    <w:rsid w:val="00366378"/>
    <w:rPr>
      <w:color w:val="0563C1" w:themeColor="hyperlink"/>
      <w:u w:val="single"/>
    </w:rPr>
  </w:style>
  <w:style w:type="paragraph" w:styleId="TOC4">
    <w:name w:val="toc 4"/>
    <w:basedOn w:val="Normal"/>
    <w:next w:val="Normal"/>
    <w:autoRedefine/>
    <w:uiPriority w:val="39"/>
    <w:unhideWhenUsed/>
    <w:rsid w:val="00366378"/>
    <w:pPr>
      <w:pBdr>
        <w:top w:val="nil"/>
        <w:left w:val="nil"/>
        <w:bottom w:val="nil"/>
        <w:right w:val="nil"/>
        <w:between w:val="nil"/>
        <w:bar w:val="nil"/>
      </w:pBdr>
      <w:ind w:left="720"/>
    </w:pPr>
    <w:rPr>
      <w:rFonts w:asciiTheme="minorHAnsi" w:eastAsia="Arial Unicode MS" w:hAnsiTheme="minorHAnsi" w:cstheme="minorHAnsi"/>
      <w:sz w:val="20"/>
      <w:szCs w:val="20"/>
      <w:bdr w:val="nil"/>
      <w:lang w:val="es-ES"/>
    </w:rPr>
  </w:style>
  <w:style w:type="paragraph" w:styleId="TOC5">
    <w:name w:val="toc 5"/>
    <w:basedOn w:val="Normal"/>
    <w:next w:val="Normal"/>
    <w:autoRedefine/>
    <w:uiPriority w:val="39"/>
    <w:unhideWhenUsed/>
    <w:rsid w:val="00366378"/>
    <w:pPr>
      <w:pBdr>
        <w:top w:val="nil"/>
        <w:left w:val="nil"/>
        <w:bottom w:val="nil"/>
        <w:right w:val="nil"/>
        <w:between w:val="nil"/>
        <w:bar w:val="nil"/>
      </w:pBdr>
      <w:ind w:left="960"/>
    </w:pPr>
    <w:rPr>
      <w:rFonts w:asciiTheme="minorHAnsi" w:eastAsia="Arial Unicode MS" w:hAnsiTheme="minorHAnsi" w:cstheme="minorHAnsi"/>
      <w:sz w:val="20"/>
      <w:szCs w:val="20"/>
      <w:bdr w:val="nil"/>
      <w:lang w:val="es-ES"/>
    </w:rPr>
  </w:style>
  <w:style w:type="paragraph" w:styleId="TOC6">
    <w:name w:val="toc 6"/>
    <w:basedOn w:val="Normal"/>
    <w:next w:val="Normal"/>
    <w:autoRedefine/>
    <w:uiPriority w:val="39"/>
    <w:unhideWhenUsed/>
    <w:rsid w:val="00366378"/>
    <w:pPr>
      <w:pBdr>
        <w:top w:val="nil"/>
        <w:left w:val="nil"/>
        <w:bottom w:val="nil"/>
        <w:right w:val="nil"/>
        <w:between w:val="nil"/>
        <w:bar w:val="nil"/>
      </w:pBdr>
      <w:ind w:left="1200"/>
    </w:pPr>
    <w:rPr>
      <w:rFonts w:asciiTheme="minorHAnsi" w:eastAsia="Arial Unicode MS" w:hAnsiTheme="minorHAnsi" w:cstheme="minorHAnsi"/>
      <w:sz w:val="20"/>
      <w:szCs w:val="20"/>
      <w:bdr w:val="nil"/>
      <w:lang w:val="es-ES"/>
    </w:rPr>
  </w:style>
  <w:style w:type="paragraph" w:styleId="TOC7">
    <w:name w:val="toc 7"/>
    <w:basedOn w:val="Normal"/>
    <w:next w:val="Normal"/>
    <w:autoRedefine/>
    <w:uiPriority w:val="39"/>
    <w:unhideWhenUsed/>
    <w:rsid w:val="00366378"/>
    <w:pPr>
      <w:pBdr>
        <w:top w:val="nil"/>
        <w:left w:val="nil"/>
        <w:bottom w:val="nil"/>
        <w:right w:val="nil"/>
        <w:between w:val="nil"/>
        <w:bar w:val="nil"/>
      </w:pBdr>
      <w:ind w:left="1440"/>
    </w:pPr>
    <w:rPr>
      <w:rFonts w:asciiTheme="minorHAnsi" w:eastAsia="Arial Unicode MS" w:hAnsiTheme="minorHAnsi" w:cstheme="minorHAnsi"/>
      <w:sz w:val="20"/>
      <w:szCs w:val="20"/>
      <w:bdr w:val="nil"/>
      <w:lang w:val="es-ES"/>
    </w:rPr>
  </w:style>
  <w:style w:type="paragraph" w:styleId="TOC8">
    <w:name w:val="toc 8"/>
    <w:basedOn w:val="Normal"/>
    <w:next w:val="Normal"/>
    <w:autoRedefine/>
    <w:uiPriority w:val="39"/>
    <w:unhideWhenUsed/>
    <w:rsid w:val="00366378"/>
    <w:pPr>
      <w:pBdr>
        <w:top w:val="nil"/>
        <w:left w:val="nil"/>
        <w:bottom w:val="nil"/>
        <w:right w:val="nil"/>
        <w:between w:val="nil"/>
        <w:bar w:val="nil"/>
      </w:pBdr>
      <w:ind w:left="1680"/>
    </w:pPr>
    <w:rPr>
      <w:rFonts w:asciiTheme="minorHAnsi" w:eastAsia="Arial Unicode MS" w:hAnsiTheme="minorHAnsi" w:cstheme="minorHAnsi"/>
      <w:sz w:val="20"/>
      <w:szCs w:val="20"/>
      <w:bdr w:val="nil"/>
      <w:lang w:val="es-ES"/>
    </w:rPr>
  </w:style>
  <w:style w:type="paragraph" w:styleId="TOC9">
    <w:name w:val="toc 9"/>
    <w:basedOn w:val="Normal"/>
    <w:next w:val="Normal"/>
    <w:autoRedefine/>
    <w:uiPriority w:val="39"/>
    <w:unhideWhenUsed/>
    <w:rsid w:val="00366378"/>
    <w:pPr>
      <w:pBdr>
        <w:top w:val="nil"/>
        <w:left w:val="nil"/>
        <w:bottom w:val="nil"/>
        <w:right w:val="nil"/>
        <w:between w:val="nil"/>
        <w:bar w:val="nil"/>
      </w:pBdr>
      <w:ind w:left="1920"/>
    </w:pPr>
    <w:rPr>
      <w:rFonts w:asciiTheme="minorHAnsi" w:eastAsia="Arial Unicode MS" w:hAnsiTheme="minorHAnsi" w:cstheme="minorHAnsi"/>
      <w:sz w:val="20"/>
      <w:szCs w:val="20"/>
      <w:bdr w:val="nil"/>
      <w:lang w:val="es-ES"/>
    </w:rPr>
  </w:style>
  <w:style w:type="paragraph" w:styleId="BalloonText">
    <w:name w:val="Balloon Text"/>
    <w:basedOn w:val="Normal"/>
    <w:link w:val="BalloonTextChar"/>
    <w:uiPriority w:val="99"/>
    <w:semiHidden/>
    <w:unhideWhenUsed/>
    <w:rsid w:val="00A53A6B"/>
    <w:rPr>
      <w:sz w:val="18"/>
      <w:szCs w:val="18"/>
    </w:rPr>
  </w:style>
  <w:style w:type="character" w:customStyle="1" w:styleId="BalloonTextChar">
    <w:name w:val="Balloon Text Char"/>
    <w:basedOn w:val="DefaultParagraphFont"/>
    <w:link w:val="BalloonText"/>
    <w:uiPriority w:val="99"/>
    <w:semiHidden/>
    <w:rsid w:val="00A53A6B"/>
    <w:rPr>
      <w:rFonts w:ascii="Times New Roman" w:eastAsia="Arial Unicode MS" w:hAnsi="Times New Roman" w:cs="Times New Roman"/>
      <w:sz w:val="18"/>
      <w:szCs w:val="18"/>
      <w:bdr w:val="nil"/>
      <w:lang w:val="es-ES"/>
    </w:rPr>
  </w:style>
  <w:style w:type="character" w:styleId="CommentReference">
    <w:name w:val="annotation reference"/>
    <w:basedOn w:val="DefaultParagraphFont"/>
    <w:uiPriority w:val="99"/>
    <w:semiHidden/>
    <w:unhideWhenUsed/>
    <w:rsid w:val="00A4524E"/>
    <w:rPr>
      <w:sz w:val="16"/>
      <w:szCs w:val="16"/>
    </w:rPr>
  </w:style>
  <w:style w:type="paragraph" w:styleId="CommentText">
    <w:name w:val="annotation text"/>
    <w:basedOn w:val="Normal"/>
    <w:link w:val="CommentTextChar"/>
    <w:uiPriority w:val="99"/>
    <w:semiHidden/>
    <w:unhideWhenUsed/>
    <w:rsid w:val="00A4524E"/>
    <w:rPr>
      <w:sz w:val="20"/>
      <w:szCs w:val="20"/>
    </w:rPr>
  </w:style>
  <w:style w:type="character" w:customStyle="1" w:styleId="CommentTextChar">
    <w:name w:val="Comment Text Char"/>
    <w:basedOn w:val="DefaultParagraphFont"/>
    <w:link w:val="CommentText"/>
    <w:uiPriority w:val="99"/>
    <w:semiHidden/>
    <w:rsid w:val="00A4524E"/>
    <w:rPr>
      <w:rFonts w:ascii="Times New Roman" w:eastAsia="Arial Unicode MS" w:hAnsi="Times New Roman" w:cs="Times New Roman"/>
      <w:sz w:val="20"/>
      <w:szCs w:val="20"/>
      <w:bdr w:val="nil"/>
      <w:lang w:val="es-ES"/>
    </w:rPr>
  </w:style>
  <w:style w:type="paragraph" w:styleId="CommentSubject">
    <w:name w:val="annotation subject"/>
    <w:basedOn w:val="CommentText"/>
    <w:next w:val="CommentText"/>
    <w:link w:val="CommentSubjectChar"/>
    <w:uiPriority w:val="99"/>
    <w:semiHidden/>
    <w:unhideWhenUsed/>
    <w:rsid w:val="00A4524E"/>
    <w:rPr>
      <w:b/>
      <w:bCs/>
    </w:rPr>
  </w:style>
  <w:style w:type="character" w:customStyle="1" w:styleId="CommentSubjectChar">
    <w:name w:val="Comment Subject Char"/>
    <w:basedOn w:val="CommentTextChar"/>
    <w:link w:val="CommentSubject"/>
    <w:uiPriority w:val="99"/>
    <w:semiHidden/>
    <w:rsid w:val="00A4524E"/>
    <w:rPr>
      <w:rFonts w:ascii="Times New Roman" w:eastAsia="Arial Unicode MS" w:hAnsi="Times New Roman" w:cs="Times New Roman"/>
      <w:b/>
      <w:bCs/>
      <w:sz w:val="20"/>
      <w:szCs w:val="20"/>
      <w:bdr w:val="nil"/>
      <w:lang w:val="es-ES"/>
    </w:rPr>
  </w:style>
  <w:style w:type="paragraph" w:styleId="Revision">
    <w:name w:val="Revision"/>
    <w:hidden/>
    <w:uiPriority w:val="99"/>
    <w:semiHidden/>
    <w:rsid w:val="00A95AE5"/>
    <w:pPr>
      <w:spacing w:after="0" w:line="240" w:lineRule="auto"/>
    </w:pPr>
    <w:rPr>
      <w:rFonts w:ascii="Times New Roman" w:eastAsia="Arial Unicode MS" w:hAnsi="Times New Roman" w:cs="Times New Roman"/>
      <w:sz w:val="24"/>
      <w:szCs w:val="24"/>
      <w:bdr w:val="nil"/>
      <w:lang w:val="es-ES"/>
    </w:rPr>
  </w:style>
  <w:style w:type="paragraph" w:styleId="NoSpacing">
    <w:name w:val="No Spacing"/>
    <w:uiPriority w:val="1"/>
    <w:qFormat/>
    <w:rsid w:val="00F432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
    </w:rPr>
  </w:style>
  <w:style w:type="character" w:customStyle="1" w:styleId="Heading2Char">
    <w:name w:val="Heading 2 Char"/>
    <w:basedOn w:val="DefaultParagraphFont"/>
    <w:link w:val="Heading2"/>
    <w:uiPriority w:val="9"/>
    <w:rsid w:val="003448BE"/>
    <w:rPr>
      <w:rFonts w:ascii="Cambria" w:eastAsia="Cambria" w:hAnsi="Cambria" w:cs="Cambria"/>
      <w:b/>
      <w:color w:val="000000"/>
      <w:sz w:val="20"/>
      <w:szCs w:val="20"/>
      <w:u w:color="000000"/>
      <w:bdr w:val="nil"/>
      <w:lang w:val="es-ES_tradnl" w:eastAsia="es-ES"/>
    </w:rPr>
  </w:style>
  <w:style w:type="character" w:styleId="UnresolvedMention">
    <w:name w:val="Unresolved Mention"/>
    <w:basedOn w:val="DefaultParagraphFont"/>
    <w:uiPriority w:val="99"/>
    <w:semiHidden/>
    <w:unhideWhenUsed/>
    <w:rsid w:val="00D93C68"/>
    <w:rPr>
      <w:color w:val="605E5C"/>
      <w:shd w:val="clear" w:color="auto" w:fill="E1DFDD"/>
    </w:rPr>
  </w:style>
  <w:style w:type="character" w:customStyle="1" w:styleId="Heading3Char">
    <w:name w:val="Heading 3 Char"/>
    <w:basedOn w:val="DefaultParagraphFont"/>
    <w:link w:val="Heading3"/>
    <w:uiPriority w:val="9"/>
    <w:rsid w:val="00D72067"/>
    <w:rPr>
      <w:rFonts w:asciiTheme="majorHAnsi" w:eastAsiaTheme="majorEastAsia" w:hAnsiTheme="majorHAnsi" w:cstheme="majorBidi"/>
      <w:color w:val="1F4D78" w:themeColor="accent1" w:themeShade="7F"/>
      <w:sz w:val="24"/>
      <w:szCs w:val="24"/>
      <w:bdr w:val="nil"/>
      <w:lang w:val="es-ES"/>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34"/>
    <w:locked/>
    <w:rsid w:val="00D72067"/>
    <w:rPr>
      <w:rFonts w:ascii="Cambria" w:eastAsia="Cambria" w:hAnsi="Cambria" w:cs="Cambria"/>
      <w:color w:val="000000"/>
      <w:sz w:val="24"/>
      <w:szCs w:val="24"/>
      <w:u w:color="000000"/>
      <w:bdr w:val="nil"/>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D72067"/>
    <w:pPr>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D72067"/>
    <w:pPr>
      <w:spacing w:before="100" w:beforeAutospacing="1" w:after="100" w:afterAutospacing="1"/>
    </w:pPr>
  </w:style>
  <w:style w:type="character" w:styleId="Strong">
    <w:name w:val="Strong"/>
    <w:uiPriority w:val="22"/>
    <w:qFormat/>
    <w:rsid w:val="00D72067"/>
    <w:rPr>
      <w:b/>
      <w:bCs/>
    </w:rPr>
  </w:style>
  <w:style w:type="paragraph" w:styleId="EndnoteText">
    <w:name w:val="endnote text"/>
    <w:basedOn w:val="Normal"/>
    <w:link w:val="EndnoteTextChar"/>
    <w:uiPriority w:val="99"/>
    <w:semiHidden/>
    <w:unhideWhenUsed/>
    <w:rsid w:val="00326700"/>
    <w:rPr>
      <w:sz w:val="20"/>
      <w:szCs w:val="20"/>
    </w:rPr>
  </w:style>
  <w:style w:type="character" w:customStyle="1" w:styleId="EndnoteTextChar">
    <w:name w:val="Endnote Text Char"/>
    <w:basedOn w:val="DefaultParagraphFont"/>
    <w:link w:val="EndnoteText"/>
    <w:uiPriority w:val="99"/>
    <w:semiHidden/>
    <w:rsid w:val="00326700"/>
    <w:rPr>
      <w:rFonts w:ascii="Times New Roman" w:eastAsia="Arial Unicode MS" w:hAnsi="Times New Roman" w:cs="Times New Roman"/>
      <w:sz w:val="20"/>
      <w:szCs w:val="20"/>
      <w:bdr w:val="nil"/>
      <w:lang w:val="es-ES"/>
    </w:rPr>
  </w:style>
  <w:style w:type="character" w:styleId="EndnoteReference">
    <w:name w:val="endnote reference"/>
    <w:basedOn w:val="DefaultParagraphFont"/>
    <w:uiPriority w:val="99"/>
    <w:semiHidden/>
    <w:unhideWhenUsed/>
    <w:rsid w:val="00326700"/>
    <w:rPr>
      <w:vertAlign w:val="superscript"/>
    </w:rPr>
  </w:style>
  <w:style w:type="paragraph" w:customStyle="1" w:styleId="Default">
    <w:name w:val="Default"/>
    <w:rsid w:val="00315D0A"/>
    <w:pPr>
      <w:autoSpaceDE w:val="0"/>
      <w:autoSpaceDN w:val="0"/>
      <w:adjustRightInd w:val="0"/>
      <w:spacing w:after="0" w:line="240" w:lineRule="auto"/>
    </w:pPr>
    <w:rPr>
      <w:rFonts w:ascii="Cambria" w:hAnsi="Cambria" w:cs="Cambria"/>
      <w:color w:val="000000"/>
      <w:sz w:val="24"/>
      <w:szCs w:val="24"/>
      <w:lang w:val="es-AR"/>
    </w:rPr>
  </w:style>
  <w:style w:type="character" w:customStyle="1" w:styleId="cf01">
    <w:name w:val="cf01"/>
    <w:basedOn w:val="DefaultParagraphFont"/>
    <w:rsid w:val="0046163F"/>
    <w:rPr>
      <w:rFonts w:ascii="Segoe UI" w:hAnsi="Segoe UI" w:cs="Segoe UI" w:hint="default"/>
      <w:sz w:val="18"/>
      <w:szCs w:val="18"/>
    </w:rPr>
  </w:style>
  <w:style w:type="paragraph" w:customStyle="1" w:styleId="parrafos">
    <w:name w:val="parrafos"/>
    <w:basedOn w:val="Normal"/>
    <w:link w:val="parrafosChar"/>
    <w:qFormat/>
    <w:rsid w:val="00C61760"/>
    <w:pPr>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C61760"/>
    <w:rPr>
      <w:rFonts w:ascii="Cambria" w:eastAsia="Arial Unicode MS" w:hAnsi="Cambria" w:cs="Times New Roman"/>
      <w:color w:val="000000"/>
      <w:sz w:val="20"/>
      <w:szCs w:val="20"/>
      <w:bdr w:val="nil"/>
      <w:lang w:val="es-V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070FDC"/>
    <w:pPr>
      <w:spacing w:before="200" w:after="160" w:line="240" w:lineRule="exact"/>
    </w:pPr>
    <w:rPr>
      <w:rFonts w:ascii="Verdana" w:eastAsia="Batang" w:hAnsi="Verdana"/>
      <w:sz w:val="22"/>
      <w:vertAlign w:val="superscript"/>
      <w:lang w:val="es-ES_tradnl" w:eastAsia="es-ES"/>
    </w:rPr>
  </w:style>
  <w:style w:type="paragraph" w:styleId="BodyTextIndent">
    <w:name w:val="Body Text Indent"/>
    <w:link w:val="BodyTextIndentChar"/>
    <w:rsid w:val="001C7829"/>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1C7829"/>
    <w:rPr>
      <w:rFonts w:ascii="Times New Roman" w:eastAsia="Times New Roman" w:hAnsi="Times New Roman" w:cs="Times New Roman"/>
      <w:color w:val="000000"/>
      <w:sz w:val="24"/>
      <w:szCs w:val="24"/>
      <w:u w:color="000000"/>
      <w:bdr w:val="nil"/>
      <w:lang w:val="es-ES_tradnl" w:eastAsia="es-ES"/>
    </w:rPr>
  </w:style>
  <w:style w:type="numbering" w:customStyle="1" w:styleId="List1">
    <w:name w:val="List 1"/>
    <w:basedOn w:val="NoList"/>
    <w:rsid w:val="001C782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089">
      <w:bodyDiv w:val="1"/>
      <w:marLeft w:val="0"/>
      <w:marRight w:val="0"/>
      <w:marTop w:val="0"/>
      <w:marBottom w:val="0"/>
      <w:divBdr>
        <w:top w:val="none" w:sz="0" w:space="0" w:color="auto"/>
        <w:left w:val="none" w:sz="0" w:space="0" w:color="auto"/>
        <w:bottom w:val="none" w:sz="0" w:space="0" w:color="auto"/>
        <w:right w:val="none" w:sz="0" w:space="0" w:color="auto"/>
      </w:divBdr>
    </w:div>
    <w:div w:id="58331107">
      <w:bodyDiv w:val="1"/>
      <w:marLeft w:val="0"/>
      <w:marRight w:val="0"/>
      <w:marTop w:val="0"/>
      <w:marBottom w:val="0"/>
      <w:divBdr>
        <w:top w:val="none" w:sz="0" w:space="0" w:color="auto"/>
        <w:left w:val="none" w:sz="0" w:space="0" w:color="auto"/>
        <w:bottom w:val="none" w:sz="0" w:space="0" w:color="auto"/>
        <w:right w:val="none" w:sz="0" w:space="0" w:color="auto"/>
      </w:divBdr>
    </w:div>
    <w:div w:id="87970463">
      <w:bodyDiv w:val="1"/>
      <w:marLeft w:val="0"/>
      <w:marRight w:val="0"/>
      <w:marTop w:val="0"/>
      <w:marBottom w:val="0"/>
      <w:divBdr>
        <w:top w:val="none" w:sz="0" w:space="0" w:color="auto"/>
        <w:left w:val="none" w:sz="0" w:space="0" w:color="auto"/>
        <w:bottom w:val="none" w:sz="0" w:space="0" w:color="auto"/>
        <w:right w:val="none" w:sz="0" w:space="0" w:color="auto"/>
      </w:divBdr>
    </w:div>
    <w:div w:id="154615787">
      <w:bodyDiv w:val="1"/>
      <w:marLeft w:val="0"/>
      <w:marRight w:val="0"/>
      <w:marTop w:val="0"/>
      <w:marBottom w:val="0"/>
      <w:divBdr>
        <w:top w:val="none" w:sz="0" w:space="0" w:color="auto"/>
        <w:left w:val="none" w:sz="0" w:space="0" w:color="auto"/>
        <w:bottom w:val="none" w:sz="0" w:space="0" w:color="auto"/>
        <w:right w:val="none" w:sz="0" w:space="0" w:color="auto"/>
      </w:divBdr>
    </w:div>
    <w:div w:id="180896093">
      <w:bodyDiv w:val="1"/>
      <w:marLeft w:val="0"/>
      <w:marRight w:val="0"/>
      <w:marTop w:val="0"/>
      <w:marBottom w:val="0"/>
      <w:divBdr>
        <w:top w:val="none" w:sz="0" w:space="0" w:color="auto"/>
        <w:left w:val="none" w:sz="0" w:space="0" w:color="auto"/>
        <w:bottom w:val="none" w:sz="0" w:space="0" w:color="auto"/>
        <w:right w:val="none" w:sz="0" w:space="0" w:color="auto"/>
      </w:divBdr>
      <w:divsChild>
        <w:div w:id="1848788630">
          <w:marLeft w:val="0"/>
          <w:marRight w:val="0"/>
          <w:marTop w:val="0"/>
          <w:marBottom w:val="0"/>
          <w:divBdr>
            <w:top w:val="none" w:sz="0" w:space="0" w:color="auto"/>
            <w:left w:val="none" w:sz="0" w:space="0" w:color="auto"/>
            <w:bottom w:val="none" w:sz="0" w:space="0" w:color="auto"/>
            <w:right w:val="none" w:sz="0" w:space="0" w:color="auto"/>
          </w:divBdr>
          <w:divsChild>
            <w:div w:id="673343291">
              <w:marLeft w:val="0"/>
              <w:marRight w:val="0"/>
              <w:marTop w:val="0"/>
              <w:marBottom w:val="0"/>
              <w:divBdr>
                <w:top w:val="none" w:sz="0" w:space="0" w:color="auto"/>
                <w:left w:val="none" w:sz="0" w:space="0" w:color="auto"/>
                <w:bottom w:val="none" w:sz="0" w:space="0" w:color="auto"/>
                <w:right w:val="none" w:sz="0" w:space="0" w:color="auto"/>
              </w:divBdr>
              <w:divsChild>
                <w:div w:id="884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38">
      <w:bodyDiv w:val="1"/>
      <w:marLeft w:val="0"/>
      <w:marRight w:val="0"/>
      <w:marTop w:val="0"/>
      <w:marBottom w:val="0"/>
      <w:divBdr>
        <w:top w:val="none" w:sz="0" w:space="0" w:color="auto"/>
        <w:left w:val="none" w:sz="0" w:space="0" w:color="auto"/>
        <w:bottom w:val="none" w:sz="0" w:space="0" w:color="auto"/>
        <w:right w:val="none" w:sz="0" w:space="0" w:color="auto"/>
      </w:divBdr>
    </w:div>
    <w:div w:id="238756606">
      <w:bodyDiv w:val="1"/>
      <w:marLeft w:val="0"/>
      <w:marRight w:val="0"/>
      <w:marTop w:val="0"/>
      <w:marBottom w:val="0"/>
      <w:divBdr>
        <w:top w:val="none" w:sz="0" w:space="0" w:color="auto"/>
        <w:left w:val="none" w:sz="0" w:space="0" w:color="auto"/>
        <w:bottom w:val="none" w:sz="0" w:space="0" w:color="auto"/>
        <w:right w:val="none" w:sz="0" w:space="0" w:color="auto"/>
      </w:divBdr>
    </w:div>
    <w:div w:id="311569269">
      <w:bodyDiv w:val="1"/>
      <w:marLeft w:val="0"/>
      <w:marRight w:val="0"/>
      <w:marTop w:val="0"/>
      <w:marBottom w:val="0"/>
      <w:divBdr>
        <w:top w:val="none" w:sz="0" w:space="0" w:color="auto"/>
        <w:left w:val="none" w:sz="0" w:space="0" w:color="auto"/>
        <w:bottom w:val="none" w:sz="0" w:space="0" w:color="auto"/>
        <w:right w:val="none" w:sz="0" w:space="0" w:color="auto"/>
      </w:divBdr>
    </w:div>
    <w:div w:id="333186203">
      <w:bodyDiv w:val="1"/>
      <w:marLeft w:val="0"/>
      <w:marRight w:val="0"/>
      <w:marTop w:val="0"/>
      <w:marBottom w:val="0"/>
      <w:divBdr>
        <w:top w:val="none" w:sz="0" w:space="0" w:color="auto"/>
        <w:left w:val="none" w:sz="0" w:space="0" w:color="auto"/>
        <w:bottom w:val="none" w:sz="0" w:space="0" w:color="auto"/>
        <w:right w:val="none" w:sz="0" w:space="0" w:color="auto"/>
      </w:divBdr>
    </w:div>
    <w:div w:id="368074310">
      <w:bodyDiv w:val="1"/>
      <w:marLeft w:val="0"/>
      <w:marRight w:val="0"/>
      <w:marTop w:val="0"/>
      <w:marBottom w:val="0"/>
      <w:divBdr>
        <w:top w:val="none" w:sz="0" w:space="0" w:color="auto"/>
        <w:left w:val="none" w:sz="0" w:space="0" w:color="auto"/>
        <w:bottom w:val="none" w:sz="0" w:space="0" w:color="auto"/>
        <w:right w:val="none" w:sz="0" w:space="0" w:color="auto"/>
      </w:divBdr>
    </w:div>
    <w:div w:id="375088073">
      <w:bodyDiv w:val="1"/>
      <w:marLeft w:val="0"/>
      <w:marRight w:val="0"/>
      <w:marTop w:val="0"/>
      <w:marBottom w:val="0"/>
      <w:divBdr>
        <w:top w:val="none" w:sz="0" w:space="0" w:color="auto"/>
        <w:left w:val="none" w:sz="0" w:space="0" w:color="auto"/>
        <w:bottom w:val="none" w:sz="0" w:space="0" w:color="auto"/>
        <w:right w:val="none" w:sz="0" w:space="0" w:color="auto"/>
      </w:divBdr>
    </w:div>
    <w:div w:id="603614994">
      <w:bodyDiv w:val="1"/>
      <w:marLeft w:val="0"/>
      <w:marRight w:val="0"/>
      <w:marTop w:val="0"/>
      <w:marBottom w:val="0"/>
      <w:divBdr>
        <w:top w:val="none" w:sz="0" w:space="0" w:color="auto"/>
        <w:left w:val="none" w:sz="0" w:space="0" w:color="auto"/>
        <w:bottom w:val="none" w:sz="0" w:space="0" w:color="auto"/>
        <w:right w:val="none" w:sz="0" w:space="0" w:color="auto"/>
      </w:divBdr>
    </w:div>
    <w:div w:id="732656008">
      <w:bodyDiv w:val="1"/>
      <w:marLeft w:val="0"/>
      <w:marRight w:val="0"/>
      <w:marTop w:val="0"/>
      <w:marBottom w:val="0"/>
      <w:divBdr>
        <w:top w:val="none" w:sz="0" w:space="0" w:color="auto"/>
        <w:left w:val="none" w:sz="0" w:space="0" w:color="auto"/>
        <w:bottom w:val="none" w:sz="0" w:space="0" w:color="auto"/>
        <w:right w:val="none" w:sz="0" w:space="0" w:color="auto"/>
      </w:divBdr>
    </w:div>
    <w:div w:id="751656490">
      <w:bodyDiv w:val="1"/>
      <w:marLeft w:val="0"/>
      <w:marRight w:val="0"/>
      <w:marTop w:val="0"/>
      <w:marBottom w:val="0"/>
      <w:divBdr>
        <w:top w:val="none" w:sz="0" w:space="0" w:color="auto"/>
        <w:left w:val="none" w:sz="0" w:space="0" w:color="auto"/>
        <w:bottom w:val="none" w:sz="0" w:space="0" w:color="auto"/>
        <w:right w:val="none" w:sz="0" w:space="0" w:color="auto"/>
      </w:divBdr>
    </w:div>
    <w:div w:id="805316979">
      <w:bodyDiv w:val="1"/>
      <w:marLeft w:val="0"/>
      <w:marRight w:val="0"/>
      <w:marTop w:val="0"/>
      <w:marBottom w:val="0"/>
      <w:divBdr>
        <w:top w:val="none" w:sz="0" w:space="0" w:color="auto"/>
        <w:left w:val="none" w:sz="0" w:space="0" w:color="auto"/>
        <w:bottom w:val="none" w:sz="0" w:space="0" w:color="auto"/>
        <w:right w:val="none" w:sz="0" w:space="0" w:color="auto"/>
      </w:divBdr>
    </w:div>
    <w:div w:id="814879497">
      <w:bodyDiv w:val="1"/>
      <w:marLeft w:val="0"/>
      <w:marRight w:val="0"/>
      <w:marTop w:val="0"/>
      <w:marBottom w:val="0"/>
      <w:divBdr>
        <w:top w:val="none" w:sz="0" w:space="0" w:color="auto"/>
        <w:left w:val="none" w:sz="0" w:space="0" w:color="auto"/>
        <w:bottom w:val="none" w:sz="0" w:space="0" w:color="auto"/>
        <w:right w:val="none" w:sz="0" w:space="0" w:color="auto"/>
      </w:divBdr>
    </w:div>
    <w:div w:id="823280798">
      <w:bodyDiv w:val="1"/>
      <w:marLeft w:val="0"/>
      <w:marRight w:val="0"/>
      <w:marTop w:val="0"/>
      <w:marBottom w:val="0"/>
      <w:divBdr>
        <w:top w:val="none" w:sz="0" w:space="0" w:color="auto"/>
        <w:left w:val="none" w:sz="0" w:space="0" w:color="auto"/>
        <w:bottom w:val="none" w:sz="0" w:space="0" w:color="auto"/>
        <w:right w:val="none" w:sz="0" w:space="0" w:color="auto"/>
      </w:divBdr>
    </w:div>
    <w:div w:id="839731173">
      <w:bodyDiv w:val="1"/>
      <w:marLeft w:val="0"/>
      <w:marRight w:val="0"/>
      <w:marTop w:val="0"/>
      <w:marBottom w:val="0"/>
      <w:divBdr>
        <w:top w:val="none" w:sz="0" w:space="0" w:color="auto"/>
        <w:left w:val="none" w:sz="0" w:space="0" w:color="auto"/>
        <w:bottom w:val="none" w:sz="0" w:space="0" w:color="auto"/>
        <w:right w:val="none" w:sz="0" w:space="0" w:color="auto"/>
      </w:divBdr>
      <w:divsChild>
        <w:div w:id="1148203446">
          <w:marLeft w:val="0"/>
          <w:marRight w:val="0"/>
          <w:marTop w:val="0"/>
          <w:marBottom w:val="0"/>
          <w:divBdr>
            <w:top w:val="none" w:sz="0" w:space="0" w:color="auto"/>
            <w:left w:val="none" w:sz="0" w:space="0" w:color="auto"/>
            <w:bottom w:val="none" w:sz="0" w:space="0" w:color="auto"/>
            <w:right w:val="none" w:sz="0" w:space="0" w:color="auto"/>
          </w:divBdr>
          <w:divsChild>
            <w:div w:id="597375008">
              <w:marLeft w:val="0"/>
              <w:marRight w:val="0"/>
              <w:marTop w:val="0"/>
              <w:marBottom w:val="0"/>
              <w:divBdr>
                <w:top w:val="none" w:sz="0" w:space="0" w:color="auto"/>
                <w:left w:val="none" w:sz="0" w:space="0" w:color="auto"/>
                <w:bottom w:val="none" w:sz="0" w:space="0" w:color="auto"/>
                <w:right w:val="none" w:sz="0" w:space="0" w:color="auto"/>
              </w:divBdr>
              <w:divsChild>
                <w:div w:id="10631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1185">
      <w:bodyDiv w:val="1"/>
      <w:marLeft w:val="0"/>
      <w:marRight w:val="0"/>
      <w:marTop w:val="0"/>
      <w:marBottom w:val="0"/>
      <w:divBdr>
        <w:top w:val="none" w:sz="0" w:space="0" w:color="auto"/>
        <w:left w:val="none" w:sz="0" w:space="0" w:color="auto"/>
        <w:bottom w:val="none" w:sz="0" w:space="0" w:color="auto"/>
        <w:right w:val="none" w:sz="0" w:space="0" w:color="auto"/>
      </w:divBdr>
    </w:div>
    <w:div w:id="851260790">
      <w:bodyDiv w:val="1"/>
      <w:marLeft w:val="0"/>
      <w:marRight w:val="0"/>
      <w:marTop w:val="0"/>
      <w:marBottom w:val="0"/>
      <w:divBdr>
        <w:top w:val="none" w:sz="0" w:space="0" w:color="auto"/>
        <w:left w:val="none" w:sz="0" w:space="0" w:color="auto"/>
        <w:bottom w:val="none" w:sz="0" w:space="0" w:color="auto"/>
        <w:right w:val="none" w:sz="0" w:space="0" w:color="auto"/>
      </w:divBdr>
    </w:div>
    <w:div w:id="869225095">
      <w:bodyDiv w:val="1"/>
      <w:marLeft w:val="0"/>
      <w:marRight w:val="0"/>
      <w:marTop w:val="0"/>
      <w:marBottom w:val="0"/>
      <w:divBdr>
        <w:top w:val="none" w:sz="0" w:space="0" w:color="auto"/>
        <w:left w:val="none" w:sz="0" w:space="0" w:color="auto"/>
        <w:bottom w:val="none" w:sz="0" w:space="0" w:color="auto"/>
        <w:right w:val="none" w:sz="0" w:space="0" w:color="auto"/>
      </w:divBdr>
    </w:div>
    <w:div w:id="904072687">
      <w:bodyDiv w:val="1"/>
      <w:marLeft w:val="0"/>
      <w:marRight w:val="0"/>
      <w:marTop w:val="0"/>
      <w:marBottom w:val="0"/>
      <w:divBdr>
        <w:top w:val="none" w:sz="0" w:space="0" w:color="auto"/>
        <w:left w:val="none" w:sz="0" w:space="0" w:color="auto"/>
        <w:bottom w:val="none" w:sz="0" w:space="0" w:color="auto"/>
        <w:right w:val="none" w:sz="0" w:space="0" w:color="auto"/>
      </w:divBdr>
    </w:div>
    <w:div w:id="998771045">
      <w:bodyDiv w:val="1"/>
      <w:marLeft w:val="0"/>
      <w:marRight w:val="0"/>
      <w:marTop w:val="0"/>
      <w:marBottom w:val="0"/>
      <w:divBdr>
        <w:top w:val="none" w:sz="0" w:space="0" w:color="auto"/>
        <w:left w:val="none" w:sz="0" w:space="0" w:color="auto"/>
        <w:bottom w:val="none" w:sz="0" w:space="0" w:color="auto"/>
        <w:right w:val="none" w:sz="0" w:space="0" w:color="auto"/>
      </w:divBdr>
      <w:divsChild>
        <w:div w:id="1694763871">
          <w:marLeft w:val="0"/>
          <w:marRight w:val="0"/>
          <w:marTop w:val="0"/>
          <w:marBottom w:val="0"/>
          <w:divBdr>
            <w:top w:val="none" w:sz="0" w:space="0" w:color="auto"/>
            <w:left w:val="none" w:sz="0" w:space="0" w:color="auto"/>
            <w:bottom w:val="none" w:sz="0" w:space="0" w:color="auto"/>
            <w:right w:val="none" w:sz="0" w:space="0" w:color="auto"/>
          </w:divBdr>
          <w:divsChild>
            <w:div w:id="1979725903">
              <w:marLeft w:val="0"/>
              <w:marRight w:val="0"/>
              <w:marTop w:val="0"/>
              <w:marBottom w:val="0"/>
              <w:divBdr>
                <w:top w:val="none" w:sz="0" w:space="0" w:color="auto"/>
                <w:left w:val="none" w:sz="0" w:space="0" w:color="auto"/>
                <w:bottom w:val="none" w:sz="0" w:space="0" w:color="auto"/>
                <w:right w:val="none" w:sz="0" w:space="0" w:color="auto"/>
              </w:divBdr>
              <w:divsChild>
                <w:div w:id="1763408471">
                  <w:marLeft w:val="0"/>
                  <w:marRight w:val="0"/>
                  <w:marTop w:val="0"/>
                  <w:marBottom w:val="0"/>
                  <w:divBdr>
                    <w:top w:val="none" w:sz="0" w:space="0" w:color="auto"/>
                    <w:left w:val="none" w:sz="0" w:space="0" w:color="auto"/>
                    <w:bottom w:val="none" w:sz="0" w:space="0" w:color="auto"/>
                    <w:right w:val="none" w:sz="0" w:space="0" w:color="auto"/>
                  </w:divBdr>
                </w:div>
              </w:divsChild>
            </w:div>
            <w:div w:id="1109159149">
              <w:marLeft w:val="0"/>
              <w:marRight w:val="0"/>
              <w:marTop w:val="0"/>
              <w:marBottom w:val="0"/>
              <w:divBdr>
                <w:top w:val="none" w:sz="0" w:space="0" w:color="auto"/>
                <w:left w:val="none" w:sz="0" w:space="0" w:color="auto"/>
                <w:bottom w:val="none" w:sz="0" w:space="0" w:color="auto"/>
                <w:right w:val="none" w:sz="0" w:space="0" w:color="auto"/>
              </w:divBdr>
              <w:divsChild>
                <w:div w:id="9054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2126">
      <w:bodyDiv w:val="1"/>
      <w:marLeft w:val="0"/>
      <w:marRight w:val="0"/>
      <w:marTop w:val="0"/>
      <w:marBottom w:val="0"/>
      <w:divBdr>
        <w:top w:val="none" w:sz="0" w:space="0" w:color="auto"/>
        <w:left w:val="none" w:sz="0" w:space="0" w:color="auto"/>
        <w:bottom w:val="none" w:sz="0" w:space="0" w:color="auto"/>
        <w:right w:val="none" w:sz="0" w:space="0" w:color="auto"/>
      </w:divBdr>
    </w:div>
    <w:div w:id="1128158825">
      <w:bodyDiv w:val="1"/>
      <w:marLeft w:val="0"/>
      <w:marRight w:val="0"/>
      <w:marTop w:val="0"/>
      <w:marBottom w:val="0"/>
      <w:divBdr>
        <w:top w:val="none" w:sz="0" w:space="0" w:color="auto"/>
        <w:left w:val="none" w:sz="0" w:space="0" w:color="auto"/>
        <w:bottom w:val="none" w:sz="0" w:space="0" w:color="auto"/>
        <w:right w:val="none" w:sz="0" w:space="0" w:color="auto"/>
      </w:divBdr>
    </w:div>
    <w:div w:id="1176266309">
      <w:bodyDiv w:val="1"/>
      <w:marLeft w:val="0"/>
      <w:marRight w:val="0"/>
      <w:marTop w:val="0"/>
      <w:marBottom w:val="0"/>
      <w:divBdr>
        <w:top w:val="none" w:sz="0" w:space="0" w:color="auto"/>
        <w:left w:val="none" w:sz="0" w:space="0" w:color="auto"/>
        <w:bottom w:val="none" w:sz="0" w:space="0" w:color="auto"/>
        <w:right w:val="none" w:sz="0" w:space="0" w:color="auto"/>
      </w:divBdr>
    </w:div>
    <w:div w:id="1205211188">
      <w:bodyDiv w:val="1"/>
      <w:marLeft w:val="0"/>
      <w:marRight w:val="0"/>
      <w:marTop w:val="0"/>
      <w:marBottom w:val="0"/>
      <w:divBdr>
        <w:top w:val="none" w:sz="0" w:space="0" w:color="auto"/>
        <w:left w:val="none" w:sz="0" w:space="0" w:color="auto"/>
        <w:bottom w:val="none" w:sz="0" w:space="0" w:color="auto"/>
        <w:right w:val="none" w:sz="0" w:space="0" w:color="auto"/>
      </w:divBdr>
    </w:div>
    <w:div w:id="1227572653">
      <w:bodyDiv w:val="1"/>
      <w:marLeft w:val="0"/>
      <w:marRight w:val="0"/>
      <w:marTop w:val="0"/>
      <w:marBottom w:val="0"/>
      <w:divBdr>
        <w:top w:val="none" w:sz="0" w:space="0" w:color="auto"/>
        <w:left w:val="none" w:sz="0" w:space="0" w:color="auto"/>
        <w:bottom w:val="none" w:sz="0" w:space="0" w:color="auto"/>
        <w:right w:val="none" w:sz="0" w:space="0" w:color="auto"/>
      </w:divBdr>
    </w:div>
    <w:div w:id="1233663559">
      <w:bodyDiv w:val="1"/>
      <w:marLeft w:val="0"/>
      <w:marRight w:val="0"/>
      <w:marTop w:val="0"/>
      <w:marBottom w:val="0"/>
      <w:divBdr>
        <w:top w:val="none" w:sz="0" w:space="0" w:color="auto"/>
        <w:left w:val="none" w:sz="0" w:space="0" w:color="auto"/>
        <w:bottom w:val="none" w:sz="0" w:space="0" w:color="auto"/>
        <w:right w:val="none" w:sz="0" w:space="0" w:color="auto"/>
      </w:divBdr>
    </w:div>
    <w:div w:id="1295528914">
      <w:bodyDiv w:val="1"/>
      <w:marLeft w:val="0"/>
      <w:marRight w:val="0"/>
      <w:marTop w:val="0"/>
      <w:marBottom w:val="0"/>
      <w:divBdr>
        <w:top w:val="none" w:sz="0" w:space="0" w:color="auto"/>
        <w:left w:val="none" w:sz="0" w:space="0" w:color="auto"/>
        <w:bottom w:val="none" w:sz="0" w:space="0" w:color="auto"/>
        <w:right w:val="none" w:sz="0" w:space="0" w:color="auto"/>
      </w:divBdr>
    </w:div>
    <w:div w:id="1334720031">
      <w:bodyDiv w:val="1"/>
      <w:marLeft w:val="0"/>
      <w:marRight w:val="0"/>
      <w:marTop w:val="0"/>
      <w:marBottom w:val="0"/>
      <w:divBdr>
        <w:top w:val="none" w:sz="0" w:space="0" w:color="auto"/>
        <w:left w:val="none" w:sz="0" w:space="0" w:color="auto"/>
        <w:bottom w:val="none" w:sz="0" w:space="0" w:color="auto"/>
        <w:right w:val="none" w:sz="0" w:space="0" w:color="auto"/>
      </w:divBdr>
    </w:div>
    <w:div w:id="1361661535">
      <w:bodyDiv w:val="1"/>
      <w:marLeft w:val="0"/>
      <w:marRight w:val="0"/>
      <w:marTop w:val="0"/>
      <w:marBottom w:val="0"/>
      <w:divBdr>
        <w:top w:val="none" w:sz="0" w:space="0" w:color="auto"/>
        <w:left w:val="none" w:sz="0" w:space="0" w:color="auto"/>
        <w:bottom w:val="none" w:sz="0" w:space="0" w:color="auto"/>
        <w:right w:val="none" w:sz="0" w:space="0" w:color="auto"/>
      </w:divBdr>
    </w:div>
    <w:div w:id="1369069771">
      <w:bodyDiv w:val="1"/>
      <w:marLeft w:val="0"/>
      <w:marRight w:val="0"/>
      <w:marTop w:val="0"/>
      <w:marBottom w:val="0"/>
      <w:divBdr>
        <w:top w:val="none" w:sz="0" w:space="0" w:color="auto"/>
        <w:left w:val="none" w:sz="0" w:space="0" w:color="auto"/>
        <w:bottom w:val="none" w:sz="0" w:space="0" w:color="auto"/>
        <w:right w:val="none" w:sz="0" w:space="0" w:color="auto"/>
      </w:divBdr>
    </w:div>
    <w:div w:id="1382171608">
      <w:bodyDiv w:val="1"/>
      <w:marLeft w:val="0"/>
      <w:marRight w:val="0"/>
      <w:marTop w:val="0"/>
      <w:marBottom w:val="0"/>
      <w:divBdr>
        <w:top w:val="none" w:sz="0" w:space="0" w:color="auto"/>
        <w:left w:val="none" w:sz="0" w:space="0" w:color="auto"/>
        <w:bottom w:val="none" w:sz="0" w:space="0" w:color="auto"/>
        <w:right w:val="none" w:sz="0" w:space="0" w:color="auto"/>
      </w:divBdr>
    </w:div>
    <w:div w:id="1390492277">
      <w:bodyDiv w:val="1"/>
      <w:marLeft w:val="0"/>
      <w:marRight w:val="0"/>
      <w:marTop w:val="0"/>
      <w:marBottom w:val="0"/>
      <w:divBdr>
        <w:top w:val="none" w:sz="0" w:space="0" w:color="auto"/>
        <w:left w:val="none" w:sz="0" w:space="0" w:color="auto"/>
        <w:bottom w:val="none" w:sz="0" w:space="0" w:color="auto"/>
        <w:right w:val="none" w:sz="0" w:space="0" w:color="auto"/>
      </w:divBdr>
    </w:div>
    <w:div w:id="1419399109">
      <w:bodyDiv w:val="1"/>
      <w:marLeft w:val="0"/>
      <w:marRight w:val="0"/>
      <w:marTop w:val="0"/>
      <w:marBottom w:val="0"/>
      <w:divBdr>
        <w:top w:val="none" w:sz="0" w:space="0" w:color="auto"/>
        <w:left w:val="none" w:sz="0" w:space="0" w:color="auto"/>
        <w:bottom w:val="none" w:sz="0" w:space="0" w:color="auto"/>
        <w:right w:val="none" w:sz="0" w:space="0" w:color="auto"/>
      </w:divBdr>
      <w:divsChild>
        <w:div w:id="1993951152">
          <w:marLeft w:val="0"/>
          <w:marRight w:val="0"/>
          <w:marTop w:val="0"/>
          <w:marBottom w:val="0"/>
          <w:divBdr>
            <w:top w:val="none" w:sz="0" w:space="0" w:color="auto"/>
            <w:left w:val="none" w:sz="0" w:space="0" w:color="auto"/>
            <w:bottom w:val="none" w:sz="0" w:space="0" w:color="auto"/>
            <w:right w:val="none" w:sz="0" w:space="0" w:color="auto"/>
          </w:divBdr>
          <w:divsChild>
            <w:div w:id="915282545">
              <w:marLeft w:val="0"/>
              <w:marRight w:val="0"/>
              <w:marTop w:val="0"/>
              <w:marBottom w:val="0"/>
              <w:divBdr>
                <w:top w:val="none" w:sz="0" w:space="0" w:color="auto"/>
                <w:left w:val="none" w:sz="0" w:space="0" w:color="auto"/>
                <w:bottom w:val="none" w:sz="0" w:space="0" w:color="auto"/>
                <w:right w:val="none" w:sz="0" w:space="0" w:color="auto"/>
              </w:divBdr>
              <w:divsChild>
                <w:div w:id="9954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5710">
      <w:bodyDiv w:val="1"/>
      <w:marLeft w:val="0"/>
      <w:marRight w:val="0"/>
      <w:marTop w:val="0"/>
      <w:marBottom w:val="0"/>
      <w:divBdr>
        <w:top w:val="none" w:sz="0" w:space="0" w:color="auto"/>
        <w:left w:val="none" w:sz="0" w:space="0" w:color="auto"/>
        <w:bottom w:val="none" w:sz="0" w:space="0" w:color="auto"/>
        <w:right w:val="none" w:sz="0" w:space="0" w:color="auto"/>
      </w:divBdr>
      <w:divsChild>
        <w:div w:id="38674063">
          <w:marLeft w:val="0"/>
          <w:marRight w:val="0"/>
          <w:marTop w:val="0"/>
          <w:marBottom w:val="0"/>
          <w:divBdr>
            <w:top w:val="none" w:sz="0" w:space="0" w:color="auto"/>
            <w:left w:val="none" w:sz="0" w:space="0" w:color="auto"/>
            <w:bottom w:val="none" w:sz="0" w:space="0" w:color="auto"/>
            <w:right w:val="none" w:sz="0" w:space="0" w:color="auto"/>
          </w:divBdr>
          <w:divsChild>
            <w:div w:id="1211116740">
              <w:marLeft w:val="0"/>
              <w:marRight w:val="0"/>
              <w:marTop w:val="0"/>
              <w:marBottom w:val="0"/>
              <w:divBdr>
                <w:top w:val="none" w:sz="0" w:space="0" w:color="auto"/>
                <w:left w:val="none" w:sz="0" w:space="0" w:color="auto"/>
                <w:bottom w:val="none" w:sz="0" w:space="0" w:color="auto"/>
                <w:right w:val="none" w:sz="0" w:space="0" w:color="auto"/>
              </w:divBdr>
              <w:divsChild>
                <w:div w:id="14090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3608">
      <w:bodyDiv w:val="1"/>
      <w:marLeft w:val="0"/>
      <w:marRight w:val="0"/>
      <w:marTop w:val="0"/>
      <w:marBottom w:val="0"/>
      <w:divBdr>
        <w:top w:val="none" w:sz="0" w:space="0" w:color="auto"/>
        <w:left w:val="none" w:sz="0" w:space="0" w:color="auto"/>
        <w:bottom w:val="none" w:sz="0" w:space="0" w:color="auto"/>
        <w:right w:val="none" w:sz="0" w:space="0" w:color="auto"/>
      </w:divBdr>
    </w:div>
    <w:div w:id="1522276451">
      <w:bodyDiv w:val="1"/>
      <w:marLeft w:val="0"/>
      <w:marRight w:val="0"/>
      <w:marTop w:val="0"/>
      <w:marBottom w:val="0"/>
      <w:divBdr>
        <w:top w:val="none" w:sz="0" w:space="0" w:color="auto"/>
        <w:left w:val="none" w:sz="0" w:space="0" w:color="auto"/>
        <w:bottom w:val="none" w:sz="0" w:space="0" w:color="auto"/>
        <w:right w:val="none" w:sz="0" w:space="0" w:color="auto"/>
      </w:divBdr>
    </w:div>
    <w:div w:id="1546601124">
      <w:bodyDiv w:val="1"/>
      <w:marLeft w:val="0"/>
      <w:marRight w:val="0"/>
      <w:marTop w:val="0"/>
      <w:marBottom w:val="0"/>
      <w:divBdr>
        <w:top w:val="none" w:sz="0" w:space="0" w:color="auto"/>
        <w:left w:val="none" w:sz="0" w:space="0" w:color="auto"/>
        <w:bottom w:val="none" w:sz="0" w:space="0" w:color="auto"/>
        <w:right w:val="none" w:sz="0" w:space="0" w:color="auto"/>
      </w:divBdr>
    </w:div>
    <w:div w:id="1582252653">
      <w:bodyDiv w:val="1"/>
      <w:marLeft w:val="0"/>
      <w:marRight w:val="0"/>
      <w:marTop w:val="0"/>
      <w:marBottom w:val="0"/>
      <w:divBdr>
        <w:top w:val="none" w:sz="0" w:space="0" w:color="auto"/>
        <w:left w:val="none" w:sz="0" w:space="0" w:color="auto"/>
        <w:bottom w:val="none" w:sz="0" w:space="0" w:color="auto"/>
        <w:right w:val="none" w:sz="0" w:space="0" w:color="auto"/>
      </w:divBdr>
    </w:div>
    <w:div w:id="1605112119">
      <w:bodyDiv w:val="1"/>
      <w:marLeft w:val="0"/>
      <w:marRight w:val="0"/>
      <w:marTop w:val="0"/>
      <w:marBottom w:val="0"/>
      <w:divBdr>
        <w:top w:val="none" w:sz="0" w:space="0" w:color="auto"/>
        <w:left w:val="none" w:sz="0" w:space="0" w:color="auto"/>
        <w:bottom w:val="none" w:sz="0" w:space="0" w:color="auto"/>
        <w:right w:val="none" w:sz="0" w:space="0" w:color="auto"/>
      </w:divBdr>
    </w:div>
    <w:div w:id="1618609194">
      <w:bodyDiv w:val="1"/>
      <w:marLeft w:val="0"/>
      <w:marRight w:val="0"/>
      <w:marTop w:val="0"/>
      <w:marBottom w:val="0"/>
      <w:divBdr>
        <w:top w:val="none" w:sz="0" w:space="0" w:color="auto"/>
        <w:left w:val="none" w:sz="0" w:space="0" w:color="auto"/>
        <w:bottom w:val="none" w:sz="0" w:space="0" w:color="auto"/>
        <w:right w:val="none" w:sz="0" w:space="0" w:color="auto"/>
      </w:divBdr>
    </w:div>
    <w:div w:id="1661808107">
      <w:bodyDiv w:val="1"/>
      <w:marLeft w:val="0"/>
      <w:marRight w:val="0"/>
      <w:marTop w:val="0"/>
      <w:marBottom w:val="0"/>
      <w:divBdr>
        <w:top w:val="none" w:sz="0" w:space="0" w:color="auto"/>
        <w:left w:val="none" w:sz="0" w:space="0" w:color="auto"/>
        <w:bottom w:val="none" w:sz="0" w:space="0" w:color="auto"/>
        <w:right w:val="none" w:sz="0" w:space="0" w:color="auto"/>
      </w:divBdr>
      <w:divsChild>
        <w:div w:id="998457408">
          <w:marLeft w:val="0"/>
          <w:marRight w:val="0"/>
          <w:marTop w:val="0"/>
          <w:marBottom w:val="0"/>
          <w:divBdr>
            <w:top w:val="none" w:sz="0" w:space="0" w:color="auto"/>
            <w:left w:val="none" w:sz="0" w:space="0" w:color="auto"/>
            <w:bottom w:val="none" w:sz="0" w:space="0" w:color="auto"/>
            <w:right w:val="none" w:sz="0" w:space="0" w:color="auto"/>
          </w:divBdr>
          <w:divsChild>
            <w:div w:id="1587878846">
              <w:marLeft w:val="0"/>
              <w:marRight w:val="0"/>
              <w:marTop w:val="0"/>
              <w:marBottom w:val="0"/>
              <w:divBdr>
                <w:top w:val="none" w:sz="0" w:space="0" w:color="auto"/>
                <w:left w:val="none" w:sz="0" w:space="0" w:color="auto"/>
                <w:bottom w:val="none" w:sz="0" w:space="0" w:color="auto"/>
                <w:right w:val="none" w:sz="0" w:space="0" w:color="auto"/>
              </w:divBdr>
              <w:divsChild>
                <w:div w:id="1831554810">
                  <w:marLeft w:val="0"/>
                  <w:marRight w:val="0"/>
                  <w:marTop w:val="0"/>
                  <w:marBottom w:val="0"/>
                  <w:divBdr>
                    <w:top w:val="none" w:sz="0" w:space="0" w:color="auto"/>
                    <w:left w:val="none" w:sz="0" w:space="0" w:color="auto"/>
                    <w:bottom w:val="none" w:sz="0" w:space="0" w:color="auto"/>
                    <w:right w:val="none" w:sz="0" w:space="0" w:color="auto"/>
                  </w:divBdr>
                </w:div>
              </w:divsChild>
            </w:div>
            <w:div w:id="2035227892">
              <w:marLeft w:val="0"/>
              <w:marRight w:val="0"/>
              <w:marTop w:val="0"/>
              <w:marBottom w:val="0"/>
              <w:divBdr>
                <w:top w:val="none" w:sz="0" w:space="0" w:color="auto"/>
                <w:left w:val="none" w:sz="0" w:space="0" w:color="auto"/>
                <w:bottom w:val="none" w:sz="0" w:space="0" w:color="auto"/>
                <w:right w:val="none" w:sz="0" w:space="0" w:color="auto"/>
              </w:divBdr>
              <w:divsChild>
                <w:div w:id="1623732464">
                  <w:marLeft w:val="0"/>
                  <w:marRight w:val="0"/>
                  <w:marTop w:val="0"/>
                  <w:marBottom w:val="0"/>
                  <w:divBdr>
                    <w:top w:val="none" w:sz="0" w:space="0" w:color="auto"/>
                    <w:left w:val="none" w:sz="0" w:space="0" w:color="auto"/>
                    <w:bottom w:val="none" w:sz="0" w:space="0" w:color="auto"/>
                    <w:right w:val="none" w:sz="0" w:space="0" w:color="auto"/>
                  </w:divBdr>
                </w:div>
              </w:divsChild>
            </w:div>
            <w:div w:id="1018387380">
              <w:marLeft w:val="0"/>
              <w:marRight w:val="0"/>
              <w:marTop w:val="0"/>
              <w:marBottom w:val="0"/>
              <w:divBdr>
                <w:top w:val="none" w:sz="0" w:space="0" w:color="auto"/>
                <w:left w:val="none" w:sz="0" w:space="0" w:color="auto"/>
                <w:bottom w:val="none" w:sz="0" w:space="0" w:color="auto"/>
                <w:right w:val="none" w:sz="0" w:space="0" w:color="auto"/>
              </w:divBdr>
              <w:divsChild>
                <w:div w:id="10203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04">
      <w:bodyDiv w:val="1"/>
      <w:marLeft w:val="0"/>
      <w:marRight w:val="0"/>
      <w:marTop w:val="0"/>
      <w:marBottom w:val="0"/>
      <w:divBdr>
        <w:top w:val="none" w:sz="0" w:space="0" w:color="auto"/>
        <w:left w:val="none" w:sz="0" w:space="0" w:color="auto"/>
        <w:bottom w:val="none" w:sz="0" w:space="0" w:color="auto"/>
        <w:right w:val="none" w:sz="0" w:space="0" w:color="auto"/>
      </w:divBdr>
    </w:div>
    <w:div w:id="1716462675">
      <w:bodyDiv w:val="1"/>
      <w:marLeft w:val="0"/>
      <w:marRight w:val="0"/>
      <w:marTop w:val="0"/>
      <w:marBottom w:val="0"/>
      <w:divBdr>
        <w:top w:val="none" w:sz="0" w:space="0" w:color="auto"/>
        <w:left w:val="none" w:sz="0" w:space="0" w:color="auto"/>
        <w:bottom w:val="none" w:sz="0" w:space="0" w:color="auto"/>
        <w:right w:val="none" w:sz="0" w:space="0" w:color="auto"/>
      </w:divBdr>
    </w:div>
    <w:div w:id="1733846389">
      <w:bodyDiv w:val="1"/>
      <w:marLeft w:val="0"/>
      <w:marRight w:val="0"/>
      <w:marTop w:val="0"/>
      <w:marBottom w:val="0"/>
      <w:divBdr>
        <w:top w:val="none" w:sz="0" w:space="0" w:color="auto"/>
        <w:left w:val="none" w:sz="0" w:space="0" w:color="auto"/>
        <w:bottom w:val="none" w:sz="0" w:space="0" w:color="auto"/>
        <w:right w:val="none" w:sz="0" w:space="0" w:color="auto"/>
      </w:divBdr>
      <w:divsChild>
        <w:div w:id="629164937">
          <w:marLeft w:val="0"/>
          <w:marRight w:val="0"/>
          <w:marTop w:val="0"/>
          <w:marBottom w:val="0"/>
          <w:divBdr>
            <w:top w:val="none" w:sz="0" w:space="0" w:color="auto"/>
            <w:left w:val="none" w:sz="0" w:space="0" w:color="auto"/>
            <w:bottom w:val="none" w:sz="0" w:space="0" w:color="auto"/>
            <w:right w:val="none" w:sz="0" w:space="0" w:color="auto"/>
          </w:divBdr>
          <w:divsChild>
            <w:div w:id="1215238516">
              <w:marLeft w:val="0"/>
              <w:marRight w:val="0"/>
              <w:marTop w:val="0"/>
              <w:marBottom w:val="0"/>
              <w:divBdr>
                <w:top w:val="none" w:sz="0" w:space="0" w:color="auto"/>
                <w:left w:val="none" w:sz="0" w:space="0" w:color="auto"/>
                <w:bottom w:val="none" w:sz="0" w:space="0" w:color="auto"/>
                <w:right w:val="none" w:sz="0" w:space="0" w:color="auto"/>
              </w:divBdr>
              <w:divsChild>
                <w:div w:id="4123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2622">
      <w:bodyDiv w:val="1"/>
      <w:marLeft w:val="0"/>
      <w:marRight w:val="0"/>
      <w:marTop w:val="0"/>
      <w:marBottom w:val="0"/>
      <w:divBdr>
        <w:top w:val="none" w:sz="0" w:space="0" w:color="auto"/>
        <w:left w:val="none" w:sz="0" w:space="0" w:color="auto"/>
        <w:bottom w:val="none" w:sz="0" w:space="0" w:color="auto"/>
        <w:right w:val="none" w:sz="0" w:space="0" w:color="auto"/>
      </w:divBdr>
    </w:div>
    <w:div w:id="1795126572">
      <w:bodyDiv w:val="1"/>
      <w:marLeft w:val="0"/>
      <w:marRight w:val="0"/>
      <w:marTop w:val="0"/>
      <w:marBottom w:val="0"/>
      <w:divBdr>
        <w:top w:val="none" w:sz="0" w:space="0" w:color="auto"/>
        <w:left w:val="none" w:sz="0" w:space="0" w:color="auto"/>
        <w:bottom w:val="none" w:sz="0" w:space="0" w:color="auto"/>
        <w:right w:val="none" w:sz="0" w:space="0" w:color="auto"/>
      </w:divBdr>
      <w:divsChild>
        <w:div w:id="473569494">
          <w:marLeft w:val="0"/>
          <w:marRight w:val="0"/>
          <w:marTop w:val="0"/>
          <w:marBottom w:val="0"/>
          <w:divBdr>
            <w:top w:val="none" w:sz="0" w:space="0" w:color="auto"/>
            <w:left w:val="none" w:sz="0" w:space="0" w:color="auto"/>
            <w:bottom w:val="none" w:sz="0" w:space="0" w:color="auto"/>
            <w:right w:val="none" w:sz="0" w:space="0" w:color="auto"/>
          </w:divBdr>
          <w:divsChild>
            <w:div w:id="539628222">
              <w:marLeft w:val="0"/>
              <w:marRight w:val="0"/>
              <w:marTop w:val="0"/>
              <w:marBottom w:val="0"/>
              <w:divBdr>
                <w:top w:val="none" w:sz="0" w:space="0" w:color="auto"/>
                <w:left w:val="none" w:sz="0" w:space="0" w:color="auto"/>
                <w:bottom w:val="none" w:sz="0" w:space="0" w:color="auto"/>
                <w:right w:val="none" w:sz="0" w:space="0" w:color="auto"/>
              </w:divBdr>
              <w:divsChild>
                <w:div w:id="11385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9416">
      <w:bodyDiv w:val="1"/>
      <w:marLeft w:val="0"/>
      <w:marRight w:val="0"/>
      <w:marTop w:val="0"/>
      <w:marBottom w:val="0"/>
      <w:divBdr>
        <w:top w:val="none" w:sz="0" w:space="0" w:color="auto"/>
        <w:left w:val="none" w:sz="0" w:space="0" w:color="auto"/>
        <w:bottom w:val="none" w:sz="0" w:space="0" w:color="auto"/>
        <w:right w:val="none" w:sz="0" w:space="0" w:color="auto"/>
      </w:divBdr>
    </w:div>
    <w:div w:id="1811560247">
      <w:bodyDiv w:val="1"/>
      <w:marLeft w:val="0"/>
      <w:marRight w:val="0"/>
      <w:marTop w:val="0"/>
      <w:marBottom w:val="0"/>
      <w:divBdr>
        <w:top w:val="none" w:sz="0" w:space="0" w:color="auto"/>
        <w:left w:val="none" w:sz="0" w:space="0" w:color="auto"/>
        <w:bottom w:val="none" w:sz="0" w:space="0" w:color="auto"/>
        <w:right w:val="none" w:sz="0" w:space="0" w:color="auto"/>
      </w:divBdr>
    </w:div>
    <w:div w:id="1870098355">
      <w:bodyDiv w:val="1"/>
      <w:marLeft w:val="0"/>
      <w:marRight w:val="0"/>
      <w:marTop w:val="0"/>
      <w:marBottom w:val="0"/>
      <w:divBdr>
        <w:top w:val="none" w:sz="0" w:space="0" w:color="auto"/>
        <w:left w:val="none" w:sz="0" w:space="0" w:color="auto"/>
        <w:bottom w:val="none" w:sz="0" w:space="0" w:color="auto"/>
        <w:right w:val="none" w:sz="0" w:space="0" w:color="auto"/>
      </w:divBdr>
    </w:div>
    <w:div w:id="1893343036">
      <w:bodyDiv w:val="1"/>
      <w:marLeft w:val="0"/>
      <w:marRight w:val="0"/>
      <w:marTop w:val="0"/>
      <w:marBottom w:val="0"/>
      <w:divBdr>
        <w:top w:val="none" w:sz="0" w:space="0" w:color="auto"/>
        <w:left w:val="none" w:sz="0" w:space="0" w:color="auto"/>
        <w:bottom w:val="none" w:sz="0" w:space="0" w:color="auto"/>
        <w:right w:val="none" w:sz="0" w:space="0" w:color="auto"/>
      </w:divBdr>
      <w:divsChild>
        <w:div w:id="1437288616">
          <w:marLeft w:val="0"/>
          <w:marRight w:val="0"/>
          <w:marTop w:val="0"/>
          <w:marBottom w:val="0"/>
          <w:divBdr>
            <w:top w:val="none" w:sz="0" w:space="0" w:color="auto"/>
            <w:left w:val="none" w:sz="0" w:space="0" w:color="auto"/>
            <w:bottom w:val="none" w:sz="0" w:space="0" w:color="auto"/>
            <w:right w:val="none" w:sz="0" w:space="0" w:color="auto"/>
          </w:divBdr>
          <w:divsChild>
            <w:div w:id="562567415">
              <w:marLeft w:val="0"/>
              <w:marRight w:val="0"/>
              <w:marTop w:val="0"/>
              <w:marBottom w:val="0"/>
              <w:divBdr>
                <w:top w:val="none" w:sz="0" w:space="0" w:color="auto"/>
                <w:left w:val="none" w:sz="0" w:space="0" w:color="auto"/>
                <w:bottom w:val="none" w:sz="0" w:space="0" w:color="auto"/>
                <w:right w:val="none" w:sz="0" w:space="0" w:color="auto"/>
              </w:divBdr>
              <w:divsChild>
                <w:div w:id="20851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5245">
      <w:bodyDiv w:val="1"/>
      <w:marLeft w:val="0"/>
      <w:marRight w:val="0"/>
      <w:marTop w:val="0"/>
      <w:marBottom w:val="0"/>
      <w:divBdr>
        <w:top w:val="none" w:sz="0" w:space="0" w:color="auto"/>
        <w:left w:val="none" w:sz="0" w:space="0" w:color="auto"/>
        <w:bottom w:val="none" w:sz="0" w:space="0" w:color="auto"/>
        <w:right w:val="none" w:sz="0" w:space="0" w:color="auto"/>
      </w:divBdr>
    </w:div>
    <w:div w:id="1948536687">
      <w:bodyDiv w:val="1"/>
      <w:marLeft w:val="0"/>
      <w:marRight w:val="0"/>
      <w:marTop w:val="0"/>
      <w:marBottom w:val="0"/>
      <w:divBdr>
        <w:top w:val="none" w:sz="0" w:space="0" w:color="auto"/>
        <w:left w:val="none" w:sz="0" w:space="0" w:color="auto"/>
        <w:bottom w:val="none" w:sz="0" w:space="0" w:color="auto"/>
        <w:right w:val="none" w:sz="0" w:space="0" w:color="auto"/>
      </w:divBdr>
    </w:div>
    <w:div w:id="2009481650">
      <w:bodyDiv w:val="1"/>
      <w:marLeft w:val="0"/>
      <w:marRight w:val="0"/>
      <w:marTop w:val="0"/>
      <w:marBottom w:val="0"/>
      <w:divBdr>
        <w:top w:val="none" w:sz="0" w:space="0" w:color="auto"/>
        <w:left w:val="none" w:sz="0" w:space="0" w:color="auto"/>
        <w:bottom w:val="none" w:sz="0" w:space="0" w:color="auto"/>
        <w:right w:val="none" w:sz="0" w:space="0" w:color="auto"/>
      </w:divBdr>
    </w:div>
    <w:div w:id="2017998784">
      <w:bodyDiv w:val="1"/>
      <w:marLeft w:val="0"/>
      <w:marRight w:val="0"/>
      <w:marTop w:val="0"/>
      <w:marBottom w:val="0"/>
      <w:divBdr>
        <w:top w:val="none" w:sz="0" w:space="0" w:color="auto"/>
        <w:left w:val="none" w:sz="0" w:space="0" w:color="auto"/>
        <w:bottom w:val="none" w:sz="0" w:space="0" w:color="auto"/>
        <w:right w:val="none" w:sz="0" w:space="0" w:color="auto"/>
      </w:divBdr>
      <w:divsChild>
        <w:div w:id="1949045371">
          <w:marLeft w:val="0"/>
          <w:marRight w:val="0"/>
          <w:marTop w:val="0"/>
          <w:marBottom w:val="0"/>
          <w:divBdr>
            <w:top w:val="none" w:sz="0" w:space="0" w:color="auto"/>
            <w:left w:val="none" w:sz="0" w:space="0" w:color="auto"/>
            <w:bottom w:val="none" w:sz="0" w:space="0" w:color="auto"/>
            <w:right w:val="none" w:sz="0" w:space="0" w:color="auto"/>
          </w:divBdr>
          <w:divsChild>
            <w:div w:id="1967152688">
              <w:marLeft w:val="0"/>
              <w:marRight w:val="0"/>
              <w:marTop w:val="0"/>
              <w:marBottom w:val="0"/>
              <w:divBdr>
                <w:top w:val="none" w:sz="0" w:space="0" w:color="auto"/>
                <w:left w:val="none" w:sz="0" w:space="0" w:color="auto"/>
                <w:bottom w:val="none" w:sz="0" w:space="0" w:color="auto"/>
                <w:right w:val="none" w:sz="0" w:space="0" w:color="auto"/>
              </w:divBdr>
              <w:divsChild>
                <w:div w:id="8994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7123">
      <w:bodyDiv w:val="1"/>
      <w:marLeft w:val="0"/>
      <w:marRight w:val="0"/>
      <w:marTop w:val="0"/>
      <w:marBottom w:val="0"/>
      <w:divBdr>
        <w:top w:val="none" w:sz="0" w:space="0" w:color="auto"/>
        <w:left w:val="none" w:sz="0" w:space="0" w:color="auto"/>
        <w:bottom w:val="none" w:sz="0" w:space="0" w:color="auto"/>
        <w:right w:val="none" w:sz="0" w:space="0" w:color="auto"/>
      </w:divBdr>
    </w:div>
    <w:div w:id="2092465166">
      <w:bodyDiv w:val="1"/>
      <w:marLeft w:val="0"/>
      <w:marRight w:val="0"/>
      <w:marTop w:val="0"/>
      <w:marBottom w:val="0"/>
      <w:divBdr>
        <w:top w:val="none" w:sz="0" w:space="0" w:color="auto"/>
        <w:left w:val="none" w:sz="0" w:space="0" w:color="auto"/>
        <w:bottom w:val="none" w:sz="0" w:space="0" w:color="auto"/>
        <w:right w:val="none" w:sz="0" w:space="0" w:color="auto"/>
      </w:divBdr>
    </w:div>
    <w:div w:id="2117746136">
      <w:bodyDiv w:val="1"/>
      <w:marLeft w:val="0"/>
      <w:marRight w:val="0"/>
      <w:marTop w:val="0"/>
      <w:marBottom w:val="0"/>
      <w:divBdr>
        <w:top w:val="none" w:sz="0" w:space="0" w:color="auto"/>
        <w:left w:val="none" w:sz="0" w:space="0" w:color="auto"/>
        <w:bottom w:val="none" w:sz="0" w:space="0" w:color="auto"/>
        <w:right w:val="none" w:sz="0" w:space="0" w:color="auto"/>
      </w:divBdr>
    </w:div>
    <w:div w:id="2130005422">
      <w:bodyDiv w:val="1"/>
      <w:marLeft w:val="0"/>
      <w:marRight w:val="0"/>
      <w:marTop w:val="0"/>
      <w:marBottom w:val="0"/>
      <w:divBdr>
        <w:top w:val="none" w:sz="0" w:space="0" w:color="auto"/>
        <w:left w:val="none" w:sz="0" w:space="0" w:color="auto"/>
        <w:bottom w:val="none" w:sz="0" w:space="0" w:color="auto"/>
        <w:right w:val="none" w:sz="0" w:space="0" w:color="auto"/>
      </w:divBdr>
    </w:div>
    <w:div w:id="21387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juschubut.gov.ar/images/CPP-2023-con_tapa-ultimo.pdf" TargetMode="External"/><Relationship Id="rId3" Type="http://schemas.openxmlformats.org/officeDocument/2006/relationships/hyperlink" Target="https://www.oas.org/es/cidh/infancia/docs/pdf/JusticiaJuvenil.pdf" TargetMode="External"/><Relationship Id="rId7" Type="http://schemas.openxmlformats.org/officeDocument/2006/relationships/hyperlink" Target="https://www.oas.org/es/cidh/infancia/docs/pdf/JusticiaJuvenil.pdf" TargetMode="External"/><Relationship Id="rId2" Type="http://schemas.openxmlformats.org/officeDocument/2006/relationships/hyperlink" Target="http://www.mpfchubut.gov.ar/images/pdf/cpp.pdf" TargetMode="External"/><Relationship Id="rId1" Type="http://schemas.openxmlformats.org/officeDocument/2006/relationships/hyperlink" Target="https://www.argentina.gob.ar/normativa/nacional/acordada-5-2010-165599/texto" TargetMode="External"/><Relationship Id="rId6" Type="http://schemas.openxmlformats.org/officeDocument/2006/relationships/hyperlink" Target="https://www.oas.org/es/cidh/infancia/docs/pdf/JusticiaJuvenil.pdf" TargetMode="External"/><Relationship Id="rId5" Type="http://schemas.openxmlformats.org/officeDocument/2006/relationships/hyperlink" Target="https://www.oas.org/es/cidh/infancia/docs/pdf/JusticiaJuvenil.pdf" TargetMode="External"/><Relationship Id="rId4" Type="http://schemas.openxmlformats.org/officeDocument/2006/relationships/hyperlink" Target="https://www.oas.org/es/cidh/infancia/docs/pdf/JusticiaJuveni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6364-DDF5-1447-A005-85954B46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12877</Words>
  <Characters>73399</Characters>
  <Application>Microsoft Office Word</Application>
  <DocSecurity>0</DocSecurity>
  <Lines>611</Lines>
  <Paragraphs>172</Paragraphs>
  <ScaleCrop>false</ScaleCrop>
  <Company/>
  <LinksUpToDate>false</LinksUpToDate>
  <CharactersWithSpaces>86104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2025-07-31T14:29:00Z</dcterms:created>
  <dcterms:modified xsi:type="dcterms:W3CDTF">2025-07-31T14:29:00Z</dcterms:modified>
</cp:coreProperties>
</file>