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CB4F6C"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727ADC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66062">
                              <w:rPr>
                                <w:rFonts w:asciiTheme="majorHAnsi" w:hAnsiTheme="majorHAnsi" w:cs="Arial"/>
                                <w:b/>
                                <w:bCs/>
                                <w:color w:val="0D0D0D" w:themeColor="text1" w:themeTint="F2"/>
                                <w:sz w:val="36"/>
                                <w:szCs w:val="22"/>
                                <w:lang w:val="es-ES_tradnl"/>
                              </w:rPr>
                              <w:t>194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580EB2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CD3033">
                              <w:rPr>
                                <w:rFonts w:asciiTheme="majorHAnsi" w:hAnsiTheme="majorHAnsi" w:cs="Arial"/>
                                <w:b/>
                                <w:color w:val="0D0D0D" w:themeColor="text1" w:themeTint="F2"/>
                                <w:sz w:val="36"/>
                                <w:szCs w:val="22"/>
                                <w:lang w:val="es-ES_tradnl"/>
                              </w:rPr>
                              <w:t>2316-15</w:t>
                            </w:r>
                          </w:p>
                          <w:p w14:paraId="188B4303" w14:textId="44D5AF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24FC988B" w:rsidR="005B52B0" w:rsidRPr="0010736F" w:rsidRDefault="00CD3033" w:rsidP="00997BC5">
                            <w:pPr>
                              <w:spacing w:line="276" w:lineRule="auto"/>
                              <w:rPr>
                                <w:rFonts w:asciiTheme="majorHAnsi" w:hAnsiTheme="majorHAnsi" w:cs="Arial"/>
                                <w:color w:val="0D0D0D" w:themeColor="text1" w:themeTint="F2"/>
                                <w:szCs w:val="22"/>
                                <w:lang w:val="es-ES_tradnl"/>
                              </w:rPr>
                            </w:pPr>
                            <w:r w:rsidRPr="00CD3033">
                              <w:rPr>
                                <w:rFonts w:asciiTheme="majorHAnsi" w:hAnsiTheme="majorHAnsi" w:cs="Arial"/>
                                <w:color w:val="0D0D0D" w:themeColor="text1" w:themeTint="F2"/>
                                <w:szCs w:val="22"/>
                                <w:lang w:val="es-ES_tradnl"/>
                              </w:rPr>
                              <w:t>JOSÉ HUMBERTO GÓMEZ HERRERA</w:t>
                            </w:r>
                          </w:p>
                          <w:bookmarkEnd w:id="0"/>
                          <w:p w14:paraId="0B9F7D22" w14:textId="393A457B" w:rsidR="005B52B0" w:rsidRPr="00F56ECB" w:rsidRDefault="00CD303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727ADC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66062">
                        <w:rPr>
                          <w:rFonts w:asciiTheme="majorHAnsi" w:hAnsiTheme="majorHAnsi" w:cs="Arial"/>
                          <w:b/>
                          <w:bCs/>
                          <w:color w:val="0D0D0D" w:themeColor="text1" w:themeTint="F2"/>
                          <w:sz w:val="36"/>
                          <w:szCs w:val="22"/>
                          <w:lang w:val="es-ES_tradnl"/>
                        </w:rPr>
                        <w:t>194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580EB2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CD3033">
                        <w:rPr>
                          <w:rFonts w:asciiTheme="majorHAnsi" w:hAnsiTheme="majorHAnsi" w:cs="Arial"/>
                          <w:b/>
                          <w:color w:val="0D0D0D" w:themeColor="text1" w:themeTint="F2"/>
                          <w:sz w:val="36"/>
                          <w:szCs w:val="22"/>
                          <w:lang w:val="es-ES_tradnl"/>
                        </w:rPr>
                        <w:t>2316-15</w:t>
                      </w:r>
                    </w:p>
                    <w:p w14:paraId="188B4303" w14:textId="44D5AF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24FC988B" w:rsidR="005B52B0" w:rsidRPr="0010736F" w:rsidRDefault="00CD3033" w:rsidP="00997BC5">
                      <w:pPr>
                        <w:spacing w:line="276" w:lineRule="auto"/>
                        <w:rPr>
                          <w:rFonts w:asciiTheme="majorHAnsi" w:hAnsiTheme="majorHAnsi" w:cs="Arial"/>
                          <w:color w:val="0D0D0D" w:themeColor="text1" w:themeTint="F2"/>
                          <w:szCs w:val="22"/>
                          <w:lang w:val="es-ES_tradnl"/>
                        </w:rPr>
                      </w:pPr>
                      <w:r w:rsidRPr="00CD3033">
                        <w:rPr>
                          <w:rFonts w:asciiTheme="majorHAnsi" w:hAnsiTheme="majorHAnsi" w:cs="Arial"/>
                          <w:color w:val="0D0D0D" w:themeColor="text1" w:themeTint="F2"/>
                          <w:szCs w:val="22"/>
                          <w:lang w:val="es-ES_tradnl"/>
                        </w:rPr>
                        <w:t>JOSÉ HUMBERTO GÓMEZ HERRERA</w:t>
                      </w:r>
                    </w:p>
                    <w:bookmarkEnd w:id="1"/>
                    <w:p w14:paraId="0B9F7D22" w14:textId="393A457B" w:rsidR="005B52B0" w:rsidRPr="00F56ECB" w:rsidRDefault="00CD303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22C39605" w:rsidR="00627C9F" w:rsidRPr="00F21627" w:rsidRDefault="00834D49" w:rsidP="007A5817">
                            <w:pPr>
                              <w:spacing w:line="276" w:lineRule="auto"/>
                              <w:jc w:val="right"/>
                              <w:rPr>
                                <w:rFonts w:asciiTheme="minorHAnsi" w:hAnsiTheme="minorHAnsi"/>
                                <w:color w:val="FFFFFF" w:themeColor="background1"/>
                                <w:sz w:val="22"/>
                                <w:lang w:val="es-ES"/>
                              </w:rPr>
                            </w:pPr>
                            <w:r w:rsidRPr="00F21627">
                              <w:rPr>
                                <w:rFonts w:asciiTheme="minorHAnsi" w:hAnsiTheme="minorHAnsi"/>
                                <w:color w:val="FFFFFF" w:themeColor="background1"/>
                                <w:sz w:val="22"/>
                                <w:lang w:val="es-ES"/>
                              </w:rPr>
                              <w:t>OEA/Ser.L/V/II</w:t>
                            </w:r>
                          </w:p>
                          <w:p w14:paraId="71D2D5D2" w14:textId="5E2EA04C" w:rsidR="00627C9F" w:rsidRPr="00F21627" w:rsidRDefault="00627C9F" w:rsidP="007A5817">
                            <w:pPr>
                              <w:spacing w:line="276" w:lineRule="auto"/>
                              <w:jc w:val="right"/>
                              <w:rPr>
                                <w:rFonts w:asciiTheme="minorHAnsi" w:hAnsiTheme="minorHAnsi"/>
                                <w:color w:val="FFFFFF" w:themeColor="background1"/>
                                <w:sz w:val="22"/>
                                <w:lang w:val="es-ES"/>
                              </w:rPr>
                            </w:pPr>
                            <w:r w:rsidRPr="00F21627">
                              <w:rPr>
                                <w:rFonts w:asciiTheme="minorHAnsi" w:hAnsiTheme="minorHAnsi"/>
                                <w:color w:val="FFFFFF" w:themeColor="background1"/>
                                <w:sz w:val="22"/>
                                <w:lang w:val="es-ES"/>
                              </w:rPr>
                              <w:t xml:space="preserve">Doc. </w:t>
                            </w:r>
                            <w:r w:rsidR="00C66062" w:rsidRPr="00F21627">
                              <w:rPr>
                                <w:rFonts w:asciiTheme="minorHAnsi" w:hAnsiTheme="minorHAnsi"/>
                                <w:color w:val="FFFFFF" w:themeColor="background1"/>
                                <w:sz w:val="22"/>
                                <w:lang w:val="es-ES"/>
                              </w:rPr>
                              <w:t>205</w:t>
                            </w:r>
                          </w:p>
                          <w:p w14:paraId="4061DBBD" w14:textId="26CAE551" w:rsidR="00627C9F" w:rsidRPr="00C25ADB" w:rsidRDefault="00C6606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22C39605" w:rsidR="00627C9F" w:rsidRPr="00F21627" w:rsidRDefault="00834D49" w:rsidP="007A5817">
                      <w:pPr>
                        <w:spacing w:line="276" w:lineRule="auto"/>
                        <w:jc w:val="right"/>
                        <w:rPr>
                          <w:rFonts w:asciiTheme="minorHAnsi" w:hAnsiTheme="minorHAnsi"/>
                          <w:color w:val="FFFFFF" w:themeColor="background1"/>
                          <w:sz w:val="22"/>
                          <w:lang w:val="es-ES"/>
                        </w:rPr>
                      </w:pPr>
                      <w:r w:rsidRPr="00F21627">
                        <w:rPr>
                          <w:rFonts w:asciiTheme="minorHAnsi" w:hAnsiTheme="minorHAnsi"/>
                          <w:color w:val="FFFFFF" w:themeColor="background1"/>
                          <w:sz w:val="22"/>
                          <w:lang w:val="es-ES"/>
                        </w:rPr>
                        <w:t>OEA/Ser.L/V/II</w:t>
                      </w:r>
                    </w:p>
                    <w:p w14:paraId="71D2D5D2" w14:textId="5E2EA04C" w:rsidR="00627C9F" w:rsidRPr="00F21627" w:rsidRDefault="00627C9F" w:rsidP="007A5817">
                      <w:pPr>
                        <w:spacing w:line="276" w:lineRule="auto"/>
                        <w:jc w:val="right"/>
                        <w:rPr>
                          <w:rFonts w:asciiTheme="minorHAnsi" w:hAnsiTheme="minorHAnsi"/>
                          <w:color w:val="FFFFFF" w:themeColor="background1"/>
                          <w:sz w:val="22"/>
                          <w:lang w:val="es-ES"/>
                        </w:rPr>
                      </w:pPr>
                      <w:r w:rsidRPr="00F21627">
                        <w:rPr>
                          <w:rFonts w:asciiTheme="minorHAnsi" w:hAnsiTheme="minorHAnsi"/>
                          <w:color w:val="FFFFFF" w:themeColor="background1"/>
                          <w:sz w:val="22"/>
                          <w:lang w:val="es-ES"/>
                        </w:rPr>
                        <w:t xml:space="preserve">Doc. </w:t>
                      </w:r>
                      <w:r w:rsidR="00C66062" w:rsidRPr="00F21627">
                        <w:rPr>
                          <w:rFonts w:asciiTheme="minorHAnsi" w:hAnsiTheme="minorHAnsi"/>
                          <w:color w:val="FFFFFF" w:themeColor="background1"/>
                          <w:sz w:val="22"/>
                          <w:lang w:val="es-ES"/>
                        </w:rPr>
                        <w:t>205</w:t>
                      </w:r>
                    </w:p>
                    <w:p w14:paraId="4061DBBD" w14:textId="26CAE551" w:rsidR="00627C9F" w:rsidRPr="00C25ADB" w:rsidRDefault="00C6606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DA962C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66062">
                              <w:rPr>
                                <w:rFonts w:asciiTheme="majorHAnsi" w:hAnsiTheme="majorHAnsi"/>
                                <w:color w:val="0D0D0D" w:themeColor="text1" w:themeTint="F2"/>
                                <w:sz w:val="18"/>
                                <w:szCs w:val="22"/>
                                <w:lang w:val="es-ES"/>
                              </w:rPr>
                              <w:t>6</w:t>
                            </w:r>
                            <w:r w:rsidRPr="00890650">
                              <w:rPr>
                                <w:rFonts w:asciiTheme="majorHAnsi" w:hAnsiTheme="majorHAnsi"/>
                                <w:color w:val="0D0D0D" w:themeColor="text1" w:themeTint="F2"/>
                                <w:sz w:val="18"/>
                                <w:szCs w:val="22"/>
                                <w:lang w:val="es-ES"/>
                              </w:rPr>
                              <w:t xml:space="preserve"> de </w:t>
                            </w:r>
                            <w:r w:rsidR="00C66062">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C6606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DA962C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66062">
                        <w:rPr>
                          <w:rFonts w:asciiTheme="majorHAnsi" w:hAnsiTheme="majorHAnsi"/>
                          <w:color w:val="0D0D0D" w:themeColor="text1" w:themeTint="F2"/>
                          <w:sz w:val="18"/>
                          <w:szCs w:val="22"/>
                          <w:lang w:val="es-ES"/>
                        </w:rPr>
                        <w:t>6</w:t>
                      </w:r>
                      <w:r w:rsidRPr="00890650">
                        <w:rPr>
                          <w:rFonts w:asciiTheme="majorHAnsi" w:hAnsiTheme="majorHAnsi"/>
                          <w:color w:val="0D0D0D" w:themeColor="text1" w:themeTint="F2"/>
                          <w:sz w:val="18"/>
                          <w:szCs w:val="22"/>
                          <w:lang w:val="es-ES"/>
                        </w:rPr>
                        <w:t xml:space="preserve"> de </w:t>
                      </w:r>
                      <w:r w:rsidR="00C66062">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C6606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ABC21" w14:textId="77777777" w:rsidR="00C6606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6062" w:rsidRPr="00C66062">
                              <w:rPr>
                                <w:rFonts w:asciiTheme="majorHAnsi" w:hAnsiTheme="majorHAnsi"/>
                                <w:color w:val="595959" w:themeColor="text1" w:themeTint="A6"/>
                                <w:sz w:val="18"/>
                                <w:szCs w:val="18"/>
                                <w:lang w:val="pt-BR"/>
                              </w:rPr>
                              <w:t>194</w:t>
                            </w:r>
                            <w:r w:rsidR="007B05C4" w:rsidRPr="00C66062">
                              <w:rPr>
                                <w:rFonts w:asciiTheme="majorHAnsi" w:hAnsiTheme="majorHAnsi"/>
                                <w:color w:val="595959" w:themeColor="text1" w:themeTint="A6"/>
                                <w:sz w:val="18"/>
                                <w:szCs w:val="18"/>
                                <w:lang w:val="pt-BR"/>
                              </w:rPr>
                              <w:t>/</w:t>
                            </w:r>
                            <w:r w:rsidR="00C66062" w:rsidRPr="00C66062">
                              <w:rPr>
                                <w:rFonts w:asciiTheme="majorHAnsi" w:hAnsiTheme="majorHAnsi"/>
                                <w:color w:val="595959" w:themeColor="text1" w:themeTint="A6"/>
                                <w:sz w:val="18"/>
                                <w:szCs w:val="18"/>
                                <w:lang w:val="pt-BR"/>
                              </w:rPr>
                              <w:t>25</w:t>
                            </w:r>
                            <w:r w:rsidRPr="00C6606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66062">
                              <w:rPr>
                                <w:rFonts w:asciiTheme="majorHAnsi" w:hAnsiTheme="majorHAnsi"/>
                                <w:color w:val="595959" w:themeColor="text1" w:themeTint="A6"/>
                                <w:sz w:val="18"/>
                                <w:szCs w:val="18"/>
                                <w:lang w:val="es-ES"/>
                              </w:rPr>
                              <w:t>2316</w:t>
                            </w:r>
                            <w:r w:rsidR="000433C9">
                              <w:rPr>
                                <w:rFonts w:asciiTheme="majorHAnsi" w:hAnsiTheme="majorHAnsi"/>
                                <w:color w:val="595959" w:themeColor="text1" w:themeTint="A6"/>
                                <w:sz w:val="18"/>
                                <w:szCs w:val="18"/>
                                <w:lang w:val="es-ES"/>
                              </w:rPr>
                              <w:t>-</w:t>
                            </w:r>
                            <w:r w:rsidR="00C66062">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681BA4B6" w:rsidR="00113F73" w:rsidRPr="007B05C4" w:rsidRDefault="00C660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Humberto Gómez Herrera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6 de octubre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78ABC21" w14:textId="77777777" w:rsidR="00C6606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6062" w:rsidRPr="00C66062">
                        <w:rPr>
                          <w:rFonts w:asciiTheme="majorHAnsi" w:hAnsiTheme="majorHAnsi"/>
                          <w:color w:val="595959" w:themeColor="text1" w:themeTint="A6"/>
                          <w:sz w:val="18"/>
                          <w:szCs w:val="18"/>
                          <w:lang w:val="pt-BR"/>
                        </w:rPr>
                        <w:t>194</w:t>
                      </w:r>
                      <w:r w:rsidR="007B05C4" w:rsidRPr="00C66062">
                        <w:rPr>
                          <w:rFonts w:asciiTheme="majorHAnsi" w:hAnsiTheme="majorHAnsi"/>
                          <w:color w:val="595959" w:themeColor="text1" w:themeTint="A6"/>
                          <w:sz w:val="18"/>
                          <w:szCs w:val="18"/>
                          <w:lang w:val="pt-BR"/>
                        </w:rPr>
                        <w:t>/</w:t>
                      </w:r>
                      <w:r w:rsidR="00C66062" w:rsidRPr="00C66062">
                        <w:rPr>
                          <w:rFonts w:asciiTheme="majorHAnsi" w:hAnsiTheme="majorHAnsi"/>
                          <w:color w:val="595959" w:themeColor="text1" w:themeTint="A6"/>
                          <w:sz w:val="18"/>
                          <w:szCs w:val="18"/>
                          <w:lang w:val="pt-BR"/>
                        </w:rPr>
                        <w:t>25</w:t>
                      </w:r>
                      <w:r w:rsidRPr="00C6606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66062">
                        <w:rPr>
                          <w:rFonts w:asciiTheme="majorHAnsi" w:hAnsiTheme="majorHAnsi"/>
                          <w:color w:val="595959" w:themeColor="text1" w:themeTint="A6"/>
                          <w:sz w:val="18"/>
                          <w:szCs w:val="18"/>
                          <w:lang w:val="es-ES"/>
                        </w:rPr>
                        <w:t>2316</w:t>
                      </w:r>
                      <w:r w:rsidR="000433C9">
                        <w:rPr>
                          <w:rFonts w:asciiTheme="majorHAnsi" w:hAnsiTheme="majorHAnsi"/>
                          <w:color w:val="595959" w:themeColor="text1" w:themeTint="A6"/>
                          <w:sz w:val="18"/>
                          <w:szCs w:val="18"/>
                          <w:lang w:val="es-ES"/>
                        </w:rPr>
                        <w:t>-</w:t>
                      </w:r>
                      <w:r w:rsidR="00C66062">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681BA4B6" w:rsidR="00113F73" w:rsidRPr="007B05C4" w:rsidRDefault="00C660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Humberto Gómez Herrera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6 de octubre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139B35CF"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D9B306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446BFB79" w:rsidR="0070697F" w:rsidRDefault="00C66062"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0EE74DA4">
                <wp:simplePos x="0" y="0"/>
                <wp:positionH relativeFrom="column">
                  <wp:posOffset>1295944</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0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7E2CAFC7" w:rsidR="003239B8" w:rsidRPr="000D05CB" w:rsidRDefault="00710891">
            <w:pPr>
              <w:jc w:val="both"/>
              <w:rPr>
                <w:rFonts w:ascii="Cambria" w:hAnsi="Cambria"/>
                <w:bCs/>
                <w:sz w:val="20"/>
                <w:szCs w:val="20"/>
              </w:rPr>
            </w:pPr>
            <w:r w:rsidRPr="00710891">
              <w:rPr>
                <w:rFonts w:ascii="Cambria" w:hAnsi="Cambria"/>
                <w:bCs/>
                <w:sz w:val="20"/>
                <w:szCs w:val="20"/>
              </w:rPr>
              <w:t>José Humberto Gómez Herrera</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D7734C">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63C1F3A8" w:rsidR="003239B8" w:rsidRPr="000D05CB" w:rsidRDefault="00CD3033">
            <w:pPr>
              <w:jc w:val="both"/>
              <w:rPr>
                <w:rFonts w:ascii="Cambria" w:hAnsi="Cambria"/>
                <w:bCs/>
                <w:sz w:val="20"/>
                <w:szCs w:val="20"/>
                <w:lang w:val="es-ES"/>
              </w:rPr>
            </w:pPr>
            <w:r w:rsidRPr="00CD3033">
              <w:rPr>
                <w:rFonts w:ascii="Cambria" w:hAnsi="Cambria"/>
                <w:bCs/>
                <w:sz w:val="20"/>
                <w:szCs w:val="20"/>
                <w:lang w:val="es-ES"/>
              </w:rPr>
              <w:t>José Humberto Gómez Herrera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3192D322" w:rsidR="003239B8" w:rsidRPr="000D05CB" w:rsidRDefault="00CD3033">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F21627"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18C963EC" w:rsidR="00223A29" w:rsidRPr="00FC7DFE" w:rsidRDefault="00FC7DFE">
            <w:pPr>
              <w:jc w:val="both"/>
              <w:rPr>
                <w:rFonts w:ascii="Cambria" w:hAnsi="Cambria"/>
                <w:bCs/>
                <w:sz w:val="20"/>
                <w:szCs w:val="20"/>
                <w:lang w:val="es-CO"/>
              </w:rPr>
            </w:pPr>
            <w:r w:rsidRPr="00FC7DFE">
              <w:rPr>
                <w:rFonts w:ascii="Cambria" w:hAnsi="Cambria"/>
                <w:bCs/>
                <w:sz w:val="20"/>
                <w:szCs w:val="20"/>
                <w:lang w:val="es-CO"/>
              </w:rPr>
              <w:t xml:space="preserve">Artículos </w:t>
            </w:r>
            <w:r w:rsidR="00B15439" w:rsidRPr="00FC7DFE">
              <w:rPr>
                <w:rFonts w:ascii="Cambria" w:hAnsi="Cambria"/>
                <w:bCs/>
                <w:sz w:val="20"/>
                <w:szCs w:val="20"/>
                <w:lang w:val="es-CO"/>
              </w:rPr>
              <w:t>5</w:t>
            </w:r>
            <w:r w:rsidRPr="00FC7DFE">
              <w:rPr>
                <w:rFonts w:ascii="Cambria" w:hAnsi="Cambria"/>
                <w:bCs/>
                <w:sz w:val="20"/>
                <w:szCs w:val="20"/>
                <w:lang w:val="es-CO"/>
              </w:rPr>
              <w:t xml:space="preserve"> (integridad personal)</w:t>
            </w:r>
            <w:r w:rsidR="00B15439" w:rsidRPr="00FC7DFE">
              <w:rPr>
                <w:rFonts w:ascii="Cambria" w:hAnsi="Cambria"/>
                <w:bCs/>
                <w:sz w:val="20"/>
                <w:szCs w:val="20"/>
                <w:lang w:val="es-CO"/>
              </w:rPr>
              <w:t>, 7</w:t>
            </w:r>
            <w:r w:rsidRPr="00FC7DFE">
              <w:rPr>
                <w:rFonts w:ascii="Cambria" w:hAnsi="Cambria"/>
                <w:bCs/>
                <w:sz w:val="20"/>
                <w:szCs w:val="20"/>
                <w:lang w:val="es-CO"/>
              </w:rPr>
              <w:t xml:space="preserve"> (l</w:t>
            </w:r>
            <w:r>
              <w:rPr>
                <w:rFonts w:ascii="Cambria" w:hAnsi="Cambria"/>
                <w:bCs/>
                <w:sz w:val="20"/>
                <w:szCs w:val="20"/>
                <w:lang w:val="es-CO"/>
              </w:rPr>
              <w:t>ibertad personal)</w:t>
            </w:r>
            <w:r w:rsidR="00B15439" w:rsidRPr="00FC7DFE">
              <w:rPr>
                <w:rFonts w:ascii="Cambria" w:hAnsi="Cambria"/>
                <w:bCs/>
                <w:sz w:val="20"/>
                <w:szCs w:val="20"/>
                <w:lang w:val="es-CO"/>
              </w:rPr>
              <w:t>, 8</w:t>
            </w:r>
            <w:r>
              <w:rPr>
                <w:rFonts w:ascii="Cambria" w:hAnsi="Cambria"/>
                <w:bCs/>
                <w:sz w:val="20"/>
                <w:szCs w:val="20"/>
                <w:lang w:val="es-CO"/>
              </w:rPr>
              <w:t xml:space="preserve"> (garantías judiciales)</w:t>
            </w:r>
            <w:r w:rsidR="00B15439" w:rsidRPr="00FC7DFE">
              <w:rPr>
                <w:rFonts w:ascii="Cambria" w:hAnsi="Cambria"/>
                <w:bCs/>
                <w:sz w:val="20"/>
                <w:szCs w:val="20"/>
                <w:lang w:val="es-CO"/>
              </w:rPr>
              <w:t>, 11</w:t>
            </w:r>
            <w:r>
              <w:rPr>
                <w:rFonts w:ascii="Cambria" w:hAnsi="Cambria"/>
                <w:bCs/>
                <w:sz w:val="20"/>
                <w:szCs w:val="20"/>
                <w:lang w:val="es-CO"/>
              </w:rPr>
              <w:t xml:space="preserve"> (protección de la honra y de la dignidad)</w:t>
            </w:r>
            <w:r w:rsidR="00B15439" w:rsidRPr="00FC7DFE">
              <w:rPr>
                <w:rFonts w:ascii="Cambria" w:hAnsi="Cambria"/>
                <w:bCs/>
                <w:sz w:val="20"/>
                <w:szCs w:val="20"/>
                <w:lang w:val="es-CO"/>
              </w:rPr>
              <w:t xml:space="preserve">, </w:t>
            </w:r>
            <w:r w:rsidR="00742362" w:rsidRPr="00FC7DFE">
              <w:rPr>
                <w:rFonts w:ascii="Cambria" w:hAnsi="Cambria"/>
                <w:bCs/>
                <w:sz w:val="20"/>
                <w:szCs w:val="20"/>
                <w:lang w:val="es-CO"/>
              </w:rPr>
              <w:t>15</w:t>
            </w:r>
            <w:r>
              <w:rPr>
                <w:rFonts w:ascii="Cambria" w:hAnsi="Cambria"/>
                <w:bCs/>
                <w:sz w:val="20"/>
                <w:szCs w:val="20"/>
                <w:lang w:val="es-CO"/>
              </w:rPr>
              <w:t xml:space="preserve"> (</w:t>
            </w:r>
            <w:r w:rsidR="00E1131B">
              <w:rPr>
                <w:rFonts w:ascii="Cambria" w:hAnsi="Cambria"/>
                <w:bCs/>
                <w:sz w:val="20"/>
                <w:szCs w:val="20"/>
                <w:lang w:val="es-CO"/>
              </w:rPr>
              <w:t>derecho de reunión)</w:t>
            </w:r>
            <w:r w:rsidR="00742362" w:rsidRPr="00FC7DFE">
              <w:rPr>
                <w:rFonts w:ascii="Cambria" w:hAnsi="Cambria"/>
                <w:bCs/>
                <w:sz w:val="20"/>
                <w:szCs w:val="20"/>
                <w:lang w:val="es-CO"/>
              </w:rPr>
              <w:t>, 16</w:t>
            </w:r>
            <w:r w:rsidR="00E1131B">
              <w:rPr>
                <w:rFonts w:ascii="Cambria" w:hAnsi="Cambria"/>
                <w:bCs/>
                <w:sz w:val="20"/>
                <w:szCs w:val="20"/>
                <w:lang w:val="es-CO"/>
              </w:rPr>
              <w:t xml:space="preserve"> (libertad de asociación)</w:t>
            </w:r>
            <w:r w:rsidR="00742362" w:rsidRPr="00FC7DFE">
              <w:rPr>
                <w:rFonts w:ascii="Cambria" w:hAnsi="Cambria"/>
                <w:bCs/>
                <w:sz w:val="20"/>
                <w:szCs w:val="20"/>
                <w:lang w:val="es-CO"/>
              </w:rPr>
              <w:t>, 22</w:t>
            </w:r>
            <w:r w:rsidR="00E1131B">
              <w:rPr>
                <w:rFonts w:ascii="Cambria" w:hAnsi="Cambria"/>
                <w:bCs/>
                <w:sz w:val="20"/>
                <w:szCs w:val="20"/>
                <w:lang w:val="es-CO"/>
              </w:rPr>
              <w:t xml:space="preserve"> (</w:t>
            </w:r>
            <w:r w:rsidR="0086433A">
              <w:rPr>
                <w:rFonts w:ascii="Cambria" w:hAnsi="Cambria"/>
                <w:bCs/>
                <w:sz w:val="20"/>
                <w:szCs w:val="20"/>
                <w:lang w:val="es-CO"/>
              </w:rPr>
              <w:t>circulación y residencia)</w:t>
            </w:r>
            <w:r w:rsidR="00742362" w:rsidRPr="00FC7DFE">
              <w:rPr>
                <w:rFonts w:ascii="Cambria" w:hAnsi="Cambria"/>
                <w:bCs/>
                <w:sz w:val="20"/>
                <w:szCs w:val="20"/>
                <w:lang w:val="es-CO"/>
              </w:rPr>
              <w:t>, 23</w:t>
            </w:r>
            <w:r w:rsidR="0086433A">
              <w:rPr>
                <w:rFonts w:ascii="Cambria" w:hAnsi="Cambria"/>
                <w:bCs/>
                <w:sz w:val="20"/>
                <w:szCs w:val="20"/>
                <w:lang w:val="es-CO"/>
              </w:rPr>
              <w:t xml:space="preserve"> (derechos políticos)</w:t>
            </w:r>
            <w:r w:rsidR="00742362" w:rsidRPr="00FC7DFE">
              <w:rPr>
                <w:rFonts w:ascii="Cambria" w:hAnsi="Cambria"/>
                <w:bCs/>
                <w:sz w:val="20"/>
                <w:szCs w:val="20"/>
                <w:lang w:val="es-CO"/>
              </w:rPr>
              <w:t>, 24</w:t>
            </w:r>
            <w:r w:rsidR="0086433A">
              <w:rPr>
                <w:rFonts w:ascii="Cambria" w:hAnsi="Cambria"/>
                <w:bCs/>
                <w:sz w:val="20"/>
                <w:szCs w:val="20"/>
                <w:lang w:val="es-CO"/>
              </w:rPr>
              <w:t xml:space="preserve"> (igualdad ante la ley)</w:t>
            </w:r>
            <w:r w:rsidR="00742362" w:rsidRPr="00FC7DFE">
              <w:rPr>
                <w:rFonts w:ascii="Cambria" w:hAnsi="Cambria"/>
                <w:bCs/>
                <w:sz w:val="20"/>
                <w:szCs w:val="20"/>
                <w:lang w:val="es-CO"/>
              </w:rPr>
              <w:t xml:space="preserve"> y 25</w:t>
            </w:r>
            <w:r w:rsidR="0086433A">
              <w:rPr>
                <w:rFonts w:ascii="Cambria" w:hAnsi="Cambria"/>
                <w:bCs/>
                <w:sz w:val="20"/>
                <w:szCs w:val="20"/>
                <w:lang w:val="es-CO"/>
              </w:rPr>
              <w:t xml:space="preserve"> (protección judicial) de la Convención Americana sobre Derechos Humanos</w:t>
            </w:r>
            <w:r w:rsidR="0086433A">
              <w:rPr>
                <w:rStyle w:val="FootnoteReference"/>
                <w:rFonts w:ascii="Cambria" w:hAnsi="Cambria"/>
                <w:bCs/>
                <w:sz w:val="20"/>
                <w:szCs w:val="20"/>
                <w:lang w:val="es-CO"/>
              </w:rPr>
              <w:footnoteReference w:id="3"/>
            </w:r>
            <w:r w:rsidR="00060F20">
              <w:rPr>
                <w:rFonts w:ascii="Cambria" w:hAnsi="Cambria"/>
                <w:bCs/>
                <w:sz w:val="20"/>
                <w:szCs w:val="20"/>
                <w:lang w:val="es-CO"/>
              </w:rPr>
              <w:t>; y otros instrumentos</w:t>
            </w:r>
            <w:r w:rsidR="00CA59CE">
              <w:rPr>
                <w:rFonts w:ascii="Cambria" w:hAnsi="Cambria"/>
                <w:bCs/>
                <w:sz w:val="20"/>
                <w:szCs w:val="20"/>
                <w:lang w:val="es-CO"/>
              </w:rPr>
              <w:t xml:space="preserve"> internacionales</w:t>
            </w:r>
            <w:r w:rsidR="00060F20">
              <w:rPr>
                <w:rStyle w:val="FootnoteReference"/>
                <w:rFonts w:ascii="Cambria" w:hAnsi="Cambria"/>
                <w:bCs/>
                <w:sz w:val="20"/>
                <w:szCs w:val="20"/>
                <w:lang w:val="es-CO"/>
              </w:rPr>
              <w:footnoteReference w:id="4"/>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4E31E1B4" w:rsidR="004C2312" w:rsidRPr="003239B8" w:rsidRDefault="00710891">
            <w:pPr>
              <w:jc w:val="both"/>
              <w:rPr>
                <w:rFonts w:ascii="Cambria" w:hAnsi="Cambria"/>
                <w:bCs/>
                <w:sz w:val="20"/>
                <w:szCs w:val="20"/>
                <w:lang w:val="es-ES"/>
              </w:rPr>
            </w:pPr>
            <w:r>
              <w:rPr>
                <w:rFonts w:ascii="Cambria" w:hAnsi="Cambria"/>
                <w:bCs/>
                <w:sz w:val="20"/>
                <w:szCs w:val="20"/>
                <w:lang w:val="es-ES"/>
              </w:rPr>
              <w:t>1° de junio de 2015</w:t>
            </w:r>
          </w:p>
        </w:tc>
      </w:tr>
      <w:tr w:rsidR="00131425" w:rsidRPr="00F21627"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50F5BB17" w:rsidR="00131425" w:rsidRPr="003239B8" w:rsidRDefault="00E6062F">
            <w:pPr>
              <w:jc w:val="both"/>
              <w:rPr>
                <w:rFonts w:ascii="Cambria" w:hAnsi="Cambria"/>
                <w:bCs/>
                <w:sz w:val="20"/>
                <w:szCs w:val="20"/>
                <w:lang w:val="es-ES"/>
              </w:rPr>
            </w:pPr>
            <w:r>
              <w:rPr>
                <w:rFonts w:ascii="Cambria" w:hAnsi="Cambria"/>
                <w:bCs/>
                <w:sz w:val="20"/>
                <w:szCs w:val="20"/>
                <w:lang w:val="es-ES"/>
              </w:rPr>
              <w:t xml:space="preserve">7 de abril de 2016, </w:t>
            </w:r>
            <w:r w:rsidR="00744B77">
              <w:rPr>
                <w:rFonts w:ascii="Cambria" w:hAnsi="Cambria"/>
                <w:bCs/>
                <w:sz w:val="20"/>
                <w:szCs w:val="20"/>
                <w:lang w:val="es-ES"/>
              </w:rPr>
              <w:t xml:space="preserve">24 de febrero de 2017, </w:t>
            </w:r>
            <w:r w:rsidR="0043537D">
              <w:rPr>
                <w:rFonts w:ascii="Cambria" w:hAnsi="Cambria"/>
                <w:bCs/>
                <w:sz w:val="20"/>
                <w:szCs w:val="20"/>
                <w:lang w:val="es-ES"/>
              </w:rPr>
              <w:t xml:space="preserve">20 de marzo de 2017, </w:t>
            </w:r>
            <w:r w:rsidR="00B22C71">
              <w:rPr>
                <w:rFonts w:ascii="Cambria" w:hAnsi="Cambria"/>
                <w:bCs/>
                <w:sz w:val="20"/>
                <w:szCs w:val="20"/>
                <w:lang w:val="es-ES"/>
              </w:rPr>
              <w:t xml:space="preserve">23 de marzo de 2017, </w:t>
            </w:r>
            <w:r w:rsidR="00E32DB0">
              <w:rPr>
                <w:rFonts w:ascii="Cambria" w:hAnsi="Cambria"/>
                <w:bCs/>
                <w:sz w:val="20"/>
                <w:szCs w:val="20"/>
                <w:lang w:val="es-ES"/>
              </w:rPr>
              <w:t xml:space="preserve">26 de marzo de 2017, </w:t>
            </w:r>
            <w:r w:rsidR="00A60250">
              <w:rPr>
                <w:rFonts w:ascii="Cambria" w:hAnsi="Cambria"/>
                <w:bCs/>
                <w:sz w:val="20"/>
                <w:szCs w:val="20"/>
                <w:lang w:val="es-ES"/>
              </w:rPr>
              <w:t xml:space="preserve">6 de abril de 2017, </w:t>
            </w:r>
            <w:r w:rsidR="006217C6">
              <w:rPr>
                <w:rFonts w:ascii="Cambria" w:hAnsi="Cambria"/>
                <w:bCs/>
                <w:sz w:val="20"/>
                <w:szCs w:val="20"/>
                <w:lang w:val="es-ES"/>
              </w:rPr>
              <w:t xml:space="preserve">29 de agosto de 2017, </w:t>
            </w:r>
            <w:r w:rsidR="000F3EC4">
              <w:rPr>
                <w:rFonts w:ascii="Cambria" w:hAnsi="Cambria"/>
                <w:bCs/>
                <w:sz w:val="20"/>
                <w:szCs w:val="20"/>
                <w:lang w:val="es-ES"/>
              </w:rPr>
              <w:t xml:space="preserve">20 de noviembre de 2017, </w:t>
            </w:r>
            <w:r w:rsidR="00452A9B">
              <w:rPr>
                <w:rFonts w:ascii="Cambria" w:hAnsi="Cambria"/>
                <w:bCs/>
                <w:sz w:val="20"/>
                <w:szCs w:val="20"/>
                <w:lang w:val="es-ES"/>
              </w:rPr>
              <w:t xml:space="preserve">26 de febrero de 2018, </w:t>
            </w:r>
            <w:r w:rsidR="00DE026D">
              <w:rPr>
                <w:rFonts w:ascii="Cambria" w:hAnsi="Cambria"/>
                <w:bCs/>
                <w:sz w:val="20"/>
                <w:szCs w:val="20"/>
                <w:lang w:val="es-ES"/>
              </w:rPr>
              <w:t xml:space="preserve">26 de marzo de 2018, </w:t>
            </w:r>
            <w:r w:rsidR="004D7079">
              <w:rPr>
                <w:rFonts w:ascii="Cambria" w:hAnsi="Cambria"/>
                <w:bCs/>
                <w:sz w:val="20"/>
                <w:szCs w:val="20"/>
                <w:lang w:val="es-ES"/>
              </w:rPr>
              <w:t xml:space="preserve">10 de abril de 2018, </w:t>
            </w:r>
            <w:r w:rsidR="00794796">
              <w:rPr>
                <w:rFonts w:ascii="Cambria" w:hAnsi="Cambria"/>
                <w:bCs/>
                <w:sz w:val="20"/>
                <w:szCs w:val="20"/>
                <w:lang w:val="es-ES"/>
              </w:rPr>
              <w:t xml:space="preserve">18 de </w:t>
            </w:r>
            <w:r w:rsidR="009C67A3">
              <w:rPr>
                <w:rFonts w:ascii="Cambria" w:hAnsi="Cambria"/>
                <w:bCs/>
                <w:sz w:val="20"/>
                <w:szCs w:val="20"/>
                <w:lang w:val="es-ES"/>
              </w:rPr>
              <w:t>abril</w:t>
            </w:r>
            <w:r w:rsidR="00794796">
              <w:rPr>
                <w:rFonts w:ascii="Cambria" w:hAnsi="Cambria"/>
                <w:bCs/>
                <w:sz w:val="20"/>
                <w:szCs w:val="20"/>
                <w:lang w:val="es-ES"/>
              </w:rPr>
              <w:t xml:space="preserve"> de 2018, </w:t>
            </w:r>
            <w:r w:rsidR="009C67A3">
              <w:rPr>
                <w:rFonts w:ascii="Cambria" w:hAnsi="Cambria"/>
                <w:bCs/>
                <w:sz w:val="20"/>
                <w:szCs w:val="20"/>
                <w:lang w:val="es-ES"/>
              </w:rPr>
              <w:t xml:space="preserve">25 de abril de 2018, </w:t>
            </w:r>
            <w:r w:rsidR="0018278A">
              <w:rPr>
                <w:rFonts w:ascii="Cambria" w:hAnsi="Cambria"/>
                <w:bCs/>
                <w:sz w:val="20"/>
                <w:szCs w:val="20"/>
                <w:lang w:val="es-ES"/>
              </w:rPr>
              <w:t>26 de septiembre de 2018</w:t>
            </w:r>
            <w:r w:rsidR="006870A7">
              <w:rPr>
                <w:rFonts w:ascii="Cambria" w:hAnsi="Cambria"/>
                <w:bCs/>
                <w:sz w:val="20"/>
                <w:szCs w:val="20"/>
                <w:lang w:val="es-ES"/>
              </w:rPr>
              <w:t xml:space="preserve">, 21 de enero de 2020, 12 de marzo de 2020, </w:t>
            </w:r>
            <w:r w:rsidR="00F066D3">
              <w:rPr>
                <w:rFonts w:ascii="Cambria" w:hAnsi="Cambria"/>
                <w:bCs/>
                <w:sz w:val="20"/>
                <w:szCs w:val="20"/>
                <w:lang w:val="es-ES"/>
              </w:rPr>
              <w:t xml:space="preserve">17 de noviembre de 2020, </w:t>
            </w:r>
            <w:r w:rsidR="00756CE1">
              <w:rPr>
                <w:rFonts w:ascii="Cambria" w:hAnsi="Cambria"/>
                <w:bCs/>
                <w:sz w:val="20"/>
                <w:szCs w:val="20"/>
                <w:lang w:val="es-ES"/>
              </w:rPr>
              <w:t xml:space="preserve">18 de noviembre de 2020, </w:t>
            </w:r>
            <w:r w:rsidR="008020A1">
              <w:rPr>
                <w:rFonts w:ascii="Cambria" w:hAnsi="Cambria"/>
                <w:bCs/>
                <w:sz w:val="20"/>
                <w:szCs w:val="20"/>
                <w:lang w:val="es-ES"/>
              </w:rPr>
              <w:t xml:space="preserve">19 de noviembre de 2020, </w:t>
            </w:r>
            <w:r w:rsidR="00E630A3">
              <w:rPr>
                <w:rFonts w:ascii="Cambria" w:hAnsi="Cambria"/>
                <w:bCs/>
                <w:sz w:val="20"/>
                <w:szCs w:val="20"/>
                <w:lang w:val="es-ES"/>
              </w:rPr>
              <w:t xml:space="preserve">12 de marzo de 2021, </w:t>
            </w:r>
            <w:r w:rsidR="00D246D5">
              <w:rPr>
                <w:rFonts w:ascii="Cambria" w:hAnsi="Cambria"/>
                <w:bCs/>
                <w:sz w:val="20"/>
                <w:szCs w:val="20"/>
                <w:lang w:val="es-ES"/>
              </w:rPr>
              <w:t>27 de enero de 2021</w:t>
            </w:r>
            <w:r w:rsidR="003F6F7E">
              <w:rPr>
                <w:rFonts w:ascii="Cambria" w:hAnsi="Cambria"/>
                <w:bCs/>
                <w:sz w:val="20"/>
                <w:szCs w:val="20"/>
                <w:lang w:val="es-ES"/>
              </w:rPr>
              <w:t xml:space="preserve"> y 13 de octubre de 2023</w:t>
            </w:r>
          </w:p>
        </w:tc>
      </w:tr>
      <w:tr w:rsidR="004C2312" w:rsidRPr="009E360F"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3C098CAF" w:rsidR="004C2312" w:rsidRPr="003239B8" w:rsidRDefault="002A4191">
            <w:pPr>
              <w:jc w:val="both"/>
              <w:rPr>
                <w:rFonts w:ascii="Cambria" w:hAnsi="Cambria"/>
                <w:bCs/>
                <w:sz w:val="20"/>
                <w:szCs w:val="20"/>
                <w:lang w:val="es-ES"/>
              </w:rPr>
            </w:pPr>
            <w:r>
              <w:rPr>
                <w:rFonts w:ascii="Cambria" w:hAnsi="Cambria"/>
                <w:bCs/>
                <w:sz w:val="20"/>
                <w:szCs w:val="20"/>
                <w:lang w:val="es-ES"/>
              </w:rPr>
              <w:t>18 de diciembre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3F1AA8C5" w:rsidR="004C2312" w:rsidRPr="003239B8" w:rsidRDefault="003C2123">
            <w:pPr>
              <w:jc w:val="both"/>
              <w:rPr>
                <w:rFonts w:ascii="Cambria" w:hAnsi="Cambria"/>
                <w:bCs/>
                <w:sz w:val="20"/>
                <w:szCs w:val="20"/>
                <w:lang w:val="es-ES"/>
              </w:rPr>
            </w:pPr>
            <w:r>
              <w:rPr>
                <w:rFonts w:ascii="Cambria" w:hAnsi="Cambria"/>
                <w:bCs/>
                <w:sz w:val="20"/>
                <w:szCs w:val="20"/>
                <w:lang w:val="es-ES"/>
              </w:rPr>
              <w:t>29 de agosto de 2020</w:t>
            </w:r>
          </w:p>
        </w:tc>
      </w:tr>
      <w:tr w:rsidR="004C2312" w:rsidRPr="009E360F"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187D1AE1" w:rsidR="004C2312" w:rsidRPr="003239B8" w:rsidRDefault="00B67F26">
            <w:pPr>
              <w:jc w:val="both"/>
              <w:rPr>
                <w:rFonts w:ascii="Cambria" w:hAnsi="Cambria"/>
                <w:bCs/>
                <w:sz w:val="20"/>
                <w:szCs w:val="20"/>
                <w:lang w:val="es-ES"/>
              </w:rPr>
            </w:pPr>
            <w:r>
              <w:rPr>
                <w:rFonts w:ascii="Cambria" w:hAnsi="Cambria"/>
                <w:bCs/>
                <w:sz w:val="20"/>
                <w:szCs w:val="20"/>
                <w:lang w:val="es-ES"/>
              </w:rPr>
              <w:t>18 de noviembre de 2020</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2062D7B5" w:rsidR="004C2312" w:rsidRPr="009111EC" w:rsidRDefault="00F5784C">
            <w:pPr>
              <w:jc w:val="both"/>
              <w:rPr>
                <w:rFonts w:ascii="Cambria" w:hAnsi="Cambria"/>
                <w:bCs/>
                <w:sz w:val="20"/>
                <w:szCs w:val="20"/>
              </w:rPr>
            </w:pPr>
            <w:r>
              <w:rPr>
                <w:rFonts w:ascii="Cambria" w:hAnsi="Cambria"/>
                <w:bCs/>
                <w:sz w:val="20"/>
                <w:szCs w:val="20"/>
              </w:rPr>
              <w:t>17 de diciembre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6FB3E339" w:rsidR="003239B8" w:rsidRPr="00B3745F" w:rsidRDefault="002B1F7C">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02423131" w:rsidR="003239B8" w:rsidRPr="00B3745F" w:rsidRDefault="002B1F7C">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1DC811BD" w:rsidR="003239B8" w:rsidRPr="00B3745F" w:rsidRDefault="002B1F7C">
            <w:pPr>
              <w:rPr>
                <w:rFonts w:ascii="Cambria" w:hAnsi="Cambria"/>
                <w:bCs/>
                <w:sz w:val="20"/>
                <w:szCs w:val="20"/>
              </w:rPr>
            </w:pPr>
            <w:r>
              <w:rPr>
                <w:rFonts w:ascii="Cambria" w:hAnsi="Cambria"/>
                <w:bCs/>
                <w:sz w:val="20"/>
                <w:szCs w:val="20"/>
              </w:rPr>
              <w:t>Sí</w:t>
            </w:r>
          </w:p>
        </w:tc>
      </w:tr>
      <w:tr w:rsidR="003239B8" w:rsidRPr="00F21627"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FF23E8D" w:rsidR="003239B8" w:rsidRPr="00B3745F" w:rsidRDefault="00954B72">
            <w:pPr>
              <w:jc w:val="both"/>
              <w:rPr>
                <w:rFonts w:ascii="Cambria" w:hAnsi="Cambria"/>
                <w:bCs/>
                <w:sz w:val="20"/>
                <w:szCs w:val="20"/>
                <w:lang w:val="es-ES"/>
              </w:rPr>
            </w:pPr>
            <w:r w:rsidRPr="00DD7C73">
              <w:rPr>
                <w:rFonts w:asciiTheme="majorHAnsi" w:hAnsiTheme="majorHAnsi"/>
                <w:bCs/>
                <w:sz w:val="20"/>
                <w:szCs w:val="20"/>
                <w:lang w:val="es-ES"/>
              </w:rPr>
              <w:t xml:space="preserve">Sí, Convención Americana </w:t>
            </w:r>
            <w:r w:rsidRPr="00DD7C73">
              <w:rPr>
                <w:rFonts w:ascii="Cambria" w:hAnsi="Cambria"/>
                <w:bCs/>
                <w:sz w:val="20"/>
                <w:szCs w:val="20"/>
                <w:lang w:val="es-ES"/>
              </w:rPr>
              <w:t>(depósito del instrumento</w:t>
            </w:r>
            <w:r>
              <w:rPr>
                <w:rFonts w:ascii="Cambria" w:hAnsi="Cambria"/>
                <w:bCs/>
                <w:sz w:val="20"/>
                <w:szCs w:val="20"/>
                <w:lang w:val="es-ES"/>
              </w:rPr>
              <w:t xml:space="preserve"> de ratificación</w:t>
            </w:r>
            <w:r w:rsidRPr="00DD7C73">
              <w:rPr>
                <w:rFonts w:ascii="Cambria" w:hAnsi="Cambria"/>
                <w:bCs/>
                <w:sz w:val="20"/>
                <w:szCs w:val="20"/>
                <w:lang w:val="es-ES"/>
              </w:rPr>
              <w:t xml:space="preserve"> realizado el</w:t>
            </w:r>
            <w:r>
              <w:rPr>
                <w:rFonts w:ascii="Cambria" w:hAnsi="Cambria"/>
                <w:bCs/>
                <w:sz w:val="20"/>
                <w:szCs w:val="20"/>
                <w:lang w:val="es-ES"/>
              </w:rPr>
              <w:t xml:space="preserve"> 31 de julio de 1973</w:t>
            </w:r>
            <w:r w:rsidRPr="00DD7C73">
              <w:rPr>
                <w:rFonts w:ascii="Cambria" w:hAnsi="Cambria"/>
                <w:bCs/>
                <w:sz w:val="20"/>
                <w:szCs w:val="20"/>
                <w:lang w:val="es-ES"/>
              </w:rPr>
              <w:t>)</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9E360F"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3F2B067D" w:rsidR="00EE00E9" w:rsidRPr="00DC24E3" w:rsidRDefault="00423E09">
            <w:pPr>
              <w:jc w:val="both"/>
              <w:rPr>
                <w:rFonts w:ascii="Cambria" w:hAnsi="Cambria"/>
                <w:bCs/>
                <w:sz w:val="20"/>
                <w:szCs w:val="20"/>
                <w:lang w:val="es-ES"/>
              </w:rPr>
            </w:pPr>
            <w:r>
              <w:rPr>
                <w:rFonts w:ascii="Cambria" w:hAnsi="Cambria"/>
                <w:bCs/>
                <w:sz w:val="20"/>
                <w:szCs w:val="20"/>
                <w:lang w:val="es-ES"/>
              </w:rPr>
              <w:t>No</w:t>
            </w:r>
          </w:p>
        </w:tc>
      </w:tr>
      <w:tr w:rsidR="003239B8" w:rsidRPr="00F21627"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lastRenderedPageBreak/>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77CD4159" w:rsidR="003239B8" w:rsidRPr="00C3350B" w:rsidRDefault="00C3350B">
            <w:pPr>
              <w:jc w:val="both"/>
              <w:rPr>
                <w:rFonts w:ascii="Cambria" w:hAnsi="Cambria"/>
                <w:bCs/>
                <w:sz w:val="20"/>
                <w:szCs w:val="20"/>
                <w:lang w:val="es-CO"/>
              </w:rPr>
            </w:pPr>
            <w:r w:rsidRPr="00FC7DFE">
              <w:rPr>
                <w:rFonts w:ascii="Cambria" w:hAnsi="Cambria"/>
                <w:bCs/>
                <w:sz w:val="20"/>
                <w:szCs w:val="20"/>
                <w:lang w:val="es-CO"/>
              </w:rPr>
              <w:t xml:space="preserve">Artículos </w:t>
            </w:r>
            <w:r w:rsidR="00DF6E1E">
              <w:rPr>
                <w:rFonts w:ascii="Cambria" w:hAnsi="Cambria"/>
                <w:bCs/>
                <w:sz w:val="20"/>
                <w:szCs w:val="20"/>
                <w:lang w:val="es-CO"/>
              </w:rPr>
              <w:t xml:space="preserve">5 (integridad personal), </w:t>
            </w:r>
            <w:r w:rsidRPr="00FC7DFE">
              <w:rPr>
                <w:rFonts w:ascii="Cambria" w:hAnsi="Cambria"/>
                <w:bCs/>
                <w:sz w:val="20"/>
                <w:szCs w:val="20"/>
                <w:lang w:val="es-CO"/>
              </w:rPr>
              <w:t>7 (l</w:t>
            </w:r>
            <w:r>
              <w:rPr>
                <w:rFonts w:ascii="Cambria" w:hAnsi="Cambria"/>
                <w:bCs/>
                <w:sz w:val="20"/>
                <w:szCs w:val="20"/>
                <w:lang w:val="es-CO"/>
              </w:rPr>
              <w:t>ibertad personal)</w:t>
            </w:r>
            <w:r w:rsidRPr="00FC7DFE">
              <w:rPr>
                <w:rFonts w:ascii="Cambria" w:hAnsi="Cambria"/>
                <w:bCs/>
                <w:sz w:val="20"/>
                <w:szCs w:val="20"/>
                <w:lang w:val="es-CO"/>
              </w:rPr>
              <w:t>, 8</w:t>
            </w:r>
            <w:r>
              <w:rPr>
                <w:rFonts w:ascii="Cambria" w:hAnsi="Cambria"/>
                <w:bCs/>
                <w:sz w:val="20"/>
                <w:szCs w:val="20"/>
                <w:lang w:val="es-CO"/>
              </w:rPr>
              <w:t xml:space="preserve"> (garantías judiciales)</w:t>
            </w:r>
            <w:r w:rsidRPr="00FC7DFE">
              <w:rPr>
                <w:rFonts w:ascii="Cambria" w:hAnsi="Cambria"/>
                <w:bCs/>
                <w:sz w:val="20"/>
                <w:szCs w:val="20"/>
                <w:lang w:val="es-CO"/>
              </w:rPr>
              <w:t>, 11</w:t>
            </w:r>
            <w:r>
              <w:rPr>
                <w:rFonts w:ascii="Cambria" w:hAnsi="Cambria"/>
                <w:bCs/>
                <w:sz w:val="20"/>
                <w:szCs w:val="20"/>
                <w:lang w:val="es-CO"/>
              </w:rPr>
              <w:t xml:space="preserve"> (protección de la honra y de la dignidad)</w:t>
            </w:r>
            <w:r w:rsidRPr="00FC7DFE">
              <w:rPr>
                <w:rFonts w:ascii="Cambria" w:hAnsi="Cambria"/>
                <w:bCs/>
                <w:sz w:val="20"/>
                <w:szCs w:val="20"/>
                <w:lang w:val="es-CO"/>
              </w:rPr>
              <w:t>, 16</w:t>
            </w:r>
            <w:r>
              <w:rPr>
                <w:rFonts w:ascii="Cambria" w:hAnsi="Cambria"/>
                <w:bCs/>
                <w:sz w:val="20"/>
                <w:szCs w:val="20"/>
                <w:lang w:val="es-CO"/>
              </w:rPr>
              <w:t xml:space="preserve"> (libertad de asociación)</w:t>
            </w:r>
            <w:r w:rsidRPr="00FC7DFE">
              <w:rPr>
                <w:rFonts w:ascii="Cambria" w:hAnsi="Cambria"/>
                <w:bCs/>
                <w:sz w:val="20"/>
                <w:szCs w:val="20"/>
                <w:lang w:val="es-CO"/>
              </w:rPr>
              <w:t>, 24</w:t>
            </w:r>
            <w:r>
              <w:rPr>
                <w:rFonts w:ascii="Cambria" w:hAnsi="Cambria"/>
                <w:bCs/>
                <w:sz w:val="20"/>
                <w:szCs w:val="20"/>
                <w:lang w:val="es-CO"/>
              </w:rPr>
              <w:t xml:space="preserve"> (igualdad ante la ley)</w:t>
            </w:r>
            <w:r w:rsidRPr="00FC7DFE">
              <w:rPr>
                <w:rFonts w:ascii="Cambria" w:hAnsi="Cambria"/>
                <w:bCs/>
                <w:sz w:val="20"/>
                <w:szCs w:val="20"/>
                <w:lang w:val="es-CO"/>
              </w:rPr>
              <w:t xml:space="preserve"> y 25</w:t>
            </w:r>
            <w:r>
              <w:rPr>
                <w:rFonts w:ascii="Cambria" w:hAnsi="Cambria"/>
                <w:bCs/>
                <w:sz w:val="20"/>
                <w:szCs w:val="20"/>
                <w:lang w:val="es-CO"/>
              </w:rPr>
              <w:t xml:space="preserve"> (protección judicial) de la Convención Americana</w:t>
            </w:r>
            <w:r w:rsidR="00CA59CE">
              <w:rPr>
                <w:rFonts w:ascii="Cambria" w:hAnsi="Cambria"/>
                <w:bCs/>
                <w:sz w:val="20"/>
                <w:szCs w:val="20"/>
                <w:lang w:val="es-CO"/>
              </w:rPr>
              <w:t>, en relación con su artículo 1.1 (obligación de respetar los derechos)</w:t>
            </w:r>
          </w:p>
        </w:tc>
      </w:tr>
      <w:tr w:rsidR="003239B8" w:rsidRPr="009E360F"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03BA4F8D" w:rsidR="003239B8" w:rsidRPr="00DC24E3" w:rsidRDefault="00094307">
            <w:pPr>
              <w:rPr>
                <w:rFonts w:ascii="Cambria" w:hAnsi="Cambria"/>
                <w:bCs/>
                <w:sz w:val="20"/>
                <w:szCs w:val="20"/>
                <w:lang w:val="es-ES"/>
              </w:rPr>
            </w:pPr>
            <w:r>
              <w:rPr>
                <w:rFonts w:ascii="Cambria" w:hAnsi="Cambria"/>
                <w:bCs/>
                <w:sz w:val="20"/>
                <w:szCs w:val="20"/>
                <w:lang w:val="es-ES"/>
              </w:rPr>
              <w:t>Sí</w:t>
            </w:r>
          </w:p>
        </w:tc>
      </w:tr>
      <w:tr w:rsidR="003239B8" w:rsidRPr="00F21627"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784CDEA" w:rsidR="003239B8" w:rsidRPr="00094307" w:rsidRDefault="00094307">
            <w:pPr>
              <w:rPr>
                <w:rFonts w:ascii="Cambria" w:hAnsi="Cambria"/>
                <w:bCs/>
                <w:sz w:val="20"/>
                <w:szCs w:val="20"/>
                <w:lang w:val="es-CO"/>
              </w:rPr>
            </w:pPr>
            <w:r w:rsidRPr="00094307">
              <w:rPr>
                <w:rFonts w:ascii="Cambria" w:hAnsi="Cambria"/>
                <w:bCs/>
                <w:sz w:val="20"/>
                <w:szCs w:val="20"/>
                <w:lang w:val="es-CO"/>
              </w:rPr>
              <w:t>Sí, el 24 de febrero d</w:t>
            </w:r>
            <w:r>
              <w:rPr>
                <w:rFonts w:ascii="Cambria" w:hAnsi="Cambria"/>
                <w:bCs/>
                <w:sz w:val="20"/>
                <w:szCs w:val="20"/>
                <w:lang w:val="es-CO"/>
              </w:rPr>
              <w:t>e 2016</w:t>
            </w:r>
          </w:p>
        </w:tc>
      </w:tr>
    </w:tbl>
    <w:p w14:paraId="56FD5D57" w14:textId="252B1FD5" w:rsidR="003239B8" w:rsidRPr="00D64207" w:rsidRDefault="00223A29" w:rsidP="00D64207">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D64207">
        <w:rPr>
          <w:rFonts w:asciiTheme="majorHAnsi" w:hAnsiTheme="majorHAnsi"/>
          <w:b/>
          <w:sz w:val="20"/>
          <w:szCs w:val="20"/>
          <w:lang w:val="es-UY"/>
        </w:rPr>
        <w:t>POSICIÓN DE LAS PARTES</w:t>
      </w:r>
      <w:r w:rsidR="003239B8" w:rsidRPr="00D64207">
        <w:rPr>
          <w:rFonts w:asciiTheme="majorHAnsi" w:hAnsiTheme="majorHAnsi"/>
          <w:b/>
          <w:sz w:val="20"/>
          <w:szCs w:val="20"/>
          <w:lang w:val="es-UY"/>
        </w:rPr>
        <w:t xml:space="preserve"> </w:t>
      </w:r>
    </w:p>
    <w:p w14:paraId="6901F992" w14:textId="2868F9D8" w:rsidR="0008158C" w:rsidRPr="00D64207" w:rsidRDefault="00125980" w:rsidP="00D64207">
      <w:pPr>
        <w:pStyle w:val="ListParagraph"/>
        <w:numPr>
          <w:ilvl w:val="0"/>
          <w:numId w:val="0"/>
        </w:numPr>
        <w:ind w:firstLine="720"/>
        <w:jc w:val="both"/>
        <w:rPr>
          <w:rFonts w:asciiTheme="majorHAnsi" w:hAnsiTheme="majorHAnsi"/>
          <w:b/>
          <w:sz w:val="20"/>
          <w:szCs w:val="20"/>
          <w:lang w:val="es-UY"/>
        </w:rPr>
      </w:pPr>
      <w:r w:rsidRPr="00D64207">
        <w:rPr>
          <w:rFonts w:asciiTheme="majorHAnsi" w:hAnsiTheme="majorHAnsi"/>
          <w:b/>
          <w:sz w:val="20"/>
          <w:szCs w:val="20"/>
          <w:lang w:val="es-UY"/>
        </w:rPr>
        <w:t>La p</w:t>
      </w:r>
      <w:r w:rsidR="0008158C" w:rsidRPr="00D64207">
        <w:rPr>
          <w:rFonts w:asciiTheme="majorHAnsi" w:hAnsiTheme="majorHAnsi"/>
          <w:b/>
          <w:sz w:val="20"/>
          <w:szCs w:val="20"/>
          <w:lang w:val="es-UY"/>
        </w:rPr>
        <w:t>arte peticionaria</w:t>
      </w:r>
    </w:p>
    <w:p w14:paraId="53BD3EF6" w14:textId="58664F58" w:rsidR="006E621A" w:rsidRPr="00D64207" w:rsidRDefault="00523339" w:rsidP="00D64207">
      <w:pPr>
        <w:pStyle w:val="ListParagraph"/>
        <w:numPr>
          <w:ilvl w:val="0"/>
          <w:numId w:val="61"/>
        </w:numPr>
        <w:ind w:left="0" w:firstLine="720"/>
        <w:jc w:val="both"/>
        <w:rPr>
          <w:rFonts w:asciiTheme="majorHAnsi" w:hAnsiTheme="majorHAnsi"/>
          <w:bCs/>
          <w:sz w:val="20"/>
          <w:szCs w:val="20"/>
          <w:lang w:val="es-UY"/>
        </w:rPr>
      </w:pPr>
      <w:r w:rsidRPr="00D64207">
        <w:rPr>
          <w:rFonts w:asciiTheme="majorHAnsi" w:hAnsiTheme="majorHAnsi"/>
          <w:sz w:val="20"/>
          <w:szCs w:val="20"/>
          <w:lang w:val="es-AR"/>
        </w:rPr>
        <w:t xml:space="preserve">El señor José Humberto Gómez Herrera (en adelante “el peticionario”, “la presunta víctima” o “el Sr. Gómez Herrera”) denuncia </w:t>
      </w:r>
      <w:r w:rsidR="004F6F20" w:rsidRPr="00D64207">
        <w:rPr>
          <w:rFonts w:asciiTheme="majorHAnsi" w:hAnsiTheme="majorHAnsi"/>
          <w:sz w:val="20"/>
          <w:szCs w:val="20"/>
          <w:lang w:val="es-AR"/>
        </w:rPr>
        <w:t xml:space="preserve">la criminalización de </w:t>
      </w:r>
      <w:r w:rsidR="000A217E" w:rsidRPr="00D64207">
        <w:rPr>
          <w:rFonts w:asciiTheme="majorHAnsi" w:hAnsiTheme="majorHAnsi"/>
          <w:sz w:val="20"/>
          <w:szCs w:val="20"/>
          <w:lang w:val="es-AR"/>
        </w:rPr>
        <w:t xml:space="preserve">su labor como defensor de derechos humanos </w:t>
      </w:r>
      <w:r w:rsidR="004F6F20" w:rsidRPr="00D64207">
        <w:rPr>
          <w:rFonts w:asciiTheme="majorHAnsi" w:hAnsiTheme="majorHAnsi"/>
          <w:sz w:val="20"/>
          <w:szCs w:val="20"/>
          <w:lang w:val="es-AR"/>
        </w:rPr>
        <w:t xml:space="preserve">mediante un proceso penal en el que </w:t>
      </w:r>
      <w:r w:rsidR="000A217E" w:rsidRPr="00D64207">
        <w:rPr>
          <w:rFonts w:asciiTheme="majorHAnsi" w:hAnsiTheme="majorHAnsi"/>
          <w:sz w:val="20"/>
          <w:szCs w:val="20"/>
          <w:lang w:val="es-AR"/>
        </w:rPr>
        <w:t>fue condenado</w:t>
      </w:r>
      <w:r w:rsidR="003E42F8" w:rsidRPr="00D64207">
        <w:rPr>
          <w:rFonts w:asciiTheme="majorHAnsi" w:hAnsiTheme="majorHAnsi"/>
          <w:sz w:val="20"/>
          <w:szCs w:val="20"/>
          <w:lang w:val="es-AR"/>
        </w:rPr>
        <w:t>; así como</w:t>
      </w:r>
      <w:r w:rsidR="004F6F20" w:rsidRPr="00D64207">
        <w:rPr>
          <w:rFonts w:asciiTheme="majorHAnsi" w:hAnsiTheme="majorHAnsi"/>
          <w:sz w:val="20"/>
          <w:szCs w:val="20"/>
          <w:lang w:val="es-AR"/>
        </w:rPr>
        <w:t xml:space="preserve"> </w:t>
      </w:r>
      <w:r w:rsidR="00F10B9B" w:rsidRPr="00D64207">
        <w:rPr>
          <w:rFonts w:asciiTheme="majorHAnsi" w:hAnsiTheme="majorHAnsi"/>
          <w:sz w:val="20"/>
          <w:szCs w:val="20"/>
          <w:lang w:val="es-AR"/>
        </w:rPr>
        <w:t xml:space="preserve">la denegación </w:t>
      </w:r>
      <w:r w:rsidR="00073F25" w:rsidRPr="00D64207">
        <w:rPr>
          <w:rFonts w:asciiTheme="majorHAnsi" w:hAnsiTheme="majorHAnsi"/>
          <w:sz w:val="20"/>
          <w:szCs w:val="20"/>
          <w:lang w:val="es-AR"/>
        </w:rPr>
        <w:t xml:space="preserve">constante </w:t>
      </w:r>
      <w:r w:rsidR="00F10B9B" w:rsidRPr="00D64207">
        <w:rPr>
          <w:rFonts w:asciiTheme="majorHAnsi" w:hAnsiTheme="majorHAnsi"/>
          <w:sz w:val="20"/>
          <w:szCs w:val="20"/>
          <w:lang w:val="es-AR"/>
        </w:rPr>
        <w:t xml:space="preserve">de su </w:t>
      </w:r>
      <w:r w:rsidR="000A217E" w:rsidRPr="00D64207">
        <w:rPr>
          <w:rFonts w:asciiTheme="majorHAnsi" w:hAnsiTheme="majorHAnsi"/>
          <w:sz w:val="20"/>
          <w:szCs w:val="20"/>
          <w:lang w:val="es-AR"/>
        </w:rPr>
        <w:t>libertad condicional, pese a que</w:t>
      </w:r>
      <w:r w:rsidR="00A64FEB" w:rsidRPr="00D64207">
        <w:rPr>
          <w:rFonts w:asciiTheme="majorHAnsi" w:hAnsiTheme="majorHAnsi"/>
          <w:sz w:val="20"/>
          <w:szCs w:val="20"/>
          <w:lang w:val="es-AR"/>
        </w:rPr>
        <w:t xml:space="preserve"> </w:t>
      </w:r>
      <w:r w:rsidR="009B3249" w:rsidRPr="00D64207">
        <w:rPr>
          <w:rFonts w:asciiTheme="majorHAnsi" w:hAnsiTheme="majorHAnsi"/>
          <w:sz w:val="20"/>
          <w:szCs w:val="20"/>
          <w:lang w:val="es-AR"/>
        </w:rPr>
        <w:t>la ley interna</w:t>
      </w:r>
      <w:r w:rsidR="00CD313A" w:rsidRPr="00D64207">
        <w:rPr>
          <w:rFonts w:asciiTheme="majorHAnsi" w:hAnsiTheme="majorHAnsi"/>
          <w:sz w:val="20"/>
          <w:szCs w:val="20"/>
          <w:lang w:val="es-AR"/>
        </w:rPr>
        <w:t xml:space="preserve"> la disponía a su favor</w:t>
      </w:r>
      <w:r w:rsidR="009B3249" w:rsidRPr="00D64207">
        <w:rPr>
          <w:rFonts w:asciiTheme="majorHAnsi" w:hAnsiTheme="majorHAnsi"/>
          <w:sz w:val="20"/>
          <w:szCs w:val="20"/>
          <w:lang w:val="es-AR"/>
        </w:rPr>
        <w:t>.</w:t>
      </w:r>
    </w:p>
    <w:p w14:paraId="7CFB56BF" w14:textId="4B627649" w:rsidR="006E621A" w:rsidRPr="00D64207" w:rsidRDefault="00DA3DC8" w:rsidP="00D64207">
      <w:pPr>
        <w:pStyle w:val="ListParagraph"/>
        <w:numPr>
          <w:ilvl w:val="0"/>
          <w:numId w:val="61"/>
        </w:numPr>
        <w:ind w:left="0" w:firstLine="720"/>
        <w:jc w:val="both"/>
        <w:rPr>
          <w:rFonts w:asciiTheme="majorHAnsi" w:hAnsiTheme="majorHAnsi"/>
          <w:bCs/>
          <w:sz w:val="20"/>
          <w:szCs w:val="20"/>
          <w:lang w:val="es-UY"/>
        </w:rPr>
      </w:pPr>
      <w:r w:rsidRPr="00D64207">
        <w:rPr>
          <w:rFonts w:asciiTheme="majorHAnsi" w:hAnsiTheme="majorHAnsi"/>
          <w:sz w:val="20"/>
          <w:szCs w:val="20"/>
          <w:lang w:val="es-AR"/>
        </w:rPr>
        <w:t xml:space="preserve">El peticionario </w:t>
      </w:r>
      <w:r w:rsidR="00B8506D" w:rsidRPr="00D64207">
        <w:rPr>
          <w:rFonts w:asciiTheme="majorHAnsi" w:hAnsiTheme="majorHAnsi"/>
          <w:sz w:val="20"/>
          <w:szCs w:val="20"/>
          <w:lang w:val="es-AR"/>
        </w:rPr>
        <w:t>narra</w:t>
      </w:r>
      <w:r w:rsidRPr="00D64207">
        <w:rPr>
          <w:rFonts w:asciiTheme="majorHAnsi" w:hAnsiTheme="majorHAnsi"/>
          <w:sz w:val="20"/>
          <w:szCs w:val="20"/>
          <w:lang w:val="es-AR"/>
        </w:rPr>
        <w:t xml:space="preserve"> que </w:t>
      </w:r>
      <w:r w:rsidR="00D71579" w:rsidRPr="00D64207">
        <w:rPr>
          <w:rFonts w:asciiTheme="majorHAnsi" w:hAnsiTheme="majorHAnsi"/>
          <w:sz w:val="20"/>
          <w:szCs w:val="20"/>
          <w:lang w:val="es-AR"/>
        </w:rPr>
        <w:t xml:space="preserve">se desempeña como </w:t>
      </w:r>
      <w:r w:rsidR="00474616" w:rsidRPr="00D64207">
        <w:rPr>
          <w:rFonts w:asciiTheme="majorHAnsi" w:hAnsiTheme="majorHAnsi"/>
          <w:sz w:val="20"/>
          <w:szCs w:val="20"/>
          <w:lang w:val="es-AR"/>
        </w:rPr>
        <w:t>defensor de derechos humanos desde 1998</w:t>
      </w:r>
      <w:r w:rsidR="005F1662" w:rsidRPr="00D64207">
        <w:rPr>
          <w:rFonts w:asciiTheme="majorHAnsi" w:hAnsiTheme="majorHAnsi"/>
          <w:sz w:val="20"/>
          <w:szCs w:val="20"/>
          <w:lang w:val="es-AR"/>
        </w:rPr>
        <w:t xml:space="preserve">, </w:t>
      </w:r>
      <w:r w:rsidR="00AC19BF" w:rsidRPr="00D64207">
        <w:rPr>
          <w:rFonts w:asciiTheme="majorHAnsi" w:hAnsiTheme="majorHAnsi"/>
          <w:sz w:val="20"/>
          <w:szCs w:val="20"/>
          <w:lang w:val="es-AR"/>
        </w:rPr>
        <w:t xml:space="preserve">pues, en su condición de desplazado interno </w:t>
      </w:r>
      <w:r w:rsidR="009233F1" w:rsidRPr="00D64207">
        <w:rPr>
          <w:rFonts w:asciiTheme="majorHAnsi" w:hAnsiTheme="majorHAnsi"/>
          <w:sz w:val="20"/>
          <w:szCs w:val="20"/>
          <w:lang w:val="es-AR"/>
        </w:rPr>
        <w:t xml:space="preserve">comenzó a asesorar a otras víctimas del conflicto armado en Colombia </w:t>
      </w:r>
      <w:r w:rsidR="00F617A1" w:rsidRPr="00D64207">
        <w:rPr>
          <w:rFonts w:asciiTheme="majorHAnsi" w:hAnsiTheme="majorHAnsi"/>
          <w:sz w:val="20"/>
          <w:szCs w:val="20"/>
          <w:lang w:val="es-AR"/>
        </w:rPr>
        <w:t xml:space="preserve">sobre cómo presentar acciones legales para reclamar </w:t>
      </w:r>
      <w:r w:rsidR="00423386" w:rsidRPr="00D64207">
        <w:rPr>
          <w:rFonts w:asciiTheme="majorHAnsi" w:hAnsiTheme="majorHAnsi"/>
          <w:sz w:val="20"/>
          <w:szCs w:val="20"/>
          <w:lang w:val="es-AR"/>
        </w:rPr>
        <w:t>el reconocimiento de sus derechos</w:t>
      </w:r>
      <w:r w:rsidR="000C5CDC" w:rsidRPr="00D64207">
        <w:rPr>
          <w:rFonts w:asciiTheme="majorHAnsi" w:hAnsiTheme="majorHAnsi"/>
          <w:sz w:val="20"/>
          <w:szCs w:val="20"/>
          <w:lang w:val="es-AR"/>
        </w:rPr>
        <w:t>.</w:t>
      </w:r>
      <w:r w:rsidR="009970F2" w:rsidRPr="00D64207">
        <w:rPr>
          <w:rFonts w:asciiTheme="majorHAnsi" w:hAnsiTheme="majorHAnsi"/>
          <w:sz w:val="20"/>
          <w:szCs w:val="20"/>
          <w:lang w:val="es-AR"/>
        </w:rPr>
        <w:t xml:space="preserve"> Afirma que junto a otras víctimas de desplazamiento forzado conformó la Cooperativa </w:t>
      </w:r>
      <w:r w:rsidR="0067316A" w:rsidRPr="00D64207">
        <w:rPr>
          <w:rFonts w:asciiTheme="majorHAnsi" w:hAnsiTheme="majorHAnsi"/>
          <w:sz w:val="20"/>
          <w:szCs w:val="20"/>
          <w:lang w:val="es-AR"/>
        </w:rPr>
        <w:t>“CODESVIC J.P.S.” en 2011 y ejerce como su representante legal.</w:t>
      </w:r>
      <w:r w:rsidR="008D258B" w:rsidRPr="00D64207">
        <w:rPr>
          <w:rFonts w:asciiTheme="majorHAnsi" w:hAnsiTheme="majorHAnsi"/>
          <w:sz w:val="20"/>
          <w:szCs w:val="20"/>
          <w:lang w:val="es-AR"/>
        </w:rPr>
        <w:t xml:space="preserve"> </w:t>
      </w:r>
      <w:r w:rsidR="009D6F87" w:rsidRPr="00D64207">
        <w:rPr>
          <w:rFonts w:asciiTheme="majorHAnsi" w:hAnsiTheme="majorHAnsi"/>
          <w:sz w:val="20"/>
          <w:szCs w:val="20"/>
          <w:lang w:val="es-AR"/>
        </w:rPr>
        <w:t>En este contexto</w:t>
      </w:r>
      <w:r w:rsidR="00786966" w:rsidRPr="00D64207">
        <w:rPr>
          <w:rFonts w:asciiTheme="majorHAnsi" w:hAnsiTheme="majorHAnsi"/>
          <w:sz w:val="20"/>
          <w:szCs w:val="20"/>
          <w:lang w:val="es-AR"/>
        </w:rPr>
        <w:t>,</w:t>
      </w:r>
      <w:r w:rsidR="008D258B" w:rsidRPr="00D64207">
        <w:rPr>
          <w:rFonts w:asciiTheme="majorHAnsi" w:hAnsiTheme="majorHAnsi"/>
          <w:sz w:val="20"/>
          <w:szCs w:val="20"/>
          <w:lang w:val="es-AR"/>
        </w:rPr>
        <w:t xml:space="preserve"> el 5 de diciembre de 2011 </w:t>
      </w:r>
      <w:r w:rsidR="00996D32" w:rsidRPr="00D64207">
        <w:rPr>
          <w:rFonts w:asciiTheme="majorHAnsi" w:hAnsiTheme="majorHAnsi"/>
          <w:sz w:val="20"/>
          <w:szCs w:val="20"/>
          <w:lang w:val="es-AR"/>
        </w:rPr>
        <w:t>funcionarios del Departamento Administrativo de Seguridad (en adelante “DAS”)</w:t>
      </w:r>
      <w:r w:rsidR="00392325" w:rsidRPr="00D64207">
        <w:rPr>
          <w:rFonts w:asciiTheme="majorHAnsi" w:hAnsiTheme="majorHAnsi"/>
          <w:sz w:val="20"/>
          <w:szCs w:val="20"/>
          <w:lang w:val="es-AR"/>
        </w:rPr>
        <w:t xml:space="preserve"> allanaron la sede</w:t>
      </w:r>
      <w:r w:rsidR="00FD0835" w:rsidRPr="00D64207">
        <w:rPr>
          <w:rFonts w:asciiTheme="majorHAnsi" w:hAnsiTheme="majorHAnsi"/>
          <w:sz w:val="20"/>
          <w:szCs w:val="20"/>
          <w:lang w:val="es-AR"/>
        </w:rPr>
        <w:t xml:space="preserve"> de la Cooperativa en Bogotá por orden de la fiscalía 304 delegada</w:t>
      </w:r>
      <w:r w:rsidR="00413359" w:rsidRPr="00D64207">
        <w:rPr>
          <w:rFonts w:asciiTheme="majorHAnsi" w:hAnsiTheme="majorHAnsi"/>
          <w:sz w:val="20"/>
          <w:szCs w:val="20"/>
          <w:lang w:val="es-AR"/>
        </w:rPr>
        <w:t>, indicando que tenían orden de captura en contra del Sr. Gómez Herrera por los delitos de fraude procesal, concierto para delinquir, cohecho y falsedad material en documento público</w:t>
      </w:r>
      <w:r w:rsidR="00FD0835" w:rsidRPr="00D64207">
        <w:rPr>
          <w:rFonts w:asciiTheme="majorHAnsi" w:hAnsiTheme="majorHAnsi"/>
          <w:sz w:val="20"/>
          <w:szCs w:val="20"/>
          <w:lang w:val="es-AR"/>
        </w:rPr>
        <w:t>.</w:t>
      </w:r>
      <w:r w:rsidR="00413359" w:rsidRPr="00D64207">
        <w:rPr>
          <w:rFonts w:asciiTheme="majorHAnsi" w:hAnsiTheme="majorHAnsi"/>
          <w:sz w:val="20"/>
          <w:szCs w:val="20"/>
          <w:lang w:val="es-AR"/>
        </w:rPr>
        <w:t xml:space="preserve"> </w:t>
      </w:r>
      <w:r w:rsidR="008D0712" w:rsidRPr="00D64207">
        <w:rPr>
          <w:rFonts w:asciiTheme="majorHAnsi" w:hAnsiTheme="majorHAnsi"/>
          <w:sz w:val="20"/>
          <w:szCs w:val="20"/>
          <w:lang w:val="es-AR"/>
        </w:rPr>
        <w:t>El Sr. Gómez Herrera i</w:t>
      </w:r>
      <w:r w:rsidR="00AF731F" w:rsidRPr="00D64207">
        <w:rPr>
          <w:rFonts w:asciiTheme="majorHAnsi" w:hAnsiTheme="majorHAnsi"/>
          <w:sz w:val="20"/>
          <w:szCs w:val="20"/>
          <w:lang w:val="es-AR"/>
        </w:rPr>
        <w:t>ndica</w:t>
      </w:r>
      <w:r w:rsidR="00692154" w:rsidRPr="00D64207">
        <w:rPr>
          <w:rFonts w:asciiTheme="majorHAnsi" w:hAnsiTheme="majorHAnsi"/>
          <w:sz w:val="20"/>
          <w:szCs w:val="20"/>
          <w:lang w:val="es-AR"/>
        </w:rPr>
        <w:t xml:space="preserve"> que</w:t>
      </w:r>
      <w:r w:rsidR="009C5E42" w:rsidRPr="00D64207">
        <w:rPr>
          <w:rFonts w:asciiTheme="majorHAnsi" w:hAnsiTheme="majorHAnsi"/>
          <w:sz w:val="20"/>
          <w:szCs w:val="20"/>
          <w:lang w:val="es-AR"/>
        </w:rPr>
        <w:t xml:space="preserve"> fue detenido al acudir a la organización y llevado a la sede principal del DAS.</w:t>
      </w:r>
    </w:p>
    <w:p w14:paraId="6E354C8C" w14:textId="021D159E" w:rsidR="009C5E42" w:rsidRPr="00D64207" w:rsidRDefault="002E5C0A" w:rsidP="00D64207">
      <w:pPr>
        <w:pStyle w:val="ListParagraph"/>
        <w:numPr>
          <w:ilvl w:val="0"/>
          <w:numId w:val="61"/>
        </w:numPr>
        <w:ind w:left="0" w:firstLine="720"/>
        <w:jc w:val="both"/>
        <w:rPr>
          <w:rFonts w:asciiTheme="majorHAnsi" w:hAnsiTheme="majorHAnsi"/>
          <w:bCs/>
          <w:sz w:val="20"/>
          <w:szCs w:val="20"/>
          <w:lang w:val="es-UY"/>
        </w:rPr>
      </w:pPr>
      <w:r w:rsidRPr="00D64207">
        <w:rPr>
          <w:rFonts w:asciiTheme="majorHAnsi" w:hAnsiTheme="majorHAnsi"/>
          <w:sz w:val="20"/>
          <w:szCs w:val="20"/>
          <w:lang w:val="es-AR"/>
        </w:rPr>
        <w:t xml:space="preserve">El peticionario recalca que ese día el presidente de la República </w:t>
      </w:r>
      <w:r w:rsidR="003C7343" w:rsidRPr="00D64207">
        <w:rPr>
          <w:rFonts w:asciiTheme="majorHAnsi" w:hAnsiTheme="majorHAnsi"/>
          <w:sz w:val="20"/>
          <w:szCs w:val="20"/>
          <w:lang w:val="es-AR"/>
        </w:rPr>
        <w:t xml:space="preserve">señaló en </w:t>
      </w:r>
      <w:r w:rsidR="00075049" w:rsidRPr="00D64207">
        <w:rPr>
          <w:rFonts w:asciiTheme="majorHAnsi" w:hAnsiTheme="majorHAnsi"/>
          <w:sz w:val="20"/>
          <w:szCs w:val="20"/>
          <w:lang w:val="es-AR"/>
        </w:rPr>
        <w:t xml:space="preserve">los </w:t>
      </w:r>
      <w:r w:rsidR="003C7343" w:rsidRPr="00D64207">
        <w:rPr>
          <w:rFonts w:asciiTheme="majorHAnsi" w:hAnsiTheme="majorHAnsi"/>
          <w:sz w:val="20"/>
          <w:szCs w:val="20"/>
          <w:lang w:val="es-AR"/>
        </w:rPr>
        <w:t>medios de comunica</w:t>
      </w:r>
      <w:r w:rsidR="00FE4789" w:rsidRPr="00D64207">
        <w:rPr>
          <w:rFonts w:asciiTheme="majorHAnsi" w:hAnsiTheme="majorHAnsi"/>
          <w:sz w:val="20"/>
          <w:szCs w:val="20"/>
          <w:lang w:val="es-AR"/>
        </w:rPr>
        <w:t xml:space="preserve">ción que </w:t>
      </w:r>
      <w:r w:rsidR="00F94FCC" w:rsidRPr="00D64207">
        <w:rPr>
          <w:rFonts w:asciiTheme="majorHAnsi" w:hAnsiTheme="majorHAnsi"/>
          <w:sz w:val="20"/>
          <w:szCs w:val="20"/>
          <w:lang w:val="es-AR"/>
        </w:rPr>
        <w:t xml:space="preserve">las autoridades </w:t>
      </w:r>
      <w:r w:rsidR="00FE4789" w:rsidRPr="00D64207">
        <w:rPr>
          <w:rFonts w:asciiTheme="majorHAnsi" w:hAnsiTheme="majorHAnsi"/>
          <w:sz w:val="20"/>
          <w:szCs w:val="20"/>
          <w:lang w:val="es-AR"/>
        </w:rPr>
        <w:t>había</w:t>
      </w:r>
      <w:r w:rsidR="00F94FCC" w:rsidRPr="00D64207">
        <w:rPr>
          <w:rFonts w:asciiTheme="majorHAnsi" w:hAnsiTheme="majorHAnsi"/>
          <w:sz w:val="20"/>
          <w:szCs w:val="20"/>
          <w:lang w:val="es-AR"/>
        </w:rPr>
        <w:t>n</w:t>
      </w:r>
      <w:r w:rsidR="00FE4789" w:rsidRPr="00D64207">
        <w:rPr>
          <w:rFonts w:asciiTheme="majorHAnsi" w:hAnsiTheme="majorHAnsi"/>
          <w:sz w:val="20"/>
          <w:szCs w:val="20"/>
          <w:lang w:val="es-AR"/>
        </w:rPr>
        <w:t xml:space="preserve"> desmantelado una banda de delincuentes que defraudaban al Estado con fal</w:t>
      </w:r>
      <w:r w:rsidR="001C5E4D" w:rsidRPr="00D64207">
        <w:rPr>
          <w:rFonts w:asciiTheme="majorHAnsi" w:hAnsiTheme="majorHAnsi"/>
          <w:sz w:val="20"/>
          <w:szCs w:val="20"/>
          <w:lang w:val="es-AR"/>
        </w:rPr>
        <w:t>s</w:t>
      </w:r>
      <w:r w:rsidR="00FE4789" w:rsidRPr="00D64207">
        <w:rPr>
          <w:rFonts w:asciiTheme="majorHAnsi" w:hAnsiTheme="majorHAnsi"/>
          <w:sz w:val="20"/>
          <w:szCs w:val="20"/>
          <w:lang w:val="es-AR"/>
        </w:rPr>
        <w:t>as víctimas del conflicto armado</w:t>
      </w:r>
      <w:r w:rsidR="001C5E4D" w:rsidRPr="00D64207">
        <w:rPr>
          <w:rFonts w:asciiTheme="majorHAnsi" w:hAnsiTheme="majorHAnsi"/>
          <w:sz w:val="20"/>
          <w:szCs w:val="20"/>
          <w:lang w:val="es-AR"/>
        </w:rPr>
        <w:t>, refiriéndose al Sr. Gómez Herrera</w:t>
      </w:r>
      <w:r w:rsidR="00DE645A" w:rsidRPr="00D64207">
        <w:rPr>
          <w:rFonts w:asciiTheme="majorHAnsi" w:hAnsiTheme="majorHAnsi"/>
          <w:sz w:val="20"/>
          <w:szCs w:val="20"/>
          <w:lang w:val="es-AR"/>
        </w:rPr>
        <w:t>,</w:t>
      </w:r>
      <w:r w:rsidR="00E46927" w:rsidRPr="00D64207">
        <w:rPr>
          <w:rFonts w:asciiTheme="majorHAnsi" w:hAnsiTheme="majorHAnsi"/>
          <w:sz w:val="20"/>
          <w:szCs w:val="20"/>
          <w:lang w:val="es-AR"/>
        </w:rPr>
        <w:t xml:space="preserve"> y pidió que </w:t>
      </w:r>
      <w:r w:rsidR="00075049" w:rsidRPr="00D64207">
        <w:rPr>
          <w:rFonts w:asciiTheme="majorHAnsi" w:hAnsiTheme="majorHAnsi"/>
          <w:sz w:val="20"/>
          <w:szCs w:val="20"/>
          <w:lang w:val="es-AR"/>
        </w:rPr>
        <w:t>“</w:t>
      </w:r>
      <w:r w:rsidR="00E46927" w:rsidRPr="00D64207">
        <w:rPr>
          <w:rFonts w:asciiTheme="majorHAnsi" w:hAnsiTheme="majorHAnsi"/>
          <w:i/>
          <w:iCs/>
          <w:sz w:val="20"/>
          <w:szCs w:val="20"/>
          <w:lang w:val="es-AR"/>
        </w:rPr>
        <w:t>les cayera todo el peso de la ley</w:t>
      </w:r>
      <w:r w:rsidR="00E46927" w:rsidRPr="00D64207">
        <w:rPr>
          <w:rFonts w:asciiTheme="majorHAnsi" w:hAnsiTheme="majorHAnsi"/>
          <w:sz w:val="20"/>
          <w:szCs w:val="20"/>
          <w:lang w:val="es-AR"/>
        </w:rPr>
        <w:t xml:space="preserve">”. </w:t>
      </w:r>
      <w:r w:rsidR="00093EEB" w:rsidRPr="00D64207">
        <w:rPr>
          <w:rFonts w:asciiTheme="majorHAnsi" w:hAnsiTheme="majorHAnsi"/>
          <w:sz w:val="20"/>
          <w:szCs w:val="20"/>
          <w:lang w:val="es-AR"/>
        </w:rPr>
        <w:t>El Sr. Gómez Herrera a</w:t>
      </w:r>
      <w:r w:rsidR="001E2F4F" w:rsidRPr="00D64207">
        <w:rPr>
          <w:rFonts w:asciiTheme="majorHAnsi" w:hAnsiTheme="majorHAnsi"/>
          <w:sz w:val="20"/>
          <w:szCs w:val="20"/>
          <w:lang w:val="es-AR"/>
        </w:rPr>
        <w:t>duce</w:t>
      </w:r>
      <w:r w:rsidR="00093EEB" w:rsidRPr="00D64207">
        <w:rPr>
          <w:rFonts w:asciiTheme="majorHAnsi" w:hAnsiTheme="majorHAnsi"/>
          <w:sz w:val="20"/>
          <w:szCs w:val="20"/>
          <w:lang w:val="es-AR"/>
        </w:rPr>
        <w:t xml:space="preserve"> que esta declaración generó</w:t>
      </w:r>
      <w:r w:rsidR="00D51C40" w:rsidRPr="00D64207">
        <w:rPr>
          <w:rFonts w:asciiTheme="majorHAnsi" w:hAnsiTheme="majorHAnsi"/>
          <w:sz w:val="20"/>
          <w:szCs w:val="20"/>
          <w:lang w:val="es-AR"/>
        </w:rPr>
        <w:t xml:space="preserve"> una</w:t>
      </w:r>
      <w:r w:rsidR="00093EEB" w:rsidRPr="00D64207">
        <w:rPr>
          <w:rFonts w:asciiTheme="majorHAnsi" w:hAnsiTheme="majorHAnsi"/>
          <w:sz w:val="20"/>
          <w:szCs w:val="20"/>
          <w:lang w:val="es-AR"/>
        </w:rPr>
        <w:t xml:space="preserve"> presión </w:t>
      </w:r>
      <w:r w:rsidR="00D51C40" w:rsidRPr="00D64207">
        <w:rPr>
          <w:rFonts w:asciiTheme="majorHAnsi" w:hAnsiTheme="majorHAnsi"/>
          <w:sz w:val="20"/>
          <w:szCs w:val="20"/>
          <w:lang w:val="es-AR"/>
        </w:rPr>
        <w:t xml:space="preserve">indebida </w:t>
      </w:r>
      <w:r w:rsidR="00093EEB" w:rsidRPr="00D64207">
        <w:rPr>
          <w:rFonts w:asciiTheme="majorHAnsi" w:hAnsiTheme="majorHAnsi"/>
          <w:sz w:val="20"/>
          <w:szCs w:val="20"/>
          <w:lang w:val="es-AR"/>
        </w:rPr>
        <w:t xml:space="preserve">en los operadores de justicia que </w:t>
      </w:r>
      <w:r w:rsidR="0075189F" w:rsidRPr="00D64207">
        <w:rPr>
          <w:rFonts w:asciiTheme="majorHAnsi" w:hAnsiTheme="majorHAnsi"/>
          <w:sz w:val="20"/>
          <w:szCs w:val="20"/>
          <w:lang w:val="es-AR"/>
        </w:rPr>
        <w:t>conocieron su caso y provocó violaciones de sus garantías procesales en el marco del juicio adelantado en su contra.</w:t>
      </w:r>
      <w:r w:rsidR="00200DAC" w:rsidRPr="00D64207">
        <w:rPr>
          <w:rFonts w:asciiTheme="majorHAnsi" w:hAnsiTheme="majorHAnsi"/>
          <w:sz w:val="20"/>
          <w:szCs w:val="20"/>
          <w:lang w:val="es-AR"/>
        </w:rPr>
        <w:t xml:space="preserve"> </w:t>
      </w:r>
      <w:r w:rsidR="003B7D3E" w:rsidRPr="00D64207">
        <w:rPr>
          <w:rFonts w:asciiTheme="majorHAnsi" w:hAnsiTheme="majorHAnsi"/>
          <w:sz w:val="20"/>
          <w:szCs w:val="20"/>
          <w:lang w:val="es-AR"/>
        </w:rPr>
        <w:t>Así,</w:t>
      </w:r>
      <w:r w:rsidR="00200DAC" w:rsidRPr="00D64207">
        <w:rPr>
          <w:rFonts w:asciiTheme="majorHAnsi" w:hAnsiTheme="majorHAnsi"/>
          <w:sz w:val="20"/>
          <w:szCs w:val="20"/>
          <w:lang w:val="es-AR"/>
        </w:rPr>
        <w:t xml:space="preserve"> el 7 de diciembre de 2011 el Juzgado 38 Penal de </w:t>
      </w:r>
      <w:r w:rsidR="005A1D3A" w:rsidRPr="00D64207">
        <w:rPr>
          <w:rFonts w:asciiTheme="majorHAnsi" w:hAnsiTheme="majorHAnsi"/>
          <w:sz w:val="20"/>
          <w:szCs w:val="20"/>
          <w:lang w:val="es-AR"/>
        </w:rPr>
        <w:t>Control de Garantías dispuso su detención preventiva en el centro carcelario La Picota</w:t>
      </w:r>
      <w:r w:rsidR="002F472F" w:rsidRPr="00D64207">
        <w:rPr>
          <w:rFonts w:asciiTheme="majorHAnsi" w:hAnsiTheme="majorHAnsi"/>
          <w:sz w:val="20"/>
          <w:szCs w:val="20"/>
          <w:lang w:val="es-AR"/>
        </w:rPr>
        <w:t xml:space="preserve"> de Bogotá</w:t>
      </w:r>
      <w:r w:rsidR="009E0283" w:rsidRPr="00D64207">
        <w:rPr>
          <w:rFonts w:asciiTheme="majorHAnsi" w:hAnsiTheme="majorHAnsi"/>
          <w:sz w:val="20"/>
          <w:szCs w:val="20"/>
          <w:lang w:val="es-AR"/>
        </w:rPr>
        <w:t xml:space="preserve">, de donde posteriormente fue trasladado al </w:t>
      </w:r>
      <w:r w:rsidR="00BD3273" w:rsidRPr="00D64207">
        <w:rPr>
          <w:rFonts w:asciiTheme="majorHAnsi" w:hAnsiTheme="majorHAnsi"/>
          <w:sz w:val="20"/>
          <w:szCs w:val="20"/>
          <w:lang w:val="es-AR"/>
        </w:rPr>
        <w:t>DAS y luego a la cárcel Modelo</w:t>
      </w:r>
      <w:r w:rsidR="000C3FD2" w:rsidRPr="00D64207">
        <w:rPr>
          <w:rFonts w:asciiTheme="majorHAnsi" w:hAnsiTheme="majorHAnsi"/>
          <w:sz w:val="20"/>
          <w:szCs w:val="20"/>
          <w:lang w:val="es-AR"/>
        </w:rPr>
        <w:t>, en el cual denuncia que fue sometido a condiciones precarias debido al hacinamiento, como dormir en el piso,</w:t>
      </w:r>
      <w:r w:rsidR="00765133" w:rsidRPr="00D64207">
        <w:rPr>
          <w:rFonts w:asciiTheme="majorHAnsi" w:hAnsiTheme="majorHAnsi"/>
          <w:sz w:val="20"/>
          <w:szCs w:val="20"/>
          <w:lang w:val="es-AR"/>
        </w:rPr>
        <w:t xml:space="preserve"> comer en medio de ratones y excremento, </w:t>
      </w:r>
      <w:r w:rsidR="00756F8F" w:rsidRPr="00D64207">
        <w:rPr>
          <w:rFonts w:asciiTheme="majorHAnsi" w:hAnsiTheme="majorHAnsi"/>
          <w:sz w:val="20"/>
          <w:szCs w:val="20"/>
          <w:lang w:val="es-AR"/>
        </w:rPr>
        <w:t xml:space="preserve">sufrir </w:t>
      </w:r>
      <w:r w:rsidR="00765133" w:rsidRPr="00D64207">
        <w:rPr>
          <w:rFonts w:asciiTheme="majorHAnsi" w:hAnsiTheme="majorHAnsi"/>
          <w:sz w:val="20"/>
          <w:szCs w:val="20"/>
          <w:lang w:val="es-AR"/>
        </w:rPr>
        <w:t>extorsi</w:t>
      </w:r>
      <w:r w:rsidR="00756F8F" w:rsidRPr="00D64207">
        <w:rPr>
          <w:rFonts w:asciiTheme="majorHAnsi" w:hAnsiTheme="majorHAnsi"/>
          <w:sz w:val="20"/>
          <w:szCs w:val="20"/>
          <w:lang w:val="es-AR"/>
        </w:rPr>
        <w:t>ones</w:t>
      </w:r>
      <w:r w:rsidR="00765133" w:rsidRPr="00D64207">
        <w:rPr>
          <w:rFonts w:asciiTheme="majorHAnsi" w:hAnsiTheme="majorHAnsi"/>
          <w:sz w:val="20"/>
          <w:szCs w:val="20"/>
          <w:lang w:val="es-AR"/>
        </w:rPr>
        <w:t xml:space="preserve"> y maltrato psicológico</w:t>
      </w:r>
      <w:r w:rsidR="00BD3273" w:rsidRPr="00D64207">
        <w:rPr>
          <w:rFonts w:asciiTheme="majorHAnsi" w:hAnsiTheme="majorHAnsi"/>
          <w:sz w:val="20"/>
          <w:szCs w:val="20"/>
          <w:lang w:val="es-AR"/>
        </w:rPr>
        <w:t>.</w:t>
      </w:r>
    </w:p>
    <w:p w14:paraId="6EEC3FB5" w14:textId="44EA7E1E" w:rsidR="00FD24CD" w:rsidRPr="00D64207" w:rsidRDefault="00756F8F" w:rsidP="00D64207">
      <w:pPr>
        <w:pStyle w:val="ListParagraph"/>
        <w:numPr>
          <w:ilvl w:val="0"/>
          <w:numId w:val="61"/>
        </w:numPr>
        <w:ind w:left="0" w:firstLine="720"/>
        <w:jc w:val="both"/>
        <w:rPr>
          <w:rFonts w:asciiTheme="majorHAnsi" w:hAnsiTheme="majorHAnsi"/>
          <w:bCs/>
          <w:sz w:val="20"/>
          <w:szCs w:val="20"/>
          <w:lang w:val="es-UY"/>
        </w:rPr>
      </w:pPr>
      <w:r w:rsidRPr="00D64207">
        <w:rPr>
          <w:rFonts w:asciiTheme="majorHAnsi" w:hAnsiTheme="majorHAnsi"/>
          <w:color w:val="auto"/>
          <w:sz w:val="20"/>
          <w:szCs w:val="20"/>
          <w:lang w:val="es-AR"/>
        </w:rPr>
        <w:t xml:space="preserve">Cuenta </w:t>
      </w:r>
      <w:r w:rsidRPr="00D64207">
        <w:rPr>
          <w:rFonts w:asciiTheme="majorHAnsi" w:hAnsiTheme="majorHAnsi"/>
          <w:sz w:val="20"/>
          <w:szCs w:val="20"/>
          <w:lang w:val="es-AR"/>
        </w:rPr>
        <w:t>que</w:t>
      </w:r>
      <w:r w:rsidR="00FD24CD" w:rsidRPr="00D64207">
        <w:rPr>
          <w:rFonts w:asciiTheme="majorHAnsi" w:hAnsiTheme="majorHAnsi"/>
          <w:sz w:val="20"/>
          <w:szCs w:val="20"/>
          <w:lang w:val="es-AR"/>
        </w:rPr>
        <w:t xml:space="preserve"> el </w:t>
      </w:r>
      <w:r w:rsidR="003F13EF" w:rsidRPr="00D64207">
        <w:rPr>
          <w:rFonts w:asciiTheme="majorHAnsi" w:hAnsiTheme="majorHAnsi"/>
          <w:sz w:val="20"/>
          <w:szCs w:val="20"/>
          <w:lang w:val="es-AR"/>
        </w:rPr>
        <w:t xml:space="preserve">7 de mayo de 2012 solicitó </w:t>
      </w:r>
      <w:r w:rsidR="00675F18" w:rsidRPr="00D64207">
        <w:rPr>
          <w:rFonts w:asciiTheme="majorHAnsi" w:hAnsiTheme="majorHAnsi"/>
          <w:sz w:val="20"/>
          <w:szCs w:val="20"/>
          <w:lang w:val="es-AR"/>
        </w:rPr>
        <w:t>su libertad por vencimiento de términos</w:t>
      </w:r>
      <w:r w:rsidR="00BC33BE" w:rsidRPr="00D64207">
        <w:rPr>
          <w:rFonts w:asciiTheme="majorHAnsi" w:hAnsiTheme="majorHAnsi"/>
          <w:sz w:val="20"/>
          <w:szCs w:val="20"/>
          <w:lang w:val="es-AR"/>
        </w:rPr>
        <w:t>, pero</w:t>
      </w:r>
      <w:r w:rsidR="004141BD" w:rsidRPr="00D64207">
        <w:rPr>
          <w:rFonts w:asciiTheme="majorHAnsi" w:hAnsiTheme="majorHAnsi"/>
          <w:sz w:val="20"/>
          <w:szCs w:val="20"/>
          <w:lang w:val="es-AR"/>
        </w:rPr>
        <w:t xml:space="preserve"> le</w:t>
      </w:r>
      <w:r w:rsidR="00BC33BE" w:rsidRPr="00D64207">
        <w:rPr>
          <w:rFonts w:asciiTheme="majorHAnsi" w:hAnsiTheme="majorHAnsi"/>
          <w:sz w:val="20"/>
          <w:szCs w:val="20"/>
          <w:lang w:val="es-AR"/>
        </w:rPr>
        <w:t xml:space="preserve"> fue denegada</w:t>
      </w:r>
      <w:r w:rsidR="004141BD" w:rsidRPr="00D64207">
        <w:rPr>
          <w:rFonts w:asciiTheme="majorHAnsi" w:hAnsiTheme="majorHAnsi"/>
          <w:sz w:val="20"/>
          <w:szCs w:val="20"/>
          <w:lang w:val="es-AR"/>
        </w:rPr>
        <w:t>.</w:t>
      </w:r>
      <w:r w:rsidR="003C4B63" w:rsidRPr="00D64207">
        <w:rPr>
          <w:rFonts w:asciiTheme="majorHAnsi" w:hAnsiTheme="majorHAnsi"/>
          <w:sz w:val="20"/>
          <w:szCs w:val="20"/>
          <w:lang w:val="es-AR"/>
        </w:rPr>
        <w:t xml:space="preserve"> </w:t>
      </w:r>
      <w:r w:rsidR="004141BD" w:rsidRPr="00D64207">
        <w:rPr>
          <w:rFonts w:asciiTheme="majorHAnsi" w:hAnsiTheme="majorHAnsi"/>
          <w:sz w:val="20"/>
          <w:szCs w:val="20"/>
          <w:lang w:val="es-AR"/>
        </w:rPr>
        <w:t>A</w:t>
      </w:r>
      <w:r w:rsidR="003C4B63" w:rsidRPr="00D64207">
        <w:rPr>
          <w:rFonts w:asciiTheme="majorHAnsi" w:hAnsiTheme="majorHAnsi"/>
          <w:sz w:val="20"/>
          <w:szCs w:val="20"/>
          <w:lang w:val="es-AR"/>
        </w:rPr>
        <w:t xml:space="preserve">peló </w:t>
      </w:r>
      <w:r w:rsidR="004141BD" w:rsidRPr="00D64207">
        <w:rPr>
          <w:rFonts w:asciiTheme="majorHAnsi" w:hAnsiTheme="majorHAnsi"/>
          <w:sz w:val="20"/>
          <w:szCs w:val="20"/>
          <w:lang w:val="es-AR"/>
        </w:rPr>
        <w:t>esta</w:t>
      </w:r>
      <w:r w:rsidR="003C4B63" w:rsidRPr="00D64207">
        <w:rPr>
          <w:rFonts w:asciiTheme="majorHAnsi" w:hAnsiTheme="majorHAnsi"/>
          <w:sz w:val="20"/>
          <w:szCs w:val="20"/>
          <w:lang w:val="es-AR"/>
        </w:rPr>
        <w:t xml:space="preserve"> decisión</w:t>
      </w:r>
      <w:r w:rsidR="006E7E68" w:rsidRPr="00D64207">
        <w:rPr>
          <w:rFonts w:asciiTheme="majorHAnsi" w:hAnsiTheme="majorHAnsi"/>
          <w:sz w:val="20"/>
          <w:szCs w:val="20"/>
          <w:lang w:val="es-AR"/>
        </w:rPr>
        <w:t>, pero</w:t>
      </w:r>
      <w:r w:rsidR="003C4B63" w:rsidRPr="00D64207">
        <w:rPr>
          <w:rFonts w:asciiTheme="majorHAnsi" w:hAnsiTheme="majorHAnsi"/>
          <w:sz w:val="20"/>
          <w:szCs w:val="20"/>
          <w:lang w:val="es-AR"/>
        </w:rPr>
        <w:t xml:space="preserve"> el 14 de agosto </w:t>
      </w:r>
      <w:r w:rsidR="005E19D0" w:rsidRPr="00D64207">
        <w:rPr>
          <w:rFonts w:asciiTheme="majorHAnsi" w:hAnsiTheme="majorHAnsi"/>
          <w:sz w:val="20"/>
          <w:szCs w:val="20"/>
          <w:lang w:val="es-AR"/>
        </w:rPr>
        <w:t xml:space="preserve">ésta </w:t>
      </w:r>
      <w:r w:rsidR="006E7E68" w:rsidRPr="00D64207">
        <w:rPr>
          <w:rFonts w:asciiTheme="majorHAnsi" w:hAnsiTheme="majorHAnsi"/>
          <w:sz w:val="20"/>
          <w:szCs w:val="20"/>
          <w:lang w:val="es-AR"/>
        </w:rPr>
        <w:t>fue confirmada al considerar que el plazo de 180 días contaba desde la presentación del escrito de acusación y no de la captura.</w:t>
      </w:r>
      <w:r w:rsidR="00D56C75" w:rsidRPr="00D64207">
        <w:rPr>
          <w:rFonts w:asciiTheme="majorHAnsi" w:hAnsiTheme="majorHAnsi"/>
          <w:sz w:val="20"/>
          <w:szCs w:val="20"/>
          <w:lang w:val="es-AR"/>
        </w:rPr>
        <w:t xml:space="preserve"> </w:t>
      </w:r>
      <w:r w:rsidR="002C180E" w:rsidRPr="00D64207">
        <w:rPr>
          <w:rFonts w:asciiTheme="majorHAnsi" w:hAnsiTheme="majorHAnsi"/>
          <w:sz w:val="20"/>
          <w:szCs w:val="20"/>
          <w:lang w:val="es-AR"/>
        </w:rPr>
        <w:t>Afirma que el juicio se extendió durante el 2013 y el 2 de septiembre su abogado defensor solicitó nuevamente la revocatoria de la medida de aseguramiento proferida en su contra, pero el Ju</w:t>
      </w:r>
      <w:r w:rsidR="00CD5395" w:rsidRPr="00D64207">
        <w:rPr>
          <w:rFonts w:asciiTheme="majorHAnsi" w:hAnsiTheme="majorHAnsi"/>
          <w:sz w:val="20"/>
          <w:szCs w:val="20"/>
          <w:lang w:val="es-AR"/>
        </w:rPr>
        <w:t>zgado 24 Penal con Función de Conocimiento de Bogotá declaró la improcedencia de dicho pedido</w:t>
      </w:r>
      <w:r w:rsidR="00947DA9" w:rsidRPr="00D64207">
        <w:rPr>
          <w:rFonts w:asciiTheme="majorHAnsi" w:hAnsiTheme="majorHAnsi"/>
          <w:sz w:val="20"/>
          <w:szCs w:val="20"/>
          <w:lang w:val="es-AR"/>
        </w:rPr>
        <w:t xml:space="preserve"> y </w:t>
      </w:r>
      <w:r w:rsidR="00FF7CE0" w:rsidRPr="00D64207">
        <w:rPr>
          <w:rFonts w:asciiTheme="majorHAnsi" w:hAnsiTheme="majorHAnsi"/>
          <w:sz w:val="20"/>
          <w:szCs w:val="20"/>
          <w:lang w:val="es-AR"/>
        </w:rPr>
        <w:t xml:space="preserve">advirtió </w:t>
      </w:r>
      <w:r w:rsidR="0028701A" w:rsidRPr="00D64207">
        <w:rPr>
          <w:rFonts w:asciiTheme="majorHAnsi" w:hAnsiTheme="majorHAnsi"/>
          <w:sz w:val="20"/>
          <w:szCs w:val="20"/>
          <w:lang w:val="es-AR"/>
        </w:rPr>
        <w:t xml:space="preserve">a su abogado </w:t>
      </w:r>
      <w:r w:rsidR="00FF7CE0" w:rsidRPr="00D64207">
        <w:rPr>
          <w:rFonts w:asciiTheme="majorHAnsi" w:hAnsiTheme="majorHAnsi"/>
          <w:sz w:val="20"/>
          <w:szCs w:val="20"/>
          <w:lang w:val="es-AR"/>
        </w:rPr>
        <w:t>que le compulsaría copias disciplinarias si seguía presentando dicha solicitud con el fin de dilatar el proceso</w:t>
      </w:r>
      <w:r w:rsidR="00F77208" w:rsidRPr="00D64207">
        <w:rPr>
          <w:rFonts w:asciiTheme="majorHAnsi" w:hAnsiTheme="majorHAnsi"/>
          <w:sz w:val="20"/>
          <w:szCs w:val="20"/>
          <w:lang w:val="es-AR"/>
        </w:rPr>
        <w:t>.</w:t>
      </w:r>
      <w:r w:rsidR="00246B6E" w:rsidRPr="00D64207">
        <w:rPr>
          <w:rFonts w:asciiTheme="majorHAnsi" w:hAnsiTheme="majorHAnsi"/>
          <w:sz w:val="20"/>
          <w:szCs w:val="20"/>
          <w:lang w:val="es-AR"/>
        </w:rPr>
        <w:t xml:space="preserve"> Finalmente, el 4 de abril de 2014 dicho juzgado </w:t>
      </w:r>
      <w:r w:rsidR="00ED7FB5" w:rsidRPr="00D64207">
        <w:rPr>
          <w:rFonts w:asciiTheme="majorHAnsi" w:hAnsiTheme="majorHAnsi"/>
          <w:sz w:val="20"/>
          <w:szCs w:val="20"/>
          <w:lang w:val="es-AR"/>
        </w:rPr>
        <w:t>anunci</w:t>
      </w:r>
      <w:r w:rsidR="00246B6E" w:rsidRPr="00D64207">
        <w:rPr>
          <w:rFonts w:asciiTheme="majorHAnsi" w:hAnsiTheme="majorHAnsi"/>
          <w:sz w:val="20"/>
          <w:szCs w:val="20"/>
          <w:lang w:val="es-AR"/>
        </w:rPr>
        <w:t xml:space="preserve">ó </w:t>
      </w:r>
      <w:r w:rsidR="00ED7FB5" w:rsidRPr="00D64207">
        <w:rPr>
          <w:rFonts w:asciiTheme="majorHAnsi" w:hAnsiTheme="majorHAnsi"/>
          <w:sz w:val="20"/>
          <w:szCs w:val="20"/>
          <w:lang w:val="es-AR"/>
        </w:rPr>
        <w:t>en audiencia que proferiría un fallo condenatorio contr</w:t>
      </w:r>
      <w:r w:rsidR="00B11446" w:rsidRPr="00D64207">
        <w:rPr>
          <w:rFonts w:asciiTheme="majorHAnsi" w:hAnsiTheme="majorHAnsi"/>
          <w:sz w:val="20"/>
          <w:szCs w:val="20"/>
          <w:lang w:val="es-AR"/>
        </w:rPr>
        <w:t>a</w:t>
      </w:r>
      <w:r w:rsidR="00ED7FB5" w:rsidRPr="00D64207">
        <w:rPr>
          <w:rFonts w:asciiTheme="majorHAnsi" w:hAnsiTheme="majorHAnsi"/>
          <w:sz w:val="20"/>
          <w:szCs w:val="20"/>
          <w:lang w:val="es-AR"/>
        </w:rPr>
        <w:t xml:space="preserve"> e</w:t>
      </w:r>
      <w:r w:rsidR="00B11446" w:rsidRPr="00D64207">
        <w:rPr>
          <w:rFonts w:asciiTheme="majorHAnsi" w:hAnsiTheme="majorHAnsi"/>
          <w:sz w:val="20"/>
          <w:szCs w:val="20"/>
          <w:lang w:val="es-AR"/>
        </w:rPr>
        <w:t>l Sr. Gómez Herrera</w:t>
      </w:r>
      <w:r w:rsidR="00C1707B" w:rsidRPr="00D64207">
        <w:rPr>
          <w:rFonts w:asciiTheme="majorHAnsi" w:hAnsiTheme="majorHAnsi"/>
          <w:sz w:val="20"/>
          <w:szCs w:val="20"/>
          <w:lang w:val="es-AR"/>
        </w:rPr>
        <w:t xml:space="preserve">, pero también ordenó su liberación inmediata </w:t>
      </w:r>
      <w:r w:rsidR="00F41E24" w:rsidRPr="00D64207">
        <w:rPr>
          <w:rFonts w:asciiTheme="majorHAnsi" w:hAnsiTheme="majorHAnsi"/>
          <w:sz w:val="20"/>
          <w:szCs w:val="20"/>
          <w:lang w:val="es-AR"/>
        </w:rPr>
        <w:t xml:space="preserve">y puesta en detención domiciliaria </w:t>
      </w:r>
      <w:r w:rsidR="00C1707B" w:rsidRPr="00D64207">
        <w:rPr>
          <w:rFonts w:asciiTheme="majorHAnsi" w:hAnsiTheme="majorHAnsi"/>
          <w:sz w:val="20"/>
          <w:szCs w:val="20"/>
          <w:lang w:val="es-AR"/>
        </w:rPr>
        <w:t>bajo los beneficios penales que correspondía.</w:t>
      </w:r>
    </w:p>
    <w:p w14:paraId="213D8A39" w14:textId="33C98F07" w:rsidR="00085887" w:rsidRPr="00BB50C3" w:rsidRDefault="000F239A"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E</w:t>
      </w:r>
      <w:r w:rsidR="00CA5C72" w:rsidRPr="00BB50C3">
        <w:rPr>
          <w:rFonts w:asciiTheme="majorHAnsi" w:hAnsiTheme="majorHAnsi"/>
          <w:sz w:val="20"/>
          <w:szCs w:val="20"/>
          <w:lang w:val="es-AR"/>
        </w:rPr>
        <w:t xml:space="preserve">l peticionario </w:t>
      </w:r>
      <w:r w:rsidR="00B342A5" w:rsidRPr="00BB50C3">
        <w:rPr>
          <w:rFonts w:asciiTheme="majorHAnsi" w:hAnsiTheme="majorHAnsi"/>
          <w:sz w:val="20"/>
          <w:szCs w:val="20"/>
          <w:lang w:val="es-AR"/>
        </w:rPr>
        <w:t>denuncia</w:t>
      </w:r>
      <w:r w:rsidR="00CA5C72" w:rsidRPr="00BB50C3">
        <w:rPr>
          <w:rFonts w:asciiTheme="majorHAnsi" w:hAnsiTheme="majorHAnsi"/>
          <w:sz w:val="20"/>
          <w:szCs w:val="20"/>
          <w:lang w:val="es-AR"/>
        </w:rPr>
        <w:t xml:space="preserve"> que </w:t>
      </w:r>
      <w:r w:rsidR="001E5A50" w:rsidRPr="00BB50C3">
        <w:rPr>
          <w:rFonts w:asciiTheme="majorHAnsi" w:hAnsiTheme="majorHAnsi"/>
          <w:sz w:val="20"/>
          <w:szCs w:val="20"/>
          <w:lang w:val="es-AR"/>
        </w:rPr>
        <w:t xml:space="preserve">la sentencia de primera instancia no fue debidamente ejecutada, </w:t>
      </w:r>
      <w:r w:rsidR="00957909" w:rsidRPr="00BB50C3">
        <w:rPr>
          <w:rFonts w:asciiTheme="majorHAnsi" w:hAnsiTheme="majorHAnsi"/>
          <w:sz w:val="20"/>
          <w:szCs w:val="20"/>
          <w:lang w:val="es-AR"/>
        </w:rPr>
        <w:t>ya</w:t>
      </w:r>
      <w:r w:rsidR="001E5A50" w:rsidRPr="00BB50C3">
        <w:rPr>
          <w:rFonts w:asciiTheme="majorHAnsi" w:hAnsiTheme="majorHAnsi"/>
          <w:sz w:val="20"/>
          <w:szCs w:val="20"/>
          <w:lang w:val="es-AR"/>
        </w:rPr>
        <w:t xml:space="preserve"> que le había </w:t>
      </w:r>
      <w:r w:rsidR="00F41E24" w:rsidRPr="00BB50C3">
        <w:rPr>
          <w:rFonts w:asciiTheme="majorHAnsi" w:hAnsiTheme="majorHAnsi"/>
          <w:sz w:val="20"/>
          <w:szCs w:val="20"/>
          <w:lang w:val="es-AR"/>
        </w:rPr>
        <w:t>concedido la detención domiciliaria</w:t>
      </w:r>
      <w:r w:rsidR="001E5A50" w:rsidRPr="00BB50C3">
        <w:rPr>
          <w:rFonts w:asciiTheme="majorHAnsi" w:hAnsiTheme="majorHAnsi"/>
          <w:sz w:val="20"/>
          <w:szCs w:val="20"/>
          <w:lang w:val="es-AR"/>
        </w:rPr>
        <w:t xml:space="preserve">, pero </w:t>
      </w:r>
      <w:r w:rsidRPr="00BB50C3">
        <w:rPr>
          <w:rFonts w:asciiTheme="majorHAnsi" w:hAnsiTheme="majorHAnsi"/>
          <w:sz w:val="20"/>
          <w:szCs w:val="20"/>
          <w:lang w:val="es-AR"/>
        </w:rPr>
        <w:t xml:space="preserve">él fue trasladado </w:t>
      </w:r>
      <w:r w:rsidR="0038653A" w:rsidRPr="00BB50C3">
        <w:rPr>
          <w:rFonts w:asciiTheme="majorHAnsi" w:hAnsiTheme="majorHAnsi"/>
          <w:sz w:val="20"/>
          <w:szCs w:val="20"/>
          <w:lang w:val="es-AR"/>
        </w:rPr>
        <w:t>a la cárcel Modelo sin orden judicial</w:t>
      </w:r>
      <w:r w:rsidR="00B342A5" w:rsidRPr="00BB50C3">
        <w:rPr>
          <w:rFonts w:asciiTheme="majorHAnsi" w:hAnsiTheme="majorHAnsi"/>
          <w:sz w:val="20"/>
          <w:szCs w:val="20"/>
          <w:lang w:val="es-AR"/>
        </w:rPr>
        <w:t>,</w:t>
      </w:r>
      <w:r w:rsidR="0038653A" w:rsidRPr="00BB50C3">
        <w:rPr>
          <w:rFonts w:asciiTheme="majorHAnsi" w:hAnsiTheme="majorHAnsi"/>
          <w:sz w:val="20"/>
          <w:szCs w:val="20"/>
          <w:lang w:val="es-AR"/>
        </w:rPr>
        <w:t xml:space="preserve"> donde permaneció recluido</w:t>
      </w:r>
      <w:r w:rsidR="00EA6394" w:rsidRPr="00BB50C3">
        <w:rPr>
          <w:rFonts w:asciiTheme="majorHAnsi" w:hAnsiTheme="majorHAnsi"/>
          <w:sz w:val="20"/>
          <w:szCs w:val="20"/>
          <w:lang w:val="es-AR"/>
        </w:rPr>
        <w:t xml:space="preserve"> hasta el 7 de mayo de 2014</w:t>
      </w:r>
      <w:r w:rsidR="0038653A" w:rsidRPr="00BB50C3">
        <w:rPr>
          <w:rFonts w:asciiTheme="majorHAnsi" w:hAnsiTheme="majorHAnsi"/>
          <w:sz w:val="20"/>
          <w:szCs w:val="20"/>
          <w:lang w:val="es-AR"/>
        </w:rPr>
        <w:t xml:space="preserve">. </w:t>
      </w:r>
      <w:r w:rsidR="00EA6394" w:rsidRPr="00BB50C3">
        <w:rPr>
          <w:rFonts w:asciiTheme="majorHAnsi" w:hAnsiTheme="majorHAnsi"/>
          <w:sz w:val="20"/>
          <w:szCs w:val="20"/>
          <w:lang w:val="es-AR"/>
        </w:rPr>
        <w:t>Al respecto</w:t>
      </w:r>
      <w:r w:rsidR="00A238D1" w:rsidRPr="00BB50C3">
        <w:rPr>
          <w:rFonts w:asciiTheme="majorHAnsi" w:hAnsiTheme="majorHAnsi"/>
          <w:sz w:val="20"/>
          <w:szCs w:val="20"/>
          <w:lang w:val="es-AR"/>
        </w:rPr>
        <w:t xml:space="preserve">, refiere que el 5 de mayo de 2014 interpuso una acción de </w:t>
      </w:r>
      <w:r w:rsidR="00A238D1" w:rsidRPr="00BB50C3">
        <w:rPr>
          <w:rFonts w:asciiTheme="majorHAnsi" w:hAnsiTheme="majorHAnsi"/>
          <w:i/>
          <w:iCs/>
          <w:sz w:val="20"/>
          <w:szCs w:val="20"/>
          <w:lang w:val="es-AR"/>
        </w:rPr>
        <w:t>h</w:t>
      </w:r>
      <w:r w:rsidR="00B342A5" w:rsidRPr="00BB50C3">
        <w:rPr>
          <w:rFonts w:asciiTheme="majorHAnsi" w:hAnsiTheme="majorHAnsi"/>
          <w:i/>
          <w:iCs/>
          <w:sz w:val="20"/>
          <w:szCs w:val="20"/>
          <w:lang w:val="es-AR"/>
        </w:rPr>
        <w:t>á</w:t>
      </w:r>
      <w:r w:rsidR="00A238D1" w:rsidRPr="00BB50C3">
        <w:rPr>
          <w:rFonts w:asciiTheme="majorHAnsi" w:hAnsiTheme="majorHAnsi"/>
          <w:i/>
          <w:iCs/>
          <w:sz w:val="20"/>
          <w:szCs w:val="20"/>
          <w:lang w:val="es-AR"/>
        </w:rPr>
        <w:t>beas corpus</w:t>
      </w:r>
      <w:r w:rsidR="00A238D1" w:rsidRPr="00BB50C3">
        <w:rPr>
          <w:rFonts w:asciiTheme="majorHAnsi" w:hAnsiTheme="majorHAnsi"/>
          <w:sz w:val="20"/>
          <w:szCs w:val="20"/>
          <w:lang w:val="es-AR"/>
        </w:rPr>
        <w:t xml:space="preserve"> </w:t>
      </w:r>
      <w:r w:rsidR="00827CF6" w:rsidRPr="00BB50C3">
        <w:rPr>
          <w:rFonts w:asciiTheme="majorHAnsi" w:hAnsiTheme="majorHAnsi"/>
          <w:sz w:val="20"/>
          <w:szCs w:val="20"/>
          <w:lang w:val="es-AR"/>
        </w:rPr>
        <w:t xml:space="preserve">por privación </w:t>
      </w:r>
      <w:r w:rsidR="00B342A5" w:rsidRPr="00BB50C3">
        <w:rPr>
          <w:rFonts w:asciiTheme="majorHAnsi" w:hAnsiTheme="majorHAnsi"/>
          <w:sz w:val="20"/>
          <w:szCs w:val="20"/>
          <w:lang w:val="es-AR"/>
        </w:rPr>
        <w:t xml:space="preserve">ilícita </w:t>
      </w:r>
      <w:r w:rsidR="00827CF6" w:rsidRPr="00BB50C3">
        <w:rPr>
          <w:rFonts w:asciiTheme="majorHAnsi" w:hAnsiTheme="majorHAnsi"/>
          <w:sz w:val="20"/>
          <w:szCs w:val="20"/>
          <w:lang w:val="es-AR"/>
        </w:rPr>
        <w:t>de la libertad</w:t>
      </w:r>
      <w:r w:rsidR="00E244AB" w:rsidRPr="00BB50C3">
        <w:rPr>
          <w:rFonts w:asciiTheme="majorHAnsi" w:hAnsiTheme="majorHAnsi"/>
          <w:sz w:val="20"/>
          <w:szCs w:val="20"/>
          <w:lang w:val="es-AR"/>
        </w:rPr>
        <w:t xml:space="preserve">, </w:t>
      </w:r>
      <w:r w:rsidR="00EA6394" w:rsidRPr="00BB50C3">
        <w:rPr>
          <w:rFonts w:asciiTheme="majorHAnsi" w:hAnsiTheme="majorHAnsi"/>
          <w:sz w:val="20"/>
          <w:szCs w:val="20"/>
          <w:lang w:val="es-AR"/>
        </w:rPr>
        <w:t xml:space="preserve">y dos días </w:t>
      </w:r>
      <w:r w:rsidR="00C603F5" w:rsidRPr="00BB50C3">
        <w:rPr>
          <w:rFonts w:asciiTheme="majorHAnsi" w:hAnsiTheme="majorHAnsi"/>
          <w:sz w:val="20"/>
          <w:szCs w:val="20"/>
          <w:lang w:val="es-AR"/>
        </w:rPr>
        <w:t xml:space="preserve">después, </w:t>
      </w:r>
      <w:r w:rsidR="00DA37F5" w:rsidRPr="00BB50C3">
        <w:rPr>
          <w:rFonts w:asciiTheme="majorHAnsi" w:hAnsiTheme="majorHAnsi"/>
          <w:sz w:val="20"/>
          <w:szCs w:val="20"/>
          <w:lang w:val="es-AR"/>
        </w:rPr>
        <w:t xml:space="preserve">las autoridades </w:t>
      </w:r>
      <w:r w:rsidR="00DA37F5" w:rsidRPr="00BB50C3">
        <w:rPr>
          <w:rFonts w:asciiTheme="majorHAnsi" w:hAnsiTheme="majorHAnsi"/>
          <w:sz w:val="20"/>
          <w:szCs w:val="20"/>
          <w:lang w:val="es-AR"/>
        </w:rPr>
        <w:lastRenderedPageBreak/>
        <w:t>penitenciarias lo trasladaron a su residencia</w:t>
      </w:r>
      <w:r w:rsidR="00C603F5" w:rsidRPr="00BB50C3">
        <w:rPr>
          <w:rFonts w:asciiTheme="majorHAnsi" w:hAnsiTheme="majorHAnsi"/>
          <w:sz w:val="20"/>
          <w:szCs w:val="20"/>
          <w:lang w:val="es-AR"/>
        </w:rPr>
        <w:t xml:space="preserve"> para ser recluido en detención domiciliaria</w:t>
      </w:r>
      <w:r w:rsidR="00DA37F5" w:rsidRPr="00BB50C3">
        <w:rPr>
          <w:rFonts w:asciiTheme="majorHAnsi" w:hAnsiTheme="majorHAnsi"/>
          <w:sz w:val="20"/>
          <w:szCs w:val="20"/>
          <w:lang w:val="es-AR"/>
        </w:rPr>
        <w:t xml:space="preserve">, por </w:t>
      </w:r>
      <w:r w:rsidR="00E244AB" w:rsidRPr="00BB50C3">
        <w:rPr>
          <w:rFonts w:asciiTheme="majorHAnsi" w:hAnsiTheme="majorHAnsi"/>
          <w:sz w:val="20"/>
          <w:szCs w:val="20"/>
          <w:lang w:val="es-AR"/>
        </w:rPr>
        <w:t>l</w:t>
      </w:r>
      <w:r w:rsidR="00DA37F5" w:rsidRPr="00BB50C3">
        <w:rPr>
          <w:rFonts w:asciiTheme="majorHAnsi" w:hAnsiTheme="majorHAnsi"/>
          <w:sz w:val="20"/>
          <w:szCs w:val="20"/>
          <w:lang w:val="es-AR"/>
        </w:rPr>
        <w:t>o</w:t>
      </w:r>
      <w:r w:rsidR="00E244AB" w:rsidRPr="00BB50C3">
        <w:rPr>
          <w:rFonts w:asciiTheme="majorHAnsi" w:hAnsiTheme="majorHAnsi"/>
          <w:sz w:val="20"/>
          <w:szCs w:val="20"/>
          <w:lang w:val="es-AR"/>
        </w:rPr>
        <w:t xml:space="preserve"> cual</w:t>
      </w:r>
      <w:r w:rsidR="00DA37F5" w:rsidRPr="00BB50C3">
        <w:rPr>
          <w:rFonts w:asciiTheme="majorHAnsi" w:hAnsiTheme="majorHAnsi"/>
          <w:sz w:val="20"/>
          <w:szCs w:val="20"/>
          <w:lang w:val="es-AR"/>
        </w:rPr>
        <w:t>, al momento de ser fallada la sentencia de h</w:t>
      </w:r>
      <w:r w:rsidR="00DF6E1E" w:rsidRPr="00BB50C3">
        <w:rPr>
          <w:rFonts w:asciiTheme="majorHAnsi" w:hAnsiTheme="majorHAnsi"/>
          <w:sz w:val="20"/>
          <w:szCs w:val="20"/>
          <w:lang w:val="es-AR"/>
        </w:rPr>
        <w:t>á</w:t>
      </w:r>
      <w:r w:rsidR="00DA37F5" w:rsidRPr="00BB50C3">
        <w:rPr>
          <w:rFonts w:asciiTheme="majorHAnsi" w:hAnsiTheme="majorHAnsi"/>
          <w:sz w:val="20"/>
          <w:szCs w:val="20"/>
          <w:lang w:val="es-AR"/>
        </w:rPr>
        <w:t>beas corpus</w:t>
      </w:r>
      <w:r w:rsidR="00C603F5" w:rsidRPr="00BB50C3">
        <w:rPr>
          <w:rFonts w:asciiTheme="majorHAnsi" w:hAnsiTheme="majorHAnsi"/>
          <w:sz w:val="20"/>
          <w:szCs w:val="20"/>
          <w:lang w:val="es-AR"/>
        </w:rPr>
        <w:t xml:space="preserve">, </w:t>
      </w:r>
      <w:r w:rsidR="00796D3E" w:rsidRPr="00BB50C3">
        <w:rPr>
          <w:rFonts w:asciiTheme="majorHAnsi" w:hAnsiTheme="majorHAnsi"/>
          <w:sz w:val="20"/>
          <w:szCs w:val="20"/>
          <w:lang w:val="es-AR"/>
        </w:rPr>
        <w:t xml:space="preserve">la petición de libertad </w:t>
      </w:r>
      <w:r w:rsidR="00C603F5" w:rsidRPr="00BB50C3">
        <w:rPr>
          <w:rFonts w:asciiTheme="majorHAnsi" w:hAnsiTheme="majorHAnsi"/>
          <w:sz w:val="20"/>
          <w:szCs w:val="20"/>
          <w:lang w:val="es-AR"/>
        </w:rPr>
        <w:t>le</w:t>
      </w:r>
      <w:r w:rsidR="00E244AB" w:rsidRPr="00BB50C3">
        <w:rPr>
          <w:rFonts w:asciiTheme="majorHAnsi" w:hAnsiTheme="majorHAnsi"/>
          <w:sz w:val="20"/>
          <w:szCs w:val="20"/>
          <w:lang w:val="es-AR"/>
        </w:rPr>
        <w:t xml:space="preserve"> fue </w:t>
      </w:r>
      <w:r w:rsidR="00EE1262" w:rsidRPr="00BB50C3">
        <w:rPr>
          <w:rFonts w:asciiTheme="majorHAnsi" w:hAnsiTheme="majorHAnsi"/>
          <w:sz w:val="20"/>
          <w:szCs w:val="20"/>
          <w:lang w:val="es-AR"/>
        </w:rPr>
        <w:t>denegada en ambas instancias</w:t>
      </w:r>
      <w:r w:rsidR="00085887" w:rsidRPr="00BB50C3">
        <w:rPr>
          <w:rFonts w:asciiTheme="majorHAnsi" w:hAnsiTheme="majorHAnsi"/>
          <w:sz w:val="20"/>
          <w:szCs w:val="20"/>
          <w:lang w:val="es-AR"/>
        </w:rPr>
        <w:t>.</w:t>
      </w:r>
      <w:r w:rsidR="00085887" w:rsidRPr="00BB50C3">
        <w:rPr>
          <w:rFonts w:asciiTheme="majorHAnsi" w:hAnsiTheme="majorHAnsi"/>
          <w:bCs/>
          <w:sz w:val="20"/>
          <w:szCs w:val="20"/>
          <w:lang w:val="es-UY"/>
        </w:rPr>
        <w:t xml:space="preserve"> </w:t>
      </w:r>
      <w:r w:rsidR="003B3F26" w:rsidRPr="00BB50C3">
        <w:rPr>
          <w:rFonts w:asciiTheme="majorHAnsi" w:hAnsiTheme="majorHAnsi"/>
          <w:bCs/>
          <w:sz w:val="20"/>
          <w:szCs w:val="20"/>
          <w:lang w:val="es-UY"/>
        </w:rPr>
        <w:t xml:space="preserve">Señala, además, </w:t>
      </w:r>
      <w:r w:rsidR="00085887" w:rsidRPr="00BB50C3">
        <w:rPr>
          <w:rFonts w:asciiTheme="majorHAnsi" w:hAnsiTheme="majorHAnsi"/>
          <w:bCs/>
          <w:sz w:val="20"/>
          <w:szCs w:val="20"/>
          <w:lang w:val="es-UY"/>
        </w:rPr>
        <w:t xml:space="preserve">que instauró dos acciones de tutela contra la Procuraduría General de la Nación y la Policía Nacional por no dar respuesta a varias solicitudes que presentó </w:t>
      </w:r>
      <w:r w:rsidR="007E07BC" w:rsidRPr="00BB50C3">
        <w:rPr>
          <w:rFonts w:asciiTheme="majorHAnsi" w:hAnsiTheme="majorHAnsi"/>
          <w:bCs/>
          <w:sz w:val="20"/>
          <w:szCs w:val="20"/>
          <w:lang w:val="es-UY"/>
        </w:rPr>
        <w:t xml:space="preserve">con relación </w:t>
      </w:r>
      <w:r w:rsidR="009B2D06" w:rsidRPr="00BB50C3">
        <w:rPr>
          <w:rFonts w:asciiTheme="majorHAnsi" w:hAnsiTheme="majorHAnsi"/>
          <w:bCs/>
          <w:sz w:val="20"/>
          <w:szCs w:val="20"/>
          <w:lang w:val="es-UY"/>
        </w:rPr>
        <w:t>al mes de</w:t>
      </w:r>
      <w:r w:rsidR="007E07BC" w:rsidRPr="00BB50C3">
        <w:rPr>
          <w:rFonts w:asciiTheme="majorHAnsi" w:hAnsiTheme="majorHAnsi"/>
          <w:bCs/>
          <w:sz w:val="20"/>
          <w:szCs w:val="20"/>
          <w:lang w:val="es-UY"/>
        </w:rPr>
        <w:t xml:space="preserve"> </w:t>
      </w:r>
      <w:r w:rsidR="00085887" w:rsidRPr="00BB50C3">
        <w:rPr>
          <w:rFonts w:asciiTheme="majorHAnsi" w:hAnsiTheme="majorHAnsi"/>
          <w:bCs/>
          <w:sz w:val="20"/>
          <w:szCs w:val="20"/>
          <w:lang w:val="es-UY"/>
        </w:rPr>
        <w:t xml:space="preserve">demora </w:t>
      </w:r>
      <w:r w:rsidR="002B5D16" w:rsidRPr="00BB50C3">
        <w:rPr>
          <w:rFonts w:asciiTheme="majorHAnsi" w:hAnsiTheme="majorHAnsi"/>
          <w:bCs/>
          <w:sz w:val="20"/>
          <w:szCs w:val="20"/>
          <w:lang w:val="es-UY"/>
        </w:rPr>
        <w:t xml:space="preserve">que estuvo recluido en la cárcel </w:t>
      </w:r>
      <w:r w:rsidR="009B2D06" w:rsidRPr="00BB50C3">
        <w:rPr>
          <w:rFonts w:asciiTheme="majorHAnsi" w:hAnsiTheme="majorHAnsi"/>
          <w:bCs/>
          <w:sz w:val="20"/>
          <w:szCs w:val="20"/>
          <w:lang w:val="es-UY"/>
        </w:rPr>
        <w:t xml:space="preserve">antes de </w:t>
      </w:r>
      <w:r w:rsidR="00085887" w:rsidRPr="00BB50C3">
        <w:rPr>
          <w:rFonts w:asciiTheme="majorHAnsi" w:hAnsiTheme="majorHAnsi"/>
          <w:bCs/>
          <w:sz w:val="20"/>
          <w:szCs w:val="20"/>
          <w:lang w:val="es-UY"/>
        </w:rPr>
        <w:t xml:space="preserve">su </w:t>
      </w:r>
      <w:r w:rsidR="009B2D06" w:rsidRPr="00BB50C3">
        <w:rPr>
          <w:rFonts w:asciiTheme="majorHAnsi" w:hAnsiTheme="majorHAnsi"/>
          <w:bCs/>
          <w:sz w:val="20"/>
          <w:szCs w:val="20"/>
          <w:lang w:val="es-UY"/>
        </w:rPr>
        <w:t>disposición</w:t>
      </w:r>
      <w:r w:rsidR="00085887" w:rsidRPr="00BB50C3">
        <w:rPr>
          <w:rFonts w:asciiTheme="majorHAnsi" w:hAnsiTheme="majorHAnsi"/>
          <w:bCs/>
          <w:sz w:val="20"/>
          <w:szCs w:val="20"/>
          <w:lang w:val="es-UY"/>
        </w:rPr>
        <w:t xml:space="preserve"> en </w:t>
      </w:r>
      <w:r w:rsidR="009B2D06" w:rsidRPr="00BB50C3">
        <w:rPr>
          <w:rFonts w:asciiTheme="majorHAnsi" w:hAnsiTheme="majorHAnsi"/>
          <w:bCs/>
          <w:sz w:val="20"/>
          <w:szCs w:val="20"/>
          <w:lang w:val="es-UY"/>
        </w:rPr>
        <w:t>detención domiciliar</w:t>
      </w:r>
      <w:r w:rsidR="002B5D16" w:rsidRPr="00BB50C3">
        <w:rPr>
          <w:rFonts w:asciiTheme="majorHAnsi" w:hAnsiTheme="majorHAnsi"/>
          <w:bCs/>
          <w:sz w:val="20"/>
          <w:szCs w:val="20"/>
          <w:lang w:val="es-UY"/>
        </w:rPr>
        <w:t>ia</w:t>
      </w:r>
      <w:r w:rsidR="00BD2A79" w:rsidRPr="00BB50C3">
        <w:rPr>
          <w:rFonts w:asciiTheme="majorHAnsi" w:hAnsiTheme="majorHAnsi"/>
          <w:bCs/>
          <w:sz w:val="20"/>
          <w:szCs w:val="20"/>
          <w:lang w:val="es-UY"/>
        </w:rPr>
        <w:t>, las cuales fueron denegadas</w:t>
      </w:r>
      <w:r w:rsidR="00C172AD" w:rsidRPr="00BB50C3">
        <w:rPr>
          <w:rFonts w:asciiTheme="majorHAnsi" w:hAnsiTheme="majorHAnsi"/>
          <w:bCs/>
          <w:sz w:val="20"/>
          <w:szCs w:val="20"/>
          <w:lang w:val="es-UY"/>
        </w:rPr>
        <w:t xml:space="preserve"> en múltiples instancias</w:t>
      </w:r>
      <w:r w:rsidR="00085887" w:rsidRPr="00BB50C3">
        <w:rPr>
          <w:rFonts w:asciiTheme="majorHAnsi" w:hAnsiTheme="majorHAnsi"/>
          <w:bCs/>
          <w:sz w:val="20"/>
          <w:szCs w:val="20"/>
          <w:lang w:val="es-UY"/>
        </w:rPr>
        <w:t>.</w:t>
      </w:r>
    </w:p>
    <w:p w14:paraId="73EAF890" w14:textId="12BE91B2" w:rsidR="00556321" w:rsidRPr="00BB50C3" w:rsidRDefault="000F6834"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color w:val="auto"/>
          <w:sz w:val="20"/>
          <w:szCs w:val="20"/>
          <w:lang w:val="es-AR"/>
        </w:rPr>
        <w:t xml:space="preserve">El </w:t>
      </w:r>
      <w:r w:rsidRPr="00BB50C3">
        <w:rPr>
          <w:rFonts w:asciiTheme="majorHAnsi" w:hAnsiTheme="majorHAnsi"/>
          <w:sz w:val="20"/>
          <w:szCs w:val="20"/>
          <w:lang w:val="es-AR"/>
        </w:rPr>
        <w:t>17 de septiembre de 2014 el Juzgado 24 Penal celebró la audiencia de lectura de sentencia,</w:t>
      </w:r>
      <w:r w:rsidR="00B17EC4" w:rsidRPr="00BB50C3">
        <w:rPr>
          <w:rFonts w:asciiTheme="majorHAnsi" w:hAnsiTheme="majorHAnsi"/>
          <w:sz w:val="20"/>
          <w:szCs w:val="20"/>
          <w:lang w:val="es-AR"/>
        </w:rPr>
        <w:t xml:space="preserve"> por la cual el Sr. Gómez Herrera fue condenado a 84 meses de prisión y a pagar una multa de 210 salarios mínimos</w:t>
      </w:r>
      <w:r w:rsidR="005F6A74" w:rsidRPr="00BB50C3">
        <w:rPr>
          <w:rFonts w:asciiTheme="majorHAnsi" w:hAnsiTheme="majorHAnsi"/>
          <w:sz w:val="20"/>
          <w:szCs w:val="20"/>
          <w:lang w:val="es-AR"/>
        </w:rPr>
        <w:t xml:space="preserve"> con inhabilitación para el ejercicio de funciones públicas</w:t>
      </w:r>
      <w:r w:rsidR="00DA75D9" w:rsidRPr="00BB50C3">
        <w:rPr>
          <w:rFonts w:asciiTheme="majorHAnsi" w:hAnsiTheme="majorHAnsi"/>
          <w:sz w:val="20"/>
          <w:szCs w:val="20"/>
          <w:lang w:val="es-AR"/>
        </w:rPr>
        <w:t>, pero con sustitución de la pena de prisión por detención domiciliaria.</w:t>
      </w:r>
      <w:r w:rsidR="00A223EA" w:rsidRPr="00BB50C3">
        <w:rPr>
          <w:rFonts w:asciiTheme="majorHAnsi" w:hAnsiTheme="majorHAnsi"/>
          <w:sz w:val="20"/>
          <w:szCs w:val="20"/>
          <w:lang w:val="es-AR"/>
        </w:rPr>
        <w:t xml:space="preserve"> </w:t>
      </w:r>
      <w:r w:rsidR="003A59DC" w:rsidRPr="00BB50C3">
        <w:rPr>
          <w:rFonts w:asciiTheme="majorHAnsi" w:hAnsiTheme="majorHAnsi"/>
          <w:sz w:val="20"/>
          <w:szCs w:val="20"/>
          <w:lang w:val="es-AR"/>
        </w:rPr>
        <w:t>La</w:t>
      </w:r>
      <w:r w:rsidR="00C46942" w:rsidRPr="00BB50C3">
        <w:rPr>
          <w:rFonts w:asciiTheme="majorHAnsi" w:hAnsiTheme="majorHAnsi"/>
          <w:sz w:val="20"/>
          <w:szCs w:val="20"/>
          <w:lang w:val="es-AR"/>
        </w:rPr>
        <w:t xml:space="preserve"> defensa </w:t>
      </w:r>
      <w:r w:rsidR="003A59DC" w:rsidRPr="00BB50C3">
        <w:rPr>
          <w:rFonts w:asciiTheme="majorHAnsi" w:hAnsiTheme="majorHAnsi"/>
          <w:sz w:val="20"/>
          <w:szCs w:val="20"/>
          <w:lang w:val="es-AR"/>
        </w:rPr>
        <w:t xml:space="preserve">del peticionario </w:t>
      </w:r>
      <w:r w:rsidR="00C46942" w:rsidRPr="00BB50C3">
        <w:rPr>
          <w:rFonts w:asciiTheme="majorHAnsi" w:hAnsiTheme="majorHAnsi"/>
          <w:sz w:val="20"/>
          <w:szCs w:val="20"/>
          <w:lang w:val="es-AR"/>
        </w:rPr>
        <w:t xml:space="preserve">interpuso un recurso de apelación contra dicho fallo, pero éste fue confirmado en segunda instancia por la Sala Penal del Tribunal Superior de Bogotá el 3 de febrero de 2015. </w:t>
      </w:r>
      <w:r w:rsidR="0059162D" w:rsidRPr="00BB50C3">
        <w:rPr>
          <w:rFonts w:asciiTheme="majorHAnsi" w:hAnsiTheme="majorHAnsi"/>
          <w:sz w:val="20"/>
          <w:szCs w:val="20"/>
          <w:lang w:val="es-AR"/>
        </w:rPr>
        <w:t xml:space="preserve">Ante ello, promovió un recurso de casación </w:t>
      </w:r>
      <w:r w:rsidR="008B77EE" w:rsidRPr="00BB50C3">
        <w:rPr>
          <w:rFonts w:asciiTheme="majorHAnsi" w:hAnsiTheme="majorHAnsi"/>
          <w:sz w:val="20"/>
          <w:szCs w:val="20"/>
          <w:lang w:val="es-AR"/>
        </w:rPr>
        <w:t xml:space="preserve">que fue posteriormente inadmitido </w:t>
      </w:r>
      <w:r w:rsidR="0059162D" w:rsidRPr="00BB50C3">
        <w:rPr>
          <w:rFonts w:asciiTheme="majorHAnsi" w:hAnsiTheme="majorHAnsi"/>
          <w:sz w:val="20"/>
          <w:szCs w:val="20"/>
          <w:lang w:val="es-AR"/>
        </w:rPr>
        <w:t xml:space="preserve">el 24 de febrero de 2016 </w:t>
      </w:r>
      <w:r w:rsidR="008B77EE" w:rsidRPr="00BB50C3">
        <w:rPr>
          <w:rFonts w:asciiTheme="majorHAnsi" w:hAnsiTheme="majorHAnsi"/>
          <w:sz w:val="20"/>
          <w:szCs w:val="20"/>
          <w:lang w:val="es-AR"/>
        </w:rPr>
        <w:t xml:space="preserve">por </w:t>
      </w:r>
      <w:r w:rsidR="00C318EA" w:rsidRPr="00BB50C3">
        <w:rPr>
          <w:rFonts w:asciiTheme="majorHAnsi" w:hAnsiTheme="majorHAnsi"/>
          <w:sz w:val="20"/>
          <w:szCs w:val="20"/>
          <w:lang w:val="es-AR"/>
        </w:rPr>
        <w:t>la Corte Suprema de Justicia.</w:t>
      </w:r>
    </w:p>
    <w:p w14:paraId="399855A0" w14:textId="30FF6360" w:rsidR="00B84DFD" w:rsidRPr="00BB50C3" w:rsidRDefault="00C05440"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 xml:space="preserve">Adicionalmente, el peticionario ha remitido múltiples acciones </w:t>
      </w:r>
      <w:r w:rsidR="00175901" w:rsidRPr="00BB50C3">
        <w:rPr>
          <w:rFonts w:asciiTheme="majorHAnsi" w:hAnsiTheme="majorHAnsi"/>
          <w:sz w:val="20"/>
          <w:szCs w:val="20"/>
          <w:lang w:val="es-AR"/>
        </w:rPr>
        <w:t xml:space="preserve">y sentencias </w:t>
      </w:r>
      <w:r w:rsidRPr="00BB50C3">
        <w:rPr>
          <w:rFonts w:asciiTheme="majorHAnsi" w:hAnsiTheme="majorHAnsi"/>
          <w:sz w:val="20"/>
          <w:szCs w:val="20"/>
          <w:lang w:val="es-AR"/>
        </w:rPr>
        <w:t xml:space="preserve">de tutela y </w:t>
      </w:r>
      <w:r w:rsidR="00175901" w:rsidRPr="00BB50C3">
        <w:rPr>
          <w:rFonts w:asciiTheme="majorHAnsi" w:hAnsiTheme="majorHAnsi"/>
          <w:sz w:val="20"/>
          <w:szCs w:val="20"/>
          <w:lang w:val="es-AR"/>
        </w:rPr>
        <w:t xml:space="preserve">de </w:t>
      </w:r>
      <w:r w:rsidRPr="00BB50C3">
        <w:rPr>
          <w:rFonts w:asciiTheme="majorHAnsi" w:hAnsiTheme="majorHAnsi"/>
          <w:sz w:val="20"/>
          <w:szCs w:val="20"/>
          <w:lang w:val="es-AR"/>
        </w:rPr>
        <w:t>h</w:t>
      </w:r>
      <w:r w:rsidR="00577606" w:rsidRPr="00BB50C3">
        <w:rPr>
          <w:rFonts w:asciiTheme="majorHAnsi" w:hAnsiTheme="majorHAnsi"/>
          <w:sz w:val="20"/>
          <w:szCs w:val="20"/>
          <w:lang w:val="es-ES"/>
        </w:rPr>
        <w:t>á</w:t>
      </w:r>
      <w:r w:rsidRPr="00BB50C3">
        <w:rPr>
          <w:rFonts w:asciiTheme="majorHAnsi" w:hAnsiTheme="majorHAnsi"/>
          <w:sz w:val="20"/>
          <w:szCs w:val="20"/>
          <w:lang w:val="es-AR"/>
        </w:rPr>
        <w:t xml:space="preserve">beas corpus que ha promovido </w:t>
      </w:r>
      <w:r w:rsidR="00B26B22" w:rsidRPr="00BB50C3">
        <w:rPr>
          <w:rFonts w:asciiTheme="majorHAnsi" w:hAnsiTheme="majorHAnsi"/>
          <w:sz w:val="20"/>
          <w:szCs w:val="20"/>
          <w:lang w:val="es-AR"/>
        </w:rPr>
        <w:t>en el marco del proceso penal y durante el cumplimiento de su condena, con el fin de obtener el beneficio de la libertad condicional después de haber completado la</w:t>
      </w:r>
      <w:r w:rsidR="00723E82" w:rsidRPr="00BB50C3">
        <w:rPr>
          <w:rFonts w:asciiTheme="majorHAnsi" w:hAnsiTheme="majorHAnsi"/>
          <w:sz w:val="20"/>
          <w:szCs w:val="20"/>
          <w:lang w:val="es-AR"/>
        </w:rPr>
        <w:t>s</w:t>
      </w:r>
      <w:r w:rsidR="00B26B22" w:rsidRPr="00BB50C3">
        <w:rPr>
          <w:rFonts w:asciiTheme="majorHAnsi" w:hAnsiTheme="majorHAnsi"/>
          <w:sz w:val="20"/>
          <w:szCs w:val="20"/>
          <w:lang w:val="es-AR"/>
        </w:rPr>
        <w:t xml:space="preserve"> 3/5 parte</w:t>
      </w:r>
      <w:r w:rsidR="00723E82" w:rsidRPr="00BB50C3">
        <w:rPr>
          <w:rFonts w:asciiTheme="majorHAnsi" w:hAnsiTheme="majorHAnsi"/>
          <w:sz w:val="20"/>
          <w:szCs w:val="20"/>
          <w:lang w:val="es-AR"/>
        </w:rPr>
        <w:t>s</w:t>
      </w:r>
      <w:r w:rsidR="00B26B22" w:rsidRPr="00BB50C3">
        <w:rPr>
          <w:rFonts w:asciiTheme="majorHAnsi" w:hAnsiTheme="majorHAnsi"/>
          <w:sz w:val="20"/>
          <w:szCs w:val="20"/>
          <w:lang w:val="es-AR"/>
        </w:rPr>
        <w:t xml:space="preserve"> d</w:t>
      </w:r>
      <w:r w:rsidR="00826BFC" w:rsidRPr="00BB50C3">
        <w:rPr>
          <w:rFonts w:asciiTheme="majorHAnsi" w:hAnsiTheme="majorHAnsi"/>
          <w:sz w:val="20"/>
          <w:szCs w:val="20"/>
          <w:lang w:val="es-AR"/>
        </w:rPr>
        <w:t>e la pena.</w:t>
      </w:r>
      <w:r w:rsidRPr="00BB50C3">
        <w:rPr>
          <w:rFonts w:asciiTheme="majorHAnsi" w:hAnsiTheme="majorHAnsi"/>
          <w:sz w:val="20"/>
          <w:szCs w:val="20"/>
          <w:lang w:val="es-AR"/>
        </w:rPr>
        <w:t xml:space="preserve"> </w:t>
      </w:r>
      <w:r w:rsidR="007F3070" w:rsidRPr="00BB50C3">
        <w:rPr>
          <w:rFonts w:asciiTheme="majorHAnsi" w:hAnsiTheme="majorHAnsi"/>
          <w:sz w:val="20"/>
          <w:szCs w:val="20"/>
          <w:lang w:val="es-AR"/>
        </w:rPr>
        <w:t xml:space="preserve">Asimismo, manifiesta que denunció al juez que lo condenó, pero </w:t>
      </w:r>
      <w:r w:rsidR="00897871" w:rsidRPr="00BB50C3">
        <w:rPr>
          <w:rFonts w:asciiTheme="majorHAnsi" w:hAnsiTheme="majorHAnsi"/>
          <w:sz w:val="20"/>
          <w:szCs w:val="20"/>
          <w:lang w:val="es-AR"/>
        </w:rPr>
        <w:t>el 15 de febrero de 2018 la fiscalía decidió archivar el proceso, por lo que presentó una nueva acción de tutela que también sería denegada en ambas instancias.</w:t>
      </w:r>
    </w:p>
    <w:p w14:paraId="0F676A0D" w14:textId="38373927" w:rsidR="0058331B" w:rsidRPr="00BB50C3" w:rsidRDefault="00A42A24"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Finalmente, e</w:t>
      </w:r>
      <w:r w:rsidR="000A28E3" w:rsidRPr="00BB50C3">
        <w:rPr>
          <w:rFonts w:asciiTheme="majorHAnsi" w:hAnsiTheme="majorHAnsi"/>
          <w:sz w:val="20"/>
          <w:szCs w:val="20"/>
          <w:lang w:val="es-AR"/>
        </w:rPr>
        <w:t>l 21 de marzo de 2019</w:t>
      </w:r>
      <w:r w:rsidR="00EC5309" w:rsidRPr="00BB50C3">
        <w:rPr>
          <w:rFonts w:asciiTheme="majorHAnsi" w:hAnsiTheme="majorHAnsi"/>
          <w:sz w:val="20"/>
          <w:szCs w:val="20"/>
          <w:lang w:val="es-AR"/>
        </w:rPr>
        <w:t xml:space="preserve"> el juzgado de ejecución de penas declaró su libertad </w:t>
      </w:r>
      <w:r w:rsidR="000B3A3F" w:rsidRPr="00BB50C3">
        <w:rPr>
          <w:rFonts w:asciiTheme="majorHAnsi" w:hAnsiTheme="majorHAnsi"/>
          <w:sz w:val="20"/>
          <w:szCs w:val="20"/>
          <w:lang w:val="es-AR"/>
        </w:rPr>
        <w:t>absoluta por cumplimiento, ejerció el</w:t>
      </w:r>
      <w:r w:rsidR="000A28E3" w:rsidRPr="00BB50C3">
        <w:rPr>
          <w:rFonts w:asciiTheme="majorHAnsi" w:hAnsiTheme="majorHAnsi"/>
          <w:sz w:val="20"/>
          <w:szCs w:val="20"/>
          <w:lang w:val="es-AR"/>
        </w:rPr>
        <w:t xml:space="preserve"> cobro coactivo de </w:t>
      </w:r>
      <w:r w:rsidR="000B3A3F" w:rsidRPr="00BB50C3">
        <w:rPr>
          <w:rFonts w:asciiTheme="majorHAnsi" w:hAnsiTheme="majorHAnsi"/>
          <w:sz w:val="20"/>
          <w:szCs w:val="20"/>
          <w:lang w:val="es-AR"/>
        </w:rPr>
        <w:t xml:space="preserve">la </w:t>
      </w:r>
      <w:r w:rsidR="000A28E3" w:rsidRPr="00BB50C3">
        <w:rPr>
          <w:rFonts w:asciiTheme="majorHAnsi" w:hAnsiTheme="majorHAnsi"/>
          <w:sz w:val="20"/>
          <w:szCs w:val="20"/>
          <w:lang w:val="es-AR"/>
        </w:rPr>
        <w:t xml:space="preserve">multa y </w:t>
      </w:r>
      <w:r w:rsidR="00457510" w:rsidRPr="00BB50C3">
        <w:rPr>
          <w:rFonts w:asciiTheme="majorHAnsi" w:hAnsiTheme="majorHAnsi"/>
          <w:sz w:val="20"/>
          <w:szCs w:val="20"/>
          <w:lang w:val="es-AR"/>
        </w:rPr>
        <w:t>mant</w:t>
      </w:r>
      <w:r w:rsidR="000B3A3F" w:rsidRPr="00BB50C3">
        <w:rPr>
          <w:rFonts w:asciiTheme="majorHAnsi" w:hAnsiTheme="majorHAnsi"/>
          <w:sz w:val="20"/>
          <w:szCs w:val="20"/>
          <w:lang w:val="es-AR"/>
        </w:rPr>
        <w:t>uvo</w:t>
      </w:r>
      <w:r w:rsidR="00457510" w:rsidRPr="00BB50C3">
        <w:rPr>
          <w:rFonts w:asciiTheme="majorHAnsi" w:hAnsiTheme="majorHAnsi"/>
          <w:sz w:val="20"/>
          <w:szCs w:val="20"/>
          <w:lang w:val="es-AR"/>
        </w:rPr>
        <w:t xml:space="preserve"> la sanción de inhabilitación </w:t>
      </w:r>
      <w:r w:rsidR="000B3A3F" w:rsidRPr="00BB50C3">
        <w:rPr>
          <w:rFonts w:asciiTheme="majorHAnsi" w:hAnsiTheme="majorHAnsi"/>
          <w:sz w:val="20"/>
          <w:szCs w:val="20"/>
          <w:lang w:val="es-AR"/>
        </w:rPr>
        <w:t>para ejercer cargos públicos de manera indefinida</w:t>
      </w:r>
      <w:r w:rsidR="00457510" w:rsidRPr="00BB50C3">
        <w:rPr>
          <w:rFonts w:asciiTheme="majorHAnsi" w:hAnsiTheme="majorHAnsi"/>
          <w:sz w:val="20"/>
          <w:szCs w:val="20"/>
          <w:lang w:val="es-AR"/>
        </w:rPr>
        <w:t>.</w:t>
      </w:r>
      <w:r w:rsidR="00064AD6" w:rsidRPr="00BB50C3">
        <w:rPr>
          <w:rFonts w:asciiTheme="majorHAnsi" w:hAnsiTheme="majorHAnsi"/>
          <w:sz w:val="20"/>
          <w:szCs w:val="20"/>
          <w:lang w:val="es-AR"/>
        </w:rPr>
        <w:t xml:space="preserve"> Por otro lado, el Sr. Gómez Herrera denuncia la emisión de nuevas amenazas de muerte en su contra y en contra de su cooperativa por el grupo armado ‘Águilas Negras’.</w:t>
      </w:r>
    </w:p>
    <w:p w14:paraId="7E8009A9" w14:textId="2F86D17F" w:rsidR="005C6E5B" w:rsidRPr="00BB50C3" w:rsidRDefault="005C6E5B"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 xml:space="preserve">El peticionario sostiene que </w:t>
      </w:r>
      <w:r w:rsidR="002F0069" w:rsidRPr="00BB50C3">
        <w:rPr>
          <w:rFonts w:asciiTheme="majorHAnsi" w:hAnsiTheme="majorHAnsi"/>
          <w:sz w:val="20"/>
          <w:szCs w:val="20"/>
          <w:lang w:val="es-AR"/>
        </w:rPr>
        <w:t xml:space="preserve">las sentencias proferidas en su contra fueron </w:t>
      </w:r>
      <w:r w:rsidR="00036A57" w:rsidRPr="00BB50C3">
        <w:rPr>
          <w:rFonts w:asciiTheme="majorHAnsi" w:hAnsiTheme="majorHAnsi"/>
          <w:sz w:val="20"/>
          <w:szCs w:val="20"/>
          <w:lang w:val="es-AR"/>
        </w:rPr>
        <w:t>el resultado de un montaje judicial orquestado por el DAS, ya que esa entidad realizó labores de inteligencia y persecución contra defensor</w:t>
      </w:r>
      <w:r w:rsidR="004173DC" w:rsidRPr="00BB50C3">
        <w:rPr>
          <w:rFonts w:asciiTheme="majorHAnsi" w:hAnsiTheme="majorHAnsi"/>
          <w:sz w:val="20"/>
          <w:szCs w:val="20"/>
          <w:lang w:val="es-AR"/>
        </w:rPr>
        <w:t>e</w:t>
      </w:r>
      <w:r w:rsidR="00036A57" w:rsidRPr="00BB50C3">
        <w:rPr>
          <w:rFonts w:asciiTheme="majorHAnsi" w:hAnsiTheme="majorHAnsi"/>
          <w:sz w:val="20"/>
          <w:szCs w:val="20"/>
          <w:lang w:val="es-AR"/>
        </w:rPr>
        <w:t xml:space="preserve">s de derechos humanos, y se demostró que </w:t>
      </w:r>
      <w:r w:rsidR="00B05374" w:rsidRPr="00BB50C3">
        <w:rPr>
          <w:rFonts w:asciiTheme="majorHAnsi" w:hAnsiTheme="majorHAnsi"/>
          <w:sz w:val="20"/>
          <w:szCs w:val="20"/>
          <w:lang w:val="es-AR"/>
        </w:rPr>
        <w:t xml:space="preserve">los documentos y discos duros incautados de la oficina de CODESVIC correspondían a </w:t>
      </w:r>
      <w:r w:rsidR="00C044B5" w:rsidRPr="00BB50C3">
        <w:rPr>
          <w:rFonts w:asciiTheme="majorHAnsi" w:hAnsiTheme="majorHAnsi"/>
          <w:sz w:val="20"/>
          <w:szCs w:val="20"/>
          <w:lang w:val="es-AR"/>
        </w:rPr>
        <w:t xml:space="preserve">información legal relacionada con la defensa de derechos humanos. </w:t>
      </w:r>
      <w:r w:rsidR="007A70DE" w:rsidRPr="00BB50C3">
        <w:rPr>
          <w:rFonts w:asciiTheme="majorHAnsi" w:hAnsiTheme="majorHAnsi"/>
          <w:sz w:val="20"/>
          <w:szCs w:val="20"/>
          <w:lang w:val="es-AR"/>
        </w:rPr>
        <w:t>Aduce que</w:t>
      </w:r>
      <w:r w:rsidR="00B72537" w:rsidRPr="00BB50C3">
        <w:rPr>
          <w:rFonts w:asciiTheme="majorHAnsi" w:hAnsiTheme="majorHAnsi"/>
          <w:sz w:val="20"/>
          <w:szCs w:val="20"/>
          <w:lang w:val="es-AR"/>
        </w:rPr>
        <w:t xml:space="preserve"> la condena violó su derecho a la presunción de inocencia</w:t>
      </w:r>
      <w:r w:rsidR="004769DD" w:rsidRPr="00BB50C3">
        <w:rPr>
          <w:rFonts w:asciiTheme="majorHAnsi" w:hAnsiTheme="majorHAnsi"/>
          <w:sz w:val="20"/>
          <w:szCs w:val="20"/>
          <w:lang w:val="es-AR"/>
        </w:rPr>
        <w:t xml:space="preserve"> y a que las pruebas fueran valoradas de manera integral, ya que</w:t>
      </w:r>
      <w:r w:rsidR="007A70DE" w:rsidRPr="00BB50C3">
        <w:rPr>
          <w:rFonts w:asciiTheme="majorHAnsi" w:hAnsiTheme="majorHAnsi"/>
          <w:sz w:val="20"/>
          <w:szCs w:val="20"/>
          <w:lang w:val="es-AR"/>
        </w:rPr>
        <w:t xml:space="preserve"> los testigos de la fiscalía no </w:t>
      </w:r>
      <w:r w:rsidR="00120994" w:rsidRPr="00BB50C3">
        <w:rPr>
          <w:rFonts w:asciiTheme="majorHAnsi" w:hAnsiTheme="majorHAnsi"/>
          <w:sz w:val="20"/>
          <w:szCs w:val="20"/>
          <w:lang w:val="es-AR"/>
        </w:rPr>
        <w:t>fueron claros sobre la comisión de un delito, además de que en el escrito de acusación se plantearon sumas de dinero recibidas, pero en el debate oral no se habló de ninguna suma</w:t>
      </w:r>
      <w:r w:rsidR="00B3425D" w:rsidRPr="00BB50C3">
        <w:rPr>
          <w:rFonts w:asciiTheme="majorHAnsi" w:hAnsiTheme="majorHAnsi"/>
          <w:sz w:val="20"/>
          <w:szCs w:val="20"/>
          <w:lang w:val="es-AR"/>
        </w:rPr>
        <w:t>, por lo cual considera que el juicio constituyó una persecución en su contra debido a su trabajo</w:t>
      </w:r>
      <w:r w:rsidR="00120994" w:rsidRPr="00BB50C3">
        <w:rPr>
          <w:rFonts w:asciiTheme="majorHAnsi" w:hAnsiTheme="majorHAnsi"/>
          <w:sz w:val="20"/>
          <w:szCs w:val="20"/>
          <w:lang w:val="es-AR"/>
        </w:rPr>
        <w:t>.</w:t>
      </w:r>
      <w:r w:rsidR="000A0712" w:rsidRPr="00BB50C3">
        <w:rPr>
          <w:rFonts w:asciiTheme="majorHAnsi" w:hAnsiTheme="majorHAnsi"/>
          <w:sz w:val="20"/>
          <w:szCs w:val="20"/>
          <w:lang w:val="es-AR"/>
        </w:rPr>
        <w:t xml:space="preserve"> </w:t>
      </w:r>
    </w:p>
    <w:p w14:paraId="142267EB" w14:textId="6BB63249" w:rsidR="00890DA0" w:rsidRPr="00BB50C3" w:rsidRDefault="00125980" w:rsidP="00D64207">
      <w:pPr>
        <w:pStyle w:val="ListParagraph"/>
        <w:numPr>
          <w:ilvl w:val="0"/>
          <w:numId w:val="0"/>
        </w:numPr>
        <w:ind w:firstLine="720"/>
        <w:jc w:val="both"/>
        <w:rPr>
          <w:rFonts w:asciiTheme="majorHAnsi" w:hAnsiTheme="majorHAnsi"/>
          <w:b/>
          <w:bCs/>
          <w:sz w:val="20"/>
          <w:szCs w:val="20"/>
          <w:lang w:val="es-UY"/>
        </w:rPr>
      </w:pPr>
      <w:r w:rsidRPr="00BB50C3">
        <w:rPr>
          <w:rFonts w:asciiTheme="majorHAnsi" w:hAnsiTheme="majorHAnsi"/>
          <w:b/>
          <w:bCs/>
          <w:sz w:val="20"/>
          <w:szCs w:val="20"/>
          <w:lang w:val="es-AR"/>
        </w:rPr>
        <w:t xml:space="preserve">El </w:t>
      </w:r>
      <w:r w:rsidR="00890DA0" w:rsidRPr="00BB50C3">
        <w:rPr>
          <w:rFonts w:asciiTheme="majorHAnsi" w:hAnsiTheme="majorHAnsi"/>
          <w:b/>
          <w:bCs/>
          <w:sz w:val="20"/>
          <w:szCs w:val="20"/>
          <w:lang w:val="es-AR"/>
        </w:rPr>
        <w:t>Estado</w:t>
      </w:r>
      <w:r w:rsidRPr="00BB50C3">
        <w:rPr>
          <w:rFonts w:asciiTheme="majorHAnsi" w:hAnsiTheme="majorHAnsi"/>
          <w:b/>
          <w:bCs/>
          <w:sz w:val="20"/>
          <w:szCs w:val="20"/>
          <w:lang w:val="es-AR"/>
        </w:rPr>
        <w:t xml:space="preserve"> </w:t>
      </w:r>
      <w:r w:rsidR="006D6F0C" w:rsidRPr="00BB50C3">
        <w:rPr>
          <w:rFonts w:asciiTheme="majorHAnsi" w:hAnsiTheme="majorHAnsi"/>
          <w:b/>
          <w:bCs/>
          <w:sz w:val="20"/>
          <w:szCs w:val="20"/>
          <w:lang w:val="es-AR"/>
        </w:rPr>
        <w:t>colombiano</w:t>
      </w:r>
    </w:p>
    <w:p w14:paraId="68A417B2" w14:textId="30E20756" w:rsidR="00B93D7F" w:rsidRPr="00BB50C3" w:rsidRDefault="0075466C"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E</w:t>
      </w:r>
      <w:r w:rsidR="00B93D7F" w:rsidRPr="00BB50C3">
        <w:rPr>
          <w:rFonts w:asciiTheme="majorHAnsi" w:hAnsiTheme="majorHAnsi"/>
          <w:sz w:val="20"/>
          <w:szCs w:val="20"/>
          <w:lang w:val="es-AR"/>
        </w:rPr>
        <w:t>l Es</w:t>
      </w:r>
      <w:r w:rsidR="003F5154" w:rsidRPr="00BB50C3">
        <w:rPr>
          <w:rFonts w:asciiTheme="majorHAnsi" w:hAnsiTheme="majorHAnsi"/>
          <w:sz w:val="20"/>
          <w:szCs w:val="20"/>
          <w:lang w:val="es-AR"/>
        </w:rPr>
        <w:t xml:space="preserve">tado, </w:t>
      </w:r>
      <w:r w:rsidRPr="00BB50C3">
        <w:rPr>
          <w:rFonts w:asciiTheme="majorHAnsi" w:hAnsiTheme="majorHAnsi"/>
          <w:sz w:val="20"/>
          <w:szCs w:val="20"/>
          <w:lang w:val="es-AR"/>
        </w:rPr>
        <w:t>por su parte, replica que la presente petición es inadmisible por la configuración de la denominada ‘fórmula de la cuarta instancia internacional’</w:t>
      </w:r>
      <w:r w:rsidR="003F5154" w:rsidRPr="00BB50C3">
        <w:rPr>
          <w:rFonts w:asciiTheme="majorHAnsi" w:hAnsiTheme="majorHAnsi"/>
          <w:sz w:val="20"/>
          <w:szCs w:val="20"/>
          <w:lang w:val="es-AR"/>
        </w:rPr>
        <w:t>.</w:t>
      </w:r>
    </w:p>
    <w:p w14:paraId="51AC19B1" w14:textId="388F0DCF" w:rsidR="00867FC7" w:rsidRPr="00BB50C3" w:rsidRDefault="00867FC7"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AR"/>
        </w:rPr>
        <w:t xml:space="preserve">En cuanto a los hechos, precisa que después de que </w:t>
      </w:r>
      <w:r w:rsidR="00AB0AEA" w:rsidRPr="00BB50C3">
        <w:rPr>
          <w:rFonts w:asciiTheme="majorHAnsi" w:hAnsiTheme="majorHAnsi"/>
          <w:sz w:val="20"/>
          <w:szCs w:val="20"/>
          <w:lang w:val="es-AR"/>
        </w:rPr>
        <w:t xml:space="preserve">la sentencia condenatoria contra el Sr. Gómez Herrera quedó en firme, </w:t>
      </w:r>
      <w:r w:rsidR="00F21A58" w:rsidRPr="00BB50C3">
        <w:rPr>
          <w:rFonts w:asciiTheme="majorHAnsi" w:hAnsiTheme="majorHAnsi"/>
          <w:sz w:val="20"/>
          <w:szCs w:val="20"/>
          <w:lang w:val="es-AR"/>
        </w:rPr>
        <w:t xml:space="preserve">éste solicitó al Juzgado de Ejecución de Penas el otorgamiento del beneficio de </w:t>
      </w:r>
      <w:r w:rsidR="00490DB9" w:rsidRPr="00BB50C3">
        <w:rPr>
          <w:rFonts w:asciiTheme="majorHAnsi" w:hAnsiTheme="majorHAnsi"/>
          <w:sz w:val="20"/>
          <w:szCs w:val="20"/>
          <w:lang w:val="es-AR"/>
        </w:rPr>
        <w:t xml:space="preserve">la </w:t>
      </w:r>
      <w:r w:rsidR="00F21A58" w:rsidRPr="00BB50C3">
        <w:rPr>
          <w:rFonts w:asciiTheme="majorHAnsi" w:hAnsiTheme="majorHAnsi"/>
          <w:sz w:val="20"/>
          <w:szCs w:val="20"/>
          <w:lang w:val="es-AR"/>
        </w:rPr>
        <w:t>libertad condicional, pero le fue negado el 17 de agosto de 2016.</w:t>
      </w:r>
      <w:r w:rsidR="001D15EF" w:rsidRPr="00BB50C3">
        <w:rPr>
          <w:rFonts w:asciiTheme="majorHAnsi" w:hAnsiTheme="majorHAnsi"/>
          <w:sz w:val="20"/>
          <w:szCs w:val="20"/>
          <w:lang w:val="es-AR"/>
        </w:rPr>
        <w:t xml:space="preserve"> </w:t>
      </w:r>
      <w:r w:rsidR="009B052D" w:rsidRPr="00BB50C3">
        <w:rPr>
          <w:rFonts w:asciiTheme="majorHAnsi" w:hAnsiTheme="majorHAnsi"/>
          <w:sz w:val="20"/>
          <w:szCs w:val="20"/>
          <w:lang w:val="es-AR"/>
        </w:rPr>
        <w:t xml:space="preserve">Reseña que su apoderado interpuso </w:t>
      </w:r>
      <w:r w:rsidR="00F04DF5" w:rsidRPr="00BB50C3">
        <w:rPr>
          <w:rFonts w:asciiTheme="majorHAnsi" w:hAnsiTheme="majorHAnsi"/>
          <w:sz w:val="20"/>
          <w:szCs w:val="20"/>
          <w:lang w:val="es-AR"/>
        </w:rPr>
        <w:t xml:space="preserve">un </w:t>
      </w:r>
      <w:r w:rsidR="009B052D" w:rsidRPr="00BB50C3">
        <w:rPr>
          <w:rFonts w:asciiTheme="majorHAnsi" w:hAnsiTheme="majorHAnsi"/>
          <w:sz w:val="20"/>
          <w:szCs w:val="20"/>
          <w:lang w:val="es-AR"/>
        </w:rPr>
        <w:t>recurso de apelación contra dicha decisión, pero fue confirmada en segunda instancia el 17 de noviembre de 2016.</w:t>
      </w:r>
      <w:r w:rsidR="00E7243C" w:rsidRPr="00BB50C3">
        <w:rPr>
          <w:rFonts w:asciiTheme="majorHAnsi" w:hAnsiTheme="majorHAnsi"/>
          <w:sz w:val="20"/>
          <w:szCs w:val="20"/>
          <w:lang w:val="es-AR"/>
        </w:rPr>
        <w:t xml:space="preserve"> Ante ello, el peticionario promovió un</w:t>
      </w:r>
      <w:r w:rsidR="00296152" w:rsidRPr="00BB50C3">
        <w:rPr>
          <w:rFonts w:asciiTheme="majorHAnsi" w:hAnsiTheme="majorHAnsi"/>
          <w:sz w:val="20"/>
          <w:szCs w:val="20"/>
          <w:lang w:val="es-AR"/>
        </w:rPr>
        <w:t xml:space="preserve">a acción de tutela </w:t>
      </w:r>
      <w:r w:rsidR="004D1AE9" w:rsidRPr="00BB50C3">
        <w:rPr>
          <w:rFonts w:asciiTheme="majorHAnsi" w:hAnsiTheme="majorHAnsi"/>
          <w:sz w:val="20"/>
          <w:szCs w:val="20"/>
          <w:lang w:val="es-AR"/>
        </w:rPr>
        <w:t xml:space="preserve">que fue </w:t>
      </w:r>
      <w:r w:rsidR="004C5B25" w:rsidRPr="00BB50C3">
        <w:rPr>
          <w:rFonts w:asciiTheme="majorHAnsi" w:hAnsiTheme="majorHAnsi"/>
          <w:sz w:val="20"/>
          <w:szCs w:val="20"/>
          <w:lang w:val="es-AR"/>
        </w:rPr>
        <w:t xml:space="preserve">desestimada por la Corte Suprema de Justicia </w:t>
      </w:r>
      <w:r w:rsidR="0062468B" w:rsidRPr="00BB50C3">
        <w:rPr>
          <w:rFonts w:asciiTheme="majorHAnsi" w:hAnsiTheme="majorHAnsi"/>
          <w:sz w:val="20"/>
          <w:szCs w:val="20"/>
          <w:lang w:val="es-AR"/>
        </w:rPr>
        <w:t xml:space="preserve">en primera y segunda instancia </w:t>
      </w:r>
      <w:r w:rsidR="004D1AE9" w:rsidRPr="00BB50C3">
        <w:rPr>
          <w:rFonts w:asciiTheme="majorHAnsi" w:hAnsiTheme="majorHAnsi"/>
          <w:sz w:val="20"/>
          <w:szCs w:val="20"/>
          <w:lang w:val="es-AR"/>
        </w:rPr>
        <w:t xml:space="preserve">el </w:t>
      </w:r>
      <w:r w:rsidR="004C5B25" w:rsidRPr="00BB50C3">
        <w:rPr>
          <w:rFonts w:asciiTheme="majorHAnsi" w:hAnsiTheme="majorHAnsi"/>
          <w:sz w:val="20"/>
          <w:szCs w:val="20"/>
          <w:lang w:val="es-AR"/>
        </w:rPr>
        <w:t>2</w:t>
      </w:r>
      <w:r w:rsidR="0062468B" w:rsidRPr="00BB50C3">
        <w:rPr>
          <w:rFonts w:asciiTheme="majorHAnsi" w:hAnsiTheme="majorHAnsi"/>
          <w:sz w:val="20"/>
          <w:szCs w:val="20"/>
          <w:lang w:val="es-AR"/>
        </w:rPr>
        <w:t>6</w:t>
      </w:r>
      <w:r w:rsidR="004C5B25" w:rsidRPr="00BB50C3">
        <w:rPr>
          <w:rFonts w:asciiTheme="majorHAnsi" w:hAnsiTheme="majorHAnsi"/>
          <w:sz w:val="20"/>
          <w:szCs w:val="20"/>
          <w:lang w:val="es-AR"/>
        </w:rPr>
        <w:t xml:space="preserve"> </w:t>
      </w:r>
      <w:r w:rsidR="004D1AE9" w:rsidRPr="00BB50C3">
        <w:rPr>
          <w:rFonts w:asciiTheme="majorHAnsi" w:hAnsiTheme="majorHAnsi"/>
          <w:sz w:val="20"/>
          <w:szCs w:val="20"/>
          <w:lang w:val="es-AR"/>
        </w:rPr>
        <w:t xml:space="preserve">de </w:t>
      </w:r>
      <w:r w:rsidR="0062468B" w:rsidRPr="00BB50C3">
        <w:rPr>
          <w:rFonts w:asciiTheme="majorHAnsi" w:hAnsiTheme="majorHAnsi"/>
          <w:sz w:val="20"/>
          <w:szCs w:val="20"/>
          <w:lang w:val="es-AR"/>
        </w:rPr>
        <w:t>en</w:t>
      </w:r>
      <w:r w:rsidR="004C5B25" w:rsidRPr="00BB50C3">
        <w:rPr>
          <w:rFonts w:asciiTheme="majorHAnsi" w:hAnsiTheme="majorHAnsi"/>
          <w:sz w:val="20"/>
          <w:szCs w:val="20"/>
          <w:lang w:val="es-AR"/>
        </w:rPr>
        <w:t xml:space="preserve">ero </w:t>
      </w:r>
      <w:r w:rsidR="004D1AE9" w:rsidRPr="00BB50C3">
        <w:rPr>
          <w:rFonts w:asciiTheme="majorHAnsi" w:hAnsiTheme="majorHAnsi"/>
          <w:sz w:val="20"/>
          <w:szCs w:val="20"/>
          <w:lang w:val="es-AR"/>
        </w:rPr>
        <w:t>de 201</w:t>
      </w:r>
      <w:r w:rsidR="0062468B" w:rsidRPr="00BB50C3">
        <w:rPr>
          <w:rFonts w:asciiTheme="majorHAnsi" w:hAnsiTheme="majorHAnsi"/>
          <w:sz w:val="20"/>
          <w:szCs w:val="20"/>
          <w:lang w:val="es-AR"/>
        </w:rPr>
        <w:t>7</w:t>
      </w:r>
      <w:r w:rsidR="004D1AE9" w:rsidRPr="00BB50C3">
        <w:rPr>
          <w:rFonts w:asciiTheme="majorHAnsi" w:hAnsiTheme="majorHAnsi"/>
          <w:sz w:val="20"/>
          <w:szCs w:val="20"/>
          <w:lang w:val="es-AR"/>
        </w:rPr>
        <w:t>.</w:t>
      </w:r>
      <w:r w:rsidR="0038427A" w:rsidRPr="00BB50C3">
        <w:rPr>
          <w:rFonts w:asciiTheme="majorHAnsi" w:hAnsiTheme="majorHAnsi"/>
          <w:sz w:val="20"/>
          <w:szCs w:val="20"/>
          <w:lang w:val="es-AR"/>
        </w:rPr>
        <w:t xml:space="preserve"> Además, indica que el peticionario </w:t>
      </w:r>
      <w:r w:rsidR="00B1185A" w:rsidRPr="00BB50C3">
        <w:rPr>
          <w:rFonts w:asciiTheme="majorHAnsi" w:hAnsiTheme="majorHAnsi"/>
          <w:sz w:val="20"/>
          <w:szCs w:val="20"/>
          <w:lang w:val="es-AR"/>
        </w:rPr>
        <w:t xml:space="preserve">instauró otras dos acciones de tutela en el marco del proceso, una contra las entidades que se tardaron en ejecutar la medida de detención domiciliaria y otra </w:t>
      </w:r>
      <w:r w:rsidR="00B12ECE" w:rsidRPr="00BB50C3">
        <w:rPr>
          <w:rFonts w:asciiTheme="majorHAnsi" w:hAnsiTheme="majorHAnsi"/>
          <w:sz w:val="20"/>
          <w:szCs w:val="20"/>
          <w:lang w:val="es-AR"/>
        </w:rPr>
        <w:t>solicitando la nulidad de todo el proceso a partir del decreto presidencial que disolvió al DAS en 2011.</w:t>
      </w:r>
      <w:r w:rsidR="00675707" w:rsidRPr="00BB50C3">
        <w:rPr>
          <w:rFonts w:asciiTheme="majorHAnsi" w:hAnsiTheme="majorHAnsi"/>
          <w:sz w:val="20"/>
          <w:szCs w:val="20"/>
          <w:lang w:val="es-AR"/>
        </w:rPr>
        <w:t xml:space="preserve"> Todas ellas fueron denegadas.</w:t>
      </w:r>
    </w:p>
    <w:p w14:paraId="27E97C17" w14:textId="338720D5" w:rsidR="00662C05" w:rsidRPr="00BB50C3" w:rsidRDefault="00DA183E" w:rsidP="00D64207">
      <w:pPr>
        <w:pStyle w:val="ListParagraph"/>
        <w:numPr>
          <w:ilvl w:val="0"/>
          <w:numId w:val="61"/>
        </w:numPr>
        <w:ind w:left="0" w:firstLine="720"/>
        <w:jc w:val="both"/>
        <w:rPr>
          <w:rFonts w:asciiTheme="majorHAnsi" w:hAnsiTheme="majorHAnsi"/>
          <w:bCs/>
          <w:sz w:val="20"/>
          <w:szCs w:val="20"/>
          <w:lang w:val="es-CO"/>
        </w:rPr>
      </w:pPr>
      <w:r w:rsidRPr="00BB50C3">
        <w:rPr>
          <w:rFonts w:asciiTheme="majorHAnsi" w:hAnsiTheme="majorHAnsi"/>
          <w:sz w:val="20"/>
          <w:szCs w:val="20"/>
          <w:lang w:val="es-CO"/>
        </w:rPr>
        <w:t>Asimismo</w:t>
      </w:r>
      <w:r w:rsidR="001B7DE7" w:rsidRPr="00BB50C3">
        <w:rPr>
          <w:rFonts w:asciiTheme="majorHAnsi" w:hAnsiTheme="majorHAnsi"/>
          <w:sz w:val="20"/>
          <w:szCs w:val="20"/>
          <w:lang w:val="es-CO"/>
        </w:rPr>
        <w:t xml:space="preserve">, </w:t>
      </w:r>
      <w:r w:rsidR="00662C05" w:rsidRPr="00BB50C3">
        <w:rPr>
          <w:rFonts w:asciiTheme="majorHAnsi" w:hAnsiTheme="majorHAnsi"/>
          <w:sz w:val="20"/>
          <w:szCs w:val="20"/>
          <w:lang w:val="es-CO"/>
        </w:rPr>
        <w:t>Colombia recuerda</w:t>
      </w:r>
      <w:r w:rsidR="00A0206E" w:rsidRPr="00BB50C3">
        <w:rPr>
          <w:rFonts w:asciiTheme="majorHAnsi" w:hAnsiTheme="majorHAnsi"/>
          <w:sz w:val="20"/>
          <w:szCs w:val="20"/>
          <w:lang w:val="es-CO"/>
        </w:rPr>
        <w:t xml:space="preserve"> que</w:t>
      </w:r>
      <w:r w:rsidR="00662C05" w:rsidRPr="00BB50C3">
        <w:rPr>
          <w:rFonts w:asciiTheme="majorHAnsi" w:hAnsiTheme="majorHAnsi"/>
          <w:sz w:val="20"/>
          <w:szCs w:val="20"/>
          <w:lang w:val="es-CO"/>
        </w:rPr>
        <w:t xml:space="preserve"> </w:t>
      </w:r>
      <w:r w:rsidR="00E26F57" w:rsidRPr="00BB50C3">
        <w:rPr>
          <w:rFonts w:asciiTheme="majorHAnsi" w:hAnsiTheme="majorHAnsi"/>
          <w:sz w:val="20"/>
          <w:szCs w:val="20"/>
          <w:lang w:val="es-CO"/>
        </w:rPr>
        <w:t xml:space="preserve">según </w:t>
      </w:r>
      <w:r w:rsidR="00867FC7" w:rsidRPr="00BB50C3">
        <w:rPr>
          <w:rFonts w:asciiTheme="majorHAnsi" w:hAnsiTheme="majorHAnsi"/>
          <w:sz w:val="20"/>
          <w:szCs w:val="20"/>
          <w:lang w:val="es-CO"/>
        </w:rPr>
        <w:t xml:space="preserve">la </w:t>
      </w:r>
      <w:r w:rsidR="00662C05" w:rsidRPr="00BB50C3">
        <w:rPr>
          <w:rFonts w:asciiTheme="majorHAnsi" w:hAnsiTheme="majorHAnsi"/>
          <w:sz w:val="20"/>
          <w:szCs w:val="20"/>
          <w:lang w:val="es-CO"/>
        </w:rPr>
        <w:t>fórmula</w:t>
      </w:r>
      <w:r w:rsidR="00867FC7" w:rsidRPr="00BB50C3">
        <w:rPr>
          <w:rFonts w:asciiTheme="majorHAnsi" w:hAnsiTheme="majorHAnsi"/>
          <w:sz w:val="20"/>
          <w:szCs w:val="20"/>
          <w:lang w:val="es-CO"/>
        </w:rPr>
        <w:t xml:space="preserve"> de la cuarta instancia internacional</w:t>
      </w:r>
      <w:r w:rsidR="00662C05" w:rsidRPr="00BB50C3">
        <w:rPr>
          <w:rFonts w:asciiTheme="majorHAnsi" w:hAnsiTheme="majorHAnsi"/>
          <w:sz w:val="20"/>
          <w:szCs w:val="20"/>
          <w:lang w:val="es-CO"/>
        </w:rPr>
        <w:t xml:space="preserve">, la Comisión Interamericana no tiene la facultad de revisar las providencias emanadas de los tribunales nacionales que actúen en la esfera de su competencia y en aplicación de las garantías judiciales. Ello en vista de que la función de la CIDH es garantizar la observancia de las obligaciones asumidas por los Estados, y no de hacer las </w:t>
      </w:r>
      <w:r w:rsidR="00662C05" w:rsidRPr="00BB50C3">
        <w:rPr>
          <w:rFonts w:asciiTheme="majorHAnsi" w:hAnsiTheme="majorHAnsi"/>
          <w:sz w:val="20"/>
          <w:szCs w:val="20"/>
          <w:lang w:val="es-CO"/>
        </w:rPr>
        <w:lastRenderedPageBreak/>
        <w:t>veces de tribunal de alzada internacional para examinar discrepancias en los supuestos errores de hecho o de derecho por los tribunales domésticos.</w:t>
      </w:r>
    </w:p>
    <w:p w14:paraId="668FB1DB" w14:textId="49AF1239" w:rsidR="00C95815" w:rsidRPr="00BB50C3" w:rsidRDefault="0091255E"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CO"/>
        </w:rPr>
        <w:t>El Estado sostiene</w:t>
      </w:r>
      <w:r w:rsidR="000B786A" w:rsidRPr="00BB50C3">
        <w:rPr>
          <w:rFonts w:asciiTheme="majorHAnsi" w:hAnsiTheme="majorHAnsi"/>
          <w:sz w:val="20"/>
          <w:szCs w:val="20"/>
          <w:lang w:val="es-CO"/>
        </w:rPr>
        <w:t xml:space="preserve"> que el proceso penal adelantado contra el Sr. Gómez Herrera </w:t>
      </w:r>
      <w:r w:rsidR="00747C8B" w:rsidRPr="00BB50C3">
        <w:rPr>
          <w:rFonts w:asciiTheme="majorHAnsi" w:hAnsiTheme="majorHAnsi"/>
          <w:sz w:val="20"/>
          <w:szCs w:val="20"/>
          <w:lang w:val="es-CO"/>
        </w:rPr>
        <w:t xml:space="preserve">se desarrolló conforme a las garantías judiciales </w:t>
      </w:r>
      <w:r w:rsidR="00F525B7" w:rsidRPr="00BB50C3">
        <w:rPr>
          <w:rFonts w:asciiTheme="majorHAnsi" w:hAnsiTheme="majorHAnsi"/>
          <w:sz w:val="20"/>
          <w:szCs w:val="20"/>
          <w:lang w:val="es-CO"/>
        </w:rPr>
        <w:t xml:space="preserve">contempladas en la Convención Americana, </w:t>
      </w:r>
      <w:r w:rsidR="00801245" w:rsidRPr="00BB50C3">
        <w:rPr>
          <w:rFonts w:asciiTheme="majorHAnsi" w:hAnsiTheme="majorHAnsi"/>
          <w:sz w:val="20"/>
          <w:szCs w:val="20"/>
          <w:lang w:val="es-CO"/>
        </w:rPr>
        <w:t xml:space="preserve">y en ese marco tuvo acceso a </w:t>
      </w:r>
      <w:r w:rsidR="00475023" w:rsidRPr="00BB50C3">
        <w:rPr>
          <w:rFonts w:asciiTheme="majorHAnsi" w:hAnsiTheme="majorHAnsi"/>
          <w:sz w:val="20"/>
          <w:szCs w:val="20"/>
          <w:lang w:val="es-CO"/>
        </w:rPr>
        <w:t xml:space="preserve">diferentes recursos en los que </w:t>
      </w:r>
      <w:r w:rsidR="00461FCD" w:rsidRPr="00BB50C3">
        <w:rPr>
          <w:rFonts w:asciiTheme="majorHAnsi" w:hAnsiTheme="majorHAnsi"/>
          <w:sz w:val="20"/>
          <w:szCs w:val="20"/>
          <w:lang w:val="es-CO"/>
        </w:rPr>
        <w:t>esgrimi</w:t>
      </w:r>
      <w:r w:rsidR="00475023" w:rsidRPr="00BB50C3">
        <w:rPr>
          <w:rFonts w:asciiTheme="majorHAnsi" w:hAnsiTheme="majorHAnsi"/>
          <w:sz w:val="20"/>
          <w:szCs w:val="20"/>
          <w:lang w:val="es-CO"/>
        </w:rPr>
        <w:t>ó los alegatos que presenta ante la CIDH.</w:t>
      </w:r>
      <w:r w:rsidR="00365B66" w:rsidRPr="00BB50C3">
        <w:rPr>
          <w:rFonts w:asciiTheme="majorHAnsi" w:hAnsiTheme="majorHAnsi"/>
          <w:sz w:val="20"/>
          <w:szCs w:val="20"/>
          <w:lang w:val="es-CO"/>
        </w:rPr>
        <w:t xml:space="preserve"> </w:t>
      </w:r>
      <w:r w:rsidR="00867FC7" w:rsidRPr="00BB50C3">
        <w:rPr>
          <w:rFonts w:asciiTheme="majorHAnsi" w:hAnsiTheme="majorHAnsi"/>
          <w:sz w:val="20"/>
          <w:szCs w:val="20"/>
          <w:lang w:val="es-CO"/>
        </w:rPr>
        <w:t>El Estado explica que entre el 22 de marzo y el 5 de diciembre de 2011, la fiscalía realizó diferentes actos de investigación contra el Sr. Gómez Herrera, tales como órdenes de inspección, interceptación de comunicaciones telefónicas y órdenes de vigilancia y seguimiento de personas</w:t>
      </w:r>
      <w:r w:rsidR="00C0735E" w:rsidRPr="00BB50C3">
        <w:rPr>
          <w:rFonts w:asciiTheme="majorHAnsi" w:hAnsiTheme="majorHAnsi"/>
          <w:sz w:val="20"/>
          <w:szCs w:val="20"/>
          <w:lang w:val="es-CO"/>
        </w:rPr>
        <w:t>, por lo que su condena se fundó en pruebas debidamente recabadas</w:t>
      </w:r>
      <w:r w:rsidR="00867FC7" w:rsidRPr="00BB50C3">
        <w:rPr>
          <w:rFonts w:asciiTheme="majorHAnsi" w:hAnsiTheme="majorHAnsi"/>
          <w:sz w:val="20"/>
          <w:szCs w:val="20"/>
          <w:lang w:val="es-CO"/>
        </w:rPr>
        <w:t xml:space="preserve">. </w:t>
      </w:r>
      <w:r w:rsidR="00B636ED" w:rsidRPr="00BB50C3">
        <w:rPr>
          <w:rFonts w:asciiTheme="majorHAnsi" w:hAnsiTheme="majorHAnsi"/>
          <w:sz w:val="20"/>
          <w:szCs w:val="20"/>
          <w:lang w:val="es-CO"/>
        </w:rPr>
        <w:t>A</w:t>
      </w:r>
      <w:r w:rsidR="00365B66" w:rsidRPr="00BB50C3">
        <w:rPr>
          <w:rFonts w:asciiTheme="majorHAnsi" w:hAnsiTheme="majorHAnsi"/>
          <w:sz w:val="20"/>
          <w:szCs w:val="20"/>
          <w:lang w:val="es-CO"/>
        </w:rPr>
        <w:t xml:space="preserve">rgumenta </w:t>
      </w:r>
      <w:r w:rsidR="00B636ED" w:rsidRPr="00BB50C3">
        <w:rPr>
          <w:rFonts w:asciiTheme="majorHAnsi" w:hAnsiTheme="majorHAnsi"/>
          <w:sz w:val="20"/>
          <w:szCs w:val="20"/>
          <w:lang w:val="es-CO"/>
        </w:rPr>
        <w:t xml:space="preserve">también </w:t>
      </w:r>
      <w:r w:rsidR="00365B66" w:rsidRPr="00BB50C3">
        <w:rPr>
          <w:rFonts w:asciiTheme="majorHAnsi" w:hAnsiTheme="majorHAnsi"/>
          <w:sz w:val="20"/>
          <w:szCs w:val="20"/>
          <w:lang w:val="es-CO"/>
        </w:rPr>
        <w:t xml:space="preserve">que </w:t>
      </w:r>
      <w:r w:rsidR="001A2CE4" w:rsidRPr="00BB50C3">
        <w:rPr>
          <w:rFonts w:asciiTheme="majorHAnsi" w:hAnsiTheme="majorHAnsi"/>
          <w:sz w:val="20"/>
          <w:szCs w:val="20"/>
          <w:lang w:val="es-CO"/>
        </w:rPr>
        <w:t xml:space="preserve">el peticionario manifiesta un mero desacuerdo con las sentencias condenatorias emitidas a nivel interno, </w:t>
      </w:r>
      <w:r w:rsidR="006C5637" w:rsidRPr="00BB50C3">
        <w:rPr>
          <w:rFonts w:asciiTheme="majorHAnsi" w:hAnsiTheme="majorHAnsi"/>
          <w:sz w:val="20"/>
          <w:szCs w:val="20"/>
          <w:lang w:val="es-CO"/>
        </w:rPr>
        <w:t xml:space="preserve">pues </w:t>
      </w:r>
      <w:r w:rsidR="0037711F" w:rsidRPr="00BB50C3">
        <w:rPr>
          <w:rFonts w:asciiTheme="majorHAnsi" w:hAnsiTheme="majorHAnsi"/>
          <w:sz w:val="20"/>
          <w:szCs w:val="20"/>
          <w:lang w:val="es-CO"/>
        </w:rPr>
        <w:t xml:space="preserve">plantea que los jueces </w:t>
      </w:r>
      <w:r w:rsidR="00282377" w:rsidRPr="00BB50C3">
        <w:rPr>
          <w:rFonts w:asciiTheme="majorHAnsi" w:hAnsiTheme="majorHAnsi"/>
          <w:sz w:val="20"/>
          <w:szCs w:val="20"/>
          <w:lang w:val="es-CO"/>
        </w:rPr>
        <w:t>cometieron un error en la apreciación de las pruebas</w:t>
      </w:r>
      <w:r w:rsidR="00942411" w:rsidRPr="00BB50C3">
        <w:rPr>
          <w:rFonts w:asciiTheme="majorHAnsi" w:hAnsiTheme="majorHAnsi"/>
          <w:sz w:val="20"/>
          <w:szCs w:val="20"/>
          <w:lang w:val="es-CO"/>
        </w:rPr>
        <w:t>, sin que se evidenci</w:t>
      </w:r>
      <w:r w:rsidR="00D1393C" w:rsidRPr="00BB50C3">
        <w:rPr>
          <w:rFonts w:asciiTheme="majorHAnsi" w:hAnsiTheme="majorHAnsi"/>
          <w:sz w:val="20"/>
          <w:szCs w:val="20"/>
          <w:lang w:val="es-CO"/>
        </w:rPr>
        <w:t>e</w:t>
      </w:r>
      <w:r w:rsidR="00942411" w:rsidRPr="00BB50C3">
        <w:rPr>
          <w:rFonts w:asciiTheme="majorHAnsi" w:hAnsiTheme="majorHAnsi"/>
          <w:sz w:val="20"/>
          <w:szCs w:val="20"/>
          <w:lang w:val="es-CO"/>
        </w:rPr>
        <w:t xml:space="preserve"> una falta al debido proceso</w:t>
      </w:r>
      <w:r w:rsidR="006C5637" w:rsidRPr="00BB50C3">
        <w:rPr>
          <w:rFonts w:asciiTheme="majorHAnsi" w:hAnsiTheme="majorHAnsi"/>
          <w:sz w:val="20"/>
          <w:szCs w:val="20"/>
          <w:lang w:val="es-CO"/>
        </w:rPr>
        <w:t>.</w:t>
      </w:r>
      <w:r w:rsidR="009C1B07" w:rsidRPr="00BB50C3">
        <w:rPr>
          <w:rFonts w:asciiTheme="majorHAnsi" w:hAnsiTheme="majorHAnsi"/>
          <w:sz w:val="20"/>
          <w:szCs w:val="20"/>
          <w:lang w:val="es-CO"/>
        </w:rPr>
        <w:t xml:space="preserve"> Con ello, pretende que la Comisión modifique la sentencia que resultó desfavorable a sus intereses.</w:t>
      </w:r>
    </w:p>
    <w:p w14:paraId="02C63D36" w14:textId="14EAFFFB" w:rsidR="000914B3" w:rsidRPr="00BB50C3" w:rsidRDefault="00263A9E" w:rsidP="00D64207">
      <w:pPr>
        <w:pStyle w:val="ListParagraph"/>
        <w:numPr>
          <w:ilvl w:val="0"/>
          <w:numId w:val="61"/>
        </w:numPr>
        <w:ind w:left="0" w:firstLine="720"/>
        <w:jc w:val="both"/>
        <w:rPr>
          <w:rFonts w:asciiTheme="majorHAnsi" w:hAnsiTheme="majorHAnsi"/>
          <w:bCs/>
          <w:sz w:val="20"/>
          <w:szCs w:val="20"/>
          <w:lang w:val="es-UY"/>
        </w:rPr>
      </w:pPr>
      <w:r w:rsidRPr="00BB50C3">
        <w:rPr>
          <w:rFonts w:asciiTheme="majorHAnsi" w:hAnsiTheme="majorHAnsi"/>
          <w:sz w:val="20"/>
          <w:szCs w:val="20"/>
          <w:lang w:val="es-CO"/>
        </w:rPr>
        <w:t>Colombia subraya</w:t>
      </w:r>
      <w:r w:rsidR="000914B3" w:rsidRPr="00BB50C3">
        <w:rPr>
          <w:rFonts w:asciiTheme="majorHAnsi" w:hAnsiTheme="majorHAnsi"/>
          <w:sz w:val="20"/>
          <w:szCs w:val="20"/>
          <w:lang w:val="es-CO"/>
        </w:rPr>
        <w:t xml:space="preserve"> que el peticionario </w:t>
      </w:r>
      <w:r w:rsidR="00964A3B" w:rsidRPr="00BB50C3">
        <w:rPr>
          <w:rFonts w:asciiTheme="majorHAnsi" w:hAnsiTheme="majorHAnsi"/>
          <w:sz w:val="20"/>
          <w:szCs w:val="20"/>
          <w:lang w:val="es-CO"/>
        </w:rPr>
        <w:t>agotó múltiples recursos internos en los que se resolvieron de manera definitiva las cuestiones que busca elevar en el plano internacional.</w:t>
      </w:r>
      <w:r w:rsidR="009F1747" w:rsidRPr="00BB50C3">
        <w:rPr>
          <w:rFonts w:asciiTheme="majorHAnsi" w:hAnsiTheme="majorHAnsi"/>
          <w:sz w:val="20"/>
          <w:szCs w:val="20"/>
          <w:lang w:val="es-CO"/>
        </w:rPr>
        <w:t xml:space="preserve"> Todos estos se surtieron con plen</w:t>
      </w:r>
      <w:r w:rsidR="00D80525" w:rsidRPr="00BB50C3">
        <w:rPr>
          <w:rFonts w:asciiTheme="majorHAnsi" w:hAnsiTheme="majorHAnsi"/>
          <w:sz w:val="20"/>
          <w:szCs w:val="20"/>
          <w:lang w:val="es-CO"/>
        </w:rPr>
        <w:t>o</w:t>
      </w:r>
      <w:r w:rsidR="009F1747" w:rsidRPr="00BB50C3">
        <w:rPr>
          <w:rFonts w:asciiTheme="majorHAnsi" w:hAnsiTheme="majorHAnsi"/>
          <w:sz w:val="20"/>
          <w:szCs w:val="20"/>
          <w:lang w:val="es-CO"/>
        </w:rPr>
        <w:t xml:space="preserve"> respeto </w:t>
      </w:r>
      <w:r w:rsidR="00116D4E" w:rsidRPr="00BB50C3">
        <w:rPr>
          <w:rFonts w:asciiTheme="majorHAnsi" w:hAnsiTheme="majorHAnsi"/>
          <w:sz w:val="20"/>
          <w:szCs w:val="20"/>
          <w:lang w:val="es-CO"/>
        </w:rPr>
        <w:t>a</w:t>
      </w:r>
      <w:r w:rsidR="009F1747" w:rsidRPr="00BB50C3">
        <w:rPr>
          <w:rFonts w:asciiTheme="majorHAnsi" w:hAnsiTheme="majorHAnsi"/>
          <w:sz w:val="20"/>
          <w:szCs w:val="20"/>
          <w:lang w:val="es-CO"/>
        </w:rPr>
        <w:t xml:space="preserve"> las reglas del debido proceso</w:t>
      </w:r>
      <w:r w:rsidR="00B921FC" w:rsidRPr="00BB50C3">
        <w:rPr>
          <w:rFonts w:asciiTheme="majorHAnsi" w:hAnsiTheme="majorHAnsi"/>
          <w:sz w:val="20"/>
          <w:szCs w:val="20"/>
          <w:lang w:val="es-CO"/>
        </w:rPr>
        <w:t>,</w:t>
      </w:r>
      <w:r w:rsidR="009F1747" w:rsidRPr="00BB50C3">
        <w:rPr>
          <w:rFonts w:asciiTheme="majorHAnsi" w:hAnsiTheme="majorHAnsi"/>
          <w:sz w:val="20"/>
          <w:szCs w:val="20"/>
          <w:lang w:val="es-CO"/>
        </w:rPr>
        <w:t xml:space="preserve"> en aplicación de las garantías judiciales</w:t>
      </w:r>
      <w:r w:rsidR="00B37798" w:rsidRPr="00BB50C3">
        <w:rPr>
          <w:rFonts w:asciiTheme="majorHAnsi" w:hAnsiTheme="majorHAnsi"/>
          <w:sz w:val="20"/>
          <w:szCs w:val="20"/>
          <w:lang w:val="es-CO"/>
        </w:rPr>
        <w:t xml:space="preserve"> y cuenta</w:t>
      </w:r>
      <w:r w:rsidR="00B921FC" w:rsidRPr="00BB50C3">
        <w:rPr>
          <w:rFonts w:asciiTheme="majorHAnsi" w:hAnsiTheme="majorHAnsi"/>
          <w:sz w:val="20"/>
          <w:szCs w:val="20"/>
          <w:lang w:val="es-CO"/>
        </w:rPr>
        <w:t>n</w:t>
      </w:r>
      <w:r w:rsidR="00B37798" w:rsidRPr="00BB50C3">
        <w:rPr>
          <w:rFonts w:asciiTheme="majorHAnsi" w:hAnsiTheme="majorHAnsi"/>
          <w:sz w:val="20"/>
          <w:szCs w:val="20"/>
          <w:lang w:val="es-CO"/>
        </w:rPr>
        <w:t xml:space="preserve"> con decisiones ejecutoriades en las que </w:t>
      </w:r>
      <w:r w:rsidR="00E91ECF" w:rsidRPr="00BB50C3">
        <w:rPr>
          <w:rFonts w:asciiTheme="majorHAnsi" w:hAnsiTheme="majorHAnsi"/>
          <w:sz w:val="20"/>
          <w:szCs w:val="20"/>
          <w:lang w:val="es-CO"/>
        </w:rPr>
        <w:t>los jueces dan</w:t>
      </w:r>
      <w:r w:rsidR="00B37798" w:rsidRPr="00BB50C3">
        <w:rPr>
          <w:rFonts w:asciiTheme="majorHAnsi" w:hAnsiTheme="majorHAnsi"/>
          <w:sz w:val="20"/>
          <w:szCs w:val="20"/>
          <w:lang w:val="es-CO"/>
        </w:rPr>
        <w:t xml:space="preserve"> respuesta a todos los planteamientos propuestos por el Sr. Gómez Herrera en sede interamericana.</w:t>
      </w:r>
      <w:r w:rsidR="0044761F" w:rsidRPr="00BB50C3">
        <w:rPr>
          <w:rFonts w:asciiTheme="majorHAnsi" w:hAnsiTheme="majorHAnsi"/>
          <w:sz w:val="20"/>
          <w:szCs w:val="20"/>
          <w:lang w:val="es-CO"/>
        </w:rPr>
        <w:t xml:space="preserve"> Por ello, el Estado reitera que la presunta víctima pretende que la CIDH reemplace al juez natural del proceso penal y de tutela para efectuar una nueva valoración probatoria</w:t>
      </w:r>
      <w:r w:rsidR="00AA2B29" w:rsidRPr="00BB50C3">
        <w:rPr>
          <w:rFonts w:asciiTheme="majorHAnsi" w:hAnsiTheme="majorHAnsi"/>
          <w:sz w:val="20"/>
          <w:szCs w:val="20"/>
          <w:lang w:val="es-CO"/>
        </w:rPr>
        <w:t xml:space="preserve">, y, bajo entendido, solicita que declare inadmisible la presente petición en los términos del </w:t>
      </w:r>
      <w:r w:rsidR="00BC21B3" w:rsidRPr="00BB50C3">
        <w:rPr>
          <w:rFonts w:asciiTheme="majorHAnsi" w:hAnsiTheme="majorHAnsi"/>
          <w:sz w:val="20"/>
          <w:szCs w:val="20"/>
          <w:lang w:val="es-CO"/>
        </w:rPr>
        <w:t>artículo</w:t>
      </w:r>
      <w:r w:rsidR="00AA2B29" w:rsidRPr="00BB50C3">
        <w:rPr>
          <w:rFonts w:asciiTheme="majorHAnsi" w:hAnsiTheme="majorHAnsi"/>
          <w:sz w:val="20"/>
          <w:szCs w:val="20"/>
          <w:lang w:val="es-CO"/>
        </w:rPr>
        <w:t xml:space="preserve"> 47.b) de la Convención Americana.</w:t>
      </w:r>
    </w:p>
    <w:p w14:paraId="51F68C92" w14:textId="77777777" w:rsidR="003239B8" w:rsidRPr="00BB50C3" w:rsidRDefault="003239B8" w:rsidP="00D64207">
      <w:pPr>
        <w:spacing w:before="240" w:after="240"/>
        <w:ind w:firstLine="720"/>
        <w:jc w:val="both"/>
        <w:rPr>
          <w:rFonts w:asciiTheme="majorHAnsi" w:hAnsiTheme="majorHAnsi"/>
          <w:sz w:val="20"/>
          <w:szCs w:val="20"/>
          <w:lang w:val="es-UY"/>
        </w:rPr>
      </w:pPr>
      <w:r w:rsidRPr="00BB50C3">
        <w:rPr>
          <w:rFonts w:asciiTheme="majorHAnsi" w:eastAsia="Cambria" w:hAnsiTheme="majorHAnsi" w:cs="Cambria"/>
          <w:b/>
          <w:bCs/>
          <w:color w:val="000000"/>
          <w:sz w:val="20"/>
          <w:szCs w:val="20"/>
          <w:u w:color="000000"/>
          <w:lang w:val="es-ES" w:eastAsia="es-ES"/>
        </w:rPr>
        <w:t>VI.</w:t>
      </w:r>
      <w:r w:rsidRPr="00BB50C3">
        <w:rPr>
          <w:rFonts w:asciiTheme="majorHAnsi" w:eastAsia="Cambria" w:hAnsiTheme="majorHAnsi" w:cs="Cambria"/>
          <w:b/>
          <w:bCs/>
          <w:color w:val="000000"/>
          <w:sz w:val="20"/>
          <w:szCs w:val="20"/>
          <w:u w:color="000000"/>
          <w:lang w:val="es-ES" w:eastAsia="es-ES"/>
        </w:rPr>
        <w:tab/>
      </w:r>
      <w:r w:rsidR="004A6A54" w:rsidRPr="00BB50C3">
        <w:rPr>
          <w:rFonts w:asciiTheme="majorHAnsi" w:hAnsiTheme="majorHAnsi"/>
          <w:b/>
          <w:bCs/>
          <w:sz w:val="20"/>
          <w:szCs w:val="20"/>
          <w:lang w:val="es-ES_tradnl"/>
        </w:rPr>
        <w:t xml:space="preserve">ANÁLISIS DE </w:t>
      </w:r>
      <w:r w:rsidR="00C21FEF" w:rsidRPr="00BB50C3">
        <w:rPr>
          <w:rFonts w:asciiTheme="majorHAnsi" w:hAnsiTheme="majorHAnsi"/>
          <w:b/>
          <w:sz w:val="20"/>
          <w:szCs w:val="20"/>
          <w:lang w:val="es-ES"/>
        </w:rPr>
        <w:t>AGOTAMIENTO DE LOS RECURSOS INTERNOS Y PLAZO DE PRESENTACIÓN</w:t>
      </w:r>
      <w:r w:rsidR="00C21FEF" w:rsidRPr="00BB50C3">
        <w:rPr>
          <w:rFonts w:asciiTheme="majorHAnsi" w:eastAsia="Cambria" w:hAnsiTheme="majorHAnsi" w:cs="Cambria"/>
          <w:b/>
          <w:bCs/>
          <w:color w:val="000000"/>
          <w:sz w:val="20"/>
          <w:szCs w:val="20"/>
          <w:u w:color="000000"/>
          <w:lang w:val="es-ES" w:eastAsia="es-ES"/>
        </w:rPr>
        <w:t xml:space="preserve"> </w:t>
      </w:r>
    </w:p>
    <w:p w14:paraId="49EFFAF2" w14:textId="22936F3B" w:rsidR="006112FE" w:rsidRPr="00BB50C3" w:rsidRDefault="006B489C"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 xml:space="preserve">La presenten petición versa sobre la alegada persecución judicial del Sr. Gómez Herrera en razón de su labor de defensa de derechos humanos, y la prolongación indebida de su detención preventiva y de </w:t>
      </w:r>
      <w:r w:rsidR="00C17D00" w:rsidRPr="00BB50C3">
        <w:rPr>
          <w:rFonts w:asciiTheme="majorHAnsi" w:hAnsiTheme="majorHAnsi"/>
          <w:sz w:val="20"/>
          <w:szCs w:val="20"/>
          <w:lang w:val="es-ES"/>
        </w:rPr>
        <w:t>la prisión domiciliaria.</w:t>
      </w:r>
      <w:r w:rsidR="00FD4886" w:rsidRPr="00BB50C3">
        <w:rPr>
          <w:rFonts w:asciiTheme="majorHAnsi" w:hAnsiTheme="majorHAnsi"/>
          <w:sz w:val="20"/>
          <w:szCs w:val="20"/>
          <w:lang w:val="es-ES"/>
        </w:rPr>
        <w:t xml:space="preserve"> El Estado no present</w:t>
      </w:r>
      <w:r w:rsidR="00116D4E" w:rsidRPr="00BB50C3">
        <w:rPr>
          <w:rFonts w:asciiTheme="majorHAnsi" w:hAnsiTheme="majorHAnsi"/>
          <w:sz w:val="20"/>
          <w:szCs w:val="20"/>
          <w:lang w:val="es-ES"/>
        </w:rPr>
        <w:t>a</w:t>
      </w:r>
      <w:r w:rsidR="00FD4886" w:rsidRPr="00BB50C3">
        <w:rPr>
          <w:rFonts w:asciiTheme="majorHAnsi" w:hAnsiTheme="majorHAnsi"/>
          <w:sz w:val="20"/>
          <w:szCs w:val="20"/>
          <w:lang w:val="es-ES"/>
        </w:rPr>
        <w:t xml:space="preserve"> observaciones sobre el agotamiento de los recursos internos, ni del plazo de presentación de la petición.</w:t>
      </w:r>
    </w:p>
    <w:p w14:paraId="0CC93EE4" w14:textId="1F7AED58" w:rsidR="00A63EFD" w:rsidRPr="00BB50C3" w:rsidRDefault="009E5A04"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El artículo 46.1.a) de la Convención Americana dispone que para que una petición sea admitida se requiere “</w:t>
      </w:r>
      <w:r w:rsidRPr="00BB50C3">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BB50C3">
        <w:rPr>
          <w:rFonts w:asciiTheme="majorHAnsi" w:hAnsiTheme="majorHAnsi"/>
          <w:sz w:val="20"/>
          <w:szCs w:val="20"/>
          <w:lang w:val="es-ES"/>
        </w:rPr>
        <w:t>”.</w:t>
      </w:r>
      <w:r w:rsidR="00A63EFD" w:rsidRPr="00BB50C3">
        <w:rPr>
          <w:rFonts w:asciiTheme="majorHAnsi" w:hAnsiTheme="majorHAnsi"/>
          <w:sz w:val="20"/>
          <w:szCs w:val="20"/>
          <w:lang w:val="es-ES"/>
        </w:rPr>
        <w:t xml:space="preserve"> </w:t>
      </w:r>
      <w:r w:rsidR="00A63EFD" w:rsidRPr="00BB50C3">
        <w:rPr>
          <w:rFonts w:asciiTheme="majorHAnsi" w:hAnsiTheme="majorHAnsi"/>
          <w:sz w:val="20"/>
          <w:szCs w:val="20"/>
          <w:lang w:val="es-CO"/>
        </w:rPr>
        <w:t>A este respecto, la CIDH ha determinado en reiteradas decisiones que los recursos idóneos a agotar en casos en que se alegan violaciones de las garantías procesales, la libertad personal y otros derechos humanos en el curso de procesos judiciales, son, por regla general, aquellos medios provistos por la legislación procesal nacional para impugnar las actuaciones y decisiones adoptadas en el curso del propio proceso cuestionado</w:t>
      </w:r>
      <w:r w:rsidR="00A63EFD" w:rsidRPr="00BB50C3">
        <w:rPr>
          <w:rFonts w:asciiTheme="majorHAnsi" w:hAnsiTheme="majorHAnsi"/>
          <w:sz w:val="20"/>
          <w:szCs w:val="20"/>
          <w:vertAlign w:val="superscript"/>
          <w:lang w:val="es-CO"/>
        </w:rPr>
        <w:footnoteReference w:id="6"/>
      </w:r>
      <w:r w:rsidR="00A63EFD" w:rsidRPr="00BB50C3">
        <w:rPr>
          <w:rFonts w:asciiTheme="majorHAnsi" w:hAnsiTheme="majorHAnsi"/>
          <w:sz w:val="20"/>
          <w:szCs w:val="20"/>
          <w:lang w:val="es-CO"/>
        </w:rPr>
        <w:t>.</w:t>
      </w:r>
    </w:p>
    <w:p w14:paraId="58CE3313" w14:textId="1EA5FA21" w:rsidR="00767104" w:rsidRPr="00BB50C3" w:rsidRDefault="00A63EFD"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MX"/>
        </w:rPr>
        <w:t>S</w:t>
      </w:r>
      <w:r w:rsidR="00FB7BEE" w:rsidRPr="00BB50C3">
        <w:rPr>
          <w:rFonts w:asciiTheme="majorHAnsi" w:hAnsiTheme="majorHAnsi"/>
          <w:sz w:val="20"/>
          <w:szCs w:val="20"/>
          <w:lang w:val="es-MX"/>
        </w:rPr>
        <w:t>i bien en principio puede ser suficiente que la presunta víctima agote los recursos ordinarios, si ésta opta por ejercer los recursos extraordinarios, y lo hace de manera correcta y con la expectativa razonable de obtener un resultado favorable, entonces estos pueden tomarse en cuenta como recursos válidamente agotados para efectos del cumplimiento de los requisitos de admisibilidad de la petición</w:t>
      </w:r>
      <w:r w:rsidR="00FB7BEE" w:rsidRPr="00BB50C3">
        <w:rPr>
          <w:rFonts w:asciiTheme="majorHAnsi" w:hAnsiTheme="majorHAnsi"/>
          <w:sz w:val="20"/>
          <w:szCs w:val="20"/>
          <w:vertAlign w:val="superscript"/>
          <w:lang w:val="es-MX"/>
        </w:rPr>
        <w:footnoteReference w:id="7"/>
      </w:r>
      <w:r w:rsidR="00FB7BEE" w:rsidRPr="00BB50C3">
        <w:rPr>
          <w:rFonts w:asciiTheme="majorHAnsi" w:hAnsiTheme="majorHAnsi"/>
          <w:sz w:val="20"/>
          <w:szCs w:val="20"/>
          <w:lang w:val="es-MX"/>
        </w:rPr>
        <w:t>.</w:t>
      </w:r>
      <w:r w:rsidR="006A5AE8" w:rsidRPr="00BB50C3">
        <w:rPr>
          <w:rFonts w:asciiTheme="majorHAnsi" w:hAnsiTheme="majorHAnsi"/>
          <w:sz w:val="20"/>
          <w:szCs w:val="20"/>
          <w:lang w:val="es-MX"/>
        </w:rPr>
        <w:t xml:space="preserve"> Bajo ese entendido, la Comisión considera que el Sr. Gómez Herrera agotó los recursos internos f</w:t>
      </w:r>
      <w:r w:rsidR="00767104" w:rsidRPr="00BB50C3">
        <w:rPr>
          <w:rFonts w:asciiTheme="majorHAnsi" w:hAnsiTheme="majorHAnsi"/>
          <w:sz w:val="20"/>
          <w:szCs w:val="20"/>
          <w:lang w:val="es-MX"/>
        </w:rPr>
        <w:t xml:space="preserve">rente al reclamo relativo a la criminalización de su labor como defensor mediante la interposición del recurso de casación que fue </w:t>
      </w:r>
      <w:r w:rsidR="00767104" w:rsidRPr="00BB50C3">
        <w:rPr>
          <w:rFonts w:asciiTheme="majorHAnsi" w:hAnsiTheme="majorHAnsi"/>
          <w:sz w:val="20"/>
          <w:szCs w:val="20"/>
          <w:lang w:val="es-AR"/>
        </w:rPr>
        <w:t xml:space="preserve">inadmitido el 24 de febrero de 2016 por la Corte Suprema de Justicia. </w:t>
      </w:r>
      <w:r w:rsidR="003320CB" w:rsidRPr="00BB50C3">
        <w:rPr>
          <w:rFonts w:asciiTheme="majorHAnsi" w:hAnsiTheme="majorHAnsi"/>
          <w:sz w:val="20"/>
          <w:szCs w:val="20"/>
          <w:lang w:val="es-AR"/>
        </w:rPr>
        <w:t>Además</w:t>
      </w:r>
      <w:r w:rsidR="00767104" w:rsidRPr="00BB50C3">
        <w:rPr>
          <w:rFonts w:asciiTheme="majorHAnsi" w:hAnsiTheme="majorHAnsi"/>
          <w:sz w:val="20"/>
          <w:szCs w:val="20"/>
          <w:lang w:val="es-AR"/>
        </w:rPr>
        <w:t xml:space="preserve">, dado que la petición fue </w:t>
      </w:r>
      <w:r w:rsidR="00767104" w:rsidRPr="00BB50C3">
        <w:rPr>
          <w:rFonts w:asciiTheme="majorHAnsi" w:hAnsiTheme="majorHAnsi"/>
          <w:sz w:val="20"/>
          <w:szCs w:val="20"/>
          <w:lang w:val="es-AR"/>
        </w:rPr>
        <w:lastRenderedPageBreak/>
        <w:t>presentada el 1° de junio de 2015, concluye que cumple con los requisitos establecidos en los artículos 46.1.a) y b) de la Convención Americana en este extremo.</w:t>
      </w:r>
    </w:p>
    <w:p w14:paraId="4D7045E1" w14:textId="01A3EF86" w:rsidR="008C5E2D" w:rsidRPr="00BB50C3" w:rsidRDefault="00767104"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En cuanto al reclamo por la indebida prolongación de las medidas de prisión preventiva y detención domiciliaria, la CIDH encuentra que</w:t>
      </w:r>
      <w:r w:rsidR="006E4940" w:rsidRPr="00BB50C3">
        <w:rPr>
          <w:rFonts w:asciiTheme="majorHAnsi" w:hAnsiTheme="majorHAnsi"/>
          <w:sz w:val="20"/>
          <w:szCs w:val="20"/>
          <w:lang w:val="es-ES"/>
        </w:rPr>
        <w:t xml:space="preserve"> el peticionario</w:t>
      </w:r>
      <w:r w:rsidRPr="00BB50C3">
        <w:rPr>
          <w:rFonts w:asciiTheme="majorHAnsi" w:hAnsiTheme="majorHAnsi"/>
          <w:sz w:val="20"/>
          <w:szCs w:val="20"/>
          <w:lang w:val="es-ES"/>
        </w:rPr>
        <w:t xml:space="preserve"> agotó los recursos internos </w:t>
      </w:r>
      <w:r w:rsidR="00E628DF" w:rsidRPr="00BB50C3">
        <w:rPr>
          <w:rFonts w:asciiTheme="majorHAnsi" w:hAnsiTheme="majorHAnsi"/>
          <w:sz w:val="20"/>
          <w:szCs w:val="20"/>
          <w:lang w:val="es-ES"/>
        </w:rPr>
        <w:t xml:space="preserve">con las solicitudes de libertad </w:t>
      </w:r>
      <w:r w:rsidR="00B414D6" w:rsidRPr="00BB50C3">
        <w:rPr>
          <w:rFonts w:asciiTheme="majorHAnsi" w:hAnsiTheme="majorHAnsi"/>
          <w:sz w:val="20"/>
          <w:szCs w:val="20"/>
          <w:lang w:val="es-ES"/>
        </w:rPr>
        <w:t xml:space="preserve">en el curso del proceso penal, </w:t>
      </w:r>
      <w:r w:rsidR="00E628DF" w:rsidRPr="00BB50C3">
        <w:rPr>
          <w:rFonts w:asciiTheme="majorHAnsi" w:hAnsiTheme="majorHAnsi"/>
          <w:sz w:val="20"/>
          <w:szCs w:val="20"/>
          <w:lang w:val="es-ES"/>
        </w:rPr>
        <w:t xml:space="preserve">y con </w:t>
      </w:r>
      <w:r w:rsidR="00B414D6" w:rsidRPr="00BB50C3">
        <w:rPr>
          <w:rFonts w:asciiTheme="majorHAnsi" w:hAnsiTheme="majorHAnsi"/>
          <w:sz w:val="20"/>
          <w:szCs w:val="20"/>
          <w:lang w:val="es-ES"/>
        </w:rPr>
        <w:t xml:space="preserve">la acción de tutela promovida contra la decisión que negó </w:t>
      </w:r>
      <w:r w:rsidR="000F5603" w:rsidRPr="00BB50C3">
        <w:rPr>
          <w:rFonts w:asciiTheme="majorHAnsi" w:hAnsiTheme="majorHAnsi"/>
          <w:sz w:val="20"/>
          <w:szCs w:val="20"/>
          <w:lang w:val="es-ES"/>
        </w:rPr>
        <w:t xml:space="preserve">su pedido de </w:t>
      </w:r>
      <w:r w:rsidR="00B414D6" w:rsidRPr="00BB50C3">
        <w:rPr>
          <w:rFonts w:asciiTheme="majorHAnsi" w:hAnsiTheme="majorHAnsi"/>
          <w:sz w:val="20"/>
          <w:szCs w:val="20"/>
          <w:lang w:val="es-ES"/>
        </w:rPr>
        <w:t>libertad condicional</w:t>
      </w:r>
      <w:r w:rsidR="000F5603" w:rsidRPr="00BB50C3">
        <w:rPr>
          <w:rFonts w:asciiTheme="majorHAnsi" w:hAnsiTheme="majorHAnsi"/>
          <w:sz w:val="20"/>
          <w:szCs w:val="20"/>
          <w:lang w:val="es-ES"/>
        </w:rPr>
        <w:t xml:space="preserve">, decidida de manera definitiva el </w:t>
      </w:r>
      <w:r w:rsidR="000F5603" w:rsidRPr="00BB50C3">
        <w:rPr>
          <w:rFonts w:asciiTheme="majorHAnsi" w:hAnsiTheme="majorHAnsi"/>
          <w:sz w:val="20"/>
          <w:szCs w:val="20"/>
          <w:lang w:val="es-AR"/>
        </w:rPr>
        <w:t xml:space="preserve">26 de enero de 2017 por la Corte Suprema de Justicia. </w:t>
      </w:r>
      <w:r w:rsidR="008C3D6E" w:rsidRPr="00BB50C3">
        <w:rPr>
          <w:rFonts w:asciiTheme="majorHAnsi" w:hAnsiTheme="majorHAnsi"/>
          <w:sz w:val="20"/>
          <w:szCs w:val="20"/>
          <w:lang w:val="es-AR"/>
        </w:rPr>
        <w:t>Por ello, concluye que este reclamo resulta admisible, de igual manera, a la luz de los artículos 46.1.a) y b) de la Convención.</w:t>
      </w:r>
    </w:p>
    <w:p w14:paraId="673598AF" w14:textId="77777777" w:rsidR="003239B8" w:rsidRPr="00BB50C3" w:rsidRDefault="003239B8" w:rsidP="00D64207">
      <w:pPr>
        <w:pStyle w:val="ListParagraph"/>
        <w:numPr>
          <w:ilvl w:val="0"/>
          <w:numId w:val="0"/>
        </w:numPr>
        <w:ind w:firstLine="720"/>
        <w:jc w:val="both"/>
        <w:rPr>
          <w:rFonts w:asciiTheme="majorHAnsi" w:hAnsiTheme="majorHAnsi"/>
          <w:b/>
          <w:bCs/>
          <w:sz w:val="20"/>
          <w:szCs w:val="20"/>
          <w:lang w:val="es-UY"/>
        </w:rPr>
      </w:pPr>
      <w:r w:rsidRPr="00BB50C3">
        <w:rPr>
          <w:rFonts w:asciiTheme="majorHAnsi" w:hAnsiTheme="majorHAnsi"/>
          <w:b/>
          <w:bCs/>
          <w:sz w:val="20"/>
          <w:szCs w:val="20"/>
          <w:lang w:val="es-ES"/>
        </w:rPr>
        <w:t>VII.</w:t>
      </w:r>
      <w:r w:rsidRPr="00BB50C3">
        <w:rPr>
          <w:rFonts w:asciiTheme="majorHAnsi" w:hAnsiTheme="majorHAnsi"/>
          <w:b/>
          <w:bCs/>
          <w:sz w:val="20"/>
          <w:szCs w:val="20"/>
          <w:lang w:val="es-ES"/>
        </w:rPr>
        <w:tab/>
      </w:r>
      <w:r w:rsidR="004A6A54" w:rsidRPr="00BB50C3">
        <w:rPr>
          <w:rFonts w:asciiTheme="majorHAnsi" w:hAnsiTheme="majorHAnsi"/>
          <w:b/>
          <w:bCs/>
          <w:sz w:val="20"/>
          <w:szCs w:val="20"/>
          <w:lang w:val="es-ES_tradnl"/>
        </w:rPr>
        <w:t xml:space="preserve">ANÁLISIS DE </w:t>
      </w:r>
      <w:r w:rsidR="00C21FEF" w:rsidRPr="00BB50C3">
        <w:rPr>
          <w:rFonts w:asciiTheme="majorHAnsi" w:hAnsiTheme="majorHAnsi"/>
          <w:b/>
          <w:bCs/>
          <w:sz w:val="20"/>
          <w:szCs w:val="20"/>
          <w:lang w:val="es-ES"/>
        </w:rPr>
        <w:t xml:space="preserve">CARACTERIZACIÓN </w:t>
      </w:r>
      <w:r w:rsidR="00C21FEF" w:rsidRPr="00BB50C3">
        <w:rPr>
          <w:rFonts w:asciiTheme="majorHAnsi" w:hAnsiTheme="majorHAnsi"/>
          <w:b/>
          <w:bCs/>
          <w:sz w:val="20"/>
          <w:szCs w:val="20"/>
          <w:lang w:val="es-UY"/>
        </w:rPr>
        <w:t>DE LOS HECHOS ALEGADOS</w:t>
      </w:r>
    </w:p>
    <w:p w14:paraId="2DDF1999" w14:textId="2307D02B" w:rsidR="006E621A" w:rsidRPr="00BB50C3" w:rsidRDefault="008C5E2D"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La Comisión observa que la presente petición inclu</w:t>
      </w:r>
      <w:r w:rsidR="004B421C" w:rsidRPr="00BB50C3">
        <w:rPr>
          <w:rFonts w:asciiTheme="majorHAnsi" w:hAnsiTheme="majorHAnsi"/>
          <w:sz w:val="20"/>
          <w:szCs w:val="20"/>
          <w:lang w:val="es-ES"/>
        </w:rPr>
        <w:t>ye alega</w:t>
      </w:r>
      <w:r w:rsidR="003B381C" w:rsidRPr="00BB50C3">
        <w:rPr>
          <w:rFonts w:asciiTheme="majorHAnsi" w:hAnsiTheme="majorHAnsi"/>
          <w:sz w:val="20"/>
          <w:szCs w:val="20"/>
          <w:lang w:val="es-ES"/>
        </w:rPr>
        <w:t>to</w:t>
      </w:r>
      <w:r w:rsidR="004B421C" w:rsidRPr="00BB50C3">
        <w:rPr>
          <w:rFonts w:asciiTheme="majorHAnsi" w:hAnsiTheme="majorHAnsi"/>
          <w:sz w:val="20"/>
          <w:szCs w:val="20"/>
          <w:lang w:val="es-ES"/>
        </w:rPr>
        <w:t>s con respecto a</w:t>
      </w:r>
      <w:r w:rsidR="006D0C04" w:rsidRPr="00BB50C3">
        <w:rPr>
          <w:rFonts w:asciiTheme="majorHAnsi" w:hAnsiTheme="majorHAnsi"/>
          <w:sz w:val="20"/>
          <w:szCs w:val="20"/>
          <w:lang w:val="es-ES"/>
        </w:rPr>
        <w:t xml:space="preserve">l uso indebido del derecho penal </w:t>
      </w:r>
      <w:r w:rsidR="004C5106" w:rsidRPr="00BB50C3">
        <w:rPr>
          <w:rFonts w:asciiTheme="majorHAnsi" w:hAnsiTheme="majorHAnsi"/>
          <w:sz w:val="20"/>
          <w:szCs w:val="20"/>
          <w:lang w:val="es-ES"/>
        </w:rPr>
        <w:t xml:space="preserve">en la criminalización de la labor de defensa de derechos humanos, y a la </w:t>
      </w:r>
      <w:r w:rsidR="009527F4" w:rsidRPr="00BB50C3">
        <w:rPr>
          <w:rFonts w:asciiTheme="majorHAnsi" w:hAnsiTheme="majorHAnsi"/>
          <w:sz w:val="20"/>
          <w:szCs w:val="20"/>
          <w:lang w:val="es-ES"/>
        </w:rPr>
        <w:t>duración excesiva de las medidas restrictivas de la libertad en el marco del proceso</w:t>
      </w:r>
      <w:r w:rsidR="00EB535B" w:rsidRPr="00BB50C3">
        <w:rPr>
          <w:rFonts w:asciiTheme="majorHAnsi" w:hAnsiTheme="majorHAnsi"/>
          <w:sz w:val="20"/>
          <w:szCs w:val="20"/>
          <w:lang w:val="es-ES"/>
        </w:rPr>
        <w:t xml:space="preserve"> penal seguido a la presunta víctima</w:t>
      </w:r>
      <w:r w:rsidR="009527F4" w:rsidRPr="00BB50C3">
        <w:rPr>
          <w:rFonts w:asciiTheme="majorHAnsi" w:hAnsiTheme="majorHAnsi"/>
          <w:sz w:val="20"/>
          <w:szCs w:val="20"/>
          <w:lang w:val="es-ES"/>
        </w:rPr>
        <w:t>.</w:t>
      </w:r>
      <w:r w:rsidR="00617D0D" w:rsidRPr="00BB50C3">
        <w:rPr>
          <w:rFonts w:asciiTheme="majorHAnsi" w:hAnsiTheme="majorHAnsi"/>
          <w:sz w:val="20"/>
          <w:szCs w:val="20"/>
          <w:lang w:val="es-ES"/>
        </w:rPr>
        <w:t xml:space="preserve"> El Estado replica que la petición incurre en la denominada fórmula de la cuarta instancia internacional, pues </w:t>
      </w:r>
      <w:r w:rsidR="00837E77" w:rsidRPr="00BB50C3">
        <w:rPr>
          <w:rFonts w:asciiTheme="majorHAnsi" w:hAnsiTheme="majorHAnsi"/>
          <w:sz w:val="20"/>
          <w:szCs w:val="20"/>
          <w:lang w:val="es-ES"/>
        </w:rPr>
        <w:t>pretende que la CIDH haga las veces de tribunales de alzada internacional frente a las sentencias condenatorias, por el mero desacuerdo del peticionario, sin</w:t>
      </w:r>
      <w:r w:rsidR="00F506FF" w:rsidRPr="00BB50C3">
        <w:rPr>
          <w:rFonts w:asciiTheme="majorHAnsi" w:hAnsiTheme="majorHAnsi"/>
          <w:sz w:val="20"/>
          <w:szCs w:val="20"/>
          <w:lang w:val="es-ES"/>
        </w:rPr>
        <w:t xml:space="preserve"> acreditar violación alguna de las garantías judiciales.</w:t>
      </w:r>
    </w:p>
    <w:p w14:paraId="6EB7ACE2" w14:textId="3C56FD06" w:rsidR="00697949" w:rsidRPr="00BB50C3" w:rsidRDefault="00D469B9" w:rsidP="00D64207">
      <w:pPr>
        <w:pStyle w:val="ListParagraph"/>
        <w:numPr>
          <w:ilvl w:val="0"/>
          <w:numId w:val="61"/>
        </w:numP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B50C3">
        <w:rPr>
          <w:rFonts w:asciiTheme="majorHAnsi" w:hAnsiTheme="majorHAnsi"/>
          <w:i/>
          <w:iCs/>
          <w:sz w:val="20"/>
          <w:szCs w:val="20"/>
          <w:lang w:val="es-CO"/>
        </w:rPr>
        <w:t>prima facie</w:t>
      </w:r>
      <w:r w:rsidRPr="00BB50C3">
        <w:rPr>
          <w:rFonts w:asciiTheme="majorHAnsi" w:hAnsiTheme="majorHAnsi"/>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312E4CC" w14:textId="77777777" w:rsidR="00891869" w:rsidRPr="00BB50C3" w:rsidRDefault="00891869"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Acerca de la “fórmula de la cuarta instancia”, la Comisión subraya el carácter complementario del Sistema Interamericano y resalta que, según lo ha indicado la Corte Interamericana de Derechos Humanos (“la Corte Interamericana, “la Corte IDH” o “la Corte”), para que proceda una excepción de “cuarta instancia” sería necesario que se “busque que […][se]  revise el fallo de un tribunal interno en virtud de su incorrecta apreciación de la prueba, los hechos o el derecho interno, sin que, a la vez, se alegue que tal fallo incurrió en una violación de tratados internacionales [ …]”</w:t>
      </w:r>
      <w:r w:rsidRPr="00BB50C3">
        <w:rPr>
          <w:rStyle w:val="FootnoteReference"/>
          <w:rFonts w:asciiTheme="majorHAnsi" w:hAnsiTheme="majorHAnsi"/>
          <w:sz w:val="20"/>
          <w:szCs w:val="20"/>
          <w:lang w:val="es-ES"/>
        </w:rPr>
        <w:footnoteReference w:id="8"/>
      </w:r>
      <w:r w:rsidRPr="00BB50C3">
        <w:rPr>
          <w:rFonts w:asciiTheme="majorHAnsi" w:hAnsiTheme="majorHAnsi"/>
          <w:sz w:val="20"/>
          <w:szCs w:val="20"/>
          <w:lang w:val="es-ES"/>
        </w:rPr>
        <w:t>. En el presente caso, la Comisión considera que, tal como lo ha indicado la Corte Interamericana, “[le]compete verificar si en los pasos efectivamente dados a nivel interno se violaron o no obligaciones internacionales del Estado derivadas de los instrumentos interamericanos que le otorgan competencia”</w:t>
      </w:r>
      <w:r w:rsidRPr="00BB50C3">
        <w:rPr>
          <w:rFonts w:asciiTheme="majorHAnsi" w:hAnsiTheme="majorHAnsi"/>
          <w:sz w:val="20"/>
          <w:szCs w:val="20"/>
          <w:vertAlign w:val="superscript"/>
          <w:lang w:val="es-ES"/>
        </w:rPr>
        <w:t xml:space="preserve"> </w:t>
      </w:r>
      <w:r w:rsidRPr="00BB50C3">
        <w:rPr>
          <w:rFonts w:asciiTheme="majorHAnsi" w:hAnsiTheme="majorHAnsi"/>
          <w:sz w:val="20"/>
          <w:szCs w:val="20"/>
          <w:vertAlign w:val="superscript"/>
          <w:lang w:val="es-ES"/>
        </w:rPr>
        <w:footnoteReference w:id="9"/>
      </w:r>
      <w:r w:rsidRPr="00BB50C3">
        <w:rPr>
          <w:rFonts w:asciiTheme="majorHAnsi" w:hAnsiTheme="majorHAnsi"/>
          <w:sz w:val="20"/>
          <w:szCs w:val="20"/>
          <w:lang w:val="es-ES"/>
        </w:rPr>
        <w:t>.</w:t>
      </w:r>
    </w:p>
    <w:p w14:paraId="352AD664" w14:textId="0452C34B" w:rsidR="00891869" w:rsidRPr="00BB50C3" w:rsidRDefault="006250BF"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 xml:space="preserve">En efecto, aunque el Estado alega que el proceso penal contra la presunta víctima respetó sus garantías judiciales, </w:t>
      </w:r>
      <w:r w:rsidR="00EB0524" w:rsidRPr="00BB50C3">
        <w:rPr>
          <w:rFonts w:asciiTheme="majorHAnsi" w:hAnsiTheme="majorHAnsi"/>
          <w:sz w:val="20"/>
          <w:szCs w:val="20"/>
          <w:lang w:val="es-ES"/>
        </w:rPr>
        <w:t>no controvierte el alegato específico de la criminalización de la labor de defensa de derechos humanos, ni de la alegada violación del derecho a la presunción de inocencia del Sr. Gómez Herrera, consagrado en el artículo 8.2 de la Convención.</w:t>
      </w:r>
      <w:r w:rsidR="00E50B80" w:rsidRPr="00BB50C3">
        <w:rPr>
          <w:rFonts w:asciiTheme="majorHAnsi" w:hAnsiTheme="majorHAnsi"/>
          <w:sz w:val="20"/>
          <w:szCs w:val="20"/>
          <w:lang w:val="es-ES"/>
        </w:rPr>
        <w:t xml:space="preserve"> </w:t>
      </w:r>
      <w:r w:rsidR="0041354E" w:rsidRPr="00BB50C3">
        <w:rPr>
          <w:rFonts w:asciiTheme="majorHAnsi" w:hAnsiTheme="majorHAnsi"/>
          <w:sz w:val="20"/>
          <w:szCs w:val="20"/>
          <w:lang w:val="es-ES"/>
        </w:rPr>
        <w:t xml:space="preserve">A este respecto, la Comisión ha determinado que </w:t>
      </w:r>
      <w:r w:rsidR="0041354E" w:rsidRPr="00BB50C3">
        <w:rPr>
          <w:rFonts w:asciiTheme="majorHAnsi" w:hAnsiTheme="majorHAnsi"/>
          <w:sz w:val="20"/>
          <w:szCs w:val="20"/>
          <w:lang w:val="es-CO"/>
        </w:rPr>
        <w:t>la criminalización de personas defensoras a través del uso indebido del derecho penal consiste en la manipulación del poder punitivo del Estado por parte de actores estatales y no estatales con el objetivo de obstaculizar sus labores de defensa y así impedir el ejercicio legítimo de su derecho a defender los derechos humanos</w:t>
      </w:r>
      <w:r w:rsidR="0041354E" w:rsidRPr="00BB50C3">
        <w:rPr>
          <w:rFonts w:asciiTheme="majorHAnsi" w:hAnsiTheme="majorHAnsi"/>
          <w:sz w:val="20"/>
          <w:szCs w:val="20"/>
          <w:vertAlign w:val="superscript"/>
          <w:lang w:val="es-CO"/>
        </w:rPr>
        <w:footnoteReference w:id="10"/>
      </w:r>
      <w:r w:rsidR="0041354E" w:rsidRPr="00BB50C3">
        <w:rPr>
          <w:rFonts w:asciiTheme="majorHAnsi" w:hAnsiTheme="majorHAnsi"/>
          <w:sz w:val="20"/>
          <w:szCs w:val="20"/>
          <w:lang w:val="es-CO"/>
        </w:rPr>
        <w:t>.</w:t>
      </w:r>
    </w:p>
    <w:p w14:paraId="7C6FB5BF" w14:textId="30DB8457" w:rsidR="003F2D88" w:rsidRPr="00BB50C3" w:rsidRDefault="008643A8"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lastRenderedPageBreak/>
        <w:t xml:space="preserve">Asimismo, </w:t>
      </w:r>
      <w:r w:rsidR="0082381C" w:rsidRPr="00BB50C3">
        <w:rPr>
          <w:rFonts w:asciiTheme="majorHAnsi" w:hAnsiTheme="majorHAnsi"/>
          <w:sz w:val="20"/>
          <w:szCs w:val="20"/>
          <w:lang w:val="es-ES"/>
        </w:rPr>
        <w:t xml:space="preserve">el ejercicio de actividades de inteligencia contra personas defensoras </w:t>
      </w:r>
      <w:r w:rsidR="00567AB9" w:rsidRPr="00BB50C3">
        <w:rPr>
          <w:rFonts w:asciiTheme="majorHAnsi" w:hAnsiTheme="majorHAnsi"/>
          <w:sz w:val="20"/>
          <w:szCs w:val="20"/>
          <w:lang w:val="es-CO"/>
        </w:rPr>
        <w:t>de</w:t>
      </w:r>
      <w:r w:rsidR="004C6A11" w:rsidRPr="00BB50C3">
        <w:rPr>
          <w:rFonts w:asciiTheme="majorHAnsi" w:hAnsiTheme="majorHAnsi"/>
          <w:sz w:val="20"/>
          <w:szCs w:val="20"/>
          <w:lang w:val="es-CO"/>
        </w:rPr>
        <w:t>be tener</w:t>
      </w:r>
      <w:r w:rsidR="00567AB9" w:rsidRPr="00BB50C3">
        <w:rPr>
          <w:rFonts w:asciiTheme="majorHAnsi" w:hAnsiTheme="majorHAnsi"/>
          <w:sz w:val="20"/>
          <w:szCs w:val="20"/>
          <w:lang w:val="es-CO"/>
        </w:rPr>
        <w:t xml:space="preserve"> estrictos controles y límites para garantizar su validez y legitimidad en un sistema democrático, así como su compatibilidad con los derechos humanos y la Convención Americana</w:t>
      </w:r>
      <w:r w:rsidR="00D36E7D" w:rsidRPr="00BB50C3">
        <w:rPr>
          <w:rFonts w:asciiTheme="majorHAnsi" w:hAnsiTheme="majorHAnsi"/>
          <w:sz w:val="20"/>
          <w:szCs w:val="20"/>
          <w:lang w:val="es-CO"/>
        </w:rPr>
        <w:t>, tal y como lo ha establecido la Corte Interamericana</w:t>
      </w:r>
      <w:r w:rsidR="00567AB9" w:rsidRPr="00BB50C3">
        <w:rPr>
          <w:rFonts w:asciiTheme="majorHAnsi" w:hAnsiTheme="majorHAnsi"/>
          <w:sz w:val="20"/>
          <w:szCs w:val="20"/>
          <w:vertAlign w:val="superscript"/>
          <w:lang w:val="es-CO"/>
        </w:rPr>
        <w:footnoteReference w:id="11"/>
      </w:r>
      <w:r w:rsidR="00567AB9" w:rsidRPr="00BB50C3">
        <w:rPr>
          <w:rFonts w:asciiTheme="majorHAnsi" w:hAnsiTheme="majorHAnsi"/>
          <w:sz w:val="20"/>
          <w:szCs w:val="20"/>
          <w:lang w:val="es-CO"/>
        </w:rPr>
        <w:t>.</w:t>
      </w:r>
      <w:r w:rsidR="00787A4E" w:rsidRPr="00BB50C3">
        <w:rPr>
          <w:rFonts w:asciiTheme="majorHAnsi" w:hAnsiTheme="majorHAnsi"/>
          <w:sz w:val="20"/>
          <w:szCs w:val="20"/>
          <w:lang w:val="es-CO"/>
        </w:rPr>
        <w:t xml:space="preserve"> </w:t>
      </w:r>
      <w:r w:rsidR="002D71AB" w:rsidRPr="00BB50C3">
        <w:rPr>
          <w:rFonts w:asciiTheme="majorHAnsi" w:hAnsiTheme="majorHAnsi"/>
          <w:sz w:val="20"/>
          <w:szCs w:val="20"/>
          <w:lang w:val="es-CO"/>
        </w:rPr>
        <w:t>A su vez, tanto la Corte</w:t>
      </w:r>
      <w:r w:rsidR="002D71AB" w:rsidRPr="00BB50C3">
        <w:rPr>
          <w:rFonts w:asciiTheme="majorHAnsi" w:hAnsiTheme="majorHAnsi"/>
          <w:sz w:val="20"/>
          <w:szCs w:val="20"/>
          <w:vertAlign w:val="superscript"/>
          <w:lang w:val="es-CO"/>
        </w:rPr>
        <w:footnoteReference w:id="12"/>
      </w:r>
      <w:r w:rsidR="002D71AB" w:rsidRPr="00BB50C3">
        <w:rPr>
          <w:rFonts w:asciiTheme="majorHAnsi" w:hAnsiTheme="majorHAnsi"/>
          <w:sz w:val="20"/>
          <w:szCs w:val="20"/>
          <w:lang w:val="es-CO"/>
        </w:rPr>
        <w:t xml:space="preserve"> como la Comisión</w:t>
      </w:r>
      <w:r w:rsidR="002D71AB" w:rsidRPr="00BB50C3">
        <w:rPr>
          <w:rFonts w:asciiTheme="majorHAnsi" w:hAnsiTheme="majorHAnsi"/>
          <w:sz w:val="20"/>
          <w:szCs w:val="20"/>
          <w:vertAlign w:val="superscript"/>
          <w:lang w:val="es-CO"/>
        </w:rPr>
        <w:footnoteReference w:id="13"/>
      </w:r>
      <w:r w:rsidR="002D71AB" w:rsidRPr="00BB50C3">
        <w:rPr>
          <w:rFonts w:asciiTheme="majorHAnsi" w:hAnsiTheme="majorHAnsi"/>
          <w:sz w:val="20"/>
          <w:szCs w:val="20"/>
          <w:lang w:val="es-CO"/>
        </w:rPr>
        <w:t xml:space="preserve"> han reconocido que el derecho a defender los derechos humanos se deriva de la lectura conjunta de los derechos a la integridad personal, a la libertad de expresión y a la libertad de asociación protegidos por los artículos 5.1, 13.1 y 16 de la Convención Americana</w:t>
      </w:r>
      <w:r w:rsidR="002D71AB" w:rsidRPr="00BB50C3">
        <w:rPr>
          <w:rFonts w:asciiTheme="majorHAnsi" w:hAnsiTheme="majorHAnsi"/>
          <w:sz w:val="20"/>
          <w:szCs w:val="20"/>
          <w:vertAlign w:val="superscript"/>
          <w:lang w:val="es-CO"/>
        </w:rPr>
        <w:footnoteReference w:id="14"/>
      </w:r>
      <w:r w:rsidR="002D71AB" w:rsidRPr="00BB50C3">
        <w:rPr>
          <w:rFonts w:asciiTheme="majorHAnsi" w:hAnsiTheme="majorHAnsi"/>
          <w:sz w:val="20"/>
          <w:szCs w:val="20"/>
          <w:lang w:val="es-CO"/>
        </w:rPr>
        <w:t>. Estos derechos protegen el ejercicio libre de las actividades de defensa y promoción de los derechos humanos. Es por ello, que la afectación a un defensor o defensora en represalia de sus actividades puede conllevar su violación</w:t>
      </w:r>
      <w:r w:rsidR="002D71AB" w:rsidRPr="00BB50C3">
        <w:rPr>
          <w:rFonts w:asciiTheme="majorHAnsi" w:hAnsiTheme="majorHAnsi"/>
          <w:sz w:val="20"/>
          <w:szCs w:val="20"/>
          <w:vertAlign w:val="superscript"/>
          <w:lang w:val="es-CO"/>
        </w:rPr>
        <w:footnoteReference w:id="15"/>
      </w:r>
      <w:r w:rsidR="002D71AB" w:rsidRPr="00BB50C3">
        <w:rPr>
          <w:rFonts w:asciiTheme="majorHAnsi" w:hAnsiTheme="majorHAnsi"/>
          <w:sz w:val="20"/>
          <w:szCs w:val="20"/>
          <w:lang w:val="es-CO"/>
        </w:rPr>
        <w:t>.</w:t>
      </w:r>
      <w:r w:rsidR="000C2B7A" w:rsidRPr="00BB50C3">
        <w:rPr>
          <w:rFonts w:asciiTheme="majorHAnsi" w:hAnsiTheme="majorHAnsi"/>
          <w:sz w:val="20"/>
          <w:szCs w:val="20"/>
          <w:lang w:val="es-CO"/>
        </w:rPr>
        <w:t xml:space="preserve"> De esta manera</w:t>
      </w:r>
      <w:r w:rsidR="00787A4E" w:rsidRPr="00BB50C3">
        <w:rPr>
          <w:rFonts w:asciiTheme="majorHAnsi" w:hAnsiTheme="majorHAnsi"/>
          <w:sz w:val="20"/>
          <w:szCs w:val="20"/>
          <w:lang w:val="es-CO"/>
        </w:rPr>
        <w:t xml:space="preserve">, la Comisión considera que los alegatos del peticionario </w:t>
      </w:r>
      <w:r w:rsidR="004C6A11" w:rsidRPr="00BB50C3">
        <w:rPr>
          <w:rFonts w:asciiTheme="majorHAnsi" w:hAnsiTheme="majorHAnsi"/>
          <w:sz w:val="20"/>
          <w:szCs w:val="20"/>
          <w:lang w:val="es-CO"/>
        </w:rPr>
        <w:t>requieren un estudio de fondo para examinar si existió o no un indebido uso del derecho penal en el presente caso.</w:t>
      </w:r>
    </w:p>
    <w:p w14:paraId="098E0A8D" w14:textId="51DEC81D" w:rsidR="00FC22EA" w:rsidRPr="00BB50C3" w:rsidRDefault="004C283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CO"/>
        </w:rPr>
        <w:t>A</w:t>
      </w:r>
      <w:r w:rsidR="008902C9" w:rsidRPr="00BB50C3">
        <w:rPr>
          <w:rFonts w:asciiTheme="majorHAnsi" w:hAnsiTheme="majorHAnsi"/>
          <w:sz w:val="20"/>
          <w:szCs w:val="20"/>
          <w:lang w:val="es-CO"/>
        </w:rPr>
        <w:t>dicionalmente</w:t>
      </w:r>
      <w:r w:rsidRPr="00BB50C3">
        <w:rPr>
          <w:rFonts w:asciiTheme="majorHAnsi" w:hAnsiTheme="majorHAnsi"/>
          <w:sz w:val="20"/>
          <w:szCs w:val="20"/>
          <w:lang w:val="es-CO"/>
        </w:rPr>
        <w:t>, e</w:t>
      </w:r>
      <w:r w:rsidR="00EA093C" w:rsidRPr="00BB50C3">
        <w:rPr>
          <w:rFonts w:asciiTheme="majorHAnsi" w:hAnsiTheme="majorHAnsi"/>
          <w:sz w:val="20"/>
          <w:szCs w:val="20"/>
          <w:lang w:val="es-CO"/>
        </w:rPr>
        <w:t xml:space="preserve">n </w:t>
      </w:r>
      <w:r w:rsidR="00763A5A" w:rsidRPr="00BB50C3">
        <w:rPr>
          <w:rFonts w:asciiTheme="majorHAnsi" w:hAnsiTheme="majorHAnsi"/>
          <w:sz w:val="20"/>
          <w:szCs w:val="20"/>
          <w:lang w:val="es-CO"/>
        </w:rPr>
        <w:t xml:space="preserve">vista de que el peticionario también alega que permaneció recluido un </w:t>
      </w:r>
      <w:r w:rsidR="00EA093C" w:rsidRPr="00BB50C3">
        <w:rPr>
          <w:rFonts w:asciiTheme="majorHAnsi" w:hAnsiTheme="majorHAnsi"/>
          <w:sz w:val="20"/>
          <w:szCs w:val="20"/>
          <w:lang w:val="es-CO"/>
        </w:rPr>
        <w:t xml:space="preserve">mes </w:t>
      </w:r>
      <w:r w:rsidR="00763A5A" w:rsidRPr="00BB50C3">
        <w:rPr>
          <w:rFonts w:asciiTheme="majorHAnsi" w:hAnsiTheme="majorHAnsi"/>
          <w:sz w:val="20"/>
          <w:szCs w:val="20"/>
          <w:lang w:val="es-CO"/>
        </w:rPr>
        <w:t xml:space="preserve">en prisión preventiva después de que se le había otorgado la detención </w:t>
      </w:r>
      <w:r w:rsidR="00EA093C" w:rsidRPr="00BB50C3">
        <w:rPr>
          <w:rFonts w:asciiTheme="majorHAnsi" w:hAnsiTheme="majorHAnsi"/>
          <w:sz w:val="20"/>
          <w:szCs w:val="20"/>
          <w:lang w:val="es-CO"/>
        </w:rPr>
        <w:t>domiciliaria</w:t>
      </w:r>
      <w:r w:rsidR="00763A5A" w:rsidRPr="00BB50C3">
        <w:rPr>
          <w:rFonts w:asciiTheme="majorHAnsi" w:hAnsiTheme="majorHAnsi"/>
          <w:sz w:val="20"/>
          <w:szCs w:val="20"/>
          <w:lang w:val="es-CO"/>
        </w:rPr>
        <w:t xml:space="preserve">, </w:t>
      </w:r>
      <w:r w:rsidR="00AA7E64" w:rsidRPr="00BB50C3">
        <w:rPr>
          <w:rFonts w:asciiTheme="majorHAnsi" w:hAnsiTheme="majorHAnsi"/>
          <w:sz w:val="20"/>
          <w:szCs w:val="20"/>
          <w:lang w:val="es-CO"/>
        </w:rPr>
        <w:t xml:space="preserve">y asevera que las condiciones de detención eran contrarias a la dignidad, la Comisión admitirá </w:t>
      </w:r>
      <w:r w:rsidR="00DA26CC" w:rsidRPr="00BB50C3">
        <w:rPr>
          <w:rFonts w:asciiTheme="majorHAnsi" w:hAnsiTheme="majorHAnsi"/>
          <w:sz w:val="20"/>
          <w:szCs w:val="20"/>
          <w:lang w:val="es-CO"/>
        </w:rPr>
        <w:t>el artículo 5 (integridad personal) para su estudio en la etapa de fondo</w:t>
      </w:r>
      <w:r w:rsidR="00EA093C" w:rsidRPr="00BB50C3">
        <w:rPr>
          <w:rFonts w:asciiTheme="majorHAnsi" w:hAnsiTheme="majorHAnsi"/>
          <w:sz w:val="20"/>
          <w:szCs w:val="20"/>
          <w:lang w:val="es-CO"/>
        </w:rPr>
        <w:t>.</w:t>
      </w:r>
    </w:p>
    <w:p w14:paraId="6DEE20D4" w14:textId="0091BA17" w:rsidR="007440B6" w:rsidRPr="00BB50C3" w:rsidRDefault="008C5E2D"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b/>
          <w:sz w:val="20"/>
          <w:szCs w:val="20"/>
          <w:lang w:val="es-ES"/>
        </w:rPr>
      </w:pPr>
      <w:r w:rsidRPr="00BB50C3">
        <w:rPr>
          <w:rFonts w:asciiTheme="majorHAnsi" w:hAnsiTheme="majorHAnsi"/>
          <w:sz w:val="20"/>
          <w:szCs w:val="20"/>
          <w:lang w:val="es-ES"/>
        </w:rPr>
        <w:t>En aten</w:t>
      </w:r>
      <w:r w:rsidR="00C25ADB" w:rsidRPr="00BB50C3">
        <w:rPr>
          <w:rFonts w:asciiTheme="majorHAnsi" w:hAnsiTheme="majorHAnsi"/>
          <w:sz w:val="20"/>
          <w:szCs w:val="20"/>
          <w:lang w:val="es-ES"/>
        </w:rPr>
        <w:t xml:space="preserve">ción a estas consideraciones y </w:t>
      </w:r>
      <w:r w:rsidRPr="00BB50C3">
        <w:rPr>
          <w:rFonts w:asciiTheme="majorHAnsi" w:hAnsiTheme="majorHAnsi"/>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BB50C3">
        <w:rPr>
          <w:rFonts w:asciiTheme="majorHAnsi" w:hAnsiTheme="majorHAnsi"/>
          <w:sz w:val="20"/>
          <w:szCs w:val="20"/>
          <w:lang w:val="es-ES"/>
        </w:rPr>
        <w:t>;</w:t>
      </w:r>
      <w:r w:rsidRPr="00BB50C3">
        <w:rPr>
          <w:rFonts w:asciiTheme="majorHAnsi" w:hAnsiTheme="majorHAnsi"/>
          <w:sz w:val="20"/>
          <w:szCs w:val="20"/>
          <w:lang w:val="es-ES"/>
        </w:rPr>
        <w:t xml:space="preserve"> pues los hechos alegados, de corroborarse como ciertos</w:t>
      </w:r>
      <w:r w:rsidR="00394073" w:rsidRPr="00BB50C3">
        <w:rPr>
          <w:rFonts w:asciiTheme="majorHAnsi" w:hAnsiTheme="majorHAnsi"/>
          <w:sz w:val="20"/>
          <w:szCs w:val="20"/>
          <w:lang w:val="es-ES"/>
        </w:rPr>
        <w:t>,</w:t>
      </w:r>
      <w:r w:rsidRPr="00BB50C3">
        <w:rPr>
          <w:rFonts w:asciiTheme="majorHAnsi" w:hAnsiTheme="majorHAnsi"/>
          <w:sz w:val="20"/>
          <w:szCs w:val="20"/>
          <w:lang w:val="es-ES"/>
        </w:rPr>
        <w:t xml:space="preserve"> podrían caracteri</w:t>
      </w:r>
      <w:r w:rsidR="004B421C" w:rsidRPr="00BB50C3">
        <w:rPr>
          <w:rFonts w:asciiTheme="majorHAnsi" w:hAnsiTheme="majorHAnsi"/>
          <w:sz w:val="20"/>
          <w:szCs w:val="20"/>
          <w:lang w:val="es-ES"/>
        </w:rPr>
        <w:t>zar violaciones a los artículos</w:t>
      </w:r>
      <w:r w:rsidR="00394073" w:rsidRPr="00BB50C3">
        <w:rPr>
          <w:rFonts w:asciiTheme="majorHAnsi" w:hAnsiTheme="majorHAnsi"/>
          <w:sz w:val="20"/>
          <w:szCs w:val="20"/>
          <w:lang w:val="es-ES"/>
        </w:rPr>
        <w:t xml:space="preserve"> </w:t>
      </w:r>
      <w:r w:rsidR="00506561" w:rsidRPr="00BB50C3">
        <w:rPr>
          <w:rFonts w:asciiTheme="majorHAnsi" w:hAnsiTheme="majorHAnsi"/>
          <w:bCs/>
          <w:sz w:val="20"/>
          <w:szCs w:val="20"/>
          <w:lang w:val="es-CO"/>
        </w:rPr>
        <w:t>5 (integridad personal),</w:t>
      </w:r>
      <w:r w:rsidR="003017BA" w:rsidRPr="00BB50C3">
        <w:rPr>
          <w:rFonts w:asciiTheme="majorHAnsi" w:hAnsiTheme="majorHAnsi"/>
          <w:bCs/>
          <w:sz w:val="20"/>
          <w:szCs w:val="20"/>
          <w:lang w:val="es-CO"/>
        </w:rPr>
        <w:t xml:space="preserve"> </w:t>
      </w:r>
      <w:r w:rsidR="008B2586" w:rsidRPr="00BB50C3">
        <w:rPr>
          <w:rFonts w:asciiTheme="majorHAnsi" w:hAnsiTheme="majorHAnsi"/>
          <w:bCs/>
          <w:sz w:val="20"/>
          <w:szCs w:val="20"/>
          <w:lang w:val="es-CO"/>
        </w:rPr>
        <w:t>7 (libertad personal), 8 (garantías judiciales), 11 (protección de la honra y de la dignidad), 16 (libertad de asociación), 24 (igualdad ante la ley) y 25 (protección judicial) de la Convención Americana</w:t>
      </w:r>
      <w:r w:rsidR="008B2586" w:rsidRPr="00BB50C3">
        <w:rPr>
          <w:rFonts w:asciiTheme="majorHAnsi" w:hAnsiTheme="majorHAnsi"/>
          <w:sz w:val="20"/>
          <w:szCs w:val="20"/>
          <w:lang w:val="es-ES"/>
        </w:rPr>
        <w:t xml:space="preserve"> </w:t>
      </w:r>
      <w:r w:rsidR="00394073" w:rsidRPr="00BB50C3">
        <w:rPr>
          <w:rFonts w:asciiTheme="majorHAnsi" w:hAnsiTheme="majorHAnsi"/>
          <w:sz w:val="20"/>
          <w:szCs w:val="20"/>
          <w:lang w:val="es-ES"/>
        </w:rPr>
        <w:t>en perjuicio de</w:t>
      </w:r>
      <w:r w:rsidR="00CC7476" w:rsidRPr="00BB50C3">
        <w:rPr>
          <w:rFonts w:asciiTheme="majorHAnsi" w:hAnsiTheme="majorHAnsi"/>
          <w:sz w:val="20"/>
          <w:szCs w:val="20"/>
          <w:lang w:val="es-ES"/>
        </w:rPr>
        <w:t>l señor José Humberto Gómez Herrera</w:t>
      </w:r>
      <w:r w:rsidR="00394073" w:rsidRPr="00BB50C3">
        <w:rPr>
          <w:rFonts w:asciiTheme="majorHAnsi" w:hAnsiTheme="majorHAnsi"/>
          <w:sz w:val="20"/>
          <w:szCs w:val="20"/>
          <w:lang w:val="es-ES"/>
        </w:rPr>
        <w:t xml:space="preserve"> </w:t>
      </w:r>
      <w:r w:rsidR="00394073" w:rsidRPr="00BB50C3">
        <w:rPr>
          <w:rFonts w:asciiTheme="majorHAnsi" w:hAnsiTheme="majorHAnsi"/>
          <w:sz w:val="20"/>
          <w:szCs w:val="20"/>
          <w:lang w:val="es-US"/>
        </w:rPr>
        <w:t>en los términos del presente informe</w:t>
      </w:r>
      <w:r w:rsidR="00394073" w:rsidRPr="00BB50C3">
        <w:rPr>
          <w:rFonts w:asciiTheme="majorHAnsi" w:hAnsiTheme="majorHAnsi"/>
          <w:sz w:val="20"/>
          <w:szCs w:val="20"/>
          <w:lang w:val="es-ES"/>
        </w:rPr>
        <w:t>.</w:t>
      </w:r>
    </w:p>
    <w:p w14:paraId="38F0F44E" w14:textId="719CA40C" w:rsidR="008B2586" w:rsidRPr="00BB50C3" w:rsidRDefault="007440B6"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_tradnl"/>
        </w:rPr>
        <w:t>En cuanto al reclamo sobre la presunta violación de los artículos</w:t>
      </w:r>
      <w:r w:rsidR="00722988" w:rsidRPr="00BB50C3">
        <w:rPr>
          <w:rFonts w:asciiTheme="majorHAnsi" w:hAnsiTheme="majorHAnsi"/>
          <w:bCs/>
          <w:sz w:val="20"/>
          <w:szCs w:val="20"/>
          <w:lang w:val="es-CO"/>
        </w:rPr>
        <w:t xml:space="preserve"> 15 (derecho de reunión), 22 (circulación y residencia) y 23 (derechos políticos) </w:t>
      </w:r>
      <w:r w:rsidRPr="00BB50C3">
        <w:rPr>
          <w:rFonts w:asciiTheme="majorHAnsi" w:hAnsiTheme="majorHAnsi"/>
          <w:sz w:val="20"/>
          <w:szCs w:val="20"/>
          <w:lang w:val="es-ES_tradnl"/>
        </w:rPr>
        <w:t xml:space="preserve">de la Convención Americana; la Comisión observa que </w:t>
      </w:r>
      <w:r w:rsidR="003B5D45" w:rsidRPr="00BB50C3">
        <w:rPr>
          <w:rFonts w:asciiTheme="majorHAnsi" w:hAnsiTheme="majorHAnsi"/>
          <w:sz w:val="20"/>
          <w:szCs w:val="20"/>
          <w:lang w:val="es-ES_tradnl"/>
        </w:rPr>
        <w:t>e</w:t>
      </w:r>
      <w:r w:rsidRPr="00BB50C3">
        <w:rPr>
          <w:rFonts w:asciiTheme="majorHAnsi" w:hAnsiTheme="majorHAnsi"/>
          <w:sz w:val="20"/>
          <w:szCs w:val="20"/>
          <w:lang w:val="es-ES_tradnl"/>
        </w:rPr>
        <w:t xml:space="preserve">l peticionario no ha ofrecido alegatos o sustento suficiente que permita considerar </w:t>
      </w:r>
      <w:r w:rsidRPr="00BB50C3">
        <w:rPr>
          <w:rFonts w:asciiTheme="majorHAnsi" w:hAnsiTheme="majorHAnsi"/>
          <w:i/>
          <w:sz w:val="20"/>
          <w:szCs w:val="20"/>
          <w:lang w:val="es-ES_tradnl"/>
        </w:rPr>
        <w:t>prima facie</w:t>
      </w:r>
      <w:r w:rsidRPr="00BB50C3">
        <w:rPr>
          <w:rFonts w:asciiTheme="majorHAnsi" w:hAnsiTheme="majorHAnsi"/>
          <w:sz w:val="20"/>
          <w:szCs w:val="20"/>
          <w:lang w:val="es-ES_tradnl"/>
        </w:rPr>
        <w:t xml:space="preserve"> su posible violación.</w:t>
      </w:r>
    </w:p>
    <w:p w14:paraId="0D45A873" w14:textId="4B81649B" w:rsidR="001A520D" w:rsidRPr="00BB50C3" w:rsidRDefault="005315AA" w:rsidP="00D6420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B50C3">
        <w:rPr>
          <w:rFonts w:asciiTheme="majorHAnsi" w:hAnsiTheme="majorHAnsi"/>
          <w:sz w:val="20"/>
          <w:szCs w:val="20"/>
          <w:lang w:val="es-ES"/>
        </w:rPr>
        <w:t>Por último, en relación con el Pacto Internacional de Derechos Civiles y Políticos y el Protocolo Adicional II  a los Convenios de Ginebra, invocados por el peticionario, la Comisión carece de competencia para establecer violaciones a las normas de dichos tratados, sin perjuicio de lo cual podría tomarlos en cuenta como parte de su ejercicio interpretativo de las normas de la Convención Americana en la etapa de fondo del presente caso, en los términos del artículo 29 de la Convención Americana.</w:t>
      </w:r>
    </w:p>
    <w:p w14:paraId="445BF42E" w14:textId="77777777" w:rsidR="003239B8" w:rsidRPr="00BB50C3" w:rsidRDefault="003239B8" w:rsidP="00D64207">
      <w:pPr>
        <w:pStyle w:val="ListParagraph"/>
        <w:numPr>
          <w:ilvl w:val="0"/>
          <w:numId w:val="0"/>
        </w:numPr>
        <w:ind w:firstLine="720"/>
        <w:jc w:val="both"/>
        <w:rPr>
          <w:rFonts w:asciiTheme="majorHAnsi" w:hAnsiTheme="majorHAnsi"/>
          <w:b/>
          <w:bCs/>
          <w:sz w:val="20"/>
          <w:szCs w:val="20"/>
          <w:lang w:val="es-ES"/>
        </w:rPr>
      </w:pPr>
      <w:r w:rsidRPr="00BB50C3">
        <w:rPr>
          <w:rFonts w:asciiTheme="majorHAnsi" w:hAnsiTheme="majorHAnsi"/>
          <w:b/>
          <w:bCs/>
          <w:sz w:val="20"/>
          <w:szCs w:val="20"/>
          <w:lang w:val="es-ES"/>
        </w:rPr>
        <w:t xml:space="preserve">VIII. </w:t>
      </w:r>
      <w:r w:rsidRPr="00BB50C3">
        <w:rPr>
          <w:rFonts w:asciiTheme="majorHAnsi" w:hAnsiTheme="majorHAnsi"/>
          <w:b/>
          <w:bCs/>
          <w:sz w:val="20"/>
          <w:szCs w:val="20"/>
          <w:lang w:val="es-ES"/>
        </w:rPr>
        <w:tab/>
        <w:t>DECISIÓN</w:t>
      </w:r>
    </w:p>
    <w:p w14:paraId="16B36F97" w14:textId="078DD4DA" w:rsidR="003239B8" w:rsidRPr="00BB50C3" w:rsidRDefault="003239B8" w:rsidP="00D6420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B50C3">
        <w:rPr>
          <w:rFonts w:asciiTheme="majorHAnsi" w:hAnsiTheme="majorHAnsi"/>
          <w:sz w:val="20"/>
          <w:szCs w:val="20"/>
          <w:lang w:val="es-ES"/>
        </w:rPr>
        <w:t>Declarar admisible la presente petición en relación con</w:t>
      </w:r>
      <w:r w:rsidR="001D7F96" w:rsidRPr="00BB50C3">
        <w:rPr>
          <w:rFonts w:asciiTheme="majorHAnsi" w:hAnsiTheme="majorHAnsi"/>
          <w:sz w:val="20"/>
          <w:szCs w:val="20"/>
          <w:lang w:val="es-ES"/>
        </w:rPr>
        <w:t xml:space="preserve"> </w:t>
      </w:r>
      <w:r w:rsidR="00677123" w:rsidRPr="00BB50C3">
        <w:rPr>
          <w:rFonts w:asciiTheme="majorHAnsi" w:hAnsiTheme="majorHAnsi"/>
          <w:sz w:val="20"/>
          <w:szCs w:val="20"/>
          <w:lang w:val="es-ES"/>
        </w:rPr>
        <w:t xml:space="preserve">los artículos </w:t>
      </w:r>
      <w:r w:rsidR="003017BA" w:rsidRPr="00BB50C3">
        <w:rPr>
          <w:rFonts w:asciiTheme="majorHAnsi" w:hAnsiTheme="majorHAnsi"/>
          <w:sz w:val="20"/>
          <w:szCs w:val="20"/>
          <w:lang w:val="es-ES"/>
        </w:rPr>
        <w:t xml:space="preserve">5, </w:t>
      </w:r>
      <w:r w:rsidR="00677123" w:rsidRPr="00BB50C3">
        <w:rPr>
          <w:rFonts w:asciiTheme="majorHAnsi" w:hAnsiTheme="majorHAnsi"/>
          <w:sz w:val="20"/>
          <w:szCs w:val="20"/>
          <w:lang w:val="es-ES"/>
        </w:rPr>
        <w:t>7, 8, 11, 16, 24 y 25 de la Convención Americana en concordancia con su artículo 1.1</w:t>
      </w:r>
      <w:r w:rsidR="00A758AA" w:rsidRPr="00BB50C3">
        <w:rPr>
          <w:rFonts w:asciiTheme="majorHAnsi" w:hAnsiTheme="majorHAnsi"/>
          <w:sz w:val="20"/>
          <w:szCs w:val="20"/>
          <w:lang w:val="es-ES"/>
        </w:rPr>
        <w:t>;</w:t>
      </w:r>
      <w:r w:rsidR="007B76D3" w:rsidRPr="00BB50C3">
        <w:rPr>
          <w:rFonts w:asciiTheme="majorHAnsi" w:hAnsiTheme="majorHAnsi"/>
          <w:sz w:val="20"/>
          <w:szCs w:val="20"/>
          <w:lang w:val="es-ES"/>
        </w:rPr>
        <w:t xml:space="preserve"> </w:t>
      </w:r>
    </w:p>
    <w:p w14:paraId="547DFF8E" w14:textId="0A4EFC31" w:rsidR="000419AD" w:rsidRPr="00BB50C3" w:rsidRDefault="000419AD" w:rsidP="00D64207">
      <w:pPr>
        <w:pStyle w:val="ListParagraph"/>
        <w:numPr>
          <w:ilvl w:val="0"/>
          <w:numId w:val="55"/>
        </w:numPr>
        <w:jc w:val="both"/>
        <w:rPr>
          <w:rFonts w:asciiTheme="majorHAnsi" w:eastAsia="Arial Unicode MS" w:hAnsiTheme="majorHAnsi" w:cs="Times New Roman"/>
          <w:color w:val="auto"/>
          <w:sz w:val="20"/>
          <w:szCs w:val="20"/>
          <w:lang w:val="es-ES" w:eastAsia="en-US"/>
        </w:rPr>
      </w:pPr>
      <w:r w:rsidRPr="00BB50C3">
        <w:rPr>
          <w:rFonts w:asciiTheme="majorHAnsi" w:eastAsia="Arial Unicode MS" w:hAnsiTheme="majorHAnsi" w:cs="Times New Roman"/>
          <w:color w:val="auto"/>
          <w:sz w:val="20"/>
          <w:szCs w:val="20"/>
          <w:lang w:val="es-ES" w:eastAsia="en-US"/>
        </w:rPr>
        <w:t xml:space="preserve">Declarar inadmisible la presente petición en relación con </w:t>
      </w:r>
      <w:r w:rsidR="00677123" w:rsidRPr="00BB50C3">
        <w:rPr>
          <w:rFonts w:asciiTheme="majorHAnsi" w:eastAsia="Arial Unicode MS" w:hAnsiTheme="majorHAnsi" w:cs="Times New Roman"/>
          <w:color w:val="auto"/>
          <w:sz w:val="20"/>
          <w:szCs w:val="20"/>
          <w:lang w:val="es-ES" w:eastAsia="en-US"/>
        </w:rPr>
        <w:t>los artículos 15, 22 y 23 del mismo instrumento</w:t>
      </w:r>
      <w:r w:rsidR="00C66062">
        <w:rPr>
          <w:rFonts w:asciiTheme="majorHAnsi" w:eastAsia="Arial Unicode MS" w:hAnsiTheme="majorHAnsi" w:cs="Times New Roman"/>
          <w:color w:val="auto"/>
          <w:sz w:val="20"/>
          <w:szCs w:val="20"/>
          <w:lang w:val="es-ES" w:eastAsia="en-US"/>
        </w:rPr>
        <w:t xml:space="preserve">, </w:t>
      </w:r>
      <w:r w:rsidR="004A6A54" w:rsidRPr="00BB50C3">
        <w:rPr>
          <w:rFonts w:asciiTheme="majorHAnsi" w:eastAsia="Arial Unicode MS" w:hAnsiTheme="majorHAnsi" w:cs="Times New Roman"/>
          <w:color w:val="auto"/>
          <w:sz w:val="20"/>
          <w:szCs w:val="20"/>
          <w:lang w:val="es-ES" w:eastAsia="en-US"/>
        </w:rPr>
        <w:t>y</w:t>
      </w:r>
      <w:r w:rsidR="00C66062">
        <w:rPr>
          <w:rFonts w:asciiTheme="majorHAnsi" w:eastAsia="Arial Unicode MS" w:hAnsiTheme="majorHAnsi" w:cs="Times New Roman"/>
          <w:color w:val="auto"/>
          <w:sz w:val="20"/>
          <w:szCs w:val="20"/>
          <w:lang w:val="es-ES" w:eastAsia="en-US"/>
        </w:rPr>
        <w:t>;</w:t>
      </w:r>
    </w:p>
    <w:p w14:paraId="02C904B2" w14:textId="618A60EB" w:rsidR="009A56CE" w:rsidRDefault="004A6A54" w:rsidP="00D6420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B50C3">
        <w:rPr>
          <w:rFonts w:asciiTheme="majorHAnsi" w:hAnsiTheme="majorHAnsi"/>
          <w:sz w:val="20"/>
          <w:szCs w:val="20"/>
          <w:lang w:val="es-ES"/>
        </w:rPr>
        <w:lastRenderedPageBreak/>
        <w:t>Notificar a las partes la presente decisión; continuar con el análisis del fondo de la cuestión; y publicar esta decisión e incluirla en su Informe Anual a la Asamblea General de la Organización de los Estados Americanos.</w:t>
      </w:r>
    </w:p>
    <w:p w14:paraId="56DD92CB" w14:textId="4F879B68" w:rsidR="00C66062" w:rsidRPr="00F21627" w:rsidRDefault="00C66062" w:rsidP="00F21627">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w:t>
      </w:r>
      <w:r w:rsidRPr="00C66062">
        <w:rPr>
          <w:rStyle w:val="normaltextrun"/>
          <w:rFonts w:ascii="Cambria" w:hAnsi="Cambria" w:cs="Segoe UI"/>
          <w:sz w:val="20"/>
          <w:szCs w:val="20"/>
          <w:lang w:val="es-CL"/>
        </w:rPr>
        <w:t xml:space="preserve">ricana de Derechos Humanos a los 6 días del mes de octubre de 2025.  (Firmado): José Luis Caballero Ochoa, Presidente; Arif Bulkan, Segundo Vicepresidente; Roberta Clarke y Gloria Monique de Mees, </w:t>
      </w:r>
      <w:r w:rsidR="00F21627">
        <w:rPr>
          <w:rStyle w:val="normaltextrun"/>
          <w:rFonts w:ascii="Cambria" w:hAnsi="Cambria" w:cs="Segoe UI"/>
          <w:sz w:val="20"/>
          <w:szCs w:val="20"/>
          <w:lang w:val="es-CL"/>
        </w:rPr>
        <w:t>m</w:t>
      </w:r>
      <w:r w:rsidRPr="00C66062">
        <w:rPr>
          <w:rStyle w:val="normaltextrun"/>
          <w:rFonts w:ascii="Cambria" w:hAnsi="Cambria" w:cs="Segoe UI"/>
          <w:sz w:val="20"/>
          <w:szCs w:val="20"/>
          <w:lang w:val="es-CL"/>
        </w:rPr>
        <w:t>iembros de la Comisión.</w:t>
      </w:r>
    </w:p>
    <w:sectPr w:rsidR="00C66062" w:rsidRPr="00F21627"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F345" w14:textId="77777777" w:rsidR="008E1871" w:rsidRDefault="008E1871">
      <w:r>
        <w:separator/>
      </w:r>
    </w:p>
  </w:endnote>
  <w:endnote w:type="continuationSeparator" w:id="0">
    <w:p w14:paraId="144FD92D" w14:textId="77777777" w:rsidR="008E1871" w:rsidRDefault="008E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CC91" w14:textId="77777777" w:rsidR="008E1871" w:rsidRPr="000F35ED" w:rsidRDefault="008E187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90B1AB2" w14:textId="77777777" w:rsidR="008E1871" w:rsidRPr="000F35ED" w:rsidRDefault="008E1871" w:rsidP="000F35ED">
      <w:pPr>
        <w:rPr>
          <w:rFonts w:asciiTheme="majorHAnsi" w:hAnsiTheme="majorHAnsi"/>
          <w:sz w:val="16"/>
          <w:szCs w:val="16"/>
        </w:rPr>
      </w:pPr>
      <w:r w:rsidRPr="000F35ED">
        <w:rPr>
          <w:rFonts w:asciiTheme="majorHAnsi" w:hAnsiTheme="majorHAnsi"/>
          <w:sz w:val="16"/>
          <w:szCs w:val="16"/>
        </w:rPr>
        <w:separator/>
      </w:r>
    </w:p>
    <w:p w14:paraId="7A0BFF18" w14:textId="77777777" w:rsidR="008E1871" w:rsidRPr="000F35ED" w:rsidRDefault="008E187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5254DB0" w14:textId="77777777" w:rsidR="008E1871" w:rsidRPr="000F35ED" w:rsidRDefault="008E187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49CB2255"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CD3033">
        <w:t>Carlos Bernal Pulido</w:t>
      </w:r>
      <w:r w:rsidRPr="00306F33">
        <w:t xml:space="preserve">, de nacionalidad </w:t>
      </w:r>
      <w:r w:rsidR="00CD3033">
        <w:t>colombiana</w:t>
      </w:r>
      <w:r w:rsidRPr="00306F33">
        <w:t>, no participó en el debate ni en la decisión del presente asunto.</w:t>
      </w:r>
    </w:p>
  </w:footnote>
  <w:footnote w:id="3">
    <w:p w14:paraId="286D8F7E" w14:textId="35DD42C3" w:rsidR="0086433A" w:rsidRPr="0086433A" w:rsidRDefault="0086433A" w:rsidP="0086433A">
      <w:pPr>
        <w:pStyle w:val="Notasalpie"/>
      </w:pPr>
      <w:r>
        <w:rPr>
          <w:rStyle w:val="FootnoteReference"/>
        </w:rPr>
        <w:footnoteRef/>
      </w:r>
      <w:r w:rsidRPr="0086433A">
        <w:t xml:space="preserve"> </w:t>
      </w:r>
      <w:r w:rsidR="002B31B0">
        <w:t>En adelante “la Convención Americana” o “la Convención”.</w:t>
      </w:r>
    </w:p>
  </w:footnote>
  <w:footnote w:id="4">
    <w:p w14:paraId="55B271F6" w14:textId="2F8AA567" w:rsidR="00060F20" w:rsidRPr="00060F20" w:rsidRDefault="00060F20" w:rsidP="00C459FD">
      <w:pPr>
        <w:pStyle w:val="Notasalpie"/>
      </w:pPr>
      <w:r>
        <w:rPr>
          <w:rStyle w:val="FootnoteReference"/>
        </w:rPr>
        <w:footnoteRef/>
      </w:r>
      <w:r w:rsidRPr="00060F20">
        <w:t xml:space="preserve"> </w:t>
      </w:r>
      <w:r>
        <w:t>Artículos 2, 3, 6, 9, 12, 14, 15, 17 y 18 del Pacto Interna</w:t>
      </w:r>
      <w:r w:rsidR="00583B34">
        <w:t>c</w:t>
      </w:r>
      <w:r>
        <w:t xml:space="preserve">ional </w:t>
      </w:r>
      <w:r w:rsidR="00583B34">
        <w:t>de Derechos Civiles y Políticos y “</w:t>
      </w:r>
      <w:r w:rsidR="00583B34" w:rsidRPr="008F5FC5">
        <w:rPr>
          <w:i/>
          <w:iCs/>
        </w:rPr>
        <w:t>el artículo 17 del derecho internacional humanitario</w:t>
      </w:r>
      <w:r w:rsidR="00583B34">
        <w:t xml:space="preserve">” (probablemente referido </w:t>
      </w:r>
      <w:r w:rsidR="00C459FD">
        <w:t>al Protocolo II adicional a los Convenios de Ginebra de 1949 relativo a la protección de las víctimas de los conflictos armados sin carácter internacional de 1977).</w:t>
      </w:r>
    </w:p>
  </w:footnote>
  <w:footnote w:id="5">
    <w:p w14:paraId="1AFEF3B0" w14:textId="11D7C3C7" w:rsidR="008E3BFE" w:rsidRPr="00306F33" w:rsidRDefault="008E3BFE" w:rsidP="00306F33">
      <w:pPr>
        <w:pStyle w:val="FootnoteText"/>
        <w:ind w:firstLine="720"/>
        <w:jc w:val="both"/>
        <w:rPr>
          <w:rFonts w:asciiTheme="majorHAnsi" w:hAnsiTheme="majorHAnsi"/>
          <w:sz w:val="16"/>
          <w:szCs w:val="16"/>
          <w:lang w:val="es-ES"/>
        </w:rPr>
      </w:pPr>
      <w:r w:rsidRPr="002B1F7C">
        <w:rPr>
          <w:rStyle w:val="FootnoteReference"/>
          <w:rFonts w:asciiTheme="majorHAnsi" w:hAnsiTheme="majorHAnsi"/>
          <w:sz w:val="16"/>
          <w:szCs w:val="16"/>
        </w:rPr>
        <w:footnoteRef/>
      </w:r>
      <w:r w:rsidRPr="002B1F7C">
        <w:rPr>
          <w:rFonts w:asciiTheme="majorHAnsi" w:hAnsiTheme="majorHAnsi"/>
          <w:sz w:val="16"/>
          <w:szCs w:val="16"/>
          <w:lang w:val="es-ES"/>
        </w:rPr>
        <w:t xml:space="preserve"> Las observaciones de cada parte fueron debidamente trasladadas a la parte contraria.</w:t>
      </w:r>
    </w:p>
  </w:footnote>
  <w:footnote w:id="6">
    <w:p w14:paraId="51253BA0" w14:textId="5C9A1BF6" w:rsidR="00A63EFD" w:rsidRPr="003F22A3" w:rsidRDefault="00A63EFD" w:rsidP="00A63EFD">
      <w:pPr>
        <w:pStyle w:val="FootnoteText"/>
        <w:ind w:firstLine="720"/>
        <w:jc w:val="both"/>
        <w:rPr>
          <w:rFonts w:asciiTheme="majorHAnsi" w:hAnsiTheme="majorHAnsi"/>
          <w:sz w:val="16"/>
          <w:szCs w:val="16"/>
          <w:lang w:val="es-CO"/>
        </w:rPr>
      </w:pPr>
      <w:r w:rsidRPr="003F22A3">
        <w:rPr>
          <w:rStyle w:val="FootnoteReference"/>
          <w:rFonts w:asciiTheme="majorHAnsi" w:hAnsiTheme="majorHAnsi"/>
          <w:sz w:val="16"/>
          <w:szCs w:val="16"/>
          <w:lang w:val="es-CO"/>
        </w:rPr>
        <w:footnoteRef/>
      </w:r>
      <w:r w:rsidRPr="003F22A3">
        <w:rPr>
          <w:rFonts w:asciiTheme="majorHAnsi" w:hAnsiTheme="majorHAnsi"/>
          <w:sz w:val="16"/>
          <w:szCs w:val="16"/>
          <w:lang w:val="es-CO"/>
        </w:rPr>
        <w:t xml:space="preserve"> CIDH, </w:t>
      </w:r>
      <w:r w:rsidR="005A6844" w:rsidRPr="005A6844">
        <w:rPr>
          <w:rFonts w:asciiTheme="majorHAnsi" w:hAnsiTheme="majorHAnsi"/>
          <w:sz w:val="16"/>
          <w:szCs w:val="16"/>
          <w:lang w:val="es-CO"/>
        </w:rPr>
        <w:t>Informe No. 154/24. Petición 1118-14. Admisibilidad. Néstor Iván Moreno Rojas. Colombia. 27 de septiembre de 2024,</w:t>
      </w:r>
      <w:r w:rsidR="005A6844">
        <w:rPr>
          <w:rFonts w:asciiTheme="majorHAnsi" w:hAnsiTheme="majorHAnsi"/>
          <w:sz w:val="16"/>
          <w:szCs w:val="16"/>
          <w:lang w:val="es-CO"/>
        </w:rPr>
        <w:t xml:space="preserve"> párr. 18; </w:t>
      </w:r>
      <w:r w:rsidRPr="003F22A3">
        <w:rPr>
          <w:rFonts w:asciiTheme="majorHAnsi" w:hAnsiTheme="majorHAnsi"/>
          <w:sz w:val="16"/>
          <w:szCs w:val="16"/>
          <w:lang w:val="es-CO"/>
        </w:rPr>
        <w:t>Informe No. 96/21. Petición 546-13. Inadmisibilidad. Rafael de Jesús Gómez Gómez. Venezuela. 29 de abril de 2010, párr. 10; CIDH. Informe No. 346/20. Admisibilidad. Emilio Palacio Urrutia. Ecuador. 23 de noviembre de 2020, párr. 14; Informe No. 108/19. Petición 81-09. Admisibilidad. Anael Fidel Sanjuanelo Polo y familia. Colombia. 28 de julio de 2019, párrs. 6, 15; Informe No. 168/17. Admisibilidad. Miguel Ángel Morales Morales. Perú. 1 de diciembre de 2017, párr. 15.</w:t>
      </w:r>
    </w:p>
  </w:footnote>
  <w:footnote w:id="7">
    <w:p w14:paraId="4C0C9144" w14:textId="77777777" w:rsidR="00FB7BEE" w:rsidRPr="00A11B3B" w:rsidRDefault="00FB7BEE" w:rsidP="00FB7BEE">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Véase, por ejemplo: CIDH, Informe No. 16/22. Petición 574-17. Admisibilidad. Adela Vanín Dueñas. Colombia. 9 de febrero de 2022, párr. 24; y CIDH, Informe No. 58/18. Petición 1434-18. Admisibilidad. Rómulo Rubén Palma Rodríguez. Perú. 5 de mayo de 2018, párr. 15.</w:t>
      </w:r>
    </w:p>
  </w:footnote>
  <w:footnote w:id="8">
    <w:p w14:paraId="56E01EE7" w14:textId="77777777" w:rsidR="00891869" w:rsidRPr="00A11B3B" w:rsidRDefault="00891869" w:rsidP="00891869">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18.</w:t>
      </w:r>
    </w:p>
  </w:footnote>
  <w:footnote w:id="9">
    <w:p w14:paraId="6F0E77FB" w14:textId="77777777" w:rsidR="00891869" w:rsidRPr="00A11B3B" w:rsidRDefault="00891869" w:rsidP="00891869">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19.</w:t>
      </w:r>
    </w:p>
  </w:footnote>
  <w:footnote w:id="10">
    <w:p w14:paraId="37571E94" w14:textId="77777777" w:rsidR="0041354E" w:rsidRPr="002F0BCD" w:rsidRDefault="0041354E" w:rsidP="00567AB9">
      <w:pPr>
        <w:pStyle w:val="Notasalpie"/>
      </w:pPr>
      <w:r>
        <w:rPr>
          <w:rStyle w:val="FootnoteReference"/>
        </w:rPr>
        <w:footnoteRef/>
      </w:r>
      <w:r w:rsidRPr="00130CF8">
        <w:t xml:space="preserve"> </w:t>
      </w:r>
      <w:r>
        <w:t>CIDH. D</w:t>
      </w:r>
      <w:r w:rsidRPr="002E0ECA">
        <w:t>irectrices básicas para la investigación de delitos contra personas defensoras de derechos humanos en el Triángulo Norte</w:t>
      </w:r>
      <w:r>
        <w:t xml:space="preserve">. 1 de junio de 2021, párr. 65; CIDH. </w:t>
      </w:r>
      <w:r w:rsidRPr="00065E99">
        <w:t>Criminalización de la labor de las defensoras y los defensores de derechos humanos</w:t>
      </w:r>
      <w:r>
        <w:t xml:space="preserve">. 31 de diciembre de 2015, párr. 43; y, </w:t>
      </w:r>
      <w:r w:rsidRPr="00130CF8">
        <w:t>CIDH, Segundo informe sobre la situación de las defensoras y los defensores de derechos humanos en las Américas</w:t>
      </w:r>
      <w:r>
        <w:t>.</w:t>
      </w:r>
      <w:r w:rsidRPr="00130CF8">
        <w:t xml:space="preserve"> 31 de diciembre de 2011, párrs. 76-88.</w:t>
      </w:r>
    </w:p>
  </w:footnote>
  <w:footnote w:id="11">
    <w:p w14:paraId="3F465730" w14:textId="77777777" w:rsidR="00567AB9" w:rsidRPr="00F316D7" w:rsidRDefault="00567AB9" w:rsidP="00D36E7D">
      <w:pPr>
        <w:pStyle w:val="Notasalpie"/>
      </w:pPr>
      <w:r>
        <w:rPr>
          <w:rStyle w:val="FootnoteReference"/>
        </w:rPr>
        <w:footnoteRef/>
      </w:r>
      <w:r w:rsidRPr="00F316D7">
        <w:t xml:space="preserve"> </w:t>
      </w:r>
      <w:r w:rsidRPr="008811C1">
        <w:t xml:space="preserve">Corte IDH. Caso Miembros de la Corporación Colectivo de Abogados "José Alvear Restrepo" Vs. Colombia. Excepciones Preliminares, Fondo, Reparaciones y Costas. </w:t>
      </w:r>
      <w:r w:rsidRPr="005F0B05">
        <w:t>Sentencia de 18 de octubre de 2023. Serie C No. 506, párr.</w:t>
      </w:r>
      <w:r>
        <w:t xml:space="preserve"> 527.</w:t>
      </w:r>
    </w:p>
  </w:footnote>
  <w:footnote w:id="12">
    <w:p w14:paraId="7CA491A7" w14:textId="77777777" w:rsidR="002D71AB" w:rsidRPr="005B29D3" w:rsidRDefault="002D71AB" w:rsidP="002D71AB">
      <w:pPr>
        <w:pStyle w:val="Notasalpie"/>
      </w:pPr>
      <w:r w:rsidRPr="005B29D3">
        <w:rPr>
          <w:rStyle w:val="FootnoteReference"/>
        </w:rPr>
        <w:footnoteRef/>
      </w:r>
      <w:r w:rsidRPr="005B29D3">
        <w:t xml:space="preserve"> Corte IDH. Caso Escaleras Mejía y otros Vs. Honduras. Homologación de Solución Amistosa. Sentencia de 26 de septiembre de 2018. Serie C No. 361, párr. 60.</w:t>
      </w:r>
    </w:p>
  </w:footnote>
  <w:footnote w:id="13">
    <w:p w14:paraId="5074C028" w14:textId="77777777" w:rsidR="002D71AB" w:rsidRPr="00D24B5A" w:rsidRDefault="002D71AB" w:rsidP="002D71AB">
      <w:pPr>
        <w:pStyle w:val="Notasalpie"/>
      </w:pPr>
      <w:r w:rsidRPr="005B29D3">
        <w:rPr>
          <w:rStyle w:val="FootnoteReference"/>
        </w:rPr>
        <w:footnoteRef/>
      </w:r>
      <w:r w:rsidRPr="005B29D3">
        <w:t xml:space="preserve"> CIDH, Informe No. 83/23. Caso 14.196 Admisibilidad y Fondo (Publicación). Oswaldo José Payá Sardiñas y otros. Cuba. 9 de junio de 2023, párr. 59; y Hacia una política integral de protección a personas defensoras de derechos humanos, 30 de diciembre de 2017, párr. 13.</w:t>
      </w:r>
    </w:p>
  </w:footnote>
  <w:footnote w:id="14">
    <w:p w14:paraId="29FCAE8D" w14:textId="77777777" w:rsidR="002D71AB" w:rsidRPr="00B47B38" w:rsidRDefault="002D71AB" w:rsidP="002D71AB">
      <w:pPr>
        <w:pStyle w:val="Notasalpie"/>
      </w:pPr>
      <w:r>
        <w:rPr>
          <w:rStyle w:val="FootnoteReference"/>
        </w:rPr>
        <w:footnoteRef/>
      </w:r>
      <w:r w:rsidRPr="001E02C8">
        <w:t xml:space="preserve"> </w:t>
      </w:r>
      <w:r w:rsidRPr="007E27A2">
        <w:t xml:space="preserve">CIDH, Segundo Informe sobre la situación de las defensoras y los defensores de derechos humanos en las Américas, 31 de diciembre de 2011, párr. </w:t>
      </w:r>
      <w:r w:rsidRPr="00A914C6">
        <w:t>119</w:t>
      </w:r>
      <w:r>
        <w:t xml:space="preserve">; y, </w:t>
      </w:r>
      <w:r w:rsidRPr="00B47B38">
        <w:t xml:space="preserve">CIDH. Informe No. 57/19. Caso 12.380. Fondo. Miembros de la Corporación Colectivo de Abogados José Alvear Restrepo. Colombia. 4 de mayo de 2019, </w:t>
      </w:r>
      <w:r>
        <w:t>párr. 268.</w:t>
      </w:r>
    </w:p>
  </w:footnote>
  <w:footnote w:id="15">
    <w:p w14:paraId="5DC11FE7" w14:textId="77777777" w:rsidR="002D71AB" w:rsidRPr="00D11FF4" w:rsidRDefault="002D71AB" w:rsidP="002D71AB">
      <w:pPr>
        <w:pStyle w:val="Notasalpie"/>
      </w:pPr>
      <w:r>
        <w:rPr>
          <w:rStyle w:val="FootnoteReference"/>
        </w:rPr>
        <w:footnoteRef/>
      </w:r>
      <w:r>
        <w:t xml:space="preserve"> </w:t>
      </w:r>
      <w:r w:rsidRPr="007E27A2">
        <w:t xml:space="preserve">CIDH, Segundo Informe sobre la situación </w:t>
      </w:r>
      <w:r w:rsidRPr="00D11FF4">
        <w:t xml:space="preserve">de las defensoras y los defensores de derechos humanos en las Américas, 31 de diciembre de 2011, párr. 119; y, CIDH. Informe No. 57/19. Caso 12.380. Fondo. Miembros de la Corporación Colectivo de Abogados José Alvear Restrepo. Colombia. 4 de mayo de 2019, párr. 268. Ver también: </w:t>
      </w:r>
      <w:r w:rsidRPr="00D11FF4">
        <w:rPr>
          <w:i/>
          <w:iCs/>
        </w:rPr>
        <w:t>mutatis mutandi</w:t>
      </w:r>
      <w:r w:rsidRPr="00D11FF4">
        <w:t>, Corte IDH. Caso Cuéllar Sandoval y otros Vs. El Salvador. Fondo, Reparaciones y Costas. Sentencia de 18 de marzo de 2024. Serie C No. 521, párr.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D7734C"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458008E"/>
    <w:multiLevelType w:val="hybridMultilevel"/>
    <w:tmpl w:val="9DBE22B0"/>
    <w:lvl w:ilvl="0" w:tplc="1902E9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4F446ECC"/>
    <w:lvl w:ilvl="0" w:tplc="FC04A7D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2"/>
  </w:num>
  <w:num w:numId="5" w16cid:durableId="368341374">
    <w:abstractNumId w:val="51"/>
  </w:num>
  <w:num w:numId="6" w16cid:durableId="1074009954">
    <w:abstractNumId w:val="30"/>
  </w:num>
  <w:num w:numId="7" w16cid:durableId="1545016965">
    <w:abstractNumId w:val="7"/>
  </w:num>
  <w:num w:numId="8" w16cid:durableId="1165165820">
    <w:abstractNumId w:val="18"/>
  </w:num>
  <w:num w:numId="9" w16cid:durableId="751703382">
    <w:abstractNumId w:val="45"/>
  </w:num>
  <w:num w:numId="10" w16cid:durableId="1010065578">
    <w:abstractNumId w:val="0"/>
  </w:num>
  <w:num w:numId="11" w16cid:durableId="599265313">
    <w:abstractNumId w:val="40"/>
  </w:num>
  <w:num w:numId="12" w16cid:durableId="1094203649">
    <w:abstractNumId w:val="41"/>
  </w:num>
  <w:num w:numId="13" w16cid:durableId="393090155">
    <w:abstractNumId w:val="48"/>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4"/>
  </w:num>
  <w:num w:numId="28" w16cid:durableId="1616718871">
    <w:abstractNumId w:val="25"/>
  </w:num>
  <w:num w:numId="29" w16cid:durableId="1530486082">
    <w:abstractNumId w:val="26"/>
  </w:num>
  <w:num w:numId="30" w16cid:durableId="802582976">
    <w:abstractNumId w:val="28"/>
  </w:num>
  <w:num w:numId="31" w16cid:durableId="287396833">
    <w:abstractNumId w:val="31"/>
  </w:num>
  <w:num w:numId="32" w16cid:durableId="535119711">
    <w:abstractNumId w:val="32"/>
  </w:num>
  <w:num w:numId="33" w16cid:durableId="2078547275">
    <w:abstractNumId w:val="33"/>
  </w:num>
  <w:num w:numId="34" w16cid:durableId="1703632659">
    <w:abstractNumId w:val="34"/>
  </w:num>
  <w:num w:numId="35" w16cid:durableId="1264075887">
    <w:abstractNumId w:val="35"/>
  </w:num>
  <w:num w:numId="36" w16cid:durableId="1752315512">
    <w:abstractNumId w:val="36"/>
  </w:num>
  <w:num w:numId="37" w16cid:durableId="1536426887">
    <w:abstractNumId w:val="37"/>
  </w:num>
  <w:num w:numId="38" w16cid:durableId="949702590">
    <w:abstractNumId w:val="38"/>
  </w:num>
  <w:num w:numId="39" w16cid:durableId="115605940">
    <w:abstractNumId w:val="42"/>
  </w:num>
  <w:num w:numId="40" w16cid:durableId="2008750670">
    <w:abstractNumId w:val="43"/>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1"/>
  </w:num>
  <w:num w:numId="52" w16cid:durableId="955454438">
    <w:abstractNumId w:val="44"/>
  </w:num>
  <w:num w:numId="53" w16cid:durableId="586957926">
    <w:abstractNumId w:val="55"/>
  </w:num>
  <w:num w:numId="54" w16cid:durableId="1498381482">
    <w:abstractNumId w:val="49"/>
  </w:num>
  <w:num w:numId="55" w16cid:durableId="1930308158">
    <w:abstractNumId w:val="47"/>
  </w:num>
  <w:num w:numId="56" w16cid:durableId="71783945">
    <w:abstractNumId w:val="29"/>
  </w:num>
  <w:num w:numId="57" w16cid:durableId="327246300">
    <w:abstractNumId w:val="27"/>
  </w:num>
  <w:num w:numId="58" w16cid:durableId="823088829">
    <w:abstractNumId w:val="39"/>
  </w:num>
  <w:num w:numId="59" w16cid:durableId="219633537">
    <w:abstractNumId w:val="4"/>
  </w:num>
  <w:num w:numId="60" w16cid:durableId="364453791">
    <w:abstractNumId w:val="46"/>
  </w:num>
  <w:num w:numId="61" w16cid:durableId="319626255">
    <w:abstractNumId w:val="54"/>
  </w:num>
  <w:num w:numId="62" w16cid:durableId="362898492">
    <w:abstractNumId w:val="6"/>
  </w:num>
  <w:num w:numId="63" w16cid:durableId="413744366">
    <w:abstractNumId w:val="23"/>
  </w:num>
  <w:num w:numId="64" w16cid:durableId="166218650">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788C"/>
    <w:rsid w:val="0002349D"/>
    <w:rsid w:val="0003087A"/>
    <w:rsid w:val="000337EF"/>
    <w:rsid w:val="00036A57"/>
    <w:rsid w:val="00040C3A"/>
    <w:rsid w:val="000419AD"/>
    <w:rsid w:val="000433C9"/>
    <w:rsid w:val="00060F20"/>
    <w:rsid w:val="000619E3"/>
    <w:rsid w:val="00064AD6"/>
    <w:rsid w:val="00071174"/>
    <w:rsid w:val="000716C5"/>
    <w:rsid w:val="00073F25"/>
    <w:rsid w:val="00075049"/>
    <w:rsid w:val="00075E23"/>
    <w:rsid w:val="00080A35"/>
    <w:rsid w:val="0008158C"/>
    <w:rsid w:val="00085887"/>
    <w:rsid w:val="000914B3"/>
    <w:rsid w:val="0009344A"/>
    <w:rsid w:val="00093EEB"/>
    <w:rsid w:val="00094307"/>
    <w:rsid w:val="000A0712"/>
    <w:rsid w:val="000A217E"/>
    <w:rsid w:val="000A28E3"/>
    <w:rsid w:val="000A392E"/>
    <w:rsid w:val="000A575F"/>
    <w:rsid w:val="000B3A3F"/>
    <w:rsid w:val="000B786A"/>
    <w:rsid w:val="000C2B7A"/>
    <w:rsid w:val="000C3FD2"/>
    <w:rsid w:val="000C5CDC"/>
    <w:rsid w:val="000D05CB"/>
    <w:rsid w:val="000D10DB"/>
    <w:rsid w:val="000E5EB5"/>
    <w:rsid w:val="000F12ED"/>
    <w:rsid w:val="000F239A"/>
    <w:rsid w:val="000F35ED"/>
    <w:rsid w:val="000F3EC4"/>
    <w:rsid w:val="000F5603"/>
    <w:rsid w:val="000F6834"/>
    <w:rsid w:val="001004FE"/>
    <w:rsid w:val="00107131"/>
    <w:rsid w:val="0010736F"/>
    <w:rsid w:val="00113F73"/>
    <w:rsid w:val="00116D4E"/>
    <w:rsid w:val="00120994"/>
    <w:rsid w:val="00121CC2"/>
    <w:rsid w:val="00125980"/>
    <w:rsid w:val="00131425"/>
    <w:rsid w:val="00133EE5"/>
    <w:rsid w:val="0016594A"/>
    <w:rsid w:val="00167A34"/>
    <w:rsid w:val="00175901"/>
    <w:rsid w:val="0018278A"/>
    <w:rsid w:val="00190CFE"/>
    <w:rsid w:val="001A2CE4"/>
    <w:rsid w:val="001A520D"/>
    <w:rsid w:val="001A7870"/>
    <w:rsid w:val="001B3A00"/>
    <w:rsid w:val="001B478B"/>
    <w:rsid w:val="001B7DE7"/>
    <w:rsid w:val="001C1B41"/>
    <w:rsid w:val="001C5E4D"/>
    <w:rsid w:val="001D15EF"/>
    <w:rsid w:val="001D65EF"/>
    <w:rsid w:val="001D7F96"/>
    <w:rsid w:val="001E2F4F"/>
    <w:rsid w:val="001E49E7"/>
    <w:rsid w:val="001E5A50"/>
    <w:rsid w:val="001F25D2"/>
    <w:rsid w:val="001F7201"/>
    <w:rsid w:val="00200DAC"/>
    <w:rsid w:val="00200EF2"/>
    <w:rsid w:val="00216880"/>
    <w:rsid w:val="00223A29"/>
    <w:rsid w:val="002250A3"/>
    <w:rsid w:val="00235217"/>
    <w:rsid w:val="002378BD"/>
    <w:rsid w:val="00245AFF"/>
    <w:rsid w:val="00245C2E"/>
    <w:rsid w:val="00245D12"/>
    <w:rsid w:val="00246B6E"/>
    <w:rsid w:val="00246D1F"/>
    <w:rsid w:val="00247403"/>
    <w:rsid w:val="00247542"/>
    <w:rsid w:val="002543F0"/>
    <w:rsid w:val="00263A9E"/>
    <w:rsid w:val="00266B61"/>
    <w:rsid w:val="0026712A"/>
    <w:rsid w:val="002704DB"/>
    <w:rsid w:val="00282377"/>
    <w:rsid w:val="0028701A"/>
    <w:rsid w:val="00296152"/>
    <w:rsid w:val="002A0AAE"/>
    <w:rsid w:val="002A4191"/>
    <w:rsid w:val="002A5820"/>
    <w:rsid w:val="002B1F7C"/>
    <w:rsid w:val="002B31B0"/>
    <w:rsid w:val="002B5D16"/>
    <w:rsid w:val="002C180E"/>
    <w:rsid w:val="002D2B26"/>
    <w:rsid w:val="002D71AB"/>
    <w:rsid w:val="002D7EA2"/>
    <w:rsid w:val="002E187C"/>
    <w:rsid w:val="002E5A4F"/>
    <w:rsid w:val="002E5C0A"/>
    <w:rsid w:val="002E6129"/>
    <w:rsid w:val="002F0069"/>
    <w:rsid w:val="002F25D0"/>
    <w:rsid w:val="002F472F"/>
    <w:rsid w:val="002F5E78"/>
    <w:rsid w:val="003017BA"/>
    <w:rsid w:val="00302733"/>
    <w:rsid w:val="00305835"/>
    <w:rsid w:val="00306F33"/>
    <w:rsid w:val="00314078"/>
    <w:rsid w:val="0031535D"/>
    <w:rsid w:val="003239B8"/>
    <w:rsid w:val="00323DD5"/>
    <w:rsid w:val="0033169F"/>
    <w:rsid w:val="003320CB"/>
    <w:rsid w:val="00335D68"/>
    <w:rsid w:val="00344977"/>
    <w:rsid w:val="00346C95"/>
    <w:rsid w:val="00356185"/>
    <w:rsid w:val="00360380"/>
    <w:rsid w:val="00365B66"/>
    <w:rsid w:val="003706CF"/>
    <w:rsid w:val="0037519E"/>
    <w:rsid w:val="0037711F"/>
    <w:rsid w:val="003807E8"/>
    <w:rsid w:val="0038427A"/>
    <w:rsid w:val="00385092"/>
    <w:rsid w:val="0038653A"/>
    <w:rsid w:val="00386CF0"/>
    <w:rsid w:val="00392325"/>
    <w:rsid w:val="00394073"/>
    <w:rsid w:val="003A59DC"/>
    <w:rsid w:val="003B381C"/>
    <w:rsid w:val="003B3F26"/>
    <w:rsid w:val="003B5D45"/>
    <w:rsid w:val="003B6B82"/>
    <w:rsid w:val="003B70FB"/>
    <w:rsid w:val="003B795E"/>
    <w:rsid w:val="003B7D3E"/>
    <w:rsid w:val="003C1BD7"/>
    <w:rsid w:val="003C2123"/>
    <w:rsid w:val="003C4B63"/>
    <w:rsid w:val="003C676B"/>
    <w:rsid w:val="003C7343"/>
    <w:rsid w:val="003D2943"/>
    <w:rsid w:val="003D3566"/>
    <w:rsid w:val="003D3BC2"/>
    <w:rsid w:val="003D662D"/>
    <w:rsid w:val="003E42F8"/>
    <w:rsid w:val="003E6CA1"/>
    <w:rsid w:val="003F13EF"/>
    <w:rsid w:val="003F27AE"/>
    <w:rsid w:val="003F2D88"/>
    <w:rsid w:val="003F5154"/>
    <w:rsid w:val="003F5225"/>
    <w:rsid w:val="003F6F7E"/>
    <w:rsid w:val="00405F9C"/>
    <w:rsid w:val="004065A8"/>
    <w:rsid w:val="00407E6B"/>
    <w:rsid w:val="004114C5"/>
    <w:rsid w:val="00413359"/>
    <w:rsid w:val="0041354E"/>
    <w:rsid w:val="004141BD"/>
    <w:rsid w:val="00414C6D"/>
    <w:rsid w:val="004165C2"/>
    <w:rsid w:val="004173DC"/>
    <w:rsid w:val="00423386"/>
    <w:rsid w:val="00423E09"/>
    <w:rsid w:val="004241A0"/>
    <w:rsid w:val="0043537D"/>
    <w:rsid w:val="00441ECB"/>
    <w:rsid w:val="00445193"/>
    <w:rsid w:val="0044761F"/>
    <w:rsid w:val="00452A9B"/>
    <w:rsid w:val="0045600E"/>
    <w:rsid w:val="00457510"/>
    <w:rsid w:val="00461FCD"/>
    <w:rsid w:val="00462C1B"/>
    <w:rsid w:val="00466188"/>
    <w:rsid w:val="00467B7E"/>
    <w:rsid w:val="00473BB4"/>
    <w:rsid w:val="00474616"/>
    <w:rsid w:val="00475023"/>
    <w:rsid w:val="004769DD"/>
    <w:rsid w:val="00477592"/>
    <w:rsid w:val="00477887"/>
    <w:rsid w:val="00486F1C"/>
    <w:rsid w:val="0049003A"/>
    <w:rsid w:val="00490DB9"/>
    <w:rsid w:val="0049419D"/>
    <w:rsid w:val="004A057B"/>
    <w:rsid w:val="004A6A54"/>
    <w:rsid w:val="004B3529"/>
    <w:rsid w:val="004B421C"/>
    <w:rsid w:val="004C20D2"/>
    <w:rsid w:val="004C2312"/>
    <w:rsid w:val="004C283C"/>
    <w:rsid w:val="004C3753"/>
    <w:rsid w:val="004C4B62"/>
    <w:rsid w:val="004C5106"/>
    <w:rsid w:val="004C54C9"/>
    <w:rsid w:val="004C5B25"/>
    <w:rsid w:val="004C6A11"/>
    <w:rsid w:val="004D1AE9"/>
    <w:rsid w:val="004D4ABA"/>
    <w:rsid w:val="004D6025"/>
    <w:rsid w:val="004D7079"/>
    <w:rsid w:val="004E2649"/>
    <w:rsid w:val="004F626F"/>
    <w:rsid w:val="004F6F20"/>
    <w:rsid w:val="00500917"/>
    <w:rsid w:val="00501399"/>
    <w:rsid w:val="005047ED"/>
    <w:rsid w:val="0050633D"/>
    <w:rsid w:val="00506561"/>
    <w:rsid w:val="00507BC4"/>
    <w:rsid w:val="005128E4"/>
    <w:rsid w:val="005133DB"/>
    <w:rsid w:val="00514504"/>
    <w:rsid w:val="005173A3"/>
    <w:rsid w:val="00521E1F"/>
    <w:rsid w:val="00523339"/>
    <w:rsid w:val="00525560"/>
    <w:rsid w:val="00530F24"/>
    <w:rsid w:val="005315AA"/>
    <w:rsid w:val="0054143E"/>
    <w:rsid w:val="00541F77"/>
    <w:rsid w:val="00544C49"/>
    <w:rsid w:val="005516A1"/>
    <w:rsid w:val="005559EF"/>
    <w:rsid w:val="00556321"/>
    <w:rsid w:val="00563557"/>
    <w:rsid w:val="00567AB9"/>
    <w:rsid w:val="0057402A"/>
    <w:rsid w:val="00576BD2"/>
    <w:rsid w:val="005771D0"/>
    <w:rsid w:val="00577606"/>
    <w:rsid w:val="0058331B"/>
    <w:rsid w:val="00583B34"/>
    <w:rsid w:val="005851FF"/>
    <w:rsid w:val="0059162D"/>
    <w:rsid w:val="0059191A"/>
    <w:rsid w:val="005921FF"/>
    <w:rsid w:val="00593A21"/>
    <w:rsid w:val="005A1D3A"/>
    <w:rsid w:val="005A24ED"/>
    <w:rsid w:val="005A6844"/>
    <w:rsid w:val="005A6D0E"/>
    <w:rsid w:val="005B52B0"/>
    <w:rsid w:val="005B6806"/>
    <w:rsid w:val="005C4225"/>
    <w:rsid w:val="005C6E5B"/>
    <w:rsid w:val="005E19D0"/>
    <w:rsid w:val="005F0DAD"/>
    <w:rsid w:val="005F0F33"/>
    <w:rsid w:val="005F14BF"/>
    <w:rsid w:val="005F1662"/>
    <w:rsid w:val="005F6A74"/>
    <w:rsid w:val="00600DEB"/>
    <w:rsid w:val="006112FE"/>
    <w:rsid w:val="00617D0D"/>
    <w:rsid w:val="006217C6"/>
    <w:rsid w:val="0062468B"/>
    <w:rsid w:val="006250BF"/>
    <w:rsid w:val="00627C9F"/>
    <w:rsid w:val="006311E9"/>
    <w:rsid w:val="00632354"/>
    <w:rsid w:val="00635421"/>
    <w:rsid w:val="00642810"/>
    <w:rsid w:val="00652333"/>
    <w:rsid w:val="00656E34"/>
    <w:rsid w:val="00657DBB"/>
    <w:rsid w:val="0066202E"/>
    <w:rsid w:val="00662C05"/>
    <w:rsid w:val="00663C1D"/>
    <w:rsid w:val="006719A6"/>
    <w:rsid w:val="0067316A"/>
    <w:rsid w:val="00673DBE"/>
    <w:rsid w:val="00675707"/>
    <w:rsid w:val="00675F18"/>
    <w:rsid w:val="00677123"/>
    <w:rsid w:val="0068009E"/>
    <w:rsid w:val="006845D1"/>
    <w:rsid w:val="006870A7"/>
    <w:rsid w:val="0069211F"/>
    <w:rsid w:val="00692154"/>
    <w:rsid w:val="00692219"/>
    <w:rsid w:val="00697949"/>
    <w:rsid w:val="006A17D2"/>
    <w:rsid w:val="006A5AE8"/>
    <w:rsid w:val="006A73E6"/>
    <w:rsid w:val="006B2D5C"/>
    <w:rsid w:val="006B489C"/>
    <w:rsid w:val="006C0ECF"/>
    <w:rsid w:val="006C4EB1"/>
    <w:rsid w:val="006C5637"/>
    <w:rsid w:val="006D0C04"/>
    <w:rsid w:val="006D6F0C"/>
    <w:rsid w:val="006E0166"/>
    <w:rsid w:val="006E2FFB"/>
    <w:rsid w:val="006E4940"/>
    <w:rsid w:val="006E621A"/>
    <w:rsid w:val="006E6EA7"/>
    <w:rsid w:val="006E7B34"/>
    <w:rsid w:val="006E7E68"/>
    <w:rsid w:val="0070697F"/>
    <w:rsid w:val="007103C4"/>
    <w:rsid w:val="00710891"/>
    <w:rsid w:val="007164EB"/>
    <w:rsid w:val="0072199C"/>
    <w:rsid w:val="00722988"/>
    <w:rsid w:val="00722C9F"/>
    <w:rsid w:val="00723E82"/>
    <w:rsid w:val="007253B8"/>
    <w:rsid w:val="0073741F"/>
    <w:rsid w:val="00742362"/>
    <w:rsid w:val="007440B6"/>
    <w:rsid w:val="00744B77"/>
    <w:rsid w:val="00747C8B"/>
    <w:rsid w:val="0075189F"/>
    <w:rsid w:val="0075466C"/>
    <w:rsid w:val="00755A8B"/>
    <w:rsid w:val="00756CE1"/>
    <w:rsid w:val="00756F8F"/>
    <w:rsid w:val="00763A5A"/>
    <w:rsid w:val="00765133"/>
    <w:rsid w:val="0076643F"/>
    <w:rsid w:val="00767104"/>
    <w:rsid w:val="00772AFD"/>
    <w:rsid w:val="0077413C"/>
    <w:rsid w:val="00777F63"/>
    <w:rsid w:val="00786966"/>
    <w:rsid w:val="00787A4E"/>
    <w:rsid w:val="0079188B"/>
    <w:rsid w:val="00794796"/>
    <w:rsid w:val="00796D3E"/>
    <w:rsid w:val="007A5817"/>
    <w:rsid w:val="007A70DE"/>
    <w:rsid w:val="007B05C4"/>
    <w:rsid w:val="007B60E9"/>
    <w:rsid w:val="007B6CC3"/>
    <w:rsid w:val="007B76D3"/>
    <w:rsid w:val="007C3334"/>
    <w:rsid w:val="007C72C7"/>
    <w:rsid w:val="007D2B98"/>
    <w:rsid w:val="007E07BC"/>
    <w:rsid w:val="007E21BC"/>
    <w:rsid w:val="007E7C82"/>
    <w:rsid w:val="007F2AA1"/>
    <w:rsid w:val="007F3070"/>
    <w:rsid w:val="007F588D"/>
    <w:rsid w:val="008009F5"/>
    <w:rsid w:val="00801245"/>
    <w:rsid w:val="008020A1"/>
    <w:rsid w:val="00803F1C"/>
    <w:rsid w:val="0080600E"/>
    <w:rsid w:val="00814688"/>
    <w:rsid w:val="00817612"/>
    <w:rsid w:val="00822F26"/>
    <w:rsid w:val="0082381C"/>
    <w:rsid w:val="00826BFC"/>
    <w:rsid w:val="00827CF6"/>
    <w:rsid w:val="008338A4"/>
    <w:rsid w:val="00834D49"/>
    <w:rsid w:val="008361D7"/>
    <w:rsid w:val="008363F3"/>
    <w:rsid w:val="00837C45"/>
    <w:rsid w:val="00837E77"/>
    <w:rsid w:val="00844730"/>
    <w:rsid w:val="008457C2"/>
    <w:rsid w:val="00857A82"/>
    <w:rsid w:val="0086433A"/>
    <w:rsid w:val="008643A8"/>
    <w:rsid w:val="00867FC7"/>
    <w:rsid w:val="00873836"/>
    <w:rsid w:val="00885737"/>
    <w:rsid w:val="008902C9"/>
    <w:rsid w:val="00890650"/>
    <w:rsid w:val="00890DA0"/>
    <w:rsid w:val="00891869"/>
    <w:rsid w:val="008944DC"/>
    <w:rsid w:val="00897871"/>
    <w:rsid w:val="00897E12"/>
    <w:rsid w:val="008A048B"/>
    <w:rsid w:val="008A7E0F"/>
    <w:rsid w:val="008B12F5"/>
    <w:rsid w:val="008B2586"/>
    <w:rsid w:val="008B77EE"/>
    <w:rsid w:val="008C3D6E"/>
    <w:rsid w:val="008C4FED"/>
    <w:rsid w:val="008C5E2D"/>
    <w:rsid w:val="008D0712"/>
    <w:rsid w:val="008D258B"/>
    <w:rsid w:val="008D5F14"/>
    <w:rsid w:val="008D768D"/>
    <w:rsid w:val="008E1871"/>
    <w:rsid w:val="008E3759"/>
    <w:rsid w:val="008E3BFE"/>
    <w:rsid w:val="008F1912"/>
    <w:rsid w:val="008F5FC5"/>
    <w:rsid w:val="00901503"/>
    <w:rsid w:val="0090270B"/>
    <w:rsid w:val="009041DC"/>
    <w:rsid w:val="0091255E"/>
    <w:rsid w:val="00917B5A"/>
    <w:rsid w:val="00920A58"/>
    <w:rsid w:val="00920A8C"/>
    <w:rsid w:val="00921BF5"/>
    <w:rsid w:val="009233F1"/>
    <w:rsid w:val="00930FC7"/>
    <w:rsid w:val="00934A2C"/>
    <w:rsid w:val="00935CE5"/>
    <w:rsid w:val="00942411"/>
    <w:rsid w:val="009430C5"/>
    <w:rsid w:val="00947DA9"/>
    <w:rsid w:val="00950C33"/>
    <w:rsid w:val="009527F4"/>
    <w:rsid w:val="00954B72"/>
    <w:rsid w:val="00957909"/>
    <w:rsid w:val="009614B7"/>
    <w:rsid w:val="00964A3B"/>
    <w:rsid w:val="0096706E"/>
    <w:rsid w:val="00974276"/>
    <w:rsid w:val="00974491"/>
    <w:rsid w:val="00975AE3"/>
    <w:rsid w:val="00975C4E"/>
    <w:rsid w:val="00981FBA"/>
    <w:rsid w:val="009901FF"/>
    <w:rsid w:val="0099309D"/>
    <w:rsid w:val="00996D32"/>
    <w:rsid w:val="00996E5E"/>
    <w:rsid w:val="009970F2"/>
    <w:rsid w:val="00997942"/>
    <w:rsid w:val="00997BC5"/>
    <w:rsid w:val="009A4F41"/>
    <w:rsid w:val="009A56CE"/>
    <w:rsid w:val="009B052D"/>
    <w:rsid w:val="009B0DC4"/>
    <w:rsid w:val="009B2D06"/>
    <w:rsid w:val="009B3249"/>
    <w:rsid w:val="009B381B"/>
    <w:rsid w:val="009B7EE9"/>
    <w:rsid w:val="009C1B07"/>
    <w:rsid w:val="009C2AD9"/>
    <w:rsid w:val="009C5E42"/>
    <w:rsid w:val="009C67A3"/>
    <w:rsid w:val="009D1753"/>
    <w:rsid w:val="009D3D82"/>
    <w:rsid w:val="009D6F87"/>
    <w:rsid w:val="009D7611"/>
    <w:rsid w:val="009E0283"/>
    <w:rsid w:val="009E0B61"/>
    <w:rsid w:val="009E360F"/>
    <w:rsid w:val="009E4EBF"/>
    <w:rsid w:val="009E53DE"/>
    <w:rsid w:val="009E56F4"/>
    <w:rsid w:val="009E5A04"/>
    <w:rsid w:val="009F1747"/>
    <w:rsid w:val="009F6A00"/>
    <w:rsid w:val="00A0206E"/>
    <w:rsid w:val="00A02A84"/>
    <w:rsid w:val="00A03F6A"/>
    <w:rsid w:val="00A06D4B"/>
    <w:rsid w:val="00A11212"/>
    <w:rsid w:val="00A11C9A"/>
    <w:rsid w:val="00A11E44"/>
    <w:rsid w:val="00A15562"/>
    <w:rsid w:val="00A16ECE"/>
    <w:rsid w:val="00A204A2"/>
    <w:rsid w:val="00A223EA"/>
    <w:rsid w:val="00A238D1"/>
    <w:rsid w:val="00A30100"/>
    <w:rsid w:val="00A311BA"/>
    <w:rsid w:val="00A328B3"/>
    <w:rsid w:val="00A42A24"/>
    <w:rsid w:val="00A50FCF"/>
    <w:rsid w:val="00A528D1"/>
    <w:rsid w:val="00A52E55"/>
    <w:rsid w:val="00A60250"/>
    <w:rsid w:val="00A610CD"/>
    <w:rsid w:val="00A63EFD"/>
    <w:rsid w:val="00A64FEB"/>
    <w:rsid w:val="00A73417"/>
    <w:rsid w:val="00A758AA"/>
    <w:rsid w:val="00A76381"/>
    <w:rsid w:val="00A9199F"/>
    <w:rsid w:val="00AA09A2"/>
    <w:rsid w:val="00AA2B29"/>
    <w:rsid w:val="00AA7996"/>
    <w:rsid w:val="00AA7E64"/>
    <w:rsid w:val="00AB0AEA"/>
    <w:rsid w:val="00AC19BF"/>
    <w:rsid w:val="00AC19CB"/>
    <w:rsid w:val="00AE3010"/>
    <w:rsid w:val="00AE5488"/>
    <w:rsid w:val="00AE628D"/>
    <w:rsid w:val="00AE6F91"/>
    <w:rsid w:val="00AF5571"/>
    <w:rsid w:val="00AF731F"/>
    <w:rsid w:val="00B04818"/>
    <w:rsid w:val="00B05374"/>
    <w:rsid w:val="00B07341"/>
    <w:rsid w:val="00B10D2A"/>
    <w:rsid w:val="00B11446"/>
    <w:rsid w:val="00B1185A"/>
    <w:rsid w:val="00B12ECE"/>
    <w:rsid w:val="00B15439"/>
    <w:rsid w:val="00B17EC4"/>
    <w:rsid w:val="00B22C71"/>
    <w:rsid w:val="00B26B22"/>
    <w:rsid w:val="00B27783"/>
    <w:rsid w:val="00B30539"/>
    <w:rsid w:val="00B314DB"/>
    <w:rsid w:val="00B3425D"/>
    <w:rsid w:val="00B342A5"/>
    <w:rsid w:val="00B361F2"/>
    <w:rsid w:val="00B3718B"/>
    <w:rsid w:val="00B3745F"/>
    <w:rsid w:val="00B37798"/>
    <w:rsid w:val="00B414D6"/>
    <w:rsid w:val="00B4632A"/>
    <w:rsid w:val="00B47EB3"/>
    <w:rsid w:val="00B530F1"/>
    <w:rsid w:val="00B636ED"/>
    <w:rsid w:val="00B643DA"/>
    <w:rsid w:val="00B6765D"/>
    <w:rsid w:val="00B67F26"/>
    <w:rsid w:val="00B72537"/>
    <w:rsid w:val="00B7775A"/>
    <w:rsid w:val="00B80A2C"/>
    <w:rsid w:val="00B812ED"/>
    <w:rsid w:val="00B84DFD"/>
    <w:rsid w:val="00B8506D"/>
    <w:rsid w:val="00B900CD"/>
    <w:rsid w:val="00B921FC"/>
    <w:rsid w:val="00B93D7F"/>
    <w:rsid w:val="00BA276C"/>
    <w:rsid w:val="00BA612A"/>
    <w:rsid w:val="00BA7FB3"/>
    <w:rsid w:val="00BB019D"/>
    <w:rsid w:val="00BB306F"/>
    <w:rsid w:val="00BB35C9"/>
    <w:rsid w:val="00BB50C3"/>
    <w:rsid w:val="00BB5F59"/>
    <w:rsid w:val="00BC21B3"/>
    <w:rsid w:val="00BC33BE"/>
    <w:rsid w:val="00BC4907"/>
    <w:rsid w:val="00BD08D4"/>
    <w:rsid w:val="00BD0FF5"/>
    <w:rsid w:val="00BD2A79"/>
    <w:rsid w:val="00BD3273"/>
    <w:rsid w:val="00BD4B89"/>
    <w:rsid w:val="00BD5922"/>
    <w:rsid w:val="00BF02CB"/>
    <w:rsid w:val="00BF134A"/>
    <w:rsid w:val="00BF6FD8"/>
    <w:rsid w:val="00C011AF"/>
    <w:rsid w:val="00C03680"/>
    <w:rsid w:val="00C044B5"/>
    <w:rsid w:val="00C05440"/>
    <w:rsid w:val="00C054DF"/>
    <w:rsid w:val="00C0735E"/>
    <w:rsid w:val="00C14C93"/>
    <w:rsid w:val="00C1707B"/>
    <w:rsid w:val="00C172AD"/>
    <w:rsid w:val="00C17D00"/>
    <w:rsid w:val="00C21762"/>
    <w:rsid w:val="00C21FEF"/>
    <w:rsid w:val="00C23BA4"/>
    <w:rsid w:val="00C24543"/>
    <w:rsid w:val="00C256A2"/>
    <w:rsid w:val="00C25ADB"/>
    <w:rsid w:val="00C2728E"/>
    <w:rsid w:val="00C318EA"/>
    <w:rsid w:val="00C3350B"/>
    <w:rsid w:val="00C33F8D"/>
    <w:rsid w:val="00C459FD"/>
    <w:rsid w:val="00C46942"/>
    <w:rsid w:val="00C51515"/>
    <w:rsid w:val="00C52D75"/>
    <w:rsid w:val="00C5660B"/>
    <w:rsid w:val="00C603F5"/>
    <w:rsid w:val="00C66062"/>
    <w:rsid w:val="00C66B72"/>
    <w:rsid w:val="00C700B7"/>
    <w:rsid w:val="00C87AC4"/>
    <w:rsid w:val="00C93886"/>
    <w:rsid w:val="00C9567A"/>
    <w:rsid w:val="00C95815"/>
    <w:rsid w:val="00CA59CE"/>
    <w:rsid w:val="00CA5C72"/>
    <w:rsid w:val="00CB183E"/>
    <w:rsid w:val="00CB212D"/>
    <w:rsid w:val="00CB2660"/>
    <w:rsid w:val="00CC57AE"/>
    <w:rsid w:val="00CC5E90"/>
    <w:rsid w:val="00CC7476"/>
    <w:rsid w:val="00CD046C"/>
    <w:rsid w:val="00CD3033"/>
    <w:rsid w:val="00CD313A"/>
    <w:rsid w:val="00CD5395"/>
    <w:rsid w:val="00CD607F"/>
    <w:rsid w:val="00CE076C"/>
    <w:rsid w:val="00CE5199"/>
    <w:rsid w:val="00CE66D5"/>
    <w:rsid w:val="00CF637A"/>
    <w:rsid w:val="00D02EEA"/>
    <w:rsid w:val="00D049A2"/>
    <w:rsid w:val="00D059DE"/>
    <w:rsid w:val="00D05ABD"/>
    <w:rsid w:val="00D07FDD"/>
    <w:rsid w:val="00D1393C"/>
    <w:rsid w:val="00D13FCE"/>
    <w:rsid w:val="00D246D5"/>
    <w:rsid w:val="00D306D1"/>
    <w:rsid w:val="00D30800"/>
    <w:rsid w:val="00D34786"/>
    <w:rsid w:val="00D36E7D"/>
    <w:rsid w:val="00D37BFC"/>
    <w:rsid w:val="00D4293B"/>
    <w:rsid w:val="00D45B46"/>
    <w:rsid w:val="00D469B9"/>
    <w:rsid w:val="00D47A8E"/>
    <w:rsid w:val="00D51C40"/>
    <w:rsid w:val="00D52D14"/>
    <w:rsid w:val="00D56C75"/>
    <w:rsid w:val="00D64207"/>
    <w:rsid w:val="00D712D3"/>
    <w:rsid w:val="00D71422"/>
    <w:rsid w:val="00D71579"/>
    <w:rsid w:val="00D72DC6"/>
    <w:rsid w:val="00D7558D"/>
    <w:rsid w:val="00D77313"/>
    <w:rsid w:val="00D7734C"/>
    <w:rsid w:val="00D80525"/>
    <w:rsid w:val="00D81D92"/>
    <w:rsid w:val="00D83233"/>
    <w:rsid w:val="00D84C89"/>
    <w:rsid w:val="00D876F9"/>
    <w:rsid w:val="00D97854"/>
    <w:rsid w:val="00DA183E"/>
    <w:rsid w:val="00DA26CC"/>
    <w:rsid w:val="00DA37F5"/>
    <w:rsid w:val="00DA3DC8"/>
    <w:rsid w:val="00DA75D9"/>
    <w:rsid w:val="00DA7B5F"/>
    <w:rsid w:val="00DB772F"/>
    <w:rsid w:val="00DC0D1A"/>
    <w:rsid w:val="00DC11E7"/>
    <w:rsid w:val="00DC24E3"/>
    <w:rsid w:val="00DC4609"/>
    <w:rsid w:val="00DC7023"/>
    <w:rsid w:val="00DC769A"/>
    <w:rsid w:val="00DD3D86"/>
    <w:rsid w:val="00DD4AD2"/>
    <w:rsid w:val="00DD4DE2"/>
    <w:rsid w:val="00DD629A"/>
    <w:rsid w:val="00DE026D"/>
    <w:rsid w:val="00DE2862"/>
    <w:rsid w:val="00DE645A"/>
    <w:rsid w:val="00DE782A"/>
    <w:rsid w:val="00DF1EC4"/>
    <w:rsid w:val="00DF6E1E"/>
    <w:rsid w:val="00E0340B"/>
    <w:rsid w:val="00E03973"/>
    <w:rsid w:val="00E04A90"/>
    <w:rsid w:val="00E0551F"/>
    <w:rsid w:val="00E1131B"/>
    <w:rsid w:val="00E219C7"/>
    <w:rsid w:val="00E244AB"/>
    <w:rsid w:val="00E26F57"/>
    <w:rsid w:val="00E2767E"/>
    <w:rsid w:val="00E305EB"/>
    <w:rsid w:val="00E31749"/>
    <w:rsid w:val="00E32DB0"/>
    <w:rsid w:val="00E4118C"/>
    <w:rsid w:val="00E43157"/>
    <w:rsid w:val="00E461CE"/>
    <w:rsid w:val="00E46927"/>
    <w:rsid w:val="00E4729B"/>
    <w:rsid w:val="00E50B80"/>
    <w:rsid w:val="00E573E4"/>
    <w:rsid w:val="00E6062F"/>
    <w:rsid w:val="00E628DF"/>
    <w:rsid w:val="00E630A3"/>
    <w:rsid w:val="00E64C3D"/>
    <w:rsid w:val="00E66075"/>
    <w:rsid w:val="00E720CA"/>
    <w:rsid w:val="00E7243C"/>
    <w:rsid w:val="00E84EB5"/>
    <w:rsid w:val="00E85662"/>
    <w:rsid w:val="00E8789F"/>
    <w:rsid w:val="00E91ECF"/>
    <w:rsid w:val="00E97B71"/>
    <w:rsid w:val="00EA093C"/>
    <w:rsid w:val="00EA3710"/>
    <w:rsid w:val="00EA3D34"/>
    <w:rsid w:val="00EA4F24"/>
    <w:rsid w:val="00EA5D23"/>
    <w:rsid w:val="00EA6394"/>
    <w:rsid w:val="00EB0524"/>
    <w:rsid w:val="00EB454D"/>
    <w:rsid w:val="00EB4CD7"/>
    <w:rsid w:val="00EB535B"/>
    <w:rsid w:val="00EC5309"/>
    <w:rsid w:val="00ED549D"/>
    <w:rsid w:val="00ED5E10"/>
    <w:rsid w:val="00ED76BE"/>
    <w:rsid w:val="00ED7FB5"/>
    <w:rsid w:val="00EE00E9"/>
    <w:rsid w:val="00EE1262"/>
    <w:rsid w:val="00EF1AAA"/>
    <w:rsid w:val="00EF619B"/>
    <w:rsid w:val="00F00B55"/>
    <w:rsid w:val="00F02AD1"/>
    <w:rsid w:val="00F04DF5"/>
    <w:rsid w:val="00F051FE"/>
    <w:rsid w:val="00F066D3"/>
    <w:rsid w:val="00F10B9B"/>
    <w:rsid w:val="00F21627"/>
    <w:rsid w:val="00F21A58"/>
    <w:rsid w:val="00F23E2D"/>
    <w:rsid w:val="00F253CC"/>
    <w:rsid w:val="00F37106"/>
    <w:rsid w:val="00F41E24"/>
    <w:rsid w:val="00F44E25"/>
    <w:rsid w:val="00F506FF"/>
    <w:rsid w:val="00F519CF"/>
    <w:rsid w:val="00F525B7"/>
    <w:rsid w:val="00F56BA5"/>
    <w:rsid w:val="00F56ECB"/>
    <w:rsid w:val="00F5784C"/>
    <w:rsid w:val="00F60E22"/>
    <w:rsid w:val="00F617A1"/>
    <w:rsid w:val="00F63542"/>
    <w:rsid w:val="00F75454"/>
    <w:rsid w:val="00F77208"/>
    <w:rsid w:val="00F81395"/>
    <w:rsid w:val="00F81BB8"/>
    <w:rsid w:val="00F9021A"/>
    <w:rsid w:val="00F90C64"/>
    <w:rsid w:val="00F917D1"/>
    <w:rsid w:val="00F94FCC"/>
    <w:rsid w:val="00F9653B"/>
    <w:rsid w:val="00FA1126"/>
    <w:rsid w:val="00FB3876"/>
    <w:rsid w:val="00FB62CF"/>
    <w:rsid w:val="00FB7BEE"/>
    <w:rsid w:val="00FC133D"/>
    <w:rsid w:val="00FC22EA"/>
    <w:rsid w:val="00FC2F58"/>
    <w:rsid w:val="00FC7DFE"/>
    <w:rsid w:val="00FD0835"/>
    <w:rsid w:val="00FD24CD"/>
    <w:rsid w:val="00FD3C3B"/>
    <w:rsid w:val="00FD4886"/>
    <w:rsid w:val="00FE07DD"/>
    <w:rsid w:val="00FE4789"/>
    <w:rsid w:val="00FE54AB"/>
    <w:rsid w:val="00FE6B45"/>
    <w:rsid w:val="00FF55F3"/>
    <w:rsid w:val="00FF5851"/>
    <w:rsid w:val="00FF70CE"/>
    <w:rsid w:val="00FF7B79"/>
    <w:rsid w:val="00FF7CE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FB7BEE"/>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466188"/>
    <w:rPr>
      <w:sz w:val="20"/>
      <w:szCs w:val="20"/>
    </w:rPr>
  </w:style>
  <w:style w:type="character" w:customStyle="1" w:styleId="CommentTextChar">
    <w:name w:val="Comment Text Char"/>
    <w:basedOn w:val="DefaultParagraphFont"/>
    <w:link w:val="CommentText"/>
    <w:uiPriority w:val="99"/>
    <w:rsid w:val="00466188"/>
    <w:rPr>
      <w:lang w:val="en-US" w:eastAsia="en-US"/>
    </w:rPr>
  </w:style>
  <w:style w:type="paragraph" w:styleId="CommentSubject">
    <w:name w:val="annotation subject"/>
    <w:basedOn w:val="CommentText"/>
    <w:next w:val="CommentText"/>
    <w:link w:val="CommentSubjectChar"/>
    <w:uiPriority w:val="99"/>
    <w:semiHidden/>
    <w:unhideWhenUsed/>
    <w:rsid w:val="00466188"/>
    <w:rPr>
      <w:b/>
      <w:bCs/>
    </w:rPr>
  </w:style>
  <w:style w:type="character" w:customStyle="1" w:styleId="CommentSubjectChar">
    <w:name w:val="Comment Subject Char"/>
    <w:basedOn w:val="CommentTextChar"/>
    <w:link w:val="CommentSubject"/>
    <w:uiPriority w:val="99"/>
    <w:semiHidden/>
    <w:rsid w:val="00466188"/>
    <w:rPr>
      <w:b/>
      <w:bCs/>
      <w:lang w:val="en-US" w:eastAsia="en-US"/>
    </w:rPr>
  </w:style>
  <w:style w:type="paragraph" w:customStyle="1" w:styleId="paragraph">
    <w:name w:val="paragraph"/>
    <w:basedOn w:val="Normal"/>
    <w:rsid w:val="00C660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66062"/>
  </w:style>
  <w:style w:type="character" w:customStyle="1" w:styleId="eop">
    <w:name w:val="eop"/>
    <w:basedOn w:val="DefaultParagraphFont"/>
    <w:rsid w:val="00C6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5245B"/>
    <w:rsid w:val="002A3923"/>
    <w:rsid w:val="00323DD5"/>
    <w:rsid w:val="00335D68"/>
    <w:rsid w:val="00394049"/>
    <w:rsid w:val="003B0C71"/>
    <w:rsid w:val="003B795E"/>
    <w:rsid w:val="003D662D"/>
    <w:rsid w:val="003E2DD8"/>
    <w:rsid w:val="004B5BBB"/>
    <w:rsid w:val="004F2DF8"/>
    <w:rsid w:val="00517E2A"/>
    <w:rsid w:val="00550881"/>
    <w:rsid w:val="00593A21"/>
    <w:rsid w:val="005F14BF"/>
    <w:rsid w:val="006D3128"/>
    <w:rsid w:val="006F24A1"/>
    <w:rsid w:val="007C72C7"/>
    <w:rsid w:val="00822F26"/>
    <w:rsid w:val="00875B8A"/>
    <w:rsid w:val="008937F7"/>
    <w:rsid w:val="008953BC"/>
    <w:rsid w:val="00901503"/>
    <w:rsid w:val="00935CE5"/>
    <w:rsid w:val="009614B7"/>
    <w:rsid w:val="00996E5E"/>
    <w:rsid w:val="009A261B"/>
    <w:rsid w:val="009E4EBF"/>
    <w:rsid w:val="00A944E3"/>
    <w:rsid w:val="00AA2805"/>
    <w:rsid w:val="00AA2E17"/>
    <w:rsid w:val="00AC15A4"/>
    <w:rsid w:val="00AE628D"/>
    <w:rsid w:val="00B0336C"/>
    <w:rsid w:val="00BC4907"/>
    <w:rsid w:val="00D02EEA"/>
    <w:rsid w:val="00D06222"/>
    <w:rsid w:val="00D241E9"/>
    <w:rsid w:val="00D3126A"/>
    <w:rsid w:val="00D7750D"/>
    <w:rsid w:val="00DD629A"/>
    <w:rsid w:val="00E66075"/>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9305-D28E-465C-B2C5-612839C61241}">
  <ds:schemaRefs>
    <ds:schemaRef ds:uri="http://schemas.microsoft.com/sharepoint/v3/contenttype/forms"/>
  </ds:schemaRefs>
</ds:datastoreItem>
</file>

<file path=customXml/itemProps2.xml><?xml version="1.0" encoding="utf-8"?>
<ds:datastoreItem xmlns:ds="http://schemas.openxmlformats.org/officeDocument/2006/customXml" ds:itemID="{D7DD23D5-FC5A-4299-A107-11E5B1BA9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2365F-85D7-42B5-A352-E92FEDE1BE89}">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4.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3286</Words>
  <Characters>18733</Characters>
  <Application>Microsoft Office Word</Application>
  <DocSecurity>0</DocSecurity>
  <Lines>156</Lines>
  <Paragraphs>43</Paragraphs>
  <ScaleCrop>false</ScaleCrop>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2025-12-12T14:48:00Z</dcterms:created>
  <dcterms:modified xsi:type="dcterms:W3CDTF">2025-12-12T14:48:00Z</dcterms:modified>
</cp:coreProperties>
</file>