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06691" w14:textId="77777777" w:rsidR="00040C3A" w:rsidRPr="0090270B" w:rsidRDefault="00D306D1" w:rsidP="00627C9F">
      <w:pPr>
        <w:jc w:val="both"/>
        <w:rPr>
          <w:rFonts w:asciiTheme="majorHAnsi" w:hAnsiTheme="majorHAnsi" w:cs="Univers"/>
          <w:b/>
          <w:bCs/>
          <w:sz w:val="22"/>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58240" behindDoc="0" locked="0" layoutInCell="1" allowOverlap="1" wp14:anchorId="0A6BA128" wp14:editId="5E122E98">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F6E5C93">
              <v:rect id="Rectangle 1"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a7194" stroked="f" strokeweight="2pt" w14:anchorId="1B797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w:pict>
          </mc:Fallback>
        </mc:AlternateContent>
      </w:r>
      <w:r w:rsidR="003E6CA1" w:rsidRPr="0090270B">
        <w:rPr>
          <w:rFonts w:asciiTheme="majorHAnsi" w:hAnsiTheme="majorHAnsi"/>
          <w:noProof/>
          <w:sz w:val="22"/>
          <w:szCs w:val="22"/>
        </w:rPr>
        <mc:AlternateContent>
          <mc:Choice Requires="wps">
            <w:drawing>
              <wp:anchor distT="0" distB="0" distL="114300" distR="114300" simplePos="0" relativeHeight="251658244" behindDoc="0" locked="0" layoutInCell="1" allowOverlap="1" wp14:anchorId="7A92621B" wp14:editId="5CCAA915">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2621B"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v:textbox>
              </v:shape>
            </w:pict>
          </mc:Fallback>
        </mc:AlternateContent>
      </w:r>
      <w:r w:rsidR="00071174">
        <w:rPr>
          <w:rFonts w:asciiTheme="majorHAnsi" w:hAnsiTheme="majorHAnsi" w:cs="Univers"/>
          <w:b/>
          <w:bCs/>
          <w:sz w:val="22"/>
          <w:szCs w:val="22"/>
          <w:lang w:val="es-ES_tradnl"/>
        </w:rPr>
        <w:t xml:space="preserve"> </w:t>
      </w:r>
    </w:p>
    <w:p w14:paraId="751BC92D"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4601B0E5"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49EC0A3F" w14:textId="77777777" w:rsidR="005128E4" w:rsidRPr="0090270B" w:rsidRDefault="005128E4" w:rsidP="00040C3A">
      <w:pPr>
        <w:tabs>
          <w:tab w:val="center" w:pos="5400"/>
        </w:tabs>
        <w:suppressAutoHyphens/>
        <w:rPr>
          <w:rFonts w:asciiTheme="majorHAnsi" w:hAnsiTheme="majorHAnsi"/>
          <w:sz w:val="22"/>
          <w:szCs w:val="22"/>
          <w:lang w:val="es-ES_tradnl"/>
        </w:rPr>
      </w:pPr>
    </w:p>
    <w:p w14:paraId="7F51F08B" w14:textId="77777777" w:rsidR="005128E4" w:rsidRPr="0090270B" w:rsidRDefault="005128E4" w:rsidP="00040C3A">
      <w:pPr>
        <w:tabs>
          <w:tab w:val="center" w:pos="5400"/>
        </w:tabs>
        <w:suppressAutoHyphens/>
        <w:rPr>
          <w:rFonts w:asciiTheme="majorHAnsi" w:hAnsiTheme="majorHAnsi"/>
          <w:sz w:val="22"/>
          <w:szCs w:val="22"/>
          <w:lang w:val="es-ES_tradnl"/>
        </w:rPr>
      </w:pPr>
    </w:p>
    <w:p w14:paraId="058606A7" w14:textId="77777777" w:rsidR="005128E4" w:rsidRPr="0090270B" w:rsidRDefault="005128E4" w:rsidP="00040C3A">
      <w:pPr>
        <w:tabs>
          <w:tab w:val="center" w:pos="5400"/>
        </w:tabs>
        <w:suppressAutoHyphens/>
        <w:rPr>
          <w:rFonts w:asciiTheme="majorHAnsi" w:hAnsiTheme="majorHAnsi"/>
          <w:sz w:val="22"/>
          <w:szCs w:val="22"/>
          <w:lang w:val="es-ES_tradnl"/>
        </w:rPr>
      </w:pPr>
    </w:p>
    <w:p w14:paraId="01B9D56A"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513D0572"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2D06BA43"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762470A2"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6F01DDF3"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35ACB115"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D124B92"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01E9EAD2" w14:textId="77777777" w:rsidR="00040C3A" w:rsidRPr="0090270B" w:rsidRDefault="003D3BC2" w:rsidP="00040C3A">
      <w:pPr>
        <w:tabs>
          <w:tab w:val="center" w:pos="5400"/>
        </w:tabs>
        <w:suppressAutoHyphens/>
        <w:jc w:val="center"/>
        <w:rPr>
          <w:rFonts w:asciiTheme="majorHAnsi" w:hAnsiTheme="majorHAnsi"/>
          <w:sz w:val="22"/>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58241" behindDoc="0" locked="0" layoutInCell="1" allowOverlap="1" wp14:anchorId="65C56D75" wp14:editId="620511BF">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7328D9" w14:textId="458F2A46"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BE57B8">
                              <w:rPr>
                                <w:rFonts w:asciiTheme="majorHAnsi" w:hAnsiTheme="majorHAnsi" w:cs="Arial"/>
                                <w:b/>
                                <w:bCs/>
                                <w:color w:val="0D0D0D" w:themeColor="text1" w:themeTint="F2"/>
                                <w:sz w:val="36"/>
                                <w:szCs w:val="22"/>
                                <w:lang w:val="es-ES_tradnl"/>
                              </w:rPr>
                              <w:t>210</w:t>
                            </w:r>
                            <w:r w:rsidR="007B05C4">
                              <w:rPr>
                                <w:rFonts w:asciiTheme="majorHAnsi" w:hAnsiTheme="majorHAnsi" w:cs="Arial"/>
                                <w:b/>
                                <w:bCs/>
                                <w:color w:val="0D0D0D" w:themeColor="text1" w:themeTint="F2"/>
                                <w:sz w:val="36"/>
                                <w:szCs w:val="22"/>
                                <w:lang w:val="es-ES_tradnl"/>
                              </w:rPr>
                              <w:t>/</w:t>
                            </w:r>
                            <w:r w:rsidR="0008158C">
                              <w:rPr>
                                <w:rFonts w:asciiTheme="majorHAnsi" w:hAnsiTheme="majorHAnsi" w:cs="Arial"/>
                                <w:b/>
                                <w:bCs/>
                                <w:color w:val="0D0D0D" w:themeColor="text1" w:themeTint="F2"/>
                                <w:sz w:val="36"/>
                                <w:szCs w:val="22"/>
                                <w:lang w:val="es-ES_tradnl"/>
                              </w:rPr>
                              <w:t>2</w:t>
                            </w:r>
                            <w:r w:rsidR="00477887">
                              <w:rPr>
                                <w:rFonts w:asciiTheme="majorHAnsi" w:hAnsiTheme="majorHAnsi" w:cs="Arial"/>
                                <w:b/>
                                <w:bCs/>
                                <w:color w:val="0D0D0D" w:themeColor="text1" w:themeTint="F2"/>
                                <w:sz w:val="36"/>
                                <w:szCs w:val="22"/>
                                <w:lang w:val="es-ES_tradnl"/>
                              </w:rPr>
                              <w:t>5</w:t>
                            </w:r>
                          </w:p>
                          <w:p w14:paraId="45F30ECA" w14:textId="2310469C"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6B20FD">
                              <w:rPr>
                                <w:rFonts w:asciiTheme="majorHAnsi" w:hAnsiTheme="majorHAnsi" w:cs="Arial"/>
                                <w:b/>
                                <w:color w:val="0D0D0D" w:themeColor="text1" w:themeTint="F2"/>
                                <w:sz w:val="36"/>
                                <w:szCs w:val="22"/>
                                <w:lang w:val="es-ES_tradnl"/>
                              </w:rPr>
                              <w:t>2342-15</w:t>
                            </w:r>
                          </w:p>
                          <w:p w14:paraId="188B4303" w14:textId="4387E47C"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ADMISIBILIDAD</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0" w:name="_ftnref1"/>
                          </w:p>
                          <w:p w14:paraId="768F8782" w14:textId="155F01BE" w:rsidR="005B52B0" w:rsidRPr="0010736F" w:rsidRDefault="006B20FD" w:rsidP="00997BC5">
                            <w:pPr>
                              <w:spacing w:line="276" w:lineRule="auto"/>
                              <w:rPr>
                                <w:rFonts w:asciiTheme="majorHAnsi" w:hAnsiTheme="majorHAnsi" w:cs="Arial"/>
                                <w:color w:val="0D0D0D" w:themeColor="text1" w:themeTint="F2"/>
                                <w:szCs w:val="22"/>
                                <w:lang w:val="es-ES_tradnl"/>
                              </w:rPr>
                            </w:pPr>
                            <w:r w:rsidRPr="006B20FD">
                              <w:rPr>
                                <w:rFonts w:asciiTheme="majorHAnsi" w:hAnsiTheme="majorHAnsi" w:cs="Arial"/>
                                <w:color w:val="0D0D0D" w:themeColor="text1" w:themeTint="F2"/>
                                <w:szCs w:val="22"/>
                                <w:lang w:val="es-ES_tradnl"/>
                              </w:rPr>
                              <w:t>GERARDO MARÍA ARELLANO BECERRA Y FAMILIARES</w:t>
                            </w:r>
                          </w:p>
                          <w:bookmarkEnd w:id="0"/>
                          <w:p w14:paraId="0B9F7D22" w14:textId="3DAC75F9" w:rsidR="005B52B0" w:rsidRPr="00F56ECB" w:rsidRDefault="006B20FD" w:rsidP="00F56ECB">
                            <w:pPr>
                              <w:spacing w:line="276" w:lineRule="auto"/>
                              <w:rPr>
                                <w:rFonts w:asciiTheme="majorHAnsi" w:hAnsiTheme="majorHAnsi" w:cs="Arial"/>
                                <w:color w:val="0D0D0D" w:themeColor="text1" w:themeTint="F2"/>
                                <w:szCs w:val="22"/>
                                <w:lang w:val="es-ES"/>
                              </w:rPr>
                            </w:pPr>
                            <w:r>
                              <w:rPr>
                                <w:rFonts w:asciiTheme="majorHAnsi" w:hAnsiTheme="majorHAnsi" w:cs="Arial"/>
                                <w:color w:val="0D0D0D" w:themeColor="text1" w:themeTint="F2"/>
                                <w:szCs w:val="22"/>
                                <w:lang w:val="es-ES_tradnl"/>
                              </w:rPr>
                              <w:t>COLOMBIA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56D75" id="Text Box 5" o:spid="_x0000_s1027" type="#_x0000_t202" style="position:absolute;left:0;text-align:left;margin-left:106.5pt;margin-top:8.45pt;width:349.7pt;height:17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7D7328D9" w14:textId="458F2A46"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BE57B8">
                        <w:rPr>
                          <w:rFonts w:asciiTheme="majorHAnsi" w:hAnsiTheme="majorHAnsi" w:cs="Arial"/>
                          <w:b/>
                          <w:bCs/>
                          <w:color w:val="0D0D0D" w:themeColor="text1" w:themeTint="F2"/>
                          <w:sz w:val="36"/>
                          <w:szCs w:val="22"/>
                          <w:lang w:val="es-ES_tradnl"/>
                        </w:rPr>
                        <w:t>210</w:t>
                      </w:r>
                      <w:r w:rsidR="007B05C4">
                        <w:rPr>
                          <w:rFonts w:asciiTheme="majorHAnsi" w:hAnsiTheme="majorHAnsi" w:cs="Arial"/>
                          <w:b/>
                          <w:bCs/>
                          <w:color w:val="0D0D0D" w:themeColor="text1" w:themeTint="F2"/>
                          <w:sz w:val="36"/>
                          <w:szCs w:val="22"/>
                          <w:lang w:val="es-ES_tradnl"/>
                        </w:rPr>
                        <w:t>/</w:t>
                      </w:r>
                      <w:r w:rsidR="0008158C">
                        <w:rPr>
                          <w:rFonts w:asciiTheme="majorHAnsi" w:hAnsiTheme="majorHAnsi" w:cs="Arial"/>
                          <w:b/>
                          <w:bCs/>
                          <w:color w:val="0D0D0D" w:themeColor="text1" w:themeTint="F2"/>
                          <w:sz w:val="36"/>
                          <w:szCs w:val="22"/>
                          <w:lang w:val="es-ES_tradnl"/>
                        </w:rPr>
                        <w:t>2</w:t>
                      </w:r>
                      <w:r w:rsidR="00477887">
                        <w:rPr>
                          <w:rFonts w:asciiTheme="majorHAnsi" w:hAnsiTheme="majorHAnsi" w:cs="Arial"/>
                          <w:b/>
                          <w:bCs/>
                          <w:color w:val="0D0D0D" w:themeColor="text1" w:themeTint="F2"/>
                          <w:sz w:val="36"/>
                          <w:szCs w:val="22"/>
                          <w:lang w:val="es-ES_tradnl"/>
                        </w:rPr>
                        <w:t>5</w:t>
                      </w:r>
                    </w:p>
                    <w:p w14:paraId="45F30ECA" w14:textId="2310469C"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6B20FD">
                        <w:rPr>
                          <w:rFonts w:asciiTheme="majorHAnsi" w:hAnsiTheme="majorHAnsi" w:cs="Arial"/>
                          <w:b/>
                          <w:color w:val="0D0D0D" w:themeColor="text1" w:themeTint="F2"/>
                          <w:sz w:val="36"/>
                          <w:szCs w:val="22"/>
                          <w:lang w:val="es-ES_tradnl"/>
                        </w:rPr>
                        <w:t>2342-15</w:t>
                      </w:r>
                    </w:p>
                    <w:p w14:paraId="188B4303" w14:textId="4387E47C"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ADMISIBILIDAD</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1" w:name="_ftnref1"/>
                    </w:p>
                    <w:p w14:paraId="768F8782" w14:textId="155F01BE" w:rsidR="005B52B0" w:rsidRPr="0010736F" w:rsidRDefault="006B20FD" w:rsidP="00997BC5">
                      <w:pPr>
                        <w:spacing w:line="276" w:lineRule="auto"/>
                        <w:rPr>
                          <w:rFonts w:asciiTheme="majorHAnsi" w:hAnsiTheme="majorHAnsi" w:cs="Arial"/>
                          <w:color w:val="0D0D0D" w:themeColor="text1" w:themeTint="F2"/>
                          <w:szCs w:val="22"/>
                          <w:lang w:val="es-ES_tradnl"/>
                        </w:rPr>
                      </w:pPr>
                      <w:r w:rsidRPr="006B20FD">
                        <w:rPr>
                          <w:rFonts w:asciiTheme="majorHAnsi" w:hAnsiTheme="majorHAnsi" w:cs="Arial"/>
                          <w:color w:val="0D0D0D" w:themeColor="text1" w:themeTint="F2"/>
                          <w:szCs w:val="22"/>
                          <w:lang w:val="es-ES_tradnl"/>
                        </w:rPr>
                        <w:t>GERARDO MARÍA ARELLANO BECERRA Y FAMILIARES</w:t>
                      </w:r>
                    </w:p>
                    <w:bookmarkEnd w:id="1"/>
                    <w:p w14:paraId="0B9F7D22" w14:textId="3DAC75F9" w:rsidR="005B52B0" w:rsidRPr="00F56ECB" w:rsidRDefault="006B20FD" w:rsidP="00F56ECB">
                      <w:pPr>
                        <w:spacing w:line="276" w:lineRule="auto"/>
                        <w:rPr>
                          <w:rFonts w:asciiTheme="majorHAnsi" w:hAnsiTheme="majorHAnsi" w:cs="Arial"/>
                          <w:color w:val="0D0D0D" w:themeColor="text1" w:themeTint="F2"/>
                          <w:szCs w:val="22"/>
                          <w:lang w:val="es-ES"/>
                        </w:rPr>
                      </w:pPr>
                      <w:r>
                        <w:rPr>
                          <w:rFonts w:asciiTheme="majorHAnsi" w:hAnsiTheme="majorHAnsi" w:cs="Arial"/>
                          <w:color w:val="0D0D0D" w:themeColor="text1" w:themeTint="F2"/>
                          <w:szCs w:val="22"/>
                          <w:lang w:val="es-ES_tradnl"/>
                        </w:rPr>
                        <w:t>COLOMBIA</w:t>
                      </w:r>
                    </w:p>
                  </w:txbxContent>
                </v:textbox>
              </v:shape>
            </w:pict>
          </mc:Fallback>
        </mc:AlternateContent>
      </w:r>
      <w:r w:rsidR="004E2649" w:rsidRPr="0090270B">
        <w:rPr>
          <w:rFonts w:asciiTheme="majorHAnsi" w:hAnsiTheme="majorHAnsi"/>
          <w:noProof/>
          <w:sz w:val="22"/>
          <w:szCs w:val="22"/>
        </w:rPr>
        <mc:AlternateContent>
          <mc:Choice Requires="wps">
            <w:drawing>
              <wp:anchor distT="0" distB="0" distL="114300" distR="114300" simplePos="0" relativeHeight="251658243" behindDoc="0" locked="0" layoutInCell="1" allowOverlap="1" wp14:anchorId="7786A9F8" wp14:editId="04338A48">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33871B" w14:textId="158C1A5C" w:rsidR="00627C9F" w:rsidRPr="00BE57B8" w:rsidRDefault="00834D49" w:rsidP="007A5817">
                            <w:pPr>
                              <w:spacing w:line="276" w:lineRule="auto"/>
                              <w:jc w:val="right"/>
                              <w:rPr>
                                <w:rFonts w:asciiTheme="minorHAnsi" w:hAnsiTheme="minorHAnsi"/>
                                <w:color w:val="FFFFFF" w:themeColor="background1"/>
                                <w:sz w:val="22"/>
                                <w:lang w:val="es-ES"/>
                              </w:rPr>
                            </w:pPr>
                            <w:r w:rsidRPr="00BE57B8">
                              <w:rPr>
                                <w:rFonts w:asciiTheme="minorHAnsi" w:hAnsiTheme="minorHAnsi"/>
                                <w:color w:val="FFFFFF" w:themeColor="background1"/>
                                <w:sz w:val="22"/>
                                <w:lang w:val="es-ES"/>
                              </w:rPr>
                              <w:t>OEA/Ser.L/V/II</w:t>
                            </w:r>
                          </w:p>
                          <w:p w14:paraId="71D2D5D2" w14:textId="38A6928C" w:rsidR="00627C9F" w:rsidRPr="00BE57B8" w:rsidRDefault="00627C9F" w:rsidP="007A5817">
                            <w:pPr>
                              <w:spacing w:line="276" w:lineRule="auto"/>
                              <w:jc w:val="right"/>
                              <w:rPr>
                                <w:rFonts w:asciiTheme="minorHAnsi" w:hAnsiTheme="minorHAnsi"/>
                                <w:color w:val="FFFFFF" w:themeColor="background1"/>
                                <w:sz w:val="22"/>
                                <w:lang w:val="es-ES"/>
                              </w:rPr>
                            </w:pPr>
                            <w:r w:rsidRPr="00BE57B8">
                              <w:rPr>
                                <w:rFonts w:asciiTheme="minorHAnsi" w:hAnsiTheme="minorHAnsi"/>
                                <w:color w:val="FFFFFF" w:themeColor="background1"/>
                                <w:sz w:val="22"/>
                                <w:lang w:val="es-ES"/>
                              </w:rPr>
                              <w:t>Doc.</w:t>
                            </w:r>
                            <w:r w:rsidR="00BE57B8" w:rsidRPr="00BE57B8">
                              <w:rPr>
                                <w:rFonts w:asciiTheme="minorHAnsi" w:hAnsiTheme="minorHAnsi"/>
                                <w:color w:val="FFFFFF" w:themeColor="background1"/>
                                <w:sz w:val="22"/>
                                <w:lang w:val="es-ES"/>
                              </w:rPr>
                              <w:t xml:space="preserve"> </w:t>
                            </w:r>
                            <w:r w:rsidR="00BE57B8">
                              <w:rPr>
                                <w:rFonts w:asciiTheme="minorHAnsi" w:hAnsiTheme="minorHAnsi"/>
                                <w:color w:val="FFFFFF" w:themeColor="background1"/>
                                <w:sz w:val="22"/>
                                <w:lang w:val="es-ES"/>
                              </w:rPr>
                              <w:t>221</w:t>
                            </w:r>
                            <w:r w:rsidR="002335E5" w:rsidRPr="00BE57B8">
                              <w:rPr>
                                <w:rFonts w:asciiTheme="minorHAnsi" w:hAnsiTheme="minorHAnsi"/>
                                <w:color w:val="FFFFFF" w:themeColor="background1"/>
                                <w:sz w:val="22"/>
                                <w:lang w:val="es-ES"/>
                              </w:rPr>
                              <w:t xml:space="preserve"> </w:t>
                            </w:r>
                          </w:p>
                          <w:p w14:paraId="4061DBBD" w14:textId="54C1D43D" w:rsidR="00627C9F" w:rsidRPr="00C25ADB" w:rsidRDefault="00BE57B8"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14 octubre</w:t>
                            </w:r>
                            <w:r w:rsidR="007B05C4" w:rsidRPr="00C25ADB">
                              <w:rPr>
                                <w:rFonts w:asciiTheme="minorHAnsi" w:hAnsiTheme="minorHAnsi"/>
                                <w:color w:val="FFFFFF" w:themeColor="background1"/>
                                <w:sz w:val="22"/>
                                <w:lang w:val="es-PA"/>
                              </w:rPr>
                              <w:t xml:space="preserve"> </w:t>
                            </w:r>
                            <w:r w:rsidR="00627C9F" w:rsidRPr="00C25ADB">
                              <w:rPr>
                                <w:rFonts w:asciiTheme="minorHAnsi" w:hAnsiTheme="minorHAnsi"/>
                                <w:color w:val="FFFFFF" w:themeColor="background1"/>
                                <w:sz w:val="22"/>
                                <w:lang w:val="es-PA"/>
                              </w:rPr>
                              <w:t>20</w:t>
                            </w:r>
                            <w:r w:rsidR="00C23BA4" w:rsidRPr="00C25ADB">
                              <w:rPr>
                                <w:rFonts w:asciiTheme="minorHAnsi" w:hAnsiTheme="minorHAnsi"/>
                                <w:color w:val="FFFFFF" w:themeColor="background1"/>
                                <w:sz w:val="22"/>
                                <w:lang w:val="es-PA"/>
                              </w:rPr>
                              <w:t>2</w:t>
                            </w:r>
                            <w:r w:rsidR="00477887">
                              <w:rPr>
                                <w:rFonts w:asciiTheme="minorHAnsi" w:hAnsiTheme="minorHAnsi"/>
                                <w:color w:val="FFFFFF" w:themeColor="background1"/>
                                <w:sz w:val="22"/>
                                <w:lang w:val="es-PA"/>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6A9F8" id="Text Box 8" o:spid="_x0000_s1028" type="#_x0000_t202" style="position:absolute;left:0;text-align:left;margin-left:-27pt;margin-top:12.95pt;width:109.5pt;height:108.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3633871B" w14:textId="158C1A5C" w:rsidR="00627C9F" w:rsidRPr="00BE57B8" w:rsidRDefault="00834D49" w:rsidP="007A5817">
                      <w:pPr>
                        <w:spacing w:line="276" w:lineRule="auto"/>
                        <w:jc w:val="right"/>
                        <w:rPr>
                          <w:rFonts w:asciiTheme="minorHAnsi" w:hAnsiTheme="minorHAnsi"/>
                          <w:color w:val="FFFFFF" w:themeColor="background1"/>
                          <w:sz w:val="22"/>
                          <w:lang w:val="es-ES"/>
                        </w:rPr>
                      </w:pPr>
                      <w:r w:rsidRPr="00BE57B8">
                        <w:rPr>
                          <w:rFonts w:asciiTheme="minorHAnsi" w:hAnsiTheme="minorHAnsi"/>
                          <w:color w:val="FFFFFF" w:themeColor="background1"/>
                          <w:sz w:val="22"/>
                          <w:lang w:val="es-ES"/>
                        </w:rPr>
                        <w:t>OEA/Ser.L/V/II</w:t>
                      </w:r>
                    </w:p>
                    <w:p w14:paraId="71D2D5D2" w14:textId="38A6928C" w:rsidR="00627C9F" w:rsidRPr="00BE57B8" w:rsidRDefault="00627C9F" w:rsidP="007A5817">
                      <w:pPr>
                        <w:spacing w:line="276" w:lineRule="auto"/>
                        <w:jc w:val="right"/>
                        <w:rPr>
                          <w:rFonts w:asciiTheme="minorHAnsi" w:hAnsiTheme="minorHAnsi"/>
                          <w:color w:val="FFFFFF" w:themeColor="background1"/>
                          <w:sz w:val="22"/>
                          <w:lang w:val="es-ES"/>
                        </w:rPr>
                      </w:pPr>
                      <w:r w:rsidRPr="00BE57B8">
                        <w:rPr>
                          <w:rFonts w:asciiTheme="minorHAnsi" w:hAnsiTheme="minorHAnsi"/>
                          <w:color w:val="FFFFFF" w:themeColor="background1"/>
                          <w:sz w:val="22"/>
                          <w:lang w:val="es-ES"/>
                        </w:rPr>
                        <w:t>Doc.</w:t>
                      </w:r>
                      <w:r w:rsidR="00BE57B8" w:rsidRPr="00BE57B8">
                        <w:rPr>
                          <w:rFonts w:asciiTheme="minorHAnsi" w:hAnsiTheme="minorHAnsi"/>
                          <w:color w:val="FFFFFF" w:themeColor="background1"/>
                          <w:sz w:val="22"/>
                          <w:lang w:val="es-ES"/>
                        </w:rPr>
                        <w:t xml:space="preserve"> </w:t>
                      </w:r>
                      <w:r w:rsidR="00BE57B8">
                        <w:rPr>
                          <w:rFonts w:asciiTheme="minorHAnsi" w:hAnsiTheme="minorHAnsi"/>
                          <w:color w:val="FFFFFF" w:themeColor="background1"/>
                          <w:sz w:val="22"/>
                          <w:lang w:val="es-ES"/>
                        </w:rPr>
                        <w:t>221</w:t>
                      </w:r>
                      <w:r w:rsidR="002335E5" w:rsidRPr="00BE57B8">
                        <w:rPr>
                          <w:rFonts w:asciiTheme="minorHAnsi" w:hAnsiTheme="minorHAnsi"/>
                          <w:color w:val="FFFFFF" w:themeColor="background1"/>
                          <w:sz w:val="22"/>
                          <w:lang w:val="es-ES"/>
                        </w:rPr>
                        <w:t xml:space="preserve"> </w:t>
                      </w:r>
                    </w:p>
                    <w:p w14:paraId="4061DBBD" w14:textId="54C1D43D" w:rsidR="00627C9F" w:rsidRPr="00C25ADB" w:rsidRDefault="00BE57B8"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14 octubre</w:t>
                      </w:r>
                      <w:r w:rsidR="007B05C4" w:rsidRPr="00C25ADB">
                        <w:rPr>
                          <w:rFonts w:asciiTheme="minorHAnsi" w:hAnsiTheme="minorHAnsi"/>
                          <w:color w:val="FFFFFF" w:themeColor="background1"/>
                          <w:sz w:val="22"/>
                          <w:lang w:val="es-PA"/>
                        </w:rPr>
                        <w:t xml:space="preserve"> </w:t>
                      </w:r>
                      <w:r w:rsidR="00627C9F" w:rsidRPr="00C25ADB">
                        <w:rPr>
                          <w:rFonts w:asciiTheme="minorHAnsi" w:hAnsiTheme="minorHAnsi"/>
                          <w:color w:val="FFFFFF" w:themeColor="background1"/>
                          <w:sz w:val="22"/>
                          <w:lang w:val="es-PA"/>
                        </w:rPr>
                        <w:t>20</w:t>
                      </w:r>
                      <w:r w:rsidR="00C23BA4" w:rsidRPr="00C25ADB">
                        <w:rPr>
                          <w:rFonts w:asciiTheme="minorHAnsi" w:hAnsiTheme="minorHAnsi"/>
                          <w:color w:val="FFFFFF" w:themeColor="background1"/>
                          <w:sz w:val="22"/>
                          <w:lang w:val="es-PA"/>
                        </w:rPr>
                        <w:t>2</w:t>
                      </w:r>
                      <w:r w:rsidR="00477887">
                        <w:rPr>
                          <w:rFonts w:asciiTheme="minorHAnsi" w:hAnsiTheme="minorHAnsi"/>
                          <w:color w:val="FFFFFF" w:themeColor="background1"/>
                          <w:sz w:val="22"/>
                          <w:lang w:val="es-PA"/>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05E23869"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29AB783"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47F033C" w14:textId="77777777" w:rsidR="00040C3A" w:rsidRPr="0090270B" w:rsidRDefault="00040C3A" w:rsidP="00040C3A">
      <w:pPr>
        <w:tabs>
          <w:tab w:val="center" w:pos="5400"/>
        </w:tabs>
        <w:suppressAutoHyphens/>
        <w:jc w:val="center"/>
        <w:rPr>
          <w:rFonts w:asciiTheme="majorHAnsi" w:hAnsiTheme="majorHAnsi" w:cs="Arial"/>
          <w:sz w:val="22"/>
          <w:szCs w:val="22"/>
          <w:lang w:val="es-ES_tradnl"/>
        </w:rPr>
      </w:pPr>
    </w:p>
    <w:p w14:paraId="67ABD981"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46C4195B"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C0D9CAF"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140E39A"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16878DE"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FF1A208"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3E1EE64"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2D8331F2"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1D1FCC8F"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7F753E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65AA979"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F2457A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043939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B80B26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34846D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6D2C63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F0B7F5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721893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C99136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78A919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A001DA7"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17E7AA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C34B449"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CF516E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17C999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41C6754"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58242" behindDoc="0" locked="0" layoutInCell="1" allowOverlap="1" wp14:anchorId="484C90F2" wp14:editId="3C6174DF">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E1DD7" w14:textId="323F33CD"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BE57B8">
                              <w:rPr>
                                <w:rFonts w:asciiTheme="majorHAnsi" w:hAnsiTheme="majorHAnsi"/>
                                <w:color w:val="0D0D0D" w:themeColor="text1" w:themeTint="F2"/>
                                <w:sz w:val="18"/>
                                <w:szCs w:val="22"/>
                                <w:lang w:val="es-ES"/>
                              </w:rPr>
                              <w:t>14</w:t>
                            </w:r>
                            <w:r w:rsidRPr="00890650">
                              <w:rPr>
                                <w:rFonts w:asciiTheme="majorHAnsi" w:hAnsiTheme="majorHAnsi"/>
                                <w:color w:val="0D0D0D" w:themeColor="text1" w:themeTint="F2"/>
                                <w:sz w:val="18"/>
                                <w:szCs w:val="22"/>
                                <w:lang w:val="es-ES"/>
                              </w:rPr>
                              <w:t xml:space="preserve"> de </w:t>
                            </w:r>
                            <w:r w:rsidR="00BE57B8">
                              <w:rPr>
                                <w:rFonts w:asciiTheme="majorHAnsi" w:hAnsiTheme="majorHAnsi"/>
                                <w:color w:val="0D0D0D" w:themeColor="text1" w:themeTint="F2"/>
                                <w:sz w:val="18"/>
                                <w:szCs w:val="22"/>
                                <w:lang w:val="es-ES"/>
                              </w:rPr>
                              <w:t>octubre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477887">
                              <w:rPr>
                                <w:rFonts w:asciiTheme="majorHAnsi" w:hAnsiTheme="majorHAnsi"/>
                                <w:color w:val="0D0D0D" w:themeColor="text1" w:themeTint="F2"/>
                                <w:sz w:val="18"/>
                                <w:szCs w:val="22"/>
                                <w:lang w:val="es-ES"/>
                              </w:rPr>
                              <w:t>5</w:t>
                            </w:r>
                            <w:r w:rsidR="0024110E">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C90F2" id="Text Box 7" o:spid="_x0000_s1029" type="#_x0000_t202" style="position:absolute;left:0;text-align:left;margin-left:105.65pt;margin-top:1.8pt;width:388.5pt;height:5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179E1DD7" w14:textId="323F33CD"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BE57B8">
                        <w:rPr>
                          <w:rFonts w:asciiTheme="majorHAnsi" w:hAnsiTheme="majorHAnsi"/>
                          <w:color w:val="0D0D0D" w:themeColor="text1" w:themeTint="F2"/>
                          <w:sz w:val="18"/>
                          <w:szCs w:val="22"/>
                          <w:lang w:val="es-ES"/>
                        </w:rPr>
                        <w:t>14</w:t>
                      </w:r>
                      <w:r w:rsidRPr="00890650">
                        <w:rPr>
                          <w:rFonts w:asciiTheme="majorHAnsi" w:hAnsiTheme="majorHAnsi"/>
                          <w:color w:val="0D0D0D" w:themeColor="text1" w:themeTint="F2"/>
                          <w:sz w:val="18"/>
                          <w:szCs w:val="22"/>
                          <w:lang w:val="es-ES"/>
                        </w:rPr>
                        <w:t xml:space="preserve"> de </w:t>
                      </w:r>
                      <w:r w:rsidR="00BE57B8">
                        <w:rPr>
                          <w:rFonts w:asciiTheme="majorHAnsi" w:hAnsiTheme="majorHAnsi"/>
                          <w:color w:val="0D0D0D" w:themeColor="text1" w:themeTint="F2"/>
                          <w:sz w:val="18"/>
                          <w:szCs w:val="22"/>
                          <w:lang w:val="es-ES"/>
                        </w:rPr>
                        <w:t>octubre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477887">
                        <w:rPr>
                          <w:rFonts w:asciiTheme="majorHAnsi" w:hAnsiTheme="majorHAnsi"/>
                          <w:color w:val="0D0D0D" w:themeColor="text1" w:themeTint="F2"/>
                          <w:sz w:val="18"/>
                          <w:szCs w:val="22"/>
                          <w:lang w:val="es-ES"/>
                        </w:rPr>
                        <w:t>5</w:t>
                      </w:r>
                      <w:r w:rsidR="0024110E">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30B4F3EF"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8FED95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3E3A276"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EDC5EE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730F205"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18"/>
          <w:szCs w:val="22"/>
        </w:rPr>
        <mc:AlternateContent>
          <mc:Choice Requires="wps">
            <w:drawing>
              <wp:anchor distT="0" distB="0" distL="114300" distR="114300" simplePos="0" relativeHeight="251658245" behindDoc="0" locked="0" layoutInCell="1" allowOverlap="1" wp14:anchorId="01CD6A81" wp14:editId="407B8206">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2C4272" w14:textId="77777777" w:rsidR="00BE57B8"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BE57B8" w:rsidRPr="00BE57B8">
                              <w:rPr>
                                <w:rFonts w:asciiTheme="majorHAnsi" w:hAnsiTheme="majorHAnsi"/>
                                <w:color w:val="595959" w:themeColor="text1" w:themeTint="A6"/>
                                <w:sz w:val="18"/>
                                <w:szCs w:val="18"/>
                                <w:lang w:val="pt-BR"/>
                              </w:rPr>
                              <w:t>210</w:t>
                            </w:r>
                            <w:r w:rsidR="007B05C4" w:rsidRPr="00BE57B8">
                              <w:rPr>
                                <w:rFonts w:asciiTheme="majorHAnsi" w:hAnsiTheme="majorHAnsi"/>
                                <w:color w:val="595959" w:themeColor="text1" w:themeTint="A6"/>
                                <w:sz w:val="18"/>
                                <w:szCs w:val="18"/>
                                <w:lang w:val="pt-BR"/>
                              </w:rPr>
                              <w:t>/</w:t>
                            </w:r>
                            <w:r w:rsidR="000702C1" w:rsidRPr="00BE57B8">
                              <w:rPr>
                                <w:rFonts w:asciiTheme="majorHAnsi" w:hAnsiTheme="majorHAnsi"/>
                                <w:color w:val="595959" w:themeColor="text1" w:themeTint="A6"/>
                                <w:sz w:val="18"/>
                                <w:szCs w:val="18"/>
                                <w:lang w:val="pt-BR"/>
                              </w:rPr>
                              <w:t>2</w:t>
                            </w:r>
                            <w:r w:rsidR="0024110E" w:rsidRPr="00BE57B8">
                              <w:rPr>
                                <w:rFonts w:asciiTheme="majorHAnsi" w:hAnsiTheme="majorHAnsi"/>
                                <w:color w:val="595959" w:themeColor="text1" w:themeTint="A6"/>
                                <w:sz w:val="18"/>
                                <w:szCs w:val="18"/>
                                <w:lang w:val="pt-BR"/>
                              </w:rPr>
                              <w:t>5</w:t>
                            </w:r>
                            <w:r w:rsidRPr="00BE57B8">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24110E">
                              <w:rPr>
                                <w:rFonts w:asciiTheme="majorHAnsi" w:hAnsiTheme="majorHAnsi"/>
                                <w:color w:val="595959" w:themeColor="text1" w:themeTint="A6"/>
                                <w:sz w:val="18"/>
                                <w:szCs w:val="18"/>
                                <w:lang w:val="es-ES"/>
                              </w:rPr>
                              <w:t>2342</w:t>
                            </w:r>
                            <w:r w:rsidR="000433C9">
                              <w:rPr>
                                <w:rFonts w:asciiTheme="majorHAnsi" w:hAnsiTheme="majorHAnsi"/>
                                <w:color w:val="595959" w:themeColor="text1" w:themeTint="A6"/>
                                <w:sz w:val="18"/>
                                <w:szCs w:val="18"/>
                                <w:lang w:val="es-ES"/>
                              </w:rPr>
                              <w:t>-</w:t>
                            </w:r>
                            <w:r w:rsidR="004328BD">
                              <w:rPr>
                                <w:rFonts w:asciiTheme="majorHAnsi" w:hAnsiTheme="majorHAnsi"/>
                                <w:color w:val="595959" w:themeColor="text1" w:themeTint="A6"/>
                                <w:sz w:val="18"/>
                                <w:szCs w:val="18"/>
                                <w:lang w:val="es-ES"/>
                              </w:rPr>
                              <w:t>15</w:t>
                            </w:r>
                            <w:r w:rsidR="000433C9">
                              <w:rPr>
                                <w:rFonts w:asciiTheme="majorHAnsi" w:hAnsiTheme="majorHAnsi"/>
                                <w:color w:val="595959" w:themeColor="text1" w:themeTint="A6"/>
                                <w:sz w:val="18"/>
                                <w:szCs w:val="18"/>
                                <w:lang w:val="es-ES"/>
                              </w:rPr>
                              <w:t xml:space="preserve">. </w:t>
                            </w:r>
                            <w:r w:rsidRPr="00890650">
                              <w:rPr>
                                <w:rFonts w:asciiTheme="majorHAnsi" w:hAnsiTheme="majorHAnsi"/>
                                <w:color w:val="595959" w:themeColor="text1" w:themeTint="A6"/>
                                <w:sz w:val="18"/>
                                <w:szCs w:val="18"/>
                                <w:lang w:val="es-ES_tradnl"/>
                              </w:rPr>
                              <w:t xml:space="preserve">Admisibilidad. </w:t>
                            </w:r>
                          </w:p>
                          <w:p w14:paraId="7FD77785" w14:textId="3349C9B3" w:rsidR="00113F73" w:rsidRPr="007B05C4" w:rsidRDefault="004328BD"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Gerardo María Arellano Becerra y familiares.</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_tradnl"/>
                              </w:rPr>
                              <w:t>Colombia</w:t>
                            </w:r>
                            <w:r w:rsidR="00113F73" w:rsidRPr="00890650">
                              <w:rPr>
                                <w:rFonts w:asciiTheme="majorHAnsi" w:hAnsiTheme="majorHAnsi"/>
                                <w:color w:val="595959" w:themeColor="text1" w:themeTint="A6"/>
                                <w:sz w:val="18"/>
                                <w:szCs w:val="18"/>
                                <w:lang w:val="es-ES_tradnl"/>
                              </w:rPr>
                              <w:t xml:space="preserve">. </w:t>
                            </w:r>
                            <w:r w:rsidR="009B18E8">
                              <w:rPr>
                                <w:rFonts w:asciiTheme="majorHAnsi" w:hAnsiTheme="majorHAnsi"/>
                                <w:color w:val="595959" w:themeColor="text1" w:themeTint="A6"/>
                                <w:sz w:val="18"/>
                                <w:szCs w:val="18"/>
                                <w:lang w:val="es-ES"/>
                              </w:rPr>
                              <w:t>14</w:t>
                            </w:r>
                            <w:r w:rsidR="00461394">
                              <w:rPr>
                                <w:rFonts w:asciiTheme="majorHAnsi" w:hAnsiTheme="majorHAnsi"/>
                                <w:color w:val="595959" w:themeColor="text1" w:themeTint="A6"/>
                                <w:sz w:val="18"/>
                                <w:szCs w:val="18"/>
                                <w:lang w:val="es-ES"/>
                              </w:rPr>
                              <w:t xml:space="preserve"> de </w:t>
                            </w:r>
                            <w:r w:rsidR="009B18E8">
                              <w:rPr>
                                <w:rFonts w:asciiTheme="majorHAnsi" w:hAnsiTheme="majorHAnsi"/>
                                <w:color w:val="595959" w:themeColor="text1" w:themeTint="A6"/>
                                <w:sz w:val="18"/>
                                <w:szCs w:val="18"/>
                                <w:lang w:val="es-ES"/>
                              </w:rPr>
                              <w:t>octubre</w:t>
                            </w:r>
                            <w:r w:rsidR="00461394">
                              <w:rPr>
                                <w:rFonts w:asciiTheme="majorHAnsi" w:hAnsiTheme="majorHAnsi"/>
                                <w:color w:val="595959" w:themeColor="text1" w:themeTint="A6"/>
                                <w:sz w:val="18"/>
                                <w:szCs w:val="18"/>
                                <w:lang w:val="es-ES"/>
                              </w:rPr>
                              <w:t xml:space="preserve"> de 2025</w:t>
                            </w:r>
                            <w:r w:rsidR="00113F73" w:rsidRPr="007B05C4">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D6A81" id="Text Box 10" o:spid="_x0000_s1030" type="#_x0000_t202" style="position:absolute;left:0;text-align:left;margin-left:105pt;margin-top:.45pt;width:389.25pt;height:5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712C4272" w14:textId="77777777" w:rsidR="00BE57B8"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BE57B8" w:rsidRPr="00BE57B8">
                        <w:rPr>
                          <w:rFonts w:asciiTheme="majorHAnsi" w:hAnsiTheme="majorHAnsi"/>
                          <w:color w:val="595959" w:themeColor="text1" w:themeTint="A6"/>
                          <w:sz w:val="18"/>
                          <w:szCs w:val="18"/>
                          <w:lang w:val="pt-BR"/>
                        </w:rPr>
                        <w:t>210</w:t>
                      </w:r>
                      <w:r w:rsidR="007B05C4" w:rsidRPr="00BE57B8">
                        <w:rPr>
                          <w:rFonts w:asciiTheme="majorHAnsi" w:hAnsiTheme="majorHAnsi"/>
                          <w:color w:val="595959" w:themeColor="text1" w:themeTint="A6"/>
                          <w:sz w:val="18"/>
                          <w:szCs w:val="18"/>
                          <w:lang w:val="pt-BR"/>
                        </w:rPr>
                        <w:t>/</w:t>
                      </w:r>
                      <w:r w:rsidR="000702C1" w:rsidRPr="00BE57B8">
                        <w:rPr>
                          <w:rFonts w:asciiTheme="majorHAnsi" w:hAnsiTheme="majorHAnsi"/>
                          <w:color w:val="595959" w:themeColor="text1" w:themeTint="A6"/>
                          <w:sz w:val="18"/>
                          <w:szCs w:val="18"/>
                          <w:lang w:val="pt-BR"/>
                        </w:rPr>
                        <w:t>2</w:t>
                      </w:r>
                      <w:r w:rsidR="0024110E" w:rsidRPr="00BE57B8">
                        <w:rPr>
                          <w:rFonts w:asciiTheme="majorHAnsi" w:hAnsiTheme="majorHAnsi"/>
                          <w:color w:val="595959" w:themeColor="text1" w:themeTint="A6"/>
                          <w:sz w:val="18"/>
                          <w:szCs w:val="18"/>
                          <w:lang w:val="pt-BR"/>
                        </w:rPr>
                        <w:t>5</w:t>
                      </w:r>
                      <w:r w:rsidRPr="00BE57B8">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24110E">
                        <w:rPr>
                          <w:rFonts w:asciiTheme="majorHAnsi" w:hAnsiTheme="majorHAnsi"/>
                          <w:color w:val="595959" w:themeColor="text1" w:themeTint="A6"/>
                          <w:sz w:val="18"/>
                          <w:szCs w:val="18"/>
                          <w:lang w:val="es-ES"/>
                        </w:rPr>
                        <w:t>2342</w:t>
                      </w:r>
                      <w:r w:rsidR="000433C9">
                        <w:rPr>
                          <w:rFonts w:asciiTheme="majorHAnsi" w:hAnsiTheme="majorHAnsi"/>
                          <w:color w:val="595959" w:themeColor="text1" w:themeTint="A6"/>
                          <w:sz w:val="18"/>
                          <w:szCs w:val="18"/>
                          <w:lang w:val="es-ES"/>
                        </w:rPr>
                        <w:t>-</w:t>
                      </w:r>
                      <w:r w:rsidR="004328BD">
                        <w:rPr>
                          <w:rFonts w:asciiTheme="majorHAnsi" w:hAnsiTheme="majorHAnsi"/>
                          <w:color w:val="595959" w:themeColor="text1" w:themeTint="A6"/>
                          <w:sz w:val="18"/>
                          <w:szCs w:val="18"/>
                          <w:lang w:val="es-ES"/>
                        </w:rPr>
                        <w:t>15</w:t>
                      </w:r>
                      <w:r w:rsidR="000433C9">
                        <w:rPr>
                          <w:rFonts w:asciiTheme="majorHAnsi" w:hAnsiTheme="majorHAnsi"/>
                          <w:color w:val="595959" w:themeColor="text1" w:themeTint="A6"/>
                          <w:sz w:val="18"/>
                          <w:szCs w:val="18"/>
                          <w:lang w:val="es-ES"/>
                        </w:rPr>
                        <w:t xml:space="preserve">. </w:t>
                      </w:r>
                      <w:r w:rsidRPr="00890650">
                        <w:rPr>
                          <w:rFonts w:asciiTheme="majorHAnsi" w:hAnsiTheme="majorHAnsi"/>
                          <w:color w:val="595959" w:themeColor="text1" w:themeTint="A6"/>
                          <w:sz w:val="18"/>
                          <w:szCs w:val="18"/>
                          <w:lang w:val="es-ES_tradnl"/>
                        </w:rPr>
                        <w:t xml:space="preserve">Admisibilidad. </w:t>
                      </w:r>
                    </w:p>
                    <w:p w14:paraId="7FD77785" w14:textId="3349C9B3" w:rsidR="00113F73" w:rsidRPr="007B05C4" w:rsidRDefault="004328BD"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Gerardo María Arellano Becerra y familiares.</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_tradnl"/>
                        </w:rPr>
                        <w:t>Colombia</w:t>
                      </w:r>
                      <w:r w:rsidR="00113F73" w:rsidRPr="00890650">
                        <w:rPr>
                          <w:rFonts w:asciiTheme="majorHAnsi" w:hAnsiTheme="majorHAnsi"/>
                          <w:color w:val="595959" w:themeColor="text1" w:themeTint="A6"/>
                          <w:sz w:val="18"/>
                          <w:szCs w:val="18"/>
                          <w:lang w:val="es-ES_tradnl"/>
                        </w:rPr>
                        <w:t xml:space="preserve">. </w:t>
                      </w:r>
                      <w:r w:rsidR="009B18E8">
                        <w:rPr>
                          <w:rFonts w:asciiTheme="majorHAnsi" w:hAnsiTheme="majorHAnsi"/>
                          <w:color w:val="595959" w:themeColor="text1" w:themeTint="A6"/>
                          <w:sz w:val="18"/>
                          <w:szCs w:val="18"/>
                          <w:lang w:val="es-ES"/>
                        </w:rPr>
                        <w:t>14</w:t>
                      </w:r>
                      <w:r w:rsidR="00461394">
                        <w:rPr>
                          <w:rFonts w:asciiTheme="majorHAnsi" w:hAnsiTheme="majorHAnsi"/>
                          <w:color w:val="595959" w:themeColor="text1" w:themeTint="A6"/>
                          <w:sz w:val="18"/>
                          <w:szCs w:val="18"/>
                          <w:lang w:val="es-ES"/>
                        </w:rPr>
                        <w:t xml:space="preserve"> de </w:t>
                      </w:r>
                      <w:r w:rsidR="009B18E8">
                        <w:rPr>
                          <w:rFonts w:asciiTheme="majorHAnsi" w:hAnsiTheme="majorHAnsi"/>
                          <w:color w:val="595959" w:themeColor="text1" w:themeTint="A6"/>
                          <w:sz w:val="18"/>
                          <w:szCs w:val="18"/>
                          <w:lang w:val="es-ES"/>
                        </w:rPr>
                        <w:t>octubre</w:t>
                      </w:r>
                      <w:r w:rsidR="00461394">
                        <w:rPr>
                          <w:rFonts w:asciiTheme="majorHAnsi" w:hAnsiTheme="majorHAnsi"/>
                          <w:color w:val="595959" w:themeColor="text1" w:themeTint="A6"/>
                          <w:sz w:val="18"/>
                          <w:szCs w:val="18"/>
                          <w:lang w:val="es-ES"/>
                        </w:rPr>
                        <w:t xml:space="preserve"> de 2025</w:t>
                      </w:r>
                      <w:r w:rsidR="00113F73" w:rsidRPr="007B05C4">
                        <w:rPr>
                          <w:rFonts w:asciiTheme="majorHAnsi" w:hAnsiTheme="majorHAnsi"/>
                          <w:color w:val="595959" w:themeColor="text1" w:themeTint="A6"/>
                          <w:sz w:val="18"/>
                          <w:szCs w:val="18"/>
                          <w:lang w:val="es-ES"/>
                        </w:rPr>
                        <w:t>.</w:t>
                      </w:r>
                    </w:p>
                  </w:txbxContent>
                </v:textbox>
              </v:shape>
            </w:pict>
          </mc:Fallback>
        </mc:AlternateContent>
      </w:r>
    </w:p>
    <w:p w14:paraId="3BC1959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C9396CC" w14:textId="77777777" w:rsidR="0090270B" w:rsidRDefault="00D306D1" w:rsidP="005516A1">
      <w:pPr>
        <w:tabs>
          <w:tab w:val="center" w:pos="5400"/>
        </w:tabs>
        <w:suppressAutoHyphens/>
        <w:jc w:val="center"/>
        <w:rPr>
          <w:rFonts w:asciiTheme="majorHAnsi" w:hAnsiTheme="majorHAnsi"/>
          <w:b/>
          <w:sz w:val="20"/>
          <w:lang w:val="es-ES_tradnl"/>
        </w:rPr>
      </w:pPr>
      <w:r>
        <w:rPr>
          <w:rFonts w:asciiTheme="majorHAnsi" w:hAnsiTheme="majorHAnsi"/>
          <w:noProof/>
          <w:sz w:val="18"/>
          <w:szCs w:val="22"/>
        </w:rPr>
        <mc:AlternateContent>
          <mc:Choice Requires="wps">
            <w:drawing>
              <wp:anchor distT="0" distB="0" distL="114300" distR="114300" simplePos="0" relativeHeight="251658246" behindDoc="0" locked="0" layoutInCell="1" allowOverlap="1" wp14:anchorId="5D37EBA2" wp14:editId="16A8CB0E">
                <wp:simplePos x="0" y="0"/>
                <wp:positionH relativeFrom="column">
                  <wp:posOffset>1329690</wp:posOffset>
                </wp:positionH>
                <wp:positionV relativeFrom="paragraph">
                  <wp:posOffset>638497</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E85441" w14:textId="36B2F143" w:rsidR="00D72DC6" w:rsidRPr="00D72DC6" w:rsidRDefault="001004FE" w:rsidP="00F02AD1">
                            <w:pPr>
                              <w:rPr>
                                <w:color w:val="FFFFFF" w:themeColor="background1"/>
                                <w14:textFill>
                                  <w14:noFill/>
                                </w14:textFill>
                              </w:rPr>
                            </w:pPr>
                            <w:r>
                              <w:rPr>
                                <w:noProof/>
                                <w:color w:val="FFFFFF" w:themeColor="background1"/>
                              </w:rPr>
                              <w:drawing>
                                <wp:inline distT="0" distB="0" distL="0" distR="0" wp14:anchorId="09DE6F16" wp14:editId="0B7D3337">
                                  <wp:extent cx="1824355" cy="469265"/>
                                  <wp:effectExtent l="0" t="0" r="444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2"/>
                                          <a:stretch>
                                            <a:fillRect/>
                                          </a:stretch>
                                        </pic:blipFill>
                                        <pic:spPr>
                                          <a:xfrm>
                                            <a:off x="0" y="0"/>
                                            <a:ext cx="1824355" cy="4692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7EBA2" id="Text Box 9" o:spid="_x0000_s1031" type="#_x0000_t202" style="position:absolute;left:0;text-align:left;margin-left:104.7pt;margin-top:50.3pt;width:322.55pt;height:44.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94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" fillcolor="white [3201]" stroked="f" strokeweight=".5pt">
                <v:textbox>
                  <w:txbxContent>
                    <w:p w14:paraId="16E85441" w14:textId="36B2F143" w:rsidR="00D72DC6" w:rsidRPr="00D72DC6" w:rsidRDefault="001004FE" w:rsidP="00F02AD1">
                      <w:pPr>
                        <w:rPr>
                          <w:color w:val="FFFFFF" w:themeColor="background1"/>
                          <w14:textFill>
                            <w14:noFill/>
                          </w14:textFill>
                        </w:rPr>
                      </w:pPr>
                      <w:r>
                        <w:rPr>
                          <w:noProof/>
                          <w:color w:val="FFFFFF" w:themeColor="background1"/>
                        </w:rPr>
                        <w:drawing>
                          <wp:inline distT="0" distB="0" distL="0" distR="0" wp14:anchorId="09DE6F16" wp14:editId="0B7D3337">
                            <wp:extent cx="1824355" cy="469265"/>
                            <wp:effectExtent l="0" t="0" r="444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2"/>
                                    <a:stretch>
                                      <a:fillRect/>
                                    </a:stretch>
                                  </pic:blipFill>
                                  <pic:spPr>
                                    <a:xfrm>
                                      <a:off x="0" y="0"/>
                                      <a:ext cx="1824355" cy="469265"/>
                                    </a:xfrm>
                                    <a:prstGeom prst="rect">
                                      <a:avLst/>
                                    </a:prstGeom>
                                  </pic:spPr>
                                </pic:pic>
                              </a:graphicData>
                            </a:graphic>
                          </wp:inline>
                        </w:drawing>
                      </w:r>
                    </w:p>
                  </w:txbxContent>
                </v:textbox>
              </v:shape>
            </w:pict>
          </mc:Fallback>
        </mc:AlternateContent>
      </w:r>
      <w:r w:rsidRPr="00625030">
        <w:rPr>
          <w:rFonts w:asciiTheme="majorHAnsi" w:hAnsiTheme="majorHAnsi"/>
          <w:noProof/>
          <w:sz w:val="22"/>
          <w:szCs w:val="22"/>
        </w:rPr>
        <mc:AlternateContent>
          <mc:Choice Requires="wps">
            <w:drawing>
              <wp:anchor distT="0" distB="0" distL="114300" distR="114300" simplePos="0" relativeHeight="251658247" behindDoc="0" locked="0" layoutInCell="1" allowOverlap="1" wp14:anchorId="4BBB9917" wp14:editId="76ECDB32">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B9917" id="Text Box 4" o:spid="_x0000_s1032" type="#_x0000_t202" style="position:absolute;left:0;text-align:left;margin-left:-21.45pt;margin-top:72.05pt;width:93pt;height:26.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SE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TgwOjV1CuaN+e+hWITh5V1FT7kXAJ+Fp9qmPtM/4SB9tgMiHXuJsDf733+4jnkaStJw1tEsFD782&#10;wivOzDdLw/o5P6WRYJgOp2cXYzr4Y83yWGM39Q1QV3J6OZxMYsSjGUTtoX6htZ/HqKQSVlLsguMg&#10;3mC34fRsSDWfJxCtmxN4bxdORtexSXHkntsX4V0/l0gT/QDD1onpm/HssNHSwnyDoKs0u5HnjtWe&#10;f1rVNNL9sxLfguNzQh0ev9krAA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CiY7SEbAIAAEQFAAAOAAAAAAAAAAAA&#10;AAAAAC4CAABkcnMvZTJvRG9jLnhtbFBLAQItABQABgAIAAAAIQBdLTBP4gAAAAsBAAAPAAAAAAAA&#10;AAAAAAAAAMYEAABkcnMvZG93bnJldi54bWxQSwUGAAAAAAQABADzAAAA1QUAAAAA&#10;" filled="f" stroked="f" strokeweight=".5pt">
                <v:textbo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150CCFA7" w14:textId="77777777" w:rsidR="0070697F" w:rsidRDefault="004A6A54" w:rsidP="005516A1">
      <w:pPr>
        <w:tabs>
          <w:tab w:val="center" w:pos="5400"/>
        </w:tabs>
        <w:suppressAutoHyphens/>
        <w:jc w:val="center"/>
        <w:rPr>
          <w:rFonts w:asciiTheme="majorHAnsi" w:hAnsiTheme="majorHAnsi"/>
          <w:b/>
          <w:sz w:val="20"/>
          <w:lang w:val="es-ES_tradnl"/>
        </w:rPr>
        <w:sectPr w:rsidR="0070697F" w:rsidSect="00C054DF">
          <w:headerReference w:type="even" r:id="rId13"/>
          <w:headerReference w:type="default" r:id="rId14"/>
          <w:footerReference w:type="default" r:id="rId15"/>
          <w:footerReference w:type="first" r:id="rId16"/>
          <w:type w:val="oddPage"/>
          <w:pgSz w:w="12240" w:h="15840"/>
          <w:pgMar w:top="1440" w:right="1440" w:bottom="1440" w:left="1440" w:header="720" w:footer="720" w:gutter="0"/>
          <w:pgNumType w:start="0"/>
          <w:cols w:space="720"/>
          <w:titlePg/>
          <w:docGrid w:linePitch="326"/>
        </w:sectPr>
      </w:pPr>
      <w:r>
        <w:rPr>
          <w:rFonts w:asciiTheme="majorHAnsi" w:hAnsiTheme="majorHAnsi"/>
          <w:b/>
          <w:sz w:val="20"/>
          <w:lang w:val="es-ES_tradnl"/>
        </w:rPr>
        <w:tab/>
      </w:r>
    </w:p>
    <w:p w14:paraId="2786EE58" w14:textId="77777777" w:rsidR="003239B8" w:rsidRPr="000419AD" w:rsidRDefault="003239B8" w:rsidP="004A6A54">
      <w:pPr>
        <w:spacing w:after="240"/>
        <w:ind w:firstLine="720"/>
        <w:jc w:val="both"/>
        <w:rPr>
          <w:rFonts w:asciiTheme="majorHAnsi" w:hAnsiTheme="majorHAnsi"/>
          <w:b/>
          <w:bCs/>
          <w:sz w:val="20"/>
          <w:szCs w:val="20"/>
          <w:lang w:val="es-ES"/>
        </w:rPr>
      </w:pPr>
      <w:r w:rsidRPr="000419AD">
        <w:rPr>
          <w:rFonts w:asciiTheme="majorHAnsi" w:hAnsiTheme="majorHAnsi"/>
          <w:b/>
          <w:bCs/>
          <w:sz w:val="20"/>
          <w:szCs w:val="20"/>
          <w:lang w:val="es-ES"/>
        </w:rPr>
        <w:lastRenderedPageBreak/>
        <w:t>I.</w:t>
      </w:r>
      <w:r w:rsidRPr="000419AD">
        <w:rPr>
          <w:rFonts w:asciiTheme="majorHAnsi" w:hAnsiTheme="majorHAnsi"/>
          <w:b/>
          <w:bCs/>
          <w:sz w:val="20"/>
          <w:szCs w:val="20"/>
          <w:lang w:val="es-ES"/>
        </w:rPr>
        <w:tab/>
        <w:t xml:space="preserve">DATOS DE LA PETICIÓN </w:t>
      </w:r>
    </w:p>
    <w:tbl>
      <w:tblPr>
        <w:tblStyle w:val="TableGrid"/>
        <w:tblW w:w="9247"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600"/>
        <w:gridCol w:w="5647"/>
      </w:tblGrid>
      <w:tr w:rsidR="003239B8" w:rsidRPr="00AC57D8" w14:paraId="6B58C8A4" w14:textId="77777777" w:rsidTr="00394073">
        <w:tc>
          <w:tcPr>
            <w:tcW w:w="3600" w:type="dxa"/>
            <w:tcBorders>
              <w:top w:val="single" w:sz="4" w:space="0" w:color="auto"/>
              <w:bottom w:val="single" w:sz="6" w:space="0" w:color="auto"/>
            </w:tcBorders>
            <w:shd w:val="clear" w:color="auto" w:fill="386294"/>
            <w:vAlign w:val="center"/>
          </w:tcPr>
          <w:p w14:paraId="7E72740A" w14:textId="77777777" w:rsidR="003239B8" w:rsidRPr="000D05CB" w:rsidRDefault="003239B8" w:rsidP="008D2290">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Parte peticionaria:</w:t>
            </w:r>
          </w:p>
        </w:tc>
        <w:tc>
          <w:tcPr>
            <w:tcW w:w="5647" w:type="dxa"/>
            <w:vAlign w:val="center"/>
          </w:tcPr>
          <w:p w14:paraId="07DAAE2E" w14:textId="00EB70D4" w:rsidR="003239B8" w:rsidRPr="001641DF" w:rsidRDefault="001641DF" w:rsidP="008D2290">
            <w:pPr>
              <w:jc w:val="both"/>
              <w:rPr>
                <w:rFonts w:ascii="Cambria" w:hAnsi="Cambria"/>
                <w:bCs/>
                <w:sz w:val="20"/>
                <w:szCs w:val="20"/>
                <w:lang w:val="es-CO"/>
              </w:rPr>
            </w:pPr>
            <w:r w:rsidRPr="001641DF">
              <w:rPr>
                <w:rFonts w:ascii="Cambria" w:hAnsi="Cambria"/>
                <w:bCs/>
                <w:sz w:val="20"/>
                <w:szCs w:val="20"/>
                <w:lang w:val="es-CO"/>
              </w:rPr>
              <w:t xml:space="preserve">Federico Arellano Mendoza y </w:t>
            </w:r>
            <w:r w:rsidR="005128B5" w:rsidRPr="001641DF">
              <w:rPr>
                <w:rFonts w:ascii="Cambria" w:hAnsi="Cambria"/>
                <w:bCs/>
                <w:sz w:val="20"/>
                <w:szCs w:val="20"/>
                <w:lang w:val="es-CO"/>
              </w:rPr>
              <w:t>Comisión Colombiana de Juristas</w:t>
            </w:r>
          </w:p>
        </w:tc>
      </w:tr>
      <w:tr w:rsidR="003239B8" w:rsidRPr="00AC57D8" w14:paraId="0D7F9389" w14:textId="77777777" w:rsidTr="00394073">
        <w:tc>
          <w:tcPr>
            <w:tcW w:w="3600" w:type="dxa"/>
            <w:tcBorders>
              <w:top w:val="single" w:sz="6" w:space="0" w:color="auto"/>
              <w:bottom w:val="single" w:sz="6" w:space="0" w:color="auto"/>
            </w:tcBorders>
            <w:shd w:val="clear" w:color="auto" w:fill="386294"/>
            <w:vAlign w:val="center"/>
          </w:tcPr>
          <w:p w14:paraId="481622AE" w14:textId="77777777" w:rsidR="003239B8" w:rsidRPr="000D05CB" w:rsidRDefault="00591C31" w:rsidP="008D2290">
            <w:pPr>
              <w:jc w:val="center"/>
              <w:rPr>
                <w:rFonts w:ascii="Cambria" w:hAnsi="Cambria"/>
                <w:b/>
                <w:bCs/>
                <w:color w:val="FFFFFF" w:themeColor="background1"/>
                <w:sz w:val="20"/>
                <w:szCs w:val="20"/>
              </w:rPr>
            </w:pPr>
            <w:sdt>
              <w:sdtPr>
                <w:rPr>
                  <w:rFonts w:ascii="Cambria" w:hAnsi="Cambria"/>
                  <w:b/>
                  <w:bCs/>
                  <w:color w:val="FFFFFF" w:themeColor="background1"/>
                  <w:sz w:val="20"/>
                  <w:szCs w:val="20"/>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EndPr/>
              <w:sdtContent>
                <w:r w:rsidR="003239B8" w:rsidRPr="000D05CB">
                  <w:rPr>
                    <w:rFonts w:ascii="Cambria" w:hAnsi="Cambria"/>
                    <w:b/>
                    <w:bCs/>
                    <w:color w:val="FFFFFF" w:themeColor="background1"/>
                    <w:sz w:val="20"/>
                    <w:szCs w:val="20"/>
                  </w:rPr>
                  <w:t>Presunta víctima</w:t>
                </w:r>
              </w:sdtContent>
            </w:sdt>
            <w:r w:rsidR="003239B8" w:rsidRPr="000D05CB">
              <w:rPr>
                <w:rFonts w:ascii="Cambria" w:hAnsi="Cambria"/>
                <w:b/>
                <w:bCs/>
                <w:color w:val="FFFFFF" w:themeColor="background1"/>
                <w:sz w:val="20"/>
                <w:szCs w:val="20"/>
              </w:rPr>
              <w:t>:</w:t>
            </w:r>
          </w:p>
        </w:tc>
        <w:tc>
          <w:tcPr>
            <w:tcW w:w="5647" w:type="dxa"/>
            <w:vAlign w:val="center"/>
          </w:tcPr>
          <w:p w14:paraId="143D44A8" w14:textId="7C856FD3" w:rsidR="003239B8" w:rsidRPr="001641DF" w:rsidRDefault="001269A5" w:rsidP="001269A5">
            <w:pPr>
              <w:jc w:val="both"/>
              <w:rPr>
                <w:rFonts w:ascii="Cambria" w:hAnsi="Cambria"/>
                <w:bCs/>
                <w:sz w:val="20"/>
                <w:szCs w:val="20"/>
                <w:lang w:val="es-CO"/>
              </w:rPr>
            </w:pPr>
            <w:r w:rsidRPr="001641DF">
              <w:rPr>
                <w:rFonts w:ascii="Cambria" w:hAnsi="Cambria"/>
                <w:bCs/>
                <w:sz w:val="20"/>
                <w:szCs w:val="20"/>
                <w:lang w:val="es-CO"/>
              </w:rPr>
              <w:t xml:space="preserve">Gerardo María </w:t>
            </w:r>
            <w:r w:rsidR="001641DF" w:rsidRPr="001641DF">
              <w:rPr>
                <w:rFonts w:ascii="Cambria" w:hAnsi="Cambria"/>
                <w:bCs/>
                <w:sz w:val="20"/>
                <w:szCs w:val="20"/>
                <w:lang w:val="es-CO"/>
              </w:rPr>
              <w:t xml:space="preserve">Arellano </w:t>
            </w:r>
            <w:r w:rsidRPr="001641DF">
              <w:rPr>
                <w:rFonts w:ascii="Cambria" w:hAnsi="Cambria"/>
                <w:bCs/>
                <w:sz w:val="20"/>
                <w:szCs w:val="20"/>
                <w:lang w:val="es-CO"/>
              </w:rPr>
              <w:t>Becerra</w:t>
            </w:r>
            <w:r w:rsidR="001641DF" w:rsidRPr="001641DF">
              <w:rPr>
                <w:rFonts w:ascii="Cambria" w:hAnsi="Cambria"/>
                <w:bCs/>
                <w:sz w:val="20"/>
                <w:szCs w:val="20"/>
                <w:lang w:val="es-CO"/>
              </w:rPr>
              <w:t>, Federico Arellano Mendoza (hijo) y Claudia Patricia Mendoza Serrat (esposa)</w:t>
            </w:r>
          </w:p>
        </w:tc>
      </w:tr>
      <w:tr w:rsidR="003239B8" w14:paraId="19F69F82" w14:textId="77777777" w:rsidTr="00394073">
        <w:tc>
          <w:tcPr>
            <w:tcW w:w="3600" w:type="dxa"/>
            <w:tcBorders>
              <w:top w:val="single" w:sz="6" w:space="0" w:color="auto"/>
              <w:bottom w:val="single" w:sz="6" w:space="0" w:color="auto"/>
            </w:tcBorders>
            <w:shd w:val="clear" w:color="auto" w:fill="386294"/>
            <w:vAlign w:val="center"/>
          </w:tcPr>
          <w:p w14:paraId="724BB294" w14:textId="77777777" w:rsidR="003239B8" w:rsidRPr="000D05CB" w:rsidRDefault="003239B8" w:rsidP="008D2290">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Estado denunciado:</w:t>
            </w:r>
          </w:p>
        </w:tc>
        <w:tc>
          <w:tcPr>
            <w:tcW w:w="5647" w:type="dxa"/>
            <w:vAlign w:val="center"/>
          </w:tcPr>
          <w:p w14:paraId="5D0EC05D" w14:textId="2236994C" w:rsidR="003239B8" w:rsidRPr="001641DF" w:rsidRDefault="005128B5" w:rsidP="008D2290">
            <w:pPr>
              <w:jc w:val="both"/>
              <w:rPr>
                <w:rFonts w:ascii="Cambria" w:hAnsi="Cambria"/>
                <w:bCs/>
                <w:sz w:val="20"/>
                <w:szCs w:val="20"/>
                <w:lang w:val="es-CO"/>
              </w:rPr>
            </w:pPr>
            <w:r w:rsidRPr="001641DF">
              <w:rPr>
                <w:rFonts w:ascii="Cambria" w:hAnsi="Cambria"/>
                <w:bCs/>
                <w:sz w:val="20"/>
                <w:szCs w:val="20"/>
                <w:lang w:val="es-CO"/>
              </w:rPr>
              <w:t>Colombia</w:t>
            </w:r>
            <w:r w:rsidR="004A6A54" w:rsidRPr="001641DF">
              <w:rPr>
                <w:rStyle w:val="FootnoteReference"/>
                <w:rFonts w:ascii="Cambria" w:hAnsi="Cambria"/>
                <w:bCs/>
                <w:sz w:val="20"/>
                <w:szCs w:val="20"/>
                <w:lang w:val="es-CO"/>
              </w:rPr>
              <w:footnoteReference w:id="2"/>
            </w:r>
          </w:p>
        </w:tc>
      </w:tr>
      <w:tr w:rsidR="00223A29" w:rsidRPr="00AC57D8" w14:paraId="256E66EF" w14:textId="77777777" w:rsidTr="00394073">
        <w:tc>
          <w:tcPr>
            <w:tcW w:w="3600" w:type="dxa"/>
            <w:tcBorders>
              <w:top w:val="single" w:sz="6" w:space="0" w:color="auto"/>
              <w:bottom w:val="single" w:sz="6" w:space="0" w:color="auto"/>
            </w:tcBorders>
            <w:shd w:val="clear" w:color="auto" w:fill="386294"/>
            <w:vAlign w:val="center"/>
          </w:tcPr>
          <w:p w14:paraId="2551EB09" w14:textId="77777777" w:rsidR="00223A29" w:rsidRPr="000D05CB" w:rsidRDefault="001B3A00" w:rsidP="00E4118C">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 xml:space="preserve">Derechos </w:t>
            </w:r>
            <w:r w:rsidR="00E4118C" w:rsidRPr="000D05CB">
              <w:rPr>
                <w:rFonts w:ascii="Cambria" w:hAnsi="Cambria"/>
                <w:b/>
                <w:bCs/>
                <w:color w:val="FFFFFF" w:themeColor="background1"/>
                <w:sz w:val="20"/>
                <w:szCs w:val="20"/>
              </w:rPr>
              <w:t>invocados</w:t>
            </w:r>
            <w:r w:rsidRPr="000D05CB">
              <w:rPr>
                <w:rFonts w:ascii="Cambria" w:hAnsi="Cambria"/>
                <w:b/>
                <w:bCs/>
                <w:color w:val="FFFFFF" w:themeColor="background1"/>
                <w:sz w:val="20"/>
                <w:szCs w:val="20"/>
              </w:rPr>
              <w:t>:</w:t>
            </w:r>
          </w:p>
        </w:tc>
        <w:tc>
          <w:tcPr>
            <w:tcW w:w="5647" w:type="dxa"/>
            <w:vAlign w:val="center"/>
          </w:tcPr>
          <w:p w14:paraId="52B28392" w14:textId="631CF399" w:rsidR="00223A29" w:rsidRPr="001641DF" w:rsidRDefault="004F23EF" w:rsidP="008D2290">
            <w:pPr>
              <w:jc w:val="both"/>
              <w:rPr>
                <w:rFonts w:ascii="Cambria" w:hAnsi="Cambria"/>
                <w:bCs/>
                <w:sz w:val="20"/>
                <w:szCs w:val="20"/>
                <w:lang w:val="es-CO"/>
              </w:rPr>
            </w:pPr>
            <w:r>
              <w:rPr>
                <w:rFonts w:ascii="Cambria" w:hAnsi="Cambria"/>
                <w:bCs/>
                <w:sz w:val="20"/>
                <w:szCs w:val="20"/>
                <w:lang w:val="es-CO"/>
              </w:rPr>
              <w:t>Artículos 4 (vida), 5 (integridad personal), 8 (garantías judiciales) y 25 (protección judicial) de la Convención Americana sobre Derechos Humanos</w:t>
            </w:r>
            <w:r>
              <w:rPr>
                <w:rStyle w:val="FootnoteReference"/>
                <w:rFonts w:ascii="Cambria" w:hAnsi="Cambria"/>
                <w:bCs/>
                <w:sz w:val="20"/>
                <w:szCs w:val="20"/>
                <w:lang w:val="es-CO"/>
              </w:rPr>
              <w:footnoteReference w:id="3"/>
            </w:r>
          </w:p>
        </w:tc>
      </w:tr>
    </w:tbl>
    <w:p w14:paraId="176FB213" w14:textId="77777777" w:rsidR="003239B8" w:rsidRPr="00E4118C" w:rsidRDefault="003239B8" w:rsidP="003239B8">
      <w:pPr>
        <w:spacing w:before="240" w:after="240"/>
        <w:ind w:firstLine="720"/>
        <w:jc w:val="both"/>
        <w:rPr>
          <w:rFonts w:asciiTheme="majorHAnsi" w:hAnsiTheme="majorHAnsi"/>
          <w:b/>
          <w:bCs/>
          <w:sz w:val="20"/>
          <w:szCs w:val="20"/>
          <w:lang w:val="es-ES"/>
        </w:rPr>
      </w:pPr>
      <w:r w:rsidRPr="004C2312">
        <w:rPr>
          <w:rFonts w:asciiTheme="majorHAnsi" w:hAnsiTheme="majorHAnsi"/>
          <w:b/>
          <w:bCs/>
          <w:sz w:val="20"/>
          <w:szCs w:val="20"/>
          <w:lang w:val="es-ES"/>
        </w:rPr>
        <w:t>II.</w:t>
      </w:r>
      <w:r w:rsidRPr="004C2312">
        <w:rPr>
          <w:rFonts w:asciiTheme="majorHAnsi" w:hAnsiTheme="majorHAnsi"/>
          <w:b/>
          <w:bCs/>
          <w:sz w:val="20"/>
          <w:szCs w:val="20"/>
          <w:lang w:val="es-ES"/>
        </w:rPr>
        <w:tab/>
        <w:t>TRÁMITE ANTE LA CIDH</w:t>
      </w:r>
      <w:r w:rsidR="008E3BFE" w:rsidRPr="008E3BFE">
        <w:rPr>
          <w:rStyle w:val="FootnoteReference"/>
          <w:rFonts w:ascii="Cambria" w:hAnsi="Cambria"/>
          <w:b/>
          <w:sz w:val="20"/>
          <w:szCs w:val="20"/>
        </w:rPr>
        <w:footnoteReference w:id="4"/>
      </w:r>
    </w:p>
    <w:tbl>
      <w:tblPr>
        <w:tblStyle w:val="TableGrid"/>
        <w:tblW w:w="9247"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600"/>
        <w:gridCol w:w="5647"/>
      </w:tblGrid>
      <w:tr w:rsidR="004C2312" w:rsidRPr="004A6A54" w14:paraId="1D831514" w14:textId="77777777" w:rsidTr="00394073">
        <w:tc>
          <w:tcPr>
            <w:tcW w:w="3600" w:type="dxa"/>
            <w:tcBorders>
              <w:top w:val="single" w:sz="6" w:space="0" w:color="auto"/>
              <w:bottom w:val="single" w:sz="6" w:space="0" w:color="auto"/>
            </w:tcBorders>
            <w:shd w:val="clear" w:color="auto" w:fill="386294"/>
            <w:vAlign w:val="center"/>
          </w:tcPr>
          <w:p w14:paraId="330F2ED0" w14:textId="77777777" w:rsidR="004C2312" w:rsidRPr="003239B8" w:rsidRDefault="004A6A54"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P</w:t>
            </w:r>
            <w:r w:rsidR="004C2312" w:rsidRPr="003239B8">
              <w:rPr>
                <w:rFonts w:ascii="Cambria" w:hAnsi="Cambria"/>
                <w:b/>
                <w:bCs/>
                <w:color w:val="FFFFFF" w:themeColor="background1"/>
                <w:sz w:val="20"/>
                <w:szCs w:val="20"/>
                <w:lang w:val="es-ES"/>
              </w:rPr>
              <w:t>resentación de la petición:</w:t>
            </w:r>
          </w:p>
        </w:tc>
        <w:tc>
          <w:tcPr>
            <w:tcW w:w="5647" w:type="dxa"/>
            <w:vAlign w:val="center"/>
          </w:tcPr>
          <w:p w14:paraId="6883A5F8" w14:textId="380E2329" w:rsidR="004C2312" w:rsidRPr="003239B8" w:rsidRDefault="000C6AE2" w:rsidP="002625EA">
            <w:pPr>
              <w:jc w:val="both"/>
              <w:rPr>
                <w:rFonts w:ascii="Cambria" w:hAnsi="Cambria"/>
                <w:bCs/>
                <w:sz w:val="20"/>
                <w:szCs w:val="20"/>
                <w:lang w:val="es-ES"/>
              </w:rPr>
            </w:pPr>
            <w:r>
              <w:rPr>
                <w:rFonts w:ascii="Cambria" w:hAnsi="Cambria"/>
                <w:bCs/>
                <w:sz w:val="20"/>
                <w:szCs w:val="20"/>
                <w:lang w:val="es-ES"/>
              </w:rPr>
              <w:t>29 de octubre de 2015</w:t>
            </w:r>
          </w:p>
        </w:tc>
      </w:tr>
      <w:tr w:rsidR="00131425" w:rsidRPr="00AC57D8" w14:paraId="54F62341" w14:textId="77777777" w:rsidTr="00394073">
        <w:tc>
          <w:tcPr>
            <w:tcW w:w="3600" w:type="dxa"/>
            <w:tcBorders>
              <w:top w:val="single" w:sz="6" w:space="0" w:color="auto"/>
              <w:bottom w:val="single" w:sz="6" w:space="0" w:color="auto"/>
            </w:tcBorders>
            <w:shd w:val="clear" w:color="auto" w:fill="386294"/>
            <w:vAlign w:val="center"/>
          </w:tcPr>
          <w:p w14:paraId="48CC6F04" w14:textId="77777777" w:rsidR="00131425" w:rsidRDefault="00131425"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Información adicional recibida durante la etapa de estudio:</w:t>
            </w:r>
          </w:p>
        </w:tc>
        <w:tc>
          <w:tcPr>
            <w:tcW w:w="5647" w:type="dxa"/>
            <w:vAlign w:val="center"/>
          </w:tcPr>
          <w:p w14:paraId="65CBC29E" w14:textId="4D00EA91" w:rsidR="00131425" w:rsidRPr="003239B8" w:rsidRDefault="00872208" w:rsidP="002625EA">
            <w:pPr>
              <w:jc w:val="both"/>
              <w:rPr>
                <w:rFonts w:ascii="Cambria" w:hAnsi="Cambria"/>
                <w:bCs/>
                <w:sz w:val="20"/>
                <w:szCs w:val="20"/>
                <w:lang w:val="es-ES"/>
              </w:rPr>
            </w:pPr>
            <w:r>
              <w:rPr>
                <w:rFonts w:ascii="Cambria" w:hAnsi="Cambria"/>
                <w:bCs/>
                <w:sz w:val="20"/>
                <w:szCs w:val="20"/>
                <w:lang w:val="es-ES"/>
              </w:rPr>
              <w:t xml:space="preserve">15 de mayo de 2018, </w:t>
            </w:r>
            <w:r w:rsidR="000356A8">
              <w:rPr>
                <w:rFonts w:ascii="Cambria" w:hAnsi="Cambria"/>
                <w:bCs/>
                <w:sz w:val="20"/>
                <w:szCs w:val="20"/>
                <w:lang w:val="es-ES"/>
              </w:rPr>
              <w:t xml:space="preserve">15 de marzo de 2021, </w:t>
            </w:r>
            <w:r w:rsidR="00C3671A">
              <w:rPr>
                <w:rFonts w:ascii="Cambria" w:hAnsi="Cambria"/>
                <w:bCs/>
                <w:sz w:val="20"/>
                <w:szCs w:val="20"/>
                <w:lang w:val="es-ES"/>
              </w:rPr>
              <w:t xml:space="preserve">12 de abril de 2021, </w:t>
            </w:r>
            <w:r w:rsidR="00572904">
              <w:rPr>
                <w:rFonts w:ascii="Cambria" w:hAnsi="Cambria"/>
                <w:bCs/>
                <w:sz w:val="20"/>
                <w:szCs w:val="20"/>
                <w:lang w:val="es-ES"/>
              </w:rPr>
              <w:t xml:space="preserve">16 de abril de 2021, </w:t>
            </w:r>
            <w:r w:rsidR="00CD02A9">
              <w:rPr>
                <w:rFonts w:ascii="Cambria" w:hAnsi="Cambria"/>
                <w:bCs/>
                <w:sz w:val="20"/>
                <w:szCs w:val="20"/>
                <w:lang w:val="es-ES"/>
              </w:rPr>
              <w:t xml:space="preserve">19 de abril de 2021, </w:t>
            </w:r>
            <w:r w:rsidR="006E7769">
              <w:rPr>
                <w:rFonts w:ascii="Cambria" w:hAnsi="Cambria"/>
                <w:bCs/>
                <w:sz w:val="20"/>
                <w:szCs w:val="20"/>
                <w:lang w:val="es-ES"/>
              </w:rPr>
              <w:t xml:space="preserve">22 de abril de 2021, </w:t>
            </w:r>
            <w:r w:rsidR="00A22EE1">
              <w:rPr>
                <w:rFonts w:ascii="Cambria" w:hAnsi="Cambria"/>
                <w:bCs/>
                <w:sz w:val="20"/>
                <w:szCs w:val="20"/>
                <w:lang w:val="es-ES"/>
              </w:rPr>
              <w:t xml:space="preserve">16 de junio de 2021, </w:t>
            </w:r>
            <w:r w:rsidR="00297C28">
              <w:rPr>
                <w:rFonts w:ascii="Cambria" w:hAnsi="Cambria"/>
                <w:bCs/>
                <w:sz w:val="20"/>
                <w:szCs w:val="20"/>
                <w:lang w:val="es-ES"/>
              </w:rPr>
              <w:t xml:space="preserve">9 de diciembre de 2022, </w:t>
            </w:r>
            <w:r w:rsidR="00DF0DD9">
              <w:rPr>
                <w:rFonts w:ascii="Cambria" w:hAnsi="Cambria"/>
                <w:bCs/>
                <w:sz w:val="20"/>
                <w:szCs w:val="20"/>
                <w:lang w:val="es-ES"/>
              </w:rPr>
              <w:t xml:space="preserve">16 de febrero de 2023, </w:t>
            </w:r>
            <w:r w:rsidR="00EF2A26">
              <w:rPr>
                <w:rFonts w:ascii="Cambria" w:hAnsi="Cambria"/>
                <w:bCs/>
                <w:sz w:val="20"/>
                <w:szCs w:val="20"/>
                <w:lang w:val="es-ES"/>
              </w:rPr>
              <w:t>23 de octubre de 2023 y 9 de septiembre de 2024</w:t>
            </w:r>
          </w:p>
        </w:tc>
      </w:tr>
      <w:tr w:rsidR="004C2312" w:rsidRPr="0044650C" w14:paraId="6A9025D9" w14:textId="77777777" w:rsidTr="00394073">
        <w:tc>
          <w:tcPr>
            <w:tcW w:w="3600" w:type="dxa"/>
            <w:tcBorders>
              <w:top w:val="single" w:sz="6" w:space="0" w:color="auto"/>
              <w:bottom w:val="single" w:sz="6" w:space="0" w:color="auto"/>
            </w:tcBorders>
            <w:shd w:val="clear" w:color="auto" w:fill="386294"/>
            <w:vAlign w:val="center"/>
          </w:tcPr>
          <w:p w14:paraId="01B3581F" w14:textId="77777777" w:rsidR="004C2312" w:rsidRPr="003239B8" w:rsidRDefault="004A6A54"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N</w:t>
            </w:r>
            <w:r w:rsidR="004C2312" w:rsidRPr="003239B8">
              <w:rPr>
                <w:rFonts w:ascii="Cambria" w:hAnsi="Cambria"/>
                <w:b/>
                <w:color w:val="FFFFFF" w:themeColor="background1"/>
                <w:sz w:val="20"/>
                <w:szCs w:val="20"/>
                <w:lang w:val="es-ES"/>
              </w:rPr>
              <w:t>otificación de la petición al Estado:</w:t>
            </w:r>
          </w:p>
        </w:tc>
        <w:tc>
          <w:tcPr>
            <w:tcW w:w="5647" w:type="dxa"/>
            <w:vAlign w:val="center"/>
          </w:tcPr>
          <w:p w14:paraId="58485921" w14:textId="0462644B" w:rsidR="004C2312" w:rsidRPr="003239B8" w:rsidRDefault="0046618C" w:rsidP="008D2290">
            <w:pPr>
              <w:jc w:val="both"/>
              <w:rPr>
                <w:rFonts w:ascii="Cambria" w:hAnsi="Cambria"/>
                <w:bCs/>
                <w:sz w:val="20"/>
                <w:szCs w:val="20"/>
                <w:lang w:val="es-ES"/>
              </w:rPr>
            </w:pPr>
            <w:r>
              <w:rPr>
                <w:rFonts w:ascii="Cambria" w:hAnsi="Cambria"/>
                <w:bCs/>
                <w:sz w:val="20"/>
                <w:szCs w:val="20"/>
                <w:lang w:val="es-ES"/>
              </w:rPr>
              <w:t>2 de agosto de 2021</w:t>
            </w:r>
          </w:p>
        </w:tc>
      </w:tr>
      <w:tr w:rsidR="004C2312" w:rsidRPr="004A6A54" w14:paraId="1EC979C3" w14:textId="77777777" w:rsidTr="00394073">
        <w:tc>
          <w:tcPr>
            <w:tcW w:w="3600" w:type="dxa"/>
            <w:tcBorders>
              <w:top w:val="single" w:sz="6" w:space="0" w:color="auto"/>
              <w:bottom w:val="single" w:sz="6" w:space="0" w:color="auto"/>
            </w:tcBorders>
            <w:shd w:val="clear" w:color="auto" w:fill="386294"/>
            <w:vAlign w:val="center"/>
          </w:tcPr>
          <w:p w14:paraId="3708E507" w14:textId="77777777" w:rsidR="004C2312" w:rsidRPr="003239B8" w:rsidRDefault="004A6A54"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P</w:t>
            </w:r>
            <w:r w:rsidR="004C2312" w:rsidRPr="003239B8">
              <w:rPr>
                <w:rFonts w:ascii="Cambria" w:hAnsi="Cambria"/>
                <w:b/>
                <w:color w:val="FFFFFF" w:themeColor="background1"/>
                <w:sz w:val="20"/>
                <w:szCs w:val="20"/>
                <w:lang w:val="es-ES"/>
              </w:rPr>
              <w:t>rimera respuesta del Estado:</w:t>
            </w:r>
          </w:p>
        </w:tc>
        <w:tc>
          <w:tcPr>
            <w:tcW w:w="5647" w:type="dxa"/>
            <w:vAlign w:val="center"/>
          </w:tcPr>
          <w:p w14:paraId="6B47064C" w14:textId="40F3E29C" w:rsidR="004C2312" w:rsidRPr="003239B8" w:rsidRDefault="0022564B" w:rsidP="008D2290">
            <w:pPr>
              <w:jc w:val="both"/>
              <w:rPr>
                <w:rFonts w:ascii="Cambria" w:hAnsi="Cambria"/>
                <w:bCs/>
                <w:sz w:val="20"/>
                <w:szCs w:val="20"/>
                <w:lang w:val="es-ES"/>
              </w:rPr>
            </w:pPr>
            <w:r>
              <w:rPr>
                <w:rFonts w:ascii="Cambria" w:hAnsi="Cambria"/>
                <w:bCs/>
                <w:sz w:val="20"/>
                <w:szCs w:val="20"/>
                <w:lang w:val="es-ES"/>
              </w:rPr>
              <w:t>29 de noviembre de 2021</w:t>
            </w:r>
          </w:p>
        </w:tc>
      </w:tr>
      <w:tr w:rsidR="004C2312" w:rsidRPr="0044650C" w14:paraId="1253D75C" w14:textId="77777777" w:rsidTr="00394073">
        <w:tc>
          <w:tcPr>
            <w:tcW w:w="3600" w:type="dxa"/>
            <w:tcBorders>
              <w:top w:val="single" w:sz="6" w:space="0" w:color="auto"/>
              <w:bottom w:val="single" w:sz="6" w:space="0" w:color="auto"/>
            </w:tcBorders>
            <w:shd w:val="clear" w:color="auto" w:fill="386294"/>
            <w:vAlign w:val="center"/>
          </w:tcPr>
          <w:p w14:paraId="3250F3E6" w14:textId="77777777" w:rsidR="004C2312" w:rsidRPr="003239B8" w:rsidRDefault="008E3BFE" w:rsidP="008E3BFE">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Observaciones adicionales de la parte peticionaria:</w:t>
            </w:r>
          </w:p>
        </w:tc>
        <w:tc>
          <w:tcPr>
            <w:tcW w:w="5647" w:type="dxa"/>
            <w:vAlign w:val="center"/>
          </w:tcPr>
          <w:p w14:paraId="66A99206" w14:textId="70D296D9" w:rsidR="004C2312" w:rsidRPr="003239B8" w:rsidRDefault="00B965EB" w:rsidP="008D2290">
            <w:pPr>
              <w:jc w:val="both"/>
              <w:rPr>
                <w:rFonts w:ascii="Cambria" w:hAnsi="Cambria"/>
                <w:bCs/>
                <w:sz w:val="20"/>
                <w:szCs w:val="20"/>
                <w:lang w:val="es-ES"/>
              </w:rPr>
            </w:pPr>
            <w:r>
              <w:rPr>
                <w:rFonts w:ascii="Cambria" w:hAnsi="Cambria"/>
                <w:bCs/>
                <w:sz w:val="20"/>
                <w:szCs w:val="20"/>
                <w:lang w:val="es-ES"/>
              </w:rPr>
              <w:t>23 de junio de 2022</w:t>
            </w:r>
          </w:p>
        </w:tc>
      </w:tr>
      <w:tr w:rsidR="004C2312" w:rsidRPr="009111EC" w14:paraId="30D2D9CB" w14:textId="77777777" w:rsidTr="00394073">
        <w:tc>
          <w:tcPr>
            <w:tcW w:w="3600" w:type="dxa"/>
            <w:tcBorders>
              <w:top w:val="single" w:sz="6" w:space="0" w:color="auto"/>
              <w:bottom w:val="single" w:sz="6" w:space="0" w:color="auto"/>
            </w:tcBorders>
            <w:shd w:val="clear" w:color="auto" w:fill="386294"/>
            <w:vAlign w:val="center"/>
          </w:tcPr>
          <w:p w14:paraId="35799C78" w14:textId="77777777" w:rsidR="004C2312" w:rsidRPr="00706824" w:rsidRDefault="004C2312" w:rsidP="008E3BFE">
            <w:pPr>
              <w:jc w:val="center"/>
              <w:rPr>
                <w:rFonts w:ascii="Cambria" w:hAnsi="Cambria"/>
                <w:b/>
                <w:bCs/>
                <w:color w:val="FFFFFF" w:themeColor="background1"/>
                <w:sz w:val="20"/>
                <w:szCs w:val="20"/>
              </w:rPr>
            </w:pPr>
            <w:r w:rsidRPr="00706824">
              <w:rPr>
                <w:rFonts w:ascii="Cambria" w:hAnsi="Cambria"/>
                <w:b/>
                <w:bCs/>
                <w:color w:val="FFFFFF" w:themeColor="background1"/>
                <w:sz w:val="20"/>
                <w:szCs w:val="20"/>
              </w:rPr>
              <w:t>Observaciones adicionales del Estado:</w:t>
            </w:r>
          </w:p>
        </w:tc>
        <w:tc>
          <w:tcPr>
            <w:tcW w:w="5647" w:type="dxa"/>
            <w:vAlign w:val="center"/>
          </w:tcPr>
          <w:p w14:paraId="15747C57" w14:textId="614FA1E0" w:rsidR="004C2312" w:rsidRPr="009111EC" w:rsidRDefault="002C1200" w:rsidP="008D2290">
            <w:pPr>
              <w:jc w:val="both"/>
              <w:rPr>
                <w:rFonts w:ascii="Cambria" w:hAnsi="Cambria"/>
                <w:bCs/>
                <w:sz w:val="20"/>
                <w:szCs w:val="20"/>
              </w:rPr>
            </w:pPr>
            <w:r>
              <w:rPr>
                <w:rFonts w:ascii="Cambria" w:hAnsi="Cambria"/>
                <w:bCs/>
                <w:sz w:val="20"/>
                <w:szCs w:val="20"/>
              </w:rPr>
              <w:t>1° de Agosto de 2023</w:t>
            </w:r>
          </w:p>
        </w:tc>
      </w:tr>
    </w:tbl>
    <w:p w14:paraId="0FC6E9E8" w14:textId="77777777"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III. </w:t>
      </w:r>
      <w:r w:rsidRPr="003239B8">
        <w:rPr>
          <w:rFonts w:asciiTheme="majorHAnsi" w:hAnsiTheme="majorHAnsi"/>
          <w:b/>
          <w:bCs/>
          <w:sz w:val="20"/>
          <w:szCs w:val="20"/>
          <w:lang w:val="es-ES"/>
        </w:rPr>
        <w:tab/>
        <w:t>COMPETENCIA</w:t>
      </w:r>
      <w:r w:rsidR="00EE00E9">
        <w:rPr>
          <w:rFonts w:asciiTheme="majorHAnsi" w:hAnsiTheme="majorHAnsi"/>
          <w:b/>
          <w:bCs/>
          <w:sz w:val="20"/>
          <w:szCs w:val="20"/>
          <w:lang w:val="es-ES"/>
        </w:rPr>
        <w:t xml:space="preserve"> </w:t>
      </w: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561"/>
        <w:gridCol w:w="5681"/>
      </w:tblGrid>
      <w:tr w:rsidR="003239B8" w:rsidRPr="00540F17" w14:paraId="7D299FC7" w14:textId="77777777" w:rsidTr="004A6A54">
        <w:trPr>
          <w:cantSplit/>
        </w:trPr>
        <w:tc>
          <w:tcPr>
            <w:tcW w:w="3600" w:type="dxa"/>
            <w:tcBorders>
              <w:top w:val="single" w:sz="4" w:space="0" w:color="auto"/>
              <w:bottom w:val="single" w:sz="6" w:space="0" w:color="auto"/>
            </w:tcBorders>
            <w:shd w:val="clear" w:color="auto" w:fill="386294"/>
            <w:vAlign w:val="center"/>
          </w:tcPr>
          <w:p w14:paraId="5D0830E9" w14:textId="77777777" w:rsidR="003239B8" w:rsidRPr="00B3745F" w:rsidRDefault="003239B8" w:rsidP="008D2290">
            <w:pPr>
              <w:jc w:val="center"/>
              <w:rPr>
                <w:rFonts w:ascii="Cambria" w:hAnsi="Cambria"/>
                <w:b/>
                <w:bCs/>
                <w:i/>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personae:</w:t>
            </w:r>
          </w:p>
        </w:tc>
        <w:tc>
          <w:tcPr>
            <w:tcW w:w="5760" w:type="dxa"/>
            <w:vAlign w:val="center"/>
          </w:tcPr>
          <w:p w14:paraId="1E494D5D" w14:textId="7C9D4E5D" w:rsidR="003239B8" w:rsidRPr="00B3745F" w:rsidRDefault="00C53E72" w:rsidP="008D2290">
            <w:pPr>
              <w:rPr>
                <w:rFonts w:ascii="Cambria" w:hAnsi="Cambria"/>
                <w:bCs/>
                <w:sz w:val="20"/>
                <w:szCs w:val="20"/>
              </w:rPr>
            </w:pPr>
            <w:r>
              <w:rPr>
                <w:rFonts w:ascii="Cambria" w:hAnsi="Cambria"/>
                <w:bCs/>
                <w:sz w:val="20"/>
                <w:szCs w:val="20"/>
              </w:rPr>
              <w:t>Sí</w:t>
            </w:r>
          </w:p>
        </w:tc>
      </w:tr>
      <w:tr w:rsidR="003239B8" w:rsidRPr="00540F17" w14:paraId="54503A4F" w14:textId="77777777" w:rsidTr="004A6A54">
        <w:trPr>
          <w:cantSplit/>
        </w:trPr>
        <w:tc>
          <w:tcPr>
            <w:tcW w:w="3600" w:type="dxa"/>
            <w:tcBorders>
              <w:top w:val="single" w:sz="6" w:space="0" w:color="auto"/>
              <w:bottom w:val="single" w:sz="6" w:space="0" w:color="auto"/>
            </w:tcBorders>
            <w:shd w:val="clear" w:color="auto" w:fill="386294"/>
            <w:vAlign w:val="center"/>
          </w:tcPr>
          <w:p w14:paraId="40E3A1EF"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loci</w:t>
            </w:r>
            <w:r w:rsidRPr="00B3745F">
              <w:rPr>
                <w:rFonts w:ascii="Cambria" w:hAnsi="Cambria"/>
                <w:b/>
                <w:bCs/>
                <w:color w:val="FFFFFF" w:themeColor="background1"/>
                <w:sz w:val="20"/>
                <w:szCs w:val="20"/>
              </w:rPr>
              <w:t>:</w:t>
            </w:r>
          </w:p>
        </w:tc>
        <w:tc>
          <w:tcPr>
            <w:tcW w:w="5760" w:type="dxa"/>
            <w:vAlign w:val="center"/>
          </w:tcPr>
          <w:p w14:paraId="77C8256A" w14:textId="1FD8894C" w:rsidR="003239B8" w:rsidRPr="00B3745F" w:rsidRDefault="00C53E72" w:rsidP="008D2290">
            <w:pPr>
              <w:rPr>
                <w:rFonts w:ascii="Cambria" w:hAnsi="Cambria"/>
                <w:bCs/>
                <w:sz w:val="20"/>
                <w:szCs w:val="20"/>
              </w:rPr>
            </w:pPr>
            <w:r>
              <w:rPr>
                <w:rFonts w:ascii="Cambria" w:hAnsi="Cambria"/>
                <w:bCs/>
                <w:sz w:val="20"/>
                <w:szCs w:val="20"/>
              </w:rPr>
              <w:t>Sí</w:t>
            </w:r>
          </w:p>
        </w:tc>
      </w:tr>
      <w:tr w:rsidR="003239B8" w:rsidRPr="00540F17" w14:paraId="6618D96A" w14:textId="77777777" w:rsidTr="004A6A54">
        <w:trPr>
          <w:cantSplit/>
        </w:trPr>
        <w:tc>
          <w:tcPr>
            <w:tcW w:w="3600" w:type="dxa"/>
            <w:tcBorders>
              <w:top w:val="single" w:sz="6" w:space="0" w:color="auto"/>
              <w:bottom w:val="single" w:sz="6" w:space="0" w:color="auto"/>
            </w:tcBorders>
            <w:shd w:val="clear" w:color="auto" w:fill="386294"/>
            <w:vAlign w:val="center"/>
          </w:tcPr>
          <w:p w14:paraId="24D9CAA2"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temporis</w:t>
            </w:r>
            <w:r w:rsidRPr="00B3745F">
              <w:rPr>
                <w:rFonts w:ascii="Cambria" w:hAnsi="Cambria"/>
                <w:b/>
                <w:bCs/>
                <w:color w:val="FFFFFF" w:themeColor="background1"/>
                <w:sz w:val="20"/>
                <w:szCs w:val="20"/>
              </w:rPr>
              <w:t>:</w:t>
            </w:r>
          </w:p>
        </w:tc>
        <w:tc>
          <w:tcPr>
            <w:tcW w:w="5760" w:type="dxa"/>
            <w:vAlign w:val="center"/>
          </w:tcPr>
          <w:p w14:paraId="523F6BD6" w14:textId="1D8DD0B5" w:rsidR="003239B8" w:rsidRPr="00B3745F" w:rsidRDefault="00C53E72" w:rsidP="008D2290">
            <w:pPr>
              <w:rPr>
                <w:rFonts w:ascii="Cambria" w:hAnsi="Cambria"/>
                <w:bCs/>
                <w:sz w:val="20"/>
                <w:szCs w:val="20"/>
              </w:rPr>
            </w:pPr>
            <w:r>
              <w:rPr>
                <w:rFonts w:ascii="Cambria" w:hAnsi="Cambria"/>
                <w:bCs/>
                <w:sz w:val="20"/>
                <w:szCs w:val="20"/>
              </w:rPr>
              <w:t>Sí</w:t>
            </w:r>
          </w:p>
        </w:tc>
      </w:tr>
      <w:tr w:rsidR="003239B8" w:rsidRPr="00AC57D8" w14:paraId="34C2A0A9" w14:textId="77777777" w:rsidTr="004A6A54">
        <w:trPr>
          <w:cantSplit/>
        </w:trPr>
        <w:tc>
          <w:tcPr>
            <w:tcW w:w="3600" w:type="dxa"/>
            <w:tcBorders>
              <w:top w:val="single" w:sz="6" w:space="0" w:color="auto"/>
              <w:bottom w:val="single" w:sz="6" w:space="0" w:color="auto"/>
            </w:tcBorders>
            <w:shd w:val="clear" w:color="auto" w:fill="386294"/>
            <w:vAlign w:val="center"/>
          </w:tcPr>
          <w:p w14:paraId="6259AE31"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materia</w:t>
            </w:r>
            <w:r w:rsidR="00EE00E9" w:rsidRPr="00B3745F">
              <w:rPr>
                <w:rFonts w:ascii="Cambria" w:hAnsi="Cambria"/>
                <w:b/>
                <w:bCs/>
                <w:i/>
                <w:color w:val="FFFFFF" w:themeColor="background1"/>
                <w:sz w:val="20"/>
                <w:szCs w:val="20"/>
              </w:rPr>
              <w:t>e</w:t>
            </w:r>
            <w:r w:rsidRPr="00B3745F">
              <w:rPr>
                <w:rFonts w:ascii="Cambria" w:hAnsi="Cambria"/>
                <w:b/>
                <w:bCs/>
                <w:color w:val="FFFFFF" w:themeColor="background1"/>
                <w:sz w:val="20"/>
                <w:szCs w:val="20"/>
              </w:rPr>
              <w:t>:</w:t>
            </w:r>
          </w:p>
        </w:tc>
        <w:tc>
          <w:tcPr>
            <w:tcW w:w="5760" w:type="dxa"/>
            <w:vAlign w:val="center"/>
          </w:tcPr>
          <w:p w14:paraId="257C8337" w14:textId="06617291" w:rsidR="003239B8" w:rsidRPr="00607448" w:rsidRDefault="00607448" w:rsidP="008D2290">
            <w:pPr>
              <w:jc w:val="both"/>
              <w:rPr>
                <w:rFonts w:ascii="Cambria" w:hAnsi="Cambria"/>
                <w:bCs/>
                <w:sz w:val="20"/>
                <w:szCs w:val="20"/>
                <w:lang w:val="es-CO"/>
              </w:rPr>
            </w:pPr>
            <w:r w:rsidRPr="00607448">
              <w:rPr>
                <w:rFonts w:ascii="Cambria" w:hAnsi="Cambria"/>
                <w:bCs/>
                <w:sz w:val="20"/>
                <w:szCs w:val="20"/>
                <w:lang w:val="es-CO"/>
              </w:rPr>
              <w:t>Sí, la Convención Americana (depósito de instrumento de ratificación realizado el 31 de julio de 1973)</w:t>
            </w:r>
          </w:p>
        </w:tc>
      </w:tr>
    </w:tbl>
    <w:p w14:paraId="299A3868" w14:textId="1538A31D"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IV. </w:t>
      </w:r>
      <w:r w:rsidRPr="003239B8">
        <w:rPr>
          <w:rFonts w:asciiTheme="majorHAnsi" w:hAnsiTheme="majorHAnsi"/>
          <w:b/>
          <w:bCs/>
          <w:sz w:val="20"/>
          <w:szCs w:val="20"/>
          <w:lang w:val="es-ES"/>
        </w:rPr>
        <w:tab/>
      </w:r>
      <w:r w:rsidR="00EE00E9" w:rsidRPr="003239B8">
        <w:rPr>
          <w:rFonts w:asciiTheme="majorHAnsi" w:hAnsiTheme="majorHAnsi"/>
          <w:b/>
          <w:bCs/>
          <w:sz w:val="20"/>
          <w:szCs w:val="20"/>
          <w:lang w:val="es-ES"/>
        </w:rPr>
        <w:t>DUPLICACIÓN</w:t>
      </w:r>
      <w:r w:rsidR="00EE00E9" w:rsidRPr="003239B8">
        <w:rPr>
          <w:rFonts w:asciiTheme="majorHAnsi" w:hAnsiTheme="majorHAnsi"/>
          <w:b/>
          <w:bCs/>
          <w:color w:val="FFFFFF" w:themeColor="background1"/>
          <w:sz w:val="20"/>
          <w:szCs w:val="20"/>
          <w:lang w:val="es-ES"/>
        </w:rPr>
        <w:t xml:space="preserve"> </w:t>
      </w:r>
      <w:r w:rsidR="00EE00E9" w:rsidRPr="003239B8">
        <w:rPr>
          <w:rFonts w:asciiTheme="majorHAnsi" w:hAnsiTheme="majorHAnsi"/>
          <w:b/>
          <w:bCs/>
          <w:sz w:val="20"/>
          <w:szCs w:val="20"/>
          <w:lang w:val="es-ES"/>
        </w:rPr>
        <w:t>DE PROCEDIMIENTOS Y COSA JUZGADA</w:t>
      </w:r>
      <w:r w:rsidR="00EE00E9" w:rsidRPr="003239B8">
        <w:rPr>
          <w:rFonts w:asciiTheme="majorHAnsi" w:hAnsiTheme="majorHAnsi"/>
          <w:b/>
          <w:bCs/>
          <w:i/>
          <w:sz w:val="20"/>
          <w:szCs w:val="20"/>
          <w:lang w:val="es-ES"/>
        </w:rPr>
        <w:t xml:space="preserve"> </w:t>
      </w:r>
      <w:r w:rsidR="00950C33" w:rsidRPr="003239B8">
        <w:rPr>
          <w:rFonts w:asciiTheme="majorHAnsi" w:hAnsiTheme="majorHAnsi"/>
          <w:b/>
          <w:bCs/>
          <w:sz w:val="20"/>
          <w:szCs w:val="20"/>
          <w:lang w:val="es-ES"/>
        </w:rPr>
        <w:t>INTERNACIONAL</w:t>
      </w:r>
      <w:r w:rsidR="00950C33">
        <w:rPr>
          <w:rFonts w:asciiTheme="majorHAnsi" w:hAnsiTheme="majorHAnsi"/>
          <w:b/>
          <w:bCs/>
          <w:sz w:val="20"/>
          <w:szCs w:val="20"/>
          <w:lang w:val="es-ES"/>
        </w:rPr>
        <w:t xml:space="preserve">, </w:t>
      </w:r>
      <w:r w:rsidR="00950C33" w:rsidRPr="003239B8">
        <w:rPr>
          <w:rFonts w:asciiTheme="majorHAnsi" w:hAnsiTheme="majorHAnsi"/>
          <w:b/>
          <w:bCs/>
          <w:sz w:val="20"/>
          <w:szCs w:val="20"/>
          <w:lang w:val="es-ES"/>
        </w:rPr>
        <w:t>CARACTERIZACIÓN</w:t>
      </w:r>
      <w:r w:rsidRPr="003239B8">
        <w:rPr>
          <w:rFonts w:asciiTheme="majorHAnsi" w:hAnsiTheme="majorHAnsi"/>
          <w:b/>
          <w:bCs/>
          <w:sz w:val="20"/>
          <w:szCs w:val="20"/>
          <w:lang w:val="es-ES"/>
        </w:rPr>
        <w:t xml:space="preserve">, </w:t>
      </w:r>
      <w:r w:rsidRPr="003239B8">
        <w:rPr>
          <w:rFonts w:asciiTheme="majorHAnsi" w:hAnsiTheme="majorHAnsi"/>
          <w:b/>
          <w:sz w:val="20"/>
          <w:szCs w:val="20"/>
          <w:lang w:val="es-ES"/>
        </w:rPr>
        <w:t>AGOTAMIENTO DE LOS RECURSOS INTERNOS Y PLAZO DE PRESENTACIÓN</w:t>
      </w: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565"/>
        <w:gridCol w:w="5677"/>
      </w:tblGrid>
      <w:tr w:rsidR="00EE00E9" w:rsidRPr="0044650C" w14:paraId="161C8568" w14:textId="77777777" w:rsidTr="004A6A54">
        <w:trPr>
          <w:cantSplit/>
        </w:trPr>
        <w:tc>
          <w:tcPr>
            <w:tcW w:w="3600" w:type="dxa"/>
            <w:tcBorders>
              <w:top w:val="single" w:sz="4" w:space="0" w:color="auto"/>
              <w:bottom w:val="single" w:sz="6" w:space="0" w:color="auto"/>
            </w:tcBorders>
            <w:shd w:val="clear" w:color="auto" w:fill="386294"/>
            <w:vAlign w:val="center"/>
          </w:tcPr>
          <w:p w14:paraId="1C72AC6C" w14:textId="77777777" w:rsidR="00EE00E9" w:rsidRPr="00DC24E3" w:rsidRDefault="00EE00E9" w:rsidP="008D2290">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Duplicación de procedimientos y cosa juzgada internacional:</w:t>
            </w:r>
          </w:p>
        </w:tc>
        <w:tc>
          <w:tcPr>
            <w:tcW w:w="5760" w:type="dxa"/>
            <w:vAlign w:val="center"/>
          </w:tcPr>
          <w:p w14:paraId="764D7F60" w14:textId="1CD9E43E" w:rsidR="00EE00E9" w:rsidRPr="00DC24E3" w:rsidRDefault="00607448" w:rsidP="008D2290">
            <w:pPr>
              <w:jc w:val="both"/>
              <w:rPr>
                <w:rFonts w:ascii="Cambria" w:hAnsi="Cambria"/>
                <w:bCs/>
                <w:sz w:val="20"/>
                <w:szCs w:val="20"/>
                <w:lang w:val="es-ES"/>
              </w:rPr>
            </w:pPr>
            <w:r>
              <w:rPr>
                <w:rFonts w:ascii="Cambria" w:hAnsi="Cambria"/>
                <w:bCs/>
                <w:sz w:val="20"/>
                <w:szCs w:val="20"/>
                <w:lang w:val="es-ES"/>
              </w:rPr>
              <w:t>No</w:t>
            </w:r>
          </w:p>
        </w:tc>
      </w:tr>
      <w:tr w:rsidR="003239B8" w:rsidRPr="00AC57D8" w14:paraId="3ED57BF3" w14:textId="77777777" w:rsidTr="004A6A54">
        <w:trPr>
          <w:cantSplit/>
        </w:trPr>
        <w:tc>
          <w:tcPr>
            <w:tcW w:w="3600" w:type="dxa"/>
            <w:tcBorders>
              <w:top w:val="single" w:sz="4" w:space="0" w:color="auto"/>
              <w:bottom w:val="single" w:sz="6" w:space="0" w:color="auto"/>
            </w:tcBorders>
            <w:shd w:val="clear" w:color="auto" w:fill="386294"/>
            <w:vAlign w:val="center"/>
          </w:tcPr>
          <w:p w14:paraId="5F36A040" w14:textId="77777777" w:rsidR="003239B8" w:rsidRPr="00DC24E3" w:rsidRDefault="003239B8" w:rsidP="008D2290">
            <w:pPr>
              <w:jc w:val="center"/>
              <w:rPr>
                <w:rFonts w:ascii="Cambria" w:hAnsi="Cambria"/>
                <w:b/>
                <w:bCs/>
                <w:i/>
                <w:color w:val="FFFFFF" w:themeColor="background1"/>
                <w:sz w:val="20"/>
                <w:szCs w:val="20"/>
              </w:rPr>
            </w:pPr>
            <w:r w:rsidRPr="00DC24E3">
              <w:rPr>
                <w:rFonts w:ascii="Cambria" w:hAnsi="Cambria"/>
                <w:b/>
                <w:bCs/>
                <w:color w:val="FFFFFF" w:themeColor="background1"/>
                <w:sz w:val="20"/>
                <w:szCs w:val="20"/>
              </w:rPr>
              <w:t>Derechos declarados admisibles</w:t>
            </w:r>
            <w:r w:rsidRPr="00DC24E3">
              <w:rPr>
                <w:rFonts w:ascii="Cambria" w:hAnsi="Cambria"/>
                <w:b/>
                <w:bCs/>
                <w:i/>
                <w:color w:val="FFFFFF" w:themeColor="background1"/>
                <w:sz w:val="20"/>
                <w:szCs w:val="20"/>
              </w:rPr>
              <w:t>:</w:t>
            </w:r>
          </w:p>
        </w:tc>
        <w:tc>
          <w:tcPr>
            <w:tcW w:w="5760" w:type="dxa"/>
            <w:vAlign w:val="center"/>
          </w:tcPr>
          <w:p w14:paraId="4DAE9D4D" w14:textId="4D8B694A" w:rsidR="003239B8" w:rsidRPr="001119B6" w:rsidRDefault="006E6439" w:rsidP="008D2290">
            <w:pPr>
              <w:jc w:val="both"/>
              <w:rPr>
                <w:rFonts w:ascii="Cambria" w:hAnsi="Cambria"/>
                <w:bCs/>
                <w:sz w:val="20"/>
                <w:szCs w:val="20"/>
                <w:lang w:val="es-ES"/>
              </w:rPr>
            </w:pPr>
            <w:r>
              <w:rPr>
                <w:rFonts w:ascii="Cambria" w:hAnsi="Cambria"/>
                <w:bCs/>
                <w:sz w:val="20"/>
                <w:szCs w:val="20"/>
                <w:lang w:val="es-CO"/>
              </w:rPr>
              <w:t>Artículos 4 (vida), 5 (integridad personal), 8 (garantías judiciales) y 25 (protección judicial) de la Convención Americana</w:t>
            </w:r>
            <w:r w:rsidR="001119B6">
              <w:rPr>
                <w:rFonts w:ascii="Cambria" w:hAnsi="Cambria"/>
                <w:bCs/>
                <w:sz w:val="20"/>
                <w:szCs w:val="20"/>
                <w:lang w:val="es-CO"/>
              </w:rPr>
              <w:t>, en relaci</w:t>
            </w:r>
            <w:r w:rsidR="001119B6">
              <w:rPr>
                <w:rFonts w:ascii="Cambria" w:hAnsi="Cambria"/>
                <w:bCs/>
                <w:sz w:val="20"/>
                <w:szCs w:val="20"/>
                <w:lang w:val="es-ES"/>
              </w:rPr>
              <w:t>ón con su artículo 1.1 (obligación de respetar los derechos)</w:t>
            </w:r>
          </w:p>
        </w:tc>
      </w:tr>
      <w:tr w:rsidR="003239B8" w:rsidRPr="00AC57D8" w14:paraId="5702249F" w14:textId="77777777" w:rsidTr="004A6A54">
        <w:trPr>
          <w:cantSplit/>
        </w:trPr>
        <w:tc>
          <w:tcPr>
            <w:tcW w:w="3600" w:type="dxa"/>
            <w:tcBorders>
              <w:top w:val="single" w:sz="6" w:space="0" w:color="auto"/>
              <w:bottom w:val="single" w:sz="6" w:space="0" w:color="auto"/>
            </w:tcBorders>
            <w:shd w:val="clear" w:color="auto" w:fill="386294"/>
            <w:vAlign w:val="center"/>
          </w:tcPr>
          <w:p w14:paraId="1F00DF1D" w14:textId="77777777" w:rsidR="003239B8" w:rsidRPr="00DC24E3" w:rsidRDefault="003239B8" w:rsidP="008D2290">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Agotamiento de recursos internos</w:t>
            </w:r>
            <w:r w:rsidR="00EE00E9" w:rsidRPr="00DC24E3">
              <w:rPr>
                <w:rFonts w:ascii="Cambria" w:hAnsi="Cambria"/>
                <w:b/>
                <w:bCs/>
                <w:color w:val="FFFFFF" w:themeColor="background1"/>
                <w:sz w:val="20"/>
                <w:szCs w:val="20"/>
                <w:lang w:val="es-ES"/>
              </w:rPr>
              <w:t xml:space="preserve"> o procedencia de una excepción</w:t>
            </w:r>
            <w:r w:rsidRPr="00DC24E3">
              <w:rPr>
                <w:rFonts w:ascii="Cambria" w:hAnsi="Cambria"/>
                <w:b/>
                <w:bCs/>
                <w:color w:val="FFFFFF" w:themeColor="background1"/>
                <w:sz w:val="20"/>
                <w:szCs w:val="20"/>
                <w:lang w:val="es-ES"/>
              </w:rPr>
              <w:t>:</w:t>
            </w:r>
          </w:p>
        </w:tc>
        <w:tc>
          <w:tcPr>
            <w:tcW w:w="5760" w:type="dxa"/>
            <w:vAlign w:val="center"/>
          </w:tcPr>
          <w:p w14:paraId="7F7C1A19" w14:textId="59C1EC3F" w:rsidR="003239B8" w:rsidRPr="00DC24E3" w:rsidRDefault="006E6439" w:rsidP="008D2290">
            <w:pPr>
              <w:rPr>
                <w:rFonts w:ascii="Cambria" w:hAnsi="Cambria"/>
                <w:bCs/>
                <w:sz w:val="20"/>
                <w:szCs w:val="20"/>
                <w:lang w:val="es-ES"/>
              </w:rPr>
            </w:pPr>
            <w:r>
              <w:rPr>
                <w:rFonts w:ascii="Cambria" w:hAnsi="Cambria"/>
                <w:bCs/>
                <w:sz w:val="20"/>
                <w:szCs w:val="20"/>
                <w:lang w:val="es-ES"/>
              </w:rPr>
              <w:t>Sí, en los términos de la Sección VI</w:t>
            </w:r>
          </w:p>
        </w:tc>
      </w:tr>
      <w:tr w:rsidR="003239B8" w:rsidRPr="00AC57D8" w14:paraId="7A101B89" w14:textId="77777777" w:rsidTr="004A6A54">
        <w:trPr>
          <w:cantSplit/>
        </w:trPr>
        <w:tc>
          <w:tcPr>
            <w:tcW w:w="3600" w:type="dxa"/>
            <w:tcBorders>
              <w:top w:val="single" w:sz="6" w:space="0" w:color="auto"/>
              <w:bottom w:val="single" w:sz="6" w:space="0" w:color="auto"/>
            </w:tcBorders>
            <w:shd w:val="clear" w:color="auto" w:fill="386294"/>
            <w:vAlign w:val="center"/>
          </w:tcPr>
          <w:p w14:paraId="0843C533" w14:textId="77777777" w:rsidR="003239B8" w:rsidRPr="00DC24E3" w:rsidRDefault="003239B8" w:rsidP="008D2290">
            <w:pPr>
              <w:jc w:val="center"/>
              <w:rPr>
                <w:rFonts w:ascii="Cambria" w:hAnsi="Cambria"/>
                <w:b/>
                <w:bCs/>
                <w:color w:val="FFFFFF" w:themeColor="background1"/>
                <w:sz w:val="20"/>
                <w:szCs w:val="20"/>
              </w:rPr>
            </w:pPr>
            <w:r w:rsidRPr="00DC24E3">
              <w:rPr>
                <w:rFonts w:ascii="Cambria" w:hAnsi="Cambria"/>
                <w:b/>
                <w:bCs/>
                <w:color w:val="FFFFFF" w:themeColor="background1"/>
                <w:sz w:val="20"/>
                <w:szCs w:val="20"/>
              </w:rPr>
              <w:t>Presentación dentro de plazo:</w:t>
            </w:r>
          </w:p>
        </w:tc>
        <w:tc>
          <w:tcPr>
            <w:tcW w:w="5760" w:type="dxa"/>
            <w:vAlign w:val="center"/>
          </w:tcPr>
          <w:p w14:paraId="2AF0FC69" w14:textId="6DE35316" w:rsidR="003239B8" w:rsidRPr="006E6439" w:rsidRDefault="006E6439" w:rsidP="008D2290">
            <w:pPr>
              <w:rPr>
                <w:rFonts w:ascii="Cambria" w:hAnsi="Cambria"/>
                <w:bCs/>
                <w:sz w:val="20"/>
                <w:szCs w:val="20"/>
                <w:lang w:val="es-CO"/>
              </w:rPr>
            </w:pPr>
            <w:r w:rsidRPr="006E6439">
              <w:rPr>
                <w:rFonts w:ascii="Cambria" w:hAnsi="Cambria"/>
                <w:bCs/>
                <w:sz w:val="20"/>
                <w:szCs w:val="20"/>
                <w:lang w:val="es-CO"/>
              </w:rPr>
              <w:t>Sí, en los términos d</w:t>
            </w:r>
            <w:r>
              <w:rPr>
                <w:rFonts w:ascii="Cambria" w:hAnsi="Cambria"/>
                <w:bCs/>
                <w:sz w:val="20"/>
                <w:szCs w:val="20"/>
                <w:lang w:val="es-CO"/>
              </w:rPr>
              <w:t>e la Sección VI</w:t>
            </w:r>
          </w:p>
        </w:tc>
      </w:tr>
    </w:tbl>
    <w:p w14:paraId="65D56B49" w14:textId="77777777" w:rsidR="0042252E" w:rsidRDefault="0042252E" w:rsidP="003239B8">
      <w:pPr>
        <w:spacing w:before="240" w:after="240"/>
        <w:ind w:firstLine="720"/>
        <w:jc w:val="both"/>
        <w:rPr>
          <w:rFonts w:asciiTheme="majorHAnsi" w:hAnsiTheme="majorHAnsi"/>
          <w:b/>
          <w:sz w:val="20"/>
          <w:szCs w:val="20"/>
          <w:lang w:val="es-UY"/>
        </w:rPr>
      </w:pPr>
    </w:p>
    <w:p w14:paraId="567E66BF" w14:textId="77777777" w:rsidR="0042252E" w:rsidRDefault="0042252E" w:rsidP="003239B8">
      <w:pPr>
        <w:spacing w:before="240" w:after="240"/>
        <w:ind w:firstLine="720"/>
        <w:jc w:val="both"/>
        <w:rPr>
          <w:rFonts w:asciiTheme="majorHAnsi" w:hAnsiTheme="majorHAnsi"/>
          <w:b/>
          <w:sz w:val="20"/>
          <w:szCs w:val="20"/>
          <w:lang w:val="es-UY"/>
        </w:rPr>
      </w:pPr>
    </w:p>
    <w:p w14:paraId="56FD5D57" w14:textId="4A3884AE" w:rsidR="003239B8" w:rsidRPr="00982E15" w:rsidRDefault="00223A29" w:rsidP="000D5960">
      <w:pPr>
        <w:spacing w:before="240" w:after="240"/>
        <w:ind w:firstLine="720"/>
        <w:jc w:val="both"/>
        <w:rPr>
          <w:rFonts w:asciiTheme="majorHAnsi" w:hAnsiTheme="majorHAnsi"/>
          <w:b/>
          <w:sz w:val="20"/>
          <w:szCs w:val="20"/>
          <w:lang w:val="es-ES"/>
        </w:rPr>
      </w:pPr>
      <w:r>
        <w:rPr>
          <w:rFonts w:asciiTheme="majorHAnsi" w:hAnsiTheme="majorHAnsi"/>
          <w:b/>
          <w:sz w:val="20"/>
          <w:szCs w:val="20"/>
          <w:lang w:val="es-UY"/>
        </w:rPr>
        <w:lastRenderedPageBreak/>
        <w:t xml:space="preserve">V. </w:t>
      </w:r>
      <w:r>
        <w:rPr>
          <w:rFonts w:asciiTheme="majorHAnsi" w:hAnsiTheme="majorHAnsi"/>
          <w:b/>
          <w:sz w:val="20"/>
          <w:szCs w:val="20"/>
          <w:lang w:val="es-UY"/>
        </w:rPr>
        <w:tab/>
      </w:r>
      <w:r w:rsidR="004241A0" w:rsidRPr="00982E15">
        <w:rPr>
          <w:rFonts w:asciiTheme="majorHAnsi" w:hAnsiTheme="majorHAnsi"/>
          <w:b/>
          <w:sz w:val="20"/>
          <w:szCs w:val="20"/>
          <w:lang w:val="es-ES"/>
        </w:rPr>
        <w:t>POSICIÓN DE LAS PARTES</w:t>
      </w:r>
      <w:r w:rsidR="003239B8" w:rsidRPr="00982E15">
        <w:rPr>
          <w:rFonts w:asciiTheme="majorHAnsi" w:hAnsiTheme="majorHAnsi"/>
          <w:b/>
          <w:sz w:val="20"/>
          <w:szCs w:val="20"/>
          <w:lang w:val="es-ES"/>
        </w:rPr>
        <w:t xml:space="preserve"> </w:t>
      </w:r>
    </w:p>
    <w:p w14:paraId="6901F992" w14:textId="2868F9D8" w:rsidR="0008158C" w:rsidRPr="00982E15" w:rsidRDefault="00125980" w:rsidP="000D5960">
      <w:pPr>
        <w:pStyle w:val="ListParagraph"/>
        <w:numPr>
          <w:ilvl w:val="0"/>
          <w:numId w:val="0"/>
        </w:numPr>
        <w:ind w:left="720"/>
        <w:jc w:val="both"/>
        <w:rPr>
          <w:rFonts w:asciiTheme="majorHAnsi" w:hAnsiTheme="majorHAnsi"/>
          <w:b/>
          <w:sz w:val="20"/>
          <w:szCs w:val="20"/>
          <w:lang w:val="es-ES"/>
        </w:rPr>
      </w:pPr>
      <w:r w:rsidRPr="00982E15">
        <w:rPr>
          <w:rFonts w:asciiTheme="majorHAnsi" w:hAnsiTheme="majorHAnsi"/>
          <w:b/>
          <w:sz w:val="20"/>
          <w:szCs w:val="20"/>
          <w:lang w:val="es-ES"/>
        </w:rPr>
        <w:t>La p</w:t>
      </w:r>
      <w:r w:rsidR="0008158C" w:rsidRPr="00982E15">
        <w:rPr>
          <w:rFonts w:asciiTheme="majorHAnsi" w:hAnsiTheme="majorHAnsi"/>
          <w:b/>
          <w:sz w:val="20"/>
          <w:szCs w:val="20"/>
          <w:lang w:val="es-ES"/>
        </w:rPr>
        <w:t>arte peticionaria</w:t>
      </w:r>
    </w:p>
    <w:p w14:paraId="53BD3EF6" w14:textId="5C6A8DF4" w:rsidR="006E621A" w:rsidRPr="00982E15" w:rsidRDefault="00460D71" w:rsidP="000D5960">
      <w:pPr>
        <w:pStyle w:val="ListParagraph"/>
        <w:numPr>
          <w:ilvl w:val="0"/>
          <w:numId w:val="61"/>
        </w:numPr>
        <w:ind w:left="0" w:firstLine="720"/>
        <w:jc w:val="both"/>
        <w:rPr>
          <w:rFonts w:asciiTheme="majorHAnsi" w:hAnsiTheme="majorHAnsi"/>
          <w:bCs/>
          <w:sz w:val="20"/>
          <w:szCs w:val="20"/>
          <w:lang w:val="es-ES"/>
        </w:rPr>
      </w:pPr>
      <w:r w:rsidRPr="00982E15">
        <w:rPr>
          <w:sz w:val="20"/>
          <w:szCs w:val="20"/>
          <w:lang w:val="es-ES"/>
        </w:rPr>
        <w:t xml:space="preserve">La parte peticionaria alega la violación de los derechos de </w:t>
      </w:r>
      <w:r w:rsidRPr="00982E15">
        <w:rPr>
          <w:bCs/>
          <w:sz w:val="20"/>
          <w:szCs w:val="20"/>
          <w:lang w:val="es-ES"/>
        </w:rPr>
        <w:t xml:space="preserve">Gerardo María Arellano Becerra y de sus familiares </w:t>
      </w:r>
      <w:r w:rsidR="00EB43A9" w:rsidRPr="00982E15">
        <w:rPr>
          <w:bCs/>
          <w:sz w:val="20"/>
          <w:szCs w:val="20"/>
          <w:lang w:val="es-ES"/>
        </w:rPr>
        <w:t xml:space="preserve">(en adelante “las presuntas víctimas”) </w:t>
      </w:r>
      <w:r w:rsidRPr="00982E15">
        <w:rPr>
          <w:bCs/>
          <w:sz w:val="20"/>
          <w:szCs w:val="20"/>
          <w:lang w:val="es-ES"/>
        </w:rPr>
        <w:t>por la impunidad que rodea el atentado</w:t>
      </w:r>
      <w:r w:rsidR="009D0537" w:rsidRPr="00982E15">
        <w:rPr>
          <w:bCs/>
          <w:sz w:val="20"/>
          <w:szCs w:val="20"/>
          <w:lang w:val="es-ES"/>
        </w:rPr>
        <w:t xml:space="preserve"> terrorista</w:t>
      </w:r>
      <w:r w:rsidRPr="00982E15">
        <w:rPr>
          <w:bCs/>
          <w:sz w:val="20"/>
          <w:szCs w:val="20"/>
          <w:lang w:val="es-ES"/>
        </w:rPr>
        <w:t xml:space="preserve"> </w:t>
      </w:r>
      <w:r w:rsidR="00B6718F" w:rsidRPr="00982E15">
        <w:rPr>
          <w:bCs/>
          <w:sz w:val="20"/>
          <w:szCs w:val="20"/>
          <w:lang w:val="es-ES"/>
        </w:rPr>
        <w:t>perpet</w:t>
      </w:r>
      <w:r w:rsidR="00597284" w:rsidRPr="00982E15">
        <w:rPr>
          <w:bCs/>
          <w:sz w:val="20"/>
          <w:szCs w:val="20"/>
          <w:lang w:val="es-ES"/>
        </w:rPr>
        <w:t>r</w:t>
      </w:r>
      <w:r w:rsidR="00B6718F" w:rsidRPr="00982E15">
        <w:rPr>
          <w:bCs/>
          <w:sz w:val="20"/>
          <w:szCs w:val="20"/>
          <w:lang w:val="es-ES"/>
        </w:rPr>
        <w:t>ado contra</w:t>
      </w:r>
      <w:r w:rsidR="00597284" w:rsidRPr="00982E15">
        <w:rPr>
          <w:bCs/>
          <w:sz w:val="20"/>
          <w:szCs w:val="20"/>
          <w:lang w:val="es-ES"/>
        </w:rPr>
        <w:t xml:space="preserve"> </w:t>
      </w:r>
      <w:r w:rsidR="0041171D" w:rsidRPr="00982E15">
        <w:rPr>
          <w:bCs/>
          <w:sz w:val="20"/>
          <w:szCs w:val="20"/>
          <w:lang w:val="es-ES"/>
        </w:rPr>
        <w:t>el</w:t>
      </w:r>
      <w:r w:rsidR="0096100E" w:rsidRPr="00982E15">
        <w:rPr>
          <w:bCs/>
          <w:sz w:val="20"/>
          <w:szCs w:val="20"/>
          <w:lang w:val="es-ES"/>
        </w:rPr>
        <w:t xml:space="preserve"> avión</w:t>
      </w:r>
      <w:r w:rsidR="0022331E" w:rsidRPr="00982E15">
        <w:rPr>
          <w:bCs/>
          <w:sz w:val="20"/>
          <w:szCs w:val="20"/>
          <w:lang w:val="es-ES"/>
        </w:rPr>
        <w:t xml:space="preserve"> en el que éste viajaba</w:t>
      </w:r>
      <w:r w:rsidR="0042252E" w:rsidRPr="00982E15">
        <w:rPr>
          <w:bCs/>
          <w:sz w:val="20"/>
          <w:szCs w:val="20"/>
          <w:lang w:val="es-ES"/>
        </w:rPr>
        <w:t>,</w:t>
      </w:r>
      <w:r w:rsidR="0022331E" w:rsidRPr="00982E15">
        <w:rPr>
          <w:bCs/>
          <w:sz w:val="20"/>
          <w:szCs w:val="20"/>
          <w:lang w:val="es-ES"/>
        </w:rPr>
        <w:t xml:space="preserve"> y por el cual falleció el 27 de noviembre de 1989.</w:t>
      </w:r>
    </w:p>
    <w:p w14:paraId="12CD0D3A" w14:textId="350F8968" w:rsidR="009723BA" w:rsidRPr="00982E15" w:rsidRDefault="00EB43A9" w:rsidP="000D5960">
      <w:pPr>
        <w:pStyle w:val="ListParagraph"/>
        <w:numPr>
          <w:ilvl w:val="0"/>
          <w:numId w:val="61"/>
        </w:numPr>
        <w:ind w:left="0" w:firstLine="720"/>
        <w:jc w:val="both"/>
        <w:rPr>
          <w:rFonts w:asciiTheme="majorHAnsi" w:hAnsiTheme="majorHAnsi"/>
          <w:bCs/>
          <w:sz w:val="20"/>
          <w:szCs w:val="20"/>
          <w:lang w:val="es-ES"/>
        </w:rPr>
      </w:pPr>
      <w:r w:rsidRPr="00982E15">
        <w:rPr>
          <w:sz w:val="20"/>
          <w:szCs w:val="20"/>
          <w:lang w:val="es-ES"/>
        </w:rPr>
        <w:t>A modo de contexto, la parte peticionaria explica</w:t>
      </w:r>
      <w:r w:rsidR="00173458" w:rsidRPr="00982E15">
        <w:rPr>
          <w:sz w:val="20"/>
          <w:szCs w:val="20"/>
          <w:lang w:val="es-ES"/>
        </w:rPr>
        <w:t xml:space="preserve"> que en </w:t>
      </w:r>
      <w:r w:rsidR="0042252E" w:rsidRPr="00982E15">
        <w:rPr>
          <w:sz w:val="20"/>
          <w:szCs w:val="20"/>
          <w:lang w:val="es-ES"/>
        </w:rPr>
        <w:t>medio</w:t>
      </w:r>
      <w:r w:rsidR="00173458" w:rsidRPr="00982E15">
        <w:rPr>
          <w:sz w:val="20"/>
          <w:szCs w:val="20"/>
          <w:lang w:val="es-ES"/>
        </w:rPr>
        <w:t xml:space="preserve"> del conflicto armado en la década de los ochenta, </w:t>
      </w:r>
      <w:r w:rsidR="007E2C85" w:rsidRPr="00982E15">
        <w:rPr>
          <w:sz w:val="20"/>
          <w:szCs w:val="20"/>
          <w:lang w:val="es-ES"/>
        </w:rPr>
        <w:t>grandes carteles del narcotráfico se aliaron con grupos paramilitares</w:t>
      </w:r>
      <w:r w:rsidR="003A49C2" w:rsidRPr="00982E15">
        <w:rPr>
          <w:sz w:val="20"/>
          <w:szCs w:val="20"/>
          <w:lang w:val="es-ES"/>
        </w:rPr>
        <w:t>.</w:t>
      </w:r>
      <w:r w:rsidR="007E2C85" w:rsidRPr="00982E15">
        <w:rPr>
          <w:sz w:val="20"/>
          <w:szCs w:val="20"/>
          <w:lang w:val="es-ES"/>
        </w:rPr>
        <w:t xml:space="preserve"> </w:t>
      </w:r>
      <w:r w:rsidR="00520067" w:rsidRPr="00982E15">
        <w:rPr>
          <w:sz w:val="20"/>
          <w:szCs w:val="20"/>
          <w:lang w:val="es-ES"/>
        </w:rPr>
        <w:t>Así,</w:t>
      </w:r>
      <w:r w:rsidR="007E2C85" w:rsidRPr="00982E15">
        <w:rPr>
          <w:sz w:val="20"/>
          <w:szCs w:val="20"/>
          <w:lang w:val="es-ES"/>
        </w:rPr>
        <w:t xml:space="preserve"> </w:t>
      </w:r>
      <w:r w:rsidR="00761BB8" w:rsidRPr="00982E15">
        <w:rPr>
          <w:sz w:val="20"/>
          <w:szCs w:val="20"/>
          <w:lang w:val="es-ES"/>
        </w:rPr>
        <w:t xml:space="preserve">con </w:t>
      </w:r>
      <w:r w:rsidR="007E2C85" w:rsidRPr="00982E15">
        <w:rPr>
          <w:sz w:val="20"/>
          <w:szCs w:val="20"/>
          <w:lang w:val="es-ES"/>
        </w:rPr>
        <w:t>el Cartel de Medellín y otros grupos criminales ejecutaron atentados terroristas c</w:t>
      </w:r>
      <w:r w:rsidR="00C87BA0" w:rsidRPr="00982E15">
        <w:rPr>
          <w:sz w:val="20"/>
          <w:szCs w:val="20"/>
          <w:lang w:val="es-ES"/>
        </w:rPr>
        <w:t>ontra instituciones de la administración pública para impedir la extradición de sus líderes a Estados Unidos</w:t>
      </w:r>
      <w:r w:rsidR="007243E4" w:rsidRPr="00982E15">
        <w:rPr>
          <w:sz w:val="20"/>
          <w:szCs w:val="20"/>
          <w:lang w:val="es-ES"/>
        </w:rPr>
        <w:t>.</w:t>
      </w:r>
      <w:r w:rsidR="00C56BAE" w:rsidRPr="00982E15">
        <w:rPr>
          <w:sz w:val="20"/>
          <w:szCs w:val="20"/>
          <w:lang w:val="es-ES"/>
        </w:rPr>
        <w:t xml:space="preserve"> </w:t>
      </w:r>
      <w:r w:rsidR="007243E4" w:rsidRPr="00982E15">
        <w:rPr>
          <w:sz w:val="20"/>
          <w:szCs w:val="20"/>
          <w:lang w:val="es-ES"/>
        </w:rPr>
        <w:t>E</w:t>
      </w:r>
      <w:r w:rsidR="00C56BAE" w:rsidRPr="00982E15">
        <w:rPr>
          <w:sz w:val="20"/>
          <w:szCs w:val="20"/>
          <w:lang w:val="es-ES"/>
        </w:rPr>
        <w:t>ntre ello</w:t>
      </w:r>
      <w:r w:rsidR="00C06BFC" w:rsidRPr="00982E15">
        <w:rPr>
          <w:sz w:val="20"/>
          <w:szCs w:val="20"/>
          <w:lang w:val="es-ES"/>
        </w:rPr>
        <w:t>s</w:t>
      </w:r>
      <w:r w:rsidR="007243E4" w:rsidRPr="00982E15">
        <w:rPr>
          <w:sz w:val="20"/>
          <w:szCs w:val="20"/>
          <w:lang w:val="es-ES"/>
        </w:rPr>
        <w:t>, destaca</w:t>
      </w:r>
      <w:r w:rsidR="00C06BFC" w:rsidRPr="00982E15">
        <w:rPr>
          <w:sz w:val="20"/>
          <w:szCs w:val="20"/>
          <w:lang w:val="es-ES"/>
        </w:rPr>
        <w:t xml:space="preserve"> el asesinato de candidatos presidenciales</w:t>
      </w:r>
      <w:r w:rsidR="00AD6D1A" w:rsidRPr="00982E15">
        <w:rPr>
          <w:sz w:val="20"/>
          <w:szCs w:val="20"/>
          <w:lang w:val="es-ES"/>
        </w:rPr>
        <w:t>;</w:t>
      </w:r>
      <w:r w:rsidR="00C06BFC" w:rsidRPr="00982E15">
        <w:rPr>
          <w:sz w:val="20"/>
          <w:szCs w:val="20"/>
          <w:lang w:val="es-ES"/>
        </w:rPr>
        <w:t xml:space="preserve"> una bomba </w:t>
      </w:r>
      <w:r w:rsidR="000E6830" w:rsidRPr="00982E15">
        <w:rPr>
          <w:sz w:val="20"/>
          <w:szCs w:val="20"/>
          <w:lang w:val="es-ES"/>
        </w:rPr>
        <w:t>en el</w:t>
      </w:r>
      <w:r w:rsidR="00C06BFC" w:rsidRPr="00982E15">
        <w:rPr>
          <w:sz w:val="20"/>
          <w:szCs w:val="20"/>
          <w:lang w:val="es-ES"/>
        </w:rPr>
        <w:t xml:space="preserve"> edificio del periódico El Espectador y </w:t>
      </w:r>
      <w:r w:rsidR="000E6830" w:rsidRPr="00982E15">
        <w:rPr>
          <w:sz w:val="20"/>
          <w:szCs w:val="20"/>
          <w:lang w:val="es-ES"/>
        </w:rPr>
        <w:t>en el</w:t>
      </w:r>
      <w:r w:rsidR="00C06BFC" w:rsidRPr="00982E15">
        <w:rPr>
          <w:sz w:val="20"/>
          <w:szCs w:val="20"/>
          <w:lang w:val="es-ES"/>
        </w:rPr>
        <w:t xml:space="preserve"> del Departamento Administrativo de Seguridad (</w:t>
      </w:r>
      <w:r w:rsidR="00B33B26" w:rsidRPr="00982E15">
        <w:rPr>
          <w:sz w:val="20"/>
          <w:szCs w:val="20"/>
          <w:lang w:val="es-ES"/>
        </w:rPr>
        <w:t xml:space="preserve">en adelante </w:t>
      </w:r>
      <w:r w:rsidR="00C06BFC" w:rsidRPr="00982E15">
        <w:rPr>
          <w:sz w:val="20"/>
          <w:szCs w:val="20"/>
          <w:lang w:val="es-ES"/>
        </w:rPr>
        <w:t>“DAS”)</w:t>
      </w:r>
      <w:r w:rsidR="00AD6D1A" w:rsidRPr="00982E15">
        <w:rPr>
          <w:sz w:val="20"/>
          <w:szCs w:val="20"/>
          <w:lang w:val="es-ES"/>
        </w:rPr>
        <w:t>;</w:t>
      </w:r>
      <w:r w:rsidR="007243E4" w:rsidRPr="00982E15">
        <w:rPr>
          <w:sz w:val="20"/>
          <w:szCs w:val="20"/>
          <w:lang w:val="es-ES"/>
        </w:rPr>
        <w:t xml:space="preserve"> y la bomba a un avión de Avianca</w:t>
      </w:r>
      <w:r w:rsidR="00AD6D1A" w:rsidRPr="00982E15">
        <w:rPr>
          <w:sz w:val="20"/>
          <w:szCs w:val="20"/>
          <w:lang w:val="es-ES"/>
        </w:rPr>
        <w:t>,</w:t>
      </w:r>
      <w:r w:rsidR="007243E4" w:rsidRPr="00982E15">
        <w:rPr>
          <w:sz w:val="20"/>
          <w:szCs w:val="20"/>
          <w:lang w:val="es-ES"/>
        </w:rPr>
        <w:t xml:space="preserve"> que </w:t>
      </w:r>
      <w:r w:rsidR="00E504E4" w:rsidRPr="00982E15">
        <w:rPr>
          <w:sz w:val="20"/>
          <w:szCs w:val="20"/>
          <w:lang w:val="es-ES"/>
        </w:rPr>
        <w:t xml:space="preserve">generó los hechos </w:t>
      </w:r>
      <w:r w:rsidR="007243E4" w:rsidRPr="00982E15">
        <w:rPr>
          <w:sz w:val="20"/>
          <w:szCs w:val="20"/>
          <w:lang w:val="es-ES"/>
        </w:rPr>
        <w:t xml:space="preserve">objeto de </w:t>
      </w:r>
      <w:r w:rsidR="00E504E4" w:rsidRPr="00982E15">
        <w:rPr>
          <w:sz w:val="20"/>
          <w:szCs w:val="20"/>
          <w:lang w:val="es-ES"/>
        </w:rPr>
        <w:t>esta</w:t>
      </w:r>
      <w:r w:rsidR="007243E4" w:rsidRPr="00982E15">
        <w:rPr>
          <w:sz w:val="20"/>
          <w:szCs w:val="20"/>
          <w:lang w:val="es-ES"/>
        </w:rPr>
        <w:t xml:space="preserve"> petición</w:t>
      </w:r>
      <w:r w:rsidR="00AB6032" w:rsidRPr="00982E15">
        <w:rPr>
          <w:sz w:val="20"/>
          <w:szCs w:val="20"/>
          <w:lang w:val="es-ES"/>
        </w:rPr>
        <w:t>.</w:t>
      </w:r>
    </w:p>
    <w:p w14:paraId="7CFB56BF" w14:textId="46F4D4CC" w:rsidR="006E621A" w:rsidRPr="00982E15" w:rsidRDefault="009723BA" w:rsidP="000D5960">
      <w:pPr>
        <w:pStyle w:val="ListParagraph"/>
        <w:numPr>
          <w:ilvl w:val="0"/>
          <w:numId w:val="61"/>
        </w:numPr>
        <w:ind w:left="0" w:firstLine="720"/>
        <w:jc w:val="both"/>
        <w:rPr>
          <w:rFonts w:asciiTheme="majorHAnsi" w:hAnsiTheme="majorHAnsi"/>
          <w:bCs/>
          <w:sz w:val="20"/>
          <w:szCs w:val="20"/>
          <w:lang w:val="es-ES"/>
        </w:rPr>
      </w:pPr>
      <w:r w:rsidRPr="00982E15">
        <w:rPr>
          <w:sz w:val="20"/>
          <w:szCs w:val="20"/>
          <w:lang w:val="es-ES"/>
        </w:rPr>
        <w:t xml:space="preserve">En este contexto, el </w:t>
      </w:r>
      <w:r w:rsidR="0097640C" w:rsidRPr="00982E15">
        <w:rPr>
          <w:sz w:val="20"/>
          <w:szCs w:val="20"/>
          <w:lang w:val="es-ES"/>
        </w:rPr>
        <w:t>2</w:t>
      </w:r>
      <w:r w:rsidRPr="00982E15">
        <w:rPr>
          <w:sz w:val="20"/>
          <w:szCs w:val="20"/>
          <w:lang w:val="es-ES"/>
        </w:rPr>
        <w:t>7 de</w:t>
      </w:r>
      <w:r w:rsidR="007F1CAB" w:rsidRPr="00982E15">
        <w:rPr>
          <w:sz w:val="20"/>
          <w:szCs w:val="20"/>
          <w:lang w:val="es-ES"/>
        </w:rPr>
        <w:t xml:space="preserve"> noviembre de 1989 a las 7:00 a.m. despegó el avión </w:t>
      </w:r>
      <w:r w:rsidR="00CC3CC3" w:rsidRPr="00982E15">
        <w:rPr>
          <w:sz w:val="20"/>
          <w:szCs w:val="20"/>
          <w:lang w:val="es-ES"/>
        </w:rPr>
        <w:t xml:space="preserve">de la empresa Avianca con matrícula HK 1803 </w:t>
      </w:r>
      <w:r w:rsidR="00254126" w:rsidRPr="00982E15">
        <w:rPr>
          <w:sz w:val="20"/>
          <w:szCs w:val="20"/>
          <w:lang w:val="es-ES"/>
        </w:rPr>
        <w:t xml:space="preserve">desde el Aeropuerto El Dorado de la ciudad de Bogotá para cubrir la ruta del </w:t>
      </w:r>
      <w:r w:rsidR="00E71CC3" w:rsidRPr="00982E15">
        <w:rPr>
          <w:sz w:val="20"/>
          <w:szCs w:val="20"/>
          <w:lang w:val="es-ES"/>
        </w:rPr>
        <w:t>V</w:t>
      </w:r>
      <w:r w:rsidR="00254126" w:rsidRPr="00982E15">
        <w:rPr>
          <w:sz w:val="20"/>
          <w:szCs w:val="20"/>
          <w:lang w:val="es-ES"/>
        </w:rPr>
        <w:t xml:space="preserve">uelo 203 </w:t>
      </w:r>
      <w:r w:rsidR="007F1CAB" w:rsidRPr="00982E15">
        <w:rPr>
          <w:sz w:val="20"/>
          <w:szCs w:val="20"/>
          <w:lang w:val="es-ES"/>
        </w:rPr>
        <w:t>con destino a la ciudad de Santiago de Cali.</w:t>
      </w:r>
      <w:r w:rsidR="00254126" w:rsidRPr="00982E15">
        <w:rPr>
          <w:sz w:val="20"/>
          <w:szCs w:val="20"/>
          <w:lang w:val="es-ES"/>
        </w:rPr>
        <w:t xml:space="preserve"> </w:t>
      </w:r>
      <w:r w:rsidR="00B77D4F" w:rsidRPr="00982E15">
        <w:rPr>
          <w:sz w:val="20"/>
          <w:szCs w:val="20"/>
          <w:lang w:val="es-ES"/>
        </w:rPr>
        <w:t>Sin embargo, a</w:t>
      </w:r>
      <w:r w:rsidR="00BE4545" w:rsidRPr="00982E15">
        <w:rPr>
          <w:sz w:val="20"/>
          <w:szCs w:val="20"/>
          <w:lang w:val="es-ES"/>
        </w:rPr>
        <w:t xml:space="preserve"> las 7:06 a.m. </w:t>
      </w:r>
      <w:r w:rsidR="00E860D8" w:rsidRPr="00982E15">
        <w:rPr>
          <w:sz w:val="20"/>
          <w:szCs w:val="20"/>
          <w:lang w:val="es-ES"/>
        </w:rPr>
        <w:t>detonó</w:t>
      </w:r>
      <w:r w:rsidR="00A0629E" w:rsidRPr="00982E15">
        <w:rPr>
          <w:sz w:val="20"/>
          <w:szCs w:val="20"/>
          <w:lang w:val="es-ES"/>
        </w:rPr>
        <w:t xml:space="preserve"> en pleno vuelo</w:t>
      </w:r>
      <w:r w:rsidR="00E860D8" w:rsidRPr="00982E15">
        <w:rPr>
          <w:sz w:val="20"/>
          <w:szCs w:val="20"/>
          <w:lang w:val="es-ES"/>
        </w:rPr>
        <w:t xml:space="preserve"> un explosivo ubicado en la silla 15F del ala derech</w:t>
      </w:r>
      <w:r w:rsidR="000E7F94" w:rsidRPr="00982E15">
        <w:rPr>
          <w:sz w:val="20"/>
          <w:szCs w:val="20"/>
          <w:lang w:val="es-ES"/>
        </w:rPr>
        <w:t>a</w:t>
      </w:r>
      <w:r w:rsidR="00E860D8" w:rsidRPr="00982E15">
        <w:rPr>
          <w:sz w:val="20"/>
          <w:szCs w:val="20"/>
          <w:lang w:val="es-ES"/>
        </w:rPr>
        <w:t xml:space="preserve"> del avión, lo que provocó la explosión de los tanques de com</w:t>
      </w:r>
      <w:r w:rsidR="00573321" w:rsidRPr="00982E15">
        <w:rPr>
          <w:sz w:val="20"/>
          <w:szCs w:val="20"/>
          <w:lang w:val="es-ES"/>
        </w:rPr>
        <w:t xml:space="preserve">bustible </w:t>
      </w:r>
      <w:r w:rsidR="007D0E9B" w:rsidRPr="00982E15">
        <w:rPr>
          <w:sz w:val="20"/>
          <w:szCs w:val="20"/>
          <w:lang w:val="es-ES"/>
        </w:rPr>
        <w:t xml:space="preserve">y la destrucción de la aeronave </w:t>
      </w:r>
      <w:r w:rsidR="00066B9D" w:rsidRPr="00982E15">
        <w:rPr>
          <w:sz w:val="20"/>
          <w:szCs w:val="20"/>
          <w:lang w:val="es-ES"/>
        </w:rPr>
        <w:t>sobre las montañas del municipio de Soacha, Cundinamarca, ocasionando la muerte de sus ocupantes</w:t>
      </w:r>
      <w:r w:rsidR="00622337" w:rsidRPr="00982E15">
        <w:rPr>
          <w:sz w:val="20"/>
          <w:szCs w:val="20"/>
          <w:lang w:val="es-ES"/>
        </w:rPr>
        <w:t xml:space="preserve"> </w:t>
      </w:r>
      <w:r w:rsidR="00066B9D" w:rsidRPr="00982E15">
        <w:rPr>
          <w:sz w:val="20"/>
          <w:szCs w:val="20"/>
          <w:lang w:val="es-ES"/>
        </w:rPr>
        <w:t xml:space="preserve">y de tres </w:t>
      </w:r>
      <w:r w:rsidR="006858B1" w:rsidRPr="00982E15">
        <w:rPr>
          <w:sz w:val="20"/>
          <w:szCs w:val="20"/>
          <w:lang w:val="es-ES"/>
        </w:rPr>
        <w:t>agricultores que estaban ese día en la zona del impacto</w:t>
      </w:r>
      <w:r w:rsidR="00066B9D" w:rsidRPr="00982E15">
        <w:rPr>
          <w:sz w:val="20"/>
          <w:szCs w:val="20"/>
          <w:lang w:val="es-ES"/>
        </w:rPr>
        <w:t>.</w:t>
      </w:r>
      <w:r w:rsidR="00622337" w:rsidRPr="00982E15">
        <w:rPr>
          <w:sz w:val="20"/>
          <w:szCs w:val="20"/>
          <w:lang w:val="es-ES"/>
        </w:rPr>
        <w:t xml:space="preserve"> </w:t>
      </w:r>
      <w:r w:rsidR="00B23619" w:rsidRPr="00982E15">
        <w:rPr>
          <w:sz w:val="20"/>
          <w:szCs w:val="20"/>
          <w:lang w:val="es-ES"/>
        </w:rPr>
        <w:t>E</w:t>
      </w:r>
      <w:r w:rsidR="00622337" w:rsidRPr="00982E15">
        <w:rPr>
          <w:sz w:val="20"/>
          <w:szCs w:val="20"/>
          <w:lang w:val="es-ES"/>
        </w:rPr>
        <w:t xml:space="preserve">l </w:t>
      </w:r>
      <w:r w:rsidR="00076D1A" w:rsidRPr="00982E15">
        <w:rPr>
          <w:sz w:val="20"/>
          <w:szCs w:val="20"/>
          <w:lang w:val="es-ES"/>
        </w:rPr>
        <w:t xml:space="preserve">señor Gerardo María </w:t>
      </w:r>
      <w:r w:rsidR="00622337" w:rsidRPr="00982E15">
        <w:rPr>
          <w:sz w:val="20"/>
          <w:szCs w:val="20"/>
          <w:lang w:val="es-ES"/>
        </w:rPr>
        <w:t>Arellano Becerra</w:t>
      </w:r>
      <w:r w:rsidR="009B3F5F" w:rsidRPr="00982E15">
        <w:rPr>
          <w:sz w:val="20"/>
          <w:szCs w:val="20"/>
          <w:lang w:val="es-ES"/>
        </w:rPr>
        <w:t xml:space="preserve"> se encontraba en </w:t>
      </w:r>
      <w:r w:rsidR="00B23619" w:rsidRPr="00982E15">
        <w:rPr>
          <w:sz w:val="20"/>
          <w:szCs w:val="20"/>
          <w:lang w:val="es-ES"/>
        </w:rPr>
        <w:t>ese vuelo</w:t>
      </w:r>
      <w:r w:rsidR="009B3F5F" w:rsidRPr="00982E15">
        <w:rPr>
          <w:sz w:val="20"/>
          <w:szCs w:val="20"/>
          <w:lang w:val="es-ES"/>
        </w:rPr>
        <w:t xml:space="preserve">, </w:t>
      </w:r>
      <w:r w:rsidR="00B23619" w:rsidRPr="00982E15">
        <w:rPr>
          <w:sz w:val="20"/>
          <w:szCs w:val="20"/>
          <w:lang w:val="es-ES"/>
        </w:rPr>
        <w:t>t</w:t>
      </w:r>
      <w:r w:rsidR="009B3F5F" w:rsidRPr="00982E15">
        <w:rPr>
          <w:sz w:val="20"/>
          <w:szCs w:val="20"/>
          <w:lang w:val="es-ES"/>
        </w:rPr>
        <w:t xml:space="preserve">enía </w:t>
      </w:r>
      <w:r w:rsidR="00FF4CDC" w:rsidRPr="00982E15">
        <w:rPr>
          <w:sz w:val="20"/>
          <w:szCs w:val="20"/>
          <w:lang w:val="es-ES"/>
        </w:rPr>
        <w:t>4</w:t>
      </w:r>
      <w:r w:rsidR="009B3F5F" w:rsidRPr="00982E15">
        <w:rPr>
          <w:sz w:val="20"/>
          <w:szCs w:val="20"/>
          <w:lang w:val="es-ES"/>
        </w:rPr>
        <w:t>2 años</w:t>
      </w:r>
      <w:r w:rsidR="00AD6D1A" w:rsidRPr="00982E15">
        <w:rPr>
          <w:sz w:val="20"/>
          <w:szCs w:val="20"/>
          <w:lang w:val="es-ES"/>
        </w:rPr>
        <w:t>,</w:t>
      </w:r>
      <w:r w:rsidR="009B3F5F" w:rsidRPr="00982E15">
        <w:rPr>
          <w:sz w:val="20"/>
          <w:szCs w:val="20"/>
          <w:lang w:val="es-ES"/>
        </w:rPr>
        <w:t xml:space="preserve"> y </w:t>
      </w:r>
      <w:r w:rsidR="008C23E4" w:rsidRPr="00982E15">
        <w:rPr>
          <w:sz w:val="20"/>
          <w:szCs w:val="20"/>
          <w:lang w:val="es-ES"/>
        </w:rPr>
        <w:t>era</w:t>
      </w:r>
      <w:r w:rsidR="009B3F5F" w:rsidRPr="00982E15">
        <w:rPr>
          <w:sz w:val="20"/>
          <w:szCs w:val="20"/>
          <w:lang w:val="es-ES"/>
        </w:rPr>
        <w:t xml:space="preserve"> un destacado artista colombiano reconocido a nivel internacional.</w:t>
      </w:r>
    </w:p>
    <w:p w14:paraId="692A8D2E" w14:textId="01D8A995" w:rsidR="00111AAD" w:rsidRPr="00AC57D8" w:rsidRDefault="00EB415D" w:rsidP="5754DE8B">
      <w:pPr>
        <w:pStyle w:val="ListParagraph"/>
        <w:ind w:left="0" w:firstLine="720"/>
        <w:jc w:val="both"/>
        <w:rPr>
          <w:sz w:val="20"/>
          <w:szCs w:val="20"/>
          <w:lang w:val="es-ES"/>
        </w:rPr>
      </w:pPr>
      <w:r w:rsidRPr="00AC57D8">
        <w:rPr>
          <w:sz w:val="20"/>
          <w:szCs w:val="20"/>
          <w:lang w:val="es-ES"/>
        </w:rPr>
        <w:t xml:space="preserve">La parte peticionaria asegura que </w:t>
      </w:r>
      <w:r w:rsidR="008A5C01" w:rsidRPr="00AC57D8">
        <w:rPr>
          <w:sz w:val="20"/>
          <w:szCs w:val="20"/>
          <w:lang w:val="es-ES"/>
        </w:rPr>
        <w:t xml:space="preserve">el atentado fue perpetrado </w:t>
      </w:r>
      <w:r w:rsidR="0042699F" w:rsidRPr="00AC57D8">
        <w:rPr>
          <w:sz w:val="20"/>
          <w:szCs w:val="20"/>
          <w:lang w:val="es-ES"/>
        </w:rPr>
        <w:t xml:space="preserve">por el Cartel de Medellín </w:t>
      </w:r>
      <w:r w:rsidR="00280FCB" w:rsidRPr="00AC57D8">
        <w:rPr>
          <w:sz w:val="20"/>
          <w:szCs w:val="20"/>
          <w:lang w:val="es-ES"/>
        </w:rPr>
        <w:t>e iba dirigido contra el entonces candidato presidencial César Gaviria, quien iba a tomar ese vuelo, pero</w:t>
      </w:r>
      <w:r w:rsidR="00AD6D1A" w:rsidRPr="00AC57D8">
        <w:rPr>
          <w:sz w:val="20"/>
          <w:szCs w:val="20"/>
          <w:lang w:val="es-ES"/>
        </w:rPr>
        <w:t xml:space="preserve"> que</w:t>
      </w:r>
      <w:r w:rsidR="00280FCB" w:rsidRPr="00AC57D8">
        <w:rPr>
          <w:sz w:val="20"/>
          <w:szCs w:val="20"/>
          <w:lang w:val="es-ES"/>
        </w:rPr>
        <w:t xml:space="preserve"> por amenazas previas cambió su itinerario.</w:t>
      </w:r>
      <w:r w:rsidR="004770CB" w:rsidRPr="00AC57D8">
        <w:rPr>
          <w:sz w:val="20"/>
          <w:szCs w:val="20"/>
          <w:lang w:val="es-ES"/>
        </w:rPr>
        <w:t xml:space="preserve"> </w:t>
      </w:r>
      <w:r w:rsidR="007E1386" w:rsidRPr="00AC57D8">
        <w:rPr>
          <w:sz w:val="20"/>
          <w:szCs w:val="20"/>
          <w:lang w:val="es-ES"/>
        </w:rPr>
        <w:t>Afirma que miembros del Cartel de Medellín testificaron que el explosivo ingresó al avión fácilmente, sin ningún tipo de controles o requisas</w:t>
      </w:r>
      <w:r w:rsidR="007615F7" w:rsidRPr="00AC57D8">
        <w:rPr>
          <w:sz w:val="20"/>
          <w:szCs w:val="20"/>
          <w:lang w:val="es-ES"/>
        </w:rPr>
        <w:t xml:space="preserve"> por</w:t>
      </w:r>
      <w:r w:rsidR="007E1386" w:rsidRPr="00AC57D8">
        <w:rPr>
          <w:sz w:val="20"/>
          <w:szCs w:val="20"/>
          <w:lang w:val="es-ES"/>
        </w:rPr>
        <w:t xml:space="preserve"> </w:t>
      </w:r>
      <w:r w:rsidR="007615F7" w:rsidRPr="00AC57D8">
        <w:rPr>
          <w:sz w:val="20"/>
          <w:szCs w:val="20"/>
          <w:lang w:val="es-ES"/>
        </w:rPr>
        <w:t xml:space="preserve">las </w:t>
      </w:r>
      <w:r w:rsidR="00B67E09" w:rsidRPr="00AC57D8">
        <w:rPr>
          <w:sz w:val="20"/>
          <w:szCs w:val="20"/>
          <w:lang w:val="es-ES"/>
        </w:rPr>
        <w:t>autoridades</w:t>
      </w:r>
      <w:r w:rsidR="007615F7" w:rsidRPr="00AC57D8">
        <w:rPr>
          <w:sz w:val="20"/>
          <w:szCs w:val="20"/>
          <w:lang w:val="es-ES"/>
        </w:rPr>
        <w:t xml:space="preserve"> aeroportuarias porque existió colaboración de parte de funcionarios del DAS</w:t>
      </w:r>
      <w:r w:rsidR="008677E9" w:rsidRPr="00AC57D8">
        <w:rPr>
          <w:sz w:val="20"/>
          <w:szCs w:val="20"/>
          <w:lang w:val="es-ES"/>
        </w:rPr>
        <w:t xml:space="preserve">, “en virtud de </w:t>
      </w:r>
      <w:r w:rsidR="00D200D8" w:rsidRPr="00AC57D8">
        <w:rPr>
          <w:sz w:val="20"/>
          <w:szCs w:val="20"/>
          <w:lang w:val="es-ES"/>
        </w:rPr>
        <w:t>la alianza de esta institución con el jefe paramilitar Carlos Castaño Gil, y las relaciones de este último con Pablo Escobar”.</w:t>
      </w:r>
    </w:p>
    <w:p w14:paraId="01A04553" w14:textId="0FB754A1" w:rsidR="00DD523B" w:rsidRPr="00982E15" w:rsidRDefault="00E04A66" w:rsidP="000D5960">
      <w:pPr>
        <w:pStyle w:val="ListParagraph"/>
        <w:numPr>
          <w:ilvl w:val="0"/>
          <w:numId w:val="61"/>
        </w:numPr>
        <w:ind w:left="0" w:firstLine="720"/>
        <w:jc w:val="both"/>
        <w:rPr>
          <w:rFonts w:asciiTheme="majorHAnsi" w:hAnsiTheme="majorHAnsi"/>
          <w:bCs/>
          <w:sz w:val="20"/>
          <w:szCs w:val="20"/>
          <w:lang w:val="es-ES"/>
        </w:rPr>
      </w:pPr>
      <w:r w:rsidRPr="00982E15">
        <w:rPr>
          <w:rFonts w:asciiTheme="majorHAnsi" w:hAnsiTheme="majorHAnsi"/>
          <w:bCs/>
          <w:sz w:val="20"/>
          <w:szCs w:val="20"/>
          <w:lang w:val="es-ES"/>
        </w:rPr>
        <w:t xml:space="preserve">En cuanto a la investigación, </w:t>
      </w:r>
      <w:r w:rsidR="001F0856" w:rsidRPr="00982E15">
        <w:rPr>
          <w:rFonts w:asciiTheme="majorHAnsi" w:hAnsiTheme="majorHAnsi"/>
          <w:bCs/>
          <w:sz w:val="20"/>
          <w:szCs w:val="20"/>
          <w:lang w:val="es-ES"/>
        </w:rPr>
        <w:t xml:space="preserve">los peticionarios </w:t>
      </w:r>
      <w:r w:rsidR="00F9265E" w:rsidRPr="00982E15">
        <w:rPr>
          <w:rFonts w:asciiTheme="majorHAnsi" w:hAnsiTheme="majorHAnsi"/>
          <w:bCs/>
          <w:sz w:val="20"/>
          <w:szCs w:val="20"/>
          <w:lang w:val="es-ES"/>
        </w:rPr>
        <w:t>indican</w:t>
      </w:r>
      <w:r w:rsidR="008815A5" w:rsidRPr="00982E15">
        <w:rPr>
          <w:rFonts w:asciiTheme="majorHAnsi" w:hAnsiTheme="majorHAnsi"/>
          <w:bCs/>
          <w:sz w:val="20"/>
          <w:szCs w:val="20"/>
          <w:lang w:val="es-ES"/>
        </w:rPr>
        <w:t xml:space="preserve"> que </w:t>
      </w:r>
      <w:r w:rsidR="00DA113A" w:rsidRPr="00982E15">
        <w:rPr>
          <w:rFonts w:asciiTheme="majorHAnsi" w:hAnsiTheme="majorHAnsi"/>
          <w:bCs/>
          <w:sz w:val="20"/>
          <w:szCs w:val="20"/>
          <w:lang w:val="es-ES"/>
        </w:rPr>
        <w:t xml:space="preserve">el 8 de enero de 1991 </w:t>
      </w:r>
      <w:r w:rsidR="009940D0" w:rsidRPr="00982E15">
        <w:rPr>
          <w:rFonts w:asciiTheme="majorHAnsi" w:hAnsiTheme="majorHAnsi"/>
          <w:bCs/>
          <w:sz w:val="20"/>
          <w:szCs w:val="20"/>
          <w:lang w:val="es-ES"/>
        </w:rPr>
        <w:t xml:space="preserve">el Juzgado Séptimo de Orden Público de Bogotá profirió la orden de abrir instrucción </w:t>
      </w:r>
      <w:r w:rsidR="00B056A5" w:rsidRPr="00982E15">
        <w:rPr>
          <w:rFonts w:asciiTheme="majorHAnsi" w:hAnsiTheme="majorHAnsi"/>
          <w:bCs/>
          <w:sz w:val="20"/>
          <w:szCs w:val="20"/>
          <w:lang w:val="es-ES"/>
        </w:rPr>
        <w:t xml:space="preserve">penal por este atentado terrorista y vinculó a Pablo Emilio Escobar Gaviria, </w:t>
      </w:r>
      <w:r w:rsidR="00907484" w:rsidRPr="00982E15">
        <w:rPr>
          <w:rFonts w:asciiTheme="majorHAnsi" w:hAnsiTheme="majorHAnsi"/>
          <w:bCs/>
          <w:sz w:val="20"/>
          <w:szCs w:val="20"/>
          <w:lang w:val="es-ES"/>
        </w:rPr>
        <w:t>Jesús Humberto Laverde Muñoz y Branci Muñoz Mosquera.</w:t>
      </w:r>
      <w:r w:rsidR="0045066B" w:rsidRPr="00982E15">
        <w:rPr>
          <w:rFonts w:asciiTheme="majorHAnsi" w:hAnsiTheme="majorHAnsi"/>
          <w:bCs/>
          <w:sz w:val="20"/>
          <w:szCs w:val="20"/>
          <w:lang w:val="es-ES"/>
        </w:rPr>
        <w:t xml:space="preserve"> </w:t>
      </w:r>
      <w:r w:rsidR="00B76FAD" w:rsidRPr="00982E15">
        <w:rPr>
          <w:rFonts w:asciiTheme="majorHAnsi" w:hAnsiTheme="majorHAnsi"/>
          <w:bCs/>
          <w:sz w:val="20"/>
          <w:szCs w:val="20"/>
          <w:lang w:val="es-ES"/>
        </w:rPr>
        <w:t>El 16 de febrero de 1993 resolvió la situación jurídica de éstos y emitió una medida de aseguramiento de detención preventiva contra Pablo Escobar</w:t>
      </w:r>
      <w:r w:rsidR="001B7698" w:rsidRPr="00982E15">
        <w:rPr>
          <w:rFonts w:asciiTheme="majorHAnsi" w:hAnsiTheme="majorHAnsi"/>
          <w:bCs/>
          <w:sz w:val="20"/>
          <w:szCs w:val="20"/>
          <w:lang w:val="es-ES"/>
        </w:rPr>
        <w:t>. El 29 de mar</w:t>
      </w:r>
      <w:r w:rsidR="002979E9" w:rsidRPr="00982E15">
        <w:rPr>
          <w:rFonts w:asciiTheme="majorHAnsi" w:hAnsiTheme="majorHAnsi"/>
          <w:bCs/>
          <w:sz w:val="20"/>
          <w:szCs w:val="20"/>
          <w:lang w:val="es-ES"/>
        </w:rPr>
        <w:t>z</w:t>
      </w:r>
      <w:r w:rsidR="001B7698" w:rsidRPr="00982E15">
        <w:rPr>
          <w:rFonts w:asciiTheme="majorHAnsi" w:hAnsiTheme="majorHAnsi"/>
          <w:bCs/>
          <w:sz w:val="20"/>
          <w:szCs w:val="20"/>
          <w:lang w:val="es-ES"/>
        </w:rPr>
        <w:t xml:space="preserve">o de ese año ordenó vincular mediante indagatoria a los hermanos Fidel y Carlos Castaño Gil. </w:t>
      </w:r>
      <w:r w:rsidR="00EF0EF5" w:rsidRPr="00982E15">
        <w:rPr>
          <w:rFonts w:asciiTheme="majorHAnsi" w:hAnsiTheme="majorHAnsi"/>
          <w:bCs/>
          <w:sz w:val="20"/>
          <w:szCs w:val="20"/>
          <w:lang w:val="es-ES"/>
        </w:rPr>
        <w:t xml:space="preserve">En julio, </w:t>
      </w:r>
      <w:r w:rsidR="003244C6" w:rsidRPr="00982E15">
        <w:rPr>
          <w:rFonts w:asciiTheme="majorHAnsi" w:hAnsiTheme="majorHAnsi"/>
          <w:bCs/>
          <w:sz w:val="20"/>
          <w:szCs w:val="20"/>
          <w:lang w:val="es-ES"/>
        </w:rPr>
        <w:t xml:space="preserve">el integrante del Cartel de Medellín, Carlos Mario </w:t>
      </w:r>
      <w:r w:rsidR="004776B3" w:rsidRPr="00982E15">
        <w:rPr>
          <w:rFonts w:asciiTheme="majorHAnsi" w:hAnsiTheme="majorHAnsi"/>
          <w:bCs/>
          <w:sz w:val="20"/>
          <w:szCs w:val="20"/>
          <w:lang w:val="es-ES"/>
        </w:rPr>
        <w:t>Álzate</w:t>
      </w:r>
      <w:r w:rsidR="003244C6" w:rsidRPr="00982E15">
        <w:rPr>
          <w:rFonts w:asciiTheme="majorHAnsi" w:hAnsiTheme="majorHAnsi"/>
          <w:bCs/>
          <w:sz w:val="20"/>
          <w:szCs w:val="20"/>
          <w:lang w:val="es-ES"/>
        </w:rPr>
        <w:t xml:space="preserve"> Urquijo</w:t>
      </w:r>
      <w:r w:rsidR="003C446C" w:rsidRPr="00982E15">
        <w:rPr>
          <w:rFonts w:asciiTheme="majorHAnsi" w:hAnsiTheme="majorHAnsi"/>
          <w:bCs/>
          <w:sz w:val="20"/>
          <w:szCs w:val="20"/>
          <w:lang w:val="es-ES"/>
        </w:rPr>
        <w:t>,</w:t>
      </w:r>
      <w:r w:rsidR="001E7E86" w:rsidRPr="00982E15">
        <w:rPr>
          <w:rFonts w:asciiTheme="majorHAnsi" w:hAnsiTheme="majorHAnsi"/>
          <w:bCs/>
          <w:sz w:val="20"/>
          <w:szCs w:val="20"/>
          <w:lang w:val="es-ES"/>
        </w:rPr>
        <w:t xml:space="preserve"> </w:t>
      </w:r>
      <w:r w:rsidR="00486180" w:rsidRPr="00982E15">
        <w:rPr>
          <w:rFonts w:asciiTheme="majorHAnsi" w:hAnsiTheme="majorHAnsi"/>
          <w:bCs/>
          <w:sz w:val="20"/>
          <w:szCs w:val="20"/>
          <w:lang w:val="es-ES"/>
        </w:rPr>
        <w:t>rindió indagatoria</w:t>
      </w:r>
      <w:r w:rsidR="00D062C4" w:rsidRPr="00982E15">
        <w:rPr>
          <w:rFonts w:asciiTheme="majorHAnsi" w:hAnsiTheme="majorHAnsi"/>
          <w:bCs/>
          <w:sz w:val="20"/>
          <w:szCs w:val="20"/>
          <w:lang w:val="es-ES"/>
        </w:rPr>
        <w:t>,</w:t>
      </w:r>
      <w:r w:rsidR="00486180" w:rsidRPr="00982E15">
        <w:rPr>
          <w:rFonts w:asciiTheme="majorHAnsi" w:hAnsiTheme="majorHAnsi"/>
          <w:bCs/>
          <w:sz w:val="20"/>
          <w:szCs w:val="20"/>
          <w:lang w:val="es-ES"/>
        </w:rPr>
        <w:t xml:space="preserve"> confesó su participación en los hechos y señaló a ocho miembros más del </w:t>
      </w:r>
      <w:r w:rsidR="00D062C4" w:rsidRPr="00982E15">
        <w:rPr>
          <w:rFonts w:asciiTheme="majorHAnsi" w:hAnsiTheme="majorHAnsi"/>
          <w:bCs/>
          <w:sz w:val="20"/>
          <w:szCs w:val="20"/>
          <w:lang w:val="es-ES"/>
        </w:rPr>
        <w:t>c</w:t>
      </w:r>
      <w:r w:rsidR="00486180" w:rsidRPr="00982E15">
        <w:rPr>
          <w:rFonts w:asciiTheme="majorHAnsi" w:hAnsiTheme="majorHAnsi"/>
          <w:bCs/>
          <w:sz w:val="20"/>
          <w:szCs w:val="20"/>
          <w:lang w:val="es-ES"/>
        </w:rPr>
        <w:t>artel</w:t>
      </w:r>
      <w:r w:rsidR="00DD523B" w:rsidRPr="00982E15">
        <w:rPr>
          <w:rFonts w:asciiTheme="majorHAnsi" w:hAnsiTheme="majorHAnsi"/>
          <w:bCs/>
          <w:sz w:val="20"/>
          <w:szCs w:val="20"/>
          <w:lang w:val="es-ES"/>
        </w:rPr>
        <w:t>.</w:t>
      </w:r>
    </w:p>
    <w:p w14:paraId="3F1EDB29" w14:textId="5AD1C52F" w:rsidR="008815A5" w:rsidRPr="00A15274" w:rsidRDefault="00DD523B" w:rsidP="414183C4">
      <w:pPr>
        <w:pStyle w:val="ListParagraph"/>
        <w:ind w:left="0" w:firstLine="720"/>
        <w:jc w:val="both"/>
        <w:rPr>
          <w:rFonts w:asciiTheme="majorHAnsi" w:hAnsiTheme="majorHAnsi"/>
          <w:sz w:val="20"/>
          <w:szCs w:val="20"/>
          <w:lang w:val="es-ES"/>
        </w:rPr>
      </w:pPr>
      <w:r w:rsidRPr="414183C4">
        <w:rPr>
          <w:rFonts w:asciiTheme="majorHAnsi" w:hAnsiTheme="majorHAnsi"/>
          <w:sz w:val="20"/>
          <w:szCs w:val="20"/>
          <w:lang w:val="es-ES"/>
        </w:rPr>
        <w:t xml:space="preserve">La </w:t>
      </w:r>
      <w:r w:rsidR="00896A5B" w:rsidRPr="414183C4">
        <w:rPr>
          <w:rFonts w:asciiTheme="majorHAnsi" w:hAnsiTheme="majorHAnsi"/>
          <w:sz w:val="20"/>
          <w:szCs w:val="20"/>
          <w:lang w:val="es-ES"/>
        </w:rPr>
        <w:t xml:space="preserve">investigación precluyó </w:t>
      </w:r>
      <w:r w:rsidR="004A68B4" w:rsidRPr="414183C4">
        <w:rPr>
          <w:rFonts w:asciiTheme="majorHAnsi" w:hAnsiTheme="majorHAnsi"/>
          <w:sz w:val="20"/>
          <w:szCs w:val="20"/>
          <w:lang w:val="es-ES"/>
        </w:rPr>
        <w:t>respecto</w:t>
      </w:r>
      <w:r w:rsidR="00896A5B" w:rsidRPr="414183C4">
        <w:rPr>
          <w:rFonts w:asciiTheme="majorHAnsi" w:hAnsiTheme="majorHAnsi"/>
          <w:sz w:val="20"/>
          <w:szCs w:val="20"/>
          <w:lang w:val="es-ES"/>
        </w:rPr>
        <w:t xml:space="preserve"> de Pablo Escobar después de </w:t>
      </w:r>
      <w:r w:rsidR="00E938DE" w:rsidRPr="414183C4">
        <w:rPr>
          <w:rFonts w:asciiTheme="majorHAnsi" w:hAnsiTheme="majorHAnsi"/>
          <w:sz w:val="20"/>
          <w:szCs w:val="20"/>
          <w:lang w:val="es-ES"/>
        </w:rPr>
        <w:t xml:space="preserve">que </w:t>
      </w:r>
      <w:r w:rsidR="00B26C40" w:rsidRPr="414183C4">
        <w:rPr>
          <w:rFonts w:asciiTheme="majorHAnsi" w:hAnsiTheme="majorHAnsi"/>
          <w:sz w:val="20"/>
          <w:szCs w:val="20"/>
          <w:lang w:val="es-ES"/>
        </w:rPr>
        <w:t>falleciera</w:t>
      </w:r>
      <w:r w:rsidR="00896A5B" w:rsidRPr="414183C4">
        <w:rPr>
          <w:rFonts w:asciiTheme="majorHAnsi" w:hAnsiTheme="majorHAnsi"/>
          <w:sz w:val="20"/>
          <w:szCs w:val="20"/>
          <w:lang w:val="es-ES"/>
        </w:rPr>
        <w:t xml:space="preserve"> en un operativo de captura en su contra el 2 de diciembre de 1993</w:t>
      </w:r>
      <w:r w:rsidR="00E938DE" w:rsidRPr="414183C4">
        <w:rPr>
          <w:rFonts w:asciiTheme="majorHAnsi" w:hAnsiTheme="majorHAnsi"/>
          <w:sz w:val="20"/>
          <w:szCs w:val="20"/>
          <w:lang w:val="es-ES"/>
        </w:rPr>
        <w:t>.</w:t>
      </w:r>
      <w:r w:rsidR="00111FE9" w:rsidRPr="414183C4">
        <w:rPr>
          <w:rFonts w:asciiTheme="majorHAnsi" w:hAnsiTheme="majorHAnsi"/>
          <w:sz w:val="20"/>
          <w:szCs w:val="20"/>
          <w:lang w:val="es-ES"/>
        </w:rPr>
        <w:t xml:space="preserve"> </w:t>
      </w:r>
      <w:r w:rsidR="00AD6D1A" w:rsidRPr="414183C4">
        <w:rPr>
          <w:rFonts w:asciiTheme="majorHAnsi" w:hAnsiTheme="majorHAnsi"/>
          <w:sz w:val="20"/>
          <w:szCs w:val="20"/>
          <w:lang w:val="es-ES"/>
        </w:rPr>
        <w:t>P</w:t>
      </w:r>
      <w:r w:rsidR="00E0156C" w:rsidRPr="414183C4">
        <w:rPr>
          <w:rFonts w:asciiTheme="majorHAnsi" w:hAnsiTheme="majorHAnsi"/>
          <w:sz w:val="20"/>
          <w:szCs w:val="20"/>
          <w:lang w:val="es-ES"/>
        </w:rPr>
        <w:t>ese a que</w:t>
      </w:r>
      <w:r w:rsidR="00DC7627" w:rsidRPr="414183C4">
        <w:rPr>
          <w:rFonts w:asciiTheme="majorHAnsi" w:hAnsiTheme="majorHAnsi"/>
          <w:sz w:val="20"/>
          <w:szCs w:val="20"/>
          <w:lang w:val="es-ES"/>
        </w:rPr>
        <w:t xml:space="preserve"> la investigación determinó que el explosivo se fabricó en una bodega de propiedad de Eugenio León García, alias </w:t>
      </w:r>
      <w:r w:rsidR="00E0156C" w:rsidRPr="414183C4">
        <w:rPr>
          <w:rFonts w:asciiTheme="majorHAnsi" w:hAnsiTheme="majorHAnsi"/>
          <w:sz w:val="20"/>
          <w:szCs w:val="20"/>
          <w:lang w:val="es-ES"/>
        </w:rPr>
        <w:t>“E</w:t>
      </w:r>
      <w:r w:rsidR="00DC7627" w:rsidRPr="414183C4">
        <w:rPr>
          <w:rFonts w:asciiTheme="majorHAnsi" w:hAnsiTheme="majorHAnsi"/>
          <w:sz w:val="20"/>
          <w:szCs w:val="20"/>
          <w:lang w:val="es-ES"/>
        </w:rPr>
        <w:t xml:space="preserve">l </w:t>
      </w:r>
      <w:r w:rsidR="00E0156C" w:rsidRPr="414183C4">
        <w:rPr>
          <w:rFonts w:asciiTheme="majorHAnsi" w:hAnsiTheme="majorHAnsi"/>
          <w:sz w:val="20"/>
          <w:szCs w:val="20"/>
          <w:lang w:val="es-ES"/>
        </w:rPr>
        <w:t>T</w:t>
      </w:r>
      <w:r w:rsidR="00DC7627" w:rsidRPr="414183C4">
        <w:rPr>
          <w:rFonts w:asciiTheme="majorHAnsi" w:hAnsiTheme="majorHAnsi"/>
          <w:sz w:val="20"/>
          <w:szCs w:val="20"/>
          <w:lang w:val="es-ES"/>
        </w:rPr>
        <w:t>axista</w:t>
      </w:r>
      <w:r w:rsidR="00E0156C" w:rsidRPr="414183C4">
        <w:rPr>
          <w:rFonts w:asciiTheme="majorHAnsi" w:hAnsiTheme="majorHAnsi"/>
          <w:sz w:val="20"/>
          <w:szCs w:val="20"/>
          <w:lang w:val="es-ES"/>
        </w:rPr>
        <w:t>”</w:t>
      </w:r>
      <w:r w:rsidR="00DC7627" w:rsidRPr="414183C4">
        <w:rPr>
          <w:rFonts w:asciiTheme="majorHAnsi" w:hAnsiTheme="majorHAnsi"/>
          <w:sz w:val="20"/>
          <w:szCs w:val="20"/>
          <w:lang w:val="es-ES"/>
        </w:rPr>
        <w:t xml:space="preserve">, </w:t>
      </w:r>
      <w:r w:rsidR="00E0156C" w:rsidRPr="414183C4">
        <w:rPr>
          <w:rFonts w:asciiTheme="majorHAnsi" w:hAnsiTheme="majorHAnsi"/>
          <w:sz w:val="20"/>
          <w:szCs w:val="20"/>
          <w:lang w:val="es-ES"/>
        </w:rPr>
        <w:t xml:space="preserve">éste </w:t>
      </w:r>
      <w:r w:rsidR="00DC7627" w:rsidRPr="414183C4">
        <w:rPr>
          <w:rFonts w:asciiTheme="majorHAnsi" w:hAnsiTheme="majorHAnsi"/>
          <w:sz w:val="20"/>
          <w:szCs w:val="20"/>
          <w:lang w:val="es-ES"/>
        </w:rPr>
        <w:t>fue vinculado al proceso penal, pero operó la preclusión a su favor por colaboración con la justicia.</w:t>
      </w:r>
      <w:r w:rsidR="00C12AB3" w:rsidRPr="414183C4">
        <w:rPr>
          <w:rFonts w:asciiTheme="majorHAnsi" w:hAnsiTheme="majorHAnsi"/>
          <w:sz w:val="20"/>
          <w:szCs w:val="20"/>
          <w:lang w:val="es-ES"/>
        </w:rPr>
        <w:t xml:space="preserve"> </w:t>
      </w:r>
      <w:r w:rsidR="00111FE9" w:rsidRPr="414183C4">
        <w:rPr>
          <w:rFonts w:asciiTheme="majorHAnsi" w:hAnsiTheme="majorHAnsi"/>
          <w:sz w:val="20"/>
          <w:szCs w:val="20"/>
          <w:lang w:val="es-ES"/>
        </w:rPr>
        <w:t>Señala que el 5 de mayo de 1995 un juzgado de Estados Unidos condenó a</w:t>
      </w:r>
      <w:r w:rsidR="00C74198" w:rsidRPr="414183C4">
        <w:rPr>
          <w:rFonts w:asciiTheme="majorHAnsi" w:hAnsiTheme="majorHAnsi"/>
          <w:sz w:val="20"/>
          <w:szCs w:val="20"/>
          <w:lang w:val="es-ES"/>
        </w:rPr>
        <w:t xml:space="preserve"> diez cadenas perpetuas al narcotraficante Dandenis Muñoz Mosquera, alias “La Quica”, por el asesinato de dos ciudadanos estadounidenses que </w:t>
      </w:r>
      <w:r w:rsidR="00E71CC3" w:rsidRPr="414183C4">
        <w:rPr>
          <w:rFonts w:asciiTheme="majorHAnsi" w:hAnsiTheme="majorHAnsi"/>
          <w:sz w:val="20"/>
          <w:szCs w:val="20"/>
          <w:lang w:val="es-ES"/>
        </w:rPr>
        <w:t>viajaban</w:t>
      </w:r>
      <w:r w:rsidR="00C74198" w:rsidRPr="414183C4">
        <w:rPr>
          <w:rFonts w:asciiTheme="majorHAnsi" w:hAnsiTheme="majorHAnsi"/>
          <w:sz w:val="20"/>
          <w:szCs w:val="20"/>
          <w:lang w:val="es-ES"/>
        </w:rPr>
        <w:t xml:space="preserve"> en el Vuelo 203.</w:t>
      </w:r>
      <w:r w:rsidR="00513B12" w:rsidRPr="414183C4">
        <w:rPr>
          <w:rFonts w:asciiTheme="majorHAnsi" w:hAnsiTheme="majorHAnsi"/>
          <w:sz w:val="20"/>
          <w:szCs w:val="20"/>
          <w:lang w:val="es-ES"/>
        </w:rPr>
        <w:t xml:space="preserve"> Sin embargo, resalta que éste nunca fue investigado en Colombia</w:t>
      </w:r>
      <w:r w:rsidR="001333FB" w:rsidRPr="414183C4">
        <w:rPr>
          <w:rFonts w:asciiTheme="majorHAnsi" w:hAnsiTheme="majorHAnsi"/>
          <w:sz w:val="20"/>
          <w:szCs w:val="20"/>
          <w:lang w:val="es-ES"/>
        </w:rPr>
        <w:t>.</w:t>
      </w:r>
    </w:p>
    <w:p w14:paraId="6D939BCF" w14:textId="3C869263" w:rsidR="00F30B01" w:rsidRPr="00982E15" w:rsidRDefault="00AD6D1A" w:rsidP="000D5960">
      <w:pPr>
        <w:pStyle w:val="ListParagraph"/>
        <w:numPr>
          <w:ilvl w:val="0"/>
          <w:numId w:val="61"/>
        </w:numPr>
        <w:ind w:left="0" w:firstLine="720"/>
        <w:jc w:val="both"/>
        <w:rPr>
          <w:rFonts w:asciiTheme="majorHAnsi" w:hAnsiTheme="majorHAnsi"/>
          <w:bCs/>
          <w:sz w:val="20"/>
          <w:szCs w:val="20"/>
          <w:lang w:val="es-ES"/>
        </w:rPr>
      </w:pPr>
      <w:r w:rsidRPr="00982E15">
        <w:rPr>
          <w:rFonts w:asciiTheme="majorHAnsi" w:hAnsiTheme="majorHAnsi"/>
          <w:bCs/>
          <w:sz w:val="20"/>
          <w:szCs w:val="20"/>
          <w:lang w:val="es-ES"/>
        </w:rPr>
        <w:t>Los peticionarios a</w:t>
      </w:r>
      <w:r w:rsidR="003B5A81" w:rsidRPr="00982E15">
        <w:rPr>
          <w:rFonts w:asciiTheme="majorHAnsi" w:hAnsiTheme="majorHAnsi"/>
          <w:bCs/>
          <w:sz w:val="20"/>
          <w:szCs w:val="20"/>
          <w:lang w:val="es-ES"/>
        </w:rPr>
        <w:t>duce</w:t>
      </w:r>
      <w:r w:rsidRPr="00982E15">
        <w:rPr>
          <w:rFonts w:asciiTheme="majorHAnsi" w:hAnsiTheme="majorHAnsi"/>
          <w:bCs/>
          <w:sz w:val="20"/>
          <w:szCs w:val="20"/>
          <w:lang w:val="es-ES"/>
        </w:rPr>
        <w:t>n</w:t>
      </w:r>
      <w:r w:rsidR="003B5A81" w:rsidRPr="00982E15">
        <w:rPr>
          <w:rFonts w:asciiTheme="majorHAnsi" w:hAnsiTheme="majorHAnsi"/>
          <w:bCs/>
          <w:sz w:val="20"/>
          <w:szCs w:val="20"/>
          <w:lang w:val="es-ES"/>
        </w:rPr>
        <w:t xml:space="preserve"> que después de estas actuaciones no se produjeron mayores avances en el proceso, </w:t>
      </w:r>
      <w:r w:rsidR="00E44CC3" w:rsidRPr="00982E15">
        <w:rPr>
          <w:rFonts w:asciiTheme="majorHAnsi" w:hAnsiTheme="majorHAnsi"/>
          <w:bCs/>
          <w:sz w:val="20"/>
          <w:szCs w:val="20"/>
          <w:lang w:val="es-ES"/>
        </w:rPr>
        <w:t xml:space="preserve">y </w:t>
      </w:r>
      <w:r w:rsidR="003B5A81" w:rsidRPr="00982E15">
        <w:rPr>
          <w:rFonts w:asciiTheme="majorHAnsi" w:hAnsiTheme="majorHAnsi"/>
          <w:bCs/>
          <w:sz w:val="20"/>
          <w:szCs w:val="20"/>
          <w:lang w:val="es-ES"/>
        </w:rPr>
        <w:t>transcurrido</w:t>
      </w:r>
      <w:r w:rsidR="00E44CC3" w:rsidRPr="00982E15">
        <w:rPr>
          <w:rFonts w:asciiTheme="majorHAnsi" w:hAnsiTheme="majorHAnsi"/>
          <w:bCs/>
          <w:sz w:val="20"/>
          <w:szCs w:val="20"/>
          <w:lang w:val="es-ES"/>
        </w:rPr>
        <w:t>s</w:t>
      </w:r>
      <w:r w:rsidR="003B5A81" w:rsidRPr="00982E15">
        <w:rPr>
          <w:rFonts w:asciiTheme="majorHAnsi" w:hAnsiTheme="majorHAnsi"/>
          <w:bCs/>
          <w:sz w:val="20"/>
          <w:szCs w:val="20"/>
          <w:lang w:val="es-ES"/>
        </w:rPr>
        <w:t xml:space="preserve"> 20 años del suceso, </w:t>
      </w:r>
      <w:r w:rsidR="00E44CC3" w:rsidRPr="00982E15">
        <w:rPr>
          <w:rFonts w:asciiTheme="majorHAnsi" w:hAnsiTheme="majorHAnsi"/>
          <w:bCs/>
          <w:sz w:val="20"/>
          <w:szCs w:val="20"/>
          <w:lang w:val="es-ES"/>
        </w:rPr>
        <w:t xml:space="preserve">el 16 de diciembre de 2009 </w:t>
      </w:r>
      <w:r w:rsidR="003B5A81" w:rsidRPr="00982E15">
        <w:rPr>
          <w:rFonts w:asciiTheme="majorHAnsi" w:hAnsiTheme="majorHAnsi"/>
          <w:bCs/>
          <w:sz w:val="20"/>
          <w:szCs w:val="20"/>
          <w:lang w:val="es-ES"/>
        </w:rPr>
        <w:t>la fiscalía decretó la imprescriptibilidad de la acción penal por tratarse de un delito de lesa humanidad.</w:t>
      </w:r>
      <w:r w:rsidR="00E44CC3" w:rsidRPr="00982E15">
        <w:rPr>
          <w:rFonts w:asciiTheme="majorHAnsi" w:hAnsiTheme="majorHAnsi"/>
          <w:bCs/>
          <w:sz w:val="20"/>
          <w:szCs w:val="20"/>
          <w:lang w:val="es-ES"/>
        </w:rPr>
        <w:t xml:space="preserve"> </w:t>
      </w:r>
      <w:r w:rsidRPr="00982E15">
        <w:rPr>
          <w:rFonts w:asciiTheme="majorHAnsi" w:hAnsiTheme="majorHAnsi"/>
          <w:bCs/>
          <w:sz w:val="20"/>
          <w:szCs w:val="20"/>
          <w:lang w:val="es-ES"/>
        </w:rPr>
        <w:t>Destacan</w:t>
      </w:r>
      <w:r w:rsidR="00D81478" w:rsidRPr="00982E15">
        <w:rPr>
          <w:rFonts w:asciiTheme="majorHAnsi" w:hAnsiTheme="majorHAnsi"/>
          <w:bCs/>
          <w:sz w:val="20"/>
          <w:szCs w:val="20"/>
          <w:lang w:val="es-ES"/>
        </w:rPr>
        <w:t xml:space="preserve"> que el 24 de mayo de 2010 John Jairo Velázquez Vásquez, alias “Popeye”,</w:t>
      </w:r>
      <w:r w:rsidR="00B236BB" w:rsidRPr="00982E15">
        <w:rPr>
          <w:rFonts w:asciiTheme="majorHAnsi" w:hAnsiTheme="majorHAnsi"/>
          <w:bCs/>
          <w:sz w:val="20"/>
          <w:szCs w:val="20"/>
          <w:lang w:val="es-ES"/>
        </w:rPr>
        <w:t xml:space="preserve"> rindió testimonio ante la fiscalía y declaró que agentes del Estado habían participado en el atentado terrorista del avión de Avianca</w:t>
      </w:r>
      <w:r w:rsidR="000C0091" w:rsidRPr="00982E15">
        <w:rPr>
          <w:rFonts w:asciiTheme="majorHAnsi" w:hAnsiTheme="majorHAnsi"/>
          <w:bCs/>
          <w:sz w:val="20"/>
          <w:szCs w:val="20"/>
          <w:lang w:val="es-ES"/>
        </w:rPr>
        <w:t xml:space="preserve">, e incluso manifestó que se habían efectuado conductas por los entes encargados de la investigación para desviar la averiguación. </w:t>
      </w:r>
    </w:p>
    <w:p w14:paraId="44335808" w14:textId="6C265607" w:rsidR="00FD63FE" w:rsidRPr="00982E15" w:rsidRDefault="005766E1" w:rsidP="000D5960">
      <w:pPr>
        <w:pStyle w:val="ListParagraph"/>
        <w:numPr>
          <w:ilvl w:val="0"/>
          <w:numId w:val="61"/>
        </w:numPr>
        <w:ind w:left="0" w:firstLine="720"/>
        <w:jc w:val="both"/>
        <w:rPr>
          <w:rFonts w:asciiTheme="majorHAnsi" w:hAnsiTheme="majorHAnsi"/>
          <w:bCs/>
          <w:sz w:val="20"/>
          <w:szCs w:val="20"/>
          <w:lang w:val="es-ES"/>
        </w:rPr>
      </w:pPr>
      <w:r w:rsidRPr="00982E15">
        <w:rPr>
          <w:rFonts w:asciiTheme="majorHAnsi" w:hAnsiTheme="majorHAnsi"/>
          <w:bCs/>
          <w:sz w:val="20"/>
          <w:szCs w:val="20"/>
          <w:lang w:val="es-ES"/>
        </w:rPr>
        <w:lastRenderedPageBreak/>
        <w:t xml:space="preserve">La parte peticionaria alega la violación de los derechos a la vida, a la integridad personal y de acceso a la justicia de las presuntas víctimas por la </w:t>
      </w:r>
      <w:r w:rsidR="00DF1C99" w:rsidRPr="00982E15">
        <w:rPr>
          <w:rFonts w:asciiTheme="majorHAnsi" w:hAnsiTheme="majorHAnsi"/>
          <w:bCs/>
          <w:sz w:val="20"/>
          <w:szCs w:val="20"/>
          <w:lang w:val="es-ES"/>
        </w:rPr>
        <w:t xml:space="preserve">posible complicidad de agentes estatales en el atentado terrorista y por la </w:t>
      </w:r>
      <w:r w:rsidRPr="00982E15">
        <w:rPr>
          <w:rFonts w:asciiTheme="majorHAnsi" w:hAnsiTheme="majorHAnsi"/>
          <w:bCs/>
          <w:sz w:val="20"/>
          <w:szCs w:val="20"/>
          <w:lang w:val="es-ES"/>
        </w:rPr>
        <w:t>ausencia de avances en la investigación y la impunidad total en la que se encuentra.</w:t>
      </w:r>
      <w:r w:rsidR="00585C31" w:rsidRPr="00982E15">
        <w:rPr>
          <w:rFonts w:asciiTheme="majorHAnsi" w:hAnsiTheme="majorHAnsi"/>
          <w:bCs/>
          <w:sz w:val="20"/>
          <w:szCs w:val="20"/>
          <w:lang w:val="es-ES"/>
        </w:rPr>
        <w:t xml:space="preserve"> </w:t>
      </w:r>
      <w:r w:rsidR="00C841E7" w:rsidRPr="00982E15">
        <w:rPr>
          <w:rFonts w:asciiTheme="majorHAnsi" w:hAnsiTheme="majorHAnsi"/>
          <w:bCs/>
          <w:sz w:val="20"/>
          <w:szCs w:val="20"/>
          <w:lang w:val="es-ES"/>
        </w:rPr>
        <w:t xml:space="preserve">Por otro lado, </w:t>
      </w:r>
      <w:r w:rsidR="002939A4" w:rsidRPr="00982E15">
        <w:rPr>
          <w:rFonts w:asciiTheme="majorHAnsi" w:hAnsiTheme="majorHAnsi"/>
          <w:bCs/>
          <w:sz w:val="20"/>
          <w:szCs w:val="20"/>
          <w:lang w:val="es-ES"/>
        </w:rPr>
        <w:t xml:space="preserve">denuncia </w:t>
      </w:r>
      <w:r w:rsidR="00585C31" w:rsidRPr="00982E15">
        <w:rPr>
          <w:rFonts w:asciiTheme="majorHAnsi" w:hAnsiTheme="majorHAnsi"/>
          <w:bCs/>
          <w:sz w:val="20"/>
          <w:szCs w:val="20"/>
          <w:lang w:val="es-ES"/>
        </w:rPr>
        <w:t>que la Unidad Administrativa Especial para la Atención y Reparación a Víctimas</w:t>
      </w:r>
      <w:r w:rsidR="006F33F0" w:rsidRPr="00982E15">
        <w:rPr>
          <w:rFonts w:asciiTheme="majorHAnsi" w:hAnsiTheme="majorHAnsi"/>
          <w:bCs/>
          <w:sz w:val="20"/>
          <w:szCs w:val="20"/>
          <w:lang w:val="es-ES"/>
        </w:rPr>
        <w:t>, en un primer momento rechazó su inscripción en el Registro Único de Víctimas</w:t>
      </w:r>
      <w:r w:rsidR="00937E18" w:rsidRPr="00982E15">
        <w:rPr>
          <w:rFonts w:asciiTheme="majorHAnsi" w:hAnsiTheme="majorHAnsi"/>
          <w:bCs/>
          <w:sz w:val="20"/>
          <w:szCs w:val="20"/>
          <w:lang w:val="es-ES"/>
        </w:rPr>
        <w:t xml:space="preserve"> (en adelante “RUV”)</w:t>
      </w:r>
      <w:r w:rsidR="006F33F0" w:rsidRPr="00982E15">
        <w:rPr>
          <w:rFonts w:asciiTheme="majorHAnsi" w:hAnsiTheme="majorHAnsi"/>
          <w:bCs/>
          <w:sz w:val="20"/>
          <w:szCs w:val="20"/>
          <w:lang w:val="es-ES"/>
        </w:rPr>
        <w:t xml:space="preserve">, y posteriormente tardó en exceso en otorgarles una reparación administrativa por el </w:t>
      </w:r>
      <w:r w:rsidR="00FD18B8" w:rsidRPr="00982E15">
        <w:rPr>
          <w:rFonts w:asciiTheme="majorHAnsi" w:hAnsiTheme="majorHAnsi"/>
          <w:bCs/>
          <w:sz w:val="20"/>
          <w:szCs w:val="20"/>
          <w:lang w:val="es-ES"/>
        </w:rPr>
        <w:t>fallecimiento d</w:t>
      </w:r>
      <w:r w:rsidR="00222CCB" w:rsidRPr="00982E15">
        <w:rPr>
          <w:rFonts w:asciiTheme="majorHAnsi" w:hAnsiTheme="majorHAnsi"/>
          <w:bCs/>
          <w:sz w:val="20"/>
          <w:szCs w:val="20"/>
          <w:lang w:val="es-ES"/>
        </w:rPr>
        <w:t>el Sr. Arellano Becerra</w:t>
      </w:r>
      <w:r w:rsidR="00294020" w:rsidRPr="00982E15">
        <w:rPr>
          <w:rFonts w:asciiTheme="majorHAnsi" w:hAnsiTheme="majorHAnsi"/>
          <w:bCs/>
          <w:sz w:val="20"/>
          <w:szCs w:val="20"/>
          <w:lang w:val="es-ES"/>
        </w:rPr>
        <w:t>.</w:t>
      </w:r>
    </w:p>
    <w:p w14:paraId="389E682F" w14:textId="44D4AE17" w:rsidR="00C841E7" w:rsidRPr="00982E15" w:rsidRDefault="00FD63FE" w:rsidP="000D5960">
      <w:pPr>
        <w:pStyle w:val="ListParagraph"/>
        <w:numPr>
          <w:ilvl w:val="0"/>
          <w:numId w:val="61"/>
        </w:numPr>
        <w:ind w:left="0" w:firstLine="720"/>
        <w:jc w:val="both"/>
        <w:rPr>
          <w:rFonts w:asciiTheme="majorHAnsi" w:hAnsiTheme="majorHAnsi"/>
          <w:bCs/>
          <w:sz w:val="20"/>
          <w:szCs w:val="20"/>
          <w:lang w:val="es-ES"/>
        </w:rPr>
      </w:pPr>
      <w:r w:rsidRPr="00982E15">
        <w:rPr>
          <w:rFonts w:asciiTheme="majorHAnsi" w:hAnsiTheme="majorHAnsi"/>
          <w:bCs/>
          <w:sz w:val="20"/>
          <w:szCs w:val="20"/>
          <w:lang w:val="es-ES"/>
        </w:rPr>
        <w:t xml:space="preserve">Además, </w:t>
      </w:r>
      <w:r w:rsidR="00BB0C5D" w:rsidRPr="00982E15">
        <w:rPr>
          <w:rFonts w:asciiTheme="majorHAnsi" w:hAnsiTheme="majorHAnsi"/>
          <w:bCs/>
          <w:sz w:val="20"/>
          <w:szCs w:val="20"/>
          <w:lang w:val="es-ES"/>
        </w:rPr>
        <w:t>invoca la excepción de retardo injustificado en la resolución de los recursos internos,</w:t>
      </w:r>
      <w:r w:rsidRPr="00982E15">
        <w:rPr>
          <w:rFonts w:asciiTheme="majorHAnsi" w:hAnsiTheme="majorHAnsi"/>
          <w:bCs/>
          <w:sz w:val="20"/>
          <w:szCs w:val="20"/>
          <w:lang w:val="es-ES"/>
        </w:rPr>
        <w:t xml:space="preserve"> </w:t>
      </w:r>
      <w:r w:rsidR="004056D4" w:rsidRPr="00982E15">
        <w:rPr>
          <w:rFonts w:asciiTheme="majorHAnsi" w:hAnsiTheme="majorHAnsi"/>
          <w:bCs/>
          <w:sz w:val="20"/>
          <w:szCs w:val="20"/>
          <w:lang w:val="es-ES"/>
        </w:rPr>
        <w:t>establecida</w:t>
      </w:r>
      <w:r w:rsidRPr="00982E15">
        <w:rPr>
          <w:rFonts w:asciiTheme="majorHAnsi" w:hAnsiTheme="majorHAnsi"/>
          <w:bCs/>
          <w:sz w:val="20"/>
          <w:szCs w:val="20"/>
          <w:lang w:val="es-ES"/>
        </w:rPr>
        <w:t xml:space="preserve"> en el artículo 46.2.c) de la Convención.</w:t>
      </w:r>
      <w:r w:rsidR="00C45FCD" w:rsidRPr="00982E15">
        <w:rPr>
          <w:rFonts w:asciiTheme="majorHAnsi" w:hAnsiTheme="majorHAnsi"/>
          <w:bCs/>
          <w:sz w:val="20"/>
          <w:szCs w:val="20"/>
          <w:lang w:val="es-ES"/>
        </w:rPr>
        <w:t xml:space="preserve"> En respuesta a las observaciones presentadas por el Estado, la parte peticionaria subraya que la petición fue interpuesta dentro de un plazo razonable si se tiene en cuenta que el caso trata de un crimen de lesa humanidad</w:t>
      </w:r>
      <w:r w:rsidR="00CF6C0A" w:rsidRPr="00982E15">
        <w:rPr>
          <w:rFonts w:asciiTheme="majorHAnsi" w:hAnsiTheme="majorHAnsi"/>
          <w:bCs/>
          <w:sz w:val="20"/>
          <w:szCs w:val="20"/>
          <w:lang w:val="es-ES"/>
        </w:rPr>
        <w:t xml:space="preserve">, por ende, imprescriptible, </w:t>
      </w:r>
      <w:r w:rsidR="00E07384" w:rsidRPr="00982E15">
        <w:rPr>
          <w:rFonts w:asciiTheme="majorHAnsi" w:hAnsiTheme="majorHAnsi"/>
          <w:bCs/>
          <w:sz w:val="20"/>
          <w:szCs w:val="20"/>
          <w:lang w:val="es-ES"/>
        </w:rPr>
        <w:t>y que permanece en la im</w:t>
      </w:r>
      <w:r w:rsidR="00E17A31" w:rsidRPr="00982E15">
        <w:rPr>
          <w:rFonts w:asciiTheme="majorHAnsi" w:hAnsiTheme="majorHAnsi"/>
          <w:bCs/>
          <w:sz w:val="20"/>
          <w:szCs w:val="20"/>
          <w:lang w:val="es-ES"/>
        </w:rPr>
        <w:t>punidad sin que se haya logrado esclarecer la verdad de lo ocurrido ni obtener justicia.</w:t>
      </w:r>
      <w:r w:rsidR="00622CC9" w:rsidRPr="00982E15">
        <w:rPr>
          <w:rFonts w:asciiTheme="majorHAnsi" w:hAnsiTheme="majorHAnsi"/>
          <w:bCs/>
          <w:sz w:val="20"/>
          <w:szCs w:val="20"/>
          <w:lang w:val="es-ES"/>
        </w:rPr>
        <w:t xml:space="preserve"> También alega que existen elementos que </w:t>
      </w:r>
      <w:r w:rsidR="00E01F7E" w:rsidRPr="00982E15">
        <w:rPr>
          <w:rFonts w:asciiTheme="majorHAnsi" w:hAnsiTheme="majorHAnsi"/>
          <w:bCs/>
          <w:sz w:val="20"/>
          <w:szCs w:val="20"/>
          <w:lang w:val="es-ES"/>
        </w:rPr>
        <w:t xml:space="preserve">demuestran la participación de agentes del DAS en el atentado, </w:t>
      </w:r>
      <w:r w:rsidR="008055AD" w:rsidRPr="00982E15">
        <w:rPr>
          <w:rFonts w:asciiTheme="majorHAnsi" w:hAnsiTheme="majorHAnsi"/>
          <w:bCs/>
          <w:sz w:val="20"/>
          <w:szCs w:val="20"/>
          <w:lang w:val="es-ES"/>
        </w:rPr>
        <w:t>tal como</w:t>
      </w:r>
      <w:r w:rsidR="00E01F7E" w:rsidRPr="00982E15">
        <w:rPr>
          <w:rFonts w:asciiTheme="majorHAnsi" w:hAnsiTheme="majorHAnsi"/>
          <w:bCs/>
          <w:sz w:val="20"/>
          <w:szCs w:val="20"/>
          <w:lang w:val="es-ES"/>
        </w:rPr>
        <w:t xml:space="preserve"> declaró alias “Popeye” en el marco de la investigación en 2010.</w:t>
      </w:r>
    </w:p>
    <w:p w14:paraId="142267EB" w14:textId="2734BC0E" w:rsidR="00890DA0" w:rsidRPr="00982E15" w:rsidRDefault="00125980" w:rsidP="000D5960">
      <w:pPr>
        <w:pStyle w:val="ListParagraph"/>
        <w:numPr>
          <w:ilvl w:val="0"/>
          <w:numId w:val="0"/>
        </w:numPr>
        <w:ind w:left="720"/>
        <w:jc w:val="both"/>
        <w:rPr>
          <w:rFonts w:asciiTheme="majorHAnsi" w:hAnsiTheme="majorHAnsi"/>
          <w:b/>
          <w:bCs/>
          <w:sz w:val="20"/>
          <w:szCs w:val="20"/>
          <w:lang w:val="es-ES"/>
        </w:rPr>
      </w:pPr>
      <w:r w:rsidRPr="00982E15">
        <w:rPr>
          <w:b/>
          <w:bCs/>
          <w:sz w:val="20"/>
          <w:szCs w:val="20"/>
          <w:lang w:val="es-ES"/>
        </w:rPr>
        <w:t xml:space="preserve">El </w:t>
      </w:r>
      <w:r w:rsidR="00890DA0" w:rsidRPr="00982E15">
        <w:rPr>
          <w:b/>
          <w:bCs/>
          <w:sz w:val="20"/>
          <w:szCs w:val="20"/>
          <w:lang w:val="es-ES"/>
        </w:rPr>
        <w:t>Estado</w:t>
      </w:r>
      <w:r w:rsidRPr="00982E15">
        <w:rPr>
          <w:b/>
          <w:bCs/>
          <w:sz w:val="20"/>
          <w:szCs w:val="20"/>
          <w:lang w:val="es-ES"/>
        </w:rPr>
        <w:t xml:space="preserve"> </w:t>
      </w:r>
      <w:r w:rsidR="00BF5B73" w:rsidRPr="00982E15">
        <w:rPr>
          <w:b/>
          <w:bCs/>
          <w:sz w:val="20"/>
          <w:szCs w:val="20"/>
          <w:lang w:val="es-ES"/>
        </w:rPr>
        <w:t>colombiano</w:t>
      </w:r>
    </w:p>
    <w:p w14:paraId="06F17C5E" w14:textId="52346430" w:rsidR="000B4351" w:rsidRPr="00982E15" w:rsidRDefault="008736B2" w:rsidP="000D5960">
      <w:pPr>
        <w:pStyle w:val="ListParagraph"/>
        <w:numPr>
          <w:ilvl w:val="0"/>
          <w:numId w:val="61"/>
        </w:numPr>
        <w:ind w:left="0" w:firstLine="720"/>
        <w:jc w:val="both"/>
        <w:rPr>
          <w:rFonts w:asciiTheme="majorHAnsi" w:hAnsiTheme="majorHAnsi"/>
          <w:bCs/>
          <w:sz w:val="20"/>
          <w:szCs w:val="20"/>
          <w:lang w:val="es-ES"/>
        </w:rPr>
      </w:pPr>
      <w:r w:rsidRPr="00982E15">
        <w:rPr>
          <w:sz w:val="20"/>
          <w:szCs w:val="20"/>
          <w:lang w:val="es-ES"/>
        </w:rPr>
        <w:t xml:space="preserve">Con respecto a los hechos denunciados, Colombia </w:t>
      </w:r>
      <w:r w:rsidR="00696F5D" w:rsidRPr="00982E15">
        <w:rPr>
          <w:sz w:val="20"/>
          <w:szCs w:val="20"/>
          <w:lang w:val="es-ES"/>
        </w:rPr>
        <w:t>indica</w:t>
      </w:r>
      <w:r w:rsidRPr="00982E15">
        <w:rPr>
          <w:sz w:val="20"/>
          <w:szCs w:val="20"/>
          <w:lang w:val="es-ES"/>
        </w:rPr>
        <w:t xml:space="preserve"> que </w:t>
      </w:r>
      <w:r w:rsidR="00C46BA4" w:rsidRPr="00982E15">
        <w:rPr>
          <w:sz w:val="20"/>
          <w:szCs w:val="20"/>
          <w:lang w:val="es-ES"/>
        </w:rPr>
        <w:t>el 27 de noviembre de 1989</w:t>
      </w:r>
      <w:r w:rsidR="00123964" w:rsidRPr="00982E15">
        <w:rPr>
          <w:sz w:val="20"/>
          <w:szCs w:val="20"/>
          <w:lang w:val="es-ES"/>
        </w:rPr>
        <w:t xml:space="preserve"> se</w:t>
      </w:r>
      <w:r w:rsidR="00481DB4" w:rsidRPr="00982E15">
        <w:rPr>
          <w:sz w:val="20"/>
          <w:szCs w:val="20"/>
          <w:lang w:val="es-ES"/>
        </w:rPr>
        <w:t xml:space="preserve"> </w:t>
      </w:r>
      <w:r w:rsidR="00C46BA4" w:rsidRPr="00982E15">
        <w:rPr>
          <w:sz w:val="20"/>
          <w:szCs w:val="20"/>
          <w:lang w:val="es-ES"/>
        </w:rPr>
        <w:t>inició la indagación por el atentado terrorista</w:t>
      </w:r>
      <w:r w:rsidR="00123964" w:rsidRPr="00982E15">
        <w:rPr>
          <w:sz w:val="20"/>
          <w:szCs w:val="20"/>
          <w:lang w:val="es-ES"/>
        </w:rPr>
        <w:t>,</w:t>
      </w:r>
      <w:r w:rsidR="00C46BA4" w:rsidRPr="00982E15">
        <w:rPr>
          <w:sz w:val="20"/>
          <w:szCs w:val="20"/>
          <w:lang w:val="es-ES"/>
        </w:rPr>
        <w:t xml:space="preserve"> </w:t>
      </w:r>
      <w:r w:rsidR="00123964" w:rsidRPr="00982E15">
        <w:rPr>
          <w:sz w:val="20"/>
          <w:szCs w:val="20"/>
          <w:lang w:val="es-ES"/>
        </w:rPr>
        <w:t>en cuyo curso</w:t>
      </w:r>
      <w:r w:rsidR="004F51CA" w:rsidRPr="00982E15">
        <w:rPr>
          <w:sz w:val="20"/>
          <w:szCs w:val="20"/>
          <w:lang w:val="es-ES"/>
        </w:rPr>
        <w:t xml:space="preserve"> han sido acusadas</w:t>
      </w:r>
      <w:r w:rsidR="00123964" w:rsidRPr="00982E15">
        <w:rPr>
          <w:sz w:val="20"/>
          <w:szCs w:val="20"/>
          <w:lang w:val="es-ES"/>
        </w:rPr>
        <w:t xml:space="preserve"> 18 personas</w:t>
      </w:r>
      <w:r w:rsidR="00287B36" w:rsidRPr="00982E15">
        <w:rPr>
          <w:sz w:val="20"/>
          <w:szCs w:val="20"/>
          <w:lang w:val="es-ES"/>
        </w:rPr>
        <w:t>;</w:t>
      </w:r>
      <w:r w:rsidR="004F51CA" w:rsidRPr="00982E15">
        <w:rPr>
          <w:sz w:val="20"/>
          <w:szCs w:val="20"/>
          <w:lang w:val="es-ES"/>
        </w:rPr>
        <w:t xml:space="preserve"> </w:t>
      </w:r>
      <w:r w:rsidR="001A1474" w:rsidRPr="00982E15">
        <w:rPr>
          <w:sz w:val="20"/>
          <w:szCs w:val="20"/>
          <w:lang w:val="es-ES"/>
        </w:rPr>
        <w:t>se ha dictado orden de captura contra una y se ha</w:t>
      </w:r>
      <w:r w:rsidR="00287B36" w:rsidRPr="00982E15">
        <w:rPr>
          <w:sz w:val="20"/>
          <w:szCs w:val="20"/>
          <w:lang w:val="es-ES"/>
        </w:rPr>
        <w:t>n</w:t>
      </w:r>
      <w:r w:rsidR="001A1474" w:rsidRPr="00982E15">
        <w:rPr>
          <w:sz w:val="20"/>
          <w:szCs w:val="20"/>
          <w:lang w:val="es-ES"/>
        </w:rPr>
        <w:t xml:space="preserve"> impuesto medida</w:t>
      </w:r>
      <w:r w:rsidR="00287B36" w:rsidRPr="00982E15">
        <w:rPr>
          <w:sz w:val="20"/>
          <w:szCs w:val="20"/>
          <w:lang w:val="es-ES"/>
        </w:rPr>
        <w:t>s</w:t>
      </w:r>
      <w:r w:rsidR="001A1474" w:rsidRPr="00982E15">
        <w:rPr>
          <w:sz w:val="20"/>
          <w:szCs w:val="20"/>
          <w:lang w:val="es-ES"/>
        </w:rPr>
        <w:t xml:space="preserve"> de aseguramiento contra cuatro más.</w:t>
      </w:r>
      <w:r w:rsidR="00FA6D5E" w:rsidRPr="00982E15">
        <w:rPr>
          <w:sz w:val="20"/>
          <w:szCs w:val="20"/>
          <w:lang w:val="es-ES"/>
        </w:rPr>
        <w:t xml:space="preserve"> Informa que 11 personas se acogieron a beneficios por colaboración de la justicia</w:t>
      </w:r>
      <w:r w:rsidR="00194CD4" w:rsidRPr="00982E15">
        <w:rPr>
          <w:sz w:val="20"/>
          <w:szCs w:val="20"/>
          <w:lang w:val="es-ES"/>
        </w:rPr>
        <w:t>;</w:t>
      </w:r>
      <w:r w:rsidR="00FA6D5E" w:rsidRPr="00982E15">
        <w:rPr>
          <w:sz w:val="20"/>
          <w:szCs w:val="20"/>
          <w:lang w:val="es-ES"/>
        </w:rPr>
        <w:t xml:space="preserve"> </w:t>
      </w:r>
      <w:r w:rsidR="00522979" w:rsidRPr="00982E15">
        <w:rPr>
          <w:sz w:val="20"/>
          <w:szCs w:val="20"/>
          <w:lang w:val="es-ES"/>
        </w:rPr>
        <w:t>una más</w:t>
      </w:r>
      <w:r w:rsidR="009647F2" w:rsidRPr="00982E15">
        <w:rPr>
          <w:sz w:val="20"/>
          <w:szCs w:val="20"/>
          <w:lang w:val="es-ES"/>
        </w:rPr>
        <w:t xml:space="preserve"> cambió de identidad y reside en España por lo que no se pudo iniciar investigación en su contra</w:t>
      </w:r>
      <w:r w:rsidR="00194CD4" w:rsidRPr="00982E15">
        <w:rPr>
          <w:sz w:val="20"/>
          <w:szCs w:val="20"/>
          <w:lang w:val="es-ES"/>
        </w:rPr>
        <w:t>;</w:t>
      </w:r>
      <w:r w:rsidR="009647F2" w:rsidRPr="00982E15">
        <w:rPr>
          <w:sz w:val="20"/>
          <w:szCs w:val="20"/>
          <w:lang w:val="es-ES"/>
        </w:rPr>
        <w:t xml:space="preserve"> y </w:t>
      </w:r>
      <w:r w:rsidR="00194CD4" w:rsidRPr="00982E15">
        <w:rPr>
          <w:sz w:val="20"/>
          <w:szCs w:val="20"/>
          <w:lang w:val="es-ES"/>
        </w:rPr>
        <w:t>otro</w:t>
      </w:r>
      <w:r w:rsidR="009647F2" w:rsidRPr="00982E15">
        <w:rPr>
          <w:sz w:val="20"/>
          <w:szCs w:val="20"/>
          <w:lang w:val="es-ES"/>
        </w:rPr>
        <w:t xml:space="preserve"> fue condenado en Estados Unidos.</w:t>
      </w:r>
      <w:r w:rsidR="00DB04BA" w:rsidRPr="00982E15">
        <w:rPr>
          <w:sz w:val="20"/>
          <w:szCs w:val="20"/>
          <w:lang w:val="es-ES"/>
        </w:rPr>
        <w:t xml:space="preserve"> En cuanto al programa administrativo de reparación a víctimas</w:t>
      </w:r>
      <w:r w:rsidR="00142608" w:rsidRPr="00982E15">
        <w:rPr>
          <w:sz w:val="20"/>
          <w:szCs w:val="20"/>
          <w:lang w:val="es-ES"/>
        </w:rPr>
        <w:t xml:space="preserve">, </w:t>
      </w:r>
      <w:r w:rsidR="002B6A51" w:rsidRPr="00982E15">
        <w:rPr>
          <w:sz w:val="20"/>
          <w:szCs w:val="20"/>
          <w:lang w:val="es-ES"/>
        </w:rPr>
        <w:t>indica que</w:t>
      </w:r>
      <w:r w:rsidR="00937E18" w:rsidRPr="00982E15">
        <w:rPr>
          <w:sz w:val="20"/>
          <w:szCs w:val="20"/>
          <w:lang w:val="es-ES"/>
        </w:rPr>
        <w:t xml:space="preserve"> aunque en un primer momento </w:t>
      </w:r>
      <w:r w:rsidR="00286F90" w:rsidRPr="00982E15">
        <w:rPr>
          <w:sz w:val="20"/>
          <w:szCs w:val="20"/>
          <w:lang w:val="es-ES"/>
        </w:rPr>
        <w:t>la Unidad de Víctimas</w:t>
      </w:r>
      <w:r w:rsidR="00937E18" w:rsidRPr="00982E15">
        <w:rPr>
          <w:sz w:val="20"/>
          <w:szCs w:val="20"/>
          <w:lang w:val="es-ES"/>
        </w:rPr>
        <w:t xml:space="preserve"> negó la inscripción al </w:t>
      </w:r>
      <w:r w:rsidR="00FA4F51" w:rsidRPr="00982E15">
        <w:rPr>
          <w:sz w:val="20"/>
          <w:szCs w:val="20"/>
          <w:lang w:val="es-ES"/>
        </w:rPr>
        <w:t>Registro Único de Víctimas (</w:t>
      </w:r>
      <w:r w:rsidR="00937E18" w:rsidRPr="00982E15">
        <w:rPr>
          <w:sz w:val="20"/>
          <w:szCs w:val="20"/>
          <w:lang w:val="es-ES"/>
        </w:rPr>
        <w:t>RUV</w:t>
      </w:r>
      <w:r w:rsidR="00FA4F51" w:rsidRPr="00982E15">
        <w:rPr>
          <w:sz w:val="20"/>
          <w:szCs w:val="20"/>
          <w:lang w:val="es-ES"/>
        </w:rPr>
        <w:t>)</w:t>
      </w:r>
      <w:r w:rsidR="00286F90" w:rsidRPr="00982E15">
        <w:rPr>
          <w:sz w:val="20"/>
          <w:szCs w:val="20"/>
          <w:lang w:val="es-ES"/>
        </w:rPr>
        <w:t xml:space="preserve"> de las presuntas víctimas</w:t>
      </w:r>
      <w:r w:rsidR="00937E18" w:rsidRPr="00982E15">
        <w:rPr>
          <w:sz w:val="20"/>
          <w:szCs w:val="20"/>
          <w:lang w:val="es-ES"/>
        </w:rPr>
        <w:t xml:space="preserve">, </w:t>
      </w:r>
      <w:r w:rsidR="00CD47CC" w:rsidRPr="00982E15">
        <w:rPr>
          <w:sz w:val="20"/>
          <w:szCs w:val="20"/>
          <w:lang w:val="es-ES"/>
        </w:rPr>
        <w:t xml:space="preserve">la </w:t>
      </w:r>
      <w:r w:rsidR="00286F90" w:rsidRPr="00982E15">
        <w:rPr>
          <w:sz w:val="20"/>
          <w:szCs w:val="20"/>
          <w:lang w:val="es-ES"/>
        </w:rPr>
        <w:t xml:space="preserve">entidad </w:t>
      </w:r>
      <w:r w:rsidR="00CD47CC" w:rsidRPr="00982E15">
        <w:rPr>
          <w:sz w:val="20"/>
          <w:szCs w:val="20"/>
          <w:lang w:val="es-ES"/>
        </w:rPr>
        <w:t>revocó esa decisión y el 2 de octubre de 2014 le pagó una indemnización</w:t>
      </w:r>
      <w:r w:rsidR="00286F90" w:rsidRPr="00982E15">
        <w:rPr>
          <w:sz w:val="20"/>
          <w:szCs w:val="20"/>
          <w:lang w:val="es-ES"/>
        </w:rPr>
        <w:t xml:space="preserve"> equivalente a US</w:t>
      </w:r>
      <w:r w:rsidR="00AB5F9B" w:rsidRPr="00982E15">
        <w:rPr>
          <w:sz w:val="20"/>
          <w:szCs w:val="20"/>
          <w:lang w:val="es-ES"/>
        </w:rPr>
        <w:t>D</w:t>
      </w:r>
      <w:r w:rsidR="00286F90" w:rsidRPr="00982E15">
        <w:rPr>
          <w:sz w:val="20"/>
          <w:szCs w:val="20"/>
          <w:lang w:val="es-ES"/>
        </w:rPr>
        <w:t>$</w:t>
      </w:r>
      <w:r w:rsidR="00AB5F9B" w:rsidRPr="00982E15">
        <w:rPr>
          <w:sz w:val="20"/>
          <w:szCs w:val="20"/>
          <w:lang w:val="es-ES"/>
        </w:rPr>
        <w:t xml:space="preserve">. </w:t>
      </w:r>
      <w:r w:rsidR="00A02859" w:rsidRPr="00982E15">
        <w:rPr>
          <w:sz w:val="20"/>
          <w:szCs w:val="20"/>
          <w:lang w:val="es-ES"/>
        </w:rPr>
        <w:t>6</w:t>
      </w:r>
      <w:r w:rsidR="00AB5F9B" w:rsidRPr="00982E15">
        <w:rPr>
          <w:sz w:val="20"/>
          <w:szCs w:val="20"/>
          <w:lang w:val="es-ES"/>
        </w:rPr>
        <w:t>,</w:t>
      </w:r>
      <w:r w:rsidR="0039766B" w:rsidRPr="00982E15">
        <w:rPr>
          <w:sz w:val="20"/>
          <w:szCs w:val="20"/>
          <w:lang w:val="es-ES"/>
        </w:rPr>
        <w:t>093 dólares a cada uno.</w:t>
      </w:r>
      <w:r w:rsidR="009C5FA2" w:rsidRPr="00982E15">
        <w:rPr>
          <w:sz w:val="20"/>
          <w:szCs w:val="20"/>
          <w:lang w:val="es-ES"/>
        </w:rPr>
        <w:t xml:space="preserve"> Por otro lado, refiere que las presuntas víctimas no ejercieron la demanda</w:t>
      </w:r>
      <w:r w:rsidR="005F7BB7" w:rsidRPr="00982E15">
        <w:rPr>
          <w:sz w:val="20"/>
          <w:szCs w:val="20"/>
          <w:lang w:val="es-ES"/>
        </w:rPr>
        <w:t>s</w:t>
      </w:r>
      <w:r w:rsidR="009C5FA2" w:rsidRPr="00982E15">
        <w:rPr>
          <w:sz w:val="20"/>
          <w:szCs w:val="20"/>
          <w:lang w:val="es-ES"/>
        </w:rPr>
        <w:t xml:space="preserve"> de reparación directa ante la jurisdicción contencioso-administrativa para reclamar una indemnización por</w:t>
      </w:r>
      <w:r w:rsidR="00134C1A" w:rsidRPr="00982E15">
        <w:rPr>
          <w:sz w:val="20"/>
          <w:szCs w:val="20"/>
          <w:lang w:val="es-ES"/>
        </w:rPr>
        <w:t xml:space="preserve"> la</w:t>
      </w:r>
      <w:r w:rsidR="009C5FA2" w:rsidRPr="00982E15">
        <w:rPr>
          <w:sz w:val="20"/>
          <w:szCs w:val="20"/>
          <w:lang w:val="es-ES"/>
        </w:rPr>
        <w:t xml:space="preserve"> vía judicial.</w:t>
      </w:r>
    </w:p>
    <w:p w14:paraId="41E23D06" w14:textId="098BBD4B" w:rsidR="0090726A" w:rsidRPr="00982E15" w:rsidRDefault="0090726A" w:rsidP="000D5960">
      <w:pPr>
        <w:pStyle w:val="ListParagraph"/>
        <w:numPr>
          <w:ilvl w:val="0"/>
          <w:numId w:val="61"/>
        </w:numPr>
        <w:ind w:left="0" w:firstLine="720"/>
        <w:jc w:val="both"/>
        <w:rPr>
          <w:rFonts w:asciiTheme="majorHAnsi" w:hAnsiTheme="majorHAnsi"/>
          <w:bCs/>
          <w:sz w:val="20"/>
          <w:szCs w:val="20"/>
          <w:lang w:val="es-ES"/>
        </w:rPr>
      </w:pPr>
      <w:r w:rsidRPr="00982E15">
        <w:rPr>
          <w:sz w:val="20"/>
          <w:szCs w:val="20"/>
          <w:lang w:val="es-ES"/>
        </w:rPr>
        <w:t xml:space="preserve">Adicionalmente, </w:t>
      </w:r>
      <w:r w:rsidR="006146D8" w:rsidRPr="00982E15">
        <w:rPr>
          <w:sz w:val="20"/>
          <w:szCs w:val="20"/>
          <w:lang w:val="es-ES"/>
        </w:rPr>
        <w:t>la Comisión para el Esclarecimiento de la Verdad, la Convivencia y la No Repetición</w:t>
      </w:r>
      <w:r w:rsidR="0068268A" w:rsidRPr="00982E15">
        <w:rPr>
          <w:sz w:val="20"/>
          <w:szCs w:val="20"/>
          <w:lang w:val="es-ES"/>
        </w:rPr>
        <w:t xml:space="preserve"> </w:t>
      </w:r>
      <w:r w:rsidR="00C87B2D" w:rsidRPr="00982E15">
        <w:rPr>
          <w:sz w:val="20"/>
          <w:szCs w:val="20"/>
          <w:lang w:val="es-ES"/>
        </w:rPr>
        <w:t>incorpor</w:t>
      </w:r>
      <w:r w:rsidR="0068268A" w:rsidRPr="00982E15">
        <w:rPr>
          <w:sz w:val="20"/>
          <w:szCs w:val="20"/>
          <w:lang w:val="es-ES"/>
        </w:rPr>
        <w:t xml:space="preserve">ó </w:t>
      </w:r>
      <w:r w:rsidR="002E5FD5" w:rsidRPr="00982E15">
        <w:rPr>
          <w:sz w:val="20"/>
          <w:szCs w:val="20"/>
          <w:lang w:val="es-ES"/>
        </w:rPr>
        <w:t xml:space="preserve">a su archivo </w:t>
      </w:r>
      <w:r w:rsidR="009C6927" w:rsidRPr="00982E15">
        <w:rPr>
          <w:sz w:val="20"/>
          <w:szCs w:val="20"/>
          <w:lang w:val="es-ES"/>
        </w:rPr>
        <w:t xml:space="preserve">documental </w:t>
      </w:r>
      <w:r w:rsidR="0068268A" w:rsidRPr="00982E15">
        <w:rPr>
          <w:sz w:val="20"/>
          <w:szCs w:val="20"/>
          <w:lang w:val="es-ES"/>
        </w:rPr>
        <w:t xml:space="preserve">un informe </w:t>
      </w:r>
      <w:r w:rsidR="002E5FD5" w:rsidRPr="00982E15">
        <w:rPr>
          <w:sz w:val="20"/>
          <w:szCs w:val="20"/>
          <w:lang w:val="es-ES"/>
        </w:rPr>
        <w:t>titulado “</w:t>
      </w:r>
      <w:r w:rsidR="002E5FD5" w:rsidRPr="00982E15">
        <w:rPr>
          <w:i/>
          <w:iCs/>
          <w:sz w:val="20"/>
          <w:szCs w:val="20"/>
          <w:lang w:val="es-ES"/>
        </w:rPr>
        <w:t>Una mirada del atentado al avión de Avianca: narcotráfico y narcoterrorismo en el conflicto armado colombiano</w:t>
      </w:r>
      <w:r w:rsidR="002E5FD5" w:rsidRPr="00982E15">
        <w:rPr>
          <w:sz w:val="20"/>
          <w:szCs w:val="20"/>
          <w:lang w:val="es-ES"/>
        </w:rPr>
        <w:t>”</w:t>
      </w:r>
      <w:r w:rsidR="009C6927" w:rsidRPr="00982E15">
        <w:rPr>
          <w:sz w:val="20"/>
          <w:szCs w:val="20"/>
          <w:lang w:val="es-ES"/>
        </w:rPr>
        <w:t xml:space="preserve">, elaborado por la Fundación Colombia con Memoria, </w:t>
      </w:r>
      <w:r w:rsidR="00381573" w:rsidRPr="00982E15">
        <w:rPr>
          <w:sz w:val="20"/>
          <w:szCs w:val="20"/>
          <w:lang w:val="es-ES"/>
        </w:rPr>
        <w:t xml:space="preserve">con lo cual garantiza el esclarecimiento de lo ocurrido </w:t>
      </w:r>
      <w:r w:rsidR="00F05765" w:rsidRPr="00982E15">
        <w:rPr>
          <w:sz w:val="20"/>
          <w:szCs w:val="20"/>
          <w:lang w:val="es-ES"/>
        </w:rPr>
        <w:t xml:space="preserve">durante </w:t>
      </w:r>
      <w:r w:rsidR="00381573" w:rsidRPr="00982E15">
        <w:rPr>
          <w:sz w:val="20"/>
          <w:szCs w:val="20"/>
          <w:lang w:val="es-ES"/>
        </w:rPr>
        <w:t xml:space="preserve">estos hechos. </w:t>
      </w:r>
    </w:p>
    <w:p w14:paraId="50EB462C" w14:textId="01D363E6" w:rsidR="009647F2" w:rsidRPr="00982E15" w:rsidRDefault="005F7BB7" w:rsidP="000D5960">
      <w:pPr>
        <w:pStyle w:val="ListParagraph"/>
        <w:numPr>
          <w:ilvl w:val="0"/>
          <w:numId w:val="61"/>
        </w:numPr>
        <w:ind w:left="0" w:firstLine="720"/>
        <w:jc w:val="both"/>
        <w:rPr>
          <w:rFonts w:asciiTheme="majorHAnsi" w:hAnsiTheme="majorHAnsi"/>
          <w:bCs/>
          <w:sz w:val="20"/>
          <w:szCs w:val="20"/>
          <w:lang w:val="es-ES"/>
        </w:rPr>
      </w:pPr>
      <w:r w:rsidRPr="00982E15">
        <w:rPr>
          <w:rFonts w:asciiTheme="majorHAnsi" w:hAnsiTheme="majorHAnsi"/>
          <w:bCs/>
          <w:sz w:val="20"/>
          <w:szCs w:val="20"/>
          <w:lang w:val="es-ES"/>
        </w:rPr>
        <w:t>Con</w:t>
      </w:r>
      <w:r w:rsidR="00DC06EC" w:rsidRPr="00982E15">
        <w:rPr>
          <w:rFonts w:asciiTheme="majorHAnsi" w:hAnsiTheme="majorHAnsi"/>
          <w:bCs/>
          <w:sz w:val="20"/>
          <w:szCs w:val="20"/>
          <w:lang w:val="es-ES"/>
        </w:rPr>
        <w:t xml:space="preserve"> relación </w:t>
      </w:r>
      <w:r w:rsidRPr="00982E15">
        <w:rPr>
          <w:rFonts w:asciiTheme="majorHAnsi" w:hAnsiTheme="majorHAnsi"/>
          <w:bCs/>
          <w:sz w:val="20"/>
          <w:szCs w:val="20"/>
          <w:lang w:val="es-ES"/>
        </w:rPr>
        <w:t>a</w:t>
      </w:r>
      <w:r w:rsidR="00DC06EC" w:rsidRPr="00982E15">
        <w:rPr>
          <w:rFonts w:asciiTheme="majorHAnsi" w:hAnsiTheme="majorHAnsi"/>
          <w:bCs/>
          <w:sz w:val="20"/>
          <w:szCs w:val="20"/>
          <w:lang w:val="es-ES"/>
        </w:rPr>
        <w:t xml:space="preserve"> la admisibilidad de la petición, el Estado colombiano plantea que </w:t>
      </w:r>
      <w:r w:rsidR="000B3B93" w:rsidRPr="00982E15">
        <w:rPr>
          <w:rFonts w:asciiTheme="majorHAnsi" w:hAnsiTheme="majorHAnsi"/>
          <w:bCs/>
          <w:sz w:val="20"/>
          <w:szCs w:val="20"/>
          <w:lang w:val="es-ES"/>
        </w:rPr>
        <w:t>el atentado terrorista ocurrió el 27 de noviembre de 1989</w:t>
      </w:r>
      <w:r w:rsidR="00190347" w:rsidRPr="00982E15">
        <w:rPr>
          <w:rFonts w:asciiTheme="majorHAnsi" w:hAnsiTheme="majorHAnsi"/>
          <w:bCs/>
          <w:sz w:val="20"/>
          <w:szCs w:val="20"/>
          <w:lang w:val="es-ES"/>
        </w:rPr>
        <w:t>,</w:t>
      </w:r>
      <w:r w:rsidR="000B3B93" w:rsidRPr="00982E15">
        <w:rPr>
          <w:rFonts w:asciiTheme="majorHAnsi" w:hAnsiTheme="majorHAnsi"/>
          <w:bCs/>
          <w:sz w:val="20"/>
          <w:szCs w:val="20"/>
          <w:lang w:val="es-ES"/>
        </w:rPr>
        <w:t xml:space="preserve"> y </w:t>
      </w:r>
      <w:r w:rsidR="00190347" w:rsidRPr="00982E15">
        <w:rPr>
          <w:rFonts w:asciiTheme="majorHAnsi" w:hAnsiTheme="majorHAnsi"/>
          <w:bCs/>
          <w:sz w:val="20"/>
          <w:szCs w:val="20"/>
          <w:lang w:val="es-ES"/>
        </w:rPr>
        <w:t xml:space="preserve">que </w:t>
      </w:r>
      <w:r w:rsidR="000B3B93" w:rsidRPr="00982E15">
        <w:rPr>
          <w:rFonts w:asciiTheme="majorHAnsi" w:hAnsiTheme="majorHAnsi"/>
          <w:bCs/>
          <w:sz w:val="20"/>
          <w:szCs w:val="20"/>
          <w:lang w:val="es-ES"/>
        </w:rPr>
        <w:t>ést</w:t>
      </w:r>
      <w:r w:rsidR="00682A08" w:rsidRPr="00982E15">
        <w:rPr>
          <w:rFonts w:asciiTheme="majorHAnsi" w:hAnsiTheme="majorHAnsi"/>
          <w:bCs/>
          <w:sz w:val="20"/>
          <w:szCs w:val="20"/>
          <w:lang w:val="es-ES"/>
        </w:rPr>
        <w:t>a</w:t>
      </w:r>
      <w:r w:rsidR="000B3B93" w:rsidRPr="00982E15">
        <w:rPr>
          <w:rFonts w:asciiTheme="majorHAnsi" w:hAnsiTheme="majorHAnsi"/>
          <w:bCs/>
          <w:sz w:val="20"/>
          <w:szCs w:val="20"/>
          <w:lang w:val="es-ES"/>
        </w:rPr>
        <w:t xml:space="preserve"> fue interpuesta ante la CIDH 26 años después, el 27 de octubre de 2015.</w:t>
      </w:r>
      <w:r w:rsidR="00A27A7C" w:rsidRPr="00982E15">
        <w:rPr>
          <w:rFonts w:asciiTheme="majorHAnsi" w:hAnsiTheme="majorHAnsi"/>
          <w:bCs/>
          <w:sz w:val="20"/>
          <w:szCs w:val="20"/>
          <w:lang w:val="es-ES"/>
        </w:rPr>
        <w:t xml:space="preserve"> </w:t>
      </w:r>
      <w:r w:rsidR="002A05DF" w:rsidRPr="00982E15">
        <w:rPr>
          <w:rFonts w:asciiTheme="majorHAnsi" w:hAnsiTheme="majorHAnsi"/>
          <w:bCs/>
          <w:sz w:val="20"/>
          <w:szCs w:val="20"/>
          <w:lang w:val="es-ES"/>
        </w:rPr>
        <w:t>Subraya</w:t>
      </w:r>
      <w:r w:rsidR="006A4D35" w:rsidRPr="00982E15">
        <w:rPr>
          <w:rFonts w:asciiTheme="majorHAnsi" w:hAnsiTheme="majorHAnsi"/>
          <w:bCs/>
          <w:sz w:val="20"/>
          <w:szCs w:val="20"/>
          <w:lang w:val="es-ES"/>
        </w:rPr>
        <w:t xml:space="preserve"> que</w:t>
      </w:r>
      <w:r w:rsidR="00A27A7C" w:rsidRPr="00982E15">
        <w:rPr>
          <w:rFonts w:asciiTheme="majorHAnsi" w:hAnsiTheme="majorHAnsi"/>
          <w:bCs/>
          <w:sz w:val="20"/>
          <w:szCs w:val="20"/>
          <w:lang w:val="es-ES"/>
        </w:rPr>
        <w:t xml:space="preserve"> </w:t>
      </w:r>
      <w:r w:rsidR="006A4D35" w:rsidRPr="00982E15">
        <w:rPr>
          <w:rFonts w:asciiTheme="majorHAnsi" w:hAnsiTheme="majorHAnsi"/>
          <w:bCs/>
          <w:sz w:val="20"/>
          <w:szCs w:val="20"/>
          <w:lang w:val="es-ES"/>
        </w:rPr>
        <w:t xml:space="preserve">según </w:t>
      </w:r>
      <w:r w:rsidR="00A27A7C" w:rsidRPr="00982E15">
        <w:rPr>
          <w:rFonts w:asciiTheme="majorHAnsi" w:hAnsiTheme="majorHAnsi"/>
          <w:bCs/>
          <w:sz w:val="20"/>
          <w:szCs w:val="20"/>
          <w:lang w:val="es-ES"/>
        </w:rPr>
        <w:t xml:space="preserve">el artículo 46.1.b) de la Convención, </w:t>
      </w:r>
      <w:r w:rsidR="0094745D" w:rsidRPr="00982E15">
        <w:rPr>
          <w:rFonts w:asciiTheme="majorHAnsi" w:hAnsiTheme="majorHAnsi"/>
          <w:bCs/>
          <w:sz w:val="20"/>
          <w:szCs w:val="20"/>
          <w:lang w:val="es-ES"/>
        </w:rPr>
        <w:t>las peticiones deben</w:t>
      </w:r>
      <w:r w:rsidR="006A4D35" w:rsidRPr="00982E15">
        <w:rPr>
          <w:rFonts w:asciiTheme="majorHAnsi" w:hAnsiTheme="majorHAnsi"/>
          <w:bCs/>
          <w:sz w:val="20"/>
          <w:szCs w:val="20"/>
          <w:lang w:val="es-ES"/>
        </w:rPr>
        <w:t xml:space="preserve"> ser presentadas dentro el término de </w:t>
      </w:r>
      <w:r w:rsidR="00A2109E" w:rsidRPr="00982E15">
        <w:rPr>
          <w:rFonts w:asciiTheme="majorHAnsi" w:hAnsiTheme="majorHAnsi"/>
          <w:bCs/>
          <w:sz w:val="20"/>
          <w:szCs w:val="20"/>
          <w:lang w:val="es-ES"/>
        </w:rPr>
        <w:t>seis</w:t>
      </w:r>
      <w:r w:rsidR="006A4D35" w:rsidRPr="00982E15">
        <w:rPr>
          <w:rFonts w:asciiTheme="majorHAnsi" w:hAnsiTheme="majorHAnsi"/>
          <w:bCs/>
          <w:sz w:val="20"/>
          <w:szCs w:val="20"/>
          <w:lang w:val="es-ES"/>
        </w:rPr>
        <w:t xml:space="preserve"> meses </w:t>
      </w:r>
      <w:r w:rsidR="0094745D" w:rsidRPr="00982E15">
        <w:rPr>
          <w:rFonts w:asciiTheme="majorHAnsi" w:hAnsiTheme="majorHAnsi"/>
          <w:bCs/>
          <w:sz w:val="20"/>
          <w:szCs w:val="20"/>
          <w:lang w:val="es-ES"/>
        </w:rPr>
        <w:t xml:space="preserve">contado </w:t>
      </w:r>
      <w:r w:rsidR="006A4D35" w:rsidRPr="00982E15">
        <w:rPr>
          <w:rFonts w:asciiTheme="majorHAnsi" w:hAnsiTheme="majorHAnsi"/>
          <w:bCs/>
          <w:sz w:val="20"/>
          <w:szCs w:val="20"/>
          <w:lang w:val="es-ES"/>
        </w:rPr>
        <w:t xml:space="preserve">desde </w:t>
      </w:r>
      <w:r w:rsidR="0094745D" w:rsidRPr="00982E15">
        <w:rPr>
          <w:rFonts w:asciiTheme="majorHAnsi" w:hAnsiTheme="majorHAnsi"/>
          <w:bCs/>
          <w:sz w:val="20"/>
          <w:szCs w:val="20"/>
          <w:lang w:val="es-ES"/>
        </w:rPr>
        <w:t>la notificación de la decisión que agotó</w:t>
      </w:r>
      <w:r w:rsidR="006A4D35" w:rsidRPr="00982E15">
        <w:rPr>
          <w:rFonts w:asciiTheme="majorHAnsi" w:hAnsiTheme="majorHAnsi"/>
          <w:bCs/>
          <w:sz w:val="20"/>
          <w:szCs w:val="20"/>
          <w:lang w:val="es-ES"/>
        </w:rPr>
        <w:t xml:space="preserve"> los recursos internos, o en su defecto, conforme al artículo 32.2 del Reglamento de la CIDH, </w:t>
      </w:r>
      <w:r w:rsidR="00D7371E" w:rsidRPr="00982E15">
        <w:rPr>
          <w:rFonts w:asciiTheme="majorHAnsi" w:hAnsiTheme="majorHAnsi"/>
          <w:bCs/>
          <w:sz w:val="20"/>
          <w:szCs w:val="20"/>
          <w:lang w:val="es-ES"/>
        </w:rPr>
        <w:t>“</w:t>
      </w:r>
      <w:r w:rsidR="00D7371E" w:rsidRPr="00982E15">
        <w:rPr>
          <w:rFonts w:asciiTheme="majorHAnsi" w:hAnsiTheme="majorHAnsi"/>
          <w:bCs/>
          <w:i/>
          <w:iCs/>
          <w:sz w:val="20"/>
          <w:szCs w:val="20"/>
          <w:lang w:val="es-ES"/>
        </w:rPr>
        <w:t>dentro de un plazo razonable</w:t>
      </w:r>
      <w:r w:rsidR="00D7371E" w:rsidRPr="00982E15">
        <w:rPr>
          <w:rFonts w:asciiTheme="majorHAnsi" w:hAnsiTheme="majorHAnsi"/>
          <w:bCs/>
          <w:sz w:val="20"/>
          <w:szCs w:val="20"/>
          <w:lang w:val="es-ES"/>
        </w:rPr>
        <w:t>” cuando resulte aplicable alguna de las excepciones al agotamiento de los recursos internos.</w:t>
      </w:r>
      <w:r w:rsidR="00D86CF0" w:rsidRPr="00982E15">
        <w:rPr>
          <w:rFonts w:asciiTheme="majorHAnsi" w:hAnsiTheme="majorHAnsi"/>
          <w:bCs/>
          <w:sz w:val="20"/>
          <w:szCs w:val="20"/>
          <w:lang w:val="es-ES"/>
        </w:rPr>
        <w:t xml:space="preserve"> En esa medida, </w:t>
      </w:r>
      <w:r w:rsidR="00B90104" w:rsidRPr="00982E15">
        <w:rPr>
          <w:rFonts w:asciiTheme="majorHAnsi" w:hAnsiTheme="majorHAnsi"/>
          <w:bCs/>
          <w:sz w:val="20"/>
          <w:szCs w:val="20"/>
          <w:lang w:val="es-ES"/>
        </w:rPr>
        <w:t>sostiene que la parte peticionaria no ha presentado argumentos que expliquen o justifiquen el lapso de 26 años para la presentación de la petición</w:t>
      </w:r>
      <w:r w:rsidR="00916CB4" w:rsidRPr="00982E15">
        <w:rPr>
          <w:rFonts w:asciiTheme="majorHAnsi" w:hAnsiTheme="majorHAnsi"/>
          <w:bCs/>
          <w:sz w:val="20"/>
          <w:szCs w:val="20"/>
          <w:lang w:val="es-ES"/>
        </w:rPr>
        <w:t>. Por ello, considera que ha excedido el plazo razonable contemplado en el artículo 32.2 del Reglamento de la Comisión, en concordancia con el artículo 46.1.b) de la Convención</w:t>
      </w:r>
      <w:r w:rsidR="004122BC" w:rsidRPr="00982E15">
        <w:rPr>
          <w:rFonts w:asciiTheme="majorHAnsi" w:hAnsiTheme="majorHAnsi"/>
          <w:bCs/>
          <w:sz w:val="20"/>
          <w:szCs w:val="20"/>
          <w:lang w:val="es-ES"/>
        </w:rPr>
        <w:t>.</w:t>
      </w:r>
    </w:p>
    <w:p w14:paraId="4F6E2EEF" w14:textId="5F6CD87D" w:rsidR="0094745D" w:rsidRPr="00982E15" w:rsidRDefault="005D0110" w:rsidP="000D5960">
      <w:pPr>
        <w:pStyle w:val="ListParagraph"/>
        <w:numPr>
          <w:ilvl w:val="0"/>
          <w:numId w:val="61"/>
        </w:numPr>
        <w:ind w:left="0" w:firstLine="720"/>
        <w:jc w:val="both"/>
        <w:rPr>
          <w:rFonts w:asciiTheme="majorHAnsi" w:hAnsiTheme="majorHAnsi"/>
          <w:bCs/>
          <w:sz w:val="20"/>
          <w:szCs w:val="20"/>
          <w:lang w:val="es-ES"/>
        </w:rPr>
      </w:pPr>
      <w:r w:rsidRPr="00982E15">
        <w:rPr>
          <w:rFonts w:asciiTheme="majorHAnsi" w:hAnsiTheme="majorHAnsi"/>
          <w:bCs/>
          <w:sz w:val="20"/>
          <w:szCs w:val="20"/>
          <w:lang w:val="es-ES"/>
        </w:rPr>
        <w:t>De manera subsidiaria</w:t>
      </w:r>
      <w:r w:rsidR="006C4D82" w:rsidRPr="00982E15">
        <w:rPr>
          <w:rFonts w:asciiTheme="majorHAnsi" w:hAnsiTheme="majorHAnsi"/>
          <w:bCs/>
          <w:sz w:val="20"/>
          <w:szCs w:val="20"/>
          <w:lang w:val="es-ES"/>
        </w:rPr>
        <w:t xml:space="preserve">, </w:t>
      </w:r>
      <w:r w:rsidRPr="00982E15">
        <w:rPr>
          <w:rFonts w:asciiTheme="majorHAnsi" w:hAnsiTheme="majorHAnsi"/>
          <w:bCs/>
          <w:sz w:val="20"/>
          <w:szCs w:val="20"/>
          <w:lang w:val="es-ES"/>
        </w:rPr>
        <w:t xml:space="preserve">el Estado </w:t>
      </w:r>
      <w:r w:rsidR="00C539EB" w:rsidRPr="00982E15">
        <w:rPr>
          <w:rFonts w:asciiTheme="majorHAnsi" w:hAnsiTheme="majorHAnsi"/>
          <w:bCs/>
          <w:sz w:val="20"/>
          <w:szCs w:val="20"/>
          <w:lang w:val="es-ES"/>
        </w:rPr>
        <w:t>aduce que</w:t>
      </w:r>
      <w:r w:rsidR="006023A4" w:rsidRPr="00982E15">
        <w:rPr>
          <w:rFonts w:asciiTheme="majorHAnsi" w:hAnsiTheme="majorHAnsi"/>
          <w:bCs/>
          <w:sz w:val="20"/>
          <w:szCs w:val="20"/>
          <w:lang w:val="es-ES"/>
        </w:rPr>
        <w:t xml:space="preserve"> la petición contiene cargos manifiestamente infundados que la torna</w:t>
      </w:r>
      <w:r w:rsidR="00051522" w:rsidRPr="00982E15">
        <w:rPr>
          <w:rFonts w:asciiTheme="majorHAnsi" w:hAnsiTheme="majorHAnsi"/>
          <w:bCs/>
          <w:sz w:val="20"/>
          <w:szCs w:val="20"/>
          <w:lang w:val="es-ES"/>
        </w:rPr>
        <w:t>n</w:t>
      </w:r>
      <w:r w:rsidR="006023A4" w:rsidRPr="00982E15">
        <w:rPr>
          <w:rFonts w:asciiTheme="majorHAnsi" w:hAnsiTheme="majorHAnsi"/>
          <w:bCs/>
          <w:sz w:val="20"/>
          <w:szCs w:val="20"/>
          <w:lang w:val="es-ES"/>
        </w:rPr>
        <w:t xml:space="preserve"> inadmisible a la luz del artículo 47.c</w:t>
      </w:r>
      <w:r w:rsidR="00190347" w:rsidRPr="00982E15">
        <w:rPr>
          <w:rFonts w:asciiTheme="majorHAnsi" w:hAnsiTheme="majorHAnsi"/>
          <w:bCs/>
          <w:sz w:val="20"/>
          <w:szCs w:val="20"/>
          <w:lang w:val="es-ES"/>
        </w:rPr>
        <w:t>)</w:t>
      </w:r>
      <w:r w:rsidR="006023A4" w:rsidRPr="00982E15">
        <w:rPr>
          <w:rFonts w:asciiTheme="majorHAnsi" w:hAnsiTheme="majorHAnsi"/>
          <w:bCs/>
          <w:sz w:val="20"/>
          <w:szCs w:val="20"/>
          <w:lang w:val="es-ES"/>
        </w:rPr>
        <w:t xml:space="preserve"> de la Convención Americana, en particular, porque no </w:t>
      </w:r>
      <w:r w:rsidR="00373CC3" w:rsidRPr="00982E15">
        <w:rPr>
          <w:rFonts w:asciiTheme="majorHAnsi" w:hAnsiTheme="majorHAnsi"/>
          <w:bCs/>
          <w:sz w:val="20"/>
          <w:szCs w:val="20"/>
          <w:lang w:val="es-ES"/>
        </w:rPr>
        <w:t xml:space="preserve">ofrece ninguna prueba del involucramiento de agentes del DAS en el atentado, con lo cual </w:t>
      </w:r>
      <w:r w:rsidR="00827BAB" w:rsidRPr="00982E15">
        <w:rPr>
          <w:rFonts w:asciiTheme="majorHAnsi" w:hAnsiTheme="majorHAnsi"/>
          <w:bCs/>
          <w:sz w:val="20"/>
          <w:szCs w:val="20"/>
          <w:lang w:val="es-ES"/>
        </w:rPr>
        <w:t xml:space="preserve">carece de </w:t>
      </w:r>
      <w:r w:rsidR="00373CC3" w:rsidRPr="00982E15">
        <w:rPr>
          <w:rFonts w:asciiTheme="majorHAnsi" w:hAnsiTheme="majorHAnsi"/>
          <w:bCs/>
          <w:sz w:val="20"/>
          <w:szCs w:val="20"/>
          <w:lang w:val="es-ES"/>
        </w:rPr>
        <w:t>elementos para atribuir la responsabilidad al Estado</w:t>
      </w:r>
      <w:r w:rsidR="00EF0016" w:rsidRPr="00982E15">
        <w:rPr>
          <w:rFonts w:asciiTheme="majorHAnsi" w:hAnsiTheme="majorHAnsi"/>
          <w:bCs/>
          <w:sz w:val="20"/>
          <w:szCs w:val="20"/>
          <w:lang w:val="es-ES"/>
        </w:rPr>
        <w:t xml:space="preserve"> por este suceso</w:t>
      </w:r>
      <w:r w:rsidR="00373CC3" w:rsidRPr="00982E15">
        <w:rPr>
          <w:rFonts w:asciiTheme="majorHAnsi" w:hAnsiTheme="majorHAnsi"/>
          <w:bCs/>
          <w:sz w:val="20"/>
          <w:szCs w:val="20"/>
          <w:lang w:val="es-ES"/>
        </w:rPr>
        <w:t>.</w:t>
      </w:r>
      <w:r w:rsidR="00F85D56" w:rsidRPr="00982E15">
        <w:rPr>
          <w:rFonts w:asciiTheme="majorHAnsi" w:hAnsiTheme="majorHAnsi"/>
          <w:bCs/>
          <w:sz w:val="20"/>
          <w:szCs w:val="20"/>
          <w:lang w:val="es-ES"/>
        </w:rPr>
        <w:t xml:space="preserve"> </w:t>
      </w:r>
      <w:r w:rsidR="0030751C" w:rsidRPr="00982E15">
        <w:rPr>
          <w:rFonts w:asciiTheme="majorHAnsi" w:hAnsiTheme="majorHAnsi"/>
          <w:bCs/>
          <w:sz w:val="20"/>
          <w:szCs w:val="20"/>
          <w:lang w:val="es-ES"/>
        </w:rPr>
        <w:t>Aduce</w:t>
      </w:r>
      <w:r w:rsidR="009B1DF5" w:rsidRPr="00982E15">
        <w:rPr>
          <w:rFonts w:asciiTheme="majorHAnsi" w:hAnsiTheme="majorHAnsi"/>
          <w:bCs/>
          <w:sz w:val="20"/>
          <w:szCs w:val="20"/>
          <w:lang w:val="es-ES"/>
        </w:rPr>
        <w:t xml:space="preserve"> que para </w:t>
      </w:r>
      <w:r w:rsidR="00F6533F" w:rsidRPr="00982E15">
        <w:rPr>
          <w:rFonts w:asciiTheme="majorHAnsi" w:hAnsiTheme="majorHAnsi"/>
          <w:bCs/>
          <w:sz w:val="20"/>
          <w:szCs w:val="20"/>
          <w:lang w:val="es-ES"/>
        </w:rPr>
        <w:t xml:space="preserve">que un hecho sea atribuible al Estado bajo el derecho </w:t>
      </w:r>
      <w:r w:rsidR="009B1DF5" w:rsidRPr="00982E15">
        <w:rPr>
          <w:rFonts w:asciiTheme="majorHAnsi" w:hAnsiTheme="majorHAnsi"/>
          <w:bCs/>
          <w:sz w:val="20"/>
          <w:szCs w:val="20"/>
          <w:lang w:val="es-ES"/>
        </w:rPr>
        <w:t xml:space="preserve">internacional se requiere que </w:t>
      </w:r>
      <w:r w:rsidR="009A0043" w:rsidRPr="00982E15">
        <w:rPr>
          <w:rFonts w:asciiTheme="majorHAnsi" w:hAnsiTheme="majorHAnsi"/>
          <w:bCs/>
          <w:sz w:val="20"/>
          <w:szCs w:val="20"/>
          <w:lang w:val="es-ES"/>
        </w:rPr>
        <w:t>la conducta</w:t>
      </w:r>
      <w:r w:rsidR="009B1DF5" w:rsidRPr="00982E15">
        <w:rPr>
          <w:rFonts w:asciiTheme="majorHAnsi" w:hAnsiTheme="majorHAnsi"/>
          <w:bCs/>
          <w:sz w:val="20"/>
          <w:szCs w:val="20"/>
          <w:lang w:val="es-ES"/>
        </w:rPr>
        <w:t xml:space="preserve"> haya sido desarrollada por alguno de sus órganos o agentes; que la haya realizado un particular que actuó con su aquiescencia; o pudiendo prevenirla no lo hubiera hecho. No obstante, asegura que no existen argumentos serios con un mínimo de sustanciación que permitan atribuir </w:t>
      </w:r>
      <w:r w:rsidR="009B1DF5" w:rsidRPr="00982E15">
        <w:rPr>
          <w:rFonts w:asciiTheme="majorHAnsi" w:hAnsiTheme="majorHAnsi"/>
          <w:bCs/>
          <w:i/>
          <w:iCs/>
          <w:sz w:val="20"/>
          <w:szCs w:val="20"/>
          <w:lang w:val="es-ES"/>
        </w:rPr>
        <w:t>prima facie</w:t>
      </w:r>
      <w:r w:rsidR="009B1DF5" w:rsidRPr="00982E15">
        <w:rPr>
          <w:rFonts w:asciiTheme="majorHAnsi" w:hAnsiTheme="majorHAnsi"/>
          <w:bCs/>
          <w:sz w:val="20"/>
          <w:szCs w:val="20"/>
          <w:lang w:val="es-ES"/>
        </w:rPr>
        <w:t xml:space="preserve"> los hechos denunciados al Estado colombiano, puesto que éstos fueron cometidos por </w:t>
      </w:r>
      <w:r w:rsidR="000F63F6" w:rsidRPr="00982E15">
        <w:rPr>
          <w:rFonts w:asciiTheme="majorHAnsi" w:hAnsiTheme="majorHAnsi"/>
          <w:bCs/>
          <w:sz w:val="20"/>
          <w:szCs w:val="20"/>
          <w:lang w:val="es-ES"/>
        </w:rPr>
        <w:t xml:space="preserve">el Cartel de </w:t>
      </w:r>
      <w:r w:rsidR="00234F08" w:rsidRPr="00982E15">
        <w:rPr>
          <w:rFonts w:asciiTheme="majorHAnsi" w:hAnsiTheme="majorHAnsi"/>
          <w:bCs/>
          <w:sz w:val="20"/>
          <w:szCs w:val="20"/>
          <w:lang w:val="es-ES"/>
        </w:rPr>
        <w:t>Medellín</w:t>
      </w:r>
      <w:r w:rsidR="009B1DF5" w:rsidRPr="00982E15">
        <w:rPr>
          <w:rFonts w:asciiTheme="majorHAnsi" w:hAnsiTheme="majorHAnsi"/>
          <w:bCs/>
          <w:sz w:val="20"/>
          <w:szCs w:val="20"/>
          <w:lang w:val="es-ES"/>
        </w:rPr>
        <w:t>, y no está acreditado que hubiese actuado con la tolerancia de agentes estatales, ni que las autoridades hayan incumplido con su deber de prevenir las violaciones de derechos humanos. Por consiguiente, solicita a la CIDH declarar inadmisible la presente petición con fundamento en el artículo 47.c) de la Convención Americana.</w:t>
      </w:r>
    </w:p>
    <w:p w14:paraId="1687FC7E" w14:textId="7E605788" w:rsidR="00E93717" w:rsidRPr="00982E15" w:rsidRDefault="001D4884" w:rsidP="000D5960">
      <w:pPr>
        <w:pStyle w:val="ListParagraph"/>
        <w:numPr>
          <w:ilvl w:val="0"/>
          <w:numId w:val="61"/>
        </w:numPr>
        <w:ind w:left="0" w:firstLine="720"/>
        <w:jc w:val="both"/>
        <w:rPr>
          <w:rFonts w:asciiTheme="majorHAnsi" w:hAnsiTheme="majorHAnsi"/>
          <w:bCs/>
          <w:sz w:val="20"/>
          <w:szCs w:val="20"/>
          <w:lang w:val="es-ES"/>
        </w:rPr>
      </w:pPr>
      <w:r w:rsidRPr="00982E15">
        <w:rPr>
          <w:rFonts w:asciiTheme="majorHAnsi" w:hAnsiTheme="majorHAnsi"/>
          <w:bCs/>
          <w:sz w:val="20"/>
          <w:szCs w:val="20"/>
          <w:lang w:val="es-ES"/>
        </w:rPr>
        <w:lastRenderedPageBreak/>
        <w:t xml:space="preserve">Colombia alega </w:t>
      </w:r>
      <w:r w:rsidR="00613AED" w:rsidRPr="00982E15">
        <w:rPr>
          <w:rFonts w:asciiTheme="majorHAnsi" w:hAnsiTheme="majorHAnsi"/>
          <w:bCs/>
          <w:sz w:val="20"/>
          <w:szCs w:val="20"/>
          <w:lang w:val="es-ES"/>
        </w:rPr>
        <w:t xml:space="preserve">además </w:t>
      </w:r>
      <w:r w:rsidRPr="00982E15">
        <w:rPr>
          <w:rFonts w:asciiTheme="majorHAnsi" w:hAnsiTheme="majorHAnsi"/>
          <w:bCs/>
          <w:sz w:val="20"/>
          <w:szCs w:val="20"/>
          <w:lang w:val="es-ES"/>
        </w:rPr>
        <w:t>la inadmisibilidad de esta petición por</w:t>
      </w:r>
      <w:r w:rsidR="005A107C" w:rsidRPr="00982E15">
        <w:rPr>
          <w:rFonts w:asciiTheme="majorHAnsi" w:hAnsiTheme="majorHAnsi"/>
          <w:bCs/>
          <w:sz w:val="20"/>
          <w:szCs w:val="20"/>
          <w:lang w:val="es-ES"/>
        </w:rPr>
        <w:t xml:space="preserve"> falta de agotamiento de los recursos internos, </w:t>
      </w:r>
      <w:r w:rsidR="00AF4BD7" w:rsidRPr="00982E15">
        <w:rPr>
          <w:rFonts w:asciiTheme="majorHAnsi" w:hAnsiTheme="majorHAnsi"/>
          <w:bCs/>
          <w:sz w:val="20"/>
          <w:szCs w:val="20"/>
          <w:lang w:val="es-ES"/>
        </w:rPr>
        <w:t xml:space="preserve">requisito establecido en el artículo 46.1.a) de la Convención, en dos sentidos: i) </w:t>
      </w:r>
      <w:r w:rsidR="00D50B6A" w:rsidRPr="00982E15">
        <w:rPr>
          <w:rFonts w:asciiTheme="majorHAnsi" w:hAnsiTheme="majorHAnsi"/>
          <w:bCs/>
          <w:sz w:val="20"/>
          <w:szCs w:val="20"/>
          <w:lang w:val="es-ES"/>
        </w:rPr>
        <w:t xml:space="preserve">en vista de que la investigación penal continúa en trámite y se encuentra dentro del plazo razonable dada su complejidad; y, ii) por </w:t>
      </w:r>
      <w:r w:rsidR="00B625D8" w:rsidRPr="00982E15">
        <w:rPr>
          <w:rFonts w:asciiTheme="majorHAnsi" w:hAnsiTheme="majorHAnsi"/>
          <w:bCs/>
          <w:sz w:val="20"/>
          <w:szCs w:val="20"/>
          <w:lang w:val="es-ES"/>
        </w:rPr>
        <w:t xml:space="preserve">no haber ejercido </w:t>
      </w:r>
      <w:r w:rsidR="003B10C9" w:rsidRPr="00982E15">
        <w:rPr>
          <w:rFonts w:asciiTheme="majorHAnsi" w:hAnsiTheme="majorHAnsi"/>
          <w:bCs/>
          <w:sz w:val="20"/>
          <w:szCs w:val="20"/>
          <w:lang w:val="es-ES"/>
        </w:rPr>
        <w:t xml:space="preserve">la acción de reparación directa </w:t>
      </w:r>
      <w:r w:rsidR="00D50B6A" w:rsidRPr="00982E15">
        <w:rPr>
          <w:rFonts w:asciiTheme="majorHAnsi" w:hAnsiTheme="majorHAnsi"/>
          <w:bCs/>
          <w:sz w:val="20"/>
          <w:szCs w:val="20"/>
          <w:lang w:val="es-ES"/>
        </w:rPr>
        <w:t>a</w:t>
      </w:r>
      <w:r w:rsidR="003B10C9" w:rsidRPr="00982E15">
        <w:rPr>
          <w:rFonts w:asciiTheme="majorHAnsi" w:hAnsiTheme="majorHAnsi"/>
          <w:bCs/>
          <w:sz w:val="20"/>
          <w:szCs w:val="20"/>
          <w:lang w:val="es-ES"/>
        </w:rPr>
        <w:t>nte</w:t>
      </w:r>
      <w:r w:rsidR="00D50B6A" w:rsidRPr="00982E15">
        <w:rPr>
          <w:rFonts w:asciiTheme="majorHAnsi" w:hAnsiTheme="majorHAnsi"/>
          <w:bCs/>
          <w:sz w:val="20"/>
          <w:szCs w:val="20"/>
          <w:lang w:val="es-ES"/>
        </w:rPr>
        <w:t xml:space="preserve"> la jurisdicción contencioso-administrativa.</w:t>
      </w:r>
      <w:r w:rsidR="00CB5EFF" w:rsidRPr="00982E15">
        <w:rPr>
          <w:rFonts w:asciiTheme="majorHAnsi" w:hAnsiTheme="majorHAnsi"/>
          <w:bCs/>
          <w:sz w:val="20"/>
          <w:szCs w:val="20"/>
          <w:lang w:val="es-ES"/>
        </w:rPr>
        <w:t xml:space="preserve"> En primer lugar, </w:t>
      </w:r>
      <w:r w:rsidR="00F06C02" w:rsidRPr="00982E15">
        <w:rPr>
          <w:rFonts w:asciiTheme="majorHAnsi" w:hAnsiTheme="majorHAnsi"/>
          <w:bCs/>
          <w:sz w:val="20"/>
          <w:szCs w:val="20"/>
          <w:lang w:val="es-ES"/>
        </w:rPr>
        <w:t xml:space="preserve">detalla que el </w:t>
      </w:r>
      <w:r w:rsidR="00B96161" w:rsidRPr="00982E15">
        <w:rPr>
          <w:rFonts w:asciiTheme="majorHAnsi" w:hAnsiTheme="majorHAnsi"/>
          <w:bCs/>
          <w:sz w:val="20"/>
          <w:szCs w:val="20"/>
          <w:lang w:val="es-ES"/>
        </w:rPr>
        <w:t>15 de marzo de 201</w:t>
      </w:r>
      <w:r w:rsidR="00A25792" w:rsidRPr="00982E15">
        <w:rPr>
          <w:rFonts w:asciiTheme="majorHAnsi" w:hAnsiTheme="majorHAnsi"/>
          <w:bCs/>
          <w:sz w:val="20"/>
          <w:szCs w:val="20"/>
          <w:lang w:val="es-ES"/>
        </w:rPr>
        <w:t>0</w:t>
      </w:r>
      <w:r w:rsidR="00B96161" w:rsidRPr="00982E15">
        <w:rPr>
          <w:rFonts w:asciiTheme="majorHAnsi" w:hAnsiTheme="majorHAnsi"/>
          <w:bCs/>
          <w:sz w:val="20"/>
          <w:szCs w:val="20"/>
          <w:lang w:val="es-ES"/>
        </w:rPr>
        <w:t xml:space="preserve"> el </w:t>
      </w:r>
      <w:r w:rsidR="00F45848" w:rsidRPr="00982E15">
        <w:rPr>
          <w:rFonts w:asciiTheme="majorHAnsi" w:hAnsiTheme="majorHAnsi"/>
          <w:bCs/>
          <w:sz w:val="20"/>
          <w:szCs w:val="20"/>
          <w:lang w:val="es-ES"/>
        </w:rPr>
        <w:t>señor Federico Arellano Mendoza se constituyó como parte civil en el proceso penal adelantado por el atentado terrorista,</w:t>
      </w:r>
      <w:r w:rsidR="00B96161" w:rsidRPr="00982E15">
        <w:rPr>
          <w:rFonts w:asciiTheme="majorHAnsi" w:hAnsiTheme="majorHAnsi"/>
          <w:bCs/>
          <w:sz w:val="20"/>
          <w:szCs w:val="20"/>
          <w:lang w:val="es-ES"/>
        </w:rPr>
        <w:t xml:space="preserve"> y desde mayo de 2011 ha solicitado la práctica de varias pruebas</w:t>
      </w:r>
      <w:r w:rsidR="008A6244" w:rsidRPr="00982E15">
        <w:rPr>
          <w:rFonts w:asciiTheme="majorHAnsi" w:hAnsiTheme="majorHAnsi"/>
          <w:bCs/>
          <w:sz w:val="20"/>
          <w:szCs w:val="20"/>
          <w:lang w:val="es-ES"/>
        </w:rPr>
        <w:t>, l</w:t>
      </w:r>
      <w:r w:rsidR="00F51CC4" w:rsidRPr="00982E15">
        <w:rPr>
          <w:rFonts w:asciiTheme="majorHAnsi" w:hAnsiTheme="majorHAnsi"/>
          <w:bCs/>
          <w:sz w:val="20"/>
          <w:szCs w:val="20"/>
          <w:lang w:val="es-ES"/>
        </w:rPr>
        <w:t>o</w:t>
      </w:r>
      <w:r w:rsidR="008A6244" w:rsidRPr="00982E15">
        <w:rPr>
          <w:rFonts w:asciiTheme="majorHAnsi" w:hAnsiTheme="majorHAnsi"/>
          <w:bCs/>
          <w:sz w:val="20"/>
          <w:szCs w:val="20"/>
          <w:lang w:val="es-ES"/>
        </w:rPr>
        <w:t xml:space="preserve"> cual fue decidid</w:t>
      </w:r>
      <w:r w:rsidR="00F51CC4" w:rsidRPr="00982E15">
        <w:rPr>
          <w:rFonts w:asciiTheme="majorHAnsi" w:hAnsiTheme="majorHAnsi"/>
          <w:bCs/>
          <w:sz w:val="20"/>
          <w:szCs w:val="20"/>
          <w:lang w:val="es-ES"/>
        </w:rPr>
        <w:t>o</w:t>
      </w:r>
      <w:r w:rsidR="008A6244" w:rsidRPr="00982E15">
        <w:rPr>
          <w:rFonts w:asciiTheme="majorHAnsi" w:hAnsiTheme="majorHAnsi"/>
          <w:bCs/>
          <w:sz w:val="20"/>
          <w:szCs w:val="20"/>
          <w:lang w:val="es-ES"/>
        </w:rPr>
        <w:t xml:space="preserve"> entre </w:t>
      </w:r>
      <w:r w:rsidR="006B7282" w:rsidRPr="00982E15">
        <w:rPr>
          <w:rFonts w:asciiTheme="majorHAnsi" w:hAnsiTheme="majorHAnsi"/>
          <w:bCs/>
          <w:sz w:val="20"/>
          <w:szCs w:val="20"/>
          <w:lang w:val="es-ES"/>
        </w:rPr>
        <w:t>febrero de 2015 y septiembre de 2016.</w:t>
      </w:r>
      <w:r w:rsidR="005659BE" w:rsidRPr="00982E15">
        <w:rPr>
          <w:rFonts w:asciiTheme="majorHAnsi" w:hAnsiTheme="majorHAnsi"/>
          <w:bCs/>
          <w:sz w:val="20"/>
          <w:szCs w:val="20"/>
          <w:lang w:val="es-ES"/>
        </w:rPr>
        <w:t xml:space="preserve"> Indica que la presunta víctima apeló la última decisión que negaba la práctica de otras pruebas en noviembre de 2017, pero la fiscalía negó </w:t>
      </w:r>
      <w:r w:rsidR="00BC5C3D" w:rsidRPr="00982E15">
        <w:rPr>
          <w:rFonts w:asciiTheme="majorHAnsi" w:hAnsiTheme="majorHAnsi"/>
          <w:bCs/>
          <w:sz w:val="20"/>
          <w:szCs w:val="20"/>
          <w:lang w:val="es-ES"/>
        </w:rPr>
        <w:t>el</w:t>
      </w:r>
      <w:r w:rsidR="005659BE" w:rsidRPr="00982E15">
        <w:rPr>
          <w:rFonts w:asciiTheme="majorHAnsi" w:hAnsiTheme="majorHAnsi"/>
          <w:bCs/>
          <w:sz w:val="20"/>
          <w:szCs w:val="20"/>
          <w:lang w:val="es-ES"/>
        </w:rPr>
        <w:t xml:space="preserve"> recurso </w:t>
      </w:r>
      <w:r w:rsidR="000E1608" w:rsidRPr="00982E15">
        <w:rPr>
          <w:rFonts w:asciiTheme="majorHAnsi" w:hAnsiTheme="majorHAnsi"/>
          <w:bCs/>
          <w:sz w:val="20"/>
          <w:szCs w:val="20"/>
          <w:lang w:val="es-ES"/>
        </w:rPr>
        <w:t xml:space="preserve">el 28 de septiembre de 2018. Con ello, el Estado considera que las presuntas víctimas han tenido la oportunidad de participar activamente en el desarrollo del proceso penal y de acceder a </w:t>
      </w:r>
      <w:r w:rsidR="004353C3" w:rsidRPr="00982E15">
        <w:rPr>
          <w:rFonts w:asciiTheme="majorHAnsi" w:hAnsiTheme="majorHAnsi"/>
          <w:bCs/>
          <w:sz w:val="20"/>
          <w:szCs w:val="20"/>
          <w:lang w:val="es-ES"/>
        </w:rPr>
        <w:t xml:space="preserve">los </w:t>
      </w:r>
      <w:r w:rsidR="000E1608" w:rsidRPr="00982E15">
        <w:rPr>
          <w:rFonts w:asciiTheme="majorHAnsi" w:hAnsiTheme="majorHAnsi"/>
          <w:bCs/>
          <w:sz w:val="20"/>
          <w:szCs w:val="20"/>
          <w:lang w:val="es-ES"/>
        </w:rPr>
        <w:t xml:space="preserve">recursos </w:t>
      </w:r>
      <w:r w:rsidR="004353C3" w:rsidRPr="00982E15">
        <w:rPr>
          <w:rFonts w:asciiTheme="majorHAnsi" w:hAnsiTheme="majorHAnsi"/>
          <w:bCs/>
          <w:sz w:val="20"/>
          <w:szCs w:val="20"/>
          <w:lang w:val="es-ES"/>
        </w:rPr>
        <w:t xml:space="preserve">dispuestos en ese marco, </w:t>
      </w:r>
      <w:r w:rsidR="003353EB" w:rsidRPr="00982E15">
        <w:rPr>
          <w:rFonts w:asciiTheme="majorHAnsi" w:hAnsiTheme="majorHAnsi"/>
          <w:bCs/>
          <w:sz w:val="20"/>
          <w:szCs w:val="20"/>
          <w:lang w:val="es-ES"/>
        </w:rPr>
        <w:t>los cuales</w:t>
      </w:r>
      <w:r w:rsidR="008C26B3" w:rsidRPr="00982E15">
        <w:rPr>
          <w:rFonts w:asciiTheme="majorHAnsi" w:hAnsiTheme="majorHAnsi"/>
          <w:bCs/>
          <w:sz w:val="20"/>
          <w:szCs w:val="20"/>
          <w:lang w:val="es-ES"/>
        </w:rPr>
        <w:t xml:space="preserve"> las autoridades han dirimido con la debida motivación.</w:t>
      </w:r>
    </w:p>
    <w:p w14:paraId="2889C87B" w14:textId="2197CBF4" w:rsidR="00947A77" w:rsidRPr="00982E15" w:rsidRDefault="00553F91" w:rsidP="000D5960">
      <w:pPr>
        <w:pStyle w:val="ListParagraph"/>
        <w:numPr>
          <w:ilvl w:val="0"/>
          <w:numId w:val="61"/>
        </w:numPr>
        <w:ind w:left="0" w:firstLine="720"/>
        <w:jc w:val="both"/>
        <w:rPr>
          <w:rFonts w:asciiTheme="majorHAnsi" w:hAnsiTheme="majorHAnsi"/>
          <w:bCs/>
          <w:sz w:val="20"/>
          <w:szCs w:val="20"/>
          <w:lang w:val="es-ES"/>
        </w:rPr>
      </w:pPr>
      <w:r w:rsidRPr="00982E15">
        <w:rPr>
          <w:rFonts w:asciiTheme="majorHAnsi" w:hAnsiTheme="majorHAnsi"/>
          <w:bCs/>
          <w:sz w:val="20"/>
          <w:szCs w:val="20"/>
          <w:lang w:val="es-ES"/>
        </w:rPr>
        <w:t xml:space="preserve">En ese sentido, </w:t>
      </w:r>
      <w:r w:rsidR="003353EB" w:rsidRPr="00982E15">
        <w:rPr>
          <w:rFonts w:asciiTheme="majorHAnsi" w:hAnsiTheme="majorHAnsi"/>
          <w:bCs/>
          <w:sz w:val="20"/>
          <w:szCs w:val="20"/>
          <w:lang w:val="es-ES"/>
        </w:rPr>
        <w:t>Colombia aduce</w:t>
      </w:r>
      <w:r w:rsidR="00F47F27" w:rsidRPr="00982E15">
        <w:rPr>
          <w:rFonts w:asciiTheme="majorHAnsi" w:hAnsiTheme="majorHAnsi"/>
          <w:bCs/>
          <w:sz w:val="20"/>
          <w:szCs w:val="20"/>
          <w:lang w:val="es-ES"/>
        </w:rPr>
        <w:t xml:space="preserve"> que</w:t>
      </w:r>
      <w:r w:rsidR="00347EEB" w:rsidRPr="00982E15">
        <w:rPr>
          <w:rFonts w:asciiTheme="majorHAnsi" w:hAnsiTheme="majorHAnsi"/>
          <w:bCs/>
          <w:sz w:val="20"/>
          <w:szCs w:val="20"/>
          <w:lang w:val="es-ES"/>
        </w:rPr>
        <w:t xml:space="preserve"> bajo los criterios del plazo razonable sentados por la jurisprudencia interamericana, </w:t>
      </w:r>
      <w:r w:rsidR="009668DD" w:rsidRPr="00982E15">
        <w:rPr>
          <w:rFonts w:asciiTheme="majorHAnsi" w:hAnsiTheme="majorHAnsi"/>
          <w:bCs/>
          <w:sz w:val="20"/>
          <w:szCs w:val="20"/>
          <w:lang w:val="es-ES"/>
        </w:rPr>
        <w:t xml:space="preserve">el proceso penal </w:t>
      </w:r>
      <w:r w:rsidR="00DE0A06" w:rsidRPr="00982E15">
        <w:rPr>
          <w:rFonts w:asciiTheme="majorHAnsi" w:hAnsiTheme="majorHAnsi"/>
          <w:bCs/>
          <w:sz w:val="20"/>
          <w:szCs w:val="20"/>
          <w:lang w:val="es-ES"/>
        </w:rPr>
        <w:t>ha mantenido una duración razonable en el contexto del conflicto armado colombiano, por lo que no corresponde aplicar las excepciones al agotamiento de los recursos internos, en particular</w:t>
      </w:r>
      <w:r w:rsidR="00300ABE" w:rsidRPr="00982E15">
        <w:rPr>
          <w:rFonts w:asciiTheme="majorHAnsi" w:hAnsiTheme="majorHAnsi"/>
          <w:bCs/>
          <w:sz w:val="20"/>
          <w:szCs w:val="20"/>
          <w:lang w:val="es-ES"/>
        </w:rPr>
        <w:t xml:space="preserve"> la de</w:t>
      </w:r>
      <w:r w:rsidR="00DE0A06" w:rsidRPr="00982E15">
        <w:rPr>
          <w:rFonts w:asciiTheme="majorHAnsi" w:hAnsiTheme="majorHAnsi"/>
          <w:bCs/>
          <w:sz w:val="20"/>
          <w:szCs w:val="20"/>
          <w:lang w:val="es-ES"/>
        </w:rPr>
        <w:t xml:space="preserve"> retardo </w:t>
      </w:r>
      <w:r w:rsidR="00CF17F6" w:rsidRPr="00982E15">
        <w:rPr>
          <w:rFonts w:asciiTheme="majorHAnsi" w:hAnsiTheme="majorHAnsi"/>
          <w:bCs/>
          <w:sz w:val="20"/>
          <w:szCs w:val="20"/>
          <w:lang w:val="es-ES"/>
        </w:rPr>
        <w:t>injustificado</w:t>
      </w:r>
      <w:r w:rsidR="002D6296" w:rsidRPr="00982E15">
        <w:rPr>
          <w:rFonts w:asciiTheme="majorHAnsi" w:hAnsiTheme="majorHAnsi"/>
          <w:bCs/>
          <w:sz w:val="20"/>
          <w:szCs w:val="20"/>
          <w:lang w:val="es-ES"/>
        </w:rPr>
        <w:t>,</w:t>
      </w:r>
      <w:r w:rsidR="00CF17F6" w:rsidRPr="00982E15">
        <w:rPr>
          <w:rFonts w:asciiTheme="majorHAnsi" w:hAnsiTheme="majorHAnsi"/>
          <w:bCs/>
          <w:sz w:val="20"/>
          <w:szCs w:val="20"/>
          <w:lang w:val="es-ES"/>
        </w:rPr>
        <w:t xml:space="preserve"> ya que e</w:t>
      </w:r>
      <w:r w:rsidR="003B2F3C" w:rsidRPr="00982E15">
        <w:rPr>
          <w:rFonts w:asciiTheme="majorHAnsi" w:hAnsiTheme="majorHAnsi"/>
          <w:bCs/>
          <w:sz w:val="20"/>
          <w:szCs w:val="20"/>
          <w:lang w:val="es-ES"/>
        </w:rPr>
        <w:t>ll</w:t>
      </w:r>
      <w:r w:rsidR="00CF17F6" w:rsidRPr="00982E15">
        <w:rPr>
          <w:rFonts w:asciiTheme="majorHAnsi" w:hAnsiTheme="majorHAnsi"/>
          <w:bCs/>
          <w:sz w:val="20"/>
          <w:szCs w:val="20"/>
          <w:lang w:val="es-ES"/>
        </w:rPr>
        <w:t>o requiere un estudio de las gestiones de la investigación y la diligencia de</w:t>
      </w:r>
      <w:r w:rsidR="004D6418" w:rsidRPr="00982E15">
        <w:rPr>
          <w:rFonts w:asciiTheme="majorHAnsi" w:hAnsiTheme="majorHAnsi"/>
          <w:bCs/>
          <w:sz w:val="20"/>
          <w:szCs w:val="20"/>
          <w:lang w:val="es-ES"/>
        </w:rPr>
        <w:t>splegada por</w:t>
      </w:r>
      <w:r w:rsidR="00CF17F6" w:rsidRPr="00982E15">
        <w:rPr>
          <w:rFonts w:asciiTheme="majorHAnsi" w:hAnsiTheme="majorHAnsi"/>
          <w:bCs/>
          <w:sz w:val="20"/>
          <w:szCs w:val="20"/>
          <w:lang w:val="es-ES"/>
        </w:rPr>
        <w:t xml:space="preserve"> las autoridades.</w:t>
      </w:r>
      <w:r w:rsidR="00263480" w:rsidRPr="00982E15">
        <w:rPr>
          <w:rFonts w:asciiTheme="majorHAnsi" w:hAnsiTheme="majorHAnsi"/>
          <w:bCs/>
          <w:sz w:val="20"/>
          <w:szCs w:val="20"/>
          <w:lang w:val="es-ES"/>
        </w:rPr>
        <w:t xml:space="preserve"> Sobre el particular, </w:t>
      </w:r>
      <w:r w:rsidR="001A3B2B" w:rsidRPr="00982E15">
        <w:rPr>
          <w:rFonts w:asciiTheme="majorHAnsi" w:hAnsiTheme="majorHAnsi"/>
          <w:bCs/>
          <w:sz w:val="20"/>
          <w:szCs w:val="20"/>
          <w:lang w:val="es-ES"/>
        </w:rPr>
        <w:t xml:space="preserve">sostiene que </w:t>
      </w:r>
      <w:r w:rsidR="006171C6" w:rsidRPr="00982E15">
        <w:rPr>
          <w:rFonts w:asciiTheme="majorHAnsi" w:hAnsiTheme="majorHAnsi"/>
          <w:bCs/>
          <w:sz w:val="20"/>
          <w:szCs w:val="20"/>
          <w:lang w:val="es-ES"/>
        </w:rPr>
        <w:t>el</w:t>
      </w:r>
      <w:r w:rsidR="0034757D" w:rsidRPr="00982E15">
        <w:rPr>
          <w:rFonts w:asciiTheme="majorHAnsi" w:hAnsiTheme="majorHAnsi"/>
          <w:bCs/>
          <w:sz w:val="20"/>
          <w:szCs w:val="20"/>
          <w:lang w:val="es-ES"/>
        </w:rPr>
        <w:t xml:space="preserve"> caso revist</w:t>
      </w:r>
      <w:r w:rsidR="00E07D09" w:rsidRPr="00982E15">
        <w:rPr>
          <w:rFonts w:asciiTheme="majorHAnsi" w:hAnsiTheme="majorHAnsi"/>
          <w:bCs/>
          <w:sz w:val="20"/>
          <w:szCs w:val="20"/>
          <w:lang w:val="es-ES"/>
        </w:rPr>
        <w:t>e</w:t>
      </w:r>
      <w:r w:rsidR="0034757D" w:rsidRPr="00982E15">
        <w:rPr>
          <w:rFonts w:asciiTheme="majorHAnsi" w:hAnsiTheme="majorHAnsi"/>
          <w:bCs/>
          <w:sz w:val="20"/>
          <w:szCs w:val="20"/>
          <w:lang w:val="es-ES"/>
        </w:rPr>
        <w:t xml:space="preserve"> de un gran nivel de </w:t>
      </w:r>
      <w:r w:rsidR="001A3B2B" w:rsidRPr="00982E15">
        <w:rPr>
          <w:rFonts w:asciiTheme="majorHAnsi" w:hAnsiTheme="majorHAnsi"/>
          <w:bCs/>
          <w:sz w:val="20"/>
          <w:szCs w:val="20"/>
          <w:lang w:val="es-ES"/>
        </w:rPr>
        <w:t>complejidad debido a la dinámica propia de</w:t>
      </w:r>
      <w:r w:rsidR="00EC1783" w:rsidRPr="00982E15">
        <w:rPr>
          <w:rFonts w:asciiTheme="majorHAnsi" w:hAnsiTheme="majorHAnsi"/>
          <w:bCs/>
          <w:sz w:val="20"/>
          <w:szCs w:val="20"/>
          <w:lang w:val="es-ES"/>
        </w:rPr>
        <w:t xml:space="preserve"> los crímenes cometidos por grupos al margen de la ley, </w:t>
      </w:r>
      <w:r w:rsidR="004B5592" w:rsidRPr="00982E15">
        <w:rPr>
          <w:rFonts w:asciiTheme="majorHAnsi" w:hAnsiTheme="majorHAnsi"/>
          <w:bCs/>
          <w:sz w:val="20"/>
          <w:szCs w:val="20"/>
          <w:lang w:val="es-ES"/>
        </w:rPr>
        <w:t>además</w:t>
      </w:r>
      <w:r w:rsidR="005123FB" w:rsidRPr="00982E15">
        <w:rPr>
          <w:rFonts w:asciiTheme="majorHAnsi" w:hAnsiTheme="majorHAnsi"/>
          <w:bCs/>
          <w:sz w:val="20"/>
          <w:szCs w:val="20"/>
          <w:lang w:val="es-ES"/>
        </w:rPr>
        <w:t xml:space="preserve"> de que</w:t>
      </w:r>
      <w:r w:rsidR="004B5592" w:rsidRPr="00982E15">
        <w:rPr>
          <w:rFonts w:asciiTheme="majorHAnsi" w:hAnsiTheme="majorHAnsi"/>
          <w:bCs/>
          <w:sz w:val="20"/>
          <w:szCs w:val="20"/>
          <w:lang w:val="es-ES"/>
        </w:rPr>
        <w:t xml:space="preserve"> el proceso ha encontrado seri</w:t>
      </w:r>
      <w:r w:rsidR="00E82954" w:rsidRPr="00982E15">
        <w:rPr>
          <w:rFonts w:asciiTheme="majorHAnsi" w:hAnsiTheme="majorHAnsi"/>
          <w:bCs/>
          <w:sz w:val="20"/>
          <w:szCs w:val="20"/>
          <w:lang w:val="es-ES"/>
        </w:rPr>
        <w:t>a</w:t>
      </w:r>
      <w:r w:rsidR="004B5592" w:rsidRPr="00982E15">
        <w:rPr>
          <w:rFonts w:asciiTheme="majorHAnsi" w:hAnsiTheme="majorHAnsi"/>
          <w:bCs/>
          <w:sz w:val="20"/>
          <w:szCs w:val="20"/>
          <w:lang w:val="es-ES"/>
        </w:rPr>
        <w:t xml:space="preserve">s dificultades como el hecho de que </w:t>
      </w:r>
      <w:r w:rsidR="00E6400B" w:rsidRPr="00982E15">
        <w:rPr>
          <w:rFonts w:asciiTheme="majorHAnsi" w:hAnsiTheme="majorHAnsi"/>
          <w:bCs/>
          <w:sz w:val="20"/>
          <w:szCs w:val="20"/>
          <w:lang w:val="es-ES"/>
        </w:rPr>
        <w:t xml:space="preserve">varios de los </w:t>
      </w:r>
      <w:r w:rsidR="004B5592" w:rsidRPr="00982E15">
        <w:rPr>
          <w:rFonts w:asciiTheme="majorHAnsi" w:hAnsiTheme="majorHAnsi"/>
          <w:bCs/>
          <w:sz w:val="20"/>
          <w:szCs w:val="20"/>
          <w:lang w:val="es-ES"/>
        </w:rPr>
        <w:t xml:space="preserve">involucrados </w:t>
      </w:r>
      <w:r w:rsidR="00E6400B" w:rsidRPr="00982E15">
        <w:rPr>
          <w:rFonts w:asciiTheme="majorHAnsi" w:hAnsiTheme="majorHAnsi"/>
          <w:bCs/>
          <w:sz w:val="20"/>
          <w:szCs w:val="20"/>
          <w:lang w:val="es-ES"/>
        </w:rPr>
        <w:t xml:space="preserve">ya hayan fallecido </w:t>
      </w:r>
      <w:r w:rsidR="00E82954" w:rsidRPr="00982E15">
        <w:rPr>
          <w:rFonts w:asciiTheme="majorHAnsi" w:hAnsiTheme="majorHAnsi"/>
          <w:bCs/>
          <w:sz w:val="20"/>
          <w:szCs w:val="20"/>
          <w:lang w:val="es-ES"/>
        </w:rPr>
        <w:t>y otros</w:t>
      </w:r>
      <w:r w:rsidR="00E6400B" w:rsidRPr="00982E15">
        <w:rPr>
          <w:rFonts w:asciiTheme="majorHAnsi" w:hAnsiTheme="majorHAnsi"/>
          <w:bCs/>
          <w:sz w:val="20"/>
          <w:szCs w:val="20"/>
          <w:lang w:val="es-ES"/>
        </w:rPr>
        <w:t xml:space="preserve"> </w:t>
      </w:r>
      <w:r w:rsidR="004B5592" w:rsidRPr="00982E15">
        <w:rPr>
          <w:rFonts w:asciiTheme="majorHAnsi" w:hAnsiTheme="majorHAnsi"/>
          <w:bCs/>
          <w:sz w:val="20"/>
          <w:szCs w:val="20"/>
          <w:lang w:val="es-ES"/>
        </w:rPr>
        <w:t xml:space="preserve">han sido procesados en el exterior y se nieguen a </w:t>
      </w:r>
      <w:r w:rsidR="00E6400B" w:rsidRPr="00982E15">
        <w:rPr>
          <w:rFonts w:asciiTheme="majorHAnsi" w:hAnsiTheme="majorHAnsi"/>
          <w:bCs/>
          <w:sz w:val="20"/>
          <w:szCs w:val="20"/>
          <w:lang w:val="es-ES"/>
        </w:rPr>
        <w:t>cooperar con la justicia colombiana</w:t>
      </w:r>
      <w:r w:rsidR="00EC1783" w:rsidRPr="00982E15">
        <w:rPr>
          <w:rFonts w:asciiTheme="majorHAnsi" w:hAnsiTheme="majorHAnsi"/>
          <w:bCs/>
          <w:sz w:val="20"/>
          <w:szCs w:val="20"/>
          <w:lang w:val="es-ES"/>
        </w:rPr>
        <w:t>.</w:t>
      </w:r>
      <w:r w:rsidR="006171C6" w:rsidRPr="00982E15">
        <w:rPr>
          <w:rFonts w:asciiTheme="majorHAnsi" w:hAnsiTheme="majorHAnsi"/>
          <w:bCs/>
          <w:sz w:val="20"/>
          <w:szCs w:val="20"/>
          <w:lang w:val="es-ES"/>
        </w:rPr>
        <w:t xml:space="preserve"> Es por ello que las investigaciones se han desarrollado dentro de un plazo razonable </w:t>
      </w:r>
      <w:r w:rsidR="00E32B06" w:rsidRPr="00982E15">
        <w:rPr>
          <w:rFonts w:asciiTheme="majorHAnsi" w:hAnsiTheme="majorHAnsi"/>
          <w:bCs/>
          <w:sz w:val="20"/>
          <w:szCs w:val="20"/>
          <w:lang w:val="es-ES"/>
        </w:rPr>
        <w:t xml:space="preserve">y con la debida diligencia para esclarecer los hechos. Y en vista de que </w:t>
      </w:r>
      <w:r w:rsidR="00D54B17" w:rsidRPr="00982E15">
        <w:rPr>
          <w:rFonts w:asciiTheme="majorHAnsi" w:hAnsiTheme="majorHAnsi"/>
          <w:bCs/>
          <w:sz w:val="20"/>
          <w:szCs w:val="20"/>
          <w:lang w:val="es-ES"/>
        </w:rPr>
        <w:t>éstas no han</w:t>
      </w:r>
      <w:r w:rsidR="00354AD6" w:rsidRPr="00982E15">
        <w:rPr>
          <w:rFonts w:asciiTheme="majorHAnsi" w:hAnsiTheme="majorHAnsi"/>
          <w:bCs/>
          <w:sz w:val="20"/>
          <w:szCs w:val="20"/>
          <w:lang w:val="es-ES"/>
        </w:rPr>
        <w:t xml:space="preserve"> con</w:t>
      </w:r>
      <w:r w:rsidR="00BE55A3" w:rsidRPr="00982E15">
        <w:rPr>
          <w:rFonts w:asciiTheme="majorHAnsi" w:hAnsiTheme="majorHAnsi"/>
          <w:bCs/>
          <w:sz w:val="20"/>
          <w:szCs w:val="20"/>
          <w:lang w:val="es-ES"/>
        </w:rPr>
        <w:t>c</w:t>
      </w:r>
      <w:r w:rsidR="00354AD6" w:rsidRPr="00982E15">
        <w:rPr>
          <w:rFonts w:asciiTheme="majorHAnsi" w:hAnsiTheme="majorHAnsi"/>
          <w:bCs/>
          <w:sz w:val="20"/>
          <w:szCs w:val="20"/>
          <w:lang w:val="es-ES"/>
        </w:rPr>
        <w:t>luido</w:t>
      </w:r>
      <w:r w:rsidR="00A72484" w:rsidRPr="00982E15">
        <w:rPr>
          <w:rFonts w:asciiTheme="majorHAnsi" w:hAnsiTheme="majorHAnsi"/>
          <w:bCs/>
          <w:sz w:val="20"/>
          <w:szCs w:val="20"/>
          <w:lang w:val="es-ES"/>
        </w:rPr>
        <w:t xml:space="preserve">, </w:t>
      </w:r>
      <w:r w:rsidR="00F84F53" w:rsidRPr="00982E15">
        <w:rPr>
          <w:rFonts w:asciiTheme="majorHAnsi" w:hAnsiTheme="majorHAnsi"/>
          <w:bCs/>
          <w:sz w:val="20"/>
          <w:szCs w:val="20"/>
          <w:lang w:val="es-ES"/>
        </w:rPr>
        <w:t xml:space="preserve">el Estado sostiene que </w:t>
      </w:r>
      <w:r w:rsidR="0036408A" w:rsidRPr="00982E15">
        <w:rPr>
          <w:rFonts w:asciiTheme="majorHAnsi" w:hAnsiTheme="majorHAnsi"/>
          <w:bCs/>
          <w:sz w:val="20"/>
          <w:szCs w:val="20"/>
          <w:lang w:val="es-ES"/>
        </w:rPr>
        <w:t>la vía penal</w:t>
      </w:r>
      <w:r w:rsidR="00F84F53" w:rsidRPr="00982E15">
        <w:rPr>
          <w:rFonts w:asciiTheme="majorHAnsi" w:hAnsiTheme="majorHAnsi"/>
          <w:bCs/>
          <w:sz w:val="20"/>
          <w:szCs w:val="20"/>
          <w:lang w:val="es-ES"/>
        </w:rPr>
        <w:t xml:space="preserve"> no ha sido agotad</w:t>
      </w:r>
      <w:r w:rsidR="0036408A" w:rsidRPr="00982E15">
        <w:rPr>
          <w:rFonts w:asciiTheme="majorHAnsi" w:hAnsiTheme="majorHAnsi"/>
          <w:bCs/>
          <w:sz w:val="20"/>
          <w:szCs w:val="20"/>
          <w:lang w:val="es-ES"/>
        </w:rPr>
        <w:t>a</w:t>
      </w:r>
      <w:r w:rsidR="00F84F53" w:rsidRPr="00982E15">
        <w:rPr>
          <w:rFonts w:asciiTheme="majorHAnsi" w:hAnsiTheme="majorHAnsi"/>
          <w:bCs/>
          <w:sz w:val="20"/>
          <w:szCs w:val="20"/>
          <w:lang w:val="es-ES"/>
        </w:rPr>
        <w:t>, y por lo tanto la petición resulta inadmisible.</w:t>
      </w:r>
    </w:p>
    <w:p w14:paraId="5569DF5B" w14:textId="4A27B207" w:rsidR="00F84F53" w:rsidRPr="00982E15" w:rsidRDefault="00D54B17" w:rsidP="000D5960">
      <w:pPr>
        <w:pStyle w:val="ListParagraph"/>
        <w:numPr>
          <w:ilvl w:val="0"/>
          <w:numId w:val="61"/>
        </w:numPr>
        <w:ind w:left="0" w:firstLine="720"/>
        <w:jc w:val="both"/>
        <w:rPr>
          <w:rFonts w:asciiTheme="majorHAnsi" w:hAnsiTheme="majorHAnsi"/>
          <w:bCs/>
          <w:sz w:val="20"/>
          <w:szCs w:val="20"/>
          <w:lang w:val="es-ES"/>
        </w:rPr>
      </w:pPr>
      <w:r w:rsidRPr="00982E15">
        <w:rPr>
          <w:rFonts w:asciiTheme="majorHAnsi" w:hAnsiTheme="majorHAnsi"/>
          <w:bCs/>
          <w:sz w:val="20"/>
          <w:szCs w:val="20"/>
          <w:lang w:val="es-ES"/>
        </w:rPr>
        <w:t xml:space="preserve">Por otro lado, Colombia plantea la falta de agotamiento de la </w:t>
      </w:r>
      <w:r w:rsidR="0063253B" w:rsidRPr="00982E15">
        <w:rPr>
          <w:rFonts w:asciiTheme="majorHAnsi" w:hAnsiTheme="majorHAnsi"/>
          <w:bCs/>
          <w:sz w:val="20"/>
          <w:szCs w:val="20"/>
          <w:lang w:val="es-ES"/>
        </w:rPr>
        <w:t xml:space="preserve">vía contencioso-administrativa, </w:t>
      </w:r>
      <w:r w:rsidR="00C04686" w:rsidRPr="00982E15">
        <w:rPr>
          <w:rFonts w:asciiTheme="majorHAnsi" w:hAnsiTheme="majorHAnsi"/>
          <w:bCs/>
          <w:sz w:val="20"/>
          <w:szCs w:val="20"/>
          <w:lang w:val="es-ES"/>
        </w:rPr>
        <w:t xml:space="preserve">puesto que </w:t>
      </w:r>
      <w:r w:rsidR="002F25B8" w:rsidRPr="00982E15">
        <w:rPr>
          <w:rFonts w:asciiTheme="majorHAnsi" w:hAnsiTheme="majorHAnsi"/>
          <w:bCs/>
          <w:sz w:val="20"/>
          <w:szCs w:val="20"/>
          <w:lang w:val="es-ES"/>
        </w:rPr>
        <w:t>los familiares del Sr. Arellano Becerra no acudieron a la demanda de reparación directa, la cual es un recurso adecuado y efectivo para esclarecer el grado de responsabilidad del Estado en los hechos alegados, y de ser el caso, de reparar las violaciones a la Convención Americana que se desprendan</w:t>
      </w:r>
      <w:r w:rsidR="00A764C2" w:rsidRPr="00982E15">
        <w:rPr>
          <w:rFonts w:asciiTheme="majorHAnsi" w:hAnsiTheme="majorHAnsi"/>
          <w:bCs/>
          <w:sz w:val="20"/>
          <w:szCs w:val="20"/>
          <w:lang w:val="es-ES"/>
        </w:rPr>
        <w:t>, atendiendo los estándares del Sistema Interamericano</w:t>
      </w:r>
      <w:r w:rsidR="002F25B8" w:rsidRPr="00982E15">
        <w:rPr>
          <w:rFonts w:asciiTheme="majorHAnsi" w:hAnsiTheme="majorHAnsi"/>
          <w:bCs/>
          <w:sz w:val="20"/>
          <w:szCs w:val="20"/>
          <w:lang w:val="es-ES"/>
        </w:rPr>
        <w:t>.</w:t>
      </w:r>
      <w:r w:rsidR="002037B6" w:rsidRPr="00982E15">
        <w:rPr>
          <w:rFonts w:asciiTheme="majorHAnsi" w:hAnsiTheme="majorHAnsi"/>
          <w:bCs/>
          <w:sz w:val="20"/>
          <w:szCs w:val="20"/>
          <w:lang w:val="es-ES"/>
        </w:rPr>
        <w:t xml:space="preserve"> Por ende, </w:t>
      </w:r>
      <w:r w:rsidR="00C938F9" w:rsidRPr="00982E15">
        <w:rPr>
          <w:rFonts w:asciiTheme="majorHAnsi" w:hAnsiTheme="majorHAnsi"/>
          <w:bCs/>
          <w:sz w:val="20"/>
          <w:szCs w:val="20"/>
          <w:lang w:val="es-ES"/>
        </w:rPr>
        <w:t>estim</w:t>
      </w:r>
      <w:r w:rsidR="002037B6" w:rsidRPr="00982E15">
        <w:rPr>
          <w:rFonts w:asciiTheme="majorHAnsi" w:hAnsiTheme="majorHAnsi"/>
          <w:bCs/>
          <w:sz w:val="20"/>
          <w:szCs w:val="20"/>
          <w:lang w:val="es-ES"/>
        </w:rPr>
        <w:t xml:space="preserve">a que la petición también </w:t>
      </w:r>
      <w:r w:rsidR="0042746B" w:rsidRPr="00982E15">
        <w:rPr>
          <w:rFonts w:asciiTheme="majorHAnsi" w:hAnsiTheme="majorHAnsi"/>
          <w:bCs/>
          <w:sz w:val="20"/>
          <w:szCs w:val="20"/>
          <w:lang w:val="es-ES"/>
        </w:rPr>
        <w:t>result</w:t>
      </w:r>
      <w:r w:rsidR="002037B6" w:rsidRPr="00982E15">
        <w:rPr>
          <w:rFonts w:asciiTheme="majorHAnsi" w:hAnsiTheme="majorHAnsi"/>
          <w:bCs/>
          <w:sz w:val="20"/>
          <w:szCs w:val="20"/>
          <w:lang w:val="es-ES"/>
        </w:rPr>
        <w:t>a inadmisible en este aspecto a la luz de los artículos 46.1.a) y 47.a de la Convención Americana.</w:t>
      </w:r>
    </w:p>
    <w:p w14:paraId="51F68C92" w14:textId="77777777" w:rsidR="003239B8" w:rsidRPr="00982E15" w:rsidRDefault="003239B8" w:rsidP="000D5960">
      <w:pPr>
        <w:spacing w:before="240" w:after="240"/>
        <w:ind w:firstLine="720"/>
        <w:jc w:val="both"/>
        <w:rPr>
          <w:rFonts w:ascii="Cambria" w:hAnsi="Cambria"/>
          <w:sz w:val="20"/>
          <w:szCs w:val="20"/>
          <w:lang w:val="es-ES"/>
        </w:rPr>
      </w:pPr>
      <w:r w:rsidRPr="00982E15">
        <w:rPr>
          <w:rFonts w:asciiTheme="majorHAnsi" w:eastAsia="Cambria" w:hAnsiTheme="majorHAnsi" w:cs="Cambria"/>
          <w:b/>
          <w:bCs/>
          <w:color w:val="000000"/>
          <w:sz w:val="20"/>
          <w:szCs w:val="20"/>
          <w:u w:color="000000"/>
          <w:lang w:val="es-ES" w:eastAsia="es-ES"/>
        </w:rPr>
        <w:t>VI.</w:t>
      </w:r>
      <w:r w:rsidRPr="00982E15">
        <w:rPr>
          <w:rFonts w:asciiTheme="majorHAnsi" w:eastAsia="Cambria" w:hAnsiTheme="majorHAnsi" w:cs="Cambria"/>
          <w:b/>
          <w:bCs/>
          <w:color w:val="000000"/>
          <w:sz w:val="20"/>
          <w:szCs w:val="20"/>
          <w:u w:color="000000"/>
          <w:lang w:val="es-ES" w:eastAsia="es-ES"/>
        </w:rPr>
        <w:tab/>
      </w:r>
      <w:r w:rsidR="004A6A54" w:rsidRPr="00982E15">
        <w:rPr>
          <w:rFonts w:asciiTheme="majorHAnsi" w:hAnsiTheme="majorHAnsi"/>
          <w:b/>
          <w:bCs/>
          <w:sz w:val="20"/>
          <w:szCs w:val="20"/>
          <w:lang w:val="es-ES"/>
        </w:rPr>
        <w:t xml:space="preserve">ANÁLISIS DE </w:t>
      </w:r>
      <w:r w:rsidR="00C21FEF" w:rsidRPr="00982E15">
        <w:rPr>
          <w:rFonts w:asciiTheme="majorHAnsi" w:hAnsiTheme="majorHAnsi"/>
          <w:b/>
          <w:sz w:val="20"/>
          <w:szCs w:val="20"/>
          <w:lang w:val="es-ES"/>
        </w:rPr>
        <w:t>AGOTAMIENTO DE LOS RECURSOS INTERNOS Y PLAZO DE PRESENTACIÓN</w:t>
      </w:r>
      <w:r w:rsidR="00C21FEF" w:rsidRPr="00982E15">
        <w:rPr>
          <w:rFonts w:asciiTheme="majorHAnsi" w:eastAsia="Cambria" w:hAnsiTheme="majorHAnsi" w:cs="Cambria"/>
          <w:b/>
          <w:bCs/>
          <w:color w:val="000000"/>
          <w:sz w:val="20"/>
          <w:szCs w:val="20"/>
          <w:u w:color="000000"/>
          <w:lang w:val="es-ES" w:eastAsia="es-ES"/>
        </w:rPr>
        <w:t xml:space="preserve"> </w:t>
      </w:r>
    </w:p>
    <w:p w14:paraId="7A7BA3C3" w14:textId="13F99964" w:rsidR="006C0ECF" w:rsidRPr="00982E15" w:rsidRDefault="0013242F" w:rsidP="000D5960">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982E15">
        <w:rPr>
          <w:sz w:val="20"/>
          <w:szCs w:val="20"/>
          <w:lang w:val="es-ES"/>
        </w:rPr>
        <w:t xml:space="preserve">La presente petición versa sobre la impunidad que rodea el atentado terrorista en el que perdió la vida el señor Gerardo María Arellano Becerra </w:t>
      </w:r>
      <w:r w:rsidR="00D30EA9" w:rsidRPr="00982E15">
        <w:rPr>
          <w:sz w:val="20"/>
          <w:szCs w:val="20"/>
          <w:lang w:val="es-ES"/>
        </w:rPr>
        <w:t>y la</w:t>
      </w:r>
      <w:r w:rsidR="00CA1292" w:rsidRPr="00982E15">
        <w:rPr>
          <w:sz w:val="20"/>
          <w:szCs w:val="20"/>
          <w:lang w:val="es-ES"/>
        </w:rPr>
        <w:t>s violaciones derivadas de la</w:t>
      </w:r>
      <w:r w:rsidR="00D30EA9" w:rsidRPr="00982E15">
        <w:rPr>
          <w:sz w:val="20"/>
          <w:szCs w:val="20"/>
          <w:lang w:val="es-ES"/>
        </w:rPr>
        <w:t xml:space="preserve"> posible complicidad de agentes estatales en el hecho.</w:t>
      </w:r>
      <w:r w:rsidR="00CA1292" w:rsidRPr="00982E15">
        <w:rPr>
          <w:sz w:val="20"/>
          <w:szCs w:val="20"/>
          <w:lang w:val="es-ES"/>
        </w:rPr>
        <w:t xml:space="preserve"> </w:t>
      </w:r>
      <w:r w:rsidR="00EA5554" w:rsidRPr="00982E15">
        <w:rPr>
          <w:sz w:val="20"/>
          <w:szCs w:val="20"/>
          <w:lang w:val="es-ES"/>
        </w:rPr>
        <w:t xml:space="preserve">El Estado </w:t>
      </w:r>
      <w:r w:rsidR="00D52C17" w:rsidRPr="00982E15">
        <w:rPr>
          <w:sz w:val="20"/>
          <w:szCs w:val="20"/>
          <w:lang w:val="es-ES"/>
        </w:rPr>
        <w:t>cuestiona</w:t>
      </w:r>
      <w:r w:rsidR="00EA5554" w:rsidRPr="00982E15">
        <w:rPr>
          <w:sz w:val="20"/>
          <w:szCs w:val="20"/>
          <w:lang w:val="es-ES"/>
        </w:rPr>
        <w:t xml:space="preserve"> que </w:t>
      </w:r>
      <w:r w:rsidR="005F7DA3" w:rsidRPr="00982E15">
        <w:rPr>
          <w:sz w:val="20"/>
          <w:szCs w:val="20"/>
          <w:lang w:val="es-ES"/>
        </w:rPr>
        <w:t>la petición fue presentad</w:t>
      </w:r>
      <w:r w:rsidR="00A11705" w:rsidRPr="00982E15">
        <w:rPr>
          <w:sz w:val="20"/>
          <w:szCs w:val="20"/>
          <w:lang w:val="es-ES"/>
        </w:rPr>
        <w:t>a</w:t>
      </w:r>
      <w:r w:rsidR="005F7DA3" w:rsidRPr="00982E15">
        <w:rPr>
          <w:sz w:val="20"/>
          <w:szCs w:val="20"/>
          <w:lang w:val="es-ES"/>
        </w:rPr>
        <w:t xml:space="preserve"> de manera extemporánea porque excedió del plazo razonable</w:t>
      </w:r>
      <w:r w:rsidR="00A11705" w:rsidRPr="00982E15">
        <w:rPr>
          <w:sz w:val="20"/>
          <w:szCs w:val="20"/>
          <w:lang w:val="es-ES"/>
        </w:rPr>
        <w:t xml:space="preserve">, de conformidad con el artículo 32.2 del Reglamento de la CIDH, pues fue interpuesta 26 años después </w:t>
      </w:r>
      <w:r w:rsidR="00F860EE" w:rsidRPr="00982E15">
        <w:rPr>
          <w:sz w:val="20"/>
          <w:szCs w:val="20"/>
          <w:lang w:val="es-ES"/>
        </w:rPr>
        <w:t>de la muerte de la presunta víctima</w:t>
      </w:r>
      <w:r w:rsidR="00A11705" w:rsidRPr="00982E15">
        <w:rPr>
          <w:sz w:val="20"/>
          <w:szCs w:val="20"/>
          <w:lang w:val="es-ES"/>
        </w:rPr>
        <w:t xml:space="preserve"> sin justificación suficiente. Adicionalmente sostiene</w:t>
      </w:r>
      <w:r w:rsidR="00C04DA6" w:rsidRPr="00982E15">
        <w:rPr>
          <w:sz w:val="20"/>
          <w:szCs w:val="20"/>
          <w:lang w:val="es-ES"/>
        </w:rPr>
        <w:t xml:space="preserve"> que</w:t>
      </w:r>
      <w:r w:rsidR="00A11705" w:rsidRPr="00982E15">
        <w:rPr>
          <w:sz w:val="20"/>
          <w:szCs w:val="20"/>
          <w:lang w:val="es-ES"/>
        </w:rPr>
        <w:t xml:space="preserve"> </w:t>
      </w:r>
      <w:r w:rsidR="00EA5554" w:rsidRPr="00982E15">
        <w:rPr>
          <w:sz w:val="20"/>
          <w:szCs w:val="20"/>
          <w:lang w:val="es-ES"/>
        </w:rPr>
        <w:t>la parte peticionaria no agotó los recursos de la jurisdicción penal, ya que la investigación aún se encuentra en curso dentro de un plazo razonable; ni la vía contencioso-administrativa.</w:t>
      </w:r>
      <w:r w:rsidR="007C691E" w:rsidRPr="00982E15">
        <w:rPr>
          <w:sz w:val="20"/>
          <w:szCs w:val="20"/>
          <w:lang w:val="es-ES"/>
        </w:rPr>
        <w:t xml:space="preserve"> </w:t>
      </w:r>
      <w:r w:rsidR="00894FCC" w:rsidRPr="00982E15">
        <w:rPr>
          <w:sz w:val="20"/>
          <w:szCs w:val="20"/>
          <w:lang w:val="es-ES"/>
        </w:rPr>
        <w:t>Los peticionarios</w:t>
      </w:r>
      <w:r w:rsidR="007C691E" w:rsidRPr="00982E15">
        <w:rPr>
          <w:sz w:val="20"/>
          <w:szCs w:val="20"/>
          <w:lang w:val="es-ES"/>
        </w:rPr>
        <w:t xml:space="preserve"> </w:t>
      </w:r>
      <w:r w:rsidR="00894FCC" w:rsidRPr="00982E15">
        <w:rPr>
          <w:sz w:val="20"/>
          <w:szCs w:val="20"/>
          <w:lang w:val="es-ES"/>
        </w:rPr>
        <w:t>responden a su vez que la petición</w:t>
      </w:r>
      <w:r w:rsidR="007C691E" w:rsidRPr="00982E15">
        <w:rPr>
          <w:sz w:val="20"/>
          <w:szCs w:val="20"/>
          <w:lang w:val="es-ES"/>
        </w:rPr>
        <w:t xml:space="preserve"> </w:t>
      </w:r>
      <w:r w:rsidR="0022364E" w:rsidRPr="00982E15">
        <w:rPr>
          <w:sz w:val="20"/>
          <w:szCs w:val="20"/>
          <w:lang w:val="es-ES"/>
        </w:rPr>
        <w:t xml:space="preserve">sí </w:t>
      </w:r>
      <w:r w:rsidR="007C691E" w:rsidRPr="00982E15">
        <w:rPr>
          <w:sz w:val="20"/>
          <w:szCs w:val="20"/>
          <w:lang w:val="es-ES"/>
        </w:rPr>
        <w:t>se encuentra dentro de un plazo razonable porque la impunidad se mantiene y el proceso penal sigue abierto</w:t>
      </w:r>
      <w:r w:rsidR="007E0B54" w:rsidRPr="00982E15">
        <w:rPr>
          <w:sz w:val="20"/>
          <w:szCs w:val="20"/>
          <w:lang w:val="es-ES"/>
        </w:rPr>
        <w:t xml:space="preserve">, además </w:t>
      </w:r>
      <w:r w:rsidR="00C24340" w:rsidRPr="00982E15">
        <w:rPr>
          <w:sz w:val="20"/>
          <w:szCs w:val="20"/>
          <w:lang w:val="es-ES"/>
        </w:rPr>
        <w:t>consideran</w:t>
      </w:r>
      <w:r w:rsidR="007C691E" w:rsidRPr="00982E15">
        <w:rPr>
          <w:sz w:val="20"/>
          <w:szCs w:val="20"/>
          <w:lang w:val="es-ES"/>
        </w:rPr>
        <w:t xml:space="preserve"> que </w:t>
      </w:r>
      <w:r w:rsidR="00AB338F" w:rsidRPr="00982E15">
        <w:rPr>
          <w:sz w:val="20"/>
          <w:szCs w:val="20"/>
          <w:lang w:val="es-ES"/>
        </w:rPr>
        <w:t>existe retardo injustificado en su resolución.</w:t>
      </w:r>
    </w:p>
    <w:p w14:paraId="6F2C4C41" w14:textId="6408A7CA" w:rsidR="005F7DA3" w:rsidRPr="00982E15" w:rsidRDefault="004A2679" w:rsidP="00FB2957">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982E15">
        <w:rPr>
          <w:sz w:val="20"/>
          <w:szCs w:val="20"/>
          <w:lang w:val="es-ES"/>
        </w:rPr>
        <w:t>El artículo 46.1.a) de la Convención Americana dispone que para que una petición sea admitida se requiere “</w:t>
      </w:r>
      <w:r w:rsidRPr="00FB2957">
        <w:rPr>
          <w:sz w:val="20"/>
          <w:szCs w:val="20"/>
          <w:lang w:val="es-ES"/>
        </w:rPr>
        <w:t>que se hayan interpuesto y agotado los recursos de jurisdicción interna, conforme a los principios del Derecho Internacional generalmente reconocidos</w:t>
      </w:r>
      <w:r w:rsidRPr="00982E15">
        <w:rPr>
          <w:sz w:val="20"/>
          <w:szCs w:val="20"/>
          <w:lang w:val="es-ES"/>
        </w:rPr>
        <w:t xml:space="preserve">”. </w:t>
      </w:r>
      <w:r w:rsidR="005F7DA3" w:rsidRPr="00FB2957">
        <w:rPr>
          <w:sz w:val="20"/>
          <w:szCs w:val="20"/>
          <w:lang w:val="es-ES"/>
        </w:rPr>
        <w:t>La CIDH recuerda que en casos de graves violaciones de derechos humanos, que constituyen delitos perseguibles de oficio, los recursos internos que deben tomarse en cuenta a efectos de la admisibilidad de una petición son los relacionados con el proceso penal, ya que es la vía idónea para esclarecer los hechos y establecer las sanciones penales correspondientes, además de posibilitar otros modos de reparación de tipo pecuniario</w:t>
      </w:r>
      <w:r w:rsidR="005F7DA3" w:rsidRPr="00FB2957">
        <w:rPr>
          <w:sz w:val="20"/>
          <w:szCs w:val="20"/>
          <w:lang w:val="es-ES"/>
        </w:rPr>
        <w:footnoteReference w:id="5"/>
      </w:r>
      <w:r w:rsidR="005F7DA3" w:rsidRPr="00FB2957">
        <w:rPr>
          <w:sz w:val="20"/>
          <w:szCs w:val="20"/>
          <w:lang w:val="es-ES"/>
        </w:rPr>
        <w:t xml:space="preserve">. En relación con los argumentos del Estado frente a la falta de agotamiento de la acción de reparación directa, la Comisión ha sostenido reiteradamente que dicha </w:t>
      </w:r>
      <w:r w:rsidR="005F7DA3" w:rsidRPr="00FB2957">
        <w:rPr>
          <w:sz w:val="20"/>
          <w:szCs w:val="20"/>
          <w:lang w:val="es-ES"/>
        </w:rPr>
        <w:lastRenderedPageBreak/>
        <w:t>vía no constituye un recurso idóneo a efectos de analizar la admisibilidad de un reclamo de la naturaleza del presente</w:t>
      </w:r>
      <w:r w:rsidR="005F7DA3" w:rsidRPr="00254B55">
        <w:rPr>
          <w:rStyle w:val="FootnoteReference"/>
          <w:sz w:val="20"/>
          <w:szCs w:val="20"/>
        </w:rPr>
        <w:footnoteReference w:id="6"/>
      </w:r>
      <w:r w:rsidR="005F7DA3" w:rsidRPr="00FB2957">
        <w:rPr>
          <w:sz w:val="20"/>
          <w:szCs w:val="20"/>
          <w:lang w:val="es-ES"/>
        </w:rPr>
        <w:t>.</w:t>
      </w:r>
    </w:p>
    <w:p w14:paraId="7446712A" w14:textId="2128F6F6" w:rsidR="00ED5E10" w:rsidRPr="00982E15" w:rsidRDefault="005F7DA3" w:rsidP="000D5960">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982E15">
        <w:rPr>
          <w:sz w:val="20"/>
          <w:szCs w:val="20"/>
          <w:lang w:val="es-ES"/>
        </w:rPr>
        <w:t>Con respecto al proceso penal, la parte peticionaria invoca la excepción de retardo injustificado en la resolución de los recursos internos</w:t>
      </w:r>
      <w:r w:rsidR="00991012" w:rsidRPr="00982E15">
        <w:rPr>
          <w:sz w:val="20"/>
          <w:szCs w:val="20"/>
          <w:lang w:val="es-ES"/>
        </w:rPr>
        <w:t xml:space="preserve"> y sostiene que la petición fue presentada dentro de un plazo razonable porque el proceso penal sigue en curso y se mantiene la impunidad del </w:t>
      </w:r>
      <w:r w:rsidR="00CA75D6" w:rsidRPr="00982E15">
        <w:rPr>
          <w:sz w:val="20"/>
          <w:szCs w:val="20"/>
          <w:lang w:val="es-ES"/>
        </w:rPr>
        <w:t>hecho denunciado</w:t>
      </w:r>
      <w:r w:rsidR="00991012" w:rsidRPr="00982E15">
        <w:rPr>
          <w:sz w:val="20"/>
          <w:szCs w:val="20"/>
          <w:lang w:val="es-ES"/>
        </w:rPr>
        <w:t>.</w:t>
      </w:r>
      <w:r w:rsidR="00AD5FC6" w:rsidRPr="00982E15">
        <w:rPr>
          <w:sz w:val="20"/>
          <w:szCs w:val="20"/>
          <w:lang w:val="es-ES"/>
        </w:rPr>
        <w:t xml:space="preserve"> El Estado alega que dada la complejidad del caso y el despliegue de gestiones dentro de la investigación el proceso penal se encuentra dentro de un plazo razonable.</w:t>
      </w:r>
    </w:p>
    <w:p w14:paraId="0E914579" w14:textId="256417B0" w:rsidR="00584480" w:rsidRPr="00982E15" w:rsidRDefault="00584480" w:rsidP="000D5960">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982E15">
        <w:rPr>
          <w:sz w:val="20"/>
          <w:szCs w:val="20"/>
          <w:lang w:val="es-ES"/>
        </w:rPr>
        <w:t xml:space="preserve">En el presente caso la CIDH </w:t>
      </w:r>
      <w:r w:rsidR="00A75BD8" w:rsidRPr="00982E15">
        <w:rPr>
          <w:sz w:val="20"/>
          <w:szCs w:val="20"/>
          <w:lang w:val="es-ES"/>
        </w:rPr>
        <w:t>observa</w:t>
      </w:r>
      <w:r w:rsidRPr="00982E15">
        <w:rPr>
          <w:sz w:val="20"/>
          <w:szCs w:val="20"/>
          <w:lang w:val="es-ES"/>
        </w:rPr>
        <w:t xml:space="preserve"> que</w:t>
      </w:r>
      <w:r w:rsidR="00D26157" w:rsidRPr="00982E15">
        <w:rPr>
          <w:sz w:val="20"/>
          <w:szCs w:val="20"/>
          <w:lang w:val="es-ES"/>
        </w:rPr>
        <w:t>,</w:t>
      </w:r>
      <w:r w:rsidRPr="00982E15">
        <w:rPr>
          <w:sz w:val="20"/>
          <w:szCs w:val="20"/>
          <w:lang w:val="es-ES"/>
        </w:rPr>
        <w:t xml:space="preserve"> en efecto, el proceso </w:t>
      </w:r>
      <w:r w:rsidR="00C7533D" w:rsidRPr="00982E15">
        <w:rPr>
          <w:sz w:val="20"/>
          <w:szCs w:val="20"/>
          <w:lang w:val="es-ES"/>
        </w:rPr>
        <w:t>pena</w:t>
      </w:r>
      <w:r w:rsidRPr="00982E15">
        <w:rPr>
          <w:sz w:val="20"/>
          <w:szCs w:val="20"/>
          <w:lang w:val="es-ES"/>
        </w:rPr>
        <w:t xml:space="preserve">l se ha extendido durante </w:t>
      </w:r>
      <w:r w:rsidR="00B561E6" w:rsidRPr="00982E15">
        <w:rPr>
          <w:sz w:val="20"/>
          <w:szCs w:val="20"/>
          <w:lang w:val="es-ES"/>
        </w:rPr>
        <w:t>36</w:t>
      </w:r>
      <w:r w:rsidRPr="00982E15">
        <w:rPr>
          <w:sz w:val="20"/>
          <w:szCs w:val="20"/>
          <w:lang w:val="es-ES"/>
        </w:rPr>
        <w:t xml:space="preserve"> años sin que se haya proferido una decisión definitiva. </w:t>
      </w:r>
      <w:r w:rsidR="008A0495" w:rsidRPr="00982E15">
        <w:rPr>
          <w:sz w:val="20"/>
          <w:szCs w:val="20"/>
          <w:lang w:val="es-ES"/>
        </w:rPr>
        <w:t>También nota que</w:t>
      </w:r>
      <w:r w:rsidR="00563C69" w:rsidRPr="00982E15">
        <w:rPr>
          <w:sz w:val="20"/>
          <w:szCs w:val="20"/>
          <w:lang w:val="es-ES"/>
        </w:rPr>
        <w:t xml:space="preserve">, entre 1993 y 1995, </w:t>
      </w:r>
      <w:r w:rsidR="00E9406B" w:rsidRPr="00982E15">
        <w:rPr>
          <w:sz w:val="20"/>
          <w:szCs w:val="20"/>
          <w:lang w:val="es-ES"/>
        </w:rPr>
        <w:t xml:space="preserve">la fiscalía definió la situación jurídica de </w:t>
      </w:r>
      <w:r w:rsidR="000D5960" w:rsidRPr="00982E15">
        <w:rPr>
          <w:sz w:val="20"/>
          <w:szCs w:val="20"/>
          <w:lang w:val="es-ES"/>
        </w:rPr>
        <w:t>11</w:t>
      </w:r>
      <w:r w:rsidR="00E9406B" w:rsidRPr="00982E15">
        <w:rPr>
          <w:sz w:val="20"/>
          <w:szCs w:val="20"/>
          <w:lang w:val="es-ES"/>
        </w:rPr>
        <w:t xml:space="preserve"> implicados, a quienes otorgó </w:t>
      </w:r>
      <w:r w:rsidR="00A05389" w:rsidRPr="00982E15">
        <w:rPr>
          <w:sz w:val="20"/>
          <w:szCs w:val="20"/>
          <w:lang w:val="es-ES"/>
        </w:rPr>
        <w:t>beneficios por colabor</w:t>
      </w:r>
      <w:r w:rsidR="00D26157" w:rsidRPr="00982E15">
        <w:rPr>
          <w:sz w:val="20"/>
          <w:szCs w:val="20"/>
          <w:lang w:val="es-ES"/>
        </w:rPr>
        <w:t>ar</w:t>
      </w:r>
      <w:r w:rsidR="00A05389" w:rsidRPr="00982E15">
        <w:rPr>
          <w:sz w:val="20"/>
          <w:szCs w:val="20"/>
          <w:lang w:val="es-ES"/>
        </w:rPr>
        <w:t xml:space="preserve"> con </w:t>
      </w:r>
      <w:r w:rsidR="00D26157" w:rsidRPr="00982E15">
        <w:rPr>
          <w:sz w:val="20"/>
          <w:szCs w:val="20"/>
          <w:lang w:val="es-ES"/>
        </w:rPr>
        <w:t>l</w:t>
      </w:r>
      <w:r w:rsidR="00A05389" w:rsidRPr="00982E15">
        <w:rPr>
          <w:sz w:val="20"/>
          <w:szCs w:val="20"/>
          <w:lang w:val="es-ES"/>
        </w:rPr>
        <w:t>a justicia, y desde entonces</w:t>
      </w:r>
      <w:r w:rsidR="00883A0F" w:rsidRPr="00982E15">
        <w:rPr>
          <w:sz w:val="20"/>
          <w:szCs w:val="20"/>
          <w:lang w:val="es-ES"/>
        </w:rPr>
        <w:t xml:space="preserve"> y</w:t>
      </w:r>
      <w:r w:rsidR="00A05389" w:rsidRPr="00982E15">
        <w:rPr>
          <w:sz w:val="20"/>
          <w:szCs w:val="20"/>
          <w:lang w:val="es-ES"/>
        </w:rPr>
        <w:t xml:space="preserve"> hasta el 200</w:t>
      </w:r>
      <w:r w:rsidR="00B23776" w:rsidRPr="00982E15">
        <w:rPr>
          <w:sz w:val="20"/>
          <w:szCs w:val="20"/>
          <w:lang w:val="es-ES"/>
        </w:rPr>
        <w:t xml:space="preserve">9, </w:t>
      </w:r>
      <w:r w:rsidR="00BE772F" w:rsidRPr="00982E15">
        <w:rPr>
          <w:sz w:val="20"/>
          <w:szCs w:val="20"/>
          <w:lang w:val="es-ES"/>
        </w:rPr>
        <w:t xml:space="preserve">no realizó </w:t>
      </w:r>
      <w:r w:rsidR="006911DF" w:rsidRPr="00982E15">
        <w:rPr>
          <w:sz w:val="20"/>
          <w:szCs w:val="20"/>
          <w:lang w:val="es-ES"/>
        </w:rPr>
        <w:t xml:space="preserve">ninguna </w:t>
      </w:r>
      <w:r w:rsidR="00BE772F" w:rsidRPr="00982E15">
        <w:rPr>
          <w:sz w:val="20"/>
          <w:szCs w:val="20"/>
          <w:lang w:val="es-ES"/>
        </w:rPr>
        <w:t>gesti</w:t>
      </w:r>
      <w:r w:rsidR="006911DF" w:rsidRPr="00982E15">
        <w:rPr>
          <w:sz w:val="20"/>
          <w:szCs w:val="20"/>
          <w:lang w:val="es-ES"/>
        </w:rPr>
        <w:t>ón</w:t>
      </w:r>
      <w:r w:rsidR="00BE772F" w:rsidRPr="00982E15">
        <w:rPr>
          <w:sz w:val="20"/>
          <w:szCs w:val="20"/>
          <w:lang w:val="es-ES"/>
        </w:rPr>
        <w:t xml:space="preserve"> </w:t>
      </w:r>
      <w:r w:rsidR="006911DF" w:rsidRPr="00982E15">
        <w:rPr>
          <w:sz w:val="20"/>
          <w:szCs w:val="20"/>
          <w:lang w:val="es-ES"/>
        </w:rPr>
        <w:t>investigativa hasta</w:t>
      </w:r>
      <w:r w:rsidR="001025DB" w:rsidRPr="00982E15">
        <w:rPr>
          <w:sz w:val="20"/>
          <w:szCs w:val="20"/>
          <w:lang w:val="es-ES"/>
        </w:rPr>
        <w:t xml:space="preserve"> la </w:t>
      </w:r>
      <w:r w:rsidR="006911DF" w:rsidRPr="00982E15">
        <w:rPr>
          <w:sz w:val="20"/>
          <w:szCs w:val="20"/>
          <w:lang w:val="es-ES"/>
        </w:rPr>
        <w:t>declar</w:t>
      </w:r>
      <w:r w:rsidR="001025DB" w:rsidRPr="00982E15">
        <w:rPr>
          <w:sz w:val="20"/>
          <w:szCs w:val="20"/>
          <w:lang w:val="es-ES"/>
        </w:rPr>
        <w:t>atoria</w:t>
      </w:r>
      <w:r w:rsidR="006911DF" w:rsidRPr="00982E15">
        <w:rPr>
          <w:sz w:val="20"/>
          <w:szCs w:val="20"/>
          <w:lang w:val="es-ES"/>
        </w:rPr>
        <w:t xml:space="preserve"> </w:t>
      </w:r>
      <w:r w:rsidR="001025DB" w:rsidRPr="00982E15">
        <w:rPr>
          <w:sz w:val="20"/>
          <w:szCs w:val="20"/>
          <w:lang w:val="es-ES"/>
        </w:rPr>
        <w:t>d</w:t>
      </w:r>
      <w:r w:rsidR="006911DF" w:rsidRPr="00982E15">
        <w:rPr>
          <w:sz w:val="20"/>
          <w:szCs w:val="20"/>
          <w:lang w:val="es-ES"/>
        </w:rPr>
        <w:t xml:space="preserve">el crimen como de </w:t>
      </w:r>
      <w:r w:rsidR="00185391" w:rsidRPr="00982E15">
        <w:rPr>
          <w:sz w:val="20"/>
          <w:szCs w:val="20"/>
          <w:lang w:val="es-ES"/>
        </w:rPr>
        <w:t>lesa</w:t>
      </w:r>
      <w:r w:rsidR="006911DF" w:rsidRPr="00982E15">
        <w:rPr>
          <w:sz w:val="20"/>
          <w:szCs w:val="20"/>
          <w:lang w:val="es-ES"/>
        </w:rPr>
        <w:t xml:space="preserve"> humanidad</w:t>
      </w:r>
      <w:r w:rsidR="00185391" w:rsidRPr="00982E15">
        <w:rPr>
          <w:sz w:val="20"/>
          <w:szCs w:val="20"/>
          <w:lang w:val="es-ES"/>
        </w:rPr>
        <w:t>, según informan las partes</w:t>
      </w:r>
      <w:r w:rsidR="006911DF" w:rsidRPr="00982E15">
        <w:rPr>
          <w:sz w:val="20"/>
          <w:szCs w:val="20"/>
          <w:lang w:val="es-ES"/>
        </w:rPr>
        <w:t xml:space="preserve">. </w:t>
      </w:r>
      <w:r w:rsidR="000B1823" w:rsidRPr="00982E15">
        <w:rPr>
          <w:sz w:val="20"/>
          <w:szCs w:val="20"/>
          <w:lang w:val="es-ES"/>
        </w:rPr>
        <w:t xml:space="preserve">En ese sentido, </w:t>
      </w:r>
      <w:r w:rsidR="002814AA" w:rsidRPr="00982E15">
        <w:rPr>
          <w:sz w:val="20"/>
          <w:szCs w:val="20"/>
          <w:lang w:val="es-ES"/>
        </w:rPr>
        <w:t xml:space="preserve">de manera preliminar, </w:t>
      </w:r>
      <w:r w:rsidR="001B20A8" w:rsidRPr="00982E15">
        <w:rPr>
          <w:sz w:val="20"/>
          <w:szCs w:val="20"/>
          <w:lang w:val="es-ES"/>
        </w:rPr>
        <w:t xml:space="preserve">se desprende que </w:t>
      </w:r>
      <w:r w:rsidR="002814AA" w:rsidRPr="00982E15">
        <w:rPr>
          <w:sz w:val="20"/>
          <w:szCs w:val="20"/>
          <w:lang w:val="es-ES"/>
        </w:rPr>
        <w:t xml:space="preserve">transcurrieron 13 años de </w:t>
      </w:r>
      <w:r w:rsidR="00224224" w:rsidRPr="00982E15">
        <w:rPr>
          <w:sz w:val="20"/>
          <w:szCs w:val="20"/>
          <w:lang w:val="es-ES"/>
        </w:rPr>
        <w:t>inactividad</w:t>
      </w:r>
      <w:r w:rsidR="002814AA" w:rsidRPr="00982E15">
        <w:rPr>
          <w:sz w:val="20"/>
          <w:szCs w:val="20"/>
          <w:lang w:val="es-ES"/>
        </w:rPr>
        <w:t xml:space="preserve"> en la investigación</w:t>
      </w:r>
      <w:r w:rsidR="00886BD9" w:rsidRPr="00982E15">
        <w:rPr>
          <w:sz w:val="20"/>
          <w:szCs w:val="20"/>
          <w:lang w:val="es-ES"/>
        </w:rPr>
        <w:t>.</w:t>
      </w:r>
      <w:r w:rsidR="002814AA" w:rsidRPr="00982E15">
        <w:rPr>
          <w:sz w:val="20"/>
          <w:szCs w:val="20"/>
          <w:lang w:val="es-ES"/>
        </w:rPr>
        <w:t xml:space="preserve"> </w:t>
      </w:r>
      <w:r w:rsidR="00886BD9" w:rsidRPr="00982E15">
        <w:rPr>
          <w:sz w:val="20"/>
          <w:szCs w:val="20"/>
          <w:lang w:val="es-ES"/>
        </w:rPr>
        <w:t>P</w:t>
      </w:r>
      <w:r w:rsidR="001B20A8" w:rsidRPr="00982E15">
        <w:rPr>
          <w:sz w:val="20"/>
          <w:szCs w:val="20"/>
          <w:lang w:val="es-ES"/>
        </w:rPr>
        <w:t>osteriormente, en 2010 la fiscalía recibió la declaración de alias “Popeye”</w:t>
      </w:r>
      <w:r w:rsidR="009F30A0" w:rsidRPr="00982E15">
        <w:rPr>
          <w:sz w:val="20"/>
          <w:szCs w:val="20"/>
          <w:lang w:val="es-ES"/>
        </w:rPr>
        <w:t xml:space="preserve"> en la que refería la participación de agentes del DAS en el atentado, pero desde esa fecha y hasta la actualidad la fiscalía no ha vinculado a ninguno a la investigación, es</w:t>
      </w:r>
      <w:r w:rsidR="00876A7A" w:rsidRPr="00982E15">
        <w:rPr>
          <w:sz w:val="20"/>
          <w:szCs w:val="20"/>
          <w:lang w:val="es-ES"/>
        </w:rPr>
        <w:t xml:space="preserve"> decir</w:t>
      </w:r>
      <w:r w:rsidR="009F30A0" w:rsidRPr="00982E15">
        <w:rPr>
          <w:sz w:val="20"/>
          <w:szCs w:val="20"/>
          <w:lang w:val="es-ES"/>
        </w:rPr>
        <w:t xml:space="preserve">, en </w:t>
      </w:r>
      <w:r w:rsidR="000D1011" w:rsidRPr="00982E15">
        <w:rPr>
          <w:sz w:val="20"/>
          <w:szCs w:val="20"/>
          <w:lang w:val="es-ES"/>
        </w:rPr>
        <w:t>15 años</w:t>
      </w:r>
      <w:r w:rsidR="00876A7A" w:rsidRPr="00982E15">
        <w:rPr>
          <w:sz w:val="20"/>
          <w:szCs w:val="20"/>
          <w:lang w:val="es-ES"/>
        </w:rPr>
        <w:t xml:space="preserve"> no ha desplegado diligencias suficientes para esclarecer la veracidad sobre esta versión</w:t>
      </w:r>
      <w:r w:rsidR="000D1011" w:rsidRPr="00982E15">
        <w:rPr>
          <w:sz w:val="20"/>
          <w:szCs w:val="20"/>
          <w:lang w:val="es-ES"/>
        </w:rPr>
        <w:t>.</w:t>
      </w:r>
      <w:r w:rsidR="000B1823" w:rsidRPr="00982E15">
        <w:rPr>
          <w:sz w:val="20"/>
          <w:szCs w:val="20"/>
          <w:lang w:val="es-ES"/>
        </w:rPr>
        <w:t xml:space="preserve"> </w:t>
      </w:r>
      <w:r w:rsidR="004177C8" w:rsidRPr="00982E15">
        <w:rPr>
          <w:sz w:val="20"/>
          <w:szCs w:val="20"/>
          <w:lang w:val="es-ES"/>
        </w:rPr>
        <w:t xml:space="preserve">Si bien la Comisión reconoce que el Estado ha emprendido gestiones a nivel interno, es claro que, existen largos periodos de tiempo </w:t>
      </w:r>
      <w:r w:rsidR="000B40CA" w:rsidRPr="00982E15">
        <w:rPr>
          <w:sz w:val="20"/>
          <w:szCs w:val="20"/>
          <w:lang w:val="es-ES"/>
        </w:rPr>
        <w:t>cuya duración resulta injustificada para adoptar determinadas acciones</w:t>
      </w:r>
      <w:r w:rsidR="005E5639" w:rsidRPr="00982E15">
        <w:rPr>
          <w:sz w:val="20"/>
          <w:szCs w:val="20"/>
          <w:lang w:val="es-ES"/>
        </w:rPr>
        <w:t xml:space="preserve"> en el marco de la investigación</w:t>
      </w:r>
      <w:r w:rsidR="000B40CA" w:rsidRPr="00982E15">
        <w:rPr>
          <w:sz w:val="20"/>
          <w:szCs w:val="20"/>
          <w:lang w:val="es-ES"/>
        </w:rPr>
        <w:t xml:space="preserve">. </w:t>
      </w:r>
      <w:r w:rsidR="00563C69" w:rsidRPr="00982E15">
        <w:rPr>
          <w:sz w:val="20"/>
          <w:szCs w:val="20"/>
          <w:lang w:val="es-ES"/>
        </w:rPr>
        <w:t xml:space="preserve">En consecuencia, </w:t>
      </w:r>
      <w:r w:rsidR="00D513E5" w:rsidRPr="00982E15">
        <w:rPr>
          <w:sz w:val="20"/>
          <w:szCs w:val="20"/>
          <w:lang w:val="es-ES"/>
        </w:rPr>
        <w:t xml:space="preserve">y, </w:t>
      </w:r>
      <w:r w:rsidR="00563C69" w:rsidRPr="00982E15">
        <w:rPr>
          <w:sz w:val="20"/>
          <w:szCs w:val="20"/>
          <w:lang w:val="es-ES"/>
        </w:rPr>
        <w:t>p</w:t>
      </w:r>
      <w:r w:rsidRPr="00982E15">
        <w:rPr>
          <w:sz w:val="20"/>
          <w:szCs w:val="20"/>
          <w:lang w:val="es-ES"/>
        </w:rPr>
        <w:t>ara efectos de la admisibilidad, concluye</w:t>
      </w:r>
      <w:r w:rsidR="00A75BD8" w:rsidRPr="00982E15">
        <w:rPr>
          <w:sz w:val="20"/>
          <w:szCs w:val="20"/>
          <w:lang w:val="es-ES"/>
        </w:rPr>
        <w:t xml:space="preserve"> por tanto</w:t>
      </w:r>
      <w:r w:rsidRPr="00982E15">
        <w:rPr>
          <w:sz w:val="20"/>
          <w:szCs w:val="20"/>
          <w:lang w:val="es-ES"/>
        </w:rPr>
        <w:t xml:space="preserve"> que existe un retardo injustificado en la adopción de una decisión final a nivel interno, por lo que resulta aplicable la excepción prevista en el artículo 46.2.c) de la Convención Americana.</w:t>
      </w:r>
    </w:p>
    <w:p w14:paraId="69486921" w14:textId="69508C4F" w:rsidR="00DB4AA0" w:rsidRPr="00982E15" w:rsidRDefault="00C75994" w:rsidP="000D5960">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982E15">
        <w:rPr>
          <w:sz w:val="20"/>
          <w:szCs w:val="20"/>
          <w:lang w:val="es-ES"/>
        </w:rPr>
        <w:t xml:space="preserve">En cuanto al cumplimiento del </w:t>
      </w:r>
      <w:r w:rsidR="00582DF6" w:rsidRPr="00982E15">
        <w:rPr>
          <w:sz w:val="20"/>
          <w:szCs w:val="20"/>
          <w:lang w:val="es-ES"/>
        </w:rPr>
        <w:t xml:space="preserve">requisito de presentación dentro de un plazo razonable, contemplado en el artículo 32.2 del Reglamento de la Comisión, </w:t>
      </w:r>
      <w:r w:rsidR="00740030" w:rsidRPr="00982E15">
        <w:rPr>
          <w:sz w:val="20"/>
          <w:szCs w:val="20"/>
          <w:lang w:val="es-ES"/>
        </w:rPr>
        <w:t>é</w:t>
      </w:r>
      <w:r w:rsidR="00582DF6" w:rsidRPr="00982E15">
        <w:rPr>
          <w:sz w:val="20"/>
          <w:szCs w:val="20"/>
          <w:lang w:val="es-ES"/>
        </w:rPr>
        <w:t xml:space="preserve">sta </w:t>
      </w:r>
      <w:r w:rsidR="008B3E48" w:rsidRPr="00982E15">
        <w:rPr>
          <w:sz w:val="20"/>
          <w:szCs w:val="20"/>
          <w:lang w:val="es-ES"/>
        </w:rPr>
        <w:t>advierte</w:t>
      </w:r>
      <w:r w:rsidR="00582DF6" w:rsidRPr="00982E15">
        <w:rPr>
          <w:sz w:val="20"/>
          <w:szCs w:val="20"/>
          <w:lang w:val="es-ES"/>
        </w:rPr>
        <w:t xml:space="preserve"> que </w:t>
      </w:r>
      <w:r w:rsidR="008B3E48" w:rsidRPr="00982E15">
        <w:rPr>
          <w:iCs/>
          <w:sz w:val="20"/>
          <w:szCs w:val="20"/>
          <w:lang w:val="es-ES"/>
        </w:rPr>
        <w:t xml:space="preserve">el asesinato de la presunta víctima ocurrió el </w:t>
      </w:r>
      <w:r w:rsidR="0097640C" w:rsidRPr="00982E15">
        <w:rPr>
          <w:iCs/>
          <w:sz w:val="20"/>
          <w:szCs w:val="20"/>
          <w:lang w:val="es-ES"/>
        </w:rPr>
        <w:t>2</w:t>
      </w:r>
      <w:r w:rsidR="008B3E48" w:rsidRPr="00982E15">
        <w:rPr>
          <w:iCs/>
          <w:sz w:val="20"/>
          <w:szCs w:val="20"/>
          <w:lang w:val="es-ES"/>
        </w:rPr>
        <w:t>7 de noviembre de 1989, y las consecuencias de este hecho, en términos de la alegada impunidad en la que se mantendría se extenderían hasta el presente, por lo tanto considera que la petición fue presentada dentro de un plazo razonable.</w:t>
      </w:r>
    </w:p>
    <w:p w14:paraId="23F83D13" w14:textId="25C6C997" w:rsidR="00601426" w:rsidRPr="00982E15" w:rsidRDefault="00230537" w:rsidP="000D5960">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bookmarkStart w:id="2" w:name="_Hlk184035509"/>
      <w:r w:rsidRPr="00982E15">
        <w:rPr>
          <w:sz w:val="20"/>
          <w:szCs w:val="20"/>
          <w:lang w:val="es-ES"/>
        </w:rPr>
        <w:t>R</w:t>
      </w:r>
      <w:r w:rsidR="00601426" w:rsidRPr="00982E15">
        <w:rPr>
          <w:sz w:val="20"/>
          <w:szCs w:val="20"/>
          <w:lang w:val="es-ES"/>
        </w:rPr>
        <w:t>esulta pertinente recordar que el artículo 46.2 de la Convención, por su naturaleza y objeto, es una disposición con contenido autónomo frente a las normas sustantivas de la Convención Americana. Por lo tanto, la determinación de si las excepciones a la regla de agotamiento de los recursos internos resultan aplicables al caso en cuestión debe llevarse a cabo de manera previa y separada del análisis del fondo del asunto, ya que depende de un estándar de apreciación distinto de aquél utilizado para determinar la posible violación de los artículos 8 y 25 de la Convención.</w:t>
      </w:r>
      <w:bookmarkEnd w:id="2"/>
    </w:p>
    <w:p w14:paraId="673598AF" w14:textId="77777777" w:rsidR="003239B8" w:rsidRPr="00982E15" w:rsidRDefault="003239B8" w:rsidP="000D5960">
      <w:pPr>
        <w:pStyle w:val="ListParagraph"/>
        <w:numPr>
          <w:ilvl w:val="0"/>
          <w:numId w:val="0"/>
        </w:numPr>
        <w:ind w:left="720"/>
        <w:jc w:val="both"/>
        <w:rPr>
          <w:rFonts w:asciiTheme="majorHAnsi" w:hAnsiTheme="majorHAnsi"/>
          <w:b/>
          <w:bCs/>
          <w:sz w:val="20"/>
          <w:szCs w:val="20"/>
          <w:lang w:val="es-ES"/>
        </w:rPr>
      </w:pPr>
      <w:r w:rsidRPr="00982E15">
        <w:rPr>
          <w:rFonts w:asciiTheme="majorHAnsi" w:hAnsiTheme="majorHAnsi"/>
          <w:b/>
          <w:bCs/>
          <w:sz w:val="20"/>
          <w:szCs w:val="20"/>
          <w:lang w:val="es-ES"/>
        </w:rPr>
        <w:t>VII.</w:t>
      </w:r>
      <w:r w:rsidRPr="00982E15">
        <w:rPr>
          <w:rFonts w:asciiTheme="majorHAnsi" w:hAnsiTheme="majorHAnsi"/>
          <w:b/>
          <w:bCs/>
          <w:sz w:val="20"/>
          <w:szCs w:val="20"/>
          <w:lang w:val="es-ES"/>
        </w:rPr>
        <w:tab/>
      </w:r>
      <w:r w:rsidR="004A6A54" w:rsidRPr="00982E15">
        <w:rPr>
          <w:rFonts w:asciiTheme="majorHAnsi" w:hAnsiTheme="majorHAnsi"/>
          <w:b/>
          <w:bCs/>
          <w:sz w:val="20"/>
          <w:szCs w:val="20"/>
          <w:lang w:val="es-ES"/>
        </w:rPr>
        <w:t xml:space="preserve">ANÁLISIS DE </w:t>
      </w:r>
      <w:r w:rsidR="00C21FEF" w:rsidRPr="00982E15">
        <w:rPr>
          <w:rFonts w:asciiTheme="majorHAnsi" w:hAnsiTheme="majorHAnsi"/>
          <w:b/>
          <w:bCs/>
          <w:sz w:val="20"/>
          <w:szCs w:val="20"/>
          <w:lang w:val="es-ES"/>
        </w:rPr>
        <w:t>CARACTERIZACIÓN DE LOS HECHOS ALEGADOS</w:t>
      </w:r>
    </w:p>
    <w:p w14:paraId="2DDF1999" w14:textId="2CFC9F2B" w:rsidR="006E621A" w:rsidRPr="00982E15" w:rsidRDefault="008C5E2D" w:rsidP="000D5960">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982E15">
        <w:rPr>
          <w:sz w:val="20"/>
          <w:szCs w:val="20"/>
          <w:lang w:val="es-ES"/>
        </w:rPr>
        <w:t>La Comisión observa que la presente petición inclu</w:t>
      </w:r>
      <w:r w:rsidR="004B421C" w:rsidRPr="00982E15">
        <w:rPr>
          <w:sz w:val="20"/>
          <w:szCs w:val="20"/>
          <w:lang w:val="es-ES"/>
        </w:rPr>
        <w:t>ye alega</w:t>
      </w:r>
      <w:r w:rsidR="00FD2AA7" w:rsidRPr="00982E15">
        <w:rPr>
          <w:sz w:val="20"/>
          <w:szCs w:val="20"/>
          <w:lang w:val="es-ES"/>
        </w:rPr>
        <w:t>to</w:t>
      </w:r>
      <w:r w:rsidR="004B421C" w:rsidRPr="00982E15">
        <w:rPr>
          <w:sz w:val="20"/>
          <w:szCs w:val="20"/>
          <w:lang w:val="es-ES"/>
        </w:rPr>
        <w:t xml:space="preserve">s con respecto a </w:t>
      </w:r>
      <w:r w:rsidR="00973903" w:rsidRPr="00982E15">
        <w:rPr>
          <w:sz w:val="20"/>
          <w:szCs w:val="20"/>
          <w:lang w:val="es-ES"/>
        </w:rPr>
        <w:t xml:space="preserve">la posible complicidad estatal y la </w:t>
      </w:r>
      <w:r w:rsidR="00EA5447" w:rsidRPr="00982E15">
        <w:rPr>
          <w:sz w:val="20"/>
          <w:szCs w:val="20"/>
          <w:lang w:val="es-ES"/>
        </w:rPr>
        <w:t xml:space="preserve">impunidad que rodea el atentado terrorista contra el avión de Avianca </w:t>
      </w:r>
      <w:r w:rsidR="00490590" w:rsidRPr="00982E15">
        <w:rPr>
          <w:sz w:val="20"/>
          <w:szCs w:val="20"/>
          <w:lang w:val="es-ES"/>
        </w:rPr>
        <w:t>en el que murió el Sr. Arellano Becerra.</w:t>
      </w:r>
      <w:r w:rsidR="00503EFA" w:rsidRPr="00982E15">
        <w:rPr>
          <w:sz w:val="20"/>
          <w:szCs w:val="20"/>
          <w:lang w:val="es-ES"/>
        </w:rPr>
        <w:t xml:space="preserve"> El Estado colombiano asegura que no existen elementos que permitan atribuir este hecho </w:t>
      </w:r>
      <w:r w:rsidR="00503EFA" w:rsidRPr="00982E15">
        <w:rPr>
          <w:i/>
          <w:iCs/>
          <w:sz w:val="20"/>
          <w:szCs w:val="20"/>
          <w:lang w:val="es-ES"/>
        </w:rPr>
        <w:t>prima facie</w:t>
      </w:r>
      <w:r w:rsidR="00503EFA" w:rsidRPr="00982E15">
        <w:rPr>
          <w:sz w:val="20"/>
          <w:szCs w:val="20"/>
          <w:lang w:val="es-ES"/>
        </w:rPr>
        <w:t xml:space="preserve"> a agentes del DAS, o que demuestren complicidad</w:t>
      </w:r>
      <w:r w:rsidR="005E29F3" w:rsidRPr="00982E15">
        <w:rPr>
          <w:sz w:val="20"/>
          <w:szCs w:val="20"/>
          <w:lang w:val="es-ES"/>
        </w:rPr>
        <w:t>,</w:t>
      </w:r>
      <w:r w:rsidR="00503EFA" w:rsidRPr="00982E15">
        <w:rPr>
          <w:sz w:val="20"/>
          <w:szCs w:val="20"/>
          <w:lang w:val="es-ES"/>
        </w:rPr>
        <w:t xml:space="preserve"> o </w:t>
      </w:r>
      <w:r w:rsidR="005E29F3" w:rsidRPr="00982E15">
        <w:rPr>
          <w:sz w:val="20"/>
          <w:szCs w:val="20"/>
          <w:lang w:val="es-ES"/>
        </w:rPr>
        <w:t xml:space="preserve">que </w:t>
      </w:r>
      <w:r w:rsidR="00503EFA" w:rsidRPr="00982E15">
        <w:rPr>
          <w:sz w:val="20"/>
          <w:szCs w:val="20"/>
          <w:lang w:val="es-ES"/>
        </w:rPr>
        <w:t xml:space="preserve">las autoridades </w:t>
      </w:r>
      <w:r w:rsidR="005E29F3" w:rsidRPr="00982E15">
        <w:rPr>
          <w:sz w:val="20"/>
          <w:szCs w:val="20"/>
          <w:lang w:val="es-ES"/>
        </w:rPr>
        <w:t xml:space="preserve">tuvieran la capacidad o el conocimiento para </w:t>
      </w:r>
      <w:r w:rsidR="00503EFA" w:rsidRPr="00982E15">
        <w:rPr>
          <w:sz w:val="20"/>
          <w:szCs w:val="20"/>
          <w:lang w:val="es-ES"/>
        </w:rPr>
        <w:t>prevenir el suceso.</w:t>
      </w:r>
      <w:r w:rsidR="00FE0278" w:rsidRPr="00982E15">
        <w:rPr>
          <w:sz w:val="20"/>
          <w:szCs w:val="20"/>
          <w:lang w:val="es-ES"/>
        </w:rPr>
        <w:t xml:space="preserve"> Con ello, aduce que los cargos resultan manifiestamente infundados, y, por consiguiente, inadmisibles a la luz del artículo 47.c de la Convención.</w:t>
      </w:r>
    </w:p>
    <w:p w14:paraId="6EB7ACE2" w14:textId="3C56FD06" w:rsidR="00697949" w:rsidRPr="00982E15" w:rsidRDefault="00D469B9" w:rsidP="000D5960">
      <w:pPr>
        <w:pStyle w:val="ListParagraph"/>
        <w:numPr>
          <w:ilvl w:val="0"/>
          <w:numId w:val="61"/>
        </w:numPr>
        <w:suppressAutoHyphens/>
        <w:ind w:left="0" w:firstLine="720"/>
        <w:jc w:val="both"/>
        <w:rPr>
          <w:sz w:val="20"/>
          <w:szCs w:val="20"/>
          <w:lang w:val="es-ES"/>
        </w:rPr>
      </w:pPr>
      <w:r w:rsidRPr="00982E15">
        <w:rPr>
          <w:sz w:val="20"/>
          <w:szCs w:val="20"/>
          <w:lang w:val="es-ES"/>
        </w:rPr>
        <w:t xml:space="preserve">La Comisión reitera que el criterio de evaluación de la fase de admisibilidad difiere del que se utiliza para pronunciarse sobre el fondo de una petición; la CIDH debe realizar en esta etapa una evaluación </w:t>
      </w:r>
      <w:r w:rsidRPr="00982E15">
        <w:rPr>
          <w:i/>
          <w:iCs/>
          <w:sz w:val="20"/>
          <w:szCs w:val="20"/>
          <w:lang w:val="es-ES"/>
        </w:rPr>
        <w:t>prima facie</w:t>
      </w:r>
      <w:r w:rsidRPr="00982E15">
        <w:rPr>
          <w:sz w:val="20"/>
          <w:szCs w:val="20"/>
          <w:lang w:val="es-ES"/>
        </w:rPr>
        <w:t xml:space="preserve"> para definir si la petición identifica el fundamento de la violación, posible o potencial, de un derecho garantizado por la Convención, pero no para establecer la existencia de una violación de derechos. Esta determinación sobre la caracterización de violaciones de la Convención Americana constituye un análisis </w:t>
      </w:r>
      <w:r w:rsidRPr="00982E15">
        <w:rPr>
          <w:sz w:val="20"/>
          <w:szCs w:val="20"/>
          <w:lang w:val="es-ES"/>
        </w:rPr>
        <w:lastRenderedPageBreak/>
        <w:t>primario que no implica prejuzgar sobre el fondo del asunto. A los efectos de la admisibilidad, la Comisión debe decidir si los hechos alegados pueden constituir violaciones de derechos, según lo estipulado en el artículo 47.b) de la Convención Americana o si la petición es “manifiestamente infundada” o es “evidente su total improcedencia”, conforme al 47.c) de la Convención Americana.</w:t>
      </w:r>
    </w:p>
    <w:p w14:paraId="2F7BC4AC" w14:textId="648BE801" w:rsidR="00C52AA1" w:rsidRPr="00982E15" w:rsidRDefault="00703719" w:rsidP="000D5960">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982E15">
        <w:rPr>
          <w:sz w:val="20"/>
          <w:szCs w:val="20"/>
          <w:lang w:val="es-ES"/>
        </w:rPr>
        <w:t>La Comisión Interamericana ha estab</w:t>
      </w:r>
      <w:r w:rsidR="001B7C14" w:rsidRPr="00982E15">
        <w:rPr>
          <w:sz w:val="20"/>
          <w:szCs w:val="20"/>
          <w:lang w:val="es-ES"/>
        </w:rPr>
        <w:t>lecido</w:t>
      </w:r>
      <w:r w:rsidR="00C52AA1" w:rsidRPr="00982E15">
        <w:rPr>
          <w:sz w:val="20"/>
          <w:szCs w:val="20"/>
          <w:lang w:val="es-ES"/>
        </w:rPr>
        <w:t xml:space="preserve"> que:</w:t>
      </w:r>
    </w:p>
    <w:p w14:paraId="2D5DEEDD" w14:textId="0EE16C45" w:rsidR="001E6EB6" w:rsidRPr="00982E15" w:rsidRDefault="00C52AA1" w:rsidP="000D5960">
      <w:pPr>
        <w:pStyle w:val="ListParagraph"/>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60" w:right="360"/>
        <w:jc w:val="both"/>
        <w:rPr>
          <w:sz w:val="18"/>
          <w:szCs w:val="18"/>
          <w:lang w:val="es-ES"/>
        </w:rPr>
      </w:pPr>
      <w:r w:rsidRPr="00982E15">
        <w:rPr>
          <w:sz w:val="18"/>
          <w:szCs w:val="18"/>
          <w:lang w:val="es-ES"/>
        </w:rPr>
        <w:t>A</w:t>
      </w:r>
      <w:r w:rsidR="001B7C14" w:rsidRPr="00982E15">
        <w:rPr>
          <w:sz w:val="18"/>
          <w:szCs w:val="18"/>
          <w:lang w:val="es-ES"/>
        </w:rPr>
        <w:t>l definir los parámetros de las obligaciones de los Estados miembros dentro del marco actual del derecho internacional, también debe reconocerse que, hasta el presente, no ha habido consenso internacional en torno a una definición completa del terrorismo dentro del derecho internacional. En el mejor de los casos, como queda reflejado en el artículo 2 de la Convención Interamericana contra el Terrorismo, podría decirse que la comunidad internacional ha identificado ciertos actos de violencia que generalmente considera constituyen formas particulares de terrorismo. Éstos incluyen, por ejemplo, la toma de rehenes</w:t>
      </w:r>
      <w:r w:rsidR="001B7C14" w:rsidRPr="00982E15">
        <w:rPr>
          <w:sz w:val="18"/>
          <w:szCs w:val="18"/>
          <w:vertAlign w:val="superscript"/>
          <w:lang w:val="es-ES"/>
        </w:rPr>
        <w:t> </w:t>
      </w:r>
      <w:r w:rsidR="001B7C14" w:rsidRPr="00982E15">
        <w:rPr>
          <w:sz w:val="18"/>
          <w:szCs w:val="18"/>
          <w:lang w:val="es-ES"/>
        </w:rPr>
        <w:t>y el secuestro y destrucción de aeronaves civiles,</w:t>
      </w:r>
      <w:r w:rsidR="0097121B" w:rsidRPr="00982E15">
        <w:rPr>
          <w:rStyle w:val="FootnoteReference"/>
          <w:sz w:val="18"/>
          <w:szCs w:val="18"/>
          <w:lang w:val="es-ES"/>
        </w:rPr>
        <w:footnoteReference w:id="7"/>
      </w:r>
      <w:r w:rsidR="001B7C14" w:rsidRPr="00982E15">
        <w:rPr>
          <w:sz w:val="18"/>
          <w:szCs w:val="18"/>
          <w:lang w:val="es-ES"/>
        </w:rPr>
        <w:t> los ataques contra la vida, la integridad física o la libertad de personas internacionalmente protegidas, incluyendo los agentes diplomáticos</w:t>
      </w:r>
      <w:r w:rsidR="007F00DC" w:rsidRPr="00982E15">
        <w:rPr>
          <w:sz w:val="18"/>
          <w:szCs w:val="18"/>
          <w:lang w:val="es-ES"/>
        </w:rPr>
        <w:t>,</w:t>
      </w:r>
      <w:r w:rsidR="001B7C14" w:rsidRPr="00982E15">
        <w:rPr>
          <w:sz w:val="18"/>
          <w:szCs w:val="18"/>
          <w:lang w:val="es-ES"/>
        </w:rPr>
        <w:t> y, en el contexto de los conflictos armados, los ac</w:t>
      </w:r>
      <w:r w:rsidR="007F00DC" w:rsidRPr="00982E15">
        <w:rPr>
          <w:sz w:val="18"/>
          <w:szCs w:val="18"/>
          <w:lang w:val="es-ES"/>
        </w:rPr>
        <w:t>to</w:t>
      </w:r>
      <w:r w:rsidR="001B7C14" w:rsidRPr="00982E15">
        <w:rPr>
          <w:sz w:val="18"/>
          <w:szCs w:val="18"/>
          <w:lang w:val="es-ES"/>
        </w:rPr>
        <w:t>s o amenazas de violencia cuyo propósito primordial es sembrar el terror entre la población civil</w:t>
      </w:r>
      <w:r w:rsidR="00F03401" w:rsidRPr="00982E15">
        <w:rPr>
          <w:rStyle w:val="FootnoteReference"/>
          <w:sz w:val="18"/>
          <w:szCs w:val="18"/>
          <w:lang w:val="es-ES"/>
        </w:rPr>
        <w:footnoteReference w:id="8"/>
      </w:r>
      <w:r w:rsidR="0072279C" w:rsidRPr="00982E15">
        <w:rPr>
          <w:sz w:val="18"/>
          <w:szCs w:val="18"/>
          <w:lang w:val="es-ES"/>
        </w:rPr>
        <w:t>.</w:t>
      </w:r>
    </w:p>
    <w:p w14:paraId="28673034" w14:textId="45919A94" w:rsidR="00BB6D93" w:rsidRPr="00982E15" w:rsidRDefault="001E0DAA" w:rsidP="000D5960">
      <w:pPr>
        <w:pStyle w:val="ListParagraph"/>
        <w:numPr>
          <w:ilvl w:val="0"/>
          <w:numId w:val="61"/>
        </w:numPr>
        <w:suppressAutoHyphens/>
        <w:ind w:left="0" w:firstLine="720"/>
        <w:jc w:val="both"/>
        <w:rPr>
          <w:rFonts w:asciiTheme="majorHAnsi" w:hAnsiTheme="majorHAnsi"/>
          <w:color w:val="000000" w:themeColor="text1"/>
          <w:sz w:val="20"/>
          <w:szCs w:val="20"/>
          <w:lang w:val="es-ES"/>
        </w:rPr>
      </w:pPr>
      <w:r w:rsidRPr="00982E15">
        <w:rPr>
          <w:sz w:val="20"/>
          <w:szCs w:val="20"/>
          <w:lang w:val="es-ES"/>
        </w:rPr>
        <w:t>A su turno,</w:t>
      </w:r>
      <w:r w:rsidR="00355ADC" w:rsidRPr="00982E15">
        <w:rPr>
          <w:sz w:val="20"/>
          <w:szCs w:val="20"/>
          <w:lang w:val="es-ES"/>
        </w:rPr>
        <w:t xml:space="preserve"> la Corte </w:t>
      </w:r>
      <w:r w:rsidR="00155DA3" w:rsidRPr="00982E15">
        <w:rPr>
          <w:sz w:val="20"/>
          <w:szCs w:val="20"/>
          <w:lang w:val="es-ES"/>
        </w:rPr>
        <w:t>Interamericana de Derechos Humanos ha precisado</w:t>
      </w:r>
      <w:r w:rsidR="00920E31" w:rsidRPr="00982E15">
        <w:rPr>
          <w:sz w:val="20"/>
          <w:szCs w:val="20"/>
          <w:lang w:val="es-ES"/>
        </w:rPr>
        <w:t xml:space="preserve"> que: </w:t>
      </w:r>
    </w:p>
    <w:p w14:paraId="2B47FF60" w14:textId="22CA1390" w:rsidR="00920E31" w:rsidRPr="00982E15" w:rsidRDefault="00920E31" w:rsidP="000D5960">
      <w:pPr>
        <w:pStyle w:val="ListParagraph"/>
        <w:numPr>
          <w:ilvl w:val="0"/>
          <w:numId w:val="0"/>
        </w:numPr>
        <w:suppressAutoHyphens/>
        <w:ind w:left="360" w:right="360"/>
        <w:jc w:val="both"/>
        <w:rPr>
          <w:rFonts w:asciiTheme="majorHAnsi" w:hAnsiTheme="majorHAnsi"/>
          <w:color w:val="000000" w:themeColor="text1"/>
          <w:sz w:val="18"/>
          <w:szCs w:val="18"/>
          <w:lang w:val="es-ES"/>
        </w:rPr>
      </w:pPr>
      <w:r w:rsidRPr="00982E15">
        <w:rPr>
          <w:rFonts w:asciiTheme="majorHAnsi" w:hAnsiTheme="majorHAnsi"/>
          <w:color w:val="000000" w:themeColor="text1"/>
          <w:sz w:val="18"/>
          <w:szCs w:val="18"/>
          <w:lang w:val="es-ES"/>
        </w:rPr>
        <w:t xml:space="preserve">Existe consenso en el mundo, y en particular en el continente americano, respecto de “la amenaza que el terrorismo representa para los valores democráticos y para la paz y seguridad </w:t>
      </w:r>
      <w:r w:rsidR="008246FB" w:rsidRPr="00982E15">
        <w:rPr>
          <w:rFonts w:asciiTheme="majorHAnsi" w:hAnsiTheme="majorHAnsi"/>
          <w:color w:val="000000" w:themeColor="text1"/>
          <w:sz w:val="18"/>
          <w:szCs w:val="18"/>
          <w:lang w:val="es-ES"/>
        </w:rPr>
        <w:t>internacionales [</w:t>
      </w:r>
      <w:r w:rsidRPr="00982E15">
        <w:rPr>
          <w:rFonts w:asciiTheme="majorHAnsi" w:hAnsiTheme="majorHAnsi"/>
          <w:color w:val="000000" w:themeColor="text1"/>
          <w:sz w:val="18"/>
          <w:szCs w:val="18"/>
          <w:lang w:val="es-ES"/>
        </w:rPr>
        <w:t>, así como para …] el goce de los derechos y libertades fundamentales”. El terrorismo es un fenómeno que pone en peligro los derechos y libertades de las personas que se encuentran bajo la jurisdicción de los Estados Partes en la Convención Americana. Por lo tanto, los artículos 1.1 y 2 de dicha Convención obligan a los Estados Partes a adoptar todas aquellas medidas que resulten adecuadas, necesarias y proporcionales para prevenir y, en su caso, investigar, juzgar y sancionar ese tipo de actos. Según la Convención Interamericana contra el Terrorismo, “la lucha contra el terrorismo debe realizarse con pleno respeto al derecho nacional e internacional, a los derechos humanos y a las instituciones democráticas, para preservar el estado de derecho, las libertades y los valores democráticos en el Hemisferio.</w:t>
      </w:r>
      <w:r w:rsidRPr="00982E15">
        <w:rPr>
          <w:rStyle w:val="FootnoteReference"/>
          <w:rFonts w:asciiTheme="majorHAnsi" w:hAnsiTheme="majorHAnsi"/>
          <w:color w:val="000000" w:themeColor="text1"/>
          <w:sz w:val="18"/>
          <w:szCs w:val="18"/>
          <w:lang w:val="es-ES"/>
        </w:rPr>
        <w:footnoteReference w:id="9"/>
      </w:r>
    </w:p>
    <w:p w14:paraId="5B6C407B" w14:textId="2D4BDEB7" w:rsidR="00226DA0" w:rsidRPr="00982E15" w:rsidRDefault="00226DA0" w:rsidP="000D5960">
      <w:pPr>
        <w:pStyle w:val="ListParagraph"/>
        <w:numPr>
          <w:ilvl w:val="0"/>
          <w:numId w:val="61"/>
        </w:numPr>
        <w:suppressAutoHyphens/>
        <w:ind w:left="0" w:firstLine="720"/>
        <w:jc w:val="both"/>
        <w:rPr>
          <w:rFonts w:asciiTheme="majorHAnsi" w:hAnsiTheme="majorHAnsi"/>
          <w:color w:val="000000" w:themeColor="text1"/>
          <w:sz w:val="20"/>
          <w:szCs w:val="20"/>
          <w:lang w:val="es-ES"/>
        </w:rPr>
      </w:pPr>
      <w:r w:rsidRPr="00982E15">
        <w:rPr>
          <w:sz w:val="20"/>
          <w:szCs w:val="20"/>
          <w:lang w:val="es-ES"/>
        </w:rPr>
        <w:t xml:space="preserve">Sobre el particular, </w:t>
      </w:r>
      <w:r w:rsidR="004B5491" w:rsidRPr="00982E15">
        <w:rPr>
          <w:sz w:val="20"/>
          <w:szCs w:val="20"/>
          <w:lang w:val="es-ES"/>
        </w:rPr>
        <w:t>el</w:t>
      </w:r>
      <w:r w:rsidRPr="00982E15">
        <w:rPr>
          <w:sz w:val="20"/>
          <w:szCs w:val="20"/>
          <w:lang w:val="es-ES"/>
        </w:rPr>
        <w:t xml:space="preserve"> Relatora Especial de Naciones Unidas sobre la promoción y la protección de los derechos humanos y las libertades fundamentales en la lucha contra el terrorismo</w:t>
      </w:r>
      <w:r w:rsidR="004B5491" w:rsidRPr="00982E15">
        <w:rPr>
          <w:sz w:val="20"/>
          <w:szCs w:val="20"/>
          <w:lang w:val="es-ES"/>
        </w:rPr>
        <w:t xml:space="preserve"> destaca que “[l]os instrumentos (internacionales y regionales) de lucha contra el terrorismo protegen implícitamente a las víctimas, al prevenir las amenazas terroristas y proporcionar verdad y justicia mediante el enjuiciamiento de los autores de actos terroristas</w:t>
      </w:r>
      <w:r w:rsidR="004306D5" w:rsidRPr="00982E15">
        <w:rPr>
          <w:sz w:val="20"/>
          <w:szCs w:val="20"/>
          <w:lang w:val="es-ES"/>
        </w:rPr>
        <w:t>”</w:t>
      </w:r>
      <w:r w:rsidR="004B5491" w:rsidRPr="00982E15">
        <w:rPr>
          <w:rStyle w:val="FootnoteReference"/>
          <w:sz w:val="20"/>
          <w:szCs w:val="20"/>
          <w:lang w:val="es-ES"/>
        </w:rPr>
        <w:footnoteReference w:id="10"/>
      </w:r>
      <w:r w:rsidR="005B41B9" w:rsidRPr="00982E15">
        <w:rPr>
          <w:sz w:val="20"/>
          <w:szCs w:val="20"/>
          <w:lang w:val="es-ES"/>
        </w:rPr>
        <w:t>.</w:t>
      </w:r>
    </w:p>
    <w:p w14:paraId="72B73246" w14:textId="767A0641" w:rsidR="00A448D8" w:rsidRPr="00982E15" w:rsidRDefault="006160B2" w:rsidP="000D5960">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982E15">
        <w:rPr>
          <w:sz w:val="20"/>
          <w:szCs w:val="20"/>
          <w:lang w:val="es-ES"/>
        </w:rPr>
        <w:t xml:space="preserve">De igual manera, la CIDH reitera </w:t>
      </w:r>
      <w:r w:rsidR="00DF48D8" w:rsidRPr="00982E15">
        <w:rPr>
          <w:sz w:val="20"/>
          <w:szCs w:val="20"/>
          <w:lang w:val="es-ES"/>
        </w:rPr>
        <w:t xml:space="preserve">que </w:t>
      </w:r>
      <w:r w:rsidR="00314DDA" w:rsidRPr="00982E15">
        <w:rPr>
          <w:sz w:val="20"/>
          <w:szCs w:val="20"/>
          <w:lang w:val="es-ES"/>
        </w:rPr>
        <w:t>los Estados tiene “la obligación de investigar y en su caso juzgar y sancionar a los responsables de violaciones de derechos humanos, se encuentra dentro de las medidas positivas que deben adoptar los Estados para garantizar los derechos reconocidos en la Convención”</w:t>
      </w:r>
      <w:r w:rsidR="00314DDA" w:rsidRPr="00982E15">
        <w:rPr>
          <w:sz w:val="20"/>
          <w:szCs w:val="20"/>
          <w:vertAlign w:val="superscript"/>
          <w:lang w:val="es-ES"/>
        </w:rPr>
        <w:footnoteReference w:id="11"/>
      </w:r>
      <w:r w:rsidR="003B3D0B" w:rsidRPr="00982E15">
        <w:rPr>
          <w:sz w:val="20"/>
          <w:szCs w:val="20"/>
          <w:lang w:val="es-ES"/>
        </w:rPr>
        <w:t xml:space="preserve"> y </w:t>
      </w:r>
      <w:r w:rsidR="009A47A2" w:rsidRPr="00982E15">
        <w:rPr>
          <w:bCs/>
          <w:sz w:val="20"/>
          <w:szCs w:val="20"/>
          <w:lang w:val="es-ES"/>
        </w:rPr>
        <w:t>deben remover todos los obstáculos y mecanismos de hecho y de derecho que mantienen la impunidad</w:t>
      </w:r>
      <w:r w:rsidR="00122DAD" w:rsidRPr="00982E15">
        <w:rPr>
          <w:bCs/>
          <w:sz w:val="20"/>
          <w:szCs w:val="20"/>
          <w:lang w:val="es-ES"/>
        </w:rPr>
        <w:t>,</w:t>
      </w:r>
      <w:r w:rsidR="009A47A2" w:rsidRPr="00982E15">
        <w:rPr>
          <w:bCs/>
          <w:sz w:val="20"/>
          <w:szCs w:val="20"/>
          <w:lang w:val="es-ES"/>
        </w:rPr>
        <w:t xml:space="preserve"> así como utilizar todas las medidas a su alcance para diligenciar el proceso</w:t>
      </w:r>
      <w:r w:rsidR="009A47A2" w:rsidRPr="00982E15">
        <w:rPr>
          <w:bCs/>
          <w:sz w:val="20"/>
          <w:szCs w:val="20"/>
          <w:vertAlign w:val="superscript"/>
          <w:lang w:val="es-ES"/>
        </w:rPr>
        <w:footnoteReference w:id="12"/>
      </w:r>
      <w:r w:rsidR="00314DDA" w:rsidRPr="00982E15">
        <w:rPr>
          <w:sz w:val="20"/>
          <w:szCs w:val="20"/>
          <w:lang w:val="es-ES"/>
        </w:rPr>
        <w:t xml:space="preserve">. </w:t>
      </w:r>
    </w:p>
    <w:p w14:paraId="25982E08" w14:textId="5330FF96" w:rsidR="00305A6C" w:rsidRPr="00982E15" w:rsidRDefault="005B3E84" w:rsidP="000D5960">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982E15">
        <w:rPr>
          <w:sz w:val="20"/>
          <w:szCs w:val="20"/>
          <w:lang w:val="es-ES"/>
        </w:rPr>
        <w:t xml:space="preserve">En el presente caso, y sin entrar a consideraciones propias del examen de fondo, la Comisión observa que los peticionarios alegan </w:t>
      </w:r>
      <w:r w:rsidR="00AB0157" w:rsidRPr="00982E15">
        <w:rPr>
          <w:sz w:val="20"/>
          <w:szCs w:val="20"/>
          <w:lang w:val="es-ES"/>
        </w:rPr>
        <w:t>determinadas circunstancias que vincularían la participación directa o indirecta del aparato estatal en e</w:t>
      </w:r>
      <w:r w:rsidR="007B6A19" w:rsidRPr="00982E15">
        <w:rPr>
          <w:sz w:val="20"/>
          <w:szCs w:val="20"/>
          <w:lang w:val="es-ES"/>
        </w:rPr>
        <w:t>l atentado al vuelo de Avianca de</w:t>
      </w:r>
      <w:r w:rsidR="00E23587" w:rsidRPr="00982E15">
        <w:rPr>
          <w:sz w:val="20"/>
          <w:szCs w:val="20"/>
          <w:lang w:val="es-ES"/>
        </w:rPr>
        <w:t xml:space="preserve"> 27 de noviembre de 1989</w:t>
      </w:r>
      <w:r w:rsidR="007B6A19" w:rsidRPr="00982E15">
        <w:rPr>
          <w:sz w:val="20"/>
          <w:szCs w:val="20"/>
          <w:lang w:val="es-ES"/>
        </w:rPr>
        <w:t xml:space="preserve">, como </w:t>
      </w:r>
      <w:r w:rsidR="00E23587" w:rsidRPr="00982E15">
        <w:rPr>
          <w:sz w:val="20"/>
          <w:szCs w:val="20"/>
          <w:lang w:val="es-ES"/>
        </w:rPr>
        <w:t xml:space="preserve">las </w:t>
      </w:r>
      <w:r w:rsidR="00E23587" w:rsidRPr="00982E15">
        <w:rPr>
          <w:sz w:val="20"/>
          <w:szCs w:val="20"/>
          <w:lang w:val="es-ES"/>
        </w:rPr>
        <w:lastRenderedPageBreak/>
        <w:t>declaraciones de alias “Popeye”, según las cuales, sin la participación de agentes del DAS, no habrían podido ingresar la bomba al vuelo</w:t>
      </w:r>
      <w:r w:rsidR="007B6A19" w:rsidRPr="00982E15">
        <w:rPr>
          <w:sz w:val="20"/>
          <w:szCs w:val="20"/>
          <w:lang w:val="es-ES"/>
        </w:rPr>
        <w:t>. Además,</w:t>
      </w:r>
      <w:r w:rsidR="00305A6C" w:rsidRPr="00982E15">
        <w:rPr>
          <w:sz w:val="20"/>
          <w:szCs w:val="20"/>
          <w:lang w:val="es-ES"/>
        </w:rPr>
        <w:t xml:space="preserve"> el propio Estado informa que la fiscalía ha </w:t>
      </w:r>
      <w:r w:rsidR="00FC642A" w:rsidRPr="00982E15">
        <w:rPr>
          <w:sz w:val="20"/>
          <w:szCs w:val="20"/>
          <w:lang w:val="es-ES"/>
        </w:rPr>
        <w:t>intentado demostrar l</w:t>
      </w:r>
      <w:r w:rsidR="007B6A19" w:rsidRPr="00982E15">
        <w:rPr>
          <w:sz w:val="20"/>
          <w:szCs w:val="20"/>
          <w:lang w:val="es-ES"/>
        </w:rPr>
        <w:t>a</w:t>
      </w:r>
      <w:r w:rsidR="00305A6C" w:rsidRPr="00982E15">
        <w:rPr>
          <w:sz w:val="20"/>
          <w:szCs w:val="20"/>
          <w:lang w:val="es-ES"/>
        </w:rPr>
        <w:t xml:space="preserve"> hipótesis</w:t>
      </w:r>
      <w:r w:rsidR="007B6A19" w:rsidRPr="00982E15">
        <w:rPr>
          <w:sz w:val="20"/>
          <w:szCs w:val="20"/>
          <w:lang w:val="es-ES"/>
        </w:rPr>
        <w:t xml:space="preserve"> </w:t>
      </w:r>
      <w:r w:rsidR="00FC642A" w:rsidRPr="00982E15">
        <w:rPr>
          <w:sz w:val="20"/>
          <w:szCs w:val="20"/>
          <w:lang w:val="es-ES"/>
        </w:rPr>
        <w:t xml:space="preserve">de la participación de agentes estatales </w:t>
      </w:r>
      <w:r w:rsidR="00305A6C" w:rsidRPr="00982E15">
        <w:rPr>
          <w:sz w:val="20"/>
          <w:szCs w:val="20"/>
          <w:lang w:val="es-ES"/>
        </w:rPr>
        <w:t xml:space="preserve">en años recientes, </w:t>
      </w:r>
      <w:r w:rsidR="00FC642A" w:rsidRPr="00982E15">
        <w:rPr>
          <w:sz w:val="20"/>
          <w:szCs w:val="20"/>
          <w:lang w:val="es-ES"/>
        </w:rPr>
        <w:t xml:space="preserve">aunque no ha encontrado elementos </w:t>
      </w:r>
      <w:r w:rsidR="0060759B" w:rsidRPr="00982E15">
        <w:rPr>
          <w:sz w:val="20"/>
          <w:szCs w:val="20"/>
          <w:lang w:val="es-ES"/>
        </w:rPr>
        <w:t>suficientes hasta el momento. Sin embargo</w:t>
      </w:r>
      <w:r w:rsidR="00305A6C" w:rsidRPr="00982E15">
        <w:rPr>
          <w:sz w:val="20"/>
          <w:szCs w:val="20"/>
          <w:lang w:val="es-ES"/>
        </w:rPr>
        <w:t>, no es posible descartar su veracidad, además de que no corresponde examinar la responsabilidad del Estado en fase de admisibilidad.</w:t>
      </w:r>
    </w:p>
    <w:p w14:paraId="2B62E725" w14:textId="3069388C" w:rsidR="00FC4D49" w:rsidRPr="00982E15" w:rsidRDefault="00146A22" w:rsidP="000D5960">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982E15">
        <w:rPr>
          <w:sz w:val="20"/>
          <w:szCs w:val="20"/>
          <w:lang w:val="es-ES"/>
        </w:rPr>
        <w:t>Adicionalmente</w:t>
      </w:r>
      <w:r w:rsidR="003B3D0B" w:rsidRPr="00982E15">
        <w:rPr>
          <w:sz w:val="20"/>
          <w:szCs w:val="20"/>
          <w:lang w:val="es-ES"/>
        </w:rPr>
        <w:t>,</w:t>
      </w:r>
      <w:r w:rsidR="0060759B" w:rsidRPr="00982E15">
        <w:rPr>
          <w:sz w:val="20"/>
          <w:szCs w:val="20"/>
          <w:lang w:val="es-ES"/>
        </w:rPr>
        <w:t xml:space="preserve"> en lo concerniente al deber estatal de investigar, juzgar y sancionar las graves violaciones de derechos humanos,</w:t>
      </w:r>
      <w:r w:rsidR="003B3D0B" w:rsidRPr="00982E15">
        <w:rPr>
          <w:sz w:val="20"/>
          <w:szCs w:val="20"/>
          <w:lang w:val="es-ES"/>
        </w:rPr>
        <w:t xml:space="preserve"> </w:t>
      </w:r>
      <w:r w:rsidR="009A47A2" w:rsidRPr="00982E15">
        <w:rPr>
          <w:sz w:val="20"/>
          <w:szCs w:val="20"/>
          <w:lang w:val="es-ES"/>
        </w:rPr>
        <w:t xml:space="preserve">la Comisión advierte que la </w:t>
      </w:r>
      <w:r w:rsidR="0058079D" w:rsidRPr="00982E15">
        <w:rPr>
          <w:sz w:val="20"/>
          <w:szCs w:val="20"/>
          <w:lang w:val="es-ES"/>
        </w:rPr>
        <w:t xml:space="preserve">parte peticionaria cuestiona la aplicación de </w:t>
      </w:r>
      <w:r w:rsidR="009A47A2" w:rsidRPr="00982E15">
        <w:rPr>
          <w:sz w:val="20"/>
          <w:szCs w:val="20"/>
          <w:lang w:val="es-ES"/>
        </w:rPr>
        <w:t xml:space="preserve">beneficios por colaboración con la justicia de 11 implicados, </w:t>
      </w:r>
      <w:r w:rsidR="0058079D" w:rsidRPr="00982E15">
        <w:rPr>
          <w:sz w:val="20"/>
          <w:szCs w:val="20"/>
          <w:lang w:val="es-ES"/>
        </w:rPr>
        <w:t>bajo el Decreto 1833/92</w:t>
      </w:r>
      <w:r w:rsidR="00EC1F34" w:rsidRPr="00982E15">
        <w:rPr>
          <w:sz w:val="20"/>
          <w:szCs w:val="20"/>
          <w:lang w:val="es-ES"/>
        </w:rPr>
        <w:t xml:space="preserve">, puesto que no se evidenciaría que </w:t>
      </w:r>
      <w:r w:rsidR="008F4CA4" w:rsidRPr="00982E15">
        <w:rPr>
          <w:sz w:val="20"/>
          <w:szCs w:val="20"/>
          <w:lang w:val="es-ES"/>
        </w:rPr>
        <w:t xml:space="preserve">sus declaraciones hayan sumado a esclarecer los sucesos, </w:t>
      </w:r>
      <w:r w:rsidR="008F4F69" w:rsidRPr="00982E15">
        <w:rPr>
          <w:sz w:val="20"/>
          <w:szCs w:val="20"/>
          <w:lang w:val="es-ES"/>
        </w:rPr>
        <w:t>y, con est</w:t>
      </w:r>
      <w:r w:rsidR="008F4CA4" w:rsidRPr="00982E15">
        <w:rPr>
          <w:sz w:val="20"/>
          <w:szCs w:val="20"/>
          <w:lang w:val="es-ES"/>
        </w:rPr>
        <w:t>o</w:t>
      </w:r>
      <w:r w:rsidR="008F4F69" w:rsidRPr="00982E15">
        <w:rPr>
          <w:sz w:val="20"/>
          <w:szCs w:val="20"/>
          <w:lang w:val="es-ES"/>
        </w:rPr>
        <w:t>,</w:t>
      </w:r>
      <w:r w:rsidR="008F4CA4" w:rsidRPr="00982E15">
        <w:rPr>
          <w:sz w:val="20"/>
          <w:szCs w:val="20"/>
          <w:lang w:val="es-ES"/>
        </w:rPr>
        <w:t xml:space="preserve"> no </w:t>
      </w:r>
      <w:r w:rsidR="008F4F69" w:rsidRPr="00982E15">
        <w:rPr>
          <w:sz w:val="20"/>
          <w:szCs w:val="20"/>
          <w:lang w:val="es-ES"/>
        </w:rPr>
        <w:t xml:space="preserve">se </w:t>
      </w:r>
      <w:r w:rsidR="008F4CA4" w:rsidRPr="00982E15">
        <w:rPr>
          <w:sz w:val="20"/>
          <w:szCs w:val="20"/>
          <w:lang w:val="es-ES"/>
        </w:rPr>
        <w:t>justificaría</w:t>
      </w:r>
      <w:r w:rsidR="008F4F69" w:rsidRPr="00982E15">
        <w:rPr>
          <w:sz w:val="20"/>
          <w:szCs w:val="20"/>
          <w:lang w:val="es-ES"/>
        </w:rPr>
        <w:t>n</w:t>
      </w:r>
      <w:r w:rsidR="008F4CA4" w:rsidRPr="00982E15">
        <w:rPr>
          <w:sz w:val="20"/>
          <w:szCs w:val="20"/>
          <w:lang w:val="es-ES"/>
        </w:rPr>
        <w:t xml:space="preserve"> los beneficios recibidos que </w:t>
      </w:r>
      <w:r w:rsidR="00AF689E" w:rsidRPr="00982E15">
        <w:rPr>
          <w:sz w:val="20"/>
          <w:szCs w:val="20"/>
          <w:lang w:val="es-ES"/>
        </w:rPr>
        <w:t>implicaron que no fuer</w:t>
      </w:r>
      <w:r w:rsidR="008F4F69" w:rsidRPr="00982E15">
        <w:rPr>
          <w:sz w:val="20"/>
          <w:szCs w:val="20"/>
          <w:lang w:val="es-ES"/>
        </w:rPr>
        <w:t>a</w:t>
      </w:r>
      <w:r w:rsidR="00AF689E" w:rsidRPr="00982E15">
        <w:rPr>
          <w:sz w:val="20"/>
          <w:szCs w:val="20"/>
          <w:lang w:val="es-ES"/>
        </w:rPr>
        <w:t>n sometidos a acusación ni a juicio. Estos alegatos</w:t>
      </w:r>
      <w:r w:rsidR="0058079D" w:rsidRPr="00982E15">
        <w:rPr>
          <w:sz w:val="20"/>
          <w:szCs w:val="20"/>
          <w:lang w:val="es-ES"/>
        </w:rPr>
        <w:t xml:space="preserve"> </w:t>
      </w:r>
      <w:r w:rsidR="009A47A2" w:rsidRPr="00982E15">
        <w:rPr>
          <w:sz w:val="20"/>
          <w:szCs w:val="20"/>
          <w:lang w:val="es-ES"/>
        </w:rPr>
        <w:t xml:space="preserve">requieren de un estudio de fondo a fin de verificar que </w:t>
      </w:r>
      <w:r w:rsidR="00AF689E" w:rsidRPr="00982E15">
        <w:rPr>
          <w:sz w:val="20"/>
          <w:szCs w:val="20"/>
          <w:lang w:val="es-ES"/>
        </w:rPr>
        <w:t xml:space="preserve">la aplicación de beneficios </w:t>
      </w:r>
      <w:r w:rsidR="009A47A2" w:rsidRPr="00982E15">
        <w:rPr>
          <w:sz w:val="20"/>
          <w:szCs w:val="20"/>
          <w:lang w:val="es-ES"/>
        </w:rPr>
        <w:t xml:space="preserve">no </w:t>
      </w:r>
      <w:r w:rsidR="00AF689E" w:rsidRPr="00982E15">
        <w:rPr>
          <w:sz w:val="20"/>
          <w:szCs w:val="20"/>
          <w:lang w:val="es-ES"/>
        </w:rPr>
        <w:t xml:space="preserve">haya </w:t>
      </w:r>
      <w:r w:rsidR="009A47A2" w:rsidRPr="00982E15">
        <w:rPr>
          <w:sz w:val="20"/>
          <w:szCs w:val="20"/>
          <w:lang w:val="es-ES"/>
        </w:rPr>
        <w:t>constitu</w:t>
      </w:r>
      <w:r w:rsidR="00AF689E" w:rsidRPr="00982E15">
        <w:rPr>
          <w:sz w:val="20"/>
          <w:szCs w:val="20"/>
          <w:lang w:val="es-ES"/>
        </w:rPr>
        <w:t>ido</w:t>
      </w:r>
      <w:r w:rsidR="009A47A2" w:rsidRPr="00982E15">
        <w:rPr>
          <w:sz w:val="20"/>
          <w:szCs w:val="20"/>
          <w:lang w:val="es-ES"/>
        </w:rPr>
        <w:t xml:space="preserve"> </w:t>
      </w:r>
      <w:r w:rsidR="00AF689E" w:rsidRPr="00982E15">
        <w:rPr>
          <w:sz w:val="20"/>
          <w:szCs w:val="20"/>
          <w:lang w:val="es-ES"/>
        </w:rPr>
        <w:t xml:space="preserve">un </w:t>
      </w:r>
      <w:r w:rsidR="009A47A2" w:rsidRPr="00982E15">
        <w:rPr>
          <w:sz w:val="20"/>
          <w:szCs w:val="20"/>
          <w:lang w:val="es-ES"/>
        </w:rPr>
        <w:t xml:space="preserve">obstáculo de acceso a la justicia </w:t>
      </w:r>
      <w:r w:rsidR="00AE2083" w:rsidRPr="00982E15">
        <w:rPr>
          <w:sz w:val="20"/>
          <w:szCs w:val="20"/>
          <w:lang w:val="es-ES"/>
        </w:rPr>
        <w:t xml:space="preserve">y de examinar su compatibilidad </w:t>
      </w:r>
      <w:r w:rsidR="004E70FB" w:rsidRPr="00982E15">
        <w:rPr>
          <w:sz w:val="20"/>
          <w:szCs w:val="20"/>
          <w:lang w:val="es-ES"/>
        </w:rPr>
        <w:t>con las obligaciones derivadas de los artículos 8 y 25 de la Convención Americana.</w:t>
      </w:r>
    </w:p>
    <w:p w14:paraId="35CD31D6" w14:textId="29BF4FBE" w:rsidR="006E621A" w:rsidRPr="00982E15" w:rsidRDefault="008C5E2D" w:rsidP="000D5960">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982E15">
        <w:rPr>
          <w:sz w:val="20"/>
          <w:szCs w:val="20"/>
          <w:lang w:val="es-ES"/>
        </w:rPr>
        <w:t>En aten</w:t>
      </w:r>
      <w:r w:rsidR="00C25ADB" w:rsidRPr="00982E15">
        <w:rPr>
          <w:sz w:val="20"/>
          <w:szCs w:val="20"/>
          <w:lang w:val="es-ES"/>
        </w:rPr>
        <w:t xml:space="preserve">ción a estas consideraciones y </w:t>
      </w:r>
      <w:r w:rsidRPr="00982E15">
        <w:rPr>
          <w:sz w:val="20"/>
          <w:szCs w:val="20"/>
          <w:lang w:val="es-ES"/>
        </w:rPr>
        <w:t>tras examinar los elementos de hecho y de derecho expuestos por las partes la Comisión estima que las alegaciones de la parte peticionaria no resultan manifiestamente infundadas y requieren un estudio de fondo</w:t>
      </w:r>
      <w:r w:rsidR="00394073" w:rsidRPr="00982E15">
        <w:rPr>
          <w:sz w:val="20"/>
          <w:szCs w:val="20"/>
          <w:lang w:val="es-ES"/>
        </w:rPr>
        <w:t>;</w:t>
      </w:r>
      <w:r w:rsidRPr="00982E15">
        <w:rPr>
          <w:sz w:val="20"/>
          <w:szCs w:val="20"/>
          <w:lang w:val="es-ES"/>
        </w:rPr>
        <w:t xml:space="preserve"> pues los hechos alegados, de corroborarse como ciertos</w:t>
      </w:r>
      <w:r w:rsidR="00394073" w:rsidRPr="00982E15">
        <w:rPr>
          <w:sz w:val="20"/>
          <w:szCs w:val="20"/>
          <w:lang w:val="es-ES"/>
        </w:rPr>
        <w:t>,</w:t>
      </w:r>
      <w:r w:rsidRPr="00982E15">
        <w:rPr>
          <w:sz w:val="20"/>
          <w:szCs w:val="20"/>
          <w:lang w:val="es-ES"/>
        </w:rPr>
        <w:t xml:space="preserve"> podrían caracteri</w:t>
      </w:r>
      <w:r w:rsidR="004B421C" w:rsidRPr="00982E15">
        <w:rPr>
          <w:sz w:val="20"/>
          <w:szCs w:val="20"/>
          <w:lang w:val="es-ES"/>
        </w:rPr>
        <w:t>zar violaciones a los artículos</w:t>
      </w:r>
      <w:r w:rsidR="00394073" w:rsidRPr="00982E15">
        <w:rPr>
          <w:sz w:val="20"/>
          <w:szCs w:val="20"/>
          <w:lang w:val="es-ES"/>
        </w:rPr>
        <w:t xml:space="preserve"> </w:t>
      </w:r>
      <w:r w:rsidR="0018600A" w:rsidRPr="00982E15">
        <w:rPr>
          <w:bCs/>
          <w:sz w:val="20"/>
          <w:szCs w:val="20"/>
          <w:lang w:val="es-ES"/>
        </w:rPr>
        <w:t xml:space="preserve">4 (vida), 5 (integridad personal), 8 (garantías judiciales) y 25 (protección judicial) de la Convención Americana </w:t>
      </w:r>
      <w:r w:rsidR="00394073" w:rsidRPr="00982E15">
        <w:rPr>
          <w:sz w:val="20"/>
          <w:szCs w:val="20"/>
          <w:lang w:val="es-ES"/>
        </w:rPr>
        <w:t xml:space="preserve">en perjuicio de </w:t>
      </w:r>
      <w:r w:rsidR="0018600A" w:rsidRPr="00982E15">
        <w:rPr>
          <w:bCs/>
          <w:sz w:val="20"/>
          <w:szCs w:val="20"/>
          <w:lang w:val="es-ES"/>
        </w:rPr>
        <w:t>Gerardo María Arellano Becerra, Federico Arellano Mendoza y Claudia Patricia Mendoza Serrat</w:t>
      </w:r>
      <w:r w:rsidR="00394073" w:rsidRPr="00982E15">
        <w:rPr>
          <w:sz w:val="20"/>
          <w:szCs w:val="20"/>
          <w:lang w:val="es-ES"/>
        </w:rPr>
        <w:t xml:space="preserve"> en los términos del presente informe.</w:t>
      </w:r>
    </w:p>
    <w:p w14:paraId="445BF42E" w14:textId="77777777" w:rsidR="003239B8" w:rsidRPr="00982E15" w:rsidRDefault="003239B8" w:rsidP="000D5960">
      <w:pPr>
        <w:pStyle w:val="ListParagraph"/>
        <w:numPr>
          <w:ilvl w:val="0"/>
          <w:numId w:val="0"/>
        </w:numPr>
        <w:ind w:left="720"/>
        <w:jc w:val="both"/>
        <w:rPr>
          <w:rFonts w:asciiTheme="majorHAnsi" w:hAnsiTheme="majorHAnsi"/>
          <w:b/>
          <w:bCs/>
          <w:sz w:val="20"/>
          <w:szCs w:val="20"/>
          <w:lang w:val="es-ES"/>
        </w:rPr>
      </w:pPr>
      <w:r w:rsidRPr="00982E15">
        <w:rPr>
          <w:rFonts w:asciiTheme="majorHAnsi" w:hAnsiTheme="majorHAnsi"/>
          <w:b/>
          <w:bCs/>
          <w:sz w:val="20"/>
          <w:szCs w:val="20"/>
          <w:lang w:val="es-ES"/>
        </w:rPr>
        <w:t xml:space="preserve">VIII. </w:t>
      </w:r>
      <w:r w:rsidRPr="00982E15">
        <w:rPr>
          <w:rFonts w:asciiTheme="majorHAnsi" w:hAnsiTheme="majorHAnsi"/>
          <w:b/>
          <w:bCs/>
          <w:sz w:val="20"/>
          <w:szCs w:val="20"/>
          <w:lang w:val="es-ES"/>
        </w:rPr>
        <w:tab/>
        <w:t>DECISIÓN</w:t>
      </w:r>
    </w:p>
    <w:p w14:paraId="16B36F97" w14:textId="0F968CFE" w:rsidR="003239B8" w:rsidRPr="00982E15" w:rsidRDefault="003239B8" w:rsidP="000D5960">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982E15">
        <w:rPr>
          <w:rFonts w:asciiTheme="majorHAnsi" w:hAnsiTheme="majorHAnsi"/>
          <w:sz w:val="20"/>
          <w:szCs w:val="20"/>
          <w:lang w:val="es-ES"/>
        </w:rPr>
        <w:t>Declarar admisible la presente petición en relación con</w:t>
      </w:r>
      <w:r w:rsidR="001D7F96" w:rsidRPr="00982E15">
        <w:rPr>
          <w:rFonts w:asciiTheme="majorHAnsi" w:hAnsiTheme="majorHAnsi"/>
          <w:sz w:val="20"/>
          <w:szCs w:val="20"/>
          <w:lang w:val="es-ES"/>
        </w:rPr>
        <w:t xml:space="preserve"> </w:t>
      </w:r>
      <w:r w:rsidR="0018600A" w:rsidRPr="00982E15">
        <w:rPr>
          <w:rFonts w:asciiTheme="majorHAnsi" w:hAnsiTheme="majorHAnsi"/>
          <w:sz w:val="20"/>
          <w:szCs w:val="20"/>
          <w:lang w:val="es-ES"/>
        </w:rPr>
        <w:t>los artículos 4, 5, 8 y 25 de la Convención en concordancia con su artículo 1.1</w:t>
      </w:r>
      <w:r w:rsidR="00A758AA" w:rsidRPr="00982E15">
        <w:rPr>
          <w:rFonts w:asciiTheme="majorHAnsi" w:hAnsiTheme="majorHAnsi"/>
          <w:sz w:val="20"/>
          <w:szCs w:val="20"/>
          <w:lang w:val="es-ES"/>
        </w:rPr>
        <w:t>;</w:t>
      </w:r>
      <w:r w:rsidR="007B76D3" w:rsidRPr="00982E15">
        <w:rPr>
          <w:rFonts w:asciiTheme="majorHAnsi" w:hAnsiTheme="majorHAnsi"/>
          <w:sz w:val="20"/>
          <w:szCs w:val="20"/>
          <w:lang w:val="es-ES"/>
        </w:rPr>
        <w:t xml:space="preserve"> y</w:t>
      </w:r>
    </w:p>
    <w:p w14:paraId="02C904B2" w14:textId="7C4CFC16" w:rsidR="009A56CE" w:rsidRDefault="004A6A54" w:rsidP="000D5960">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lang w:val="es-ES"/>
        </w:rPr>
      </w:pPr>
      <w:r w:rsidRPr="00982E15">
        <w:rPr>
          <w:rFonts w:asciiTheme="majorHAnsi" w:hAnsiTheme="majorHAnsi"/>
          <w:sz w:val="20"/>
          <w:szCs w:val="20"/>
          <w:lang w:val="es-ES"/>
        </w:rPr>
        <w:t xml:space="preserve">Notificar a las partes la presente decisión; </w:t>
      </w:r>
      <w:r w:rsidRPr="00982E15">
        <w:rPr>
          <w:rFonts w:asciiTheme="majorHAnsi" w:hAnsiTheme="majorHAnsi"/>
          <w:color w:val="auto"/>
          <w:sz w:val="20"/>
          <w:szCs w:val="20"/>
          <w:lang w:val="es-ES"/>
        </w:rPr>
        <w:t>continuar con el análisis del fondo de la cuestión</w:t>
      </w:r>
      <w:r w:rsidRPr="00982E15">
        <w:rPr>
          <w:rFonts w:asciiTheme="majorHAnsi" w:hAnsiTheme="majorHAnsi"/>
          <w:sz w:val="20"/>
          <w:szCs w:val="20"/>
          <w:lang w:val="es-ES"/>
        </w:rPr>
        <w:t>; y publicar esta decisión e incluirla en su Informe Anual a la Asamblea General de la Organización de los Estados Americanos.</w:t>
      </w:r>
    </w:p>
    <w:p w14:paraId="692E2EC9" w14:textId="33201912" w:rsidR="00AC57D8" w:rsidRPr="00AC57D8" w:rsidRDefault="00354FE4" w:rsidP="00AC57D8">
      <w:pPr>
        <w:suppressAutoHyphens/>
        <w:ind w:firstLine="720"/>
        <w:jc w:val="both"/>
        <w:rPr>
          <w:rFonts w:ascii="Segoe UI" w:hAnsi="Segoe UI" w:cs="Segoe UI"/>
          <w:sz w:val="18"/>
          <w:szCs w:val="18"/>
          <w:lang w:val="es-ES"/>
        </w:rPr>
      </w:pPr>
      <w:r w:rsidRPr="00354FE4">
        <w:rPr>
          <w:rStyle w:val="normaltextrun"/>
          <w:rFonts w:ascii="Cambria" w:hAnsi="Cambria" w:cs="Segoe UI"/>
          <w:sz w:val="20"/>
          <w:szCs w:val="20"/>
          <w:lang w:val="es-CL"/>
        </w:rPr>
        <w:t>Aprobado por la Comisión Interamericana</w:t>
      </w:r>
      <w:r w:rsidRPr="00495D9F">
        <w:rPr>
          <w:rStyle w:val="normaltextrun"/>
          <w:rFonts w:ascii="Cambria" w:hAnsi="Cambria" w:cs="Segoe UI"/>
          <w:sz w:val="20"/>
          <w:szCs w:val="20"/>
          <w:lang w:val="es-CL"/>
        </w:rPr>
        <w:t xml:space="preserve"> de Derechos Humanos a los </w:t>
      </w:r>
      <w:r w:rsidR="00495D9F" w:rsidRPr="00495D9F">
        <w:rPr>
          <w:rStyle w:val="normaltextrun"/>
          <w:rFonts w:ascii="Cambria" w:hAnsi="Cambria" w:cs="Segoe UI"/>
          <w:sz w:val="20"/>
          <w:szCs w:val="20"/>
          <w:lang w:val="es-CL"/>
        </w:rPr>
        <w:t>14</w:t>
      </w:r>
      <w:r w:rsidRPr="00495D9F">
        <w:rPr>
          <w:rStyle w:val="normaltextrun"/>
          <w:rFonts w:ascii="Cambria" w:hAnsi="Cambria" w:cs="Segoe UI"/>
          <w:sz w:val="20"/>
          <w:szCs w:val="20"/>
          <w:lang w:val="es-CL"/>
        </w:rPr>
        <w:t xml:space="preserve"> días del mes de </w:t>
      </w:r>
      <w:r w:rsidR="00495D9F" w:rsidRPr="00495D9F">
        <w:rPr>
          <w:rStyle w:val="normaltextrun"/>
          <w:rFonts w:ascii="Cambria" w:hAnsi="Cambria" w:cs="Segoe UI"/>
          <w:sz w:val="20"/>
          <w:szCs w:val="20"/>
          <w:lang w:val="es-CL"/>
        </w:rPr>
        <w:t>octubre</w:t>
      </w:r>
      <w:r w:rsidRPr="00495D9F">
        <w:rPr>
          <w:rStyle w:val="normaltextrun"/>
          <w:rFonts w:ascii="Cambria" w:hAnsi="Cambria" w:cs="Segoe UI"/>
          <w:sz w:val="20"/>
          <w:szCs w:val="20"/>
          <w:lang w:val="es-CL"/>
        </w:rPr>
        <w:t xml:space="preserve"> de 20</w:t>
      </w:r>
      <w:r w:rsidR="00495D9F" w:rsidRPr="00495D9F">
        <w:rPr>
          <w:rStyle w:val="normaltextrun"/>
          <w:rFonts w:ascii="Cambria" w:hAnsi="Cambria" w:cs="Segoe UI"/>
          <w:sz w:val="20"/>
          <w:szCs w:val="20"/>
          <w:lang w:val="es-CL"/>
        </w:rPr>
        <w:t>25</w:t>
      </w:r>
      <w:r w:rsidRPr="00495D9F">
        <w:rPr>
          <w:rStyle w:val="normaltextrun"/>
          <w:rFonts w:ascii="Cambria" w:hAnsi="Cambria" w:cs="Segoe UI"/>
          <w:sz w:val="20"/>
          <w:szCs w:val="20"/>
          <w:lang w:val="es-CL"/>
        </w:rPr>
        <w:t>.  (Firmado): José Luis Caballero Ochoa, Presidente; Arif Bulkan, Segundo Vicepresidente; Roberta Clarke</w:t>
      </w:r>
      <w:r w:rsidR="00495D9F" w:rsidRPr="00495D9F">
        <w:rPr>
          <w:rStyle w:val="normaltextrun"/>
          <w:rFonts w:ascii="Cambria" w:hAnsi="Cambria" w:cs="Segoe UI"/>
          <w:sz w:val="20"/>
          <w:szCs w:val="20"/>
          <w:lang w:val="es-CL"/>
        </w:rPr>
        <w:t xml:space="preserve"> </w:t>
      </w:r>
      <w:r w:rsidRPr="00495D9F">
        <w:rPr>
          <w:rStyle w:val="normaltextrun"/>
          <w:rFonts w:ascii="Cambria" w:hAnsi="Cambria" w:cs="Segoe UI"/>
          <w:sz w:val="20"/>
          <w:szCs w:val="20"/>
          <w:lang w:val="es-CL"/>
        </w:rPr>
        <w:t xml:space="preserve">y Gloria Monique de Mees, </w:t>
      </w:r>
      <w:r w:rsidR="00AC57D8">
        <w:rPr>
          <w:rStyle w:val="normaltextrun"/>
          <w:rFonts w:ascii="Cambria" w:hAnsi="Cambria" w:cs="Segoe UI"/>
          <w:sz w:val="20"/>
          <w:szCs w:val="20"/>
          <w:lang w:val="es-CL"/>
        </w:rPr>
        <w:t>m</w:t>
      </w:r>
      <w:r w:rsidRPr="00495D9F">
        <w:rPr>
          <w:rStyle w:val="normaltextrun"/>
          <w:rFonts w:ascii="Cambria" w:hAnsi="Cambria" w:cs="Segoe UI"/>
          <w:sz w:val="20"/>
          <w:szCs w:val="20"/>
          <w:lang w:val="es-CL"/>
        </w:rPr>
        <w:t>iembros de la Comisión.</w:t>
      </w:r>
    </w:p>
    <w:p w14:paraId="59F3FE50" w14:textId="2CB722FE" w:rsidR="00354FE4" w:rsidRPr="00982E15" w:rsidRDefault="00354FE4" w:rsidP="00242F05">
      <w:pPr>
        <w:pStyle w:val="paragraph"/>
        <w:spacing w:before="0" w:beforeAutospacing="0" w:after="0" w:afterAutospacing="0"/>
        <w:jc w:val="center"/>
        <w:textAlignment w:val="baseline"/>
        <w:rPr>
          <w:rFonts w:asciiTheme="majorHAnsi" w:hAnsiTheme="majorHAnsi"/>
          <w:sz w:val="20"/>
          <w:szCs w:val="20"/>
          <w:lang w:val="es-ES"/>
        </w:rPr>
      </w:pPr>
    </w:p>
    <w:sectPr w:rsidR="00354FE4" w:rsidRPr="00982E15"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CC0C6" w14:textId="77777777" w:rsidR="00954888" w:rsidRDefault="00954888">
      <w:r>
        <w:separator/>
      </w:r>
    </w:p>
  </w:endnote>
  <w:endnote w:type="continuationSeparator" w:id="0">
    <w:p w14:paraId="5234D307" w14:textId="77777777" w:rsidR="00954888" w:rsidRDefault="00954888">
      <w:r>
        <w:continuationSeparator/>
      </w:r>
    </w:p>
  </w:endnote>
  <w:endnote w:type="continuationNotice" w:id="1">
    <w:p w14:paraId="79B4A171" w14:textId="77777777" w:rsidR="00954888" w:rsidRDefault="009548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0460E969" w14:textId="7777777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BD0FF5">
          <w:rPr>
            <w:noProof/>
            <w:sz w:val="16"/>
            <w:szCs w:val="22"/>
          </w:rPr>
          <w:t>2</w:t>
        </w:r>
        <w:r w:rsidRPr="00934A2C">
          <w:rPr>
            <w:noProof/>
            <w:sz w:val="16"/>
            <w:szCs w:val="22"/>
          </w:rPr>
          <w:fldChar w:fldCharType="end"/>
        </w:r>
      </w:p>
    </w:sdtContent>
  </w:sdt>
  <w:p w14:paraId="14E72376"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0711" w14:textId="77777777" w:rsidR="0070697F" w:rsidRPr="00934A2C" w:rsidRDefault="0070697F">
    <w:pPr>
      <w:pStyle w:val="Footer"/>
      <w:jc w:val="center"/>
      <w:rPr>
        <w:sz w:val="16"/>
        <w:szCs w:val="22"/>
      </w:rPr>
    </w:pPr>
  </w:p>
  <w:p w14:paraId="46DFE2DB"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D830D" w14:textId="77777777" w:rsidR="00954888" w:rsidRPr="000F35ED" w:rsidRDefault="00954888">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7D6CF568" w14:textId="77777777" w:rsidR="00954888" w:rsidRPr="000F35ED" w:rsidRDefault="00954888" w:rsidP="000F35ED">
      <w:pPr>
        <w:rPr>
          <w:rFonts w:asciiTheme="majorHAnsi" w:hAnsiTheme="majorHAnsi"/>
          <w:sz w:val="16"/>
          <w:szCs w:val="16"/>
        </w:rPr>
      </w:pPr>
      <w:r w:rsidRPr="000F35ED">
        <w:rPr>
          <w:rFonts w:asciiTheme="majorHAnsi" w:hAnsiTheme="majorHAnsi"/>
          <w:sz w:val="16"/>
          <w:szCs w:val="16"/>
        </w:rPr>
        <w:separator/>
      </w:r>
    </w:p>
    <w:p w14:paraId="580F9B7A" w14:textId="77777777" w:rsidR="00954888" w:rsidRPr="000F35ED" w:rsidRDefault="00954888"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6711D60B" w14:textId="77777777" w:rsidR="00954888" w:rsidRPr="000F35ED" w:rsidRDefault="00954888"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66E930B8" w14:textId="2D46C478" w:rsidR="004A6A54" w:rsidRPr="00306F33" w:rsidRDefault="004A6A54" w:rsidP="009901FF">
      <w:pPr>
        <w:pStyle w:val="Notasalpie"/>
      </w:pPr>
      <w:r w:rsidRPr="00306F33">
        <w:rPr>
          <w:rStyle w:val="FootnoteReference"/>
        </w:rPr>
        <w:footnoteRef/>
      </w:r>
      <w:r w:rsidRPr="00306F33">
        <w:t xml:space="preserve"> Conforme a lo dispuesto en el artículo 17.2.a del Reglamento de la Comisión, el Comisionado </w:t>
      </w:r>
      <w:r w:rsidR="005128B5">
        <w:t>Carlos Bernal Pulido</w:t>
      </w:r>
      <w:r w:rsidRPr="00306F33">
        <w:t xml:space="preserve">, de nacionalidad </w:t>
      </w:r>
      <w:r w:rsidR="005128B5">
        <w:t>colombiana</w:t>
      </w:r>
      <w:r w:rsidRPr="00306F33">
        <w:t>, no participó en el debate ni en la decisión del presente asunto.</w:t>
      </w:r>
    </w:p>
  </w:footnote>
  <w:footnote w:id="3">
    <w:p w14:paraId="68BA293E" w14:textId="1AC3AEEF" w:rsidR="004F23EF" w:rsidRPr="004F23EF" w:rsidRDefault="004F23EF" w:rsidP="004F23EF">
      <w:pPr>
        <w:pStyle w:val="Notasalpie"/>
      </w:pPr>
      <w:r>
        <w:rPr>
          <w:rStyle w:val="FootnoteReference"/>
        </w:rPr>
        <w:footnoteRef/>
      </w:r>
      <w:r w:rsidRPr="004F23EF">
        <w:t xml:space="preserve"> </w:t>
      </w:r>
      <w:r>
        <w:t>En adelante “la Convención Americana” o “la Convención”.</w:t>
      </w:r>
    </w:p>
  </w:footnote>
  <w:footnote w:id="4">
    <w:p w14:paraId="1AFEF3B0" w14:textId="6011FAF8" w:rsidR="008E3BFE" w:rsidRPr="00306F33" w:rsidRDefault="008E3BFE" w:rsidP="00306F33">
      <w:pPr>
        <w:pStyle w:val="FootnoteText"/>
        <w:ind w:firstLine="720"/>
        <w:jc w:val="both"/>
        <w:rPr>
          <w:rFonts w:asciiTheme="majorHAnsi" w:hAnsiTheme="majorHAnsi"/>
          <w:sz w:val="16"/>
          <w:szCs w:val="16"/>
          <w:lang w:val="es-ES"/>
        </w:rPr>
      </w:pPr>
      <w:r w:rsidRPr="00306F33">
        <w:rPr>
          <w:rStyle w:val="FootnoteReference"/>
          <w:rFonts w:asciiTheme="majorHAnsi" w:hAnsiTheme="majorHAnsi"/>
          <w:sz w:val="16"/>
          <w:szCs w:val="16"/>
        </w:rPr>
        <w:footnoteRef/>
      </w:r>
      <w:r w:rsidRPr="00306F33">
        <w:rPr>
          <w:rFonts w:asciiTheme="majorHAnsi" w:hAnsiTheme="majorHAnsi"/>
          <w:sz w:val="16"/>
          <w:szCs w:val="16"/>
          <w:lang w:val="es-ES"/>
        </w:rPr>
        <w:t xml:space="preserve"> </w:t>
      </w:r>
      <w:r w:rsidRPr="00754FF6">
        <w:rPr>
          <w:rFonts w:asciiTheme="majorHAnsi" w:hAnsiTheme="majorHAnsi"/>
          <w:sz w:val="16"/>
          <w:szCs w:val="16"/>
          <w:lang w:val="es-ES"/>
        </w:rPr>
        <w:t>Las observaciones de cada parte fueron debidamente trasladadas a la parte contraria.</w:t>
      </w:r>
    </w:p>
  </w:footnote>
  <w:footnote w:id="5">
    <w:p w14:paraId="01B73767" w14:textId="77777777" w:rsidR="005F7DA3" w:rsidRPr="007D443D" w:rsidRDefault="005F7DA3" w:rsidP="005F7DA3">
      <w:pPr>
        <w:pStyle w:val="FootnoteText"/>
        <w:ind w:firstLine="720"/>
        <w:jc w:val="both"/>
        <w:rPr>
          <w:rFonts w:ascii="Cambria" w:hAnsi="Cambria"/>
          <w:lang w:val="es-CO"/>
        </w:rPr>
      </w:pPr>
      <w:r w:rsidRPr="007D443D">
        <w:rPr>
          <w:rStyle w:val="FootnoteReference"/>
          <w:rFonts w:ascii="Cambria" w:hAnsi="Cambria"/>
          <w:sz w:val="16"/>
          <w:szCs w:val="16"/>
        </w:rPr>
        <w:footnoteRef/>
      </w:r>
      <w:r w:rsidRPr="000101D3">
        <w:rPr>
          <w:rFonts w:ascii="Cambria" w:hAnsi="Cambria"/>
          <w:sz w:val="16"/>
          <w:szCs w:val="16"/>
          <w:lang w:val="es-CO"/>
        </w:rPr>
        <w:t xml:space="preserve"> </w:t>
      </w:r>
      <w:r w:rsidRPr="00AD0ABB">
        <w:rPr>
          <w:rFonts w:ascii="Cambria" w:hAnsi="Cambria"/>
          <w:sz w:val="16"/>
          <w:szCs w:val="16"/>
          <w:lang w:val="es-CO"/>
        </w:rPr>
        <w:t xml:space="preserve">CIDH, </w:t>
      </w:r>
      <w:r w:rsidRPr="008523DD">
        <w:rPr>
          <w:rFonts w:ascii="Cambria" w:hAnsi="Cambria"/>
          <w:sz w:val="16"/>
          <w:szCs w:val="16"/>
          <w:lang w:val="es-CO"/>
        </w:rPr>
        <w:t>Informe No. 239/23. Petición 467-12. Admisibilidad.</w:t>
      </w:r>
      <w:r>
        <w:rPr>
          <w:rFonts w:ascii="Cambria" w:hAnsi="Cambria"/>
          <w:sz w:val="16"/>
          <w:szCs w:val="16"/>
          <w:lang w:val="es-CO"/>
        </w:rPr>
        <w:t xml:space="preserve"> </w:t>
      </w:r>
      <w:r w:rsidRPr="008523DD">
        <w:rPr>
          <w:rFonts w:ascii="Cambria" w:hAnsi="Cambria"/>
          <w:sz w:val="16"/>
          <w:szCs w:val="16"/>
          <w:lang w:val="es-CO"/>
        </w:rPr>
        <w:t>Ernesto Cruz Guevara y familiares. Colombia. 20 de octubre de 2023</w:t>
      </w:r>
      <w:r>
        <w:rPr>
          <w:rFonts w:ascii="Cambria" w:hAnsi="Cambria"/>
          <w:sz w:val="16"/>
          <w:szCs w:val="16"/>
          <w:lang w:val="es-CO"/>
        </w:rPr>
        <w:t xml:space="preserve">, párr. 25; </w:t>
      </w:r>
      <w:r w:rsidRPr="00D20AAF">
        <w:rPr>
          <w:rFonts w:ascii="Cambria" w:hAnsi="Cambria"/>
          <w:sz w:val="16"/>
          <w:szCs w:val="16"/>
          <w:lang w:val="es-CO"/>
        </w:rPr>
        <w:t>Informe No. 91/23. Petición 405-11. Admisibilidad.</w:t>
      </w:r>
      <w:r>
        <w:rPr>
          <w:rFonts w:ascii="Cambria" w:hAnsi="Cambria"/>
          <w:sz w:val="16"/>
          <w:szCs w:val="16"/>
          <w:lang w:val="es-CO"/>
        </w:rPr>
        <w:t xml:space="preserve"> </w:t>
      </w:r>
      <w:r w:rsidRPr="00D20AAF">
        <w:rPr>
          <w:rFonts w:ascii="Cambria" w:hAnsi="Cambria"/>
          <w:sz w:val="16"/>
          <w:szCs w:val="16"/>
          <w:lang w:val="es-CO"/>
        </w:rPr>
        <w:t>Freddy Betancourt Hernández. Colombia. 9 de junio de 2023</w:t>
      </w:r>
      <w:r>
        <w:rPr>
          <w:rFonts w:ascii="Cambria" w:hAnsi="Cambria"/>
          <w:sz w:val="16"/>
          <w:szCs w:val="16"/>
          <w:lang w:val="es-CO"/>
        </w:rPr>
        <w:t xml:space="preserve">, párr. 10; e, </w:t>
      </w:r>
      <w:r w:rsidRPr="00AD0ABB">
        <w:rPr>
          <w:rFonts w:ascii="Cambria" w:hAnsi="Cambria"/>
          <w:sz w:val="16"/>
          <w:szCs w:val="16"/>
          <w:lang w:val="es-CO"/>
        </w:rPr>
        <w:t xml:space="preserve">Informe No. 131/21. Petición 784-10. Admisibilidad. Wilson Mario Taborda Cardona y familia. </w:t>
      </w:r>
      <w:r w:rsidRPr="009D1F86">
        <w:rPr>
          <w:rFonts w:ascii="Cambria" w:hAnsi="Cambria"/>
          <w:sz w:val="16"/>
          <w:szCs w:val="16"/>
          <w:lang w:val="es-CO"/>
        </w:rPr>
        <w:t>Colombia. 13 de mayo de 2021, párr. 12.</w:t>
      </w:r>
    </w:p>
  </w:footnote>
  <w:footnote w:id="6">
    <w:p w14:paraId="6CD516A0" w14:textId="77777777" w:rsidR="005F7DA3" w:rsidRPr="00F61B64" w:rsidRDefault="005F7DA3" w:rsidP="005F7DA3">
      <w:pPr>
        <w:pStyle w:val="FootnoteText"/>
        <w:ind w:firstLine="720"/>
        <w:jc w:val="both"/>
        <w:rPr>
          <w:rFonts w:ascii="Cambria" w:hAnsi="Cambria"/>
          <w:lang w:val="es-CO"/>
        </w:rPr>
      </w:pPr>
      <w:r w:rsidRPr="00844BEC">
        <w:rPr>
          <w:rStyle w:val="FootnoteReference"/>
          <w:rFonts w:ascii="Cambria" w:hAnsi="Cambria"/>
          <w:sz w:val="16"/>
          <w:szCs w:val="16"/>
        </w:rPr>
        <w:footnoteRef/>
      </w:r>
      <w:r w:rsidRPr="00844BEC">
        <w:rPr>
          <w:rFonts w:ascii="Cambria" w:hAnsi="Cambria"/>
          <w:sz w:val="16"/>
          <w:szCs w:val="16"/>
          <w:lang w:val="es-CO"/>
        </w:rPr>
        <w:t xml:space="preserve"> CIDH, </w:t>
      </w:r>
      <w:r w:rsidRPr="00D20AAF">
        <w:rPr>
          <w:rFonts w:ascii="Cambria" w:hAnsi="Cambria"/>
          <w:sz w:val="16"/>
          <w:szCs w:val="16"/>
          <w:lang w:val="es-CO"/>
        </w:rPr>
        <w:t>Informe No. 91/23. Petición 405-11. Admisibilidad.</w:t>
      </w:r>
      <w:r>
        <w:rPr>
          <w:rFonts w:ascii="Cambria" w:hAnsi="Cambria"/>
          <w:sz w:val="16"/>
          <w:szCs w:val="16"/>
          <w:lang w:val="es-CO"/>
        </w:rPr>
        <w:t xml:space="preserve"> </w:t>
      </w:r>
      <w:r w:rsidRPr="00D20AAF">
        <w:rPr>
          <w:rFonts w:ascii="Cambria" w:hAnsi="Cambria"/>
          <w:sz w:val="16"/>
          <w:szCs w:val="16"/>
          <w:lang w:val="es-CO"/>
        </w:rPr>
        <w:t>Freddy Betancourt Hernández. Colombia. 9 de junio de 2023</w:t>
      </w:r>
      <w:r>
        <w:rPr>
          <w:rFonts w:ascii="Cambria" w:hAnsi="Cambria"/>
          <w:sz w:val="16"/>
          <w:szCs w:val="16"/>
          <w:lang w:val="es-CO"/>
        </w:rPr>
        <w:t>, párr. 12; e</w:t>
      </w:r>
      <w:r w:rsidRPr="00844BEC">
        <w:rPr>
          <w:rFonts w:ascii="Cambria" w:hAnsi="Cambria"/>
          <w:sz w:val="16"/>
          <w:szCs w:val="16"/>
          <w:lang w:val="es-CO"/>
        </w:rPr>
        <w:t xml:space="preserve"> Informe No. 157/21. Petición 1753-11. Admisibilidad. Julio Daniel Chaparro Hurtado, Jorge Enrique Torres Navas y familias. </w:t>
      </w:r>
      <w:r w:rsidRPr="00F61B64">
        <w:rPr>
          <w:rFonts w:ascii="Cambria" w:hAnsi="Cambria"/>
          <w:sz w:val="16"/>
          <w:szCs w:val="16"/>
          <w:lang w:val="es-CO"/>
        </w:rPr>
        <w:t>Colombia. 28 de julio de 2021, párr. 12; CIDH, Informe No. 72/16. Petición 694-06. Admisibilidad. Onofre Antonio de La Hoz Montero y Familia. Colombia. 6 de</w:t>
      </w:r>
      <w:r>
        <w:rPr>
          <w:rFonts w:ascii="Cambria" w:hAnsi="Cambria"/>
          <w:sz w:val="16"/>
          <w:szCs w:val="16"/>
          <w:lang w:val="es-CO"/>
        </w:rPr>
        <w:t xml:space="preserve"> </w:t>
      </w:r>
      <w:r w:rsidRPr="00F61B64">
        <w:rPr>
          <w:rFonts w:ascii="Cambria" w:hAnsi="Cambria"/>
          <w:sz w:val="16"/>
          <w:szCs w:val="16"/>
          <w:lang w:val="es-CO"/>
        </w:rPr>
        <w:t>diciembre de 2016, párr.</w:t>
      </w:r>
      <w:r>
        <w:rPr>
          <w:rFonts w:ascii="Cambria" w:hAnsi="Cambria"/>
          <w:sz w:val="16"/>
          <w:szCs w:val="16"/>
          <w:lang w:val="es-CO"/>
        </w:rPr>
        <w:t xml:space="preserve"> </w:t>
      </w:r>
      <w:r w:rsidRPr="00F61B64">
        <w:rPr>
          <w:rFonts w:ascii="Cambria" w:hAnsi="Cambria"/>
          <w:sz w:val="16"/>
          <w:szCs w:val="16"/>
          <w:lang w:val="es-CO"/>
        </w:rPr>
        <w:t>32.</w:t>
      </w:r>
    </w:p>
  </w:footnote>
  <w:footnote w:id="7">
    <w:p w14:paraId="6F8D9601" w14:textId="09344DB0" w:rsidR="0097121B" w:rsidRPr="0097121B" w:rsidRDefault="0097121B" w:rsidP="0097121B">
      <w:pPr>
        <w:pStyle w:val="Notasalpie"/>
        <w:rPr>
          <w:lang w:val="es-CO"/>
        </w:rPr>
      </w:pPr>
      <w:r>
        <w:rPr>
          <w:rStyle w:val="FootnoteReference"/>
        </w:rPr>
        <w:footnoteRef/>
      </w:r>
      <w:r>
        <w:t xml:space="preserve"> </w:t>
      </w:r>
      <w:r w:rsidR="00811B1D">
        <w:t xml:space="preserve">A este respecto, la Comisión cita: </w:t>
      </w:r>
      <w:r w:rsidR="00811B1D" w:rsidRPr="00811B1D">
        <w:rPr>
          <w:lang w:val="es-ES_tradnl"/>
        </w:rPr>
        <w:t> la Convención sobre Delitos y otros Actos Cometidos a bordo de Aeronaves, abierto a la firma el 14 de septiembre de 1963, 704 U.N.T.S. 219; </w:t>
      </w:r>
      <w:r w:rsidR="00811B1D" w:rsidRPr="00811B1D">
        <w:rPr>
          <w:lang w:val="es-CO"/>
        </w:rPr>
        <w:t>[en adelante Convención sobre Secuestro de Vuelos de 1963]; el</w:t>
      </w:r>
      <w:r w:rsidR="00811B1D" w:rsidRPr="00811B1D">
        <w:rPr>
          <w:lang w:val="es-ES_tradnl"/>
        </w:rPr>
        <w:t xml:space="preserve"> Convenio para la Represión del Apoderamiento </w:t>
      </w:r>
      <w:r w:rsidR="003D3C53">
        <w:rPr>
          <w:lang w:val="es-ES_tradnl"/>
        </w:rPr>
        <w:t>I</w:t>
      </w:r>
      <w:r w:rsidR="003D3C53" w:rsidRPr="00811B1D">
        <w:rPr>
          <w:lang w:val="es-ES_tradnl"/>
        </w:rPr>
        <w:t>lícito</w:t>
      </w:r>
      <w:r w:rsidR="00811B1D" w:rsidRPr="00811B1D">
        <w:rPr>
          <w:lang w:val="es-ES_tradnl"/>
        </w:rPr>
        <w:t xml:space="preserve"> de Aeronaves, nota 18 </w:t>
      </w:r>
      <w:r w:rsidR="00811B1D" w:rsidRPr="00811B1D">
        <w:rPr>
          <w:i/>
          <w:iCs/>
          <w:lang w:val="es-ES_tradnl"/>
        </w:rPr>
        <w:t>supra</w:t>
      </w:r>
      <w:r w:rsidR="00811B1D" w:rsidRPr="00811B1D">
        <w:rPr>
          <w:lang w:val="es-ES_tradnl"/>
        </w:rPr>
        <w:t>; el Convenio para la Represión de Actos Ílicitos contra la Seguridad de la Aviación Civil, abierta a la firma en Montreal el 23 de septiembre de 1971, 974 U.N.T.S. 177 [en adelante Convenio de Montreal].</w:t>
      </w:r>
    </w:p>
  </w:footnote>
  <w:footnote w:id="8">
    <w:p w14:paraId="74A6D8B2" w14:textId="350E3D14" w:rsidR="00F03401" w:rsidRPr="00F03401" w:rsidRDefault="00F03401" w:rsidP="00F03401">
      <w:pPr>
        <w:pStyle w:val="Notasalpie"/>
        <w:rPr>
          <w:lang w:val="es-CO"/>
        </w:rPr>
      </w:pPr>
      <w:r>
        <w:rPr>
          <w:rStyle w:val="FootnoteReference"/>
        </w:rPr>
        <w:footnoteRef/>
      </w:r>
      <w:r>
        <w:t xml:space="preserve"> </w:t>
      </w:r>
      <w:r w:rsidR="00F3376F">
        <w:t xml:space="preserve">CIDH, Informe sobre Terrorismo y Derechos Humanos, </w:t>
      </w:r>
      <w:r w:rsidR="00F3376F" w:rsidRPr="00F3376F">
        <w:rPr>
          <w:lang w:val="es-CO"/>
        </w:rPr>
        <w:t>OEA/Ser.L/V/ll.116</w:t>
      </w:r>
      <w:r w:rsidR="00F3376F">
        <w:rPr>
          <w:lang w:val="es-CO"/>
        </w:rPr>
        <w:t>, 22 de octubre de 2002, p</w:t>
      </w:r>
      <w:r>
        <w:t>árr. 15.</w:t>
      </w:r>
    </w:p>
  </w:footnote>
  <w:footnote w:id="9">
    <w:p w14:paraId="2CA4B7BF" w14:textId="7F287E7C" w:rsidR="00920E31" w:rsidRPr="00920E31" w:rsidRDefault="00920E31" w:rsidP="00920E31">
      <w:pPr>
        <w:pStyle w:val="Notasalpie"/>
        <w:rPr>
          <w:lang w:val="es-CO"/>
        </w:rPr>
      </w:pPr>
      <w:r>
        <w:rPr>
          <w:rStyle w:val="FootnoteReference"/>
        </w:rPr>
        <w:footnoteRef/>
      </w:r>
      <w:r>
        <w:t xml:space="preserve"> </w:t>
      </w:r>
      <w:r w:rsidR="002F383F" w:rsidRPr="002F383F">
        <w:t>Corte IDH. Caso Norín Catrimán y otros (Dirigentes, Miembros y Activista del Pueblo Indígena Mapuche) Vs. Chile. Fondo, Reparaciones y Costas. Sentencia de 29 de mayo de 2014. Serie C No. 279</w:t>
      </w:r>
      <w:r w:rsidR="002F383F">
        <w:t>, párr. 164.</w:t>
      </w:r>
    </w:p>
  </w:footnote>
  <w:footnote w:id="10">
    <w:p w14:paraId="53653E99" w14:textId="09762B4D" w:rsidR="004B5491" w:rsidRPr="004B5491" w:rsidRDefault="004B5491" w:rsidP="004B5491">
      <w:pPr>
        <w:pStyle w:val="Notasalpie"/>
        <w:rPr>
          <w:lang w:val="es-CO"/>
        </w:rPr>
      </w:pPr>
      <w:r>
        <w:rPr>
          <w:rStyle w:val="FootnoteReference"/>
        </w:rPr>
        <w:footnoteRef/>
      </w:r>
      <w:r>
        <w:t xml:space="preserve"> </w:t>
      </w:r>
      <w:r w:rsidR="00145FB5" w:rsidRPr="00145FB5">
        <w:rPr>
          <w:lang w:val="es-CO"/>
        </w:rPr>
        <w:t>Informe del Relator Especial sobre la promoción y la protección de los derechos humanos y las libertades fundamentales en la lucha contra el terrorismo, Ben Saul,</w:t>
      </w:r>
      <w:r w:rsidR="00145FB5">
        <w:rPr>
          <w:lang w:val="es-CO"/>
        </w:rPr>
        <w:t xml:space="preserve"> </w:t>
      </w:r>
      <w:r w:rsidR="00E23589">
        <w:rPr>
          <w:lang w:val="es-CO"/>
        </w:rPr>
        <w:t>“</w:t>
      </w:r>
      <w:r w:rsidR="00E23589" w:rsidRPr="00E23589">
        <w:rPr>
          <w:lang w:val="es-CO"/>
        </w:rPr>
        <w:t>Protección de los derechos humanos por las organizaciones regionales en la lucha contra el terrorismo: normas, cooperación, víctimas del terrorismo y rendición de cuentas</w:t>
      </w:r>
      <w:r w:rsidR="00E23589">
        <w:rPr>
          <w:lang w:val="es-CO"/>
        </w:rPr>
        <w:t xml:space="preserve">”. </w:t>
      </w:r>
      <w:r w:rsidR="00E23589" w:rsidRPr="001119B6">
        <w:t>A/79/324, 27 de Agosto de 2024,</w:t>
      </w:r>
      <w:r w:rsidR="00E23589">
        <w:rPr>
          <w:lang w:val="es-CO"/>
        </w:rPr>
        <w:t xml:space="preserve"> p</w:t>
      </w:r>
      <w:r>
        <w:t>árr. 31.</w:t>
      </w:r>
    </w:p>
  </w:footnote>
  <w:footnote w:id="11">
    <w:p w14:paraId="44A96122" w14:textId="77777777" w:rsidR="00314DDA" w:rsidRPr="00307937" w:rsidRDefault="00314DDA" w:rsidP="00314DDA">
      <w:pPr>
        <w:pStyle w:val="Notasalpie"/>
        <w:rPr>
          <w:lang w:val="es-CO"/>
        </w:rPr>
      </w:pPr>
      <w:r>
        <w:rPr>
          <w:rStyle w:val="FootnoteReference"/>
        </w:rPr>
        <w:footnoteRef/>
      </w:r>
      <w:r>
        <w:t xml:space="preserve"> </w:t>
      </w:r>
      <w:r w:rsidRPr="002B5762">
        <w:rPr>
          <w:lang w:val="es-CO"/>
        </w:rPr>
        <w:t xml:space="preserve">Corte IDH. Caso Pueblo Indígena U'wa y sus miembros Vs. Colombia. Fondo, Reparaciones y Costas. </w:t>
      </w:r>
      <w:r w:rsidRPr="000D0DB6">
        <w:rPr>
          <w:lang w:val="es-CO"/>
        </w:rPr>
        <w:t>Sentencia de 4 de julio de 2024. Serie C No. 530, p</w:t>
      </w:r>
      <w:r>
        <w:t xml:space="preserve">árr. </w:t>
      </w:r>
      <w:r w:rsidRPr="00AA374D">
        <w:rPr>
          <w:lang w:val="es-CO"/>
        </w:rPr>
        <w:t>358</w:t>
      </w:r>
      <w:r>
        <w:rPr>
          <w:lang w:val="es-CO"/>
        </w:rPr>
        <w:t>.</w:t>
      </w:r>
    </w:p>
  </w:footnote>
  <w:footnote w:id="12">
    <w:p w14:paraId="3DD7CF02" w14:textId="784671CB" w:rsidR="009A47A2" w:rsidRPr="003B4233" w:rsidRDefault="009A47A2" w:rsidP="00F14126">
      <w:pPr>
        <w:pStyle w:val="Notasalpie"/>
        <w:rPr>
          <w:lang w:val="es-CO"/>
        </w:rPr>
      </w:pPr>
      <w:r w:rsidRPr="00413B69">
        <w:rPr>
          <w:rStyle w:val="FootnoteReference"/>
        </w:rPr>
        <w:footnoteRef/>
      </w:r>
      <w:r w:rsidRPr="00413B69">
        <w:rPr>
          <w:lang w:val="es-US"/>
        </w:rPr>
        <w:t xml:space="preserve"> </w:t>
      </w:r>
      <w:r w:rsidRPr="00413B69">
        <w:t xml:space="preserve">Corte IDH, </w:t>
      </w:r>
      <w:r w:rsidRPr="00413B69">
        <w:rPr>
          <w:iCs/>
        </w:rPr>
        <w:t xml:space="preserve">Caso Carpio Nicolle y otros </w:t>
      </w:r>
      <w:r>
        <w:rPr>
          <w:iCs/>
        </w:rPr>
        <w:t>V</w:t>
      </w:r>
      <w:r w:rsidRPr="00413B69">
        <w:rPr>
          <w:iCs/>
        </w:rPr>
        <w:t>s. Guatemala</w:t>
      </w:r>
      <w:r>
        <w:t>,</w:t>
      </w:r>
      <w:r w:rsidRPr="00413B69">
        <w:t xml:space="preserve"> Fondo, Reparaciones y Costas</w:t>
      </w:r>
      <w:r>
        <w:t>,</w:t>
      </w:r>
      <w:r w:rsidRPr="00413B69">
        <w:t xml:space="preserve"> Sentencia de 22 de noviembre de 2004</w:t>
      </w:r>
      <w:r>
        <w:t>,</w:t>
      </w:r>
      <w:r w:rsidRPr="00413B69">
        <w:t xml:space="preserve"> </w:t>
      </w:r>
      <w:r w:rsidRPr="003B70CF">
        <w:rPr>
          <w:lang w:val="es-CO"/>
        </w:rPr>
        <w:t xml:space="preserve">Serie C No. 117, párr. </w:t>
      </w:r>
      <w:r w:rsidRPr="003B4233">
        <w:rPr>
          <w:lang w:val="es-CO"/>
        </w:rPr>
        <w:t>134</w:t>
      </w:r>
      <w:r w:rsidR="002625C9">
        <w:rPr>
          <w:lang w:val="es-C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4D8B" w14:textId="77777777"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13D4C370"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8A65" w14:textId="77777777" w:rsidR="00A50FCF" w:rsidRDefault="00A50FCF" w:rsidP="00A50FCF">
    <w:pPr>
      <w:pStyle w:val="Header"/>
      <w:tabs>
        <w:tab w:val="clear" w:pos="4320"/>
        <w:tab w:val="clear" w:pos="8640"/>
      </w:tabs>
      <w:jc w:val="center"/>
      <w:rPr>
        <w:sz w:val="22"/>
        <w:szCs w:val="22"/>
      </w:rPr>
    </w:pPr>
    <w:r>
      <w:rPr>
        <w:noProof/>
        <w:sz w:val="22"/>
        <w:szCs w:val="22"/>
      </w:rPr>
      <w:drawing>
        <wp:inline distT="0" distB="0" distL="0" distR="0" wp14:anchorId="523DD6CA" wp14:editId="2965DC79">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24BB2C52" w14:textId="77777777" w:rsidR="00040C3A" w:rsidRPr="00EC7D62" w:rsidRDefault="00591C31" w:rsidP="00A50FCF">
    <w:pPr>
      <w:pStyle w:val="Header"/>
      <w:tabs>
        <w:tab w:val="clear" w:pos="4320"/>
        <w:tab w:val="clear" w:pos="8640"/>
      </w:tabs>
      <w:jc w:val="center"/>
      <w:rPr>
        <w:sz w:val="22"/>
        <w:szCs w:val="22"/>
      </w:rPr>
    </w:pPr>
    <w:r>
      <w:rPr>
        <w:sz w:val="22"/>
        <w:szCs w:val="22"/>
      </w:rPr>
      <w:pict w14:anchorId="43C7E6AC">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4" w15:restartNumberingAfterBreak="0">
    <w:nsid w:val="0E1D2261"/>
    <w:multiLevelType w:val="hybridMultilevel"/>
    <w:tmpl w:val="29807C44"/>
    <w:lvl w:ilvl="0" w:tplc="99D62BE0">
      <w:start w:val="1"/>
      <w:numFmt w:val="decimal"/>
      <w:lvlText w:val="%1."/>
      <w:lvlJc w:val="left"/>
      <w:pPr>
        <w:tabs>
          <w:tab w:val="num" w:pos="720"/>
        </w:tabs>
        <w:ind w:left="0" w:firstLine="720"/>
      </w:pPr>
      <w:rPr>
        <w:rFonts w:asciiTheme="majorHAnsi" w:hAnsiTheme="majorHAnsi" w:hint="default"/>
        <w:b w:val="0"/>
        <w:bCs/>
        <w:i w:val="0"/>
        <w:iCs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17D15EC1"/>
    <w:multiLevelType w:val="hybridMultilevel"/>
    <w:tmpl w:val="9E92B0D8"/>
    <w:lvl w:ilvl="0" w:tplc="4F6091C4">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8"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9"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2"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3"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5"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1"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2" w15:restartNumberingAfterBreak="0">
    <w:nsid w:val="33B6098B"/>
    <w:multiLevelType w:val="hybridMultilevel"/>
    <w:tmpl w:val="A456E6F6"/>
    <w:lvl w:ilvl="0" w:tplc="D6D649A2">
      <w:start w:val="1"/>
      <w:numFmt w:val="decimal"/>
      <w:pStyle w:val="ListParagraph"/>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4"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7573314"/>
    <w:multiLevelType w:val="hybridMultilevel"/>
    <w:tmpl w:val="8F6A3E56"/>
    <w:lvl w:ilvl="0" w:tplc="4F6091C4">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8" w15:restartNumberingAfterBreak="0">
    <w:nsid w:val="3986140F"/>
    <w:multiLevelType w:val="hybridMultilevel"/>
    <w:tmpl w:val="7E96C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0"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1"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42DF19D7"/>
    <w:multiLevelType w:val="multilevel"/>
    <w:tmpl w:val="E7265BB0"/>
    <w:styleLink w:val="List5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92723E7"/>
    <w:multiLevelType w:val="multilevel"/>
    <w:tmpl w:val="0CF8CC36"/>
    <w:styleLink w:val="List2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A804E46"/>
    <w:multiLevelType w:val="hybridMultilevel"/>
    <w:tmpl w:val="1E169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0"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1"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2"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3" w15:restartNumberingAfterBreak="0">
    <w:nsid w:val="5087187A"/>
    <w:multiLevelType w:val="multilevel"/>
    <w:tmpl w:val="D5303458"/>
    <w:styleLink w:val="List21"/>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4"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5" w15:restartNumberingAfterBreak="0">
    <w:nsid w:val="54580DED"/>
    <w:multiLevelType w:val="hybridMultilevel"/>
    <w:tmpl w:val="DF041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8" w15:restartNumberingAfterBreak="0">
    <w:nsid w:val="5BF62682"/>
    <w:multiLevelType w:val="multilevel"/>
    <w:tmpl w:val="44B09150"/>
    <w:styleLink w:val="List5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9" w15:restartNumberingAfterBreak="0">
    <w:nsid w:val="5D7D4B9D"/>
    <w:multiLevelType w:val="hybridMultilevel"/>
    <w:tmpl w:val="AFBEB334"/>
    <w:lvl w:ilvl="0" w:tplc="77046564">
      <w:start w:val="1"/>
      <w:numFmt w:val="decimal"/>
      <w:pStyle w:val="parrafos"/>
      <w:lvlText w:val="%1."/>
      <w:lvlJc w:val="left"/>
      <w:pPr>
        <w:ind w:left="450" w:hanging="360"/>
      </w:pPr>
      <w:rPr>
        <w:rFonts w:ascii="Cambria" w:hAnsi="Cambria" w:hint="default"/>
        <w:b w:val="0"/>
        <w:sz w:val="20"/>
        <w:szCs w:val="20"/>
        <w:lang w:val="es-C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1"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2"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3"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4" w15:restartNumberingAfterBreak="0">
    <w:nsid w:val="6ED81597"/>
    <w:multiLevelType w:val="hybridMultilevel"/>
    <w:tmpl w:val="13CA9C6C"/>
    <w:lvl w:ilvl="0" w:tplc="4F6091C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7"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8"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9"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1"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2"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3"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41903036">
    <w:abstractNumId w:val="3"/>
  </w:num>
  <w:num w:numId="2" w16cid:durableId="2119787510">
    <w:abstractNumId w:val="5"/>
  </w:num>
  <w:num w:numId="3" w16cid:durableId="1836843260">
    <w:abstractNumId w:val="58"/>
  </w:num>
  <w:num w:numId="4" w16cid:durableId="2018339747">
    <w:abstractNumId w:val="21"/>
  </w:num>
  <w:num w:numId="5" w16cid:durableId="368341374">
    <w:abstractNumId w:val="51"/>
  </w:num>
  <w:num w:numId="6" w16cid:durableId="1074009954">
    <w:abstractNumId w:val="29"/>
  </w:num>
  <w:num w:numId="7" w16cid:durableId="1545016965">
    <w:abstractNumId w:val="7"/>
  </w:num>
  <w:num w:numId="8" w16cid:durableId="1165165820">
    <w:abstractNumId w:val="17"/>
  </w:num>
  <w:num w:numId="9" w16cid:durableId="751703382">
    <w:abstractNumId w:val="44"/>
  </w:num>
  <w:num w:numId="10" w16cid:durableId="1010065578">
    <w:abstractNumId w:val="0"/>
  </w:num>
  <w:num w:numId="11" w16cid:durableId="599265313">
    <w:abstractNumId w:val="39"/>
  </w:num>
  <w:num w:numId="12" w16cid:durableId="1094203649">
    <w:abstractNumId w:val="40"/>
  </w:num>
  <w:num w:numId="13" w16cid:durableId="393090155">
    <w:abstractNumId w:val="47"/>
  </w:num>
  <w:num w:numId="14" w16cid:durableId="1198931784">
    <w:abstractNumId w:val="1"/>
  </w:num>
  <w:num w:numId="15" w16cid:durableId="2056192837">
    <w:abstractNumId w:val="2"/>
  </w:num>
  <w:num w:numId="16" w16cid:durableId="1680153077">
    <w:abstractNumId w:val="8"/>
  </w:num>
  <w:num w:numId="17" w16cid:durableId="1790273299">
    <w:abstractNumId w:val="9"/>
  </w:num>
  <w:num w:numId="18" w16cid:durableId="2128112662">
    <w:abstractNumId w:val="10"/>
  </w:num>
  <w:num w:numId="19" w16cid:durableId="7217114">
    <w:abstractNumId w:val="11"/>
  </w:num>
  <w:num w:numId="20" w16cid:durableId="1858302314">
    <w:abstractNumId w:val="12"/>
  </w:num>
  <w:num w:numId="21" w16cid:durableId="1702172520">
    <w:abstractNumId w:val="13"/>
  </w:num>
  <w:num w:numId="22" w16cid:durableId="1700861223">
    <w:abstractNumId w:val="14"/>
  </w:num>
  <w:num w:numId="23" w16cid:durableId="1025131478">
    <w:abstractNumId w:val="15"/>
  </w:num>
  <w:num w:numId="24" w16cid:durableId="477890311">
    <w:abstractNumId w:val="16"/>
  </w:num>
  <w:num w:numId="25" w16cid:durableId="1967855925">
    <w:abstractNumId w:val="18"/>
  </w:num>
  <w:num w:numId="26" w16cid:durableId="998537020">
    <w:abstractNumId w:val="19"/>
  </w:num>
  <w:num w:numId="27" w16cid:durableId="642350406">
    <w:abstractNumId w:val="23"/>
  </w:num>
  <w:num w:numId="28" w16cid:durableId="1616718871">
    <w:abstractNumId w:val="24"/>
  </w:num>
  <w:num w:numId="29" w16cid:durableId="1530486082">
    <w:abstractNumId w:val="25"/>
  </w:num>
  <w:num w:numId="30" w16cid:durableId="802582976">
    <w:abstractNumId w:val="27"/>
  </w:num>
  <w:num w:numId="31" w16cid:durableId="287396833">
    <w:abstractNumId w:val="30"/>
  </w:num>
  <w:num w:numId="32" w16cid:durableId="535119711">
    <w:abstractNumId w:val="31"/>
  </w:num>
  <w:num w:numId="33" w16cid:durableId="2078547275">
    <w:abstractNumId w:val="32"/>
  </w:num>
  <w:num w:numId="34" w16cid:durableId="1703632659">
    <w:abstractNumId w:val="33"/>
  </w:num>
  <w:num w:numId="35" w16cid:durableId="1264075887">
    <w:abstractNumId w:val="34"/>
  </w:num>
  <w:num w:numId="36" w16cid:durableId="1752315512">
    <w:abstractNumId w:val="35"/>
  </w:num>
  <w:num w:numId="37" w16cid:durableId="1536426887">
    <w:abstractNumId w:val="36"/>
  </w:num>
  <w:num w:numId="38" w16cid:durableId="949702590">
    <w:abstractNumId w:val="37"/>
  </w:num>
  <w:num w:numId="39" w16cid:durableId="115605940">
    <w:abstractNumId w:val="41"/>
  </w:num>
  <w:num w:numId="40" w16cid:durableId="2008750670">
    <w:abstractNumId w:val="42"/>
  </w:num>
  <w:num w:numId="41" w16cid:durableId="579801488">
    <w:abstractNumId w:val="50"/>
  </w:num>
  <w:num w:numId="42" w16cid:durableId="910309630">
    <w:abstractNumId w:val="52"/>
  </w:num>
  <w:num w:numId="43" w16cid:durableId="221603102">
    <w:abstractNumId w:val="53"/>
  </w:num>
  <w:num w:numId="44" w16cid:durableId="779104680">
    <w:abstractNumId w:val="56"/>
  </w:num>
  <w:num w:numId="45" w16cid:durableId="1713115894">
    <w:abstractNumId w:val="57"/>
  </w:num>
  <w:num w:numId="46" w16cid:durableId="1387951419">
    <w:abstractNumId w:val="59"/>
  </w:num>
  <w:num w:numId="47" w16cid:durableId="648510715">
    <w:abstractNumId w:val="60"/>
  </w:num>
  <w:num w:numId="48" w16cid:durableId="1806315575">
    <w:abstractNumId w:val="61"/>
  </w:num>
  <w:num w:numId="49" w16cid:durableId="1682586011">
    <w:abstractNumId w:val="62"/>
  </w:num>
  <w:num w:numId="50" w16cid:durableId="2025083079">
    <w:abstractNumId w:val="63"/>
  </w:num>
  <w:num w:numId="51" w16cid:durableId="530342504">
    <w:abstractNumId w:val="20"/>
  </w:num>
  <w:num w:numId="52" w16cid:durableId="955454438">
    <w:abstractNumId w:val="43"/>
  </w:num>
  <w:num w:numId="53" w16cid:durableId="586957926">
    <w:abstractNumId w:val="55"/>
  </w:num>
  <w:num w:numId="54" w16cid:durableId="1498381482">
    <w:abstractNumId w:val="48"/>
  </w:num>
  <w:num w:numId="55" w16cid:durableId="1930308158">
    <w:abstractNumId w:val="46"/>
  </w:num>
  <w:num w:numId="56" w16cid:durableId="71783945">
    <w:abstractNumId w:val="28"/>
  </w:num>
  <w:num w:numId="57" w16cid:durableId="327246300">
    <w:abstractNumId w:val="26"/>
  </w:num>
  <w:num w:numId="58" w16cid:durableId="823088829">
    <w:abstractNumId w:val="38"/>
  </w:num>
  <w:num w:numId="59" w16cid:durableId="219633537">
    <w:abstractNumId w:val="4"/>
  </w:num>
  <w:num w:numId="60" w16cid:durableId="364453791">
    <w:abstractNumId w:val="45"/>
  </w:num>
  <w:num w:numId="61" w16cid:durableId="319626255">
    <w:abstractNumId w:val="54"/>
  </w:num>
  <w:num w:numId="62" w16cid:durableId="362898492">
    <w:abstractNumId w:val="6"/>
  </w:num>
  <w:num w:numId="63" w16cid:durableId="413744366">
    <w:abstractNumId w:val="22"/>
  </w:num>
  <w:num w:numId="64" w16cid:durableId="462499593">
    <w:abstractNumId w:val="49"/>
  </w:num>
  <w:num w:numId="65" w16cid:durableId="1640300700">
    <w:abstractNumId w:val="22"/>
  </w:num>
  <w:num w:numId="66" w16cid:durableId="397676648">
    <w:abstractNumId w:val="22"/>
  </w:num>
  <w:num w:numId="67" w16cid:durableId="1429733523">
    <w:abstractNumId w:val="2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5CD"/>
    <w:rsid w:val="00000CDA"/>
    <w:rsid w:val="00006E1F"/>
    <w:rsid w:val="000070D7"/>
    <w:rsid w:val="00013B64"/>
    <w:rsid w:val="0001788C"/>
    <w:rsid w:val="000227AF"/>
    <w:rsid w:val="0002349D"/>
    <w:rsid w:val="000337EF"/>
    <w:rsid w:val="000356A8"/>
    <w:rsid w:val="00036BB3"/>
    <w:rsid w:val="00040C3A"/>
    <w:rsid w:val="000419AD"/>
    <w:rsid w:val="000433C9"/>
    <w:rsid w:val="00051522"/>
    <w:rsid w:val="000619E3"/>
    <w:rsid w:val="00066B9D"/>
    <w:rsid w:val="000702C1"/>
    <w:rsid w:val="00071174"/>
    <w:rsid w:val="000716C5"/>
    <w:rsid w:val="00075E23"/>
    <w:rsid w:val="00076D1A"/>
    <w:rsid w:val="0008158C"/>
    <w:rsid w:val="0009344A"/>
    <w:rsid w:val="000A392E"/>
    <w:rsid w:val="000A575F"/>
    <w:rsid w:val="000B1823"/>
    <w:rsid w:val="000B1F97"/>
    <w:rsid w:val="000B3B93"/>
    <w:rsid w:val="000B40CA"/>
    <w:rsid w:val="000B4351"/>
    <w:rsid w:val="000C0091"/>
    <w:rsid w:val="000C6AE2"/>
    <w:rsid w:val="000D05CB"/>
    <w:rsid w:val="000D1011"/>
    <w:rsid w:val="000D10DB"/>
    <w:rsid w:val="000D5960"/>
    <w:rsid w:val="000E1608"/>
    <w:rsid w:val="000E5EB5"/>
    <w:rsid w:val="000E6830"/>
    <w:rsid w:val="000E7F94"/>
    <w:rsid w:val="000F35ED"/>
    <w:rsid w:val="000F63F6"/>
    <w:rsid w:val="001004FE"/>
    <w:rsid w:val="001025DB"/>
    <w:rsid w:val="00107131"/>
    <w:rsid w:val="0010736F"/>
    <w:rsid w:val="001119B6"/>
    <w:rsid w:val="00111AAD"/>
    <w:rsid w:val="00111FE9"/>
    <w:rsid w:val="00112C0D"/>
    <w:rsid w:val="00113F73"/>
    <w:rsid w:val="00121CC2"/>
    <w:rsid w:val="00122DAD"/>
    <w:rsid w:val="00123964"/>
    <w:rsid w:val="00125980"/>
    <w:rsid w:val="001269A5"/>
    <w:rsid w:val="00131425"/>
    <w:rsid w:val="0013242F"/>
    <w:rsid w:val="001333FB"/>
    <w:rsid w:val="00133EE5"/>
    <w:rsid w:val="00134C1A"/>
    <w:rsid w:val="00134FC0"/>
    <w:rsid w:val="001423F0"/>
    <w:rsid w:val="00142608"/>
    <w:rsid w:val="00145FB5"/>
    <w:rsid w:val="00146A22"/>
    <w:rsid w:val="00155DA3"/>
    <w:rsid w:val="001641DF"/>
    <w:rsid w:val="00165ED2"/>
    <w:rsid w:val="00167A34"/>
    <w:rsid w:val="00173458"/>
    <w:rsid w:val="00185391"/>
    <w:rsid w:val="0018600A"/>
    <w:rsid w:val="00190347"/>
    <w:rsid w:val="00194CD4"/>
    <w:rsid w:val="001A016D"/>
    <w:rsid w:val="001A1474"/>
    <w:rsid w:val="001A3B2B"/>
    <w:rsid w:val="001A520D"/>
    <w:rsid w:val="001A7870"/>
    <w:rsid w:val="001B20A8"/>
    <w:rsid w:val="001B3A00"/>
    <w:rsid w:val="001B478B"/>
    <w:rsid w:val="001B7698"/>
    <w:rsid w:val="001B7C14"/>
    <w:rsid w:val="001C1B41"/>
    <w:rsid w:val="001D4884"/>
    <w:rsid w:val="001D65EF"/>
    <w:rsid w:val="001D7F96"/>
    <w:rsid w:val="001E0DAA"/>
    <w:rsid w:val="001E49E7"/>
    <w:rsid w:val="001E6EB6"/>
    <w:rsid w:val="001E7E86"/>
    <w:rsid w:val="001F0856"/>
    <w:rsid w:val="001F1E54"/>
    <w:rsid w:val="001F689B"/>
    <w:rsid w:val="001F7201"/>
    <w:rsid w:val="00200EF2"/>
    <w:rsid w:val="002037B6"/>
    <w:rsid w:val="00220BA9"/>
    <w:rsid w:val="00222CCB"/>
    <w:rsid w:val="0022331E"/>
    <w:rsid w:val="0022364E"/>
    <w:rsid w:val="00223A29"/>
    <w:rsid w:val="00224224"/>
    <w:rsid w:val="002250A3"/>
    <w:rsid w:val="0022564B"/>
    <w:rsid w:val="00226DA0"/>
    <w:rsid w:val="00230537"/>
    <w:rsid w:val="002335E5"/>
    <w:rsid w:val="00234F08"/>
    <w:rsid w:val="00235217"/>
    <w:rsid w:val="002378BD"/>
    <w:rsid w:val="0024110E"/>
    <w:rsid w:val="00242F05"/>
    <w:rsid w:val="00245C2E"/>
    <w:rsid w:val="00246D1F"/>
    <w:rsid w:val="00247403"/>
    <w:rsid w:val="00247542"/>
    <w:rsid w:val="00254126"/>
    <w:rsid w:val="002543F0"/>
    <w:rsid w:val="00254B55"/>
    <w:rsid w:val="00260471"/>
    <w:rsid w:val="002625C9"/>
    <w:rsid w:val="00263480"/>
    <w:rsid w:val="00266B61"/>
    <w:rsid w:val="0026712A"/>
    <w:rsid w:val="002704DB"/>
    <w:rsid w:val="00270705"/>
    <w:rsid w:val="00280FCB"/>
    <w:rsid w:val="002814AA"/>
    <w:rsid w:val="00286F90"/>
    <w:rsid w:val="00287B36"/>
    <w:rsid w:val="0029205C"/>
    <w:rsid w:val="002939A4"/>
    <w:rsid w:val="00294020"/>
    <w:rsid w:val="002957AE"/>
    <w:rsid w:val="002979E9"/>
    <w:rsid w:val="00297C28"/>
    <w:rsid w:val="002A05DF"/>
    <w:rsid w:val="002A0AAE"/>
    <w:rsid w:val="002A5820"/>
    <w:rsid w:val="002B6A51"/>
    <w:rsid w:val="002C1200"/>
    <w:rsid w:val="002D2B26"/>
    <w:rsid w:val="002D331C"/>
    <w:rsid w:val="002D6296"/>
    <w:rsid w:val="002D7EA2"/>
    <w:rsid w:val="002E187C"/>
    <w:rsid w:val="002E1A3E"/>
    <w:rsid w:val="002E2E64"/>
    <w:rsid w:val="002E5A4F"/>
    <w:rsid w:val="002E5FD5"/>
    <w:rsid w:val="002E775E"/>
    <w:rsid w:val="002F25B8"/>
    <w:rsid w:val="002F383F"/>
    <w:rsid w:val="002F51D5"/>
    <w:rsid w:val="00300ABE"/>
    <w:rsid w:val="00301E2F"/>
    <w:rsid w:val="00302733"/>
    <w:rsid w:val="00305835"/>
    <w:rsid w:val="00305A6C"/>
    <w:rsid w:val="00306F33"/>
    <w:rsid w:val="0030751C"/>
    <w:rsid w:val="00310448"/>
    <w:rsid w:val="00314078"/>
    <w:rsid w:val="00314DDA"/>
    <w:rsid w:val="0031535D"/>
    <w:rsid w:val="003239B8"/>
    <w:rsid w:val="00323DD5"/>
    <w:rsid w:val="003244C6"/>
    <w:rsid w:val="0033169F"/>
    <w:rsid w:val="00332389"/>
    <w:rsid w:val="003353EB"/>
    <w:rsid w:val="00335D68"/>
    <w:rsid w:val="00344977"/>
    <w:rsid w:val="00346C95"/>
    <w:rsid w:val="0034757D"/>
    <w:rsid w:val="00347EEB"/>
    <w:rsid w:val="00354AD6"/>
    <w:rsid w:val="00354FE4"/>
    <w:rsid w:val="00355ADC"/>
    <w:rsid w:val="00356185"/>
    <w:rsid w:val="00360380"/>
    <w:rsid w:val="0036408A"/>
    <w:rsid w:val="00373CC3"/>
    <w:rsid w:val="0037519E"/>
    <w:rsid w:val="00381573"/>
    <w:rsid w:val="00386CF0"/>
    <w:rsid w:val="00394049"/>
    <w:rsid w:val="00394073"/>
    <w:rsid w:val="0039766B"/>
    <w:rsid w:val="003A49C2"/>
    <w:rsid w:val="003B10C9"/>
    <w:rsid w:val="003B2F3C"/>
    <w:rsid w:val="003B3D0B"/>
    <w:rsid w:val="003B5A81"/>
    <w:rsid w:val="003B70FB"/>
    <w:rsid w:val="003B795E"/>
    <w:rsid w:val="003C0DDE"/>
    <w:rsid w:val="003C4271"/>
    <w:rsid w:val="003C446C"/>
    <w:rsid w:val="003C676B"/>
    <w:rsid w:val="003D24FC"/>
    <w:rsid w:val="003D3566"/>
    <w:rsid w:val="003D3BC2"/>
    <w:rsid w:val="003D3C53"/>
    <w:rsid w:val="003E6CA1"/>
    <w:rsid w:val="003E768F"/>
    <w:rsid w:val="003F27AE"/>
    <w:rsid w:val="003F5154"/>
    <w:rsid w:val="004056D4"/>
    <w:rsid w:val="00405F9C"/>
    <w:rsid w:val="004065A8"/>
    <w:rsid w:val="0041171D"/>
    <w:rsid w:val="00411D58"/>
    <w:rsid w:val="004122BC"/>
    <w:rsid w:val="00414C6D"/>
    <w:rsid w:val="004165C2"/>
    <w:rsid w:val="004177C8"/>
    <w:rsid w:val="0042252E"/>
    <w:rsid w:val="004241A0"/>
    <w:rsid w:val="0042699F"/>
    <w:rsid w:val="0042746B"/>
    <w:rsid w:val="004306D5"/>
    <w:rsid w:val="004328BD"/>
    <w:rsid w:val="004353C3"/>
    <w:rsid w:val="00437633"/>
    <w:rsid w:val="00441ECB"/>
    <w:rsid w:val="00445193"/>
    <w:rsid w:val="0044650C"/>
    <w:rsid w:val="0045066B"/>
    <w:rsid w:val="0045518F"/>
    <w:rsid w:val="00460D71"/>
    <w:rsid w:val="00460F4C"/>
    <w:rsid w:val="00461394"/>
    <w:rsid w:val="00462C1B"/>
    <w:rsid w:val="0046618C"/>
    <w:rsid w:val="00467B7E"/>
    <w:rsid w:val="00473BB4"/>
    <w:rsid w:val="00476ACD"/>
    <w:rsid w:val="004770CB"/>
    <w:rsid w:val="00477592"/>
    <w:rsid w:val="004776B3"/>
    <w:rsid w:val="00477887"/>
    <w:rsid w:val="00481DB4"/>
    <w:rsid w:val="00486180"/>
    <w:rsid w:val="00486F1C"/>
    <w:rsid w:val="0049003A"/>
    <w:rsid w:val="004901FB"/>
    <w:rsid w:val="00490590"/>
    <w:rsid w:val="0049419D"/>
    <w:rsid w:val="00495D9F"/>
    <w:rsid w:val="004A057B"/>
    <w:rsid w:val="004A2679"/>
    <w:rsid w:val="004A68B4"/>
    <w:rsid w:val="004A6A54"/>
    <w:rsid w:val="004B22DB"/>
    <w:rsid w:val="004B421C"/>
    <w:rsid w:val="004B5491"/>
    <w:rsid w:val="004B5592"/>
    <w:rsid w:val="004C20D2"/>
    <w:rsid w:val="004C2312"/>
    <w:rsid w:val="004C4B62"/>
    <w:rsid w:val="004C54C9"/>
    <w:rsid w:val="004D3A77"/>
    <w:rsid w:val="004D4ABA"/>
    <w:rsid w:val="004D5010"/>
    <w:rsid w:val="004D6025"/>
    <w:rsid w:val="004D6418"/>
    <w:rsid w:val="004E2649"/>
    <w:rsid w:val="004E70FB"/>
    <w:rsid w:val="004E76EE"/>
    <w:rsid w:val="004F23EF"/>
    <w:rsid w:val="004F51CA"/>
    <w:rsid w:val="004F626F"/>
    <w:rsid w:val="00501399"/>
    <w:rsid w:val="00503EFA"/>
    <w:rsid w:val="005047ED"/>
    <w:rsid w:val="005052C2"/>
    <w:rsid w:val="0050633D"/>
    <w:rsid w:val="00506F0A"/>
    <w:rsid w:val="00507BC4"/>
    <w:rsid w:val="005123FB"/>
    <w:rsid w:val="005128B5"/>
    <w:rsid w:val="005128E4"/>
    <w:rsid w:val="005133DB"/>
    <w:rsid w:val="00513B12"/>
    <w:rsid w:val="00514504"/>
    <w:rsid w:val="005173A3"/>
    <w:rsid w:val="00520067"/>
    <w:rsid w:val="00521E1F"/>
    <w:rsid w:val="00522979"/>
    <w:rsid w:val="00525560"/>
    <w:rsid w:val="00531206"/>
    <w:rsid w:val="00544C49"/>
    <w:rsid w:val="00547A91"/>
    <w:rsid w:val="005516A1"/>
    <w:rsid w:val="00553F91"/>
    <w:rsid w:val="005559EF"/>
    <w:rsid w:val="00563557"/>
    <w:rsid w:val="00563C69"/>
    <w:rsid w:val="005659BE"/>
    <w:rsid w:val="00572904"/>
    <w:rsid w:val="00573321"/>
    <w:rsid w:val="0057402A"/>
    <w:rsid w:val="005766E1"/>
    <w:rsid w:val="00576BD2"/>
    <w:rsid w:val="005771D0"/>
    <w:rsid w:val="0058079D"/>
    <w:rsid w:val="00582DF6"/>
    <w:rsid w:val="00584480"/>
    <w:rsid w:val="005851FF"/>
    <w:rsid w:val="00585C31"/>
    <w:rsid w:val="0058743B"/>
    <w:rsid w:val="0059191A"/>
    <w:rsid w:val="00591C31"/>
    <w:rsid w:val="005921FF"/>
    <w:rsid w:val="00597284"/>
    <w:rsid w:val="005A107C"/>
    <w:rsid w:val="005A24ED"/>
    <w:rsid w:val="005A6D0E"/>
    <w:rsid w:val="005B3E84"/>
    <w:rsid w:val="005B41B9"/>
    <w:rsid w:val="005B52B0"/>
    <w:rsid w:val="005B5984"/>
    <w:rsid w:val="005B6806"/>
    <w:rsid w:val="005C4225"/>
    <w:rsid w:val="005D0110"/>
    <w:rsid w:val="005E29F3"/>
    <w:rsid w:val="005E5639"/>
    <w:rsid w:val="005F0DAD"/>
    <w:rsid w:val="005F0F33"/>
    <w:rsid w:val="005F7BB7"/>
    <w:rsid w:val="005F7DA3"/>
    <w:rsid w:val="00600DEB"/>
    <w:rsid w:val="00601426"/>
    <w:rsid w:val="006023A4"/>
    <w:rsid w:val="00607448"/>
    <w:rsid w:val="0060759B"/>
    <w:rsid w:val="00613AED"/>
    <w:rsid w:val="006146D8"/>
    <w:rsid w:val="006160B2"/>
    <w:rsid w:val="006171C6"/>
    <w:rsid w:val="00622337"/>
    <w:rsid w:val="00622CC9"/>
    <w:rsid w:val="00627C9F"/>
    <w:rsid w:val="006311E9"/>
    <w:rsid w:val="00632354"/>
    <w:rsid w:val="0063253B"/>
    <w:rsid w:val="00635421"/>
    <w:rsid w:val="00642810"/>
    <w:rsid w:val="00652333"/>
    <w:rsid w:val="006724C6"/>
    <w:rsid w:val="0068009E"/>
    <w:rsid w:val="0068268A"/>
    <w:rsid w:val="00682A08"/>
    <w:rsid w:val="006845D1"/>
    <w:rsid w:val="006858B1"/>
    <w:rsid w:val="006911DF"/>
    <w:rsid w:val="00692219"/>
    <w:rsid w:val="00696F5D"/>
    <w:rsid w:val="00697949"/>
    <w:rsid w:val="006A17D2"/>
    <w:rsid w:val="006A4D35"/>
    <w:rsid w:val="006A5792"/>
    <w:rsid w:val="006A73E6"/>
    <w:rsid w:val="006B1AAC"/>
    <w:rsid w:val="006B20FD"/>
    <w:rsid w:val="006B2D5C"/>
    <w:rsid w:val="006B7282"/>
    <w:rsid w:val="006C0ECF"/>
    <w:rsid w:val="006C4D82"/>
    <w:rsid w:val="006C4EB1"/>
    <w:rsid w:val="006D2092"/>
    <w:rsid w:val="006D3B3A"/>
    <w:rsid w:val="006D5F28"/>
    <w:rsid w:val="006E0166"/>
    <w:rsid w:val="006E2FFB"/>
    <w:rsid w:val="006E621A"/>
    <w:rsid w:val="006E6439"/>
    <w:rsid w:val="006E7769"/>
    <w:rsid w:val="006E7B34"/>
    <w:rsid w:val="006F33F0"/>
    <w:rsid w:val="00703719"/>
    <w:rsid w:val="0070509D"/>
    <w:rsid w:val="0070697F"/>
    <w:rsid w:val="007103C4"/>
    <w:rsid w:val="00716143"/>
    <w:rsid w:val="0072199C"/>
    <w:rsid w:val="00722017"/>
    <w:rsid w:val="0072279C"/>
    <w:rsid w:val="00722C9F"/>
    <w:rsid w:val="007232E4"/>
    <w:rsid w:val="007243E4"/>
    <w:rsid w:val="007253B8"/>
    <w:rsid w:val="007363E4"/>
    <w:rsid w:val="0073741F"/>
    <w:rsid w:val="00740030"/>
    <w:rsid w:val="00754FF6"/>
    <w:rsid w:val="007615F7"/>
    <w:rsid w:val="00761BB8"/>
    <w:rsid w:val="007648F3"/>
    <w:rsid w:val="0076643F"/>
    <w:rsid w:val="00772AFD"/>
    <w:rsid w:val="00777F63"/>
    <w:rsid w:val="0079188B"/>
    <w:rsid w:val="007A5393"/>
    <w:rsid w:val="007A5817"/>
    <w:rsid w:val="007A70F5"/>
    <w:rsid w:val="007A78F4"/>
    <w:rsid w:val="007B05C4"/>
    <w:rsid w:val="007B60E9"/>
    <w:rsid w:val="007B6A19"/>
    <w:rsid w:val="007B6CC3"/>
    <w:rsid w:val="007B76D3"/>
    <w:rsid w:val="007C1829"/>
    <w:rsid w:val="007C3334"/>
    <w:rsid w:val="007C691E"/>
    <w:rsid w:val="007C72C7"/>
    <w:rsid w:val="007D0E9B"/>
    <w:rsid w:val="007D2B98"/>
    <w:rsid w:val="007E0B54"/>
    <w:rsid w:val="007E1386"/>
    <w:rsid w:val="007E21BC"/>
    <w:rsid w:val="007E2C85"/>
    <w:rsid w:val="007E7C82"/>
    <w:rsid w:val="007F00DC"/>
    <w:rsid w:val="007F1CAB"/>
    <w:rsid w:val="007F2AA1"/>
    <w:rsid w:val="007F588D"/>
    <w:rsid w:val="00803F1C"/>
    <w:rsid w:val="008055AD"/>
    <w:rsid w:val="0080600E"/>
    <w:rsid w:val="00811B1D"/>
    <w:rsid w:val="00814688"/>
    <w:rsid w:val="00817612"/>
    <w:rsid w:val="008246FB"/>
    <w:rsid w:val="00827BAB"/>
    <w:rsid w:val="008338A4"/>
    <w:rsid w:val="00834D49"/>
    <w:rsid w:val="008353F9"/>
    <w:rsid w:val="00837C45"/>
    <w:rsid w:val="00844730"/>
    <w:rsid w:val="008457C2"/>
    <w:rsid w:val="00846C2F"/>
    <w:rsid w:val="00857A82"/>
    <w:rsid w:val="00865FCD"/>
    <w:rsid w:val="008677E9"/>
    <w:rsid w:val="00872208"/>
    <w:rsid w:val="008736B2"/>
    <w:rsid w:val="00873836"/>
    <w:rsid w:val="00876A7A"/>
    <w:rsid w:val="008815A5"/>
    <w:rsid w:val="0088320A"/>
    <w:rsid w:val="00883A0F"/>
    <w:rsid w:val="00885737"/>
    <w:rsid w:val="00886BD9"/>
    <w:rsid w:val="00890650"/>
    <w:rsid w:val="00890DA0"/>
    <w:rsid w:val="00894109"/>
    <w:rsid w:val="008944DC"/>
    <w:rsid w:val="00894FCC"/>
    <w:rsid w:val="00896A5B"/>
    <w:rsid w:val="00897E12"/>
    <w:rsid w:val="008A0495"/>
    <w:rsid w:val="008A5C01"/>
    <w:rsid w:val="008A6244"/>
    <w:rsid w:val="008A7E0F"/>
    <w:rsid w:val="008B12F5"/>
    <w:rsid w:val="008B3E48"/>
    <w:rsid w:val="008C23E4"/>
    <w:rsid w:val="008C26B3"/>
    <w:rsid w:val="008C5E2D"/>
    <w:rsid w:val="008C7D26"/>
    <w:rsid w:val="008D2DE7"/>
    <w:rsid w:val="008D768D"/>
    <w:rsid w:val="008E3759"/>
    <w:rsid w:val="008E3BFE"/>
    <w:rsid w:val="008E6523"/>
    <w:rsid w:val="008F1912"/>
    <w:rsid w:val="008F4CA4"/>
    <w:rsid w:val="008F4F69"/>
    <w:rsid w:val="008F7DDC"/>
    <w:rsid w:val="00901503"/>
    <w:rsid w:val="0090270B"/>
    <w:rsid w:val="009041DC"/>
    <w:rsid w:val="0090726A"/>
    <w:rsid w:val="00907484"/>
    <w:rsid w:val="00916CB4"/>
    <w:rsid w:val="00917B5A"/>
    <w:rsid w:val="00920A58"/>
    <w:rsid w:val="00920A8C"/>
    <w:rsid w:val="00920E31"/>
    <w:rsid w:val="00934A2C"/>
    <w:rsid w:val="00937E18"/>
    <w:rsid w:val="0094745D"/>
    <w:rsid w:val="00947A77"/>
    <w:rsid w:val="00950C33"/>
    <w:rsid w:val="00954888"/>
    <w:rsid w:val="0096100E"/>
    <w:rsid w:val="009647F2"/>
    <w:rsid w:val="009668DD"/>
    <w:rsid w:val="0096706E"/>
    <w:rsid w:val="0097121B"/>
    <w:rsid w:val="009723BA"/>
    <w:rsid w:val="00973903"/>
    <w:rsid w:val="00974276"/>
    <w:rsid w:val="00974491"/>
    <w:rsid w:val="009756C2"/>
    <w:rsid w:val="00975AE3"/>
    <w:rsid w:val="00975C4E"/>
    <w:rsid w:val="0097640C"/>
    <w:rsid w:val="00981FBA"/>
    <w:rsid w:val="00982E15"/>
    <w:rsid w:val="009901FF"/>
    <w:rsid w:val="00991012"/>
    <w:rsid w:val="009940D0"/>
    <w:rsid w:val="00996316"/>
    <w:rsid w:val="00996E5E"/>
    <w:rsid w:val="00997BC5"/>
    <w:rsid w:val="009A0043"/>
    <w:rsid w:val="009A47A2"/>
    <w:rsid w:val="009A4F41"/>
    <w:rsid w:val="009A56CE"/>
    <w:rsid w:val="009B18E8"/>
    <w:rsid w:val="009B1DF5"/>
    <w:rsid w:val="009B381B"/>
    <w:rsid w:val="009B3F5F"/>
    <w:rsid w:val="009C5FA2"/>
    <w:rsid w:val="009C6927"/>
    <w:rsid w:val="009D0537"/>
    <w:rsid w:val="009D1753"/>
    <w:rsid w:val="009D7611"/>
    <w:rsid w:val="009E0B61"/>
    <w:rsid w:val="009E4EBF"/>
    <w:rsid w:val="009E53DE"/>
    <w:rsid w:val="009F30A0"/>
    <w:rsid w:val="00A02859"/>
    <w:rsid w:val="00A0361C"/>
    <w:rsid w:val="00A03F6A"/>
    <w:rsid w:val="00A04290"/>
    <w:rsid w:val="00A05389"/>
    <w:rsid w:val="00A0629E"/>
    <w:rsid w:val="00A11212"/>
    <w:rsid w:val="00A11705"/>
    <w:rsid w:val="00A11E44"/>
    <w:rsid w:val="00A15274"/>
    <w:rsid w:val="00A15562"/>
    <w:rsid w:val="00A2109E"/>
    <w:rsid w:val="00A22EE1"/>
    <w:rsid w:val="00A24CE2"/>
    <w:rsid w:val="00A25792"/>
    <w:rsid w:val="00A27A7C"/>
    <w:rsid w:val="00A30100"/>
    <w:rsid w:val="00A328B3"/>
    <w:rsid w:val="00A408C6"/>
    <w:rsid w:val="00A448D8"/>
    <w:rsid w:val="00A50FCF"/>
    <w:rsid w:val="00A528D1"/>
    <w:rsid w:val="00A610CD"/>
    <w:rsid w:val="00A72484"/>
    <w:rsid w:val="00A758AA"/>
    <w:rsid w:val="00A75BD8"/>
    <w:rsid w:val="00A764C2"/>
    <w:rsid w:val="00A94D2B"/>
    <w:rsid w:val="00AA09A2"/>
    <w:rsid w:val="00AA7996"/>
    <w:rsid w:val="00AB0157"/>
    <w:rsid w:val="00AB338F"/>
    <w:rsid w:val="00AB5F9B"/>
    <w:rsid w:val="00AB6032"/>
    <w:rsid w:val="00AC19CB"/>
    <w:rsid w:val="00AC57D8"/>
    <w:rsid w:val="00AD5FC6"/>
    <w:rsid w:val="00AD6D1A"/>
    <w:rsid w:val="00AE2083"/>
    <w:rsid w:val="00AE5488"/>
    <w:rsid w:val="00AE628D"/>
    <w:rsid w:val="00AE6F91"/>
    <w:rsid w:val="00AF4859"/>
    <w:rsid w:val="00AF4BD7"/>
    <w:rsid w:val="00AF5571"/>
    <w:rsid w:val="00AF689E"/>
    <w:rsid w:val="00B012F0"/>
    <w:rsid w:val="00B04818"/>
    <w:rsid w:val="00B056A5"/>
    <w:rsid w:val="00B07341"/>
    <w:rsid w:val="00B23619"/>
    <w:rsid w:val="00B236BB"/>
    <w:rsid w:val="00B23776"/>
    <w:rsid w:val="00B26C40"/>
    <w:rsid w:val="00B30539"/>
    <w:rsid w:val="00B314DB"/>
    <w:rsid w:val="00B33B26"/>
    <w:rsid w:val="00B35C2D"/>
    <w:rsid w:val="00B361F2"/>
    <w:rsid w:val="00B3718B"/>
    <w:rsid w:val="00B3745F"/>
    <w:rsid w:val="00B4632A"/>
    <w:rsid w:val="00B530F1"/>
    <w:rsid w:val="00B561E6"/>
    <w:rsid w:val="00B625D8"/>
    <w:rsid w:val="00B6718F"/>
    <w:rsid w:val="00B6765D"/>
    <w:rsid w:val="00B67E09"/>
    <w:rsid w:val="00B76653"/>
    <w:rsid w:val="00B76FAD"/>
    <w:rsid w:val="00B77D4F"/>
    <w:rsid w:val="00B80A2C"/>
    <w:rsid w:val="00B90104"/>
    <w:rsid w:val="00B93D7F"/>
    <w:rsid w:val="00B96161"/>
    <w:rsid w:val="00B965EB"/>
    <w:rsid w:val="00BA276C"/>
    <w:rsid w:val="00BB019D"/>
    <w:rsid w:val="00BB0C5D"/>
    <w:rsid w:val="00BB306F"/>
    <w:rsid w:val="00BB6D93"/>
    <w:rsid w:val="00BC5C3D"/>
    <w:rsid w:val="00BD0FF5"/>
    <w:rsid w:val="00BD4B89"/>
    <w:rsid w:val="00BD5922"/>
    <w:rsid w:val="00BE0E23"/>
    <w:rsid w:val="00BE2A4A"/>
    <w:rsid w:val="00BE4545"/>
    <w:rsid w:val="00BE55A3"/>
    <w:rsid w:val="00BE57B8"/>
    <w:rsid w:val="00BE772F"/>
    <w:rsid w:val="00BF02CB"/>
    <w:rsid w:val="00BF134A"/>
    <w:rsid w:val="00BF5B73"/>
    <w:rsid w:val="00BF6FD8"/>
    <w:rsid w:val="00C03680"/>
    <w:rsid w:val="00C04686"/>
    <w:rsid w:val="00C04DA6"/>
    <w:rsid w:val="00C054DF"/>
    <w:rsid w:val="00C06BFC"/>
    <w:rsid w:val="00C12AB3"/>
    <w:rsid w:val="00C1351B"/>
    <w:rsid w:val="00C21762"/>
    <w:rsid w:val="00C21FEF"/>
    <w:rsid w:val="00C23BA4"/>
    <w:rsid w:val="00C24340"/>
    <w:rsid w:val="00C24543"/>
    <w:rsid w:val="00C256A2"/>
    <w:rsid w:val="00C25ADB"/>
    <w:rsid w:val="00C348DF"/>
    <w:rsid w:val="00C3671A"/>
    <w:rsid w:val="00C37994"/>
    <w:rsid w:val="00C45FCD"/>
    <w:rsid w:val="00C46BA4"/>
    <w:rsid w:val="00C51515"/>
    <w:rsid w:val="00C52393"/>
    <w:rsid w:val="00C52AA1"/>
    <w:rsid w:val="00C539EB"/>
    <w:rsid w:val="00C53E72"/>
    <w:rsid w:val="00C5660B"/>
    <w:rsid w:val="00C56BAE"/>
    <w:rsid w:val="00C66B72"/>
    <w:rsid w:val="00C74198"/>
    <w:rsid w:val="00C7533D"/>
    <w:rsid w:val="00C75994"/>
    <w:rsid w:val="00C841E7"/>
    <w:rsid w:val="00C87AC4"/>
    <w:rsid w:val="00C87B2D"/>
    <w:rsid w:val="00C87BA0"/>
    <w:rsid w:val="00C938F9"/>
    <w:rsid w:val="00C9567A"/>
    <w:rsid w:val="00CA1292"/>
    <w:rsid w:val="00CA17F0"/>
    <w:rsid w:val="00CA235A"/>
    <w:rsid w:val="00CA75D6"/>
    <w:rsid w:val="00CB183E"/>
    <w:rsid w:val="00CB212D"/>
    <w:rsid w:val="00CB2620"/>
    <w:rsid w:val="00CB2660"/>
    <w:rsid w:val="00CB40AB"/>
    <w:rsid w:val="00CB5EFF"/>
    <w:rsid w:val="00CC3CC3"/>
    <w:rsid w:val="00CC5E90"/>
    <w:rsid w:val="00CD02A9"/>
    <w:rsid w:val="00CD046C"/>
    <w:rsid w:val="00CD47CC"/>
    <w:rsid w:val="00CD607F"/>
    <w:rsid w:val="00CE076C"/>
    <w:rsid w:val="00CE2C60"/>
    <w:rsid w:val="00CE5199"/>
    <w:rsid w:val="00CE66D5"/>
    <w:rsid w:val="00CE748E"/>
    <w:rsid w:val="00CF17F6"/>
    <w:rsid w:val="00CF637A"/>
    <w:rsid w:val="00CF6C0A"/>
    <w:rsid w:val="00D049A2"/>
    <w:rsid w:val="00D059DE"/>
    <w:rsid w:val="00D05ABD"/>
    <w:rsid w:val="00D062C4"/>
    <w:rsid w:val="00D13FCE"/>
    <w:rsid w:val="00D200D8"/>
    <w:rsid w:val="00D26157"/>
    <w:rsid w:val="00D306D1"/>
    <w:rsid w:val="00D30800"/>
    <w:rsid w:val="00D30EA9"/>
    <w:rsid w:val="00D34786"/>
    <w:rsid w:val="00D37BFC"/>
    <w:rsid w:val="00D4293B"/>
    <w:rsid w:val="00D43645"/>
    <w:rsid w:val="00D469B9"/>
    <w:rsid w:val="00D47A8E"/>
    <w:rsid w:val="00D50B6A"/>
    <w:rsid w:val="00D513E5"/>
    <w:rsid w:val="00D52C17"/>
    <w:rsid w:val="00D52D14"/>
    <w:rsid w:val="00D54B17"/>
    <w:rsid w:val="00D712D3"/>
    <w:rsid w:val="00D71422"/>
    <w:rsid w:val="00D72DC6"/>
    <w:rsid w:val="00D7371E"/>
    <w:rsid w:val="00D7558D"/>
    <w:rsid w:val="00D81478"/>
    <w:rsid w:val="00D81D92"/>
    <w:rsid w:val="00D86CF0"/>
    <w:rsid w:val="00D876F9"/>
    <w:rsid w:val="00DA113A"/>
    <w:rsid w:val="00DA7B5F"/>
    <w:rsid w:val="00DB04BA"/>
    <w:rsid w:val="00DB4AA0"/>
    <w:rsid w:val="00DB772F"/>
    <w:rsid w:val="00DC06EC"/>
    <w:rsid w:val="00DC0D1A"/>
    <w:rsid w:val="00DC11E7"/>
    <w:rsid w:val="00DC24E3"/>
    <w:rsid w:val="00DC2F15"/>
    <w:rsid w:val="00DC7023"/>
    <w:rsid w:val="00DC7627"/>
    <w:rsid w:val="00DC769A"/>
    <w:rsid w:val="00DD0B8B"/>
    <w:rsid w:val="00DD3D86"/>
    <w:rsid w:val="00DD4AD2"/>
    <w:rsid w:val="00DD523B"/>
    <w:rsid w:val="00DD629A"/>
    <w:rsid w:val="00DE0A06"/>
    <w:rsid w:val="00DE2862"/>
    <w:rsid w:val="00DF0DD9"/>
    <w:rsid w:val="00DF1C99"/>
    <w:rsid w:val="00DF1EC4"/>
    <w:rsid w:val="00DF48D8"/>
    <w:rsid w:val="00DF65D0"/>
    <w:rsid w:val="00DF77BE"/>
    <w:rsid w:val="00E0156C"/>
    <w:rsid w:val="00E01F7E"/>
    <w:rsid w:val="00E0332C"/>
    <w:rsid w:val="00E0340B"/>
    <w:rsid w:val="00E03973"/>
    <w:rsid w:val="00E04A66"/>
    <w:rsid w:val="00E04A90"/>
    <w:rsid w:val="00E0551F"/>
    <w:rsid w:val="00E0556F"/>
    <w:rsid w:val="00E07384"/>
    <w:rsid w:val="00E07D09"/>
    <w:rsid w:val="00E1146E"/>
    <w:rsid w:val="00E17A31"/>
    <w:rsid w:val="00E219C7"/>
    <w:rsid w:val="00E23587"/>
    <w:rsid w:val="00E23589"/>
    <w:rsid w:val="00E305EB"/>
    <w:rsid w:val="00E31749"/>
    <w:rsid w:val="00E32B06"/>
    <w:rsid w:val="00E4118C"/>
    <w:rsid w:val="00E43157"/>
    <w:rsid w:val="00E44CC3"/>
    <w:rsid w:val="00E461CE"/>
    <w:rsid w:val="00E4729B"/>
    <w:rsid w:val="00E504E4"/>
    <w:rsid w:val="00E573E4"/>
    <w:rsid w:val="00E57AD3"/>
    <w:rsid w:val="00E6400B"/>
    <w:rsid w:val="00E64C3D"/>
    <w:rsid w:val="00E66075"/>
    <w:rsid w:val="00E714FB"/>
    <w:rsid w:val="00E71CC3"/>
    <w:rsid w:val="00E720CA"/>
    <w:rsid w:val="00E73067"/>
    <w:rsid w:val="00E761B0"/>
    <w:rsid w:val="00E82954"/>
    <w:rsid w:val="00E84EB5"/>
    <w:rsid w:val="00E85662"/>
    <w:rsid w:val="00E860D8"/>
    <w:rsid w:val="00E8789F"/>
    <w:rsid w:val="00E93717"/>
    <w:rsid w:val="00E938DE"/>
    <w:rsid w:val="00E9406B"/>
    <w:rsid w:val="00E97B71"/>
    <w:rsid w:val="00EA3D34"/>
    <w:rsid w:val="00EA4F24"/>
    <w:rsid w:val="00EA5447"/>
    <w:rsid w:val="00EA5554"/>
    <w:rsid w:val="00EB415D"/>
    <w:rsid w:val="00EB43A9"/>
    <w:rsid w:val="00EB454D"/>
    <w:rsid w:val="00EB57FD"/>
    <w:rsid w:val="00EB757A"/>
    <w:rsid w:val="00EC1783"/>
    <w:rsid w:val="00EC1F34"/>
    <w:rsid w:val="00ED4155"/>
    <w:rsid w:val="00ED549D"/>
    <w:rsid w:val="00ED5E10"/>
    <w:rsid w:val="00ED76BE"/>
    <w:rsid w:val="00EE00E9"/>
    <w:rsid w:val="00EE38D2"/>
    <w:rsid w:val="00EF0016"/>
    <w:rsid w:val="00EF0EF5"/>
    <w:rsid w:val="00EF1176"/>
    <w:rsid w:val="00EF1AAA"/>
    <w:rsid w:val="00EF2A26"/>
    <w:rsid w:val="00EF619B"/>
    <w:rsid w:val="00F00B55"/>
    <w:rsid w:val="00F02AD1"/>
    <w:rsid w:val="00F03401"/>
    <w:rsid w:val="00F044FA"/>
    <w:rsid w:val="00F05765"/>
    <w:rsid w:val="00F06C02"/>
    <w:rsid w:val="00F14126"/>
    <w:rsid w:val="00F253CC"/>
    <w:rsid w:val="00F27C81"/>
    <w:rsid w:val="00F30B01"/>
    <w:rsid w:val="00F3376F"/>
    <w:rsid w:val="00F37106"/>
    <w:rsid w:val="00F44E25"/>
    <w:rsid w:val="00F45848"/>
    <w:rsid w:val="00F47F27"/>
    <w:rsid w:val="00F519CF"/>
    <w:rsid w:val="00F51CC4"/>
    <w:rsid w:val="00F56BA5"/>
    <w:rsid w:val="00F56ECB"/>
    <w:rsid w:val="00F60E22"/>
    <w:rsid w:val="00F6533F"/>
    <w:rsid w:val="00F81395"/>
    <w:rsid w:val="00F81BB8"/>
    <w:rsid w:val="00F84F53"/>
    <w:rsid w:val="00F85D56"/>
    <w:rsid w:val="00F860EE"/>
    <w:rsid w:val="00F90C64"/>
    <w:rsid w:val="00F917D1"/>
    <w:rsid w:val="00F9265E"/>
    <w:rsid w:val="00F9653B"/>
    <w:rsid w:val="00FA4F51"/>
    <w:rsid w:val="00FA6D5E"/>
    <w:rsid w:val="00FB0A18"/>
    <w:rsid w:val="00FB2957"/>
    <w:rsid w:val="00FB62CF"/>
    <w:rsid w:val="00FC4D49"/>
    <w:rsid w:val="00FC642A"/>
    <w:rsid w:val="00FD18B8"/>
    <w:rsid w:val="00FD2AA7"/>
    <w:rsid w:val="00FD3C3B"/>
    <w:rsid w:val="00FD63FE"/>
    <w:rsid w:val="00FE0278"/>
    <w:rsid w:val="00FE07DD"/>
    <w:rsid w:val="00FE54AB"/>
    <w:rsid w:val="00FE5548"/>
    <w:rsid w:val="00FE6B45"/>
    <w:rsid w:val="00FF0BAA"/>
    <w:rsid w:val="00FF16D8"/>
    <w:rsid w:val="00FF4CDC"/>
    <w:rsid w:val="00FF55F3"/>
    <w:rsid w:val="00FF5851"/>
    <w:rsid w:val="00FF7B79"/>
    <w:rsid w:val="07FAB2D7"/>
    <w:rsid w:val="414183C4"/>
    <w:rsid w:val="5754DE8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CD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uiPriority w:val="34"/>
    <w:qFormat/>
    <w:rsid w:val="002E5A4F"/>
    <w:pPr>
      <w:numPr>
        <w:numId w:val="63"/>
      </w:numPr>
      <w:spacing w:before="240" w:after="24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0"/>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0">
    <w:name w:val="List 210"/>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0"/>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ft"/>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1"/>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0"/>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12"/>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0">
    <w:name w:val="List 510"/>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9"/>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Pr>
    <w:tcPr>
      <w:shd w:val="clear" w:color="auto" w:fill="D3DFEE" w:themeFill="accent1" w:themeFillTint="3F"/>
    </w:tc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4GChar"/>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ft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style>
  <w:style w:type="character" w:styleId="CommentReference">
    <w:name w:val="annotation reference"/>
    <w:basedOn w:val="DefaultParagraphFont"/>
    <w:uiPriority w:val="99"/>
    <w:semiHidden/>
    <w:unhideWhenUsed/>
    <w:rsid w:val="003D3566"/>
    <w:rPr>
      <w:sz w:val="16"/>
      <w:szCs w:val="16"/>
    </w:rPr>
  </w:style>
  <w:style w:type="paragraph" w:customStyle="1" w:styleId="Notasalpie">
    <w:name w:val="Notas al pie"/>
    <w:basedOn w:val="FootnoteText"/>
    <w:link w:val="NotasalpieChar"/>
    <w:qFormat/>
    <w:rsid w:val="009901FF"/>
    <w:pPr>
      <w:ind w:firstLine="720"/>
      <w:jc w:val="both"/>
    </w:pPr>
    <w:rPr>
      <w:rFonts w:asciiTheme="majorHAnsi" w:hAnsiTheme="majorHAnsi"/>
      <w:sz w:val="16"/>
      <w:szCs w:val="16"/>
      <w:lang w:val="es-ES"/>
    </w:rPr>
  </w:style>
  <w:style w:type="character" w:customStyle="1" w:styleId="NotasalpieChar">
    <w:name w:val="Notas al pie Char"/>
    <w:basedOn w:val="FootnoteTextChar"/>
    <w:link w:val="Notasalpie"/>
    <w:rsid w:val="009901FF"/>
    <w:rPr>
      <w:rFonts w:asciiTheme="majorHAnsi" w:eastAsia="Calibri" w:hAnsiTheme="majorHAnsi" w:cs="Calibri"/>
      <w:color w:val="000000"/>
      <w:sz w:val="16"/>
      <w:szCs w:val="16"/>
      <w:u w:color="000000"/>
      <w:lang w:val="en-U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qFormat/>
    <w:rsid w:val="005F7DA3"/>
    <w:pPr>
      <w:pBdr>
        <w:top w:val="none" w:sz="0" w:space="0" w:color="auto"/>
        <w:left w:val="none" w:sz="0" w:space="0" w:color="auto"/>
        <w:bottom w:val="none" w:sz="0" w:space="0" w:color="auto"/>
        <w:right w:val="none" w:sz="0" w:space="0" w:color="auto"/>
        <w:between w:val="none" w:sz="0" w:space="0" w:color="auto"/>
        <w:bar w:val="none" w:sz="0" w:color="auto"/>
      </w:pBdr>
      <w:jc w:val="both"/>
    </w:pPr>
    <w:rPr>
      <w:sz w:val="20"/>
      <w:szCs w:val="20"/>
      <w:vertAlign w:val="superscript"/>
      <w:lang w:val="es-ES" w:eastAsia="es-ES"/>
    </w:rPr>
  </w:style>
  <w:style w:type="paragraph" w:styleId="CommentText">
    <w:name w:val="annotation text"/>
    <w:basedOn w:val="Normal"/>
    <w:link w:val="CommentTextChar"/>
    <w:uiPriority w:val="99"/>
    <w:unhideWhenUsed/>
    <w:rsid w:val="001A016D"/>
    <w:rPr>
      <w:sz w:val="20"/>
      <w:szCs w:val="20"/>
    </w:rPr>
  </w:style>
  <w:style w:type="character" w:customStyle="1" w:styleId="CommentTextChar">
    <w:name w:val="Comment Text Char"/>
    <w:basedOn w:val="DefaultParagraphFont"/>
    <w:link w:val="CommentText"/>
    <w:uiPriority w:val="99"/>
    <w:rsid w:val="001A016D"/>
    <w:rPr>
      <w:lang w:val="en-US" w:eastAsia="en-US"/>
    </w:rPr>
  </w:style>
  <w:style w:type="paragraph" w:styleId="CommentSubject">
    <w:name w:val="annotation subject"/>
    <w:basedOn w:val="CommentText"/>
    <w:next w:val="CommentText"/>
    <w:link w:val="CommentSubjectChar"/>
    <w:uiPriority w:val="99"/>
    <w:semiHidden/>
    <w:unhideWhenUsed/>
    <w:rsid w:val="001A016D"/>
    <w:rPr>
      <w:b/>
      <w:bCs/>
    </w:rPr>
  </w:style>
  <w:style w:type="character" w:customStyle="1" w:styleId="CommentSubjectChar">
    <w:name w:val="Comment Subject Char"/>
    <w:basedOn w:val="CommentTextChar"/>
    <w:link w:val="CommentSubject"/>
    <w:uiPriority w:val="99"/>
    <w:semiHidden/>
    <w:rsid w:val="001A016D"/>
    <w:rPr>
      <w:b/>
      <w:bCs/>
      <w:lang w:val="en-US" w:eastAsia="en-US"/>
    </w:rPr>
  </w:style>
  <w:style w:type="character" w:styleId="UnresolvedMention">
    <w:name w:val="Unresolved Mention"/>
    <w:basedOn w:val="DefaultParagraphFont"/>
    <w:uiPriority w:val="99"/>
    <w:semiHidden/>
    <w:unhideWhenUsed/>
    <w:rsid w:val="001B7C14"/>
    <w:rPr>
      <w:color w:val="605E5C"/>
      <w:shd w:val="clear" w:color="auto" w:fill="E1DFDD"/>
    </w:rPr>
  </w:style>
  <w:style w:type="paragraph" w:customStyle="1" w:styleId="FootnotesrefssChar1Char">
    <w:name w:val="Footnotes refss Char1 Char"/>
    <w:aliases w:val="Texto de nota al pie Char1 Char,Appel note de bas de page Char1 Char,Footnote number Char1 Char,referencia nota al pie Char1 Char,BVI fnr Char1 Char,f Char1 Char,4_G Char1 Char,16 Point Char1 Char"/>
    <w:basedOn w:val="Normal"/>
    <w:qFormat/>
    <w:rsid w:val="00846C2F"/>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vertAlign w:val="superscript"/>
      <w:lang w:val="es-ES" w:eastAsia="es-ES"/>
    </w:rPr>
  </w:style>
  <w:style w:type="paragraph" w:customStyle="1" w:styleId="parrafos">
    <w:name w:val="parrafos"/>
    <w:basedOn w:val="Normal"/>
    <w:qFormat/>
    <w:rsid w:val="00BB6D93"/>
    <w:pPr>
      <w:numPr>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pPr>
    <w:rPr>
      <w:rFonts w:asciiTheme="majorHAnsi" w:hAnsiTheme="majorHAnsi"/>
      <w:color w:val="000000" w:themeColor="text1"/>
      <w:sz w:val="20"/>
      <w:szCs w:val="20"/>
      <w:lang w:val="es-VE"/>
    </w:rPr>
  </w:style>
  <w:style w:type="paragraph" w:customStyle="1" w:styleId="paragraph">
    <w:name w:val="paragraph"/>
    <w:basedOn w:val="Normal"/>
    <w:rsid w:val="00354FE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354FE4"/>
  </w:style>
  <w:style w:type="character" w:customStyle="1" w:styleId="eop">
    <w:name w:val="eop"/>
    <w:basedOn w:val="DefaultParagraphFont"/>
    <w:rsid w:val="00354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13B64"/>
    <w:rsid w:val="0002349D"/>
    <w:rsid w:val="00200821"/>
    <w:rsid w:val="0025245B"/>
    <w:rsid w:val="00260471"/>
    <w:rsid w:val="002A3923"/>
    <w:rsid w:val="002E775E"/>
    <w:rsid w:val="00323DD5"/>
    <w:rsid w:val="00335D68"/>
    <w:rsid w:val="00394049"/>
    <w:rsid w:val="003B0C71"/>
    <w:rsid w:val="003B795E"/>
    <w:rsid w:val="003E2DD8"/>
    <w:rsid w:val="00402EDA"/>
    <w:rsid w:val="004B5BBB"/>
    <w:rsid w:val="004F2DF8"/>
    <w:rsid w:val="00517E2A"/>
    <w:rsid w:val="006100A9"/>
    <w:rsid w:val="006D3128"/>
    <w:rsid w:val="006F24A1"/>
    <w:rsid w:val="00753CC8"/>
    <w:rsid w:val="007A5393"/>
    <w:rsid w:val="007C72C7"/>
    <w:rsid w:val="00875B8A"/>
    <w:rsid w:val="008937F7"/>
    <w:rsid w:val="00894109"/>
    <w:rsid w:val="008953BC"/>
    <w:rsid w:val="00901503"/>
    <w:rsid w:val="00996E5E"/>
    <w:rsid w:val="009A261B"/>
    <w:rsid w:val="009E4EBF"/>
    <w:rsid w:val="00AA2E17"/>
    <w:rsid w:val="00AC15A4"/>
    <w:rsid w:val="00AE628D"/>
    <w:rsid w:val="00B0336C"/>
    <w:rsid w:val="00B35C2D"/>
    <w:rsid w:val="00CF0262"/>
    <w:rsid w:val="00D241E9"/>
    <w:rsid w:val="00D3126A"/>
    <w:rsid w:val="00D7750D"/>
    <w:rsid w:val="00DD629A"/>
    <w:rsid w:val="00E66075"/>
    <w:rsid w:val="00E714FB"/>
    <w:rsid w:val="00EA4F24"/>
    <w:rsid w:val="00F00D2F"/>
    <w:rsid w:val="00F128DF"/>
    <w:rsid w:val="00FE54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36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b0e92df6973b2d4b901a2d810e5aa3eb">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9c6acb8b21602d3c70f312b3f7778e56"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C95626-5AB0-4ADD-B919-3F5DD81424A7}">
  <ds:schemaRefs>
    <ds:schemaRef ds:uri="http://schemas.openxmlformats.org/officeDocument/2006/bibliography"/>
  </ds:schemaRefs>
</ds:datastoreItem>
</file>

<file path=customXml/itemProps2.xml><?xml version="1.0" encoding="utf-8"?>
<ds:datastoreItem xmlns:ds="http://schemas.openxmlformats.org/officeDocument/2006/customXml" ds:itemID="{BAAA5E56-A434-4FDE-A85C-B2B749DA3756}">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DF5221BC-7277-4694-A42A-062152A0C073}">
  <ds:schemaRefs>
    <ds:schemaRef ds:uri="http://schemas.microsoft.com/sharepoint/v3/contenttype/forms"/>
  </ds:schemaRefs>
</ds:datastoreItem>
</file>

<file path=customXml/itemProps4.xml><?xml version="1.0" encoding="utf-8"?>
<ds:datastoreItem xmlns:ds="http://schemas.openxmlformats.org/officeDocument/2006/customXml" ds:itemID="{992E4B34-82B9-48B1-8463-49CA48332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3985</Words>
  <Characters>22718</Characters>
  <Application>Microsoft Office Word</Application>
  <DocSecurity>0</DocSecurity>
  <Lines>189</Lines>
  <Paragraphs>53</Paragraphs>
  <ScaleCrop>false</ScaleCrop>
  <Company/>
  <LinksUpToDate>false</LinksUpToDate>
  <CharactersWithSpaces>26650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2025-12-12T14:49:00Z</dcterms:created>
  <dcterms:modified xsi:type="dcterms:W3CDTF">2025-12-12T14:49:00Z</dcterms:modified>
</cp:coreProperties>
</file>