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47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E72B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3323">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2670FDA" w:rsidR="007B05C4" w:rsidRPr="003F773A" w:rsidRDefault="005B52B0" w:rsidP="00997BC5">
                            <w:pPr>
                              <w:spacing w:line="276" w:lineRule="auto"/>
                              <w:rPr>
                                <w:rFonts w:asciiTheme="majorHAnsi" w:hAnsiTheme="majorHAnsi" w:cs="Arial"/>
                                <w:b/>
                                <w:color w:val="0D0D0D" w:themeColor="text1" w:themeTint="F2"/>
                                <w:sz w:val="36"/>
                                <w:szCs w:val="22"/>
                                <w:lang w:val="es-ES_tradnl"/>
                              </w:rPr>
                            </w:pPr>
                            <w:r w:rsidRPr="003F773A">
                              <w:rPr>
                                <w:rFonts w:asciiTheme="majorHAnsi" w:hAnsiTheme="majorHAnsi" w:cs="Arial"/>
                                <w:b/>
                                <w:color w:val="0D0D0D" w:themeColor="text1" w:themeTint="F2"/>
                                <w:sz w:val="36"/>
                                <w:szCs w:val="22"/>
                                <w:lang w:val="es-ES_tradnl"/>
                              </w:rPr>
                              <w:t xml:space="preserve">PETICIÓN </w:t>
                            </w:r>
                            <w:r w:rsidR="009D407C" w:rsidRPr="003F773A">
                              <w:rPr>
                                <w:rFonts w:asciiTheme="majorHAnsi" w:hAnsiTheme="majorHAnsi" w:cs="Arial"/>
                                <w:b/>
                                <w:color w:val="0D0D0D" w:themeColor="text1" w:themeTint="F2"/>
                                <w:sz w:val="36"/>
                                <w:szCs w:val="22"/>
                                <w:lang w:val="es-ES_tradnl"/>
                              </w:rPr>
                              <w:t>311-15</w:t>
                            </w:r>
                          </w:p>
                          <w:p w14:paraId="70CF6833" w14:textId="6BD1900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F773A">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EE1FFB1" w14:textId="6B8EFF97" w:rsidR="00725D32" w:rsidRPr="00725D32" w:rsidRDefault="00725D32" w:rsidP="00725D32">
                            <w:pPr>
                              <w:rPr>
                                <w:rFonts w:ascii="Cambria" w:hAnsi="Cambria"/>
                                <w:lang w:val="es-AR"/>
                              </w:rPr>
                            </w:pPr>
                            <w:r w:rsidRPr="00725D32">
                              <w:rPr>
                                <w:rFonts w:ascii="Cambria" w:hAnsi="Cambria"/>
                                <w:lang w:val="es-AR"/>
                              </w:rPr>
                              <w:t xml:space="preserve">HABITANTES Y COMERCIANTES DEL SECTOR “LA PLAZA” </w:t>
                            </w:r>
                          </w:p>
                          <w:p w14:paraId="575DFD52" w14:textId="44D9EFE1" w:rsidR="005B52B0" w:rsidRPr="00EB197F" w:rsidRDefault="009D407C"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5E72B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3323">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2670FDA" w:rsidR="007B05C4" w:rsidRPr="003F773A" w:rsidRDefault="005B52B0" w:rsidP="00997BC5">
                      <w:pPr>
                        <w:spacing w:line="276" w:lineRule="auto"/>
                        <w:rPr>
                          <w:rFonts w:asciiTheme="majorHAnsi" w:hAnsiTheme="majorHAnsi" w:cs="Arial"/>
                          <w:b/>
                          <w:color w:val="0D0D0D" w:themeColor="text1" w:themeTint="F2"/>
                          <w:sz w:val="36"/>
                          <w:szCs w:val="22"/>
                          <w:lang w:val="es-ES_tradnl"/>
                        </w:rPr>
                      </w:pPr>
                      <w:r w:rsidRPr="003F773A">
                        <w:rPr>
                          <w:rFonts w:asciiTheme="majorHAnsi" w:hAnsiTheme="majorHAnsi" w:cs="Arial"/>
                          <w:b/>
                          <w:color w:val="0D0D0D" w:themeColor="text1" w:themeTint="F2"/>
                          <w:sz w:val="36"/>
                          <w:szCs w:val="22"/>
                          <w:lang w:val="es-ES_tradnl"/>
                        </w:rPr>
                        <w:t xml:space="preserve">PETICIÓN </w:t>
                      </w:r>
                      <w:r w:rsidR="009D407C" w:rsidRPr="003F773A">
                        <w:rPr>
                          <w:rFonts w:asciiTheme="majorHAnsi" w:hAnsiTheme="majorHAnsi" w:cs="Arial"/>
                          <w:b/>
                          <w:color w:val="0D0D0D" w:themeColor="text1" w:themeTint="F2"/>
                          <w:sz w:val="36"/>
                          <w:szCs w:val="22"/>
                          <w:lang w:val="es-ES_tradnl"/>
                        </w:rPr>
                        <w:t>311-15</w:t>
                      </w:r>
                    </w:p>
                    <w:p w14:paraId="70CF6833" w14:textId="6BD1900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F773A">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EE1FFB1" w14:textId="6B8EFF97" w:rsidR="00725D32" w:rsidRPr="00725D32" w:rsidRDefault="00725D32" w:rsidP="00725D32">
                      <w:pPr>
                        <w:rPr>
                          <w:rFonts w:ascii="Cambria" w:hAnsi="Cambria"/>
                          <w:lang w:val="es-AR"/>
                        </w:rPr>
                      </w:pPr>
                      <w:r w:rsidRPr="00725D32">
                        <w:rPr>
                          <w:rFonts w:ascii="Cambria" w:hAnsi="Cambria"/>
                          <w:lang w:val="es-AR"/>
                        </w:rPr>
                        <w:t xml:space="preserve">HABITANTES Y COMERCIANTES DEL SECTOR “LA PLAZA” </w:t>
                      </w:r>
                    </w:p>
                    <w:p w14:paraId="575DFD52" w14:textId="44D9EFE1" w:rsidR="005B52B0" w:rsidRPr="00EB197F" w:rsidRDefault="009D407C"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6CE686" w:rsidR="00627C9F" w:rsidRPr="004F4C97" w:rsidRDefault="00834D49" w:rsidP="007A5817">
                            <w:pPr>
                              <w:spacing w:line="276" w:lineRule="auto"/>
                              <w:jc w:val="right"/>
                              <w:rPr>
                                <w:rFonts w:asciiTheme="minorHAnsi" w:hAnsiTheme="minorHAnsi"/>
                                <w:color w:val="FFFFFF" w:themeColor="background1"/>
                                <w:sz w:val="22"/>
                                <w:lang w:val="es-ES"/>
                              </w:rPr>
                            </w:pPr>
                            <w:r w:rsidRPr="004F4C97">
                              <w:rPr>
                                <w:rFonts w:asciiTheme="minorHAnsi" w:hAnsiTheme="minorHAnsi"/>
                                <w:color w:val="FFFFFF" w:themeColor="background1"/>
                                <w:sz w:val="22"/>
                                <w:lang w:val="es-ES"/>
                              </w:rPr>
                              <w:t>OEA/Ser.L/V/II</w:t>
                            </w:r>
                          </w:p>
                          <w:p w14:paraId="6A41611B" w14:textId="1BDBC460" w:rsidR="00627C9F" w:rsidRPr="004F4C97" w:rsidRDefault="00627C9F" w:rsidP="007A5817">
                            <w:pPr>
                              <w:spacing w:line="276" w:lineRule="auto"/>
                              <w:jc w:val="right"/>
                              <w:rPr>
                                <w:rFonts w:asciiTheme="minorHAnsi" w:hAnsiTheme="minorHAnsi"/>
                                <w:color w:val="FFFFFF" w:themeColor="background1"/>
                                <w:sz w:val="22"/>
                                <w:lang w:val="es-ES"/>
                              </w:rPr>
                            </w:pPr>
                            <w:r w:rsidRPr="004F4C97">
                              <w:rPr>
                                <w:rFonts w:asciiTheme="minorHAnsi" w:hAnsiTheme="minorHAnsi"/>
                                <w:color w:val="FFFFFF" w:themeColor="background1"/>
                                <w:sz w:val="22"/>
                                <w:lang w:val="es-ES"/>
                              </w:rPr>
                              <w:t xml:space="preserve">Doc. </w:t>
                            </w:r>
                            <w:r w:rsidR="00973323" w:rsidRPr="004F4C97">
                              <w:rPr>
                                <w:rFonts w:asciiTheme="minorHAnsi" w:hAnsiTheme="minorHAnsi"/>
                                <w:color w:val="FFFFFF" w:themeColor="background1"/>
                                <w:sz w:val="22"/>
                                <w:lang w:val="es-ES"/>
                              </w:rPr>
                              <w:t>83</w:t>
                            </w:r>
                          </w:p>
                          <w:p w14:paraId="69373ED2" w14:textId="7E8617DE" w:rsidR="00627C9F" w:rsidRPr="00C25ADB" w:rsidRDefault="0097332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06CE686" w:rsidR="00627C9F" w:rsidRPr="004F4C97" w:rsidRDefault="00834D49" w:rsidP="007A5817">
                      <w:pPr>
                        <w:spacing w:line="276" w:lineRule="auto"/>
                        <w:jc w:val="right"/>
                        <w:rPr>
                          <w:rFonts w:asciiTheme="minorHAnsi" w:hAnsiTheme="minorHAnsi"/>
                          <w:color w:val="FFFFFF" w:themeColor="background1"/>
                          <w:sz w:val="22"/>
                          <w:lang w:val="es-ES"/>
                        </w:rPr>
                      </w:pPr>
                      <w:r w:rsidRPr="004F4C97">
                        <w:rPr>
                          <w:rFonts w:asciiTheme="minorHAnsi" w:hAnsiTheme="minorHAnsi"/>
                          <w:color w:val="FFFFFF" w:themeColor="background1"/>
                          <w:sz w:val="22"/>
                          <w:lang w:val="es-ES"/>
                        </w:rPr>
                        <w:t>OEA/Ser.L/V/II</w:t>
                      </w:r>
                    </w:p>
                    <w:p w14:paraId="6A41611B" w14:textId="1BDBC460" w:rsidR="00627C9F" w:rsidRPr="004F4C97" w:rsidRDefault="00627C9F" w:rsidP="007A5817">
                      <w:pPr>
                        <w:spacing w:line="276" w:lineRule="auto"/>
                        <w:jc w:val="right"/>
                        <w:rPr>
                          <w:rFonts w:asciiTheme="minorHAnsi" w:hAnsiTheme="minorHAnsi"/>
                          <w:color w:val="FFFFFF" w:themeColor="background1"/>
                          <w:sz w:val="22"/>
                          <w:lang w:val="es-ES"/>
                        </w:rPr>
                      </w:pPr>
                      <w:r w:rsidRPr="004F4C97">
                        <w:rPr>
                          <w:rFonts w:asciiTheme="minorHAnsi" w:hAnsiTheme="minorHAnsi"/>
                          <w:color w:val="FFFFFF" w:themeColor="background1"/>
                          <w:sz w:val="22"/>
                          <w:lang w:val="es-ES"/>
                        </w:rPr>
                        <w:t xml:space="preserve">Doc. </w:t>
                      </w:r>
                      <w:r w:rsidR="00973323" w:rsidRPr="004F4C97">
                        <w:rPr>
                          <w:rFonts w:asciiTheme="minorHAnsi" w:hAnsiTheme="minorHAnsi"/>
                          <w:color w:val="FFFFFF" w:themeColor="background1"/>
                          <w:sz w:val="22"/>
                          <w:lang w:val="es-ES"/>
                        </w:rPr>
                        <w:t>83</w:t>
                      </w:r>
                    </w:p>
                    <w:p w14:paraId="69373ED2" w14:textId="7E8617DE" w:rsidR="00627C9F" w:rsidRPr="00C25ADB" w:rsidRDefault="0097332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361F1E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7B3C">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AC7B3C">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AC7B3C">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361F1E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7B3C">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AC7B3C">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AC7B3C">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4A74E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7B3C" w:rsidRPr="00AC7B3C">
                              <w:rPr>
                                <w:rFonts w:asciiTheme="majorHAnsi" w:hAnsiTheme="majorHAnsi"/>
                                <w:color w:val="595959" w:themeColor="text1" w:themeTint="A6"/>
                                <w:sz w:val="18"/>
                                <w:szCs w:val="18"/>
                                <w:lang w:val="pt-BR"/>
                              </w:rPr>
                              <w:t>80</w:t>
                            </w:r>
                            <w:r w:rsidR="007B05C4" w:rsidRPr="00AC7B3C">
                              <w:rPr>
                                <w:rFonts w:asciiTheme="majorHAnsi" w:hAnsiTheme="majorHAnsi"/>
                                <w:color w:val="595959" w:themeColor="text1" w:themeTint="A6"/>
                                <w:sz w:val="18"/>
                                <w:szCs w:val="18"/>
                                <w:lang w:val="pt-BR"/>
                              </w:rPr>
                              <w:t>/</w:t>
                            </w:r>
                            <w:r w:rsidR="00AC7B3C" w:rsidRPr="00AC7B3C">
                              <w:rPr>
                                <w:rFonts w:asciiTheme="majorHAnsi" w:hAnsiTheme="majorHAnsi"/>
                                <w:color w:val="595959" w:themeColor="text1" w:themeTint="A6"/>
                                <w:sz w:val="18"/>
                                <w:szCs w:val="18"/>
                                <w:lang w:val="pt-BR"/>
                              </w:rPr>
                              <w:t>25</w:t>
                            </w:r>
                            <w:r w:rsidRPr="00AC7B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407C">
                              <w:rPr>
                                <w:rFonts w:asciiTheme="majorHAnsi" w:hAnsiTheme="majorHAnsi"/>
                                <w:color w:val="595959" w:themeColor="text1" w:themeTint="A6"/>
                                <w:sz w:val="18"/>
                                <w:szCs w:val="18"/>
                                <w:lang w:val="es-ES"/>
                              </w:rPr>
                              <w:t>311-15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725D32">
                              <w:rPr>
                                <w:rFonts w:asciiTheme="majorHAnsi" w:hAnsiTheme="majorHAnsi"/>
                                <w:color w:val="595959" w:themeColor="text1" w:themeTint="A6"/>
                                <w:sz w:val="18"/>
                                <w:szCs w:val="18"/>
                                <w:lang w:val="es-ES_tradnl"/>
                              </w:rPr>
                              <w:t>Habitantes y comerciantes del sector “La Plaza”</w:t>
                            </w:r>
                            <w:r w:rsidRPr="00890650">
                              <w:rPr>
                                <w:rFonts w:asciiTheme="majorHAnsi" w:hAnsiTheme="majorHAnsi"/>
                                <w:color w:val="595959" w:themeColor="text1" w:themeTint="A6"/>
                                <w:sz w:val="18"/>
                                <w:szCs w:val="18"/>
                                <w:lang w:val="es-ES_tradnl"/>
                              </w:rPr>
                              <w:t xml:space="preserve">. </w:t>
                            </w:r>
                            <w:r w:rsidR="009D407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C7B3C">
                              <w:rPr>
                                <w:rFonts w:asciiTheme="majorHAnsi" w:hAnsiTheme="majorHAnsi"/>
                                <w:color w:val="595959" w:themeColor="text1" w:themeTint="A6"/>
                                <w:sz w:val="18"/>
                                <w:szCs w:val="18"/>
                                <w:lang w:val="es-ES"/>
                              </w:rPr>
                              <w:t>28 de mayo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4A74E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7B3C" w:rsidRPr="00AC7B3C">
                        <w:rPr>
                          <w:rFonts w:asciiTheme="majorHAnsi" w:hAnsiTheme="majorHAnsi"/>
                          <w:color w:val="595959" w:themeColor="text1" w:themeTint="A6"/>
                          <w:sz w:val="18"/>
                          <w:szCs w:val="18"/>
                          <w:lang w:val="pt-BR"/>
                        </w:rPr>
                        <w:t>80</w:t>
                      </w:r>
                      <w:r w:rsidR="007B05C4" w:rsidRPr="00AC7B3C">
                        <w:rPr>
                          <w:rFonts w:asciiTheme="majorHAnsi" w:hAnsiTheme="majorHAnsi"/>
                          <w:color w:val="595959" w:themeColor="text1" w:themeTint="A6"/>
                          <w:sz w:val="18"/>
                          <w:szCs w:val="18"/>
                          <w:lang w:val="pt-BR"/>
                        </w:rPr>
                        <w:t>/</w:t>
                      </w:r>
                      <w:r w:rsidR="00AC7B3C" w:rsidRPr="00AC7B3C">
                        <w:rPr>
                          <w:rFonts w:asciiTheme="majorHAnsi" w:hAnsiTheme="majorHAnsi"/>
                          <w:color w:val="595959" w:themeColor="text1" w:themeTint="A6"/>
                          <w:sz w:val="18"/>
                          <w:szCs w:val="18"/>
                          <w:lang w:val="pt-BR"/>
                        </w:rPr>
                        <w:t>25</w:t>
                      </w:r>
                      <w:r w:rsidRPr="00AC7B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407C">
                        <w:rPr>
                          <w:rFonts w:asciiTheme="majorHAnsi" w:hAnsiTheme="majorHAnsi"/>
                          <w:color w:val="595959" w:themeColor="text1" w:themeTint="A6"/>
                          <w:sz w:val="18"/>
                          <w:szCs w:val="18"/>
                          <w:lang w:val="es-ES"/>
                        </w:rPr>
                        <w:t>311-15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725D32">
                        <w:rPr>
                          <w:rFonts w:asciiTheme="majorHAnsi" w:hAnsiTheme="majorHAnsi"/>
                          <w:color w:val="595959" w:themeColor="text1" w:themeTint="A6"/>
                          <w:sz w:val="18"/>
                          <w:szCs w:val="18"/>
                          <w:lang w:val="es-ES_tradnl"/>
                        </w:rPr>
                        <w:t>Habitantes y comerciantes del sector “La Plaza”</w:t>
                      </w:r>
                      <w:r w:rsidRPr="00890650">
                        <w:rPr>
                          <w:rFonts w:asciiTheme="majorHAnsi" w:hAnsiTheme="majorHAnsi"/>
                          <w:color w:val="595959" w:themeColor="text1" w:themeTint="A6"/>
                          <w:sz w:val="18"/>
                          <w:szCs w:val="18"/>
                          <w:lang w:val="es-ES_tradnl"/>
                        </w:rPr>
                        <w:t xml:space="preserve">. </w:t>
                      </w:r>
                      <w:r w:rsidR="009D407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C7B3C">
                        <w:rPr>
                          <w:rFonts w:asciiTheme="majorHAnsi" w:hAnsiTheme="majorHAnsi"/>
                          <w:color w:val="595959" w:themeColor="text1" w:themeTint="A6"/>
                          <w:sz w:val="18"/>
                          <w:szCs w:val="18"/>
                          <w:lang w:val="es-ES"/>
                        </w:rPr>
                        <w:t>28 de mayo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9944F21" w:rsidR="00D72DC6" w:rsidRPr="00D72DC6" w:rsidRDefault="009E4F56" w:rsidP="00F02AD1">
                            <w:pPr>
                              <w:rPr>
                                <w:color w:val="FFFFFF" w:themeColor="background1"/>
                                <w14:textFill>
                                  <w14:noFill/>
                                </w14:textFill>
                              </w:rPr>
                            </w:pPr>
                            <w:r>
                              <w:rPr>
                                <w:noProof/>
                                <w:color w:val="FFFFFF" w:themeColor="background1"/>
                              </w:rPr>
                              <w:drawing>
                                <wp:inline distT="0" distB="0" distL="0" distR="0" wp14:anchorId="694674DD" wp14:editId="4EFE3646">
                                  <wp:extent cx="1824355" cy="469265"/>
                                  <wp:effectExtent l="0" t="0" r="4445" b="6985"/>
                                  <wp:docPr id="1207649420" name="Picture 12076494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9944F21" w:rsidR="00D72DC6" w:rsidRPr="00D72DC6" w:rsidRDefault="009E4F56" w:rsidP="00F02AD1">
                      <w:pPr>
                        <w:rPr>
                          <w:color w:val="FFFFFF" w:themeColor="background1"/>
                          <w14:textFill>
                            <w14:noFill/>
                          </w14:textFill>
                        </w:rPr>
                      </w:pPr>
                      <w:r>
                        <w:rPr>
                          <w:noProof/>
                          <w:color w:val="FFFFFF" w:themeColor="background1"/>
                        </w:rPr>
                        <w:drawing>
                          <wp:inline distT="0" distB="0" distL="0" distR="0" wp14:anchorId="694674DD" wp14:editId="4EFE3646">
                            <wp:extent cx="1824355" cy="469265"/>
                            <wp:effectExtent l="0" t="0" r="4445" b="6985"/>
                            <wp:docPr id="1207649420" name="Picture 12076494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772EBE4" w:rsidR="003239B8" w:rsidRPr="00D13530" w:rsidRDefault="00545087" w:rsidP="00D13530">
            <w:pPr>
              <w:jc w:val="both"/>
              <w:rPr>
                <w:rFonts w:ascii="Cambria" w:hAnsi="Cambria"/>
                <w:bCs/>
                <w:sz w:val="20"/>
                <w:szCs w:val="20"/>
                <w:lang w:val="es-PE"/>
              </w:rPr>
            </w:pPr>
            <w:r w:rsidRPr="00545087">
              <w:rPr>
                <w:rFonts w:ascii="Cambria" w:hAnsi="Cambria"/>
                <w:bCs/>
                <w:sz w:val="20"/>
                <w:szCs w:val="20"/>
              </w:rPr>
              <w:t>Alejandro Franco Castaño</w:t>
            </w:r>
          </w:p>
        </w:tc>
      </w:tr>
      <w:tr w:rsidR="003239B8" w:rsidRPr="00F97B1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451B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9D5C227" w:rsidR="003239B8" w:rsidRPr="00FD754C" w:rsidRDefault="006C785F" w:rsidP="008D2290">
            <w:pPr>
              <w:jc w:val="both"/>
              <w:rPr>
                <w:rFonts w:ascii="Cambria" w:hAnsi="Cambria"/>
                <w:bCs/>
                <w:sz w:val="20"/>
                <w:szCs w:val="20"/>
                <w:highlight w:val="yellow"/>
                <w:lang w:val="es-ES"/>
              </w:rPr>
            </w:pPr>
            <w:r w:rsidRPr="006C785F">
              <w:rPr>
                <w:rFonts w:ascii="Cambria" w:hAnsi="Cambria"/>
                <w:bCs/>
                <w:sz w:val="20"/>
                <w:szCs w:val="20"/>
                <w:lang w:val="es-ES"/>
              </w:rPr>
              <w:t>Habitantes y comerciantes del sector “La Plaza”</w:t>
            </w:r>
            <w:r>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3E0693E" w:rsidR="003239B8" w:rsidRPr="008400B4" w:rsidRDefault="00855229" w:rsidP="008D2290">
            <w:pPr>
              <w:jc w:val="both"/>
              <w:rPr>
                <w:rFonts w:ascii="Cambria" w:hAnsi="Cambria"/>
                <w:bCs/>
                <w:sz w:val="20"/>
                <w:szCs w:val="20"/>
              </w:rPr>
            </w:pPr>
            <w:r w:rsidRPr="008400B4">
              <w:rPr>
                <w:rFonts w:ascii="Cambria" w:hAnsi="Cambria"/>
                <w:bCs/>
                <w:sz w:val="20"/>
                <w:szCs w:val="20"/>
              </w:rPr>
              <w:t>Colombia</w:t>
            </w:r>
            <w:r w:rsidRPr="008400B4">
              <w:rPr>
                <w:rStyle w:val="FootnoteReference"/>
                <w:rFonts w:ascii="Cambria" w:hAnsi="Cambria"/>
                <w:bCs/>
                <w:sz w:val="20"/>
                <w:szCs w:val="20"/>
              </w:rPr>
              <w:footnoteReference w:id="3"/>
            </w:r>
          </w:p>
        </w:tc>
      </w:tr>
      <w:tr w:rsidR="00223A29" w:rsidRPr="00F97B1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030A572" w:rsidR="00223A29" w:rsidRPr="008400B4" w:rsidRDefault="00262671" w:rsidP="008D2290">
            <w:pPr>
              <w:jc w:val="both"/>
              <w:rPr>
                <w:rFonts w:ascii="Cambria" w:hAnsi="Cambria"/>
                <w:bCs/>
                <w:sz w:val="20"/>
                <w:szCs w:val="20"/>
                <w:lang w:val="es-PE"/>
              </w:rPr>
            </w:pPr>
            <w:r w:rsidRPr="008400B4">
              <w:rPr>
                <w:rFonts w:ascii="Cambria" w:hAnsi="Cambria"/>
                <w:bCs/>
                <w:sz w:val="20"/>
                <w:szCs w:val="20"/>
                <w:lang w:val="es-MX"/>
              </w:rPr>
              <w:t>Artículo</w:t>
            </w:r>
            <w:r w:rsidR="00CF01B6" w:rsidRPr="008400B4">
              <w:rPr>
                <w:rFonts w:ascii="Cambria" w:hAnsi="Cambria"/>
                <w:bCs/>
                <w:sz w:val="20"/>
                <w:szCs w:val="20"/>
                <w:lang w:val="es-MX"/>
              </w:rPr>
              <w:t xml:space="preserve">s </w:t>
            </w:r>
            <w:r w:rsidR="00D12B64" w:rsidRPr="008400B4">
              <w:rPr>
                <w:rFonts w:ascii="Cambria" w:hAnsi="Cambria"/>
                <w:bCs/>
                <w:sz w:val="20"/>
                <w:szCs w:val="20"/>
                <w:lang w:val="es-MX"/>
              </w:rPr>
              <w:t xml:space="preserve">5 </w:t>
            </w:r>
            <w:r w:rsidR="00CF01B6" w:rsidRPr="008400B4">
              <w:rPr>
                <w:rFonts w:ascii="Cambria" w:hAnsi="Cambria"/>
                <w:bCs/>
                <w:sz w:val="20"/>
                <w:szCs w:val="20"/>
                <w:lang w:val="es-MX"/>
              </w:rPr>
              <w:t>(</w:t>
            </w:r>
            <w:r w:rsidR="008400B4" w:rsidRPr="008400B4">
              <w:rPr>
                <w:rFonts w:ascii="Cambria" w:hAnsi="Cambria"/>
                <w:bCs/>
                <w:sz w:val="20"/>
                <w:szCs w:val="20"/>
                <w:lang w:val="es-MX"/>
              </w:rPr>
              <w:t>integridad personal</w:t>
            </w:r>
            <w:r w:rsidR="00CF01B6" w:rsidRPr="008400B4">
              <w:rPr>
                <w:rFonts w:ascii="Cambria" w:hAnsi="Cambria"/>
                <w:bCs/>
                <w:sz w:val="20"/>
                <w:szCs w:val="20"/>
                <w:lang w:val="es-MX"/>
              </w:rPr>
              <w:t>)</w:t>
            </w:r>
            <w:r w:rsidR="008400B4">
              <w:rPr>
                <w:rFonts w:ascii="Cambria" w:hAnsi="Cambria"/>
                <w:bCs/>
                <w:sz w:val="20"/>
                <w:szCs w:val="20"/>
                <w:lang w:val="es-MX"/>
              </w:rPr>
              <w:t>, 8 (garantías judiciales), 21 (propiedad privada) y 25 (protección judicial)</w:t>
            </w:r>
            <w:r w:rsidR="00CF01B6" w:rsidRPr="008400B4">
              <w:rPr>
                <w:rFonts w:ascii="Cambria" w:hAnsi="Cambria"/>
                <w:bCs/>
                <w:sz w:val="20"/>
                <w:szCs w:val="20"/>
                <w:lang w:val="es-MX"/>
              </w:rPr>
              <w:t xml:space="preserve"> de la Convención Americana sobre Derechos Humanos</w:t>
            </w:r>
            <w:r w:rsidR="00CF01B6" w:rsidRPr="008400B4">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2B2B315" w:rsidR="004C2312" w:rsidRPr="003239B8" w:rsidRDefault="000D23E0" w:rsidP="002625EA">
            <w:pPr>
              <w:jc w:val="both"/>
              <w:rPr>
                <w:rFonts w:ascii="Cambria" w:hAnsi="Cambria"/>
                <w:bCs/>
                <w:sz w:val="20"/>
                <w:szCs w:val="20"/>
                <w:lang w:val="es-ES"/>
              </w:rPr>
            </w:pPr>
            <w:r>
              <w:rPr>
                <w:rFonts w:ascii="Cambria" w:hAnsi="Cambria"/>
                <w:bCs/>
                <w:sz w:val="20"/>
                <w:szCs w:val="20"/>
                <w:lang w:val="es-ES"/>
              </w:rPr>
              <w:t>21 de febrero de 2015</w:t>
            </w:r>
          </w:p>
        </w:tc>
      </w:tr>
      <w:tr w:rsidR="00131425" w:rsidRPr="009D407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475AEE9" w:rsidR="00131425" w:rsidRPr="003239B8" w:rsidRDefault="000D23E0" w:rsidP="002625EA">
            <w:pPr>
              <w:jc w:val="both"/>
              <w:rPr>
                <w:rFonts w:ascii="Cambria" w:hAnsi="Cambria"/>
                <w:bCs/>
                <w:sz w:val="20"/>
                <w:szCs w:val="20"/>
                <w:lang w:val="es-ES"/>
              </w:rPr>
            </w:pPr>
            <w:r>
              <w:rPr>
                <w:rFonts w:ascii="Cambria" w:hAnsi="Cambria"/>
                <w:bCs/>
                <w:sz w:val="20"/>
                <w:szCs w:val="20"/>
                <w:lang w:val="es-ES"/>
              </w:rPr>
              <w:t xml:space="preserve">30 de junio de </w:t>
            </w:r>
            <w:r w:rsidR="00297977">
              <w:rPr>
                <w:rFonts w:ascii="Cambria" w:hAnsi="Cambria"/>
                <w:bCs/>
                <w:sz w:val="20"/>
                <w:szCs w:val="20"/>
                <w:lang w:val="es-ES"/>
              </w:rPr>
              <w:t>2017</w:t>
            </w:r>
          </w:p>
        </w:tc>
      </w:tr>
      <w:tr w:rsidR="004C2312" w:rsidRPr="009D407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42CB3F8" w:rsidR="004C2312" w:rsidRPr="003239B8" w:rsidRDefault="006F751D" w:rsidP="008D2290">
            <w:pPr>
              <w:jc w:val="both"/>
              <w:rPr>
                <w:rFonts w:ascii="Cambria" w:hAnsi="Cambria"/>
                <w:bCs/>
                <w:sz w:val="20"/>
                <w:szCs w:val="20"/>
                <w:lang w:val="es-ES"/>
              </w:rPr>
            </w:pPr>
            <w:r>
              <w:rPr>
                <w:rFonts w:ascii="Cambria" w:hAnsi="Cambria"/>
                <w:bCs/>
                <w:sz w:val="20"/>
                <w:szCs w:val="20"/>
                <w:lang w:val="es-ES"/>
              </w:rPr>
              <w:t>17 de agosto de 2023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06732D4" w:rsidR="004C2312" w:rsidRPr="003239B8" w:rsidRDefault="006F751D" w:rsidP="008D2290">
            <w:pPr>
              <w:jc w:val="both"/>
              <w:rPr>
                <w:rFonts w:ascii="Cambria" w:hAnsi="Cambria"/>
                <w:bCs/>
                <w:sz w:val="20"/>
                <w:szCs w:val="20"/>
                <w:lang w:val="es-ES"/>
              </w:rPr>
            </w:pPr>
            <w:r>
              <w:rPr>
                <w:rFonts w:ascii="Cambria" w:hAnsi="Cambria"/>
                <w:bCs/>
                <w:sz w:val="20"/>
                <w:szCs w:val="20"/>
                <w:lang w:val="es-ES"/>
              </w:rPr>
              <w:t>28 de diciembre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72611D2" w:rsidR="001E49E7" w:rsidRPr="003239B8" w:rsidRDefault="006F751D" w:rsidP="002625EA">
            <w:pPr>
              <w:jc w:val="both"/>
              <w:rPr>
                <w:rFonts w:ascii="Cambria" w:hAnsi="Cambria"/>
                <w:bCs/>
                <w:sz w:val="20"/>
                <w:szCs w:val="20"/>
                <w:lang w:val="es-ES"/>
              </w:rPr>
            </w:pPr>
            <w:r>
              <w:rPr>
                <w:rFonts w:ascii="Cambria" w:hAnsi="Cambria"/>
                <w:bCs/>
                <w:sz w:val="20"/>
                <w:szCs w:val="20"/>
                <w:lang w:val="es-ES"/>
              </w:rPr>
              <w:t>25 de mayo de 2023</w:t>
            </w:r>
          </w:p>
        </w:tc>
      </w:tr>
      <w:tr w:rsidR="001E49E7" w:rsidRPr="009D407C"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1F00388B" w:rsidR="001E49E7" w:rsidRPr="003239B8" w:rsidRDefault="006F751D" w:rsidP="002625EA">
            <w:pPr>
              <w:jc w:val="both"/>
              <w:rPr>
                <w:rFonts w:ascii="Cambria" w:hAnsi="Cambria"/>
                <w:bCs/>
                <w:sz w:val="20"/>
                <w:szCs w:val="20"/>
                <w:lang w:val="es-ES"/>
              </w:rPr>
            </w:pPr>
            <w:r>
              <w:rPr>
                <w:rFonts w:ascii="Cambria" w:hAnsi="Cambria"/>
                <w:bCs/>
                <w:sz w:val="20"/>
                <w:szCs w:val="20"/>
                <w:lang w:val="es-ES"/>
              </w:rPr>
              <w:t>22 de junio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11116">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3A69C2A5" w:rsidR="003239B8" w:rsidRPr="00B3745F" w:rsidRDefault="00DB26C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D11116">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9443351" w:rsidR="003239B8" w:rsidRPr="00B3745F" w:rsidRDefault="00DB26C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D11116">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3B8386BE" w:rsidR="003239B8" w:rsidRPr="00B3745F" w:rsidRDefault="00DB26C1"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D11116">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5C42220E" w14:textId="77777777" w:rsidR="00DB26C1" w:rsidRPr="00463185" w:rsidRDefault="00DB26C1" w:rsidP="00DB26C1">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702161AD" w:rsidR="003239B8" w:rsidRPr="00B3745F" w:rsidRDefault="00DB26C1" w:rsidP="00DB26C1">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EE00E9" w:rsidRPr="006C785F" w14:paraId="1231C988" w14:textId="77777777" w:rsidTr="00D11116">
        <w:trPr>
          <w:cantSplit/>
        </w:trPr>
        <w:tc>
          <w:tcPr>
            <w:tcW w:w="3561"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6" w:type="dxa"/>
            <w:vAlign w:val="center"/>
          </w:tcPr>
          <w:p w14:paraId="240941E6" w14:textId="78722752" w:rsidR="00EE00E9" w:rsidRPr="00DC24E3" w:rsidRDefault="00564376" w:rsidP="008D2290">
            <w:pPr>
              <w:jc w:val="both"/>
              <w:rPr>
                <w:rFonts w:ascii="Cambria" w:hAnsi="Cambria"/>
                <w:bCs/>
                <w:sz w:val="20"/>
                <w:szCs w:val="20"/>
                <w:lang w:val="es-ES"/>
              </w:rPr>
            </w:pPr>
            <w:r>
              <w:rPr>
                <w:rFonts w:ascii="Cambria" w:hAnsi="Cambria"/>
                <w:bCs/>
                <w:sz w:val="20"/>
                <w:szCs w:val="20"/>
                <w:lang w:val="es-ES"/>
              </w:rPr>
              <w:t>No</w:t>
            </w:r>
          </w:p>
        </w:tc>
      </w:tr>
      <w:tr w:rsidR="003239B8" w:rsidRPr="00F97B19" w14:paraId="15FAA7D1" w14:textId="77777777" w:rsidTr="00D11116">
        <w:trPr>
          <w:cantSplit/>
        </w:trPr>
        <w:tc>
          <w:tcPr>
            <w:tcW w:w="3561" w:type="dxa"/>
            <w:tcBorders>
              <w:top w:val="single" w:sz="4" w:space="0" w:color="auto"/>
              <w:bottom w:val="single" w:sz="6" w:space="0" w:color="auto"/>
            </w:tcBorders>
            <w:shd w:val="clear" w:color="auto" w:fill="386294"/>
            <w:vAlign w:val="center"/>
          </w:tcPr>
          <w:p w14:paraId="1B0D29FF" w14:textId="77777777" w:rsidR="003239B8" w:rsidRPr="003F773A" w:rsidRDefault="003239B8" w:rsidP="008D2290">
            <w:pPr>
              <w:jc w:val="center"/>
              <w:rPr>
                <w:rFonts w:ascii="Cambria" w:hAnsi="Cambria"/>
                <w:b/>
                <w:bCs/>
                <w:i/>
                <w:color w:val="FFFFFF" w:themeColor="background1"/>
                <w:sz w:val="20"/>
                <w:szCs w:val="20"/>
              </w:rPr>
            </w:pPr>
            <w:r w:rsidRPr="003F773A">
              <w:rPr>
                <w:rFonts w:ascii="Cambria" w:hAnsi="Cambria"/>
                <w:b/>
                <w:bCs/>
                <w:color w:val="FFFFFF" w:themeColor="background1"/>
                <w:sz w:val="20"/>
                <w:szCs w:val="20"/>
              </w:rPr>
              <w:t>Derechos declarados admisibles</w:t>
            </w:r>
            <w:r w:rsidRPr="003F773A">
              <w:rPr>
                <w:rFonts w:ascii="Cambria" w:hAnsi="Cambria"/>
                <w:b/>
                <w:bCs/>
                <w:i/>
                <w:color w:val="FFFFFF" w:themeColor="background1"/>
                <w:sz w:val="20"/>
                <w:szCs w:val="20"/>
              </w:rPr>
              <w:t>:</w:t>
            </w:r>
          </w:p>
        </w:tc>
        <w:tc>
          <w:tcPr>
            <w:tcW w:w="5776" w:type="dxa"/>
            <w:vAlign w:val="center"/>
          </w:tcPr>
          <w:p w14:paraId="6310C8F7" w14:textId="4419ACFD" w:rsidR="003239B8" w:rsidRPr="003F773A" w:rsidRDefault="003F4152" w:rsidP="008D2290">
            <w:pPr>
              <w:jc w:val="both"/>
              <w:rPr>
                <w:rFonts w:ascii="Cambria" w:hAnsi="Cambria"/>
                <w:bCs/>
                <w:sz w:val="20"/>
                <w:szCs w:val="20"/>
                <w:lang w:val="es-PE"/>
              </w:rPr>
            </w:pPr>
            <w:r w:rsidRPr="003F773A">
              <w:rPr>
                <w:rFonts w:ascii="Cambria" w:hAnsi="Cambria"/>
                <w:bCs/>
                <w:sz w:val="20"/>
                <w:szCs w:val="20"/>
                <w:lang w:val="es-PE"/>
              </w:rPr>
              <w:t>Artículos 5 (integridad personal), 8 (garantías judiciales), 21 (propiedad privada), 25 (protección judicial) y 26 (derechos económicos, sociales, culturales y medioambientales) de la Convención Americana</w:t>
            </w:r>
          </w:p>
        </w:tc>
      </w:tr>
      <w:tr w:rsidR="003239B8" w:rsidRPr="005012DF" w14:paraId="4EFD141E" w14:textId="77777777" w:rsidTr="00D11116">
        <w:trPr>
          <w:cantSplit/>
        </w:trPr>
        <w:tc>
          <w:tcPr>
            <w:tcW w:w="3561"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6" w:type="dxa"/>
            <w:vAlign w:val="center"/>
          </w:tcPr>
          <w:p w14:paraId="69C53E8A" w14:textId="338076D6" w:rsidR="003239B8" w:rsidRPr="00DC24E3" w:rsidRDefault="001D0A9E" w:rsidP="008D2290">
            <w:pPr>
              <w:rPr>
                <w:rFonts w:ascii="Cambria" w:hAnsi="Cambria"/>
                <w:bCs/>
                <w:sz w:val="20"/>
                <w:szCs w:val="20"/>
                <w:lang w:val="es-ES"/>
              </w:rPr>
            </w:pPr>
            <w:r>
              <w:rPr>
                <w:rFonts w:ascii="Cambria" w:hAnsi="Cambria"/>
                <w:bCs/>
                <w:sz w:val="20"/>
                <w:szCs w:val="20"/>
                <w:lang w:val="es-ES"/>
              </w:rPr>
              <w:t>Sí</w:t>
            </w:r>
          </w:p>
        </w:tc>
      </w:tr>
      <w:tr w:rsidR="003239B8" w:rsidRPr="005012DF" w14:paraId="52B5BA17" w14:textId="77777777" w:rsidTr="00D11116">
        <w:trPr>
          <w:cantSplit/>
        </w:trPr>
        <w:tc>
          <w:tcPr>
            <w:tcW w:w="3561"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6" w:type="dxa"/>
            <w:vAlign w:val="center"/>
          </w:tcPr>
          <w:p w14:paraId="4A2A4569" w14:textId="720A0758" w:rsidR="003239B8" w:rsidRPr="001D0A9E" w:rsidRDefault="005258DE" w:rsidP="008D2290">
            <w:pPr>
              <w:rPr>
                <w:rFonts w:ascii="Cambria" w:hAnsi="Cambria"/>
                <w:bCs/>
                <w:sz w:val="20"/>
                <w:szCs w:val="20"/>
                <w:lang w:val="es-PE"/>
              </w:rPr>
            </w:pPr>
            <w:r w:rsidRPr="003F773A">
              <w:rPr>
                <w:rFonts w:ascii="Cambria" w:hAnsi="Cambria"/>
                <w:bCs/>
                <w:sz w:val="20"/>
                <w:szCs w:val="20"/>
                <w:lang w:val="es-PE"/>
              </w:rPr>
              <w:t>Sí</w:t>
            </w:r>
          </w:p>
        </w:tc>
      </w:tr>
    </w:tbl>
    <w:p w14:paraId="455A3E4D" w14:textId="77777777" w:rsidR="003F4152" w:rsidRDefault="003F4152" w:rsidP="006A7CD0">
      <w:pPr>
        <w:spacing w:before="240" w:after="240"/>
        <w:ind w:firstLine="720"/>
        <w:jc w:val="both"/>
        <w:rPr>
          <w:rFonts w:asciiTheme="majorHAnsi" w:hAnsiTheme="majorHAnsi"/>
          <w:b/>
          <w:sz w:val="20"/>
          <w:szCs w:val="20"/>
          <w:lang w:val="es-UY"/>
        </w:rPr>
      </w:pPr>
    </w:p>
    <w:p w14:paraId="68911444" w14:textId="77777777" w:rsidR="003F4152" w:rsidRDefault="003F4152" w:rsidP="006A7CD0">
      <w:pPr>
        <w:spacing w:before="240" w:after="240"/>
        <w:ind w:firstLine="720"/>
        <w:jc w:val="both"/>
        <w:rPr>
          <w:rFonts w:asciiTheme="majorHAnsi" w:hAnsiTheme="majorHAnsi"/>
          <w:b/>
          <w:sz w:val="20"/>
          <w:szCs w:val="20"/>
          <w:lang w:val="es-UY"/>
        </w:rPr>
      </w:pPr>
    </w:p>
    <w:p w14:paraId="01E22291" w14:textId="77777777" w:rsidR="003F4152" w:rsidRDefault="003F4152" w:rsidP="006A7CD0">
      <w:pPr>
        <w:spacing w:before="240" w:after="240"/>
        <w:ind w:firstLine="720"/>
        <w:jc w:val="both"/>
        <w:rPr>
          <w:rFonts w:asciiTheme="majorHAnsi" w:hAnsiTheme="majorHAnsi"/>
          <w:b/>
          <w:sz w:val="20"/>
          <w:szCs w:val="20"/>
          <w:lang w:val="es-UY"/>
        </w:rPr>
      </w:pPr>
    </w:p>
    <w:p w14:paraId="18E6423B" w14:textId="20C35D61" w:rsidR="003239B8" w:rsidRPr="00342D8C" w:rsidRDefault="00223A29" w:rsidP="00342D8C">
      <w:pPr>
        <w:spacing w:before="240" w:after="240"/>
        <w:ind w:firstLine="720"/>
        <w:jc w:val="both"/>
        <w:rPr>
          <w:rFonts w:asciiTheme="majorHAnsi" w:hAnsiTheme="majorHAnsi"/>
          <w:b/>
          <w:sz w:val="20"/>
          <w:szCs w:val="20"/>
          <w:lang w:val="es-UY"/>
        </w:rPr>
      </w:pPr>
      <w:r w:rsidRPr="00342D8C">
        <w:rPr>
          <w:rFonts w:asciiTheme="majorHAnsi" w:hAnsiTheme="majorHAnsi"/>
          <w:b/>
          <w:sz w:val="20"/>
          <w:szCs w:val="20"/>
          <w:lang w:val="es-UY"/>
        </w:rPr>
        <w:lastRenderedPageBreak/>
        <w:t xml:space="preserve">V. </w:t>
      </w:r>
      <w:r w:rsidRPr="00342D8C">
        <w:rPr>
          <w:rFonts w:asciiTheme="majorHAnsi" w:hAnsiTheme="majorHAnsi"/>
          <w:b/>
          <w:sz w:val="20"/>
          <w:szCs w:val="20"/>
          <w:lang w:val="es-UY"/>
        </w:rPr>
        <w:tab/>
      </w:r>
      <w:r w:rsidR="00867314" w:rsidRPr="00342D8C">
        <w:rPr>
          <w:rFonts w:asciiTheme="majorHAnsi" w:hAnsiTheme="majorHAnsi"/>
          <w:b/>
          <w:sz w:val="20"/>
          <w:szCs w:val="20"/>
          <w:lang w:val="es-UY"/>
        </w:rPr>
        <w:t>POSICIÓN DE LAS PARTES</w:t>
      </w:r>
    </w:p>
    <w:p w14:paraId="16FB6418" w14:textId="65F7088B" w:rsidR="0083100C" w:rsidRPr="00342D8C" w:rsidRDefault="00A60162" w:rsidP="00342D8C">
      <w:pPr>
        <w:spacing w:before="240" w:after="240"/>
        <w:ind w:firstLine="720"/>
        <w:jc w:val="both"/>
        <w:rPr>
          <w:rFonts w:asciiTheme="majorHAnsi" w:hAnsiTheme="majorHAnsi"/>
          <w:b/>
          <w:sz w:val="20"/>
          <w:szCs w:val="20"/>
          <w:lang w:val="es-UY"/>
        </w:rPr>
      </w:pPr>
      <w:r w:rsidRPr="00342D8C">
        <w:rPr>
          <w:rFonts w:asciiTheme="majorHAnsi" w:hAnsiTheme="majorHAnsi"/>
          <w:b/>
          <w:sz w:val="20"/>
          <w:szCs w:val="20"/>
          <w:lang w:val="es-UY"/>
        </w:rPr>
        <w:t>La parte peticionaria</w:t>
      </w:r>
    </w:p>
    <w:p w14:paraId="45DBABB1" w14:textId="035CB556" w:rsidR="00A60162" w:rsidRPr="00342D8C" w:rsidRDefault="00FD754C"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UY"/>
        </w:rPr>
        <w:t>La parte peticionaria</w:t>
      </w:r>
      <w:r w:rsidR="00A60162" w:rsidRPr="00342D8C">
        <w:rPr>
          <w:rFonts w:asciiTheme="majorHAnsi" w:hAnsiTheme="majorHAnsi"/>
          <w:sz w:val="20"/>
          <w:szCs w:val="20"/>
          <w:lang w:val="es-AR"/>
        </w:rPr>
        <w:t xml:space="preserve"> alega que</w:t>
      </w:r>
      <w:r w:rsidR="00B87B2F" w:rsidRPr="00342D8C">
        <w:rPr>
          <w:rFonts w:asciiTheme="majorHAnsi" w:hAnsiTheme="majorHAnsi"/>
          <w:sz w:val="20"/>
          <w:szCs w:val="20"/>
          <w:lang w:val="es-AR"/>
        </w:rPr>
        <w:t xml:space="preserve"> los habitantes y comerciantes del sector “La Plaza” en Marmato, Caldas, vienen sufriendo</w:t>
      </w:r>
      <w:r w:rsidR="003C4AC7" w:rsidRPr="00342D8C">
        <w:rPr>
          <w:rFonts w:asciiTheme="majorHAnsi" w:hAnsiTheme="majorHAnsi"/>
          <w:sz w:val="20"/>
          <w:szCs w:val="20"/>
          <w:lang w:val="es-AR"/>
        </w:rPr>
        <w:t xml:space="preserve"> el agrietamiento y hundimiento de sus casas y locales comerciales</w:t>
      </w:r>
      <w:r w:rsidR="00A60162" w:rsidRPr="00342D8C">
        <w:rPr>
          <w:rFonts w:asciiTheme="majorHAnsi" w:hAnsiTheme="majorHAnsi"/>
          <w:sz w:val="20"/>
          <w:szCs w:val="20"/>
          <w:lang w:val="es-AR"/>
        </w:rPr>
        <w:t xml:space="preserve"> debido a la falta de control y fiscalización sobre las actividades mineras en la zona.</w:t>
      </w:r>
    </w:p>
    <w:p w14:paraId="64D63818" w14:textId="699FC2E0" w:rsidR="00470E4B" w:rsidRPr="00342D8C" w:rsidRDefault="00470E4B"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42D8C">
        <w:rPr>
          <w:rFonts w:asciiTheme="majorHAnsi" w:hAnsiTheme="majorHAnsi"/>
          <w:i/>
          <w:iCs/>
          <w:sz w:val="20"/>
          <w:szCs w:val="20"/>
          <w:lang w:val="es-AR"/>
        </w:rPr>
        <w:t>Contexto: el historial de actividades mineras en Marmato</w:t>
      </w:r>
    </w:p>
    <w:p w14:paraId="0A810B02" w14:textId="3D02E75A" w:rsidR="00EC5CDA" w:rsidRPr="00342D8C" w:rsidRDefault="00475E10"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Pr>
          <w:rFonts w:asciiTheme="majorHAnsi" w:hAnsiTheme="majorHAnsi"/>
          <w:sz w:val="20"/>
          <w:szCs w:val="20"/>
          <w:lang w:val="es-AR"/>
        </w:rPr>
        <w:t>La parte peticionaria e</w:t>
      </w:r>
      <w:r w:rsidR="002D1CB9" w:rsidRPr="00342D8C">
        <w:rPr>
          <w:rFonts w:asciiTheme="majorHAnsi" w:hAnsiTheme="majorHAnsi"/>
          <w:sz w:val="20"/>
          <w:szCs w:val="20"/>
          <w:lang w:val="es-AR"/>
        </w:rPr>
        <w:t xml:space="preserve">xplica que </w:t>
      </w:r>
      <w:r w:rsidR="00511083" w:rsidRPr="00342D8C">
        <w:rPr>
          <w:rFonts w:asciiTheme="majorHAnsi" w:hAnsiTheme="majorHAnsi"/>
          <w:sz w:val="20"/>
          <w:szCs w:val="20"/>
          <w:lang w:val="es-AR"/>
        </w:rPr>
        <w:t xml:space="preserve">Marmato es un municipio con una tradición minera de más de </w:t>
      </w:r>
      <w:r w:rsidR="00D11116" w:rsidRPr="00342D8C">
        <w:rPr>
          <w:rFonts w:asciiTheme="majorHAnsi" w:hAnsiTheme="majorHAnsi"/>
          <w:sz w:val="20"/>
          <w:szCs w:val="20"/>
          <w:lang w:val="es-AR"/>
        </w:rPr>
        <w:t>quinientos</w:t>
      </w:r>
      <w:r w:rsidR="00511083" w:rsidRPr="00342D8C">
        <w:rPr>
          <w:rFonts w:asciiTheme="majorHAnsi" w:hAnsiTheme="majorHAnsi"/>
          <w:sz w:val="20"/>
          <w:szCs w:val="20"/>
          <w:lang w:val="es-AR"/>
        </w:rPr>
        <w:t xml:space="preserve"> años, donde la explotación de oro ha sido la principal actividad económica. Durante el siglo XIX y la primera mitad del siglo XX, la actividad minera estuvo dominada por empresa</w:t>
      </w:r>
      <w:r w:rsidR="00D11116" w:rsidRPr="00342D8C">
        <w:rPr>
          <w:rFonts w:asciiTheme="majorHAnsi" w:hAnsiTheme="majorHAnsi"/>
          <w:sz w:val="20"/>
          <w:szCs w:val="20"/>
          <w:lang w:val="es-AR"/>
        </w:rPr>
        <w:t>s</w:t>
      </w:r>
      <w:r w:rsidR="00511083" w:rsidRPr="00342D8C">
        <w:rPr>
          <w:rFonts w:asciiTheme="majorHAnsi" w:hAnsiTheme="majorHAnsi"/>
          <w:sz w:val="20"/>
          <w:szCs w:val="20"/>
          <w:lang w:val="es-AR"/>
        </w:rPr>
        <w:t xml:space="preserve"> extranjer</w:t>
      </w:r>
      <w:r w:rsidR="00D11116" w:rsidRPr="00342D8C">
        <w:rPr>
          <w:rFonts w:asciiTheme="majorHAnsi" w:hAnsiTheme="majorHAnsi"/>
          <w:sz w:val="20"/>
          <w:szCs w:val="20"/>
          <w:lang w:val="es-AR"/>
        </w:rPr>
        <w:t>a</w:t>
      </w:r>
      <w:r w:rsidR="00511083" w:rsidRPr="00342D8C">
        <w:rPr>
          <w:rFonts w:asciiTheme="majorHAnsi" w:hAnsiTheme="majorHAnsi"/>
          <w:sz w:val="20"/>
          <w:szCs w:val="20"/>
          <w:lang w:val="es-AR"/>
        </w:rPr>
        <w:t>s. A partir de 1939, la explotación minera fue asumida por mineros tradicionales, quienes han operado principalmente en las áreas denominadas “Zona Alta” y “Cien Pesos”.</w:t>
      </w:r>
    </w:p>
    <w:p w14:paraId="5C6933EB" w14:textId="57A50EA1" w:rsidR="00EC5CDA" w:rsidRPr="00342D8C" w:rsidRDefault="00EC5CDA"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42D8C">
        <w:rPr>
          <w:rFonts w:asciiTheme="majorHAnsi" w:hAnsiTheme="majorHAnsi"/>
          <w:sz w:val="20"/>
          <w:szCs w:val="20"/>
          <w:lang w:val="es-AR"/>
        </w:rPr>
        <w:t>Posteriormente</w:t>
      </w:r>
      <w:r w:rsidRPr="00342D8C">
        <w:rPr>
          <w:rFonts w:asciiTheme="majorHAnsi" w:hAnsiTheme="majorHAnsi"/>
          <w:i/>
          <w:iCs/>
          <w:sz w:val="20"/>
          <w:szCs w:val="20"/>
          <w:lang w:val="es-AR"/>
        </w:rPr>
        <w:t xml:space="preserve">, </w:t>
      </w:r>
      <w:r w:rsidRPr="00342D8C">
        <w:rPr>
          <w:rFonts w:asciiTheme="majorHAnsi" w:hAnsiTheme="majorHAnsi"/>
          <w:sz w:val="20"/>
          <w:szCs w:val="20"/>
          <w:lang w:val="es-AR"/>
        </w:rPr>
        <w:t>e</w:t>
      </w:r>
      <w:r w:rsidR="00511083" w:rsidRPr="00342D8C">
        <w:rPr>
          <w:rFonts w:asciiTheme="majorHAnsi" w:hAnsiTheme="majorHAnsi"/>
          <w:sz w:val="20"/>
          <w:szCs w:val="20"/>
          <w:lang w:val="es-AR"/>
        </w:rPr>
        <w:t xml:space="preserve">l Estado colombiano, a través del Ministerio de Minas y Energía y sus entidades delegadas, </w:t>
      </w:r>
      <w:r w:rsidRPr="00342D8C">
        <w:rPr>
          <w:rFonts w:asciiTheme="majorHAnsi" w:hAnsiTheme="majorHAnsi"/>
          <w:sz w:val="20"/>
          <w:szCs w:val="20"/>
          <w:lang w:val="es-AR"/>
        </w:rPr>
        <w:t>comenzó a regular</w:t>
      </w:r>
      <w:r w:rsidR="00511083" w:rsidRPr="00342D8C">
        <w:rPr>
          <w:rFonts w:asciiTheme="majorHAnsi" w:hAnsiTheme="majorHAnsi"/>
          <w:sz w:val="20"/>
          <w:szCs w:val="20"/>
          <w:lang w:val="es-AR"/>
        </w:rPr>
        <w:t xml:space="preserve"> la explotación minera en Marmato mediante diversos instrumentos legales. Hasta 1980 la administración minera estuvo a cargo del Ministerio de Minas y Petróleos, que posteriormente delegó la gestión en la Empresa Colombiana de Minas (ECOMINAS). Con la reorganización estatal estas funciones fueron asumidas sucesivamente por Minerales de Colombia S.A. (MINERALCO S.A.), la Empresa Nacional Minera Ltda. (MINERCOL)</w:t>
      </w:r>
      <w:r w:rsidR="00D11116" w:rsidRPr="00342D8C">
        <w:rPr>
          <w:rFonts w:asciiTheme="majorHAnsi" w:hAnsiTheme="majorHAnsi"/>
          <w:sz w:val="20"/>
          <w:szCs w:val="20"/>
          <w:lang w:val="es-AR"/>
        </w:rPr>
        <w:t>,</w:t>
      </w:r>
      <w:r w:rsidR="00511083" w:rsidRPr="00342D8C">
        <w:rPr>
          <w:rFonts w:asciiTheme="majorHAnsi" w:hAnsiTheme="majorHAnsi"/>
          <w:sz w:val="20"/>
          <w:szCs w:val="20"/>
          <w:lang w:val="es-AR"/>
        </w:rPr>
        <w:t xml:space="preserve"> y finalmente con la entrada en vigencia de la Ley 685 de 2001, por la Unidad de Asuntos Mineros de la Gobernación de Caldas.</w:t>
      </w:r>
    </w:p>
    <w:p w14:paraId="64219AE7" w14:textId="5BD7565F" w:rsidR="00EC5CDA" w:rsidRPr="00342D8C" w:rsidRDefault="00C94CE6"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42D8C">
        <w:rPr>
          <w:rFonts w:asciiTheme="majorHAnsi" w:hAnsiTheme="majorHAnsi"/>
          <w:sz w:val="20"/>
          <w:szCs w:val="20"/>
          <w:lang w:val="es-AR"/>
        </w:rPr>
        <w:t>El peticionario s</w:t>
      </w:r>
      <w:r w:rsidR="00511083" w:rsidRPr="00342D8C">
        <w:rPr>
          <w:rFonts w:asciiTheme="majorHAnsi" w:hAnsiTheme="majorHAnsi"/>
          <w:sz w:val="20"/>
          <w:szCs w:val="20"/>
          <w:lang w:val="es-AR"/>
        </w:rPr>
        <w:t xml:space="preserve">ostiene que a pesar de la existencia de un marco normativo para la fiscalización de las actividades mineras, </w:t>
      </w:r>
      <w:r w:rsidR="00EC5CDA" w:rsidRPr="00342D8C">
        <w:rPr>
          <w:rFonts w:asciiTheme="majorHAnsi" w:hAnsiTheme="majorHAnsi"/>
          <w:sz w:val="20"/>
          <w:szCs w:val="20"/>
          <w:lang w:val="es-AR"/>
        </w:rPr>
        <w:t>Colombia</w:t>
      </w:r>
      <w:r w:rsidR="00511083" w:rsidRPr="00342D8C">
        <w:rPr>
          <w:rFonts w:asciiTheme="majorHAnsi" w:hAnsiTheme="majorHAnsi"/>
          <w:sz w:val="20"/>
          <w:szCs w:val="20"/>
          <w:lang w:val="es-AR"/>
        </w:rPr>
        <w:t xml:space="preserve"> no ha ejercido un control adecuado sobre la explotación realizada en la zona urbana de Marmato, permitiendo la ejecución de trabajos mineros sin las medidas técnicas y de seguridad necesarias para evitar riesgos geológicos.</w:t>
      </w:r>
    </w:p>
    <w:p w14:paraId="71972A35" w14:textId="211C1877" w:rsidR="00FD754C" w:rsidRPr="00342D8C" w:rsidRDefault="00F30FCD"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342D8C">
        <w:rPr>
          <w:rFonts w:asciiTheme="majorHAnsi" w:hAnsiTheme="majorHAnsi"/>
          <w:i/>
          <w:iCs/>
          <w:sz w:val="20"/>
          <w:szCs w:val="20"/>
          <w:lang w:val="es-AR"/>
        </w:rPr>
        <w:t>Sobre las actividades mineras</w:t>
      </w:r>
      <w:r w:rsidR="00785107" w:rsidRPr="00342D8C">
        <w:rPr>
          <w:rFonts w:asciiTheme="majorHAnsi" w:hAnsiTheme="majorHAnsi"/>
          <w:i/>
          <w:iCs/>
          <w:sz w:val="20"/>
          <w:szCs w:val="20"/>
          <w:lang w:val="es-AR"/>
        </w:rPr>
        <w:t xml:space="preserve"> en “La Granadina”</w:t>
      </w:r>
      <w:r w:rsidRPr="00342D8C">
        <w:rPr>
          <w:rFonts w:asciiTheme="majorHAnsi" w:hAnsiTheme="majorHAnsi"/>
          <w:i/>
          <w:iCs/>
          <w:sz w:val="20"/>
          <w:szCs w:val="20"/>
          <w:lang w:val="es-AR"/>
        </w:rPr>
        <w:t xml:space="preserve"> y la</w:t>
      </w:r>
      <w:r w:rsidR="00785107" w:rsidRPr="00342D8C">
        <w:rPr>
          <w:rFonts w:asciiTheme="majorHAnsi" w:hAnsiTheme="majorHAnsi"/>
          <w:i/>
          <w:iCs/>
          <w:sz w:val="20"/>
          <w:szCs w:val="20"/>
          <w:lang w:val="es-AR"/>
        </w:rPr>
        <w:t xml:space="preserve"> alegada</w:t>
      </w:r>
      <w:r w:rsidRPr="00342D8C">
        <w:rPr>
          <w:rFonts w:asciiTheme="majorHAnsi" w:hAnsiTheme="majorHAnsi"/>
          <w:i/>
          <w:iCs/>
          <w:sz w:val="20"/>
          <w:szCs w:val="20"/>
          <w:lang w:val="es-AR"/>
        </w:rPr>
        <w:t xml:space="preserve"> falta de fiscalización </w:t>
      </w:r>
    </w:p>
    <w:p w14:paraId="161F59AC" w14:textId="44BCF260" w:rsidR="00DC429E" w:rsidRPr="00342D8C" w:rsidRDefault="00DC429E"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42D8C">
        <w:rPr>
          <w:rFonts w:asciiTheme="majorHAnsi" w:eastAsia="Times New Roman" w:hAnsiTheme="majorHAnsi"/>
          <w:sz w:val="20"/>
          <w:szCs w:val="20"/>
          <w:bdr w:val="none" w:sz="0" w:space="0" w:color="auto"/>
          <w:lang w:val="es-PE" w:eastAsia="es-PE"/>
        </w:rPr>
        <w:t xml:space="preserve">El peticionario señala que la actividad minera en Marmato ha generado una progresiva inestabilidad en el terreno, lo que ha afectado las edificaciones del sector “La Plaza”, donde residen y trabajan más de </w:t>
      </w:r>
      <w:r w:rsidR="00C1345E" w:rsidRPr="00342D8C">
        <w:rPr>
          <w:rFonts w:asciiTheme="majorHAnsi" w:eastAsia="Times New Roman" w:hAnsiTheme="majorHAnsi"/>
          <w:sz w:val="20"/>
          <w:szCs w:val="20"/>
          <w:bdr w:val="none" w:sz="0" w:space="0" w:color="auto"/>
          <w:lang w:val="es-PE" w:eastAsia="es-PE"/>
        </w:rPr>
        <w:t>treinta</w:t>
      </w:r>
      <w:r w:rsidRPr="00342D8C">
        <w:rPr>
          <w:rFonts w:asciiTheme="majorHAnsi" w:eastAsia="Times New Roman" w:hAnsiTheme="majorHAnsi"/>
          <w:sz w:val="20"/>
          <w:szCs w:val="20"/>
          <w:bdr w:val="none" w:sz="0" w:space="0" w:color="auto"/>
          <w:lang w:val="es-PE" w:eastAsia="es-PE"/>
        </w:rPr>
        <w:t xml:space="preserve"> familias. En particular, denuncia que las labores de explotación minera en la mina “La Granadina”, ubicada en el subsuelo de la Plaza Principal, han contribuido a la formación de grietas y hundimientos en los inmuebles, comprometiendo la seguridad de sus habitantes.</w:t>
      </w:r>
    </w:p>
    <w:p w14:paraId="0225908B" w14:textId="431C00BD" w:rsidR="00DC429E" w:rsidRPr="00342D8C" w:rsidRDefault="00DC429E"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42D8C">
        <w:rPr>
          <w:rFonts w:asciiTheme="majorHAnsi" w:eastAsia="Times New Roman" w:hAnsiTheme="majorHAnsi"/>
          <w:sz w:val="20"/>
          <w:szCs w:val="20"/>
          <w:bdr w:val="none" w:sz="0" w:space="0" w:color="auto"/>
          <w:lang w:val="es-PE" w:eastAsia="es-PE"/>
        </w:rPr>
        <w:t xml:space="preserve">Afirma que desde hace aproximadamente </w:t>
      </w:r>
      <w:r w:rsidR="001C65F9" w:rsidRPr="00342D8C">
        <w:rPr>
          <w:rFonts w:asciiTheme="majorHAnsi" w:eastAsia="Times New Roman" w:hAnsiTheme="majorHAnsi"/>
          <w:sz w:val="20"/>
          <w:szCs w:val="20"/>
          <w:bdr w:val="none" w:sz="0" w:space="0" w:color="auto"/>
          <w:lang w:val="es-PE" w:eastAsia="es-PE"/>
        </w:rPr>
        <w:t>trece</w:t>
      </w:r>
      <w:r w:rsidRPr="00342D8C">
        <w:rPr>
          <w:rFonts w:asciiTheme="majorHAnsi" w:eastAsia="Times New Roman" w:hAnsiTheme="majorHAnsi"/>
          <w:sz w:val="20"/>
          <w:szCs w:val="20"/>
          <w:bdr w:val="none" w:sz="0" w:space="0" w:color="auto"/>
          <w:lang w:val="es-PE" w:eastAsia="es-PE"/>
        </w:rPr>
        <w:t xml:space="preserve"> años, las viviendas y locales comerciales han presentado un deterioro progresivo debido a la expansión descontrolada de túneles subterráneos y el uso de explosivos para la extracción de minerales. Según el dictamen pericial aportado por el peticionario, la minería en la zona se ha desarrollado sin cumplir con las especificaciones técnicas exigidas por la reglamentación minera, lo que ha generado subsidencias en el suelo y la pérdida de estabilidad en las edificaciones. El peritaje concluye que la explotación minera ha sido la principal causa del colapso estructural de varias viviendas y advierte que, de continuar la actividad sin medidas correctivas, existe un alto riesgo de una catástrofe con pérdidas humanas y materiales incalculables.</w:t>
      </w:r>
    </w:p>
    <w:p w14:paraId="54B7A949" w14:textId="3810B56F" w:rsidR="004F7EE2" w:rsidRPr="00342D8C" w:rsidRDefault="00DC429E"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42D8C">
        <w:rPr>
          <w:rFonts w:asciiTheme="majorHAnsi" w:eastAsia="Times New Roman" w:hAnsiTheme="majorHAnsi"/>
          <w:sz w:val="20"/>
          <w:szCs w:val="20"/>
          <w:bdr w:val="none" w:sz="0" w:space="0" w:color="auto"/>
          <w:lang w:val="es-PE" w:eastAsia="es-PE"/>
        </w:rPr>
        <w:t xml:space="preserve">El peticionario destaca que a pesar de los informes técnicos que desde 1999 han advertido sobre los riesgos de la actividad minera en la Plaza Principal, las autoridades colombianas han continuado autorizando concesiones sin implementar controles efectivos. En particular, menciona un informe de INGEOMINAS de 1999 que ya identificaba la apertura incontrolada de túneles y la acumulación de escombros como factores de inestabilidad en la zona urbana de Marmato. A pesar de estas advertencias, el Estado permitió la reapertura y explotación de la mina “La Granadina” después de </w:t>
      </w:r>
      <w:r w:rsidR="00845498" w:rsidRPr="00342D8C">
        <w:rPr>
          <w:rFonts w:asciiTheme="majorHAnsi" w:eastAsia="Times New Roman" w:hAnsiTheme="majorHAnsi"/>
          <w:sz w:val="20"/>
          <w:szCs w:val="20"/>
          <w:bdr w:val="none" w:sz="0" w:space="0" w:color="auto"/>
          <w:lang w:val="es-PE" w:eastAsia="es-PE"/>
        </w:rPr>
        <w:t>diez</w:t>
      </w:r>
      <w:r w:rsidRPr="00342D8C">
        <w:rPr>
          <w:rFonts w:asciiTheme="majorHAnsi" w:eastAsia="Times New Roman" w:hAnsiTheme="majorHAnsi"/>
          <w:sz w:val="20"/>
          <w:szCs w:val="20"/>
          <w:bdr w:val="none" w:sz="0" w:space="0" w:color="auto"/>
          <w:lang w:val="es-PE" w:eastAsia="es-PE"/>
        </w:rPr>
        <w:t xml:space="preserve"> años de haber estado cerrada, sin establecer restricciones en el uso de explosivos, lo que según el peticionario agravó la situación de riesgo.</w:t>
      </w:r>
    </w:p>
    <w:p w14:paraId="7378FB3E" w14:textId="77777777" w:rsidR="00BA6C2F" w:rsidRDefault="00BA6C2F"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p>
    <w:p w14:paraId="5B8F0B06" w14:textId="72103974" w:rsidR="00F30FCD" w:rsidRPr="00342D8C" w:rsidRDefault="006C4727"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42D8C">
        <w:rPr>
          <w:rFonts w:asciiTheme="majorHAnsi" w:hAnsiTheme="majorHAnsi"/>
          <w:i/>
          <w:iCs/>
          <w:sz w:val="20"/>
          <w:szCs w:val="20"/>
          <w:lang w:val="es-AR"/>
        </w:rPr>
        <w:lastRenderedPageBreak/>
        <w:t>Acción de grupo</w:t>
      </w:r>
      <w:r w:rsidR="00211C22" w:rsidRPr="00342D8C">
        <w:rPr>
          <w:rFonts w:asciiTheme="majorHAnsi" w:hAnsiTheme="majorHAnsi"/>
          <w:i/>
          <w:iCs/>
          <w:sz w:val="20"/>
          <w:szCs w:val="20"/>
          <w:lang w:val="es-AR"/>
        </w:rPr>
        <w:t xml:space="preserve"> y sentencia de primera instancia</w:t>
      </w:r>
    </w:p>
    <w:p w14:paraId="66D39324" w14:textId="7CB80423" w:rsidR="000D43A8" w:rsidRPr="00342D8C" w:rsidRDefault="004F7EE2"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PE"/>
        </w:rPr>
        <w:t>El peticionario s</w:t>
      </w:r>
      <w:r w:rsidR="000D43A8" w:rsidRPr="00342D8C">
        <w:rPr>
          <w:rFonts w:asciiTheme="majorHAnsi" w:hAnsiTheme="majorHAnsi"/>
          <w:sz w:val="20"/>
          <w:szCs w:val="20"/>
          <w:lang w:val="es-PE"/>
        </w:rPr>
        <w:t xml:space="preserve">eñala que el 2 de junio de 2004 </w:t>
      </w:r>
      <w:r w:rsidR="00AA7203" w:rsidRPr="00342D8C">
        <w:rPr>
          <w:rFonts w:asciiTheme="majorHAnsi" w:hAnsiTheme="majorHAnsi"/>
          <w:sz w:val="20"/>
          <w:szCs w:val="20"/>
          <w:lang w:val="es-PE"/>
        </w:rPr>
        <w:t xml:space="preserve">las presuntas víctimas </w:t>
      </w:r>
      <w:r w:rsidR="000D43A8" w:rsidRPr="00342D8C">
        <w:rPr>
          <w:rFonts w:asciiTheme="majorHAnsi" w:hAnsiTheme="majorHAnsi"/>
          <w:sz w:val="20"/>
          <w:szCs w:val="20"/>
          <w:lang w:val="es-PE"/>
        </w:rPr>
        <w:t>interpus</w:t>
      </w:r>
      <w:r w:rsidR="00AA7203" w:rsidRPr="00342D8C">
        <w:rPr>
          <w:rFonts w:asciiTheme="majorHAnsi" w:hAnsiTheme="majorHAnsi"/>
          <w:sz w:val="20"/>
          <w:szCs w:val="20"/>
          <w:lang w:val="es-PE"/>
        </w:rPr>
        <w:t>ieron</w:t>
      </w:r>
      <w:r w:rsidR="000D43A8" w:rsidRPr="00342D8C">
        <w:rPr>
          <w:rFonts w:asciiTheme="majorHAnsi" w:hAnsiTheme="majorHAnsi"/>
          <w:sz w:val="20"/>
          <w:szCs w:val="20"/>
          <w:lang w:val="es-PE"/>
        </w:rPr>
        <w:t xml:space="preserve"> una acción de grupo ante el Tribunal Administrativo de Caldas. </w:t>
      </w:r>
      <w:r w:rsidR="00AA7203" w:rsidRPr="00342D8C">
        <w:rPr>
          <w:rFonts w:asciiTheme="majorHAnsi" w:hAnsiTheme="majorHAnsi"/>
          <w:sz w:val="20"/>
          <w:szCs w:val="20"/>
          <w:lang w:val="es-PE"/>
        </w:rPr>
        <w:t xml:space="preserve">Los </w:t>
      </w:r>
      <w:r w:rsidR="000D43A8" w:rsidRPr="00342D8C">
        <w:rPr>
          <w:rFonts w:asciiTheme="majorHAnsi" w:hAnsiTheme="majorHAnsi"/>
          <w:sz w:val="20"/>
          <w:szCs w:val="20"/>
          <w:lang w:val="es-PE"/>
        </w:rPr>
        <w:t>objetivo</w:t>
      </w:r>
      <w:r w:rsidR="00AA7203" w:rsidRPr="00342D8C">
        <w:rPr>
          <w:rFonts w:asciiTheme="majorHAnsi" w:hAnsiTheme="majorHAnsi"/>
          <w:sz w:val="20"/>
          <w:szCs w:val="20"/>
          <w:lang w:val="es-PE"/>
        </w:rPr>
        <w:t>s</w:t>
      </w:r>
      <w:r w:rsidR="000D43A8" w:rsidRPr="00342D8C">
        <w:rPr>
          <w:rFonts w:asciiTheme="majorHAnsi" w:hAnsiTheme="majorHAnsi"/>
          <w:sz w:val="20"/>
          <w:szCs w:val="20"/>
          <w:lang w:val="es-PE"/>
        </w:rPr>
        <w:t xml:space="preserve"> de esta acción era</w:t>
      </w:r>
      <w:r w:rsidR="00AA7203" w:rsidRPr="00342D8C">
        <w:rPr>
          <w:rFonts w:asciiTheme="majorHAnsi" w:hAnsiTheme="majorHAnsi"/>
          <w:sz w:val="20"/>
          <w:szCs w:val="20"/>
          <w:lang w:val="es-PE"/>
        </w:rPr>
        <w:t>n:</w:t>
      </w:r>
      <w:r w:rsidR="000D43A8" w:rsidRPr="00342D8C">
        <w:rPr>
          <w:rFonts w:asciiTheme="majorHAnsi" w:hAnsiTheme="majorHAnsi"/>
          <w:sz w:val="20"/>
          <w:szCs w:val="20"/>
          <w:lang w:val="es-PE"/>
        </w:rPr>
        <w:t xml:space="preserve"> </w:t>
      </w:r>
      <w:r w:rsidR="00AA7203" w:rsidRPr="00342D8C">
        <w:rPr>
          <w:rFonts w:asciiTheme="majorHAnsi" w:hAnsiTheme="majorHAnsi"/>
          <w:sz w:val="20"/>
          <w:szCs w:val="20"/>
          <w:lang w:val="es-PE"/>
        </w:rPr>
        <w:t xml:space="preserve">i) </w:t>
      </w:r>
      <w:r w:rsidR="00AA2958" w:rsidRPr="00342D8C">
        <w:rPr>
          <w:rFonts w:asciiTheme="majorHAnsi" w:hAnsiTheme="majorHAnsi"/>
          <w:sz w:val="20"/>
          <w:szCs w:val="20"/>
          <w:lang w:val="es-PE"/>
        </w:rPr>
        <w:t>que se reconozca la responsabilidad del Estado colombiano</w:t>
      </w:r>
      <w:r w:rsidR="00AA7203" w:rsidRPr="00342D8C">
        <w:rPr>
          <w:rFonts w:asciiTheme="majorHAnsi" w:hAnsiTheme="majorHAnsi"/>
          <w:sz w:val="20"/>
          <w:szCs w:val="20"/>
          <w:lang w:val="es-PE"/>
        </w:rPr>
        <w:t xml:space="preserve">; </w:t>
      </w:r>
      <w:r w:rsidR="000D43A8" w:rsidRPr="00342D8C">
        <w:rPr>
          <w:rFonts w:asciiTheme="majorHAnsi" w:hAnsiTheme="majorHAnsi"/>
          <w:sz w:val="20"/>
          <w:szCs w:val="20"/>
          <w:lang w:val="es-PE"/>
        </w:rPr>
        <w:t xml:space="preserve">obtener </w:t>
      </w:r>
      <w:r w:rsidR="003D4E17" w:rsidRPr="00342D8C">
        <w:rPr>
          <w:rFonts w:asciiTheme="majorHAnsi" w:hAnsiTheme="majorHAnsi"/>
          <w:sz w:val="20"/>
          <w:szCs w:val="20"/>
          <w:lang w:val="es-PE"/>
        </w:rPr>
        <w:t xml:space="preserve">una indemnización </w:t>
      </w:r>
      <w:r w:rsidR="000D43A8" w:rsidRPr="00342D8C">
        <w:rPr>
          <w:rFonts w:asciiTheme="majorHAnsi" w:hAnsiTheme="majorHAnsi"/>
          <w:sz w:val="20"/>
          <w:szCs w:val="20"/>
          <w:lang w:val="es-PE"/>
        </w:rPr>
        <w:t>por los daños sufridos debido a la falta de fiscalización minera</w:t>
      </w:r>
      <w:r w:rsidR="00AA7203" w:rsidRPr="00342D8C">
        <w:rPr>
          <w:rFonts w:asciiTheme="majorHAnsi" w:hAnsiTheme="majorHAnsi"/>
          <w:sz w:val="20"/>
          <w:szCs w:val="20"/>
          <w:lang w:val="es-PE"/>
        </w:rPr>
        <w:t>; y iii) que se adecu</w:t>
      </w:r>
      <w:r w:rsidR="00D468AF" w:rsidRPr="00342D8C">
        <w:rPr>
          <w:rFonts w:asciiTheme="majorHAnsi" w:hAnsiTheme="majorHAnsi"/>
          <w:sz w:val="20"/>
          <w:szCs w:val="20"/>
          <w:lang w:val="es-PE"/>
        </w:rPr>
        <w:t>aran los mecanismos de seguridad y se implementaran de manera definitiva los planes y programas para garantizar la vida de las personas de la zona</w:t>
      </w:r>
      <w:r w:rsidR="000D43A8" w:rsidRPr="00342D8C">
        <w:rPr>
          <w:rFonts w:asciiTheme="majorHAnsi" w:hAnsiTheme="majorHAnsi"/>
          <w:sz w:val="20"/>
          <w:szCs w:val="20"/>
          <w:lang w:val="es-PE"/>
        </w:rPr>
        <w:t xml:space="preserve">. </w:t>
      </w:r>
    </w:p>
    <w:p w14:paraId="0000E2E8" w14:textId="2DF26B79" w:rsidR="00D63378" w:rsidRPr="00342D8C" w:rsidRDefault="00512F25"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PE"/>
        </w:rPr>
        <w:t>L</w:t>
      </w:r>
      <w:r w:rsidR="00D468AF" w:rsidRPr="00342D8C">
        <w:rPr>
          <w:rFonts w:asciiTheme="majorHAnsi" w:hAnsiTheme="majorHAnsi"/>
          <w:sz w:val="20"/>
          <w:szCs w:val="20"/>
          <w:lang w:val="es-PE"/>
        </w:rPr>
        <w:t>uego de varias etapas procesales</w:t>
      </w:r>
      <w:r w:rsidR="00D625C5" w:rsidRPr="00342D8C">
        <w:rPr>
          <w:rFonts w:asciiTheme="majorHAnsi" w:hAnsiTheme="majorHAnsi"/>
          <w:sz w:val="20"/>
          <w:szCs w:val="20"/>
          <w:lang w:val="es-PE"/>
        </w:rPr>
        <w:t xml:space="preserve"> </w:t>
      </w:r>
      <w:r w:rsidR="00E5443D" w:rsidRPr="00342D8C">
        <w:rPr>
          <w:rFonts w:asciiTheme="majorHAnsi" w:hAnsiTheme="majorHAnsi"/>
          <w:sz w:val="20"/>
          <w:szCs w:val="20"/>
          <w:lang w:val="es-PE"/>
        </w:rPr>
        <w:t xml:space="preserve">el 13 de diciembre de 2012 el Juzgado Segundo Administrativo del Circuito de Manizales </w:t>
      </w:r>
      <w:r w:rsidR="00064A08" w:rsidRPr="00342D8C">
        <w:rPr>
          <w:rFonts w:asciiTheme="majorHAnsi" w:hAnsiTheme="majorHAnsi"/>
          <w:sz w:val="20"/>
          <w:szCs w:val="20"/>
          <w:lang w:val="es-PE"/>
        </w:rPr>
        <w:t xml:space="preserve">declaró patrimonialmente responsable al Ministerio de Minas y Energía y al Municipio de Marmato por el 50% de los perjuicios sufridos por las accionantes que demostraron el daño. </w:t>
      </w:r>
      <w:r w:rsidR="00053459" w:rsidRPr="00342D8C">
        <w:rPr>
          <w:rFonts w:asciiTheme="majorHAnsi" w:hAnsiTheme="majorHAnsi"/>
          <w:sz w:val="20"/>
          <w:szCs w:val="20"/>
          <w:lang w:val="es-PE"/>
        </w:rPr>
        <w:t xml:space="preserve">Adicionalmente, ordenó que dichas entidades paguen solidariamente por perjuicios materiales la suma de </w:t>
      </w:r>
      <w:r w:rsidR="00DE6A24" w:rsidRPr="00342D8C">
        <w:rPr>
          <w:rFonts w:asciiTheme="majorHAnsi" w:hAnsiTheme="majorHAnsi"/>
          <w:sz w:val="20"/>
          <w:szCs w:val="20"/>
          <w:lang w:val="es-PE"/>
        </w:rPr>
        <w:t>COP</w:t>
      </w:r>
      <w:r w:rsidR="00D50EDF" w:rsidRPr="00342D8C">
        <w:rPr>
          <w:rFonts w:asciiTheme="majorHAnsi" w:hAnsiTheme="majorHAnsi"/>
          <w:sz w:val="20"/>
          <w:szCs w:val="20"/>
          <w:lang w:val="es-PE"/>
        </w:rPr>
        <w:t>$</w:t>
      </w:r>
      <w:r w:rsidR="00DE6A24" w:rsidRPr="00342D8C">
        <w:rPr>
          <w:rFonts w:asciiTheme="majorHAnsi" w:hAnsiTheme="majorHAnsi"/>
          <w:sz w:val="20"/>
          <w:szCs w:val="20"/>
          <w:lang w:val="es-PE"/>
        </w:rPr>
        <w:t>.</w:t>
      </w:r>
      <w:r w:rsidR="00D50EDF" w:rsidRPr="00342D8C">
        <w:rPr>
          <w:rFonts w:asciiTheme="majorHAnsi" w:hAnsiTheme="majorHAnsi"/>
          <w:sz w:val="20"/>
          <w:szCs w:val="20"/>
          <w:lang w:val="es-PE"/>
        </w:rPr>
        <w:t xml:space="preserve"> </w:t>
      </w:r>
      <w:r w:rsidR="00053459" w:rsidRPr="00342D8C">
        <w:rPr>
          <w:rFonts w:asciiTheme="majorHAnsi" w:hAnsiTheme="majorHAnsi"/>
          <w:sz w:val="20"/>
          <w:szCs w:val="20"/>
          <w:lang w:val="es-PE"/>
        </w:rPr>
        <w:t>335,313,000.00.</w:t>
      </w:r>
      <w:r w:rsidR="00D63378" w:rsidRPr="00342D8C">
        <w:rPr>
          <w:rFonts w:asciiTheme="majorHAnsi" w:hAnsiTheme="majorHAnsi"/>
          <w:sz w:val="20"/>
          <w:szCs w:val="20"/>
          <w:lang w:val="es-AR"/>
        </w:rPr>
        <w:t xml:space="preserve"> En su decisión, dicha autoridad concluyó que existían </w:t>
      </w:r>
      <w:r w:rsidR="007C5BF5" w:rsidRPr="00342D8C">
        <w:rPr>
          <w:rFonts w:asciiTheme="majorHAnsi" w:hAnsiTheme="majorHAnsi"/>
          <w:sz w:val="20"/>
          <w:szCs w:val="20"/>
          <w:lang w:val="es-AR"/>
        </w:rPr>
        <w:t xml:space="preserve">suficientes pruebas que demostraban que los problemas de inestabilidad del terreno, y los daños a las viviendas y edificaciones del sector de “La Plaza”, habían tenido como causas principales la indebida explotación minera ejercida en el municipio. </w:t>
      </w:r>
      <w:r w:rsidR="003E54FF" w:rsidRPr="00342D8C">
        <w:rPr>
          <w:rFonts w:asciiTheme="majorHAnsi" w:hAnsiTheme="majorHAnsi"/>
          <w:sz w:val="20"/>
          <w:szCs w:val="20"/>
          <w:lang w:val="es-AR"/>
        </w:rPr>
        <w:t>Además, constat</w:t>
      </w:r>
      <w:r w:rsidR="008F571B" w:rsidRPr="00342D8C">
        <w:rPr>
          <w:rFonts w:asciiTheme="majorHAnsi" w:hAnsiTheme="majorHAnsi"/>
          <w:sz w:val="20"/>
          <w:szCs w:val="20"/>
          <w:lang w:val="es-AR"/>
        </w:rPr>
        <w:t>ó</w:t>
      </w:r>
      <w:r w:rsidR="003E54FF" w:rsidRPr="00342D8C">
        <w:rPr>
          <w:rFonts w:asciiTheme="majorHAnsi" w:hAnsiTheme="majorHAnsi"/>
          <w:sz w:val="20"/>
          <w:szCs w:val="20"/>
          <w:lang w:val="es-AR"/>
        </w:rPr>
        <w:t xml:space="preserve"> que era competencia del municipio de Marmato</w:t>
      </w:r>
      <w:r w:rsidR="00F7499B" w:rsidRPr="00342D8C">
        <w:rPr>
          <w:rFonts w:asciiTheme="majorHAnsi" w:hAnsiTheme="majorHAnsi"/>
          <w:sz w:val="20"/>
          <w:szCs w:val="20"/>
          <w:lang w:val="es-AR"/>
        </w:rPr>
        <w:t xml:space="preserve"> la prestación de servicios públicos domiciliarios y el control de vigilancia en su construcción; y que el Ministerio de Minas Energía tenía la obligación de ejercer el control de la actividad minera e</w:t>
      </w:r>
      <w:r w:rsidR="00B45254" w:rsidRPr="00342D8C">
        <w:rPr>
          <w:rFonts w:asciiTheme="majorHAnsi" w:hAnsiTheme="majorHAnsi"/>
          <w:sz w:val="20"/>
          <w:szCs w:val="20"/>
          <w:lang w:val="es-AR"/>
        </w:rPr>
        <w:t>n</w:t>
      </w:r>
      <w:r w:rsidR="00F7499B" w:rsidRPr="00342D8C">
        <w:rPr>
          <w:rFonts w:asciiTheme="majorHAnsi" w:hAnsiTheme="majorHAnsi"/>
          <w:sz w:val="20"/>
          <w:szCs w:val="20"/>
          <w:lang w:val="es-AR"/>
        </w:rPr>
        <w:t xml:space="preserve"> la zona.</w:t>
      </w:r>
      <w:r w:rsidR="008F571B" w:rsidRPr="00342D8C">
        <w:rPr>
          <w:rFonts w:asciiTheme="majorHAnsi" w:hAnsiTheme="majorHAnsi"/>
          <w:sz w:val="20"/>
          <w:szCs w:val="20"/>
          <w:lang w:val="es-AR"/>
        </w:rPr>
        <w:t xml:space="preserve"> Por ende, determinó que ambos organismos fallaron en sus deberes.</w:t>
      </w:r>
      <w:r w:rsidR="00F7499B" w:rsidRPr="00342D8C">
        <w:rPr>
          <w:rFonts w:asciiTheme="majorHAnsi" w:hAnsiTheme="majorHAnsi"/>
          <w:sz w:val="20"/>
          <w:szCs w:val="20"/>
          <w:lang w:val="es-AR"/>
        </w:rPr>
        <w:t xml:space="preserve"> </w:t>
      </w:r>
    </w:p>
    <w:p w14:paraId="24F246BC" w14:textId="1425B878" w:rsidR="00211C22" w:rsidRPr="00342D8C" w:rsidRDefault="00211C22"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42D8C">
        <w:rPr>
          <w:rFonts w:asciiTheme="majorHAnsi" w:hAnsiTheme="majorHAnsi"/>
          <w:i/>
          <w:iCs/>
          <w:sz w:val="20"/>
          <w:szCs w:val="20"/>
          <w:lang w:val="es-AR"/>
        </w:rPr>
        <w:t>Sentencia de segunda instancia</w:t>
      </w:r>
    </w:p>
    <w:p w14:paraId="74703136" w14:textId="4FB50398" w:rsidR="00D35E1E" w:rsidRPr="00342D8C" w:rsidRDefault="00B45254"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 xml:space="preserve">No obstante, indica que tales entidades apelaron esta </w:t>
      </w:r>
      <w:r w:rsidR="00C85400" w:rsidRPr="00342D8C">
        <w:rPr>
          <w:rFonts w:asciiTheme="majorHAnsi" w:hAnsiTheme="majorHAnsi"/>
          <w:sz w:val="20"/>
          <w:szCs w:val="20"/>
          <w:lang w:val="es-AR"/>
        </w:rPr>
        <w:t>decisión,</w:t>
      </w:r>
      <w:r w:rsidRPr="00342D8C">
        <w:rPr>
          <w:rFonts w:asciiTheme="majorHAnsi" w:hAnsiTheme="majorHAnsi"/>
          <w:sz w:val="20"/>
          <w:szCs w:val="20"/>
          <w:lang w:val="es-AR"/>
        </w:rPr>
        <w:t xml:space="preserve"> y el 31 de octubre de 2013 el Tribunal Administrativo de Caldas la revocó</w:t>
      </w:r>
      <w:r w:rsidR="00463836" w:rsidRPr="00342D8C">
        <w:rPr>
          <w:rFonts w:asciiTheme="majorHAnsi" w:hAnsiTheme="majorHAnsi"/>
          <w:sz w:val="20"/>
          <w:szCs w:val="20"/>
          <w:lang w:val="es-AR"/>
        </w:rPr>
        <w:t xml:space="preserve">. Al respecto, </w:t>
      </w:r>
      <w:r w:rsidR="003E5B3A" w:rsidRPr="00342D8C">
        <w:rPr>
          <w:rFonts w:asciiTheme="majorHAnsi" w:hAnsiTheme="majorHAnsi"/>
          <w:spacing w:val="-1"/>
          <w:sz w:val="20"/>
          <w:szCs w:val="20"/>
          <w:lang w:val="es-AR"/>
        </w:rPr>
        <w:t>esta instancia argumentó</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 xml:space="preserve">que </w:t>
      </w:r>
      <w:r w:rsidR="00463836" w:rsidRPr="00342D8C">
        <w:rPr>
          <w:rFonts w:asciiTheme="majorHAnsi" w:hAnsiTheme="majorHAnsi"/>
          <w:sz w:val="20"/>
          <w:szCs w:val="20"/>
          <w:lang w:val="es-PE"/>
        </w:rPr>
        <w:t>no</w:t>
      </w:r>
      <w:r w:rsidR="00463836" w:rsidRPr="00342D8C">
        <w:rPr>
          <w:rFonts w:asciiTheme="majorHAnsi" w:hAnsiTheme="majorHAnsi"/>
          <w:spacing w:val="25"/>
          <w:sz w:val="20"/>
          <w:szCs w:val="20"/>
          <w:lang w:val="es-PE"/>
        </w:rPr>
        <w:t xml:space="preserve"> </w:t>
      </w:r>
      <w:r w:rsidR="00463836" w:rsidRPr="00342D8C">
        <w:rPr>
          <w:rFonts w:asciiTheme="majorHAnsi" w:hAnsiTheme="majorHAnsi"/>
          <w:spacing w:val="-1"/>
          <w:sz w:val="20"/>
          <w:szCs w:val="20"/>
          <w:lang w:val="es-PE"/>
        </w:rPr>
        <w:t>era</w:t>
      </w:r>
      <w:r w:rsidR="00463836" w:rsidRPr="00342D8C">
        <w:rPr>
          <w:rFonts w:asciiTheme="majorHAnsi" w:hAnsiTheme="majorHAnsi"/>
          <w:spacing w:val="70"/>
          <w:sz w:val="20"/>
          <w:szCs w:val="20"/>
          <w:lang w:val="es-PE"/>
        </w:rPr>
        <w:t xml:space="preserve"> </w:t>
      </w:r>
      <w:r w:rsidR="00463836" w:rsidRPr="00342D8C">
        <w:rPr>
          <w:rFonts w:asciiTheme="majorHAnsi" w:hAnsiTheme="majorHAnsi"/>
          <w:spacing w:val="-1"/>
          <w:sz w:val="20"/>
          <w:szCs w:val="20"/>
          <w:lang w:val="es-PE"/>
        </w:rPr>
        <w:t>posible</w:t>
      </w:r>
      <w:r w:rsidR="00463836" w:rsidRPr="00342D8C">
        <w:rPr>
          <w:rFonts w:asciiTheme="majorHAnsi" w:hAnsiTheme="majorHAnsi"/>
          <w:spacing w:val="69"/>
          <w:sz w:val="20"/>
          <w:szCs w:val="20"/>
          <w:lang w:val="es-PE"/>
        </w:rPr>
        <w:t xml:space="preserve"> </w:t>
      </w:r>
      <w:r w:rsidR="00463836" w:rsidRPr="00342D8C">
        <w:rPr>
          <w:rFonts w:asciiTheme="majorHAnsi" w:hAnsiTheme="majorHAnsi"/>
          <w:spacing w:val="-1"/>
          <w:sz w:val="20"/>
          <w:szCs w:val="20"/>
          <w:lang w:val="es-PE"/>
        </w:rPr>
        <w:t>concluir</w:t>
      </w:r>
      <w:r w:rsidR="00463836" w:rsidRPr="00342D8C">
        <w:rPr>
          <w:rFonts w:asciiTheme="majorHAnsi" w:hAnsiTheme="majorHAnsi"/>
          <w:spacing w:val="69"/>
          <w:sz w:val="20"/>
          <w:szCs w:val="20"/>
          <w:lang w:val="es-PE"/>
        </w:rPr>
        <w:t xml:space="preserve"> </w:t>
      </w:r>
      <w:r w:rsidR="00463836" w:rsidRPr="00342D8C">
        <w:rPr>
          <w:rFonts w:asciiTheme="majorHAnsi" w:hAnsiTheme="majorHAnsi"/>
          <w:spacing w:val="-1"/>
          <w:sz w:val="20"/>
          <w:szCs w:val="20"/>
          <w:lang w:val="es-PE"/>
        </w:rPr>
        <w:t>que</w:t>
      </w:r>
      <w:r w:rsidR="00463836" w:rsidRPr="00342D8C">
        <w:rPr>
          <w:rFonts w:asciiTheme="majorHAnsi" w:hAnsiTheme="majorHAnsi"/>
          <w:spacing w:val="70"/>
          <w:sz w:val="20"/>
          <w:szCs w:val="20"/>
          <w:lang w:val="es-PE"/>
        </w:rPr>
        <w:t xml:space="preserve"> </w:t>
      </w:r>
      <w:r w:rsidR="00463836" w:rsidRPr="00342D8C">
        <w:rPr>
          <w:rFonts w:asciiTheme="majorHAnsi" w:hAnsiTheme="majorHAnsi"/>
          <w:spacing w:val="-2"/>
          <w:sz w:val="20"/>
          <w:szCs w:val="20"/>
          <w:lang w:val="es-PE"/>
        </w:rPr>
        <w:t>los</w:t>
      </w:r>
      <w:r w:rsidR="00463836" w:rsidRPr="00342D8C">
        <w:rPr>
          <w:rFonts w:asciiTheme="majorHAnsi" w:hAnsiTheme="majorHAnsi"/>
          <w:spacing w:val="73"/>
          <w:sz w:val="20"/>
          <w:szCs w:val="20"/>
          <w:lang w:val="es-PE"/>
        </w:rPr>
        <w:t xml:space="preserve"> </w:t>
      </w:r>
      <w:r w:rsidR="00463836" w:rsidRPr="00342D8C">
        <w:rPr>
          <w:rFonts w:asciiTheme="majorHAnsi" w:hAnsiTheme="majorHAnsi"/>
          <w:spacing w:val="-1"/>
          <w:sz w:val="20"/>
          <w:szCs w:val="20"/>
          <w:lang w:val="es-PE"/>
        </w:rPr>
        <w:t>daños</w:t>
      </w:r>
      <w:r w:rsidR="00463836" w:rsidRPr="00342D8C">
        <w:rPr>
          <w:rFonts w:asciiTheme="majorHAnsi" w:hAnsiTheme="majorHAnsi"/>
          <w:spacing w:val="70"/>
          <w:sz w:val="20"/>
          <w:szCs w:val="20"/>
          <w:lang w:val="es-PE"/>
        </w:rPr>
        <w:t xml:space="preserve"> </w:t>
      </w:r>
      <w:r w:rsidR="00463836" w:rsidRPr="00342D8C">
        <w:rPr>
          <w:rFonts w:asciiTheme="majorHAnsi" w:hAnsiTheme="majorHAnsi"/>
          <w:spacing w:val="-1"/>
          <w:sz w:val="20"/>
          <w:szCs w:val="20"/>
          <w:lang w:val="es-PE"/>
        </w:rPr>
        <w:t>hubiesen</w:t>
      </w:r>
      <w:r w:rsidR="00463836" w:rsidRPr="00342D8C">
        <w:rPr>
          <w:rFonts w:asciiTheme="majorHAnsi" w:hAnsiTheme="majorHAnsi"/>
          <w:spacing w:val="72"/>
          <w:sz w:val="20"/>
          <w:szCs w:val="20"/>
          <w:lang w:val="es-PE"/>
        </w:rPr>
        <w:t xml:space="preserve"> </w:t>
      </w:r>
      <w:r w:rsidR="00463836" w:rsidRPr="00342D8C">
        <w:rPr>
          <w:rFonts w:asciiTheme="majorHAnsi" w:hAnsiTheme="majorHAnsi"/>
          <w:spacing w:val="-1"/>
          <w:sz w:val="20"/>
          <w:szCs w:val="20"/>
          <w:lang w:val="es-PE"/>
        </w:rPr>
        <w:t>tenido</w:t>
      </w:r>
      <w:r w:rsidR="00463836" w:rsidRPr="00342D8C">
        <w:rPr>
          <w:rFonts w:asciiTheme="majorHAnsi" w:hAnsiTheme="majorHAnsi"/>
          <w:spacing w:val="71"/>
          <w:sz w:val="20"/>
          <w:szCs w:val="20"/>
          <w:lang w:val="es-PE"/>
        </w:rPr>
        <w:t xml:space="preserve"> </w:t>
      </w:r>
      <w:r w:rsidR="00463836" w:rsidRPr="00342D8C">
        <w:rPr>
          <w:rFonts w:asciiTheme="majorHAnsi" w:hAnsiTheme="majorHAnsi"/>
          <w:spacing w:val="-1"/>
          <w:sz w:val="20"/>
          <w:szCs w:val="20"/>
          <w:lang w:val="es-PE"/>
        </w:rPr>
        <w:t>lugar</w:t>
      </w:r>
      <w:r w:rsidR="00463836" w:rsidRPr="00342D8C">
        <w:rPr>
          <w:rFonts w:asciiTheme="majorHAnsi" w:hAnsiTheme="majorHAnsi"/>
          <w:spacing w:val="70"/>
          <w:sz w:val="20"/>
          <w:szCs w:val="20"/>
          <w:lang w:val="es-PE"/>
        </w:rPr>
        <w:t xml:space="preserve"> </w:t>
      </w:r>
      <w:r w:rsidR="00463836" w:rsidRPr="00342D8C">
        <w:rPr>
          <w:rFonts w:asciiTheme="majorHAnsi" w:hAnsiTheme="majorHAnsi"/>
          <w:sz w:val="20"/>
          <w:szCs w:val="20"/>
          <w:lang w:val="es-PE"/>
        </w:rPr>
        <w:t>en</w:t>
      </w:r>
      <w:r w:rsidR="00463836" w:rsidRPr="00342D8C">
        <w:rPr>
          <w:rFonts w:asciiTheme="majorHAnsi" w:hAnsiTheme="majorHAnsi"/>
          <w:spacing w:val="69"/>
          <w:sz w:val="20"/>
          <w:szCs w:val="20"/>
          <w:lang w:val="es-PE"/>
        </w:rPr>
        <w:t xml:space="preserve"> </w:t>
      </w:r>
      <w:r w:rsidR="00463836" w:rsidRPr="00342D8C">
        <w:rPr>
          <w:rFonts w:asciiTheme="majorHAnsi" w:hAnsiTheme="majorHAnsi"/>
          <w:sz w:val="20"/>
          <w:szCs w:val="20"/>
          <w:lang w:val="es-PE"/>
        </w:rPr>
        <w:t>un</w:t>
      </w:r>
      <w:r w:rsidR="00463836" w:rsidRPr="00342D8C">
        <w:rPr>
          <w:rFonts w:asciiTheme="majorHAnsi" w:hAnsiTheme="majorHAnsi"/>
          <w:spacing w:val="69"/>
          <w:sz w:val="20"/>
          <w:szCs w:val="20"/>
          <w:lang w:val="es-PE"/>
        </w:rPr>
        <w:t xml:space="preserve"> </w:t>
      </w:r>
      <w:r w:rsidR="00463836" w:rsidRPr="00342D8C">
        <w:rPr>
          <w:rFonts w:asciiTheme="majorHAnsi" w:hAnsiTheme="majorHAnsi"/>
          <w:spacing w:val="-2"/>
          <w:sz w:val="20"/>
          <w:szCs w:val="20"/>
          <w:lang w:val="es-PE"/>
        </w:rPr>
        <w:t>momento</w:t>
      </w:r>
      <w:r w:rsidR="00463836" w:rsidRPr="00342D8C">
        <w:rPr>
          <w:rFonts w:asciiTheme="majorHAnsi" w:hAnsiTheme="majorHAnsi"/>
          <w:spacing w:val="67"/>
          <w:sz w:val="20"/>
          <w:szCs w:val="20"/>
          <w:lang w:val="es-PE"/>
        </w:rPr>
        <w:t xml:space="preserve"> </w:t>
      </w:r>
      <w:r w:rsidR="00463836" w:rsidRPr="00342D8C">
        <w:rPr>
          <w:rFonts w:asciiTheme="majorHAnsi" w:hAnsiTheme="majorHAnsi"/>
          <w:spacing w:val="-1"/>
          <w:sz w:val="20"/>
          <w:szCs w:val="20"/>
          <w:lang w:val="es-PE"/>
        </w:rPr>
        <w:t>especifico</w:t>
      </w:r>
      <w:r w:rsidR="00463836" w:rsidRPr="00342D8C">
        <w:rPr>
          <w:rFonts w:asciiTheme="majorHAnsi" w:hAnsiTheme="majorHAnsi"/>
          <w:sz w:val="20"/>
          <w:szCs w:val="20"/>
          <w:lang w:val="es-PE"/>
        </w:rPr>
        <w:t xml:space="preserve"> y</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por una</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sola</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causa.</w:t>
      </w:r>
      <w:r w:rsidR="00463836" w:rsidRPr="00342D8C">
        <w:rPr>
          <w:rFonts w:asciiTheme="majorHAnsi" w:hAnsiTheme="majorHAnsi"/>
          <w:spacing w:val="-2"/>
          <w:sz w:val="20"/>
          <w:szCs w:val="20"/>
          <w:lang w:val="es-PE"/>
        </w:rPr>
        <w:t xml:space="preserve"> </w:t>
      </w:r>
      <w:r w:rsidR="00463836" w:rsidRPr="00342D8C">
        <w:rPr>
          <w:rFonts w:asciiTheme="majorHAnsi" w:hAnsiTheme="majorHAnsi"/>
          <w:sz w:val="20"/>
          <w:szCs w:val="20"/>
          <w:lang w:val="es-PE"/>
        </w:rPr>
        <w:t xml:space="preserve">A criterio </w:t>
      </w:r>
      <w:r w:rsidR="00E7305E" w:rsidRPr="00342D8C">
        <w:rPr>
          <w:rFonts w:asciiTheme="majorHAnsi" w:hAnsiTheme="majorHAnsi"/>
          <w:sz w:val="20"/>
          <w:szCs w:val="20"/>
          <w:lang w:val="es-PE"/>
        </w:rPr>
        <w:t>de este colegiado</w:t>
      </w:r>
      <w:r w:rsidR="00463836" w:rsidRPr="00342D8C">
        <w:rPr>
          <w:rFonts w:asciiTheme="majorHAnsi" w:hAnsiTheme="majorHAnsi"/>
          <w:sz w:val="20"/>
          <w:szCs w:val="20"/>
          <w:lang w:val="es-PE"/>
        </w:rPr>
        <w:t xml:space="preserve"> las</w:t>
      </w:r>
      <w:r w:rsidR="00463836" w:rsidRPr="00342D8C">
        <w:rPr>
          <w:rFonts w:asciiTheme="majorHAnsi" w:hAnsiTheme="majorHAnsi"/>
          <w:spacing w:val="-1"/>
          <w:sz w:val="20"/>
          <w:szCs w:val="20"/>
          <w:lang w:val="es-PE"/>
        </w:rPr>
        <w:t xml:space="preserve"> pruebas </w:t>
      </w:r>
      <w:r w:rsidR="00463836" w:rsidRPr="00342D8C">
        <w:rPr>
          <w:rFonts w:asciiTheme="majorHAnsi" w:hAnsiTheme="majorHAnsi"/>
          <w:spacing w:val="-2"/>
          <w:sz w:val="20"/>
          <w:szCs w:val="20"/>
          <w:lang w:val="es-PE"/>
        </w:rPr>
        <w:t xml:space="preserve">en el </w:t>
      </w:r>
      <w:r w:rsidR="00463836" w:rsidRPr="00342D8C">
        <w:rPr>
          <w:rFonts w:asciiTheme="majorHAnsi" w:hAnsiTheme="majorHAnsi"/>
          <w:spacing w:val="-1"/>
          <w:sz w:val="20"/>
          <w:szCs w:val="20"/>
          <w:lang w:val="es-PE"/>
        </w:rPr>
        <w:t>expediente</w:t>
      </w:r>
      <w:r w:rsidR="00292BBC" w:rsidRPr="00342D8C">
        <w:rPr>
          <w:rFonts w:asciiTheme="majorHAnsi" w:hAnsiTheme="majorHAnsi"/>
          <w:spacing w:val="-1"/>
          <w:sz w:val="20"/>
          <w:szCs w:val="20"/>
          <w:lang w:val="es-PE"/>
        </w:rPr>
        <w:t xml:space="preserve"> mostraron</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que</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por</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naturaleza</w:t>
      </w:r>
      <w:r w:rsidR="00463836" w:rsidRPr="00342D8C">
        <w:rPr>
          <w:rFonts w:asciiTheme="majorHAnsi" w:hAnsiTheme="majorHAnsi"/>
          <w:sz w:val="20"/>
          <w:szCs w:val="20"/>
          <w:lang w:val="es-PE"/>
        </w:rPr>
        <w:t xml:space="preserve"> el</w:t>
      </w:r>
      <w:r w:rsidR="00463836" w:rsidRPr="00342D8C">
        <w:rPr>
          <w:rFonts w:asciiTheme="majorHAnsi" w:hAnsiTheme="majorHAnsi"/>
          <w:spacing w:val="-1"/>
          <w:sz w:val="20"/>
          <w:szCs w:val="20"/>
          <w:lang w:val="es-PE"/>
        </w:rPr>
        <w:t xml:space="preserve"> terreno</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Marmato</w:t>
      </w:r>
      <w:r w:rsidR="00463836" w:rsidRPr="00342D8C">
        <w:rPr>
          <w:rFonts w:asciiTheme="majorHAnsi" w:hAnsiTheme="majorHAnsi"/>
          <w:sz w:val="20"/>
          <w:szCs w:val="20"/>
          <w:lang w:val="es-PE"/>
        </w:rPr>
        <w:t xml:space="preserve"> es</w:t>
      </w:r>
      <w:r w:rsidR="00463836" w:rsidRPr="00342D8C">
        <w:rPr>
          <w:rFonts w:asciiTheme="majorHAnsi" w:hAnsiTheme="majorHAnsi"/>
          <w:spacing w:val="-1"/>
          <w:sz w:val="20"/>
          <w:szCs w:val="20"/>
          <w:lang w:val="es-PE"/>
        </w:rPr>
        <w:t xml:space="preserve"> inestable</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por</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estar</w:t>
      </w:r>
      <w:r w:rsidR="00463836" w:rsidRPr="00342D8C">
        <w:rPr>
          <w:rFonts w:asciiTheme="majorHAnsi" w:hAnsiTheme="majorHAnsi"/>
          <w:spacing w:val="53"/>
          <w:sz w:val="20"/>
          <w:szCs w:val="20"/>
          <w:lang w:val="es-PE"/>
        </w:rPr>
        <w:t xml:space="preserve"> </w:t>
      </w:r>
      <w:r w:rsidR="00463836" w:rsidRPr="00342D8C">
        <w:rPr>
          <w:rFonts w:asciiTheme="majorHAnsi" w:hAnsiTheme="majorHAnsi"/>
          <w:spacing w:val="-1"/>
          <w:sz w:val="20"/>
          <w:szCs w:val="20"/>
          <w:lang w:val="es-PE"/>
        </w:rPr>
        <w:t>dentro</w:t>
      </w:r>
      <w:r w:rsidR="00463836" w:rsidRPr="00342D8C">
        <w:rPr>
          <w:rFonts w:asciiTheme="majorHAnsi" w:hAnsiTheme="majorHAnsi"/>
          <w:spacing w:val="30"/>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pacing w:val="30"/>
          <w:sz w:val="20"/>
          <w:szCs w:val="20"/>
          <w:lang w:val="es-PE"/>
        </w:rPr>
        <w:t xml:space="preserve"> </w:t>
      </w:r>
      <w:r w:rsidR="00463836" w:rsidRPr="00342D8C">
        <w:rPr>
          <w:rFonts w:asciiTheme="majorHAnsi" w:hAnsiTheme="majorHAnsi"/>
          <w:spacing w:val="-1"/>
          <w:sz w:val="20"/>
          <w:szCs w:val="20"/>
          <w:lang w:val="es-PE"/>
        </w:rPr>
        <w:t>la</w:t>
      </w:r>
      <w:r w:rsidR="00463836" w:rsidRPr="00342D8C">
        <w:rPr>
          <w:rFonts w:asciiTheme="majorHAnsi" w:hAnsiTheme="majorHAnsi"/>
          <w:spacing w:val="30"/>
          <w:sz w:val="20"/>
          <w:szCs w:val="20"/>
          <w:lang w:val="es-PE"/>
        </w:rPr>
        <w:t xml:space="preserve"> </w:t>
      </w:r>
      <w:r w:rsidR="00463836" w:rsidRPr="00342D8C">
        <w:rPr>
          <w:rFonts w:asciiTheme="majorHAnsi" w:hAnsiTheme="majorHAnsi"/>
          <w:spacing w:val="-1"/>
          <w:sz w:val="20"/>
          <w:szCs w:val="20"/>
          <w:lang w:val="es-PE"/>
        </w:rPr>
        <w:t>zona</w:t>
      </w:r>
      <w:r w:rsidR="00463836" w:rsidRPr="00342D8C">
        <w:rPr>
          <w:rFonts w:asciiTheme="majorHAnsi" w:hAnsiTheme="majorHAnsi"/>
          <w:spacing w:val="28"/>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pacing w:val="31"/>
          <w:sz w:val="20"/>
          <w:szCs w:val="20"/>
          <w:lang w:val="es-PE"/>
        </w:rPr>
        <w:t xml:space="preserve"> </w:t>
      </w:r>
      <w:r w:rsidR="00463836" w:rsidRPr="00342D8C">
        <w:rPr>
          <w:rFonts w:asciiTheme="majorHAnsi" w:hAnsiTheme="majorHAnsi"/>
          <w:spacing w:val="-1"/>
          <w:sz w:val="20"/>
          <w:szCs w:val="20"/>
          <w:lang w:val="es-PE"/>
        </w:rPr>
        <w:t>influencia</w:t>
      </w:r>
      <w:r w:rsidR="00463836" w:rsidRPr="00342D8C">
        <w:rPr>
          <w:rFonts w:asciiTheme="majorHAnsi" w:hAnsiTheme="majorHAnsi"/>
          <w:spacing w:val="28"/>
          <w:sz w:val="20"/>
          <w:szCs w:val="20"/>
          <w:lang w:val="es-PE"/>
        </w:rPr>
        <w:t xml:space="preserve"> </w:t>
      </w:r>
      <w:r w:rsidR="00463836" w:rsidRPr="00342D8C">
        <w:rPr>
          <w:rFonts w:asciiTheme="majorHAnsi" w:hAnsiTheme="majorHAnsi"/>
          <w:spacing w:val="-1"/>
          <w:sz w:val="20"/>
          <w:szCs w:val="20"/>
          <w:lang w:val="es-PE"/>
        </w:rPr>
        <w:t>del</w:t>
      </w:r>
      <w:r w:rsidR="00463836" w:rsidRPr="00342D8C">
        <w:rPr>
          <w:rFonts w:asciiTheme="majorHAnsi" w:hAnsiTheme="majorHAnsi"/>
          <w:spacing w:val="30"/>
          <w:sz w:val="20"/>
          <w:szCs w:val="20"/>
          <w:lang w:val="es-PE"/>
        </w:rPr>
        <w:t xml:space="preserve"> </w:t>
      </w:r>
      <w:r w:rsidR="00463836" w:rsidRPr="00342D8C">
        <w:rPr>
          <w:rFonts w:asciiTheme="majorHAnsi" w:hAnsiTheme="majorHAnsi"/>
          <w:sz w:val="20"/>
          <w:szCs w:val="20"/>
          <w:lang w:val="es-PE"/>
        </w:rPr>
        <w:t>sistema</w:t>
      </w:r>
      <w:r w:rsidR="00463836" w:rsidRPr="00342D8C">
        <w:rPr>
          <w:rFonts w:asciiTheme="majorHAnsi" w:hAnsiTheme="majorHAnsi"/>
          <w:spacing w:val="29"/>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pacing w:val="30"/>
          <w:sz w:val="20"/>
          <w:szCs w:val="20"/>
          <w:lang w:val="es-PE"/>
        </w:rPr>
        <w:t xml:space="preserve"> </w:t>
      </w:r>
      <w:r w:rsidR="00463836" w:rsidRPr="00342D8C">
        <w:rPr>
          <w:rFonts w:asciiTheme="majorHAnsi" w:hAnsiTheme="majorHAnsi"/>
          <w:spacing w:val="-1"/>
          <w:sz w:val="20"/>
          <w:szCs w:val="20"/>
          <w:lang w:val="es-PE"/>
        </w:rPr>
        <w:t>fallas</w:t>
      </w:r>
      <w:r w:rsidR="00463836" w:rsidRPr="00342D8C">
        <w:rPr>
          <w:rFonts w:asciiTheme="majorHAnsi" w:hAnsiTheme="majorHAnsi"/>
          <w:spacing w:val="30"/>
          <w:sz w:val="20"/>
          <w:szCs w:val="20"/>
          <w:lang w:val="es-PE"/>
        </w:rPr>
        <w:t xml:space="preserve"> </w:t>
      </w:r>
      <w:r w:rsidR="00463836" w:rsidRPr="00342D8C">
        <w:rPr>
          <w:rFonts w:asciiTheme="majorHAnsi" w:hAnsiTheme="majorHAnsi"/>
          <w:spacing w:val="-1"/>
          <w:sz w:val="20"/>
          <w:szCs w:val="20"/>
          <w:lang w:val="es-PE"/>
        </w:rPr>
        <w:t>Cauca</w:t>
      </w:r>
      <w:r w:rsidR="00463836" w:rsidRPr="00342D8C">
        <w:rPr>
          <w:rFonts w:asciiTheme="majorHAnsi" w:hAnsiTheme="majorHAnsi"/>
          <w:spacing w:val="31"/>
          <w:sz w:val="20"/>
          <w:szCs w:val="20"/>
          <w:lang w:val="es-PE"/>
        </w:rPr>
        <w:t xml:space="preserve"> </w:t>
      </w:r>
      <w:r w:rsidR="00701DC3" w:rsidRPr="00342D8C">
        <w:rPr>
          <w:rFonts w:asciiTheme="majorHAnsi" w:hAnsiTheme="majorHAnsi"/>
          <w:sz w:val="20"/>
          <w:szCs w:val="20"/>
          <w:lang w:val="es-PE"/>
        </w:rPr>
        <w:t>–</w:t>
      </w:r>
      <w:r w:rsidR="00463836" w:rsidRPr="00342D8C">
        <w:rPr>
          <w:rFonts w:asciiTheme="majorHAnsi" w:hAnsiTheme="majorHAnsi"/>
          <w:spacing w:val="31"/>
          <w:sz w:val="20"/>
          <w:szCs w:val="20"/>
          <w:lang w:val="es-PE"/>
        </w:rPr>
        <w:t xml:space="preserve"> </w:t>
      </w:r>
      <w:r w:rsidR="00463836" w:rsidRPr="00342D8C">
        <w:rPr>
          <w:rFonts w:asciiTheme="majorHAnsi" w:hAnsiTheme="majorHAnsi"/>
          <w:spacing w:val="-1"/>
          <w:sz w:val="20"/>
          <w:szCs w:val="20"/>
          <w:lang w:val="es-PE"/>
        </w:rPr>
        <w:t>Romeral</w:t>
      </w:r>
      <w:r w:rsidR="00701DC3" w:rsidRPr="00342D8C">
        <w:rPr>
          <w:rFonts w:asciiTheme="majorHAnsi" w:hAnsiTheme="majorHAnsi"/>
          <w:spacing w:val="-1"/>
          <w:sz w:val="20"/>
          <w:szCs w:val="20"/>
          <w:lang w:val="es-PE"/>
        </w:rPr>
        <w:t>;</w:t>
      </w:r>
      <w:r w:rsidR="00463836" w:rsidRPr="00342D8C">
        <w:rPr>
          <w:rFonts w:asciiTheme="majorHAnsi" w:hAnsiTheme="majorHAnsi"/>
          <w:spacing w:val="31"/>
          <w:sz w:val="20"/>
          <w:szCs w:val="20"/>
          <w:lang w:val="es-PE"/>
        </w:rPr>
        <w:t xml:space="preserve"> </w:t>
      </w:r>
      <w:r w:rsidR="00463836" w:rsidRPr="00342D8C">
        <w:rPr>
          <w:rFonts w:asciiTheme="majorHAnsi" w:hAnsiTheme="majorHAnsi"/>
          <w:sz w:val="20"/>
          <w:szCs w:val="20"/>
          <w:lang w:val="es-PE"/>
        </w:rPr>
        <w:t>y</w:t>
      </w:r>
      <w:r w:rsidR="00463836" w:rsidRPr="00342D8C">
        <w:rPr>
          <w:rFonts w:asciiTheme="majorHAnsi" w:hAnsiTheme="majorHAnsi"/>
          <w:spacing w:val="29"/>
          <w:sz w:val="20"/>
          <w:szCs w:val="20"/>
          <w:lang w:val="es-PE"/>
        </w:rPr>
        <w:t xml:space="preserve"> </w:t>
      </w:r>
      <w:r w:rsidR="00463836" w:rsidRPr="00342D8C">
        <w:rPr>
          <w:rFonts w:asciiTheme="majorHAnsi" w:hAnsiTheme="majorHAnsi"/>
          <w:spacing w:val="-1"/>
          <w:sz w:val="20"/>
          <w:szCs w:val="20"/>
          <w:lang w:val="es-PE"/>
        </w:rPr>
        <w:t>por</w:t>
      </w:r>
      <w:r w:rsidR="00463836" w:rsidRPr="00342D8C">
        <w:rPr>
          <w:rFonts w:asciiTheme="majorHAnsi" w:hAnsiTheme="majorHAnsi"/>
          <w:spacing w:val="53"/>
          <w:sz w:val="20"/>
          <w:szCs w:val="20"/>
          <w:lang w:val="es-PE"/>
        </w:rPr>
        <w:t xml:space="preserve"> </w:t>
      </w:r>
      <w:r w:rsidR="00463836" w:rsidRPr="00342D8C">
        <w:rPr>
          <w:rFonts w:asciiTheme="majorHAnsi" w:hAnsiTheme="majorHAnsi"/>
          <w:spacing w:val="-1"/>
          <w:sz w:val="20"/>
          <w:szCs w:val="20"/>
          <w:lang w:val="es-PE"/>
        </w:rPr>
        <w:t>destacarse</w:t>
      </w:r>
      <w:r w:rsidR="00463836" w:rsidRPr="00342D8C">
        <w:rPr>
          <w:rFonts w:asciiTheme="majorHAnsi" w:hAnsiTheme="majorHAnsi"/>
          <w:spacing w:val="20"/>
          <w:sz w:val="20"/>
          <w:szCs w:val="20"/>
          <w:lang w:val="es-PE"/>
        </w:rPr>
        <w:t xml:space="preserve"> </w:t>
      </w:r>
      <w:r w:rsidR="00463836" w:rsidRPr="00342D8C">
        <w:rPr>
          <w:rFonts w:asciiTheme="majorHAnsi" w:hAnsiTheme="majorHAnsi"/>
          <w:spacing w:val="-1"/>
          <w:sz w:val="20"/>
          <w:szCs w:val="20"/>
          <w:lang w:val="es-PE"/>
        </w:rPr>
        <w:t>geomorfológicamente</w:t>
      </w:r>
      <w:r w:rsidR="00463836" w:rsidRPr="00342D8C">
        <w:rPr>
          <w:rFonts w:asciiTheme="majorHAnsi" w:hAnsiTheme="majorHAnsi"/>
          <w:spacing w:val="20"/>
          <w:sz w:val="20"/>
          <w:szCs w:val="20"/>
          <w:lang w:val="es-PE"/>
        </w:rPr>
        <w:t xml:space="preserve"> </w:t>
      </w:r>
      <w:r w:rsidR="00463836" w:rsidRPr="00342D8C">
        <w:rPr>
          <w:rFonts w:asciiTheme="majorHAnsi" w:hAnsiTheme="majorHAnsi"/>
          <w:spacing w:val="-1"/>
          <w:sz w:val="20"/>
          <w:szCs w:val="20"/>
          <w:lang w:val="es-PE"/>
        </w:rPr>
        <w:t>por</w:t>
      </w:r>
      <w:r w:rsidR="00463836" w:rsidRPr="00342D8C">
        <w:rPr>
          <w:rFonts w:asciiTheme="majorHAnsi" w:hAnsiTheme="majorHAnsi"/>
          <w:spacing w:val="20"/>
          <w:sz w:val="20"/>
          <w:szCs w:val="20"/>
          <w:lang w:val="es-PE"/>
        </w:rPr>
        <w:t xml:space="preserve"> </w:t>
      </w:r>
      <w:r w:rsidR="00463836" w:rsidRPr="00342D8C">
        <w:rPr>
          <w:rFonts w:asciiTheme="majorHAnsi" w:hAnsiTheme="majorHAnsi"/>
          <w:sz w:val="20"/>
          <w:szCs w:val="20"/>
          <w:lang w:val="es-PE"/>
        </w:rPr>
        <w:t>sus</w:t>
      </w:r>
      <w:r w:rsidR="00463836" w:rsidRPr="00342D8C">
        <w:rPr>
          <w:rFonts w:asciiTheme="majorHAnsi" w:hAnsiTheme="majorHAnsi"/>
          <w:spacing w:val="19"/>
          <w:sz w:val="20"/>
          <w:szCs w:val="20"/>
          <w:lang w:val="es-PE"/>
        </w:rPr>
        <w:t xml:space="preserve"> </w:t>
      </w:r>
      <w:r w:rsidR="00463836" w:rsidRPr="00342D8C">
        <w:rPr>
          <w:rFonts w:asciiTheme="majorHAnsi" w:hAnsiTheme="majorHAnsi"/>
          <w:spacing w:val="-1"/>
          <w:sz w:val="20"/>
          <w:szCs w:val="20"/>
          <w:lang w:val="es-PE"/>
        </w:rPr>
        <w:t>fuertes</w:t>
      </w:r>
      <w:r w:rsidR="00463836" w:rsidRPr="00342D8C">
        <w:rPr>
          <w:rFonts w:asciiTheme="majorHAnsi" w:hAnsiTheme="majorHAnsi"/>
          <w:spacing w:val="21"/>
          <w:sz w:val="20"/>
          <w:szCs w:val="20"/>
          <w:lang w:val="es-PE"/>
        </w:rPr>
        <w:t xml:space="preserve"> </w:t>
      </w:r>
      <w:r w:rsidR="00463836" w:rsidRPr="00342D8C">
        <w:rPr>
          <w:rFonts w:asciiTheme="majorHAnsi" w:hAnsiTheme="majorHAnsi"/>
          <w:sz w:val="20"/>
          <w:szCs w:val="20"/>
          <w:lang w:val="es-PE"/>
        </w:rPr>
        <w:t>y</w:t>
      </w:r>
      <w:r w:rsidR="00463836" w:rsidRPr="00342D8C">
        <w:rPr>
          <w:rFonts w:asciiTheme="majorHAnsi" w:hAnsiTheme="majorHAnsi"/>
          <w:spacing w:val="19"/>
          <w:sz w:val="20"/>
          <w:szCs w:val="20"/>
          <w:lang w:val="es-PE"/>
        </w:rPr>
        <w:t xml:space="preserve"> </w:t>
      </w:r>
      <w:r w:rsidR="00463836" w:rsidRPr="00342D8C">
        <w:rPr>
          <w:rFonts w:asciiTheme="majorHAnsi" w:hAnsiTheme="majorHAnsi"/>
          <w:spacing w:val="-1"/>
          <w:sz w:val="20"/>
          <w:szCs w:val="20"/>
          <w:lang w:val="es-PE"/>
        </w:rPr>
        <w:t>largas</w:t>
      </w:r>
      <w:r w:rsidR="00463836" w:rsidRPr="00342D8C">
        <w:rPr>
          <w:rFonts w:asciiTheme="majorHAnsi" w:hAnsiTheme="majorHAnsi"/>
          <w:spacing w:val="21"/>
          <w:sz w:val="20"/>
          <w:szCs w:val="20"/>
          <w:lang w:val="es-PE"/>
        </w:rPr>
        <w:t xml:space="preserve"> </w:t>
      </w:r>
      <w:r w:rsidR="00463836" w:rsidRPr="00342D8C">
        <w:rPr>
          <w:rFonts w:asciiTheme="majorHAnsi" w:hAnsiTheme="majorHAnsi"/>
          <w:spacing w:val="-1"/>
          <w:sz w:val="20"/>
          <w:szCs w:val="20"/>
          <w:lang w:val="es-PE"/>
        </w:rPr>
        <w:t>pendientes,</w:t>
      </w:r>
      <w:r w:rsidR="00463836" w:rsidRPr="00342D8C">
        <w:rPr>
          <w:rFonts w:asciiTheme="majorHAnsi" w:hAnsiTheme="majorHAnsi"/>
          <w:spacing w:val="21"/>
          <w:sz w:val="20"/>
          <w:szCs w:val="20"/>
          <w:lang w:val="es-PE"/>
        </w:rPr>
        <w:t xml:space="preserve"> </w:t>
      </w:r>
      <w:r w:rsidR="00463836" w:rsidRPr="00342D8C">
        <w:rPr>
          <w:rFonts w:asciiTheme="majorHAnsi" w:hAnsiTheme="majorHAnsi"/>
          <w:spacing w:val="-1"/>
          <w:sz w:val="20"/>
          <w:szCs w:val="20"/>
          <w:lang w:val="es-PE"/>
        </w:rPr>
        <w:t>sumado</w:t>
      </w:r>
      <w:r w:rsidR="00463836" w:rsidRPr="00342D8C">
        <w:rPr>
          <w:rFonts w:asciiTheme="majorHAnsi" w:hAnsiTheme="majorHAnsi"/>
          <w:spacing w:val="41"/>
          <w:sz w:val="20"/>
          <w:szCs w:val="20"/>
          <w:lang w:val="es-PE"/>
        </w:rPr>
        <w:t xml:space="preserve"> </w:t>
      </w:r>
      <w:r w:rsidR="00463836" w:rsidRPr="00342D8C">
        <w:rPr>
          <w:rFonts w:asciiTheme="majorHAnsi" w:hAnsiTheme="majorHAnsi"/>
          <w:spacing w:val="-1"/>
          <w:sz w:val="20"/>
          <w:szCs w:val="20"/>
          <w:lang w:val="es-PE"/>
        </w:rPr>
        <w:t>al</w:t>
      </w:r>
      <w:r w:rsidR="00463836" w:rsidRPr="00342D8C">
        <w:rPr>
          <w:rFonts w:asciiTheme="majorHAnsi" w:hAnsiTheme="majorHAnsi"/>
          <w:spacing w:val="-4"/>
          <w:sz w:val="20"/>
          <w:szCs w:val="20"/>
          <w:lang w:val="es-PE"/>
        </w:rPr>
        <w:t xml:space="preserve"> </w:t>
      </w:r>
      <w:r w:rsidR="00463836" w:rsidRPr="00342D8C">
        <w:rPr>
          <w:rFonts w:asciiTheme="majorHAnsi" w:hAnsiTheme="majorHAnsi"/>
          <w:spacing w:val="-1"/>
          <w:sz w:val="20"/>
          <w:szCs w:val="20"/>
          <w:lang w:val="es-PE"/>
        </w:rPr>
        <w:t>proceso</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erosión</w:t>
      </w:r>
      <w:r w:rsidR="00463836" w:rsidRPr="00342D8C">
        <w:rPr>
          <w:rFonts w:asciiTheme="majorHAnsi" w:hAnsiTheme="majorHAnsi"/>
          <w:spacing w:val="-4"/>
          <w:sz w:val="20"/>
          <w:szCs w:val="20"/>
          <w:lang w:val="es-PE"/>
        </w:rPr>
        <w:t xml:space="preserve"> </w:t>
      </w:r>
      <w:r w:rsidR="00463836" w:rsidRPr="00342D8C">
        <w:rPr>
          <w:rFonts w:asciiTheme="majorHAnsi" w:hAnsiTheme="majorHAnsi"/>
          <w:spacing w:val="-2"/>
          <w:sz w:val="20"/>
          <w:szCs w:val="20"/>
          <w:lang w:val="es-PE"/>
        </w:rPr>
        <w:t xml:space="preserve">natural; </w:t>
      </w:r>
      <w:r w:rsidR="00463836" w:rsidRPr="00342D8C">
        <w:rPr>
          <w:rFonts w:asciiTheme="majorHAnsi" w:hAnsiTheme="majorHAnsi"/>
          <w:spacing w:val="-1"/>
          <w:sz w:val="20"/>
          <w:szCs w:val="20"/>
          <w:lang w:val="es-PE"/>
        </w:rPr>
        <w:t>además</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que,</w:t>
      </w:r>
      <w:r w:rsidR="00463836" w:rsidRPr="00342D8C">
        <w:rPr>
          <w:rFonts w:asciiTheme="majorHAnsi" w:hAnsiTheme="majorHAnsi"/>
          <w:spacing w:val="-5"/>
          <w:sz w:val="20"/>
          <w:szCs w:val="20"/>
          <w:lang w:val="es-PE"/>
        </w:rPr>
        <w:t xml:space="preserve"> </w:t>
      </w:r>
      <w:r w:rsidR="00463836" w:rsidRPr="00342D8C">
        <w:rPr>
          <w:rFonts w:asciiTheme="majorHAnsi" w:hAnsiTheme="majorHAnsi"/>
          <w:spacing w:val="-1"/>
          <w:sz w:val="20"/>
          <w:szCs w:val="20"/>
          <w:lang w:val="es-PE"/>
        </w:rPr>
        <w:t>desde</w:t>
      </w:r>
      <w:r w:rsidR="00463836" w:rsidRPr="00342D8C">
        <w:rPr>
          <w:rFonts w:asciiTheme="majorHAnsi" w:hAnsiTheme="majorHAnsi"/>
          <w:spacing w:val="-4"/>
          <w:sz w:val="20"/>
          <w:szCs w:val="20"/>
          <w:lang w:val="es-PE"/>
        </w:rPr>
        <w:t xml:space="preserve"> </w:t>
      </w:r>
      <w:r w:rsidR="00463836" w:rsidRPr="00342D8C">
        <w:rPr>
          <w:rFonts w:asciiTheme="majorHAnsi" w:hAnsiTheme="majorHAnsi"/>
          <w:spacing w:val="-1"/>
          <w:sz w:val="20"/>
          <w:szCs w:val="20"/>
          <w:lang w:val="es-PE"/>
        </w:rPr>
        <w:t>que</w:t>
      </w:r>
      <w:r w:rsidR="00463836" w:rsidRPr="00342D8C">
        <w:rPr>
          <w:rFonts w:asciiTheme="majorHAnsi" w:hAnsiTheme="majorHAnsi"/>
          <w:spacing w:val="-4"/>
          <w:sz w:val="20"/>
          <w:szCs w:val="20"/>
          <w:lang w:val="es-PE"/>
        </w:rPr>
        <w:t xml:space="preserve"> </w:t>
      </w:r>
      <w:r w:rsidR="00463836" w:rsidRPr="00342D8C">
        <w:rPr>
          <w:rFonts w:asciiTheme="majorHAnsi" w:hAnsiTheme="majorHAnsi"/>
          <w:sz w:val="20"/>
          <w:szCs w:val="20"/>
          <w:lang w:val="es-PE"/>
        </w:rPr>
        <w:t>se</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tiene</w:t>
      </w:r>
      <w:r w:rsidR="00463836" w:rsidRPr="00342D8C">
        <w:rPr>
          <w:rFonts w:asciiTheme="majorHAnsi" w:hAnsiTheme="majorHAnsi"/>
          <w:spacing w:val="-3"/>
          <w:sz w:val="20"/>
          <w:szCs w:val="20"/>
          <w:lang w:val="es-PE"/>
        </w:rPr>
        <w:t xml:space="preserve"> </w:t>
      </w:r>
      <w:r w:rsidR="00463836" w:rsidRPr="00342D8C">
        <w:rPr>
          <w:rFonts w:asciiTheme="majorHAnsi" w:hAnsiTheme="majorHAnsi"/>
          <w:spacing w:val="-1"/>
          <w:sz w:val="20"/>
          <w:szCs w:val="20"/>
          <w:lang w:val="es-PE"/>
        </w:rPr>
        <w:t>conocimiento</w:t>
      </w:r>
      <w:r w:rsidR="00463836" w:rsidRPr="00342D8C">
        <w:rPr>
          <w:rFonts w:asciiTheme="majorHAnsi" w:hAnsiTheme="majorHAnsi"/>
          <w:spacing w:val="-6"/>
          <w:sz w:val="20"/>
          <w:szCs w:val="20"/>
          <w:lang w:val="es-PE"/>
        </w:rPr>
        <w:t xml:space="preserve"> </w:t>
      </w:r>
      <w:r w:rsidR="00463836" w:rsidRPr="00342D8C">
        <w:rPr>
          <w:rFonts w:asciiTheme="majorHAnsi" w:hAnsiTheme="majorHAnsi"/>
          <w:spacing w:val="-2"/>
          <w:sz w:val="20"/>
          <w:szCs w:val="20"/>
          <w:lang w:val="es-PE"/>
        </w:rPr>
        <w:t>de</w:t>
      </w:r>
      <w:r w:rsidR="00122670" w:rsidRPr="00342D8C">
        <w:rPr>
          <w:rFonts w:asciiTheme="majorHAnsi" w:hAnsiTheme="majorHAnsi"/>
          <w:spacing w:val="75"/>
          <w:sz w:val="20"/>
          <w:szCs w:val="20"/>
          <w:lang w:val="es-PE"/>
        </w:rPr>
        <w:t xml:space="preserve"> </w:t>
      </w:r>
      <w:r w:rsidR="00463836" w:rsidRPr="00342D8C">
        <w:rPr>
          <w:rFonts w:asciiTheme="majorHAnsi" w:hAnsiTheme="majorHAnsi"/>
          <w:sz w:val="20"/>
          <w:szCs w:val="20"/>
          <w:lang w:val="es-PE"/>
        </w:rPr>
        <w:t>su</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existencia,</w:t>
      </w:r>
      <w:r w:rsidR="00463836" w:rsidRPr="00342D8C">
        <w:rPr>
          <w:rFonts w:asciiTheme="majorHAnsi" w:hAnsiTheme="majorHAnsi"/>
          <w:sz w:val="20"/>
          <w:szCs w:val="20"/>
          <w:lang w:val="es-PE"/>
        </w:rPr>
        <w:t xml:space="preserve"> ha</w:t>
      </w:r>
      <w:r w:rsidR="00463836" w:rsidRPr="00342D8C">
        <w:rPr>
          <w:rFonts w:asciiTheme="majorHAnsi" w:hAnsiTheme="majorHAnsi"/>
          <w:spacing w:val="-3"/>
          <w:sz w:val="20"/>
          <w:szCs w:val="20"/>
          <w:lang w:val="es-PE"/>
        </w:rPr>
        <w:t xml:space="preserve"> </w:t>
      </w:r>
      <w:r w:rsidR="00463836" w:rsidRPr="00342D8C">
        <w:rPr>
          <w:rFonts w:asciiTheme="majorHAnsi" w:hAnsiTheme="majorHAnsi"/>
          <w:sz w:val="20"/>
          <w:szCs w:val="20"/>
          <w:lang w:val="es-PE"/>
        </w:rPr>
        <w:t>sido</w:t>
      </w:r>
      <w:r w:rsidR="00463836" w:rsidRPr="00342D8C">
        <w:rPr>
          <w:rFonts w:asciiTheme="majorHAnsi" w:hAnsiTheme="majorHAnsi"/>
          <w:spacing w:val="-4"/>
          <w:sz w:val="20"/>
          <w:szCs w:val="20"/>
          <w:lang w:val="es-PE"/>
        </w:rPr>
        <w:t xml:space="preserve"> </w:t>
      </w:r>
      <w:r w:rsidR="00463836" w:rsidRPr="00342D8C">
        <w:rPr>
          <w:rFonts w:asciiTheme="majorHAnsi" w:hAnsiTheme="majorHAnsi"/>
          <w:sz w:val="20"/>
          <w:szCs w:val="20"/>
          <w:lang w:val="es-PE"/>
        </w:rPr>
        <w:t>un</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lugar</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z w:val="20"/>
          <w:szCs w:val="20"/>
          <w:lang w:val="es-PE"/>
        </w:rPr>
        <w:t xml:space="preserve"> </w:t>
      </w:r>
      <w:r w:rsidR="00463836" w:rsidRPr="00342D8C">
        <w:rPr>
          <w:rFonts w:asciiTheme="majorHAnsi" w:hAnsiTheme="majorHAnsi"/>
          <w:spacing w:val="-1"/>
          <w:sz w:val="20"/>
          <w:szCs w:val="20"/>
          <w:lang w:val="es-PE"/>
        </w:rPr>
        <w:t xml:space="preserve">exploración </w:t>
      </w:r>
      <w:r w:rsidR="00463836" w:rsidRPr="00342D8C">
        <w:rPr>
          <w:rFonts w:asciiTheme="majorHAnsi" w:hAnsiTheme="majorHAnsi"/>
          <w:sz w:val="20"/>
          <w:szCs w:val="20"/>
          <w:lang w:val="es-PE"/>
        </w:rPr>
        <w:t>y</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explotación</w:t>
      </w:r>
      <w:r w:rsidR="00463836" w:rsidRPr="00342D8C">
        <w:rPr>
          <w:rFonts w:asciiTheme="majorHAnsi" w:hAnsiTheme="majorHAnsi"/>
          <w:spacing w:val="-2"/>
          <w:sz w:val="20"/>
          <w:szCs w:val="20"/>
          <w:lang w:val="es-PE"/>
        </w:rPr>
        <w:t xml:space="preserve"> </w:t>
      </w:r>
      <w:r w:rsidR="00463836" w:rsidRPr="00342D8C">
        <w:rPr>
          <w:rFonts w:asciiTheme="majorHAnsi" w:hAnsiTheme="majorHAnsi"/>
          <w:spacing w:val="-1"/>
          <w:sz w:val="20"/>
          <w:szCs w:val="20"/>
          <w:lang w:val="es-PE"/>
        </w:rPr>
        <w:t>de</w:t>
      </w:r>
      <w:r w:rsidR="00463836" w:rsidRPr="00342D8C">
        <w:rPr>
          <w:rFonts w:asciiTheme="majorHAnsi" w:hAnsiTheme="majorHAnsi"/>
          <w:sz w:val="20"/>
          <w:szCs w:val="20"/>
          <w:lang w:val="es-PE"/>
        </w:rPr>
        <w:t xml:space="preserve"> oro.</w:t>
      </w:r>
    </w:p>
    <w:p w14:paraId="7570D189" w14:textId="39CF5499" w:rsidR="00211C22" w:rsidRPr="00342D8C" w:rsidRDefault="00211C22"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42D8C">
        <w:rPr>
          <w:rFonts w:asciiTheme="majorHAnsi" w:hAnsiTheme="majorHAnsi"/>
          <w:i/>
          <w:iCs/>
          <w:sz w:val="20"/>
          <w:szCs w:val="20"/>
          <w:lang w:val="es-AR"/>
        </w:rPr>
        <w:t>Recursos posteriores</w:t>
      </w:r>
    </w:p>
    <w:p w14:paraId="0A00EF07" w14:textId="056FD610" w:rsidR="00E113A6" w:rsidRPr="00342D8C" w:rsidRDefault="00E113A6"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Ante esta decisión,</w:t>
      </w:r>
      <w:r w:rsidR="00E56553" w:rsidRPr="00342D8C">
        <w:rPr>
          <w:rFonts w:asciiTheme="majorHAnsi" w:hAnsiTheme="majorHAnsi"/>
          <w:sz w:val="20"/>
          <w:szCs w:val="20"/>
          <w:lang w:val="es-AR"/>
        </w:rPr>
        <w:t xml:space="preserve"> la parte peticionaria sostiene que</w:t>
      </w:r>
      <w:r w:rsidRPr="00342D8C">
        <w:rPr>
          <w:rFonts w:asciiTheme="majorHAnsi" w:hAnsiTheme="majorHAnsi"/>
          <w:sz w:val="20"/>
          <w:szCs w:val="20"/>
          <w:lang w:val="es-AR"/>
        </w:rPr>
        <w:t xml:space="preserve"> interpus</w:t>
      </w:r>
      <w:r w:rsidR="00E56553" w:rsidRPr="00342D8C">
        <w:rPr>
          <w:rFonts w:asciiTheme="majorHAnsi" w:hAnsiTheme="majorHAnsi"/>
          <w:sz w:val="20"/>
          <w:szCs w:val="20"/>
          <w:lang w:val="es-AR"/>
        </w:rPr>
        <w:t>o</w:t>
      </w:r>
      <w:r w:rsidRPr="00342D8C">
        <w:rPr>
          <w:rFonts w:asciiTheme="majorHAnsi" w:hAnsiTheme="majorHAnsi"/>
          <w:sz w:val="20"/>
          <w:szCs w:val="20"/>
          <w:lang w:val="es-AR"/>
        </w:rPr>
        <w:t xml:space="preserve"> una serie de recursos para intentar revertir la determinación del Tribunal. </w:t>
      </w:r>
      <w:r w:rsidR="00E56553" w:rsidRPr="00342D8C">
        <w:rPr>
          <w:rFonts w:asciiTheme="majorHAnsi" w:hAnsiTheme="majorHAnsi"/>
          <w:sz w:val="20"/>
          <w:szCs w:val="20"/>
          <w:lang w:val="es-AR"/>
        </w:rPr>
        <w:t>Así, presentó</w:t>
      </w:r>
      <w:r w:rsidRPr="00342D8C">
        <w:rPr>
          <w:rFonts w:asciiTheme="majorHAnsi" w:hAnsiTheme="majorHAnsi"/>
          <w:sz w:val="20"/>
          <w:szCs w:val="20"/>
          <w:lang w:val="es-AR"/>
        </w:rPr>
        <w:t xml:space="preserve"> una solicitud de revisión,</w:t>
      </w:r>
      <w:r w:rsidR="00E56553" w:rsidRPr="00342D8C">
        <w:rPr>
          <w:rFonts w:asciiTheme="majorHAnsi" w:hAnsiTheme="majorHAnsi"/>
          <w:sz w:val="20"/>
          <w:szCs w:val="20"/>
          <w:lang w:val="es-AR"/>
        </w:rPr>
        <w:t xml:space="preserve"> pero el 10 de abril de 2014 la Sección Quinta de la Sala de lo Contencioso Administrativo del Consejo de Estado lo rechazó</w:t>
      </w:r>
      <w:r w:rsidRPr="00342D8C">
        <w:rPr>
          <w:rFonts w:asciiTheme="majorHAnsi" w:hAnsiTheme="majorHAnsi"/>
          <w:sz w:val="20"/>
          <w:szCs w:val="20"/>
          <w:lang w:val="es-AR"/>
        </w:rPr>
        <w:t xml:space="preserve">. En respuesta a esta negativa </w:t>
      </w:r>
      <w:r w:rsidR="00502D1F" w:rsidRPr="00342D8C">
        <w:rPr>
          <w:rFonts w:asciiTheme="majorHAnsi" w:hAnsiTheme="majorHAnsi"/>
          <w:sz w:val="20"/>
          <w:szCs w:val="20"/>
          <w:lang w:val="es-AR"/>
        </w:rPr>
        <w:t>interpuso</w:t>
      </w:r>
      <w:r w:rsidRPr="00342D8C">
        <w:rPr>
          <w:rFonts w:asciiTheme="majorHAnsi" w:hAnsiTheme="majorHAnsi"/>
          <w:sz w:val="20"/>
          <w:szCs w:val="20"/>
          <w:lang w:val="es-AR"/>
        </w:rPr>
        <w:t xml:space="preserve"> un escrito de insistencia, el cual también fue desestimado </w:t>
      </w:r>
      <w:r w:rsidR="00E56553" w:rsidRPr="00342D8C">
        <w:rPr>
          <w:rFonts w:asciiTheme="majorHAnsi" w:hAnsiTheme="majorHAnsi"/>
          <w:sz w:val="20"/>
          <w:szCs w:val="20"/>
          <w:lang w:val="es-AR"/>
        </w:rPr>
        <w:t>el 30 de mayo de 2014</w:t>
      </w:r>
      <w:r w:rsidRPr="00342D8C">
        <w:rPr>
          <w:rFonts w:asciiTheme="majorHAnsi" w:hAnsiTheme="majorHAnsi"/>
          <w:sz w:val="20"/>
          <w:szCs w:val="20"/>
          <w:lang w:val="es-AR"/>
        </w:rPr>
        <w:t xml:space="preserve">. </w:t>
      </w:r>
      <w:r w:rsidR="00E56553" w:rsidRPr="00342D8C">
        <w:rPr>
          <w:rFonts w:asciiTheme="majorHAnsi" w:hAnsiTheme="majorHAnsi"/>
          <w:sz w:val="20"/>
          <w:szCs w:val="20"/>
          <w:lang w:val="es-AR"/>
        </w:rPr>
        <w:t xml:space="preserve">Finalmente, </w:t>
      </w:r>
      <w:r w:rsidR="00502D1F" w:rsidRPr="00342D8C">
        <w:rPr>
          <w:rFonts w:asciiTheme="majorHAnsi" w:hAnsiTheme="majorHAnsi"/>
          <w:sz w:val="20"/>
          <w:szCs w:val="20"/>
          <w:lang w:val="es-AR"/>
        </w:rPr>
        <w:t xml:space="preserve">aunque </w:t>
      </w:r>
      <w:r w:rsidR="00E56553" w:rsidRPr="00342D8C">
        <w:rPr>
          <w:rFonts w:asciiTheme="majorHAnsi" w:hAnsiTheme="majorHAnsi"/>
          <w:sz w:val="20"/>
          <w:szCs w:val="20"/>
          <w:lang w:val="es-AR"/>
        </w:rPr>
        <w:t>el 11 de junio de 2014</w:t>
      </w:r>
      <w:r w:rsidR="00502D1F" w:rsidRPr="00342D8C">
        <w:rPr>
          <w:rFonts w:asciiTheme="majorHAnsi" w:hAnsiTheme="majorHAnsi"/>
          <w:sz w:val="20"/>
          <w:szCs w:val="20"/>
          <w:lang w:val="es-AR"/>
        </w:rPr>
        <w:t xml:space="preserve"> inició un recurso de súplica, el 11 de julio de 2014 la Sección Quinta de la Sala de lo Contencioso Administrativo la desestimó. </w:t>
      </w:r>
      <w:r w:rsidR="00F90BEB" w:rsidRPr="00F90BEB">
        <w:rPr>
          <w:rFonts w:asciiTheme="majorHAnsi" w:hAnsiTheme="majorHAnsi"/>
          <w:sz w:val="20"/>
          <w:szCs w:val="20"/>
          <w:lang w:val="es-AR"/>
        </w:rPr>
        <w:t>Como resultado, el Juzgado Segundo Administrativo del Circuito de Manizales, mediante auto del 30 de septiembre de 2014, ordenó el archivo del expediente, poniendo fin a cualquier posibilidad de continuar litigando el caso en el ámbito interno.</w:t>
      </w:r>
    </w:p>
    <w:p w14:paraId="35895809" w14:textId="78EDA36C" w:rsidR="006C4727" w:rsidRPr="00342D8C" w:rsidRDefault="006C4727"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42D8C">
        <w:rPr>
          <w:rFonts w:asciiTheme="majorHAnsi" w:hAnsiTheme="majorHAnsi"/>
          <w:i/>
          <w:iCs/>
          <w:sz w:val="20"/>
          <w:szCs w:val="20"/>
          <w:lang w:val="es-AR"/>
        </w:rPr>
        <w:t>Alegatos finales</w:t>
      </w:r>
    </w:p>
    <w:p w14:paraId="46180F8D" w14:textId="09E4D847" w:rsidR="00DC676A" w:rsidRPr="00342D8C" w:rsidRDefault="00DC676A"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 xml:space="preserve">Con base en las citadas consideraciones de hecho, el peticionario </w:t>
      </w:r>
      <w:r w:rsidR="00564376" w:rsidRPr="00342D8C">
        <w:rPr>
          <w:rFonts w:asciiTheme="majorHAnsi" w:hAnsiTheme="majorHAnsi"/>
          <w:sz w:val="20"/>
          <w:szCs w:val="20"/>
          <w:lang w:val="es-AR"/>
        </w:rPr>
        <w:t>sostiene</w:t>
      </w:r>
      <w:r w:rsidR="00B0574D" w:rsidRPr="00342D8C">
        <w:rPr>
          <w:rFonts w:asciiTheme="majorHAnsi" w:hAnsiTheme="majorHAnsi"/>
          <w:sz w:val="20"/>
          <w:szCs w:val="20"/>
          <w:lang w:val="es-PE"/>
        </w:rPr>
        <w:t xml:space="preserve"> que el Estado colombiano, a través del Ministerio de Minas y Energía, la Gobernación de Caldas y la administración municipal, ha incumplido su deber de fiscalizar la actividad minera en "La Granadina", permitiendo su operación sin las medidas de control necesarias para mitigar los impactos sobre la comunidad. Como resultado, el peticionario considera que la negligencia estatal ha permitido la continuidad de una explotación minera descontrolada que vulnera derechos fundamentales como la integridad personal, la propiedad privada y el acceso a la justicia.</w:t>
      </w:r>
    </w:p>
    <w:p w14:paraId="1F3A702A" w14:textId="6A0F8FE5" w:rsidR="00B0574D" w:rsidRPr="00BA6C2F" w:rsidRDefault="00B0574D" w:rsidP="00BA6C2F">
      <w:pPr>
        <w:pStyle w:val="ListParagraph"/>
        <w:numPr>
          <w:ilvl w:val="0"/>
          <w:numId w:val="55"/>
        </w:numPr>
        <w:spacing w:before="240" w:after="240"/>
        <w:jc w:val="both"/>
        <w:rPr>
          <w:rFonts w:asciiTheme="majorHAnsi" w:eastAsia="Arial Unicode MS" w:hAnsiTheme="majorHAnsi" w:cs="Times New Roman"/>
          <w:color w:val="auto"/>
          <w:sz w:val="20"/>
          <w:szCs w:val="20"/>
          <w:lang w:val="es-AR" w:eastAsia="en-US"/>
        </w:rPr>
      </w:pPr>
      <w:r w:rsidRPr="00342D8C">
        <w:rPr>
          <w:rFonts w:asciiTheme="majorHAnsi" w:eastAsia="Arial Unicode MS" w:hAnsiTheme="majorHAnsi" w:cs="Times New Roman"/>
          <w:color w:val="auto"/>
          <w:sz w:val="20"/>
          <w:szCs w:val="20"/>
          <w:lang w:val="es-AR" w:eastAsia="en-US"/>
        </w:rPr>
        <w:t xml:space="preserve">Además de los efectos físicos sobre la infraestructura del municipio, el peticionario argumenta que la explotación de "La Granadina" ha tenido graves repercusiones económicas y sociales para los habitantes de "La Plaza". Señala que el deterioro progresivo de las edificaciones ha obligado a muchas familias a abandonar sus hogares y negocios, generando una pérdida de su patrimonio y afectando su sustento económico. Informa que testimonios de comerciantes locales evidencian que la clientela ha disminuido significativamente debido </w:t>
      </w:r>
      <w:r w:rsidRPr="00342D8C">
        <w:rPr>
          <w:rFonts w:asciiTheme="majorHAnsi" w:eastAsia="Arial Unicode MS" w:hAnsiTheme="majorHAnsi" w:cs="Times New Roman"/>
          <w:color w:val="auto"/>
          <w:sz w:val="20"/>
          <w:szCs w:val="20"/>
          <w:lang w:val="es-AR" w:eastAsia="en-US"/>
        </w:rPr>
        <w:lastRenderedPageBreak/>
        <w:t>al temor de la comunidad a transitar por una zona con riesgo de colapso. A su vez, los residentes han experimentado afectaciones psicológicas derivadas de la incertidumbre sobre su seguridad y la falta de respuesta estatal ante su situación.</w:t>
      </w:r>
    </w:p>
    <w:p w14:paraId="4F3D1640" w14:textId="0242D4ED" w:rsidR="005C4277" w:rsidRPr="00BA6C2F" w:rsidRDefault="001701A0" w:rsidP="00BA6C2F">
      <w:pPr>
        <w:pStyle w:val="ListParagraph"/>
        <w:numPr>
          <w:ilvl w:val="0"/>
          <w:numId w:val="55"/>
        </w:numPr>
        <w:spacing w:before="240" w:after="240"/>
        <w:jc w:val="both"/>
        <w:rPr>
          <w:rFonts w:asciiTheme="majorHAnsi" w:eastAsia="Arial Unicode MS" w:hAnsiTheme="majorHAnsi" w:cs="Times New Roman"/>
          <w:color w:val="auto"/>
          <w:sz w:val="20"/>
          <w:szCs w:val="20"/>
          <w:lang w:val="es-AR" w:eastAsia="en-US"/>
        </w:rPr>
      </w:pPr>
      <w:r w:rsidRPr="00342D8C">
        <w:rPr>
          <w:rFonts w:asciiTheme="majorHAnsi" w:hAnsiTheme="majorHAnsi"/>
          <w:sz w:val="20"/>
          <w:szCs w:val="20"/>
          <w:lang w:val="es-AR"/>
        </w:rPr>
        <w:t>Por último, el peticionario argumenta que con el cierre definitivo de la acción de grupo y la negativa del Consejo de Estado de revisar el caso, se agotaron todos los recursos disponibles dentro del ordenamiento jurídico colombiano. Considera que las decisiones judiciales adoptadas han sido contrarias a los principios de acceso a la justicia y debido proceso, pues el Tribunal Administrativo de Caldas tardó más de cuatro años en reconocer su supuesta falta de competencia, privando así a los afectados de una decisión de fondo sobre sus reclamaciones. Además, sostiene que el rechazo de la revisión por parte del Consejo de Estado se dio sin una valoración sustantiva de los argumentos presentados.</w:t>
      </w:r>
    </w:p>
    <w:p w14:paraId="129AF6A6" w14:textId="2FC841EE" w:rsidR="00EF76F5" w:rsidRPr="00342D8C" w:rsidRDefault="00A60162"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342D8C">
        <w:rPr>
          <w:rFonts w:asciiTheme="majorHAnsi" w:hAnsiTheme="majorHAnsi"/>
          <w:b/>
          <w:bCs/>
          <w:sz w:val="20"/>
          <w:szCs w:val="20"/>
          <w:lang w:val="es-AR"/>
        </w:rPr>
        <w:t>E</w:t>
      </w:r>
      <w:r w:rsidR="00EF76F5" w:rsidRPr="00342D8C">
        <w:rPr>
          <w:rFonts w:asciiTheme="majorHAnsi" w:hAnsiTheme="majorHAnsi"/>
          <w:b/>
          <w:bCs/>
          <w:sz w:val="20"/>
          <w:szCs w:val="20"/>
          <w:lang w:val="es-AR"/>
        </w:rPr>
        <w:t>l Estado</w:t>
      </w:r>
      <w:r w:rsidRPr="00342D8C">
        <w:rPr>
          <w:rFonts w:asciiTheme="majorHAnsi" w:hAnsiTheme="majorHAnsi"/>
          <w:b/>
          <w:bCs/>
          <w:sz w:val="20"/>
          <w:szCs w:val="20"/>
          <w:lang w:val="es-AR"/>
        </w:rPr>
        <w:t xml:space="preserve"> </w:t>
      </w:r>
      <w:r w:rsidR="0038088F" w:rsidRPr="00342D8C">
        <w:rPr>
          <w:rFonts w:asciiTheme="majorHAnsi" w:hAnsiTheme="majorHAnsi"/>
          <w:b/>
          <w:bCs/>
          <w:sz w:val="20"/>
          <w:szCs w:val="20"/>
          <w:lang w:val="es-AR"/>
        </w:rPr>
        <w:t>colombiano</w:t>
      </w:r>
    </w:p>
    <w:p w14:paraId="3C7433BB" w14:textId="3EBF7947" w:rsidR="008960E3" w:rsidRPr="00342D8C" w:rsidRDefault="009A63A5"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 xml:space="preserve">Por su parte, </w:t>
      </w:r>
      <w:r w:rsidR="007C1B9E" w:rsidRPr="00342D8C">
        <w:rPr>
          <w:rFonts w:asciiTheme="majorHAnsi" w:hAnsiTheme="majorHAnsi"/>
          <w:sz w:val="20"/>
          <w:szCs w:val="20"/>
          <w:lang w:val="es-PE"/>
        </w:rPr>
        <w:t>Colombia</w:t>
      </w:r>
      <w:r w:rsidRPr="00342D8C">
        <w:rPr>
          <w:rFonts w:asciiTheme="majorHAnsi" w:hAnsiTheme="majorHAnsi"/>
          <w:sz w:val="20"/>
          <w:szCs w:val="20"/>
          <w:lang w:val="es-PE"/>
        </w:rPr>
        <w:t xml:space="preserve"> replica que la petición es inadmisible</w:t>
      </w:r>
      <w:r w:rsidR="00BF0D6E" w:rsidRPr="00342D8C">
        <w:rPr>
          <w:rFonts w:asciiTheme="majorHAnsi" w:hAnsiTheme="majorHAnsi"/>
          <w:sz w:val="20"/>
          <w:szCs w:val="20"/>
          <w:lang w:val="es-PE"/>
        </w:rPr>
        <w:t xml:space="preserve"> por </w:t>
      </w:r>
      <w:r w:rsidR="005C4277" w:rsidRPr="00342D8C">
        <w:rPr>
          <w:rFonts w:asciiTheme="majorHAnsi" w:hAnsiTheme="majorHAnsi"/>
          <w:sz w:val="20"/>
          <w:szCs w:val="20"/>
          <w:lang w:val="es-PE"/>
        </w:rPr>
        <w:t xml:space="preserve">haber sido presentada de forma </w:t>
      </w:r>
      <w:r w:rsidR="00BF0D6E" w:rsidRPr="00342D8C">
        <w:rPr>
          <w:rFonts w:asciiTheme="majorHAnsi" w:hAnsiTheme="majorHAnsi"/>
          <w:sz w:val="20"/>
          <w:szCs w:val="20"/>
          <w:lang w:val="es-PE"/>
        </w:rPr>
        <w:t xml:space="preserve">extemporánea. </w:t>
      </w:r>
      <w:r w:rsidR="00E746B9" w:rsidRPr="00342D8C">
        <w:rPr>
          <w:rFonts w:asciiTheme="majorHAnsi" w:hAnsiTheme="majorHAnsi"/>
          <w:sz w:val="20"/>
          <w:szCs w:val="20"/>
          <w:lang w:val="es-AR"/>
        </w:rPr>
        <w:t>Precisa que l</w:t>
      </w:r>
      <w:r w:rsidR="00A44333" w:rsidRPr="00342D8C">
        <w:rPr>
          <w:rFonts w:asciiTheme="majorHAnsi" w:hAnsiTheme="majorHAnsi"/>
          <w:sz w:val="20"/>
          <w:szCs w:val="20"/>
          <w:lang w:val="es-PE"/>
        </w:rPr>
        <w:t xml:space="preserve">a acción de grupo promovida por los habitantes de "La Plaza" </w:t>
      </w:r>
      <w:r w:rsidR="00526B2D" w:rsidRPr="00342D8C">
        <w:rPr>
          <w:rFonts w:asciiTheme="majorHAnsi" w:hAnsiTheme="majorHAnsi"/>
          <w:sz w:val="20"/>
          <w:szCs w:val="20"/>
          <w:lang w:val="es-PE"/>
        </w:rPr>
        <w:t>concluyó con la decisión del Tribunal Administrativo de Caldas del 31 de octubre de 2013, en la que se revocó la sentencia de primera instancia y se negaron las pretensiones de los demandantes</w:t>
      </w:r>
      <w:r w:rsidR="00A44333" w:rsidRPr="00342D8C">
        <w:rPr>
          <w:rFonts w:asciiTheme="majorHAnsi" w:hAnsiTheme="majorHAnsi"/>
          <w:sz w:val="20"/>
          <w:szCs w:val="20"/>
          <w:lang w:val="es-PE"/>
        </w:rPr>
        <w:t xml:space="preserve">. Posteriormente, la Sección Quinta de la Sala de lo Contencioso Administrativo del Consejo de Estado, mediante autos del 10 de abril, 30 de mayo y 11 de julio de 2014, resolvió no seleccionar para revisión la sentencia del Tribunal Administrativo de Caldas, agotando así las vías legales internas. </w:t>
      </w:r>
    </w:p>
    <w:p w14:paraId="39F2DD91" w14:textId="0E583F30" w:rsidR="00A328B1" w:rsidRPr="00342D8C" w:rsidRDefault="00B60BA0"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Así</w:t>
      </w:r>
      <w:r w:rsidR="008960E3" w:rsidRPr="00342D8C">
        <w:rPr>
          <w:rFonts w:asciiTheme="majorHAnsi" w:hAnsiTheme="majorHAnsi"/>
          <w:sz w:val="20"/>
          <w:szCs w:val="20"/>
          <w:lang w:val="es-AR"/>
        </w:rPr>
        <w:t xml:space="preserve">, el 4 de agosto de 2014 </w:t>
      </w:r>
      <w:r w:rsidR="008960E3" w:rsidRPr="00342D8C">
        <w:rPr>
          <w:rFonts w:asciiTheme="majorHAnsi" w:hAnsiTheme="majorHAnsi"/>
          <w:sz w:val="20"/>
          <w:szCs w:val="20"/>
          <w:lang w:val="es-PE"/>
        </w:rPr>
        <w:t xml:space="preserve">la Sección Quinta de la Sala de lo Contencioso Administrativo del Consejo de Estado, ordenó </w:t>
      </w:r>
      <w:r w:rsidRPr="00342D8C">
        <w:rPr>
          <w:rFonts w:asciiTheme="majorHAnsi" w:hAnsiTheme="majorHAnsi"/>
          <w:sz w:val="20"/>
          <w:szCs w:val="20"/>
          <w:lang w:val="es-PE"/>
        </w:rPr>
        <w:t>cumplir</w:t>
      </w:r>
      <w:r w:rsidR="008960E3" w:rsidRPr="00342D8C">
        <w:rPr>
          <w:rFonts w:asciiTheme="majorHAnsi" w:hAnsiTheme="majorHAnsi"/>
          <w:sz w:val="20"/>
          <w:szCs w:val="20"/>
          <w:lang w:val="es-PE"/>
        </w:rPr>
        <w:t xml:space="preserve"> lo decidido y devolver el expediente al despacho de origen. Este auto fue registrado en el expediente digital del proceso, al cual ambas partes</w:t>
      </w:r>
      <w:r w:rsidR="00575460" w:rsidRPr="00342D8C">
        <w:rPr>
          <w:rFonts w:asciiTheme="majorHAnsi" w:hAnsiTheme="majorHAnsi"/>
          <w:sz w:val="20"/>
          <w:szCs w:val="20"/>
          <w:lang w:val="es-PE"/>
        </w:rPr>
        <w:t xml:space="preserve"> tienen acceso, el 6 de agosto de 2014. Desde esa fecha los accionantes tuvieron conocimiento de que el recurso de súplica fue desfavorable.</w:t>
      </w:r>
      <w:r w:rsidR="00E55E83" w:rsidRPr="00342D8C">
        <w:rPr>
          <w:rFonts w:asciiTheme="majorHAnsi" w:hAnsiTheme="majorHAnsi"/>
          <w:sz w:val="20"/>
          <w:szCs w:val="20"/>
          <w:lang w:val="es-PE"/>
        </w:rPr>
        <w:t xml:space="preserve"> </w:t>
      </w:r>
    </w:p>
    <w:p w14:paraId="24031001" w14:textId="4EEDE35E" w:rsidR="0030014F" w:rsidRPr="00342D8C" w:rsidRDefault="0030014F"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El Estado considera que esta es la fecha que debe valorarse para analizar el cumplimiento del plazo dispuesto en el artículo 46.1.b</w:t>
      </w:r>
      <w:r w:rsidR="001E2298" w:rsidRPr="00342D8C">
        <w:rPr>
          <w:rFonts w:asciiTheme="majorHAnsi" w:hAnsiTheme="majorHAnsi"/>
          <w:sz w:val="20"/>
          <w:szCs w:val="20"/>
          <w:lang w:val="es-AR"/>
        </w:rPr>
        <w:t>)</w:t>
      </w:r>
      <w:r w:rsidRPr="00342D8C">
        <w:rPr>
          <w:rFonts w:asciiTheme="majorHAnsi" w:hAnsiTheme="majorHAnsi"/>
          <w:sz w:val="20"/>
          <w:szCs w:val="20"/>
          <w:lang w:val="es-AR"/>
        </w:rPr>
        <w:t xml:space="preserve"> de la Convención Americana, teniendo en cuenta lo dispuesto en los artículos 196, 198 y 201 de la Ley 1734 de 2011. Particularmente, el artículo 198 señala cuáles son las providencias que deben ser notificadas de manera personal. Además, el artículo 201 establece que los autos no sujetos al requisito de la notificación personal se notificarán por medio de anotación en estados electrónicos para consulta en línea, como ocurrió en este caso.</w:t>
      </w:r>
    </w:p>
    <w:p w14:paraId="285EEF6B" w14:textId="1CA290B0" w:rsidR="000655CF" w:rsidRPr="00342D8C" w:rsidRDefault="00316E5C"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342D8C">
        <w:rPr>
          <w:rFonts w:asciiTheme="majorHAnsi" w:hAnsiTheme="majorHAnsi"/>
          <w:sz w:val="20"/>
          <w:szCs w:val="20"/>
          <w:lang w:val="es-AR"/>
        </w:rPr>
        <w:t>A criterio de lo Colombia, lo expuesto muestra que</w:t>
      </w:r>
      <w:r w:rsidR="0030014F" w:rsidRPr="00342D8C">
        <w:rPr>
          <w:rFonts w:asciiTheme="majorHAnsi" w:hAnsiTheme="majorHAnsi"/>
          <w:sz w:val="20"/>
          <w:szCs w:val="20"/>
          <w:lang w:val="es-AR"/>
        </w:rPr>
        <w:t xml:space="preserve"> en este asunto se desconoció el plazo de </w:t>
      </w:r>
      <w:r w:rsidR="001E2298" w:rsidRPr="00342D8C">
        <w:rPr>
          <w:rFonts w:asciiTheme="majorHAnsi" w:hAnsiTheme="majorHAnsi"/>
          <w:sz w:val="20"/>
          <w:szCs w:val="20"/>
          <w:lang w:val="es-AR"/>
        </w:rPr>
        <w:t>seis</w:t>
      </w:r>
      <w:r w:rsidR="0030014F" w:rsidRPr="00342D8C">
        <w:rPr>
          <w:rFonts w:asciiTheme="majorHAnsi" w:hAnsiTheme="majorHAnsi"/>
          <w:sz w:val="20"/>
          <w:szCs w:val="20"/>
          <w:lang w:val="es-AR"/>
        </w:rPr>
        <w:t xml:space="preserve"> meses. La </w:t>
      </w:r>
      <w:r w:rsidRPr="00342D8C">
        <w:rPr>
          <w:rFonts w:asciiTheme="majorHAnsi" w:hAnsiTheme="majorHAnsi"/>
          <w:sz w:val="20"/>
          <w:szCs w:val="20"/>
          <w:lang w:val="es-AR"/>
        </w:rPr>
        <w:t>petición</w:t>
      </w:r>
      <w:r w:rsidR="0030014F" w:rsidRPr="00342D8C">
        <w:rPr>
          <w:rFonts w:asciiTheme="majorHAnsi" w:hAnsiTheme="majorHAnsi"/>
          <w:sz w:val="20"/>
          <w:szCs w:val="20"/>
          <w:lang w:val="es-AR"/>
        </w:rPr>
        <w:t xml:space="preserve"> fue presentada el 21 de febrero de 2015</w:t>
      </w:r>
      <w:r w:rsidR="00E0180D" w:rsidRPr="00342D8C">
        <w:rPr>
          <w:rFonts w:asciiTheme="majorHAnsi" w:hAnsiTheme="majorHAnsi"/>
          <w:sz w:val="20"/>
          <w:szCs w:val="20"/>
          <w:lang w:val="es-AR"/>
        </w:rPr>
        <w:t>,</w:t>
      </w:r>
      <w:r w:rsidR="0030014F" w:rsidRPr="00342D8C">
        <w:rPr>
          <w:rFonts w:asciiTheme="majorHAnsi" w:hAnsiTheme="majorHAnsi"/>
          <w:sz w:val="20"/>
          <w:szCs w:val="20"/>
          <w:lang w:val="es-AR"/>
        </w:rPr>
        <w:t xml:space="preserve"> y el auto del 4 de agosto de 2014 fue registrado en el expediente digital del proceso el 6 de agosto de 2014. Esto indica que transcurrieron </w:t>
      </w:r>
      <w:r w:rsidR="00E0180D" w:rsidRPr="00342D8C">
        <w:rPr>
          <w:rFonts w:asciiTheme="majorHAnsi" w:hAnsiTheme="majorHAnsi"/>
          <w:sz w:val="20"/>
          <w:szCs w:val="20"/>
          <w:lang w:val="es-AR"/>
        </w:rPr>
        <w:t>seis</w:t>
      </w:r>
      <w:r w:rsidR="0030014F" w:rsidRPr="00342D8C">
        <w:rPr>
          <w:rFonts w:asciiTheme="majorHAnsi" w:hAnsiTheme="majorHAnsi"/>
          <w:sz w:val="20"/>
          <w:szCs w:val="20"/>
          <w:lang w:val="es-AR"/>
        </w:rPr>
        <w:t xml:space="preserve"> meses y </w:t>
      </w:r>
      <w:r w:rsidR="00E0180D" w:rsidRPr="00342D8C">
        <w:rPr>
          <w:rFonts w:asciiTheme="majorHAnsi" w:hAnsiTheme="majorHAnsi"/>
          <w:sz w:val="20"/>
          <w:szCs w:val="20"/>
          <w:lang w:val="es-AR"/>
        </w:rPr>
        <w:t>quince</w:t>
      </w:r>
      <w:r w:rsidR="0030014F" w:rsidRPr="00342D8C">
        <w:rPr>
          <w:rFonts w:asciiTheme="majorHAnsi" w:hAnsiTheme="majorHAnsi"/>
          <w:sz w:val="20"/>
          <w:szCs w:val="20"/>
          <w:lang w:val="es-AR"/>
        </w:rPr>
        <w:t xml:space="preserve"> días desde que la parte peticionaria tuvo conocimiento de la última decisión adoptada a nivel interno.</w:t>
      </w:r>
    </w:p>
    <w:p w14:paraId="66AB8932" w14:textId="19C2A83C" w:rsidR="00B37FB9" w:rsidRPr="00342D8C" w:rsidRDefault="001570C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342D8C">
        <w:rPr>
          <w:rFonts w:asciiTheme="majorHAnsi" w:hAnsiTheme="majorHAnsi"/>
          <w:sz w:val="20"/>
          <w:szCs w:val="20"/>
          <w:lang w:val="es-PE"/>
        </w:rPr>
        <w:t>En segundo lugar, Colombia alega la</w:t>
      </w:r>
      <w:r w:rsidR="00DD11AF" w:rsidRPr="00342D8C">
        <w:rPr>
          <w:rFonts w:asciiTheme="majorHAnsi" w:hAnsiTheme="majorHAnsi"/>
          <w:sz w:val="20"/>
          <w:szCs w:val="20"/>
          <w:lang w:val="es-PE"/>
        </w:rPr>
        <w:t xml:space="preserve"> petición es inadmisible debido a la</w:t>
      </w:r>
      <w:r w:rsidRPr="00342D8C">
        <w:rPr>
          <w:rFonts w:asciiTheme="majorHAnsi" w:hAnsiTheme="majorHAnsi"/>
          <w:sz w:val="20"/>
          <w:szCs w:val="20"/>
          <w:lang w:val="es-PE"/>
        </w:rPr>
        <w:t xml:space="preserve"> falta de agotamiento de los recursos internos. </w:t>
      </w:r>
      <w:r w:rsidR="006719CF" w:rsidRPr="00342D8C">
        <w:rPr>
          <w:rFonts w:asciiTheme="majorHAnsi" w:hAnsiTheme="majorHAnsi"/>
          <w:sz w:val="20"/>
          <w:szCs w:val="20"/>
          <w:lang w:val="es-PE"/>
        </w:rPr>
        <w:t>S</w:t>
      </w:r>
      <w:r w:rsidR="00B37FB9" w:rsidRPr="00342D8C">
        <w:rPr>
          <w:rFonts w:asciiTheme="majorHAnsi" w:hAnsiTheme="majorHAnsi"/>
          <w:sz w:val="20"/>
          <w:szCs w:val="20"/>
          <w:lang w:val="es-PE"/>
        </w:rPr>
        <w:t>ostiene que aunque los peticionarios promovieron una acción de grupo en el ámbito contencioso-administrativo,</w:t>
      </w:r>
      <w:r w:rsidR="006719CF" w:rsidRPr="00342D8C">
        <w:rPr>
          <w:rFonts w:asciiTheme="majorHAnsi" w:hAnsiTheme="majorHAnsi"/>
          <w:sz w:val="20"/>
          <w:szCs w:val="20"/>
          <w:lang w:val="es-PE"/>
        </w:rPr>
        <w:t xml:space="preserve"> </w:t>
      </w:r>
      <w:r w:rsidR="00B37FB9" w:rsidRPr="00342D8C">
        <w:rPr>
          <w:rFonts w:asciiTheme="majorHAnsi" w:hAnsiTheme="majorHAnsi"/>
          <w:sz w:val="20"/>
          <w:szCs w:val="20"/>
          <w:lang w:val="es-PE"/>
        </w:rPr>
        <w:t>no</w:t>
      </w:r>
      <w:r w:rsidR="006719CF" w:rsidRPr="00342D8C">
        <w:rPr>
          <w:rFonts w:asciiTheme="majorHAnsi" w:hAnsiTheme="majorHAnsi"/>
          <w:sz w:val="20"/>
          <w:szCs w:val="20"/>
          <w:lang w:val="es-PE"/>
        </w:rPr>
        <w:t xml:space="preserve"> </w:t>
      </w:r>
      <w:r w:rsidR="00B37FB9" w:rsidRPr="00342D8C">
        <w:rPr>
          <w:rFonts w:asciiTheme="majorHAnsi" w:hAnsiTheme="majorHAnsi"/>
          <w:sz w:val="20"/>
          <w:szCs w:val="20"/>
          <w:lang w:val="es-PE"/>
        </w:rPr>
        <w:t xml:space="preserve">utilizaron otros mecanismos legales que podrían haber </w:t>
      </w:r>
      <w:r w:rsidR="009D5075" w:rsidRPr="00342D8C">
        <w:rPr>
          <w:rFonts w:asciiTheme="majorHAnsi" w:hAnsiTheme="majorHAnsi"/>
          <w:sz w:val="20"/>
          <w:szCs w:val="20"/>
          <w:lang w:val="es-PE"/>
        </w:rPr>
        <w:t>sido</w:t>
      </w:r>
      <w:r w:rsidR="00B37FB9" w:rsidRPr="00342D8C">
        <w:rPr>
          <w:rFonts w:asciiTheme="majorHAnsi" w:hAnsiTheme="majorHAnsi"/>
          <w:sz w:val="20"/>
          <w:szCs w:val="20"/>
          <w:lang w:val="es-PE"/>
        </w:rPr>
        <w:t xml:space="preserve"> más adecuados para obtener la reparación de sus derechos. En particular, los peticionarios no interpusieron acciones de tutela, las cuales constituyen un recurso expedito y efectivo para la protección de derechos fundamentales cuando se considera que están en riesgo inminente. La acción de tutela ha sido utilizada en múltiples ocasiones en casos de afectaciones al derecho a la vivienda, al medio ambiente sano y a la integridad personal, por lo que los peticionarios podrían haber recurrido a este mecanismo antes de presentar la petición ante la CIDH.</w:t>
      </w:r>
    </w:p>
    <w:p w14:paraId="5DBB22D9" w14:textId="63FA9735" w:rsidR="00B37FB9" w:rsidRPr="00342D8C" w:rsidRDefault="00B37FB9"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342D8C">
        <w:rPr>
          <w:rFonts w:asciiTheme="majorHAnsi" w:hAnsiTheme="majorHAnsi"/>
          <w:sz w:val="20"/>
          <w:szCs w:val="20"/>
          <w:lang w:val="es-PE"/>
        </w:rPr>
        <w:t>Asimismo, el Estado señala que los peticionarios tampoco interpusieron una acción de reparación directa, que es el mecanismo procesal idóneo en el derecho colombiano para reclamar indemnización por daños causados por la actuación u omisión de entidades estatales. A través de esta vía los afectados podrían haber buscado una compensación económica por los perjuicios sufridos en sus viviendas y negocios debido a la actividad minera en Marmato. Sin embargo, al no haber ejercido este recurso, el Estado considera que la petición no cumple con el requisito de agotamiento de los recursos internos.</w:t>
      </w:r>
    </w:p>
    <w:p w14:paraId="6F34B6F2" w14:textId="77777777" w:rsidR="00B37FB9" w:rsidRPr="00342D8C" w:rsidRDefault="00B37FB9"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342D8C">
        <w:rPr>
          <w:rFonts w:asciiTheme="majorHAnsi" w:hAnsiTheme="majorHAnsi"/>
          <w:sz w:val="20"/>
          <w:szCs w:val="20"/>
          <w:lang w:val="es-PE"/>
        </w:rPr>
        <w:lastRenderedPageBreak/>
        <w:t>Además, Colombia resalta que las autoridades nacionales han implementado medidas administrativas y sociales para mitigar los riesgos en la zona y garantizar la seguridad de los habitantes de "La Plaza". Como parte de estas acciones, se han promovido planes de reubicación para las familias afectadas y se han adoptado restricciones a la explotación minera en áreas de alto riesgo. Sin embargo, algunos habitantes han rechazado estas soluciones, lo que, a juicio del Estado, demuestra que la supuesta falta de protección estatal no responde a una omisión sino a la negativa de algunos afectados de aceptar las medidas propuestas.</w:t>
      </w:r>
    </w:p>
    <w:p w14:paraId="687AE598" w14:textId="749F0458" w:rsidR="00C7465E" w:rsidRPr="00342D8C" w:rsidRDefault="00C7465E"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342D8C">
        <w:rPr>
          <w:rFonts w:asciiTheme="majorHAnsi" w:hAnsiTheme="majorHAnsi"/>
          <w:sz w:val="20"/>
          <w:szCs w:val="20"/>
          <w:lang w:val="es-PE"/>
        </w:rPr>
        <w:t>Por último, el Estado señala que la petición presenta una falta de caracterización adecuada de los hechos como violaciones de derechos humanos. A su juicio, los daños sufridos en la zona de "La Plaza" no pueden atribuirse exclusivamente a la acción u omisión del Estado, sino que responden a una combinación de factores históricos, geológicos y sociales. La explotación minera en Marmato tiene más de 500 años de tradición y ha sido ejercida tanto por empresas privadas como por mineros informales, sin que pueda establecerse de manera concluyente una violación de los derechos a la integridad personal, la propiedad privada y las garantías judiciales directamente atribuible a la actuación estatal. Adicionalmente, Colombia argumenta que la CIDH no puede actuar como una "cuarta instancia" para revisar decisiones judiciales nacionales, en particular cuando los tribunales internos han examinado los hechos, han valorado las pruebas presentadas y han emitido fallos en derecho. En consecuencia, sostiene que la petición carece de fundamentos suficientes para justificar la intervención del sistema interamericano y debe ser declarada inadmisible.</w:t>
      </w:r>
    </w:p>
    <w:p w14:paraId="6F4D4171" w14:textId="545B5321" w:rsidR="003239B8" w:rsidRPr="00342D8C" w:rsidRDefault="003239B8" w:rsidP="00342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UY"/>
        </w:rPr>
      </w:pPr>
      <w:r w:rsidRPr="00342D8C">
        <w:rPr>
          <w:rFonts w:asciiTheme="majorHAnsi" w:eastAsia="Cambria" w:hAnsiTheme="majorHAnsi" w:cs="Cambria"/>
          <w:b/>
          <w:bCs/>
          <w:color w:val="000000"/>
          <w:sz w:val="20"/>
          <w:szCs w:val="20"/>
          <w:u w:color="000000"/>
          <w:lang w:val="es-ES" w:eastAsia="es-ES"/>
        </w:rPr>
        <w:t>VI.</w:t>
      </w:r>
      <w:r w:rsidRPr="00342D8C">
        <w:rPr>
          <w:rFonts w:asciiTheme="majorHAnsi" w:eastAsia="Cambria" w:hAnsiTheme="majorHAnsi" w:cs="Cambria"/>
          <w:b/>
          <w:bCs/>
          <w:color w:val="000000"/>
          <w:sz w:val="20"/>
          <w:szCs w:val="20"/>
          <w:u w:color="000000"/>
          <w:lang w:val="es-ES" w:eastAsia="es-ES"/>
        </w:rPr>
        <w:tab/>
      </w:r>
      <w:r w:rsidR="004A6A54" w:rsidRPr="00342D8C">
        <w:rPr>
          <w:rFonts w:asciiTheme="majorHAnsi" w:hAnsiTheme="majorHAnsi"/>
          <w:b/>
          <w:bCs/>
          <w:sz w:val="20"/>
          <w:szCs w:val="20"/>
          <w:lang w:val="es-ES_tradnl"/>
        </w:rPr>
        <w:t xml:space="preserve">ANÁLISIS DE </w:t>
      </w:r>
      <w:r w:rsidR="00C21FEF" w:rsidRPr="00342D8C">
        <w:rPr>
          <w:rFonts w:asciiTheme="majorHAnsi" w:hAnsiTheme="majorHAnsi"/>
          <w:b/>
          <w:sz w:val="20"/>
          <w:szCs w:val="20"/>
          <w:lang w:val="es-ES"/>
        </w:rPr>
        <w:t>AGOTAMIENTO DE LOS RECURSOS INTERNOS Y PLAZO DE PRESENTACIÓN</w:t>
      </w:r>
      <w:r w:rsidR="00C21FEF" w:rsidRPr="00342D8C">
        <w:rPr>
          <w:rFonts w:asciiTheme="majorHAnsi" w:eastAsia="Cambria" w:hAnsiTheme="majorHAnsi" w:cs="Cambria"/>
          <w:b/>
          <w:bCs/>
          <w:color w:val="000000"/>
          <w:sz w:val="20"/>
          <w:szCs w:val="20"/>
          <w:u w:color="000000"/>
          <w:lang w:val="es-ES" w:eastAsia="es-ES"/>
        </w:rPr>
        <w:t xml:space="preserve"> </w:t>
      </w:r>
    </w:p>
    <w:p w14:paraId="4C9B2076" w14:textId="6CC6B796" w:rsidR="0007292A" w:rsidRPr="00342D8C" w:rsidRDefault="0007292A"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42D8C">
        <w:rPr>
          <w:rFonts w:asciiTheme="majorHAnsi" w:eastAsia="Times New Roman" w:hAnsiTheme="majorHAnsi"/>
          <w:sz w:val="20"/>
          <w:szCs w:val="20"/>
          <w:bdr w:val="none" w:sz="0" w:space="0" w:color="auto"/>
          <w:lang w:val="es-PE" w:eastAsia="es-PE"/>
        </w:rPr>
        <w:t xml:space="preserve">La parte peticionaria sostiene que agotó la jurisdicción interna con la decisión del 30 de septiembre de 2014 del Juzgado Segundo Administrativo del Circuito de Manizales, mediante la cual se ordenó el archivo del expediente de la acción de grupo iniciada por las presuntas víctimas. Por su parte, el Estado </w:t>
      </w:r>
      <w:r w:rsidR="001675EE" w:rsidRPr="00342D8C">
        <w:rPr>
          <w:rFonts w:asciiTheme="majorHAnsi" w:eastAsia="Times New Roman" w:hAnsiTheme="majorHAnsi"/>
          <w:sz w:val="20"/>
          <w:szCs w:val="20"/>
          <w:bdr w:val="none" w:sz="0" w:space="0" w:color="auto"/>
          <w:lang w:val="es-PE" w:eastAsia="es-PE"/>
        </w:rPr>
        <w:t>cuestiona que</w:t>
      </w:r>
      <w:r w:rsidRPr="00342D8C">
        <w:rPr>
          <w:rFonts w:asciiTheme="majorHAnsi" w:eastAsia="Times New Roman" w:hAnsiTheme="majorHAnsi"/>
          <w:sz w:val="20"/>
          <w:szCs w:val="20"/>
          <w:bdr w:val="none" w:sz="0" w:space="0" w:color="auto"/>
          <w:lang w:val="es-PE" w:eastAsia="es-PE"/>
        </w:rPr>
        <w:t xml:space="preserve"> la petición fue presentada extemporánea</w:t>
      </w:r>
      <w:r w:rsidR="00777C71" w:rsidRPr="00342D8C">
        <w:rPr>
          <w:rFonts w:asciiTheme="majorHAnsi" w:eastAsia="Times New Roman" w:hAnsiTheme="majorHAnsi"/>
          <w:sz w:val="20"/>
          <w:szCs w:val="20"/>
          <w:bdr w:val="none" w:sz="0" w:space="0" w:color="auto"/>
          <w:lang w:val="es-PE" w:eastAsia="es-PE"/>
        </w:rPr>
        <w:t>mente</w:t>
      </w:r>
      <w:r w:rsidR="007C2084" w:rsidRPr="00342D8C">
        <w:rPr>
          <w:rFonts w:asciiTheme="majorHAnsi" w:eastAsia="Times New Roman" w:hAnsiTheme="majorHAnsi"/>
          <w:sz w:val="20"/>
          <w:szCs w:val="20"/>
          <w:bdr w:val="none" w:sz="0" w:space="0" w:color="auto"/>
          <w:lang w:val="es-PE" w:eastAsia="es-PE"/>
        </w:rPr>
        <w:t>; sostiene</w:t>
      </w:r>
      <w:r w:rsidRPr="00342D8C">
        <w:rPr>
          <w:rFonts w:asciiTheme="majorHAnsi" w:eastAsia="Times New Roman" w:hAnsiTheme="majorHAnsi"/>
          <w:sz w:val="20"/>
          <w:szCs w:val="20"/>
          <w:bdr w:val="none" w:sz="0" w:space="0" w:color="auto"/>
          <w:lang w:val="es-PE" w:eastAsia="es-PE"/>
        </w:rPr>
        <w:t xml:space="preserve"> que la última actuación procesal relevante para efectos del plazo establecido en el artículo 46.1.b</w:t>
      </w:r>
      <w:r w:rsidR="00C11670" w:rsidRPr="00342D8C">
        <w:rPr>
          <w:rFonts w:asciiTheme="majorHAnsi" w:eastAsia="Times New Roman" w:hAnsiTheme="majorHAnsi"/>
          <w:sz w:val="20"/>
          <w:szCs w:val="20"/>
          <w:bdr w:val="none" w:sz="0" w:space="0" w:color="auto"/>
          <w:lang w:val="es-PE" w:eastAsia="es-PE"/>
        </w:rPr>
        <w:t>)</w:t>
      </w:r>
      <w:r w:rsidRPr="00342D8C">
        <w:rPr>
          <w:rFonts w:asciiTheme="majorHAnsi" w:eastAsia="Times New Roman" w:hAnsiTheme="majorHAnsi"/>
          <w:sz w:val="20"/>
          <w:szCs w:val="20"/>
          <w:bdr w:val="none" w:sz="0" w:space="0" w:color="auto"/>
          <w:lang w:val="es-PE" w:eastAsia="es-PE"/>
        </w:rPr>
        <w:t xml:space="preserve"> de la Convención </w:t>
      </w:r>
      <w:r w:rsidR="007C2084" w:rsidRPr="00342D8C">
        <w:rPr>
          <w:rFonts w:asciiTheme="majorHAnsi" w:eastAsia="Times New Roman" w:hAnsiTheme="majorHAnsi"/>
          <w:sz w:val="20"/>
          <w:szCs w:val="20"/>
          <w:bdr w:val="none" w:sz="0" w:space="0" w:color="auto"/>
          <w:lang w:val="es-PE" w:eastAsia="es-PE"/>
        </w:rPr>
        <w:t>es</w:t>
      </w:r>
      <w:r w:rsidRPr="00342D8C">
        <w:rPr>
          <w:rFonts w:asciiTheme="majorHAnsi" w:eastAsia="Times New Roman" w:hAnsiTheme="majorHAnsi"/>
          <w:sz w:val="20"/>
          <w:szCs w:val="20"/>
          <w:bdr w:val="none" w:sz="0" w:space="0" w:color="auto"/>
          <w:lang w:val="es-PE" w:eastAsia="es-PE"/>
        </w:rPr>
        <w:t xml:space="preserve"> la decisión del 4 de agosto de 2014 de la Sección Quinta de la Sala de lo Contencioso Administrativo del Consejo de Estado,</w:t>
      </w:r>
      <w:r w:rsidR="007C2084" w:rsidRPr="00342D8C">
        <w:rPr>
          <w:rFonts w:asciiTheme="majorHAnsi" w:eastAsia="Times New Roman" w:hAnsiTheme="majorHAnsi"/>
          <w:sz w:val="20"/>
          <w:szCs w:val="20"/>
          <w:bdr w:val="none" w:sz="0" w:space="0" w:color="auto"/>
          <w:lang w:val="es-PE" w:eastAsia="es-PE"/>
        </w:rPr>
        <w:t xml:space="preserve"> </w:t>
      </w:r>
      <w:r w:rsidRPr="00342D8C">
        <w:rPr>
          <w:rFonts w:asciiTheme="majorHAnsi" w:eastAsia="Times New Roman" w:hAnsiTheme="majorHAnsi"/>
          <w:sz w:val="20"/>
          <w:szCs w:val="20"/>
          <w:bdr w:val="none" w:sz="0" w:space="0" w:color="auto"/>
          <w:lang w:val="es-PE" w:eastAsia="es-PE"/>
        </w:rPr>
        <w:t xml:space="preserve">que ordenó el cumplimiento de lo decidido y la devolución del expediente al despacho de origen. Además, </w:t>
      </w:r>
      <w:r w:rsidR="00C11670" w:rsidRPr="00342D8C">
        <w:rPr>
          <w:rFonts w:asciiTheme="majorHAnsi" w:eastAsia="Times New Roman" w:hAnsiTheme="majorHAnsi"/>
          <w:sz w:val="20"/>
          <w:szCs w:val="20"/>
          <w:bdr w:val="none" w:sz="0" w:space="0" w:color="auto"/>
          <w:lang w:val="es-PE" w:eastAsia="es-PE"/>
        </w:rPr>
        <w:t xml:space="preserve">aduce </w:t>
      </w:r>
      <w:r w:rsidRPr="00342D8C">
        <w:rPr>
          <w:rFonts w:asciiTheme="majorHAnsi" w:eastAsia="Times New Roman" w:hAnsiTheme="majorHAnsi"/>
          <w:sz w:val="20"/>
          <w:szCs w:val="20"/>
          <w:bdr w:val="none" w:sz="0" w:space="0" w:color="auto"/>
          <w:lang w:val="es-PE" w:eastAsia="es-PE"/>
        </w:rPr>
        <w:t>que la parte peticionaria no agotó la jurisdicción interna, pues no recurrió a otros mecanismos legales que, a su juicio, habrían sido más adecuados para la reparación de los derechos alegadamente vulnerados.</w:t>
      </w:r>
    </w:p>
    <w:p w14:paraId="5BDD6831" w14:textId="77777777" w:rsidR="0007292A" w:rsidRPr="00342D8C" w:rsidRDefault="00F36846"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42D8C">
        <w:rPr>
          <w:rFonts w:asciiTheme="majorHAnsi" w:hAnsiTheme="majorHAnsi"/>
          <w:color w:val="000000" w:themeColor="text1"/>
          <w:sz w:val="20"/>
          <w:szCs w:val="20"/>
          <w:lang w:val="es-PA"/>
        </w:rPr>
        <w:t xml:space="preserve">Al respecto, la Comisión </w:t>
      </w:r>
      <w:r w:rsidRPr="00342D8C">
        <w:rPr>
          <w:rFonts w:asciiTheme="majorHAnsi" w:hAnsiTheme="majorHAnsi"/>
          <w:color w:val="000000" w:themeColor="text1"/>
          <w:sz w:val="20"/>
          <w:szCs w:val="20"/>
          <w:lang w:val="es-PE"/>
        </w:rPr>
        <w:t>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342D8C">
        <w:rPr>
          <w:rStyle w:val="FootnoteReference"/>
          <w:rFonts w:asciiTheme="majorHAnsi" w:hAnsiTheme="majorHAnsi"/>
          <w:color w:val="000000" w:themeColor="text1"/>
          <w:sz w:val="20"/>
          <w:szCs w:val="20"/>
          <w:lang w:val="es-PE"/>
        </w:rPr>
        <w:footnoteReference w:id="6"/>
      </w:r>
      <w:r w:rsidRPr="00342D8C">
        <w:rPr>
          <w:rFonts w:asciiTheme="majorHAnsi" w:hAnsiTheme="majorHAnsi"/>
          <w:color w:val="000000" w:themeColor="text1"/>
          <w:sz w:val="20"/>
          <w:szCs w:val="20"/>
          <w:lang w:val="es-PE"/>
        </w:rPr>
        <w:t>.</w:t>
      </w:r>
    </w:p>
    <w:p w14:paraId="421E246A" w14:textId="0205EE13" w:rsidR="0007292A" w:rsidRPr="003F773A" w:rsidRDefault="00F36846"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42D8C">
        <w:rPr>
          <w:rFonts w:asciiTheme="majorHAnsi" w:hAnsiTheme="majorHAnsi"/>
          <w:color w:val="000000" w:themeColor="text1"/>
          <w:sz w:val="20"/>
          <w:szCs w:val="20"/>
          <w:lang w:val="es-PE"/>
        </w:rPr>
        <w:t xml:space="preserve">En el presente asunto, la CIDH nota que la parte peticionaria </w:t>
      </w:r>
      <w:r w:rsidR="001343B8" w:rsidRPr="00342D8C">
        <w:rPr>
          <w:rFonts w:asciiTheme="majorHAnsi" w:hAnsiTheme="majorHAnsi"/>
          <w:color w:val="000000" w:themeColor="text1"/>
          <w:sz w:val="20"/>
          <w:szCs w:val="20"/>
          <w:lang w:val="es-PE"/>
        </w:rPr>
        <w:t>utilizó</w:t>
      </w:r>
      <w:r w:rsidRPr="00342D8C">
        <w:rPr>
          <w:rFonts w:asciiTheme="majorHAnsi" w:hAnsiTheme="majorHAnsi"/>
          <w:color w:val="000000" w:themeColor="text1"/>
          <w:sz w:val="20"/>
          <w:szCs w:val="20"/>
          <w:lang w:val="es-PE"/>
        </w:rPr>
        <w:t xml:space="preserve"> una </w:t>
      </w:r>
      <w:r w:rsidR="00932229" w:rsidRPr="00342D8C">
        <w:rPr>
          <w:rFonts w:asciiTheme="majorHAnsi" w:hAnsiTheme="majorHAnsi"/>
          <w:color w:val="000000" w:themeColor="text1"/>
          <w:sz w:val="20"/>
          <w:szCs w:val="20"/>
          <w:lang w:val="es-PE"/>
        </w:rPr>
        <w:t xml:space="preserve">vía válida para que se declare la responsabilidad de Colombia </w:t>
      </w:r>
      <w:r w:rsidR="00C004A0" w:rsidRPr="00342D8C">
        <w:rPr>
          <w:rFonts w:asciiTheme="majorHAnsi" w:hAnsiTheme="majorHAnsi"/>
          <w:color w:val="000000" w:themeColor="text1"/>
          <w:sz w:val="20"/>
          <w:szCs w:val="20"/>
          <w:lang w:val="es-PE"/>
        </w:rPr>
        <w:t xml:space="preserve">por la falta de fiscalización minera. </w:t>
      </w:r>
      <w:r w:rsidR="00C348F3" w:rsidRPr="00342D8C">
        <w:rPr>
          <w:rFonts w:asciiTheme="majorHAnsi" w:hAnsiTheme="majorHAnsi"/>
          <w:color w:val="000000" w:themeColor="text1"/>
          <w:sz w:val="20"/>
          <w:szCs w:val="20"/>
          <w:lang w:val="es-PE"/>
        </w:rPr>
        <w:t>En tal sentido</w:t>
      </w:r>
      <w:r w:rsidR="00EA5418" w:rsidRPr="00342D8C">
        <w:rPr>
          <w:rFonts w:asciiTheme="majorHAnsi" w:hAnsiTheme="majorHAnsi"/>
          <w:color w:val="000000" w:themeColor="text1"/>
          <w:sz w:val="20"/>
          <w:szCs w:val="20"/>
          <w:lang w:val="es-PE"/>
        </w:rPr>
        <w:t xml:space="preserve">, observa que las instancias judiciales que conocieron la acción de grupo presentada por las presuntas víctimas, si bien desestimaron sus argumentos de fondo, afirmaron su competencia para analizar la controversia planteada y declararon cumplidos los requisitos de procedencia de la acción. Sobre esta base la Comisión </w:t>
      </w:r>
      <w:r w:rsidR="00F92690" w:rsidRPr="00342D8C">
        <w:rPr>
          <w:rFonts w:asciiTheme="majorHAnsi" w:hAnsiTheme="majorHAnsi"/>
          <w:color w:val="000000" w:themeColor="text1"/>
          <w:sz w:val="20"/>
          <w:szCs w:val="20"/>
          <w:lang w:val="es-PE"/>
        </w:rPr>
        <w:t xml:space="preserve">considera que la presente petición cumple </w:t>
      </w:r>
      <w:r w:rsidR="00F92690" w:rsidRPr="003F773A">
        <w:rPr>
          <w:rFonts w:asciiTheme="majorHAnsi" w:hAnsiTheme="majorHAnsi"/>
          <w:color w:val="000000" w:themeColor="text1"/>
          <w:sz w:val="20"/>
          <w:szCs w:val="20"/>
          <w:lang w:val="es-PE"/>
        </w:rPr>
        <w:t>con el requisito establecido en el artículo 46.1.a) de la Convención Americ</w:t>
      </w:r>
      <w:r w:rsidR="002627C1" w:rsidRPr="003F773A">
        <w:rPr>
          <w:rFonts w:asciiTheme="majorHAnsi" w:hAnsiTheme="majorHAnsi"/>
          <w:color w:val="000000" w:themeColor="text1"/>
          <w:sz w:val="20"/>
          <w:szCs w:val="20"/>
          <w:lang w:val="es-PE"/>
        </w:rPr>
        <w:t>an</w:t>
      </w:r>
      <w:r w:rsidR="00F92690" w:rsidRPr="003F773A">
        <w:rPr>
          <w:rFonts w:asciiTheme="majorHAnsi" w:hAnsiTheme="majorHAnsi"/>
          <w:color w:val="000000" w:themeColor="text1"/>
          <w:sz w:val="20"/>
          <w:szCs w:val="20"/>
          <w:lang w:val="es-PE"/>
        </w:rPr>
        <w:t>a</w:t>
      </w:r>
      <w:r w:rsidR="00EA5418" w:rsidRPr="003F773A">
        <w:rPr>
          <w:rFonts w:asciiTheme="majorHAnsi" w:hAnsiTheme="majorHAnsi"/>
          <w:color w:val="000000" w:themeColor="text1"/>
          <w:sz w:val="20"/>
          <w:szCs w:val="20"/>
          <w:lang w:val="es-PE"/>
        </w:rPr>
        <w:t xml:space="preserve">. </w:t>
      </w:r>
    </w:p>
    <w:p w14:paraId="5EAF4C7A" w14:textId="3190537D" w:rsidR="004C1D47" w:rsidRPr="003F773A" w:rsidRDefault="00D315EC" w:rsidP="00F705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color w:val="000000" w:themeColor="text1"/>
          <w:sz w:val="20"/>
          <w:szCs w:val="20"/>
          <w:lang w:val="es-ES"/>
        </w:rPr>
        <w:t>Con respect</w:t>
      </w:r>
      <w:r w:rsidR="00BC4B23" w:rsidRPr="003F773A">
        <w:rPr>
          <w:rFonts w:asciiTheme="majorHAnsi" w:hAnsiTheme="majorHAnsi"/>
          <w:color w:val="000000" w:themeColor="text1"/>
          <w:sz w:val="20"/>
          <w:szCs w:val="20"/>
          <w:lang w:val="es-ES"/>
        </w:rPr>
        <w:t>o</w:t>
      </w:r>
      <w:r w:rsidRPr="003F773A">
        <w:rPr>
          <w:rFonts w:asciiTheme="majorHAnsi" w:hAnsiTheme="majorHAnsi"/>
          <w:color w:val="000000" w:themeColor="text1"/>
          <w:sz w:val="20"/>
          <w:szCs w:val="20"/>
          <w:lang w:val="es-ES"/>
        </w:rPr>
        <w:t xml:space="preserve"> al requisit</w:t>
      </w:r>
      <w:r w:rsidR="00914436" w:rsidRPr="003F773A">
        <w:rPr>
          <w:rFonts w:asciiTheme="majorHAnsi" w:hAnsiTheme="majorHAnsi"/>
          <w:color w:val="000000" w:themeColor="text1"/>
          <w:sz w:val="20"/>
          <w:szCs w:val="20"/>
          <w:lang w:val="es-ES"/>
        </w:rPr>
        <w:t>o</w:t>
      </w:r>
      <w:r w:rsidRPr="003F773A">
        <w:rPr>
          <w:rFonts w:asciiTheme="majorHAnsi" w:hAnsiTheme="majorHAnsi"/>
          <w:color w:val="000000" w:themeColor="text1"/>
          <w:sz w:val="20"/>
          <w:szCs w:val="20"/>
          <w:lang w:val="es-ES"/>
        </w:rPr>
        <w:t xml:space="preserve"> del plazo de presentación</w:t>
      </w:r>
      <w:r w:rsidR="00532632" w:rsidRPr="003F773A">
        <w:rPr>
          <w:rFonts w:asciiTheme="majorHAnsi" w:hAnsiTheme="majorHAnsi"/>
          <w:color w:val="000000" w:themeColor="text1"/>
          <w:sz w:val="20"/>
          <w:szCs w:val="20"/>
          <w:lang w:val="es-ES"/>
        </w:rPr>
        <w:t xml:space="preserve">, el artículo 46.1.b) de la Convención Americana establece que </w:t>
      </w:r>
      <w:r w:rsidR="00C876F1" w:rsidRPr="003F773A">
        <w:rPr>
          <w:rFonts w:asciiTheme="majorHAnsi" w:hAnsiTheme="majorHAnsi"/>
          <w:color w:val="000000" w:themeColor="text1"/>
          <w:sz w:val="20"/>
          <w:szCs w:val="20"/>
          <w:lang w:val="es-ES"/>
        </w:rPr>
        <w:t>la petición debe ser “</w:t>
      </w:r>
      <w:r w:rsidR="00C876F1" w:rsidRPr="003F773A">
        <w:rPr>
          <w:rFonts w:asciiTheme="majorHAnsi" w:hAnsiTheme="majorHAnsi"/>
          <w:i/>
          <w:iCs/>
          <w:color w:val="000000" w:themeColor="text1"/>
          <w:sz w:val="20"/>
          <w:szCs w:val="20"/>
          <w:lang w:val="es-ES"/>
        </w:rPr>
        <w:t xml:space="preserve">presentada dentro del plazo de seis meses, a partir de la fecha en que el presunto lesionado </w:t>
      </w:r>
      <w:r w:rsidR="004E34B9" w:rsidRPr="003F773A">
        <w:rPr>
          <w:rFonts w:asciiTheme="majorHAnsi" w:hAnsiTheme="majorHAnsi"/>
          <w:i/>
          <w:iCs/>
          <w:color w:val="000000" w:themeColor="text1"/>
          <w:sz w:val="20"/>
          <w:szCs w:val="20"/>
          <w:lang w:val="es-ES"/>
        </w:rPr>
        <w:t>en sus derechos haya sido notificado de la decisión definitiva</w:t>
      </w:r>
      <w:r w:rsidR="004E34B9" w:rsidRPr="003F773A">
        <w:rPr>
          <w:rFonts w:asciiTheme="majorHAnsi" w:hAnsiTheme="majorHAnsi"/>
          <w:color w:val="000000" w:themeColor="text1"/>
          <w:sz w:val="20"/>
          <w:szCs w:val="20"/>
          <w:lang w:val="es-ES"/>
        </w:rPr>
        <w:t>”</w:t>
      </w:r>
      <w:r w:rsidR="00AE39E7" w:rsidRPr="003F773A">
        <w:rPr>
          <w:rFonts w:asciiTheme="majorHAnsi" w:hAnsiTheme="majorHAnsi"/>
          <w:color w:val="000000" w:themeColor="text1"/>
          <w:sz w:val="20"/>
          <w:szCs w:val="20"/>
          <w:lang w:val="es-ES"/>
        </w:rPr>
        <w:t xml:space="preserve">. </w:t>
      </w:r>
      <w:r w:rsidR="00495BA6" w:rsidRPr="003F773A">
        <w:rPr>
          <w:rFonts w:asciiTheme="majorHAnsi" w:hAnsiTheme="majorHAnsi"/>
          <w:color w:val="000000" w:themeColor="text1"/>
          <w:sz w:val="20"/>
          <w:szCs w:val="20"/>
          <w:lang w:val="es-ES"/>
        </w:rPr>
        <w:t>E</w:t>
      </w:r>
      <w:r w:rsidR="00550FD9" w:rsidRPr="003F773A">
        <w:rPr>
          <w:rFonts w:asciiTheme="majorHAnsi" w:hAnsiTheme="majorHAnsi"/>
          <w:color w:val="000000" w:themeColor="text1"/>
          <w:sz w:val="20"/>
          <w:szCs w:val="20"/>
          <w:lang w:val="es-ES"/>
        </w:rPr>
        <w:t xml:space="preserve">n el presente asunto, la Comisión observa que el Estado colombiano presentó su objeción al cumplimiento de este requisito en el momento procesal oportuno, y </w:t>
      </w:r>
      <w:r w:rsidR="0014649A" w:rsidRPr="003F773A">
        <w:rPr>
          <w:rFonts w:asciiTheme="majorHAnsi" w:hAnsiTheme="majorHAnsi"/>
          <w:color w:val="000000" w:themeColor="text1"/>
          <w:sz w:val="20"/>
          <w:szCs w:val="20"/>
          <w:lang w:val="es-ES"/>
        </w:rPr>
        <w:t>aduce</w:t>
      </w:r>
      <w:r w:rsidR="00B70C3F" w:rsidRPr="003F773A">
        <w:rPr>
          <w:rFonts w:asciiTheme="majorHAnsi" w:hAnsiTheme="majorHAnsi"/>
          <w:color w:val="000000" w:themeColor="text1"/>
          <w:sz w:val="20"/>
          <w:szCs w:val="20"/>
          <w:lang w:val="es-ES"/>
        </w:rPr>
        <w:t xml:space="preserve"> que</w:t>
      </w:r>
      <w:r w:rsidR="00BB3DC5" w:rsidRPr="003F773A">
        <w:rPr>
          <w:rFonts w:asciiTheme="majorHAnsi" w:hAnsiTheme="majorHAnsi"/>
          <w:color w:val="000000" w:themeColor="text1"/>
          <w:sz w:val="20"/>
          <w:szCs w:val="20"/>
          <w:lang w:val="es-ES"/>
        </w:rPr>
        <w:t xml:space="preserve"> </w:t>
      </w:r>
      <w:r w:rsidR="00EC3B10" w:rsidRPr="003F773A">
        <w:rPr>
          <w:rFonts w:asciiTheme="majorHAnsi" w:eastAsia="Times New Roman" w:hAnsiTheme="majorHAnsi"/>
          <w:sz w:val="20"/>
          <w:szCs w:val="20"/>
          <w:bdr w:val="none" w:sz="0" w:space="0" w:color="auto"/>
          <w:lang w:val="es-PE" w:eastAsia="es-PE"/>
        </w:rPr>
        <w:t xml:space="preserve">la última decisión </w:t>
      </w:r>
      <w:r w:rsidR="00AE4CD7" w:rsidRPr="003F773A">
        <w:rPr>
          <w:rFonts w:asciiTheme="majorHAnsi" w:eastAsia="Times New Roman" w:hAnsiTheme="majorHAnsi"/>
          <w:sz w:val="20"/>
          <w:szCs w:val="20"/>
          <w:bdr w:val="none" w:sz="0" w:space="0" w:color="auto"/>
          <w:lang w:val="es-PE" w:eastAsia="es-PE"/>
        </w:rPr>
        <w:t xml:space="preserve">adoptada en el proceso judicial interno es la </w:t>
      </w:r>
      <w:r w:rsidR="00EC3B10" w:rsidRPr="003F773A">
        <w:rPr>
          <w:rFonts w:asciiTheme="majorHAnsi" w:eastAsia="Times New Roman" w:hAnsiTheme="majorHAnsi"/>
          <w:sz w:val="20"/>
          <w:szCs w:val="20"/>
          <w:bdr w:val="none" w:sz="0" w:space="0" w:color="auto"/>
          <w:lang w:val="es-PE" w:eastAsia="es-PE"/>
        </w:rPr>
        <w:t xml:space="preserve">del 4 de agosto de 2014 </w:t>
      </w:r>
      <w:r w:rsidR="00DD6825" w:rsidRPr="003F773A">
        <w:rPr>
          <w:rFonts w:asciiTheme="majorHAnsi" w:eastAsia="Times New Roman" w:hAnsiTheme="majorHAnsi"/>
          <w:sz w:val="20"/>
          <w:szCs w:val="20"/>
          <w:bdr w:val="none" w:sz="0" w:space="0" w:color="auto"/>
          <w:lang w:val="es-PE" w:eastAsia="es-PE"/>
        </w:rPr>
        <w:t>emitida por</w:t>
      </w:r>
      <w:r w:rsidR="00EC3B10" w:rsidRPr="003F773A">
        <w:rPr>
          <w:rFonts w:asciiTheme="majorHAnsi" w:eastAsia="Times New Roman" w:hAnsiTheme="majorHAnsi"/>
          <w:sz w:val="20"/>
          <w:szCs w:val="20"/>
          <w:bdr w:val="none" w:sz="0" w:space="0" w:color="auto"/>
          <w:lang w:val="es-PE" w:eastAsia="es-PE"/>
        </w:rPr>
        <w:t xml:space="preserve"> la Sección Quinta de la Sala de lo Contencioso Administrativo del Consejo de Estado, que ordenó el cumplimiento de lo decidido y la devolución del expediente al despacho de origen</w:t>
      </w:r>
      <w:r w:rsidR="00DD6825" w:rsidRPr="003F773A">
        <w:rPr>
          <w:rFonts w:asciiTheme="majorHAnsi" w:eastAsia="Times New Roman" w:hAnsiTheme="majorHAnsi"/>
          <w:sz w:val="20"/>
          <w:szCs w:val="20"/>
          <w:bdr w:val="none" w:sz="0" w:space="0" w:color="auto"/>
          <w:lang w:val="es-PE" w:eastAsia="es-PE"/>
        </w:rPr>
        <w:t xml:space="preserve">. </w:t>
      </w:r>
      <w:r w:rsidR="00352961" w:rsidRPr="003F773A">
        <w:rPr>
          <w:rFonts w:asciiTheme="majorHAnsi" w:eastAsia="Times New Roman" w:hAnsiTheme="majorHAnsi"/>
          <w:sz w:val="20"/>
          <w:szCs w:val="20"/>
          <w:bdr w:val="none" w:sz="0" w:space="0" w:color="auto"/>
          <w:lang w:val="es-PE" w:eastAsia="es-PE"/>
        </w:rPr>
        <w:t>Pronunciamiento judicial que de acuerdo con la legislación interna</w:t>
      </w:r>
      <w:r w:rsidR="00F7050C" w:rsidRPr="003F773A">
        <w:rPr>
          <w:rFonts w:asciiTheme="majorHAnsi" w:eastAsia="Times New Roman" w:hAnsiTheme="majorHAnsi"/>
          <w:sz w:val="20"/>
          <w:szCs w:val="20"/>
          <w:bdr w:val="none" w:sz="0" w:space="0" w:color="auto"/>
          <w:lang w:val="es-PE" w:eastAsia="es-PE"/>
        </w:rPr>
        <w:t xml:space="preserve"> </w:t>
      </w:r>
      <w:r w:rsidR="00540C99" w:rsidRPr="003F773A">
        <w:rPr>
          <w:rFonts w:asciiTheme="majorHAnsi" w:eastAsia="Times New Roman" w:hAnsiTheme="majorHAnsi"/>
          <w:sz w:val="20"/>
          <w:szCs w:val="20"/>
          <w:bdr w:val="none" w:sz="0" w:space="0" w:color="auto"/>
          <w:lang w:val="es-PE" w:eastAsia="es-PE"/>
        </w:rPr>
        <w:t>tuvo efecto el 6 de agosto de ese año</w:t>
      </w:r>
      <w:r w:rsidR="00F35E2B" w:rsidRPr="003F773A">
        <w:rPr>
          <w:rFonts w:asciiTheme="majorHAnsi" w:eastAsia="Times New Roman" w:hAnsiTheme="majorHAnsi"/>
          <w:sz w:val="20"/>
          <w:szCs w:val="20"/>
          <w:bdr w:val="none" w:sz="0" w:space="0" w:color="auto"/>
          <w:lang w:val="es-PE" w:eastAsia="es-PE"/>
        </w:rPr>
        <w:t xml:space="preserve">. </w:t>
      </w:r>
      <w:r w:rsidR="00F7050C" w:rsidRPr="003F773A">
        <w:rPr>
          <w:rFonts w:asciiTheme="majorHAnsi" w:eastAsia="Times New Roman" w:hAnsiTheme="majorHAnsi"/>
          <w:sz w:val="20"/>
          <w:szCs w:val="20"/>
          <w:bdr w:val="none" w:sz="0" w:space="0" w:color="auto"/>
          <w:lang w:val="es-PE" w:eastAsia="es-PE"/>
        </w:rPr>
        <w:t xml:space="preserve">Con lo </w:t>
      </w:r>
      <w:r w:rsidR="00F7050C" w:rsidRPr="003F773A">
        <w:rPr>
          <w:rFonts w:asciiTheme="majorHAnsi" w:eastAsia="Times New Roman" w:hAnsiTheme="majorHAnsi"/>
          <w:sz w:val="20"/>
          <w:szCs w:val="20"/>
          <w:bdr w:val="none" w:sz="0" w:space="0" w:color="auto"/>
          <w:lang w:val="es-PE" w:eastAsia="es-PE"/>
        </w:rPr>
        <w:lastRenderedPageBreak/>
        <w:t xml:space="preserve">cual, prosigue el Estado, </w:t>
      </w:r>
      <w:r w:rsidR="00D92F53" w:rsidRPr="003F773A">
        <w:rPr>
          <w:rFonts w:asciiTheme="majorHAnsi" w:eastAsia="Times New Roman" w:hAnsiTheme="majorHAnsi"/>
          <w:sz w:val="20"/>
          <w:szCs w:val="20"/>
          <w:bdr w:val="none" w:sz="0" w:space="0" w:color="auto"/>
          <w:lang w:val="es-PE" w:eastAsia="es-PE"/>
        </w:rPr>
        <w:t>el peticionario tenía hasta el 6 de febrero</w:t>
      </w:r>
      <w:r w:rsidR="00125CC7" w:rsidRPr="003F773A">
        <w:rPr>
          <w:rFonts w:asciiTheme="majorHAnsi" w:eastAsia="Times New Roman" w:hAnsiTheme="majorHAnsi"/>
          <w:sz w:val="20"/>
          <w:szCs w:val="20"/>
          <w:bdr w:val="none" w:sz="0" w:space="0" w:color="auto"/>
          <w:lang w:val="es-PE" w:eastAsia="es-PE"/>
        </w:rPr>
        <w:t xml:space="preserve"> de 2015</w:t>
      </w:r>
      <w:r w:rsidR="00D92F53" w:rsidRPr="003F773A">
        <w:rPr>
          <w:rFonts w:asciiTheme="majorHAnsi" w:eastAsia="Times New Roman" w:hAnsiTheme="majorHAnsi"/>
          <w:sz w:val="20"/>
          <w:szCs w:val="20"/>
          <w:bdr w:val="none" w:sz="0" w:space="0" w:color="auto"/>
          <w:lang w:val="es-PE" w:eastAsia="es-PE"/>
        </w:rPr>
        <w:t xml:space="preserve"> para presentar su petición a la CIDH, lo que este en cambio hizo el 21 de febrero</w:t>
      </w:r>
      <w:r w:rsidR="00125CC7" w:rsidRPr="003F773A">
        <w:rPr>
          <w:rFonts w:asciiTheme="majorHAnsi" w:eastAsia="Times New Roman" w:hAnsiTheme="majorHAnsi"/>
          <w:sz w:val="20"/>
          <w:szCs w:val="20"/>
          <w:bdr w:val="none" w:sz="0" w:space="0" w:color="auto"/>
          <w:lang w:val="es-PE" w:eastAsia="es-PE"/>
        </w:rPr>
        <w:t xml:space="preserve">, excediendo, según subraya Colombia, en quince días </w:t>
      </w:r>
      <w:r w:rsidR="0044791F" w:rsidRPr="003F773A">
        <w:rPr>
          <w:rFonts w:asciiTheme="majorHAnsi" w:eastAsia="Times New Roman" w:hAnsiTheme="majorHAnsi"/>
          <w:sz w:val="20"/>
          <w:szCs w:val="20"/>
          <w:bdr w:val="none" w:sz="0" w:space="0" w:color="auto"/>
          <w:lang w:val="es-PE" w:eastAsia="es-PE"/>
        </w:rPr>
        <w:t xml:space="preserve">el término convencional de los seis meses. </w:t>
      </w:r>
    </w:p>
    <w:p w14:paraId="0734F83B" w14:textId="673E9FEF" w:rsidR="0044791F" w:rsidRPr="003F773A" w:rsidRDefault="0044791F" w:rsidP="00A006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color w:val="000000" w:themeColor="text1"/>
          <w:sz w:val="20"/>
          <w:szCs w:val="20"/>
          <w:lang w:val="es-ES"/>
        </w:rPr>
        <w:t xml:space="preserve">Los peticionarios, en cambio, consideran que el proceso interno </w:t>
      </w:r>
      <w:r w:rsidR="00B62B6A" w:rsidRPr="003F773A">
        <w:rPr>
          <w:rFonts w:asciiTheme="majorHAnsi" w:hAnsiTheme="majorHAnsi"/>
          <w:color w:val="000000" w:themeColor="text1"/>
          <w:sz w:val="20"/>
          <w:szCs w:val="20"/>
          <w:lang w:val="es-ES"/>
        </w:rPr>
        <w:t xml:space="preserve">terminó </w:t>
      </w:r>
      <w:r w:rsidR="00F90BEB" w:rsidRPr="003F773A">
        <w:rPr>
          <w:rFonts w:asciiTheme="majorHAnsi" w:hAnsiTheme="majorHAnsi"/>
          <w:color w:val="000000" w:themeColor="text1"/>
          <w:sz w:val="20"/>
          <w:szCs w:val="20"/>
          <w:lang w:val="es-ES"/>
        </w:rPr>
        <w:t>30 se septiembre de 2014</w:t>
      </w:r>
      <w:r w:rsidR="008C36C3" w:rsidRPr="003F773A">
        <w:rPr>
          <w:rFonts w:asciiTheme="majorHAnsi" w:hAnsiTheme="majorHAnsi"/>
          <w:color w:val="000000" w:themeColor="text1"/>
          <w:sz w:val="20"/>
          <w:szCs w:val="20"/>
          <w:lang w:val="es-ES"/>
        </w:rPr>
        <w:t xml:space="preserve"> cuando</w:t>
      </w:r>
      <w:r w:rsidR="00F90BEB" w:rsidRPr="003F773A">
        <w:rPr>
          <w:rFonts w:asciiTheme="majorHAnsi" w:hAnsiTheme="majorHAnsi"/>
          <w:sz w:val="20"/>
          <w:szCs w:val="20"/>
          <w:lang w:val="es-AR"/>
        </w:rPr>
        <w:t xml:space="preserve"> el Juzgado Segundo Administrativo del Circuito de Manizales, mediante auto ordenó el archivo del expediente</w:t>
      </w:r>
      <w:r w:rsidR="00A20A97" w:rsidRPr="003F773A">
        <w:rPr>
          <w:rFonts w:asciiTheme="majorHAnsi" w:hAnsiTheme="majorHAnsi"/>
          <w:sz w:val="20"/>
          <w:szCs w:val="20"/>
          <w:lang w:val="es-AR"/>
        </w:rPr>
        <w:t xml:space="preserve"> del mencionado proceso. Por lo tanto, según sus cuentas tendrían </w:t>
      </w:r>
      <w:r w:rsidR="001D66DF" w:rsidRPr="003F773A">
        <w:rPr>
          <w:rFonts w:asciiTheme="majorHAnsi" w:hAnsiTheme="majorHAnsi"/>
          <w:sz w:val="20"/>
          <w:szCs w:val="20"/>
          <w:lang w:val="es-AR"/>
        </w:rPr>
        <w:t xml:space="preserve">hasta el 30 de marzo para presentar su petición, y dado que lo hicieron, como ya se mencionó el </w:t>
      </w:r>
      <w:r w:rsidR="00D70362" w:rsidRPr="003F773A">
        <w:rPr>
          <w:rFonts w:asciiTheme="majorHAnsi" w:hAnsiTheme="majorHAnsi"/>
          <w:sz w:val="20"/>
          <w:szCs w:val="20"/>
          <w:lang w:val="es-AR"/>
        </w:rPr>
        <w:t xml:space="preserve">21 de febrero, estarían, a su juicio dentro del término convencional de seis meses. </w:t>
      </w:r>
    </w:p>
    <w:p w14:paraId="3F50A5F8" w14:textId="77777777" w:rsidR="00743D9B" w:rsidRPr="003F773A" w:rsidRDefault="00943C7B"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eastAsia="Times New Roman" w:hAnsiTheme="majorHAnsi"/>
          <w:sz w:val="20"/>
          <w:szCs w:val="20"/>
          <w:bdr w:val="none" w:sz="0" w:space="0" w:color="auto"/>
          <w:lang w:val="es-PE" w:eastAsia="es-PE"/>
        </w:rPr>
        <w:t xml:space="preserve">A este respecto </w:t>
      </w:r>
      <w:r w:rsidR="006F2E8F" w:rsidRPr="003F773A">
        <w:rPr>
          <w:rFonts w:asciiTheme="majorHAnsi" w:eastAsia="Times New Roman" w:hAnsiTheme="majorHAnsi"/>
          <w:sz w:val="20"/>
          <w:szCs w:val="20"/>
          <w:bdr w:val="none" w:sz="0" w:space="0" w:color="auto"/>
          <w:lang w:val="es-PE" w:eastAsia="es-PE"/>
        </w:rPr>
        <w:t xml:space="preserve">la Comisión </w:t>
      </w:r>
      <w:r w:rsidR="00173058" w:rsidRPr="003F773A">
        <w:rPr>
          <w:rFonts w:asciiTheme="majorHAnsi" w:eastAsia="Times New Roman" w:hAnsiTheme="majorHAnsi"/>
          <w:sz w:val="20"/>
          <w:szCs w:val="20"/>
          <w:bdr w:val="none" w:sz="0" w:space="0" w:color="auto"/>
          <w:lang w:val="es-PE" w:eastAsia="es-PE"/>
        </w:rPr>
        <w:t xml:space="preserve">observa, en primer lugar, que este último auto judicial, </w:t>
      </w:r>
      <w:r w:rsidR="003953AE" w:rsidRPr="003F773A">
        <w:rPr>
          <w:rFonts w:asciiTheme="majorHAnsi" w:eastAsia="Times New Roman" w:hAnsiTheme="majorHAnsi"/>
          <w:sz w:val="20"/>
          <w:szCs w:val="20"/>
          <w:bdr w:val="none" w:sz="0" w:space="0" w:color="auto"/>
          <w:lang w:val="es-PE" w:eastAsia="es-PE"/>
        </w:rPr>
        <w:t>se dio como parte de la tramitación natural del proceso</w:t>
      </w:r>
      <w:r w:rsidR="00426A49" w:rsidRPr="003F773A">
        <w:rPr>
          <w:rFonts w:asciiTheme="majorHAnsi" w:eastAsia="Times New Roman" w:hAnsiTheme="majorHAnsi"/>
          <w:sz w:val="20"/>
          <w:szCs w:val="20"/>
          <w:bdr w:val="none" w:sz="0" w:space="0" w:color="auto"/>
          <w:lang w:val="es-PE" w:eastAsia="es-PE"/>
        </w:rPr>
        <w:t>. No fue el resultado</w:t>
      </w:r>
      <w:r w:rsidR="006461B8" w:rsidRPr="003F773A">
        <w:rPr>
          <w:rFonts w:asciiTheme="majorHAnsi" w:eastAsia="Times New Roman" w:hAnsiTheme="majorHAnsi"/>
          <w:sz w:val="20"/>
          <w:szCs w:val="20"/>
          <w:bdr w:val="none" w:sz="0" w:space="0" w:color="auto"/>
          <w:lang w:val="es-PE" w:eastAsia="es-PE"/>
        </w:rPr>
        <w:t>, por ejemplo,</w:t>
      </w:r>
      <w:r w:rsidR="00426A49" w:rsidRPr="003F773A">
        <w:rPr>
          <w:rFonts w:asciiTheme="majorHAnsi" w:eastAsia="Times New Roman" w:hAnsiTheme="majorHAnsi"/>
          <w:sz w:val="20"/>
          <w:szCs w:val="20"/>
          <w:bdr w:val="none" w:sz="0" w:space="0" w:color="auto"/>
          <w:lang w:val="es-PE" w:eastAsia="es-PE"/>
        </w:rPr>
        <w:t xml:space="preserve"> de un recurso o reclamo judicial </w:t>
      </w:r>
      <w:r w:rsidR="00144E7A" w:rsidRPr="003F773A">
        <w:rPr>
          <w:rFonts w:asciiTheme="majorHAnsi" w:eastAsia="Times New Roman" w:hAnsiTheme="majorHAnsi"/>
          <w:sz w:val="20"/>
          <w:szCs w:val="20"/>
          <w:bdr w:val="none" w:sz="0" w:space="0" w:color="auto"/>
          <w:lang w:val="es-PE" w:eastAsia="es-PE"/>
        </w:rPr>
        <w:t xml:space="preserve">adicional </w:t>
      </w:r>
      <w:r w:rsidR="006461B8" w:rsidRPr="003F773A">
        <w:rPr>
          <w:rFonts w:asciiTheme="majorHAnsi" w:eastAsia="Times New Roman" w:hAnsiTheme="majorHAnsi"/>
          <w:sz w:val="20"/>
          <w:szCs w:val="20"/>
          <w:bdr w:val="none" w:sz="0" w:space="0" w:color="auto"/>
          <w:lang w:val="es-PE" w:eastAsia="es-PE"/>
        </w:rPr>
        <w:t xml:space="preserve">ejercido </w:t>
      </w:r>
      <w:r w:rsidR="00237F02" w:rsidRPr="003F773A">
        <w:rPr>
          <w:rFonts w:asciiTheme="majorHAnsi" w:eastAsia="Times New Roman" w:hAnsiTheme="majorHAnsi"/>
          <w:sz w:val="20"/>
          <w:szCs w:val="20"/>
          <w:bdr w:val="none" w:sz="0" w:space="0" w:color="auto"/>
          <w:lang w:val="es-PE" w:eastAsia="es-PE"/>
        </w:rPr>
        <w:t xml:space="preserve">por los peticionarios apartándose del principio de buena fe con el único propósito de </w:t>
      </w:r>
      <w:r w:rsidR="00004902" w:rsidRPr="003F773A">
        <w:rPr>
          <w:rFonts w:asciiTheme="majorHAnsi" w:eastAsia="Times New Roman" w:hAnsiTheme="majorHAnsi"/>
          <w:sz w:val="20"/>
          <w:szCs w:val="20"/>
          <w:bdr w:val="none" w:sz="0" w:space="0" w:color="auto"/>
          <w:lang w:val="es-PE" w:eastAsia="es-PE"/>
        </w:rPr>
        <w:t xml:space="preserve">sacar alguna ventaja </w:t>
      </w:r>
      <w:r w:rsidR="00B628C4" w:rsidRPr="003F773A">
        <w:rPr>
          <w:rFonts w:asciiTheme="majorHAnsi" w:eastAsia="Times New Roman" w:hAnsiTheme="majorHAnsi"/>
          <w:sz w:val="20"/>
          <w:szCs w:val="20"/>
          <w:bdr w:val="none" w:sz="0" w:space="0" w:color="auto"/>
          <w:lang w:val="es-PE" w:eastAsia="es-PE"/>
        </w:rPr>
        <w:t xml:space="preserve">para reiniciar el comienzo del cómputo del referido plazo de los seis meses. </w:t>
      </w:r>
      <w:r w:rsidR="00154EB0" w:rsidRPr="003F773A">
        <w:rPr>
          <w:rFonts w:asciiTheme="majorHAnsi" w:eastAsia="Times New Roman" w:hAnsiTheme="majorHAnsi"/>
          <w:sz w:val="20"/>
          <w:szCs w:val="20"/>
          <w:bdr w:val="none" w:sz="0" w:space="0" w:color="auto"/>
          <w:lang w:val="es-PE" w:eastAsia="es-PE"/>
        </w:rPr>
        <w:t>Si se asume la buena fe de la parte peticionaria, y no hay indicios o elementos de convicción que apunten a lo contrario</w:t>
      </w:r>
      <w:r w:rsidR="008E5C82" w:rsidRPr="003F773A">
        <w:rPr>
          <w:rFonts w:asciiTheme="majorHAnsi" w:eastAsia="Times New Roman" w:hAnsiTheme="majorHAnsi"/>
          <w:sz w:val="20"/>
          <w:szCs w:val="20"/>
          <w:bdr w:val="none" w:sz="0" w:space="0" w:color="auto"/>
          <w:lang w:val="es-PE" w:eastAsia="es-PE"/>
        </w:rPr>
        <w:t xml:space="preserve">, se observa que estos simplemente asumieron el cómputo del plazo de los seis meses a partir </w:t>
      </w:r>
      <w:r w:rsidR="00A368B7" w:rsidRPr="003F773A">
        <w:rPr>
          <w:rFonts w:asciiTheme="majorHAnsi" w:eastAsia="Times New Roman" w:hAnsiTheme="majorHAnsi"/>
          <w:sz w:val="20"/>
          <w:szCs w:val="20"/>
          <w:bdr w:val="none" w:sz="0" w:space="0" w:color="auto"/>
          <w:lang w:val="es-PE" w:eastAsia="es-PE"/>
        </w:rPr>
        <w:t>del último acto judicial realizado en el trámite de su proceso, el cual se realizó de ofici</w:t>
      </w:r>
      <w:r w:rsidR="00743D9B" w:rsidRPr="003F773A">
        <w:rPr>
          <w:rFonts w:asciiTheme="majorHAnsi" w:eastAsia="Times New Roman" w:hAnsiTheme="majorHAnsi"/>
          <w:sz w:val="20"/>
          <w:szCs w:val="20"/>
          <w:bdr w:val="none" w:sz="0" w:space="0" w:color="auto"/>
          <w:lang w:val="es-PE" w:eastAsia="es-PE"/>
        </w:rPr>
        <w:t xml:space="preserve">o por simple imperio de la ley. </w:t>
      </w:r>
    </w:p>
    <w:p w14:paraId="7575909E" w14:textId="0931A372" w:rsidR="0086128C" w:rsidRPr="003F773A" w:rsidRDefault="00C2763A"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eastAsia="Times New Roman" w:hAnsiTheme="majorHAnsi"/>
          <w:sz w:val="20"/>
          <w:szCs w:val="20"/>
          <w:bdr w:val="none" w:sz="0" w:space="0" w:color="auto"/>
          <w:lang w:val="es-PE" w:eastAsia="es-PE"/>
        </w:rPr>
        <w:t>Así, e</w:t>
      </w:r>
      <w:r w:rsidR="00743D9B" w:rsidRPr="003F773A">
        <w:rPr>
          <w:rFonts w:asciiTheme="majorHAnsi" w:eastAsia="Times New Roman" w:hAnsiTheme="majorHAnsi"/>
          <w:sz w:val="20"/>
          <w:szCs w:val="20"/>
          <w:bdr w:val="none" w:sz="0" w:space="0" w:color="auto"/>
          <w:lang w:val="es-PE" w:eastAsia="es-PE"/>
        </w:rPr>
        <w:t>n un caso de la naturaleza del presente</w:t>
      </w:r>
      <w:r w:rsidRPr="003F773A">
        <w:rPr>
          <w:rFonts w:asciiTheme="majorHAnsi" w:eastAsia="Times New Roman" w:hAnsiTheme="majorHAnsi"/>
          <w:sz w:val="20"/>
          <w:szCs w:val="20"/>
          <w:bdr w:val="none" w:sz="0" w:space="0" w:color="auto"/>
          <w:lang w:val="es-PE" w:eastAsia="es-PE"/>
        </w:rPr>
        <w:t xml:space="preserve">, la Comisión estima que </w:t>
      </w:r>
      <w:r w:rsidR="000D6FC0" w:rsidRPr="003F773A">
        <w:rPr>
          <w:rFonts w:asciiTheme="majorHAnsi" w:eastAsia="Times New Roman" w:hAnsiTheme="majorHAnsi"/>
          <w:sz w:val="20"/>
          <w:szCs w:val="20"/>
          <w:bdr w:val="none" w:sz="0" w:space="0" w:color="auto"/>
          <w:lang w:val="es-PE" w:eastAsia="es-PE"/>
        </w:rPr>
        <w:t>esta discrepancia de quince días esgrimida por el Estado no afecta los principios de seguridad jurídica ni de</w:t>
      </w:r>
      <w:r w:rsidR="00EE5835" w:rsidRPr="003F773A">
        <w:rPr>
          <w:rFonts w:asciiTheme="majorHAnsi" w:eastAsia="Times New Roman" w:hAnsiTheme="majorHAnsi"/>
          <w:sz w:val="20"/>
          <w:szCs w:val="20"/>
          <w:bdr w:val="none" w:sz="0" w:space="0" w:color="auto"/>
          <w:lang w:val="es-PE" w:eastAsia="es-PE"/>
        </w:rPr>
        <w:t xml:space="preserve"> subsidiaridad del Sistema Interamericano del cual la CIDH es veedora en el trámite de las peticiones y casos bajo su competencia.</w:t>
      </w:r>
    </w:p>
    <w:p w14:paraId="1B9C82D5" w14:textId="3E9A494F" w:rsidR="009F559D" w:rsidRPr="003F773A" w:rsidRDefault="00CE26B5"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AR"/>
        </w:rPr>
        <w:t xml:space="preserve">Con </w:t>
      </w:r>
      <w:r w:rsidR="00E97C64" w:rsidRPr="003F773A">
        <w:rPr>
          <w:rFonts w:asciiTheme="majorHAnsi" w:hAnsiTheme="majorHAnsi"/>
          <w:sz w:val="20"/>
          <w:szCs w:val="20"/>
          <w:lang w:val="es-AR"/>
        </w:rPr>
        <w:t xml:space="preserve">lo </w:t>
      </w:r>
      <w:r w:rsidRPr="003F773A">
        <w:rPr>
          <w:rFonts w:asciiTheme="majorHAnsi" w:hAnsiTheme="majorHAnsi"/>
          <w:sz w:val="20"/>
          <w:szCs w:val="20"/>
          <w:lang w:val="es-AR"/>
        </w:rPr>
        <w:t xml:space="preserve">cual, </w:t>
      </w:r>
      <w:r w:rsidR="00F02F65" w:rsidRPr="003F773A">
        <w:rPr>
          <w:rFonts w:asciiTheme="majorHAnsi" w:hAnsiTheme="majorHAnsi"/>
          <w:sz w:val="20"/>
          <w:szCs w:val="20"/>
          <w:lang w:val="es-AR"/>
        </w:rPr>
        <w:t xml:space="preserve">la Comisión estima que </w:t>
      </w:r>
      <w:r w:rsidR="001E0C5A" w:rsidRPr="003F773A">
        <w:rPr>
          <w:rFonts w:asciiTheme="majorHAnsi" w:hAnsiTheme="majorHAnsi"/>
          <w:sz w:val="20"/>
          <w:szCs w:val="20"/>
          <w:lang w:val="es-AR"/>
        </w:rPr>
        <w:t>la presente petición fue presentada en línea con la regla estipulada por el a</w:t>
      </w:r>
      <w:r w:rsidR="00991434" w:rsidRPr="003F773A">
        <w:rPr>
          <w:rFonts w:asciiTheme="majorHAnsi" w:hAnsiTheme="majorHAnsi"/>
          <w:sz w:val="20"/>
          <w:szCs w:val="20"/>
          <w:lang w:val="es-AR"/>
        </w:rPr>
        <w:t>rtículo 46.1.b) de la Convención Americana.</w:t>
      </w:r>
    </w:p>
    <w:p w14:paraId="55DD8B40" w14:textId="690EBB14" w:rsidR="009F559D" w:rsidRPr="003F773A" w:rsidRDefault="009F559D" w:rsidP="00342D8C">
      <w:pPr>
        <w:pStyle w:val="ListParagraph"/>
        <w:spacing w:before="240" w:after="240"/>
        <w:jc w:val="both"/>
        <w:rPr>
          <w:rFonts w:asciiTheme="majorHAnsi" w:hAnsiTheme="majorHAnsi"/>
          <w:b/>
          <w:sz w:val="20"/>
          <w:szCs w:val="20"/>
          <w:lang w:val="es-ES"/>
        </w:rPr>
      </w:pPr>
      <w:r w:rsidRPr="003F773A">
        <w:rPr>
          <w:rFonts w:asciiTheme="majorHAnsi" w:hAnsiTheme="majorHAnsi"/>
          <w:b/>
          <w:bCs/>
          <w:sz w:val="20"/>
          <w:szCs w:val="20"/>
          <w:lang w:val="es-ES"/>
        </w:rPr>
        <w:t>VII.</w:t>
      </w:r>
      <w:r w:rsidRPr="003F773A">
        <w:rPr>
          <w:rFonts w:asciiTheme="majorHAnsi" w:hAnsiTheme="majorHAnsi"/>
          <w:b/>
          <w:bCs/>
          <w:sz w:val="20"/>
          <w:szCs w:val="20"/>
          <w:lang w:val="es-ES"/>
        </w:rPr>
        <w:tab/>
      </w:r>
      <w:r w:rsidRPr="003F773A">
        <w:rPr>
          <w:rFonts w:asciiTheme="majorHAnsi" w:hAnsiTheme="majorHAnsi"/>
          <w:b/>
          <w:bCs/>
          <w:sz w:val="20"/>
          <w:szCs w:val="20"/>
          <w:lang w:val="es-ES_tradnl"/>
        </w:rPr>
        <w:t xml:space="preserve">ANÁLISIS DE </w:t>
      </w:r>
      <w:r w:rsidRPr="003F773A">
        <w:rPr>
          <w:rFonts w:asciiTheme="majorHAnsi" w:hAnsiTheme="majorHAnsi"/>
          <w:b/>
          <w:bCs/>
          <w:sz w:val="20"/>
          <w:szCs w:val="20"/>
          <w:lang w:val="es-ES"/>
        </w:rPr>
        <w:t xml:space="preserve">CARACTERIZACIÓN </w:t>
      </w:r>
      <w:r w:rsidRPr="003F773A">
        <w:rPr>
          <w:rFonts w:asciiTheme="majorHAnsi" w:hAnsiTheme="majorHAnsi"/>
          <w:b/>
          <w:bCs/>
          <w:sz w:val="20"/>
          <w:szCs w:val="20"/>
          <w:lang w:val="es-UY"/>
        </w:rPr>
        <w:t>DE LOS HECHOS ALEGADOS</w:t>
      </w:r>
    </w:p>
    <w:p w14:paraId="067EC02E" w14:textId="77777777" w:rsidR="009F559D"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ES_tradnl"/>
        </w:rPr>
        <w:t xml:space="preserve">A los efectos de la admisibilidad, la Comisión debe decidir si los hechos alegados pueden caracterizar una violación de </w:t>
      </w:r>
      <w:r w:rsidRPr="003F773A">
        <w:rPr>
          <w:rFonts w:asciiTheme="majorHAnsi" w:hAnsiTheme="majorHAnsi"/>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3F773A">
        <w:rPr>
          <w:rFonts w:asciiTheme="majorHAnsi" w:hAnsiTheme="majorHAnsi"/>
          <w:i/>
          <w:iCs/>
          <w:sz w:val="20"/>
          <w:szCs w:val="20"/>
          <w:lang w:val="es-PE"/>
        </w:rPr>
        <w:t>prima facie</w:t>
      </w:r>
      <w:r w:rsidRPr="003F773A">
        <w:rPr>
          <w:rFonts w:asciiTheme="majorHAnsi" w:hAnsiTheme="majorHAnsi"/>
          <w:sz w:val="20"/>
          <w:szCs w:val="20"/>
          <w:lang w:val="es-PE"/>
        </w:rPr>
        <w:t xml:space="preserve"> para determinar si la petición establece el fundamento de la violación, posible o potencial, de un derecho garantizado por la Convención, pero no para establecer la existencia de una vulneración de derechos. </w:t>
      </w:r>
    </w:p>
    <w:p w14:paraId="29778CD6" w14:textId="77777777" w:rsidR="00342D8C"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PE"/>
        </w:rPr>
        <w:t>La Comisión observa que la parte peticionaria cuestiona esencialmente la falta de una fiscalización efectiva por parte de las autoridades sobre las actividades mineras en Marmato, en particular en relación con la mina “La Granadina”. Debido a ello, los habitantes y comerciantes del sector “La Plaza” han venido sufriendo el agrietamiento y hundimiento de sus casas y locales comerciales. Por su parte, el Estado alega que tales daños no pueden atribuirse exclusivamente a su acción u omisión, ya que responden a una combinación de factores históricos, geológicos y sociales, dado que la explotación minera en Marmato tiene más de 500 años de tradición y ha sido ejercida tanto por empresas privadas como por mineros informales.</w:t>
      </w:r>
    </w:p>
    <w:p w14:paraId="57A1BE28" w14:textId="77777777" w:rsidR="00342D8C"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PE"/>
        </w:rPr>
        <w:t>Al respecto, la CIDH ha enfatizado claramente que, para garantizar los derechos humanos en el contexto de actividades empresariales, los Estados tienen deberes específicos de regulación, prevención, supervisión, investigación y acceso a reparación</w:t>
      </w:r>
      <w:r w:rsidRPr="003F773A">
        <w:rPr>
          <w:rStyle w:val="FootnoteReference"/>
          <w:rFonts w:asciiTheme="majorHAnsi" w:hAnsiTheme="majorHAnsi"/>
          <w:sz w:val="20"/>
          <w:szCs w:val="20"/>
          <w:lang w:val="es-PE"/>
        </w:rPr>
        <w:footnoteReference w:id="7"/>
      </w:r>
      <w:r w:rsidRPr="003F773A">
        <w:rPr>
          <w:rFonts w:asciiTheme="majorHAnsi" w:hAnsiTheme="majorHAnsi"/>
          <w:sz w:val="20"/>
          <w:szCs w:val="20"/>
          <w:lang w:val="es-PE"/>
        </w:rPr>
        <w:t>. Estas obligaciones se refuerzan especialmente cuando se trata de actores privados que realizan actividades que involucran intereses fundamentales de la sociedad y derechos básicos de las personas.</w:t>
      </w:r>
    </w:p>
    <w:p w14:paraId="6CE0ED61" w14:textId="77777777" w:rsidR="00342D8C"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PE"/>
        </w:rPr>
        <w:t xml:space="preserve">Asimismo, </w:t>
      </w:r>
      <w:r w:rsidRPr="003F773A">
        <w:rPr>
          <w:rFonts w:asciiTheme="majorHAnsi" w:hAnsiTheme="majorHAnsi"/>
          <w:sz w:val="20"/>
          <w:szCs w:val="20"/>
          <w:lang w:val="es-ES_tradnl"/>
        </w:rPr>
        <w:t xml:space="preserve">tanto la CIDH como la Corte IDH, han señalado que el artículo 26 contempla el derecho a un medio ambiente sano, el cual protege los componentes del medio ambiente, tales como tales como </w:t>
      </w:r>
      <w:r w:rsidRPr="003F773A">
        <w:rPr>
          <w:rFonts w:asciiTheme="majorHAnsi" w:hAnsiTheme="majorHAnsi"/>
          <w:sz w:val="20"/>
          <w:szCs w:val="20"/>
          <w:lang w:val="es-ES_tradnl"/>
        </w:rPr>
        <w:lastRenderedPageBreak/>
        <w:t>bosques, ríos, mares y otros, como intereses jurídicos en sí mismos, aún en ausencia de certeza o evidencia sobre el riesgo a las personas individuales</w:t>
      </w:r>
      <w:r w:rsidRPr="003F773A">
        <w:rPr>
          <w:rStyle w:val="FootnoteReference"/>
          <w:rFonts w:asciiTheme="majorHAnsi" w:hAnsiTheme="majorHAnsi"/>
          <w:sz w:val="20"/>
          <w:szCs w:val="20"/>
          <w:lang w:val="es-ES_tradnl"/>
        </w:rPr>
        <w:footnoteReference w:id="8"/>
      </w:r>
      <w:r w:rsidRPr="003F773A">
        <w:rPr>
          <w:rFonts w:asciiTheme="majorHAnsi" w:hAnsiTheme="majorHAnsi"/>
          <w:sz w:val="20"/>
          <w:szCs w:val="20"/>
          <w:lang w:val="es-ES_tradnl"/>
        </w:rPr>
        <w:t>. En esa línea, la Corte Interamericana de Derechos Humanos ha señalado que tal derecho es justiciable en casos contenciosos de forma directa y autónoma ante las instituciones del Sistema Interamericano en virtud del artículo 26 de la Convención Americana, incluso cuando no exista vulneración a otros derechos reconocidos en dicho tratado</w:t>
      </w:r>
      <w:r w:rsidRPr="003F773A">
        <w:rPr>
          <w:rStyle w:val="FootnoteReference"/>
          <w:rFonts w:asciiTheme="majorHAnsi" w:hAnsiTheme="majorHAnsi"/>
          <w:sz w:val="20"/>
          <w:szCs w:val="20"/>
          <w:lang w:val="es-ES_tradnl"/>
        </w:rPr>
        <w:footnoteReference w:id="9"/>
      </w:r>
      <w:r w:rsidRPr="003F773A">
        <w:rPr>
          <w:rFonts w:asciiTheme="majorHAnsi" w:hAnsiTheme="majorHAnsi"/>
          <w:sz w:val="20"/>
          <w:szCs w:val="20"/>
          <w:lang w:val="es-ES_tradnl"/>
        </w:rPr>
        <w:t xml:space="preserve">. </w:t>
      </w:r>
    </w:p>
    <w:p w14:paraId="1DB74F0C" w14:textId="77777777" w:rsidR="00342D8C"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PE"/>
        </w:rPr>
        <w:t>En el presente caso, la CIDH observa que, si bien los tribunales internos concluyeron que los daños alegados por las presuntas víctimas no eran atribuibles únicamente a las autoridades y, con base en ello, rechazaron la demanda, la parte peticionaria presenta una serie de elementos probatorios que indicarían que la minería en la zona se ha desarrollado sin cumplir con las especificaciones técnicas exigidas por la reglamentación minera, lo que habría generado subsidencias en el suelo y pérdida de estabilidad en las edificaciones. A criterio de la Comisión, existen suficientes elementos de prueba que demuestran, al menos de manera preliminar, que las omisiones y acciones del Estado habrían contribuido a las afectaciones sufridas por las presuntas víctimas. En consecuencia, corresponde realizar un examen de fondo para determinar si el nivel de incidencia estatal resulta suficiente para declarar la responsabilidad de Colombia en el presente asunto.</w:t>
      </w:r>
    </w:p>
    <w:p w14:paraId="5956B95D" w14:textId="27B6751B" w:rsidR="009F559D" w:rsidRPr="003F773A" w:rsidRDefault="009F559D" w:rsidP="00342D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3F773A">
        <w:rPr>
          <w:rFonts w:asciiTheme="majorHAnsi" w:hAnsiTheme="majorHAnsi"/>
          <w:sz w:val="20"/>
          <w:szCs w:val="20"/>
          <w:lang w:val="es-PE"/>
        </w:rPr>
        <w:t>De este modo, tras examinar los elementos de hecho y de derecho expuestos por las partes, la Comisión considera que las alegaciones de la parte peticionaria no son manifiestamente infundadas y requieren un estudio de fondo, ya que los hechos alegados, de probarse, podrían constituir una violación de los derechos amparados en los artículos 5 (integridad personal), 8 (garantías judiciales), 21 (propiedad privada), 25 (protección judicial) y 26 (derechos económicos, sociales, culturales y medioambientales) de la Convención Americana, en relación con su artículo 1.1, en perjuicio de las presuntas víctimas.</w:t>
      </w:r>
    </w:p>
    <w:p w14:paraId="6F12061D" w14:textId="77777777" w:rsidR="009F559D" w:rsidRPr="003F773A" w:rsidRDefault="009F559D" w:rsidP="00342D8C">
      <w:pPr>
        <w:pStyle w:val="ListParagraph"/>
        <w:spacing w:before="240" w:after="240"/>
        <w:jc w:val="both"/>
        <w:rPr>
          <w:rFonts w:asciiTheme="majorHAnsi" w:hAnsiTheme="majorHAnsi"/>
          <w:b/>
          <w:bCs/>
          <w:sz w:val="20"/>
          <w:szCs w:val="20"/>
          <w:lang w:val="es-ES"/>
        </w:rPr>
      </w:pPr>
      <w:r w:rsidRPr="003F773A">
        <w:rPr>
          <w:rFonts w:asciiTheme="majorHAnsi" w:hAnsiTheme="majorHAnsi"/>
          <w:b/>
          <w:bCs/>
          <w:sz w:val="20"/>
          <w:szCs w:val="20"/>
          <w:lang w:val="es-ES"/>
        </w:rPr>
        <w:t xml:space="preserve">VIII. </w:t>
      </w:r>
      <w:r w:rsidRPr="003F773A">
        <w:rPr>
          <w:rFonts w:asciiTheme="majorHAnsi" w:hAnsiTheme="majorHAnsi"/>
          <w:b/>
          <w:bCs/>
          <w:sz w:val="20"/>
          <w:szCs w:val="20"/>
          <w:lang w:val="es-ES"/>
        </w:rPr>
        <w:tab/>
        <w:t>DECISIÓN</w:t>
      </w:r>
    </w:p>
    <w:p w14:paraId="218184DE" w14:textId="77777777" w:rsidR="009F559D" w:rsidRPr="003F773A" w:rsidRDefault="009F559D" w:rsidP="00342D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F773A">
        <w:rPr>
          <w:rFonts w:asciiTheme="majorHAnsi" w:hAnsiTheme="majorHAnsi"/>
          <w:sz w:val="20"/>
          <w:szCs w:val="20"/>
          <w:lang w:val="es-ES"/>
        </w:rPr>
        <w:t>Declarar admisible la presente petición en relación con los artículos 5, 8, 21, 25 y 26 de la Convención Americana; y</w:t>
      </w:r>
    </w:p>
    <w:p w14:paraId="00D2F5B8" w14:textId="77777777" w:rsidR="009F559D" w:rsidRPr="003F773A" w:rsidRDefault="009F559D" w:rsidP="00342D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F773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352D9A6E" w:rsidR="00722C9F" w:rsidRPr="00F97B19" w:rsidRDefault="00516BFF" w:rsidP="00F97B1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w:t>
      </w:r>
      <w:r w:rsidRPr="006E7E86">
        <w:rPr>
          <w:rStyle w:val="normaltextrun"/>
          <w:rFonts w:ascii="Cambria" w:hAnsi="Cambria" w:cs="Segoe UI"/>
          <w:sz w:val="20"/>
          <w:szCs w:val="20"/>
          <w:lang w:val="es-CL"/>
        </w:rPr>
        <w:t>s Humanos a los 28 días del mes de mayo de 2025.  (Firmado): José Luis Caballero Ochoa, Presidente; Arif Bulkan, Segundo Vicepresidente; Roberta Clarke</w:t>
      </w:r>
      <w:r w:rsidR="006E7E86" w:rsidRPr="006E7E86">
        <w:rPr>
          <w:rStyle w:val="normaltextrun"/>
          <w:rFonts w:ascii="Cambria" w:hAnsi="Cambria" w:cs="Segoe UI"/>
          <w:sz w:val="20"/>
          <w:szCs w:val="20"/>
          <w:lang w:val="es-CL"/>
        </w:rPr>
        <w:t xml:space="preserve"> </w:t>
      </w:r>
      <w:r w:rsidRPr="006E7E86">
        <w:rPr>
          <w:rStyle w:val="normaltextrun"/>
          <w:rFonts w:ascii="Cambria" w:hAnsi="Cambria" w:cs="Segoe UI"/>
          <w:sz w:val="20"/>
          <w:szCs w:val="20"/>
          <w:lang w:val="es-CL"/>
        </w:rPr>
        <w:t xml:space="preserve">y Gloria Monique de Mees, </w:t>
      </w:r>
      <w:r w:rsidR="00C55957">
        <w:rPr>
          <w:rStyle w:val="normaltextrun"/>
          <w:rFonts w:ascii="Cambria" w:hAnsi="Cambria" w:cs="Segoe UI"/>
          <w:sz w:val="20"/>
          <w:szCs w:val="20"/>
          <w:lang w:val="es-CL"/>
        </w:rPr>
        <w:t>m</w:t>
      </w:r>
      <w:r w:rsidRPr="006E7E86">
        <w:rPr>
          <w:rStyle w:val="normaltextrun"/>
          <w:rFonts w:ascii="Cambria" w:hAnsi="Cambria" w:cs="Segoe UI"/>
          <w:sz w:val="20"/>
          <w:szCs w:val="20"/>
          <w:lang w:val="es-CL"/>
        </w:rPr>
        <w:t xml:space="preserve">iembros de la Comisión. </w:t>
      </w:r>
    </w:p>
    <w:sectPr w:rsidR="00722C9F" w:rsidRPr="00F97B1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BF0D" w14:textId="77777777" w:rsidR="00796ECA" w:rsidRDefault="00796ECA">
      <w:r>
        <w:separator/>
      </w:r>
    </w:p>
  </w:endnote>
  <w:endnote w:type="continuationSeparator" w:id="0">
    <w:p w14:paraId="52A0DB62" w14:textId="77777777" w:rsidR="00796ECA" w:rsidRDefault="0079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E7F0" w14:textId="77777777" w:rsidR="00796ECA" w:rsidRPr="000F35ED" w:rsidRDefault="00796E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FCD739" w14:textId="77777777" w:rsidR="00796ECA" w:rsidRPr="000F35ED" w:rsidRDefault="00796ECA" w:rsidP="000F35ED">
      <w:pPr>
        <w:rPr>
          <w:rFonts w:asciiTheme="majorHAnsi" w:hAnsiTheme="majorHAnsi"/>
          <w:sz w:val="16"/>
          <w:szCs w:val="16"/>
        </w:rPr>
      </w:pPr>
      <w:r w:rsidRPr="000F35ED">
        <w:rPr>
          <w:rFonts w:asciiTheme="majorHAnsi" w:hAnsiTheme="majorHAnsi"/>
          <w:sz w:val="16"/>
          <w:szCs w:val="16"/>
        </w:rPr>
        <w:separator/>
      </w:r>
    </w:p>
    <w:p w14:paraId="4BD9676B" w14:textId="77777777" w:rsidR="00796ECA" w:rsidRPr="000F35ED" w:rsidRDefault="00796EC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A6DD01" w14:textId="77777777" w:rsidR="00796ECA" w:rsidRPr="000F35ED" w:rsidRDefault="00796EC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8862EB5" w14:textId="4029DC40" w:rsidR="006C785F" w:rsidRPr="00933A24" w:rsidRDefault="006C785F" w:rsidP="00933A24">
      <w:pPr>
        <w:pStyle w:val="FootnoteText"/>
        <w:ind w:firstLine="720"/>
        <w:jc w:val="both"/>
        <w:rPr>
          <w:rFonts w:asciiTheme="majorHAnsi" w:hAnsiTheme="majorHAnsi"/>
          <w:sz w:val="16"/>
          <w:szCs w:val="16"/>
          <w:lang w:val="es-PE"/>
        </w:rPr>
      </w:pPr>
      <w:r w:rsidRPr="00933A24">
        <w:rPr>
          <w:rStyle w:val="FootnoteReference"/>
          <w:rFonts w:asciiTheme="majorHAnsi" w:hAnsiTheme="majorHAnsi"/>
          <w:sz w:val="16"/>
          <w:szCs w:val="16"/>
        </w:rPr>
        <w:footnoteRef/>
      </w:r>
      <w:r w:rsidRPr="00933A24">
        <w:rPr>
          <w:rFonts w:asciiTheme="majorHAnsi" w:hAnsiTheme="majorHAnsi"/>
          <w:sz w:val="16"/>
          <w:szCs w:val="16"/>
          <w:lang w:val="es-PE"/>
        </w:rPr>
        <w:t xml:space="preserve"> </w:t>
      </w:r>
      <w:r w:rsidR="00C8620D" w:rsidRPr="00933A24">
        <w:rPr>
          <w:rFonts w:asciiTheme="majorHAnsi" w:hAnsiTheme="majorHAnsi"/>
          <w:sz w:val="16"/>
          <w:szCs w:val="16"/>
          <w:lang w:val="es-PE"/>
        </w:rPr>
        <w:t xml:space="preserve">En concreto, la petición identifica a las siguientes personas como presuntas víctimas, en su calidad de residentes y comerciantes de “La Plaza”: </w:t>
      </w:r>
      <w:r w:rsidR="00564376" w:rsidRPr="00933A24">
        <w:rPr>
          <w:rFonts w:asciiTheme="majorHAnsi" w:hAnsiTheme="majorHAnsi"/>
          <w:sz w:val="16"/>
          <w:szCs w:val="16"/>
          <w:lang w:val="es-PE"/>
        </w:rPr>
        <w:t xml:space="preserve">Luz Mary Rincón Osorio, </w:t>
      </w:r>
      <w:r w:rsidR="00C8620D" w:rsidRPr="00933A24">
        <w:rPr>
          <w:rFonts w:asciiTheme="majorHAnsi" w:hAnsiTheme="majorHAnsi"/>
          <w:sz w:val="16"/>
          <w:szCs w:val="16"/>
          <w:lang w:val="es-PE"/>
        </w:rPr>
        <w:t>Israel Ardila, Rocío Mejía, Miriam Palomino, Yolanda Osorio, Humberto Antonio Amaya, María del Socorro Bolaños, Luz Helena Hernández, Néstor Ramos y Praxedis Castro</w:t>
      </w:r>
      <w:r w:rsidR="004F4C97">
        <w:rPr>
          <w:rFonts w:asciiTheme="majorHAnsi" w:hAnsiTheme="majorHAnsi"/>
          <w:sz w:val="16"/>
          <w:szCs w:val="16"/>
          <w:lang w:val="es-PE"/>
        </w:rPr>
        <w:t>.</w:t>
      </w:r>
    </w:p>
  </w:footnote>
  <w:footnote w:id="3">
    <w:p w14:paraId="433251D4" w14:textId="77777777" w:rsidR="00855229" w:rsidRPr="00933A24" w:rsidRDefault="00855229" w:rsidP="00933A24">
      <w:pPr>
        <w:pStyle w:val="FootnoteText"/>
        <w:ind w:firstLine="720"/>
        <w:jc w:val="both"/>
        <w:rPr>
          <w:rFonts w:asciiTheme="majorHAnsi" w:hAnsiTheme="majorHAnsi"/>
          <w:sz w:val="16"/>
          <w:szCs w:val="16"/>
          <w:lang w:val="es-ES"/>
        </w:rPr>
      </w:pPr>
      <w:r w:rsidRPr="00933A24">
        <w:rPr>
          <w:rStyle w:val="FootnoteReference"/>
          <w:rFonts w:asciiTheme="majorHAnsi" w:hAnsiTheme="majorHAnsi"/>
          <w:sz w:val="16"/>
          <w:szCs w:val="16"/>
        </w:rPr>
        <w:footnoteRef/>
      </w:r>
      <w:r w:rsidRPr="00933A24">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51F54F64" w14:textId="77777777" w:rsidR="00CF01B6" w:rsidRPr="00933A24" w:rsidRDefault="00CF01B6" w:rsidP="00933A24">
      <w:pPr>
        <w:pStyle w:val="FootnoteText"/>
        <w:ind w:firstLine="720"/>
        <w:jc w:val="both"/>
        <w:rPr>
          <w:rFonts w:asciiTheme="majorHAnsi" w:hAnsiTheme="majorHAnsi"/>
          <w:sz w:val="16"/>
          <w:szCs w:val="16"/>
          <w:lang w:val="es-MX"/>
        </w:rPr>
      </w:pPr>
      <w:r w:rsidRPr="00933A24">
        <w:rPr>
          <w:rStyle w:val="FootnoteReference"/>
          <w:rFonts w:asciiTheme="majorHAnsi" w:hAnsiTheme="majorHAnsi"/>
          <w:sz w:val="16"/>
          <w:szCs w:val="16"/>
        </w:rPr>
        <w:footnoteRef/>
      </w:r>
      <w:r w:rsidRPr="00933A24">
        <w:rPr>
          <w:rStyle w:val="FootnoteReference"/>
          <w:rFonts w:asciiTheme="majorHAnsi" w:hAnsiTheme="majorHAnsi"/>
          <w:sz w:val="16"/>
          <w:szCs w:val="16"/>
          <w:lang w:val="es-US"/>
        </w:rPr>
        <w:t xml:space="preserve"> </w:t>
      </w:r>
      <w:r w:rsidRPr="00933A24">
        <w:rPr>
          <w:rFonts w:asciiTheme="majorHAnsi" w:hAnsiTheme="majorHAnsi"/>
          <w:sz w:val="16"/>
          <w:szCs w:val="16"/>
          <w:lang w:val="es-ES"/>
        </w:rPr>
        <w:t xml:space="preserve">En adelante, “la Convención Americana” o “la Convención”. </w:t>
      </w:r>
      <w:r w:rsidRPr="00933A24">
        <w:rPr>
          <w:rFonts w:asciiTheme="majorHAnsi" w:hAnsiTheme="majorHAnsi"/>
          <w:sz w:val="16"/>
          <w:szCs w:val="16"/>
          <w:lang w:val="es-ES"/>
        </w:rPr>
        <w:tab/>
      </w:r>
    </w:p>
  </w:footnote>
  <w:footnote w:id="5">
    <w:p w14:paraId="79F07139" w14:textId="77777777" w:rsidR="008E3BFE" w:rsidRPr="00933A24" w:rsidRDefault="008E3BFE" w:rsidP="00933A24">
      <w:pPr>
        <w:pStyle w:val="FootnoteText"/>
        <w:ind w:firstLine="720"/>
        <w:jc w:val="both"/>
        <w:rPr>
          <w:rFonts w:asciiTheme="majorHAnsi" w:hAnsiTheme="majorHAnsi"/>
          <w:sz w:val="16"/>
          <w:szCs w:val="16"/>
          <w:lang w:val="es-ES"/>
        </w:rPr>
      </w:pPr>
      <w:r w:rsidRPr="00933A24">
        <w:rPr>
          <w:rStyle w:val="FootnoteReference"/>
          <w:rFonts w:asciiTheme="majorHAnsi" w:hAnsiTheme="majorHAnsi"/>
          <w:sz w:val="16"/>
          <w:szCs w:val="16"/>
        </w:rPr>
        <w:footnoteRef/>
      </w:r>
      <w:r w:rsidRPr="00933A24">
        <w:rPr>
          <w:rFonts w:asciiTheme="majorHAnsi" w:hAnsiTheme="majorHAnsi"/>
          <w:sz w:val="16"/>
          <w:szCs w:val="16"/>
          <w:lang w:val="es-ES"/>
        </w:rPr>
        <w:t xml:space="preserve"> Las observaciones de cada parte fueron debidamente trasladadas a la parte contraria.</w:t>
      </w:r>
    </w:p>
  </w:footnote>
  <w:footnote w:id="6">
    <w:p w14:paraId="319312F7" w14:textId="77777777" w:rsidR="00F36846" w:rsidRPr="00933A24" w:rsidRDefault="00F36846" w:rsidP="00933A24">
      <w:pPr>
        <w:pStyle w:val="FootnoteText"/>
        <w:ind w:firstLine="720"/>
        <w:jc w:val="both"/>
        <w:rPr>
          <w:rFonts w:asciiTheme="majorHAnsi" w:hAnsiTheme="majorHAnsi"/>
          <w:sz w:val="16"/>
          <w:szCs w:val="16"/>
          <w:lang w:val="es-PE"/>
        </w:rPr>
      </w:pPr>
      <w:r w:rsidRPr="00933A24">
        <w:rPr>
          <w:rStyle w:val="FootnoteReference"/>
          <w:rFonts w:asciiTheme="majorHAnsi" w:hAnsiTheme="majorHAnsi"/>
          <w:sz w:val="16"/>
          <w:szCs w:val="16"/>
        </w:rPr>
        <w:footnoteRef/>
      </w:r>
      <w:r w:rsidRPr="00933A24">
        <w:rPr>
          <w:rFonts w:asciiTheme="majorHAnsi" w:hAnsiTheme="majorHAnsi"/>
          <w:sz w:val="16"/>
          <w:szCs w:val="16"/>
          <w:lang w:val="es-PE"/>
        </w:rPr>
        <w:t xml:space="preserve"> CIDH, Informe No. 70/04, Petición 667/01, Admisibilidad, Jesús Manuel Naranjo Cárdenas y otros, Jubilados de la empresa venezolana de aviación VIASA, Venezuela, 15 de octubre de 2004, párr. 52.</w:t>
      </w:r>
    </w:p>
  </w:footnote>
  <w:footnote w:id="7">
    <w:p w14:paraId="382948BE" w14:textId="77777777" w:rsidR="009F559D" w:rsidRPr="00E12EF1" w:rsidRDefault="009F559D" w:rsidP="009F559D">
      <w:pPr>
        <w:pStyle w:val="FootnoteText"/>
        <w:ind w:firstLine="720"/>
        <w:jc w:val="both"/>
        <w:rPr>
          <w:rFonts w:asciiTheme="majorHAnsi" w:hAnsiTheme="majorHAnsi"/>
          <w:color w:val="auto"/>
          <w:sz w:val="16"/>
          <w:szCs w:val="16"/>
          <w:lang w:val="es-PE"/>
        </w:rPr>
      </w:pPr>
      <w:r w:rsidRPr="00E12EF1">
        <w:rPr>
          <w:rStyle w:val="FootnoteReference"/>
          <w:rFonts w:asciiTheme="majorHAnsi" w:hAnsiTheme="majorHAnsi"/>
          <w:color w:val="auto"/>
          <w:sz w:val="16"/>
          <w:szCs w:val="16"/>
        </w:rPr>
        <w:footnoteRef/>
      </w:r>
      <w:r w:rsidRPr="00E12EF1">
        <w:rPr>
          <w:rFonts w:asciiTheme="majorHAnsi" w:hAnsiTheme="majorHAnsi"/>
          <w:color w:val="auto"/>
          <w:sz w:val="16"/>
          <w:szCs w:val="16"/>
          <w:lang w:val="es-PE"/>
        </w:rPr>
        <w:t xml:space="preserve"> </w:t>
      </w:r>
      <w:r w:rsidRPr="00E12EF1">
        <w:rPr>
          <w:rFonts w:asciiTheme="majorHAnsi" w:hAnsiTheme="majorHAnsi" w:cs="Tahoma"/>
          <w:color w:val="auto"/>
          <w:sz w:val="16"/>
          <w:szCs w:val="16"/>
          <w:lang w:val="es-ES"/>
        </w:rPr>
        <w:t>CIDH</w:t>
      </w:r>
      <w:r>
        <w:rPr>
          <w:rFonts w:asciiTheme="majorHAnsi" w:hAnsiTheme="majorHAnsi" w:cs="Tahoma"/>
          <w:color w:val="auto"/>
          <w:sz w:val="16"/>
          <w:szCs w:val="16"/>
          <w:lang w:val="es-ES"/>
        </w:rPr>
        <w:t>,</w:t>
      </w:r>
      <w:r w:rsidRPr="00E12EF1">
        <w:rPr>
          <w:rFonts w:asciiTheme="majorHAnsi" w:hAnsiTheme="majorHAnsi" w:cs="Tahoma"/>
          <w:color w:val="auto"/>
          <w:sz w:val="16"/>
          <w:szCs w:val="16"/>
          <w:lang w:val="es-ES"/>
        </w:rPr>
        <w:t xml:space="preserve"> Empresas y Derechos Humanos: Estándares Interamericanos</w:t>
      </w:r>
      <w:r>
        <w:rPr>
          <w:rFonts w:asciiTheme="majorHAnsi" w:hAnsiTheme="majorHAnsi" w:cs="Tahoma"/>
          <w:color w:val="auto"/>
          <w:sz w:val="16"/>
          <w:szCs w:val="16"/>
          <w:lang w:val="es-ES"/>
        </w:rPr>
        <w:t>,</w:t>
      </w:r>
      <w:r w:rsidRPr="00E12EF1">
        <w:rPr>
          <w:rFonts w:asciiTheme="majorHAnsi" w:hAnsiTheme="majorHAnsi" w:cs="Tahoma"/>
          <w:color w:val="auto"/>
          <w:sz w:val="16"/>
          <w:szCs w:val="16"/>
          <w:lang w:val="es-ES"/>
        </w:rPr>
        <w:t xml:space="preserve"> Relatoría Especial sobre Derechos Económicos Sociales Culturales y Ambientales</w:t>
      </w:r>
      <w:r>
        <w:rPr>
          <w:rFonts w:asciiTheme="majorHAnsi" w:hAnsiTheme="majorHAnsi" w:cs="Tahoma"/>
          <w:color w:val="auto"/>
          <w:sz w:val="16"/>
          <w:szCs w:val="16"/>
          <w:lang w:val="es-ES"/>
        </w:rPr>
        <w:t>,</w:t>
      </w:r>
      <w:r w:rsidRPr="00E12EF1">
        <w:rPr>
          <w:rFonts w:asciiTheme="majorHAnsi" w:hAnsiTheme="majorHAnsi" w:cs="Tahoma"/>
          <w:color w:val="auto"/>
          <w:sz w:val="16"/>
          <w:szCs w:val="16"/>
          <w:lang w:val="es-ES"/>
        </w:rPr>
        <w:t xml:space="preserve"> 1 de noviembre de 2019, párr. </w:t>
      </w:r>
      <w:r w:rsidRPr="00E12EF1">
        <w:rPr>
          <w:rFonts w:asciiTheme="majorHAnsi" w:hAnsiTheme="majorHAnsi"/>
          <w:color w:val="auto"/>
          <w:sz w:val="16"/>
          <w:szCs w:val="16"/>
          <w:lang w:val="es-PE"/>
        </w:rPr>
        <w:t>80-146.</w:t>
      </w:r>
    </w:p>
  </w:footnote>
  <w:footnote w:id="8">
    <w:p w14:paraId="22D88402" w14:textId="77777777" w:rsidR="009F559D" w:rsidRPr="00913E0F" w:rsidRDefault="009F559D" w:rsidP="009F559D">
      <w:pPr>
        <w:pStyle w:val="FootnoteText"/>
        <w:ind w:firstLine="720"/>
        <w:jc w:val="both"/>
        <w:rPr>
          <w:lang w:val="es-ES"/>
        </w:rPr>
      </w:pPr>
      <w:r w:rsidRPr="00913E0F">
        <w:rPr>
          <w:rStyle w:val="FootnoteReference"/>
          <w:rFonts w:ascii="Cambria" w:hAnsi="Cambria"/>
          <w:sz w:val="16"/>
          <w:szCs w:val="16"/>
        </w:rPr>
        <w:footnoteRef/>
      </w:r>
      <w:r w:rsidRPr="00913E0F">
        <w:rPr>
          <w:rFonts w:ascii="Cambria" w:hAnsi="Cambria"/>
          <w:sz w:val="16"/>
          <w:szCs w:val="16"/>
          <w:lang w:val="es-ES"/>
        </w:rPr>
        <w:t xml:space="preserve"> </w:t>
      </w:r>
      <w:r>
        <w:rPr>
          <w:rFonts w:ascii="Cambria" w:hAnsi="Cambria"/>
          <w:sz w:val="16"/>
          <w:szCs w:val="16"/>
          <w:lang w:val="es-ES"/>
        </w:rPr>
        <w:t>CIDH, Informe No. 330/20, Caso 12.718, Fondo. Comunidad de La Oroya, Perú, 19 de noviembre de 2020, párr. 131; e Informe No. 189/20, Caso 12.569, Fondo, Comunidades Quilombolas de Alcantara, Brasil, 14 de junio de 2020, párr. 264.</w:t>
      </w:r>
    </w:p>
  </w:footnote>
  <w:footnote w:id="9">
    <w:p w14:paraId="674CFDA4" w14:textId="77777777" w:rsidR="009F559D" w:rsidRPr="00C43C2C" w:rsidRDefault="009F559D" w:rsidP="009F559D">
      <w:pPr>
        <w:pStyle w:val="FootnoteText"/>
        <w:ind w:firstLine="720"/>
        <w:jc w:val="both"/>
        <w:rPr>
          <w:rFonts w:ascii="Cambria" w:hAnsi="Cambria"/>
          <w:color w:val="auto"/>
          <w:sz w:val="16"/>
          <w:szCs w:val="16"/>
          <w:lang w:val="es-ES"/>
        </w:rPr>
      </w:pPr>
      <w:r w:rsidRPr="00C43C2C">
        <w:rPr>
          <w:rStyle w:val="FootnoteReference"/>
          <w:rFonts w:ascii="Cambria" w:hAnsi="Cambria"/>
          <w:color w:val="auto"/>
          <w:sz w:val="16"/>
          <w:szCs w:val="16"/>
        </w:rPr>
        <w:footnoteRef/>
      </w:r>
      <w:r w:rsidRPr="00C43C2C">
        <w:rPr>
          <w:rFonts w:ascii="Cambria" w:hAnsi="Cambria"/>
          <w:color w:val="auto"/>
          <w:sz w:val="16"/>
          <w:szCs w:val="16"/>
          <w:lang w:val="es-ES"/>
        </w:rPr>
        <w:t xml:space="preserve"> 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 párr.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451B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72AFC4C"/>
    <w:lvl w:ilvl="0" w:tplc="AA261CF0">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6A14FD"/>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1D50D3A2"/>
    <w:lvl w:ilvl="0" w:tplc="6CB601F4">
      <w:start w:val="1"/>
      <w:numFmt w:val="decimal"/>
      <w:pStyle w:val="parrafos"/>
      <w:lvlText w:val="%1."/>
      <w:lvlJc w:val="left"/>
      <w:pPr>
        <w:ind w:left="360" w:hanging="360"/>
      </w:pPr>
      <w:rPr>
        <w:rFonts w:ascii="Cambria" w:hAnsi="Cambria" w:hint="default"/>
        <w:b w:val="0"/>
        <w:i w:val="0"/>
        <w:iCs w:val="0"/>
        <w:color w:val="auto"/>
        <w:sz w:val="20"/>
        <w:szCs w:val="20"/>
        <w:lang w:val="es-ES_tradnl"/>
      </w:rPr>
    </w:lvl>
    <w:lvl w:ilvl="1" w:tplc="04090019">
      <w:start w:val="1"/>
      <w:numFmt w:val="lowerLetter"/>
      <w:lvlText w:val="%2."/>
      <w:lvlJc w:val="left"/>
      <w:pPr>
        <w:ind w:left="-218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741" w:hanging="360"/>
      </w:pPr>
    </w:lvl>
    <w:lvl w:ilvl="4" w:tplc="04090019" w:tentative="1">
      <w:start w:val="1"/>
      <w:numFmt w:val="lowerLetter"/>
      <w:lvlText w:val="%5."/>
      <w:lvlJc w:val="left"/>
      <w:pPr>
        <w:ind w:left="-21" w:hanging="360"/>
      </w:pPr>
    </w:lvl>
    <w:lvl w:ilvl="5" w:tplc="0409001B" w:tentative="1">
      <w:start w:val="1"/>
      <w:numFmt w:val="lowerRoman"/>
      <w:lvlText w:val="%6."/>
      <w:lvlJc w:val="right"/>
      <w:pPr>
        <w:ind w:left="699" w:hanging="180"/>
      </w:pPr>
    </w:lvl>
    <w:lvl w:ilvl="6" w:tplc="0409000F" w:tentative="1">
      <w:start w:val="1"/>
      <w:numFmt w:val="decimal"/>
      <w:lvlText w:val="%7."/>
      <w:lvlJc w:val="left"/>
      <w:pPr>
        <w:ind w:left="1419" w:hanging="360"/>
      </w:pPr>
    </w:lvl>
    <w:lvl w:ilvl="7" w:tplc="04090019" w:tentative="1">
      <w:start w:val="1"/>
      <w:numFmt w:val="lowerLetter"/>
      <w:lvlText w:val="%8."/>
      <w:lvlJc w:val="left"/>
      <w:pPr>
        <w:ind w:left="2139" w:hanging="360"/>
      </w:pPr>
    </w:lvl>
    <w:lvl w:ilvl="8" w:tplc="0409001B" w:tentative="1">
      <w:start w:val="1"/>
      <w:numFmt w:val="lowerRoman"/>
      <w:lvlText w:val="%9."/>
      <w:lvlJc w:val="right"/>
      <w:pPr>
        <w:ind w:left="2859"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6"/>
  </w:num>
  <w:num w:numId="3" w16cid:durableId="1713266273">
    <w:abstractNumId w:val="52"/>
  </w:num>
  <w:num w:numId="4" w16cid:durableId="2068602545">
    <w:abstractNumId w:val="21"/>
  </w:num>
  <w:num w:numId="5" w16cid:durableId="1616525600">
    <w:abstractNumId w:val="46"/>
  </w:num>
  <w:num w:numId="6" w16cid:durableId="1902403871">
    <w:abstractNumId w:val="26"/>
  </w:num>
  <w:num w:numId="7" w16cid:durableId="2142066646">
    <w:abstractNumId w:val="7"/>
  </w:num>
  <w:num w:numId="8" w16cid:durableId="1861747358">
    <w:abstractNumId w:val="17"/>
  </w:num>
  <w:num w:numId="9" w16cid:durableId="1025256902">
    <w:abstractNumId w:val="36"/>
  </w:num>
  <w:num w:numId="10" w16cid:durableId="1866940441">
    <w:abstractNumId w:val="40"/>
  </w:num>
  <w:num w:numId="11" w16cid:durableId="251017014">
    <w:abstractNumId w:val="0"/>
  </w:num>
  <w:num w:numId="12" w16cid:durableId="2134210098">
    <w:abstractNumId w:val="35"/>
  </w:num>
  <w:num w:numId="13" w16cid:durableId="255601910">
    <w:abstractNumId w:val="42"/>
  </w:num>
  <w:num w:numId="14" w16cid:durableId="1761757703">
    <w:abstractNumId w:val="1"/>
  </w:num>
  <w:num w:numId="15" w16cid:durableId="1186796706">
    <w:abstractNumId w:val="2"/>
  </w:num>
  <w:num w:numId="16" w16cid:durableId="1606693034">
    <w:abstractNumId w:val="8"/>
  </w:num>
  <w:num w:numId="17" w16cid:durableId="1738476247">
    <w:abstractNumId w:val="9"/>
  </w:num>
  <w:num w:numId="18" w16cid:durableId="1484001738">
    <w:abstractNumId w:val="10"/>
  </w:num>
  <w:num w:numId="19" w16cid:durableId="866941465">
    <w:abstractNumId w:val="11"/>
  </w:num>
  <w:num w:numId="20" w16cid:durableId="891114917">
    <w:abstractNumId w:val="12"/>
  </w:num>
  <w:num w:numId="21" w16cid:durableId="1852600886">
    <w:abstractNumId w:val="13"/>
  </w:num>
  <w:num w:numId="22" w16cid:durableId="925655403">
    <w:abstractNumId w:val="14"/>
  </w:num>
  <w:num w:numId="23" w16cid:durableId="1122456303">
    <w:abstractNumId w:val="15"/>
  </w:num>
  <w:num w:numId="24" w16cid:durableId="2034264947">
    <w:abstractNumId w:val="16"/>
  </w:num>
  <w:num w:numId="25" w16cid:durableId="943655646">
    <w:abstractNumId w:val="18"/>
  </w:num>
  <w:num w:numId="26" w16cid:durableId="48573556">
    <w:abstractNumId w:val="19"/>
  </w:num>
  <w:num w:numId="27" w16cid:durableId="1714845553">
    <w:abstractNumId w:val="22"/>
  </w:num>
  <w:num w:numId="28" w16cid:durableId="43258639">
    <w:abstractNumId w:val="23"/>
  </w:num>
  <w:num w:numId="29" w16cid:durableId="1533766946">
    <w:abstractNumId w:val="24"/>
  </w:num>
  <w:num w:numId="30" w16cid:durableId="1375960398">
    <w:abstractNumId w:val="25"/>
  </w:num>
  <w:num w:numId="31" w16cid:durableId="142351334">
    <w:abstractNumId w:val="27"/>
  </w:num>
  <w:num w:numId="32" w16cid:durableId="179467967">
    <w:abstractNumId w:val="28"/>
  </w:num>
  <w:num w:numId="33" w16cid:durableId="1445685242">
    <w:abstractNumId w:val="29"/>
  </w:num>
  <w:num w:numId="34" w16cid:durableId="2049792361">
    <w:abstractNumId w:val="30"/>
  </w:num>
  <w:num w:numId="35" w16cid:durableId="1766075673">
    <w:abstractNumId w:val="31"/>
  </w:num>
  <w:num w:numId="36" w16cid:durableId="1193613694">
    <w:abstractNumId w:val="32"/>
  </w:num>
  <w:num w:numId="37" w16cid:durableId="1731923604">
    <w:abstractNumId w:val="33"/>
  </w:num>
  <w:num w:numId="38" w16cid:durableId="1266036850">
    <w:abstractNumId w:val="34"/>
  </w:num>
  <w:num w:numId="39" w16cid:durableId="1881671385">
    <w:abstractNumId w:val="37"/>
  </w:num>
  <w:num w:numId="40" w16cid:durableId="1301611395">
    <w:abstractNumId w:val="38"/>
  </w:num>
  <w:num w:numId="41" w16cid:durableId="1131166778">
    <w:abstractNumId w:val="45"/>
  </w:num>
  <w:num w:numId="42" w16cid:durableId="507405131">
    <w:abstractNumId w:val="47"/>
  </w:num>
  <w:num w:numId="43" w16cid:durableId="147091870">
    <w:abstractNumId w:val="48"/>
  </w:num>
  <w:num w:numId="44" w16cid:durableId="655454458">
    <w:abstractNumId w:val="50"/>
  </w:num>
  <w:num w:numId="45" w16cid:durableId="1812089391">
    <w:abstractNumId w:val="51"/>
  </w:num>
  <w:num w:numId="46" w16cid:durableId="515115365">
    <w:abstractNumId w:val="53"/>
  </w:num>
  <w:num w:numId="47" w16cid:durableId="1221944455">
    <w:abstractNumId w:val="54"/>
  </w:num>
  <w:num w:numId="48" w16cid:durableId="908535618">
    <w:abstractNumId w:val="55"/>
  </w:num>
  <w:num w:numId="49" w16cid:durableId="825898735">
    <w:abstractNumId w:val="56"/>
  </w:num>
  <w:num w:numId="50" w16cid:durableId="49690932">
    <w:abstractNumId w:val="57"/>
  </w:num>
  <w:num w:numId="51" w16cid:durableId="2095399920">
    <w:abstractNumId w:val="20"/>
  </w:num>
  <w:num w:numId="52" w16cid:durableId="1435326325">
    <w:abstractNumId w:val="39"/>
  </w:num>
  <w:num w:numId="53" w16cid:durableId="935866318">
    <w:abstractNumId w:val="49"/>
  </w:num>
  <w:num w:numId="54" w16cid:durableId="749347125">
    <w:abstractNumId w:val="43"/>
  </w:num>
  <w:num w:numId="55" w16cid:durableId="1458334191">
    <w:abstractNumId w:val="4"/>
  </w:num>
  <w:num w:numId="56" w16cid:durableId="1694842942">
    <w:abstractNumId w:val="41"/>
  </w:num>
  <w:num w:numId="57" w16cid:durableId="1535652638">
    <w:abstractNumId w:val="44"/>
  </w:num>
  <w:num w:numId="58" w16cid:durableId="148585236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902"/>
    <w:rsid w:val="00006E1F"/>
    <w:rsid w:val="000070D7"/>
    <w:rsid w:val="0001788C"/>
    <w:rsid w:val="000337EF"/>
    <w:rsid w:val="00040C3A"/>
    <w:rsid w:val="000419AD"/>
    <w:rsid w:val="000433C9"/>
    <w:rsid w:val="0004366F"/>
    <w:rsid w:val="00053459"/>
    <w:rsid w:val="000547D5"/>
    <w:rsid w:val="00064A08"/>
    <w:rsid w:val="000655CF"/>
    <w:rsid w:val="00067065"/>
    <w:rsid w:val="00067412"/>
    <w:rsid w:val="000716C5"/>
    <w:rsid w:val="0007292A"/>
    <w:rsid w:val="00075E23"/>
    <w:rsid w:val="00080CBC"/>
    <w:rsid w:val="0009344A"/>
    <w:rsid w:val="000A1974"/>
    <w:rsid w:val="000A392E"/>
    <w:rsid w:val="000A575F"/>
    <w:rsid w:val="000B062C"/>
    <w:rsid w:val="000C0DE0"/>
    <w:rsid w:val="000D05CB"/>
    <w:rsid w:val="000D10DB"/>
    <w:rsid w:val="000D10E1"/>
    <w:rsid w:val="000D23E0"/>
    <w:rsid w:val="000D43A8"/>
    <w:rsid w:val="000D6FC0"/>
    <w:rsid w:val="000E5EB5"/>
    <w:rsid w:val="000E683C"/>
    <w:rsid w:val="000E76A5"/>
    <w:rsid w:val="000F35ED"/>
    <w:rsid w:val="000F49BF"/>
    <w:rsid w:val="00100B66"/>
    <w:rsid w:val="00107131"/>
    <w:rsid w:val="0010736F"/>
    <w:rsid w:val="00113F73"/>
    <w:rsid w:val="00121CC2"/>
    <w:rsid w:val="00122670"/>
    <w:rsid w:val="00125CC7"/>
    <w:rsid w:val="0012671E"/>
    <w:rsid w:val="00131425"/>
    <w:rsid w:val="00133EE5"/>
    <w:rsid w:val="001343B8"/>
    <w:rsid w:val="00144E7A"/>
    <w:rsid w:val="0014649A"/>
    <w:rsid w:val="00154EB0"/>
    <w:rsid w:val="001570CD"/>
    <w:rsid w:val="00166462"/>
    <w:rsid w:val="001675EE"/>
    <w:rsid w:val="00167A34"/>
    <w:rsid w:val="001701A0"/>
    <w:rsid w:val="00173058"/>
    <w:rsid w:val="0019566B"/>
    <w:rsid w:val="001A7870"/>
    <w:rsid w:val="001B3A00"/>
    <w:rsid w:val="001C1B41"/>
    <w:rsid w:val="001C65F9"/>
    <w:rsid w:val="001D0A9E"/>
    <w:rsid w:val="001D65EF"/>
    <w:rsid w:val="001D66DF"/>
    <w:rsid w:val="001D7945"/>
    <w:rsid w:val="001E0C5A"/>
    <w:rsid w:val="001E2298"/>
    <w:rsid w:val="001E49E7"/>
    <w:rsid w:val="001F1CF8"/>
    <w:rsid w:val="001F7201"/>
    <w:rsid w:val="00202310"/>
    <w:rsid w:val="002119E0"/>
    <w:rsid w:val="00211C22"/>
    <w:rsid w:val="00215933"/>
    <w:rsid w:val="00223A29"/>
    <w:rsid w:val="002250A3"/>
    <w:rsid w:val="00227BDC"/>
    <w:rsid w:val="00235217"/>
    <w:rsid w:val="00237F02"/>
    <w:rsid w:val="002469D2"/>
    <w:rsid w:val="00246D1F"/>
    <w:rsid w:val="00247403"/>
    <w:rsid w:val="00247542"/>
    <w:rsid w:val="002536B8"/>
    <w:rsid w:val="0026020D"/>
    <w:rsid w:val="00262671"/>
    <w:rsid w:val="002627C1"/>
    <w:rsid w:val="00266B61"/>
    <w:rsid w:val="0026712A"/>
    <w:rsid w:val="002704DB"/>
    <w:rsid w:val="00286723"/>
    <w:rsid w:val="00292BBC"/>
    <w:rsid w:val="00297977"/>
    <w:rsid w:val="002A0AAE"/>
    <w:rsid w:val="002A47B1"/>
    <w:rsid w:val="002A5820"/>
    <w:rsid w:val="002B4B34"/>
    <w:rsid w:val="002B4F6F"/>
    <w:rsid w:val="002D1CB9"/>
    <w:rsid w:val="002D2B26"/>
    <w:rsid w:val="002D7EA2"/>
    <w:rsid w:val="002E187C"/>
    <w:rsid w:val="002E7401"/>
    <w:rsid w:val="002F1E7E"/>
    <w:rsid w:val="002F4D0B"/>
    <w:rsid w:val="0030014F"/>
    <w:rsid w:val="00302733"/>
    <w:rsid w:val="00304130"/>
    <w:rsid w:val="003076E5"/>
    <w:rsid w:val="00314078"/>
    <w:rsid w:val="0031535D"/>
    <w:rsid w:val="00316E5C"/>
    <w:rsid w:val="003239B8"/>
    <w:rsid w:val="00324A3A"/>
    <w:rsid w:val="0032531A"/>
    <w:rsid w:val="0033169F"/>
    <w:rsid w:val="00337B0C"/>
    <w:rsid w:val="00342D8C"/>
    <w:rsid w:val="00344977"/>
    <w:rsid w:val="00346C95"/>
    <w:rsid w:val="00352961"/>
    <w:rsid w:val="0035316D"/>
    <w:rsid w:val="00356185"/>
    <w:rsid w:val="00360380"/>
    <w:rsid w:val="00372A72"/>
    <w:rsid w:val="0037519E"/>
    <w:rsid w:val="0038088F"/>
    <w:rsid w:val="00383FF1"/>
    <w:rsid w:val="00386CF0"/>
    <w:rsid w:val="003953AE"/>
    <w:rsid w:val="003B18F7"/>
    <w:rsid w:val="003B1B44"/>
    <w:rsid w:val="003B70FB"/>
    <w:rsid w:val="003C1D24"/>
    <w:rsid w:val="003C2239"/>
    <w:rsid w:val="003C4AC7"/>
    <w:rsid w:val="003C676B"/>
    <w:rsid w:val="003D3BC2"/>
    <w:rsid w:val="003D4E17"/>
    <w:rsid w:val="003E54FF"/>
    <w:rsid w:val="003E5B3A"/>
    <w:rsid w:val="003E6CA1"/>
    <w:rsid w:val="003F4152"/>
    <w:rsid w:val="003F773A"/>
    <w:rsid w:val="00405F9C"/>
    <w:rsid w:val="004065A8"/>
    <w:rsid w:val="004165C2"/>
    <w:rsid w:val="00423655"/>
    <w:rsid w:val="00426A49"/>
    <w:rsid w:val="00436B39"/>
    <w:rsid w:val="00441524"/>
    <w:rsid w:val="00441E0D"/>
    <w:rsid w:val="00441ECB"/>
    <w:rsid w:val="00445193"/>
    <w:rsid w:val="004451BD"/>
    <w:rsid w:val="0044791F"/>
    <w:rsid w:val="00453C40"/>
    <w:rsid w:val="00455AE9"/>
    <w:rsid w:val="00456E87"/>
    <w:rsid w:val="00457410"/>
    <w:rsid w:val="00461209"/>
    <w:rsid w:val="00462C1B"/>
    <w:rsid w:val="00463092"/>
    <w:rsid w:val="00463836"/>
    <w:rsid w:val="00467B7E"/>
    <w:rsid w:val="00470E4B"/>
    <w:rsid w:val="00473BB4"/>
    <w:rsid w:val="00475E10"/>
    <w:rsid w:val="00477592"/>
    <w:rsid w:val="00486F1C"/>
    <w:rsid w:val="0049419D"/>
    <w:rsid w:val="00495BA6"/>
    <w:rsid w:val="004A6A54"/>
    <w:rsid w:val="004C1D47"/>
    <w:rsid w:val="004C20D2"/>
    <w:rsid w:val="004C2312"/>
    <w:rsid w:val="004C24E6"/>
    <w:rsid w:val="004C4B62"/>
    <w:rsid w:val="004C54C9"/>
    <w:rsid w:val="004C5CC9"/>
    <w:rsid w:val="004D4ABA"/>
    <w:rsid w:val="004D6025"/>
    <w:rsid w:val="004E2649"/>
    <w:rsid w:val="004E34B9"/>
    <w:rsid w:val="004F4C97"/>
    <w:rsid w:val="004F626F"/>
    <w:rsid w:val="004F7EE2"/>
    <w:rsid w:val="005012DF"/>
    <w:rsid w:val="00501399"/>
    <w:rsid w:val="00502D1F"/>
    <w:rsid w:val="0050633D"/>
    <w:rsid w:val="00507BC4"/>
    <w:rsid w:val="00511083"/>
    <w:rsid w:val="005128E4"/>
    <w:rsid w:val="00512F25"/>
    <w:rsid w:val="005133DB"/>
    <w:rsid w:val="00514504"/>
    <w:rsid w:val="00516BFF"/>
    <w:rsid w:val="0052527A"/>
    <w:rsid w:val="00525560"/>
    <w:rsid w:val="005258DE"/>
    <w:rsid w:val="00526B2D"/>
    <w:rsid w:val="00532632"/>
    <w:rsid w:val="00540C99"/>
    <w:rsid w:val="00544C49"/>
    <w:rsid w:val="00545087"/>
    <w:rsid w:val="005503FF"/>
    <w:rsid w:val="00550FD9"/>
    <w:rsid w:val="005516A1"/>
    <w:rsid w:val="005523A5"/>
    <w:rsid w:val="005559EF"/>
    <w:rsid w:val="005564B7"/>
    <w:rsid w:val="00563557"/>
    <w:rsid w:val="00564376"/>
    <w:rsid w:val="005650C7"/>
    <w:rsid w:val="005704BD"/>
    <w:rsid w:val="00573EBD"/>
    <w:rsid w:val="0057402A"/>
    <w:rsid w:val="00575460"/>
    <w:rsid w:val="005771D0"/>
    <w:rsid w:val="0059191A"/>
    <w:rsid w:val="005921FF"/>
    <w:rsid w:val="005A24ED"/>
    <w:rsid w:val="005A254F"/>
    <w:rsid w:val="005A6D0E"/>
    <w:rsid w:val="005B52B0"/>
    <w:rsid w:val="005B6806"/>
    <w:rsid w:val="005C4225"/>
    <w:rsid w:val="005C4277"/>
    <w:rsid w:val="005D38F9"/>
    <w:rsid w:val="005D5832"/>
    <w:rsid w:val="005D6122"/>
    <w:rsid w:val="005F0DAD"/>
    <w:rsid w:val="005F0F33"/>
    <w:rsid w:val="00600DEB"/>
    <w:rsid w:val="0060110F"/>
    <w:rsid w:val="006015AE"/>
    <w:rsid w:val="00624A71"/>
    <w:rsid w:val="00627C9F"/>
    <w:rsid w:val="006311E9"/>
    <w:rsid w:val="00632354"/>
    <w:rsid w:val="00635421"/>
    <w:rsid w:val="00636046"/>
    <w:rsid w:val="00642810"/>
    <w:rsid w:val="006461B8"/>
    <w:rsid w:val="00652333"/>
    <w:rsid w:val="00665A8B"/>
    <w:rsid w:val="006719CF"/>
    <w:rsid w:val="00671F21"/>
    <w:rsid w:val="0068009E"/>
    <w:rsid w:val="00692219"/>
    <w:rsid w:val="006975C3"/>
    <w:rsid w:val="006A05B8"/>
    <w:rsid w:val="006A17D2"/>
    <w:rsid w:val="006A73E6"/>
    <w:rsid w:val="006A7CD0"/>
    <w:rsid w:val="006B243C"/>
    <w:rsid w:val="006B2D5C"/>
    <w:rsid w:val="006C4727"/>
    <w:rsid w:val="006C4EB1"/>
    <w:rsid w:val="006C5C08"/>
    <w:rsid w:val="006C785F"/>
    <w:rsid w:val="006D5B19"/>
    <w:rsid w:val="006E0166"/>
    <w:rsid w:val="006E2FFB"/>
    <w:rsid w:val="006E7B34"/>
    <w:rsid w:val="006E7E86"/>
    <w:rsid w:val="006F00B0"/>
    <w:rsid w:val="006F2E8F"/>
    <w:rsid w:val="006F751D"/>
    <w:rsid w:val="00701DC3"/>
    <w:rsid w:val="00701F7B"/>
    <w:rsid w:val="0070697F"/>
    <w:rsid w:val="00712253"/>
    <w:rsid w:val="0072199C"/>
    <w:rsid w:val="00722C9F"/>
    <w:rsid w:val="007253B8"/>
    <w:rsid w:val="00725D32"/>
    <w:rsid w:val="007314DF"/>
    <w:rsid w:val="0073741F"/>
    <w:rsid w:val="00743D9B"/>
    <w:rsid w:val="00747838"/>
    <w:rsid w:val="0076643F"/>
    <w:rsid w:val="00777C71"/>
    <w:rsid w:val="00777F63"/>
    <w:rsid w:val="00785107"/>
    <w:rsid w:val="00796ECA"/>
    <w:rsid w:val="007A5817"/>
    <w:rsid w:val="007B05C4"/>
    <w:rsid w:val="007B60E9"/>
    <w:rsid w:val="007B6588"/>
    <w:rsid w:val="007B6CC3"/>
    <w:rsid w:val="007B76D3"/>
    <w:rsid w:val="007C1B9E"/>
    <w:rsid w:val="007C2084"/>
    <w:rsid w:val="007C3334"/>
    <w:rsid w:val="007C5BF5"/>
    <w:rsid w:val="007C7E8C"/>
    <w:rsid w:val="007D1475"/>
    <w:rsid w:val="007D2B98"/>
    <w:rsid w:val="007E21BC"/>
    <w:rsid w:val="007E7C82"/>
    <w:rsid w:val="007F18E3"/>
    <w:rsid w:val="007F2AA1"/>
    <w:rsid w:val="007F588D"/>
    <w:rsid w:val="00803F1C"/>
    <w:rsid w:val="0080600E"/>
    <w:rsid w:val="00814688"/>
    <w:rsid w:val="00817612"/>
    <w:rsid w:val="00823BA3"/>
    <w:rsid w:val="0083100C"/>
    <w:rsid w:val="008338A4"/>
    <w:rsid w:val="00834D49"/>
    <w:rsid w:val="00837C45"/>
    <w:rsid w:val="008400B4"/>
    <w:rsid w:val="00844730"/>
    <w:rsid w:val="00845498"/>
    <w:rsid w:val="008457C2"/>
    <w:rsid w:val="00855229"/>
    <w:rsid w:val="00857A82"/>
    <w:rsid w:val="0086128C"/>
    <w:rsid w:val="00867314"/>
    <w:rsid w:val="00870796"/>
    <w:rsid w:val="00873836"/>
    <w:rsid w:val="00874C92"/>
    <w:rsid w:val="00885737"/>
    <w:rsid w:val="00887559"/>
    <w:rsid w:val="00890650"/>
    <w:rsid w:val="008960E3"/>
    <w:rsid w:val="00897E12"/>
    <w:rsid w:val="008A346D"/>
    <w:rsid w:val="008A7E0F"/>
    <w:rsid w:val="008B12F5"/>
    <w:rsid w:val="008C36C3"/>
    <w:rsid w:val="008C5E2D"/>
    <w:rsid w:val="008D2759"/>
    <w:rsid w:val="008D768D"/>
    <w:rsid w:val="008E3759"/>
    <w:rsid w:val="008E3BFE"/>
    <w:rsid w:val="008E5C82"/>
    <w:rsid w:val="008F1912"/>
    <w:rsid w:val="008F3E35"/>
    <w:rsid w:val="008F571B"/>
    <w:rsid w:val="0090270B"/>
    <w:rsid w:val="009041DC"/>
    <w:rsid w:val="00914436"/>
    <w:rsid w:val="00917B5A"/>
    <w:rsid w:val="00920A58"/>
    <w:rsid w:val="00920A8C"/>
    <w:rsid w:val="00932229"/>
    <w:rsid w:val="00933A24"/>
    <w:rsid w:val="00934A2C"/>
    <w:rsid w:val="00935590"/>
    <w:rsid w:val="00942F3F"/>
    <w:rsid w:val="00943154"/>
    <w:rsid w:val="00943C7B"/>
    <w:rsid w:val="009479E0"/>
    <w:rsid w:val="00951493"/>
    <w:rsid w:val="00955CCE"/>
    <w:rsid w:val="00957DFF"/>
    <w:rsid w:val="0096706E"/>
    <w:rsid w:val="00973323"/>
    <w:rsid w:val="00974491"/>
    <w:rsid w:val="00975C4E"/>
    <w:rsid w:val="00981FBA"/>
    <w:rsid w:val="00991434"/>
    <w:rsid w:val="00997BC5"/>
    <w:rsid w:val="009A4F41"/>
    <w:rsid w:val="009A63A5"/>
    <w:rsid w:val="009B381B"/>
    <w:rsid w:val="009B414F"/>
    <w:rsid w:val="009C0470"/>
    <w:rsid w:val="009C2614"/>
    <w:rsid w:val="009D1753"/>
    <w:rsid w:val="009D337C"/>
    <w:rsid w:val="009D407C"/>
    <w:rsid w:val="009D5075"/>
    <w:rsid w:val="009D7611"/>
    <w:rsid w:val="009E0B61"/>
    <w:rsid w:val="009E4F56"/>
    <w:rsid w:val="009E53DE"/>
    <w:rsid w:val="009E5F2F"/>
    <w:rsid w:val="009F559D"/>
    <w:rsid w:val="00A006D0"/>
    <w:rsid w:val="00A11212"/>
    <w:rsid w:val="00A11E44"/>
    <w:rsid w:val="00A16FA0"/>
    <w:rsid w:val="00A20A97"/>
    <w:rsid w:val="00A23907"/>
    <w:rsid w:val="00A27702"/>
    <w:rsid w:val="00A277DC"/>
    <w:rsid w:val="00A30100"/>
    <w:rsid w:val="00A328B1"/>
    <w:rsid w:val="00A328B3"/>
    <w:rsid w:val="00A368B7"/>
    <w:rsid w:val="00A41E82"/>
    <w:rsid w:val="00A44333"/>
    <w:rsid w:val="00A44542"/>
    <w:rsid w:val="00A50FCF"/>
    <w:rsid w:val="00A528D1"/>
    <w:rsid w:val="00A60162"/>
    <w:rsid w:val="00A610CD"/>
    <w:rsid w:val="00A64682"/>
    <w:rsid w:val="00A758AA"/>
    <w:rsid w:val="00A90419"/>
    <w:rsid w:val="00AA09A2"/>
    <w:rsid w:val="00AA2958"/>
    <w:rsid w:val="00AA52AC"/>
    <w:rsid w:val="00AA7203"/>
    <w:rsid w:val="00AA7996"/>
    <w:rsid w:val="00AC19CB"/>
    <w:rsid w:val="00AC3AE0"/>
    <w:rsid w:val="00AC7B3C"/>
    <w:rsid w:val="00AE39E7"/>
    <w:rsid w:val="00AE4CD7"/>
    <w:rsid w:val="00AE5488"/>
    <w:rsid w:val="00AE6F91"/>
    <w:rsid w:val="00AF5571"/>
    <w:rsid w:val="00B0574D"/>
    <w:rsid w:val="00B07341"/>
    <w:rsid w:val="00B11747"/>
    <w:rsid w:val="00B11A97"/>
    <w:rsid w:val="00B14CE7"/>
    <w:rsid w:val="00B30539"/>
    <w:rsid w:val="00B314DB"/>
    <w:rsid w:val="00B361F2"/>
    <w:rsid w:val="00B3718B"/>
    <w:rsid w:val="00B3745F"/>
    <w:rsid w:val="00B37FB9"/>
    <w:rsid w:val="00B45254"/>
    <w:rsid w:val="00B4632A"/>
    <w:rsid w:val="00B530F1"/>
    <w:rsid w:val="00B60BA0"/>
    <w:rsid w:val="00B628C4"/>
    <w:rsid w:val="00B62B6A"/>
    <w:rsid w:val="00B63C2C"/>
    <w:rsid w:val="00B70C3F"/>
    <w:rsid w:val="00B7275D"/>
    <w:rsid w:val="00B87B2F"/>
    <w:rsid w:val="00B95335"/>
    <w:rsid w:val="00B96870"/>
    <w:rsid w:val="00BA276C"/>
    <w:rsid w:val="00BA6C2F"/>
    <w:rsid w:val="00BB306F"/>
    <w:rsid w:val="00BB3DC5"/>
    <w:rsid w:val="00BC4B23"/>
    <w:rsid w:val="00BD22B5"/>
    <w:rsid w:val="00BD4B89"/>
    <w:rsid w:val="00BD5922"/>
    <w:rsid w:val="00BD60EA"/>
    <w:rsid w:val="00BF02CB"/>
    <w:rsid w:val="00BF0D6E"/>
    <w:rsid w:val="00BF26A6"/>
    <w:rsid w:val="00BF3CBC"/>
    <w:rsid w:val="00BF6FD8"/>
    <w:rsid w:val="00C004A0"/>
    <w:rsid w:val="00C03680"/>
    <w:rsid w:val="00C054DF"/>
    <w:rsid w:val="00C11670"/>
    <w:rsid w:val="00C1345E"/>
    <w:rsid w:val="00C21762"/>
    <w:rsid w:val="00C21FEF"/>
    <w:rsid w:val="00C23BA4"/>
    <w:rsid w:val="00C24543"/>
    <w:rsid w:val="00C256A2"/>
    <w:rsid w:val="00C25ADB"/>
    <w:rsid w:val="00C2763A"/>
    <w:rsid w:val="00C348F3"/>
    <w:rsid w:val="00C43C2C"/>
    <w:rsid w:val="00C47B7C"/>
    <w:rsid w:val="00C51515"/>
    <w:rsid w:val="00C55957"/>
    <w:rsid w:val="00C5660B"/>
    <w:rsid w:val="00C66B72"/>
    <w:rsid w:val="00C7276F"/>
    <w:rsid w:val="00C741C1"/>
    <w:rsid w:val="00C7465E"/>
    <w:rsid w:val="00C85400"/>
    <w:rsid w:val="00C8620D"/>
    <w:rsid w:val="00C876F1"/>
    <w:rsid w:val="00C87AC4"/>
    <w:rsid w:val="00C94CE6"/>
    <w:rsid w:val="00C9567A"/>
    <w:rsid w:val="00CA0255"/>
    <w:rsid w:val="00CA4132"/>
    <w:rsid w:val="00CB212D"/>
    <w:rsid w:val="00CB2660"/>
    <w:rsid w:val="00CC10CB"/>
    <w:rsid w:val="00CC1396"/>
    <w:rsid w:val="00CC442D"/>
    <w:rsid w:val="00CC5E90"/>
    <w:rsid w:val="00CD046C"/>
    <w:rsid w:val="00CE076C"/>
    <w:rsid w:val="00CE13B3"/>
    <w:rsid w:val="00CE26B5"/>
    <w:rsid w:val="00CE5199"/>
    <w:rsid w:val="00CE66D5"/>
    <w:rsid w:val="00CF01B6"/>
    <w:rsid w:val="00CF637A"/>
    <w:rsid w:val="00D059DE"/>
    <w:rsid w:val="00D05ABD"/>
    <w:rsid w:val="00D11116"/>
    <w:rsid w:val="00D12B64"/>
    <w:rsid w:val="00D13530"/>
    <w:rsid w:val="00D13FCE"/>
    <w:rsid w:val="00D306D1"/>
    <w:rsid w:val="00D30800"/>
    <w:rsid w:val="00D315EC"/>
    <w:rsid w:val="00D31849"/>
    <w:rsid w:val="00D34786"/>
    <w:rsid w:val="00D35E1E"/>
    <w:rsid w:val="00D37BFC"/>
    <w:rsid w:val="00D468AF"/>
    <w:rsid w:val="00D47A8E"/>
    <w:rsid w:val="00D50EDF"/>
    <w:rsid w:val="00D52D14"/>
    <w:rsid w:val="00D56A63"/>
    <w:rsid w:val="00D625C5"/>
    <w:rsid w:val="00D63378"/>
    <w:rsid w:val="00D70362"/>
    <w:rsid w:val="00D712D3"/>
    <w:rsid w:val="00D71422"/>
    <w:rsid w:val="00D72DC6"/>
    <w:rsid w:val="00D74C0A"/>
    <w:rsid w:val="00D7558D"/>
    <w:rsid w:val="00D81D92"/>
    <w:rsid w:val="00D839AA"/>
    <w:rsid w:val="00D876F9"/>
    <w:rsid w:val="00D914BA"/>
    <w:rsid w:val="00D92F53"/>
    <w:rsid w:val="00D94EE9"/>
    <w:rsid w:val="00DA7B5F"/>
    <w:rsid w:val="00DB26C1"/>
    <w:rsid w:val="00DC11E7"/>
    <w:rsid w:val="00DC24E3"/>
    <w:rsid w:val="00DC429E"/>
    <w:rsid w:val="00DC676A"/>
    <w:rsid w:val="00DC7023"/>
    <w:rsid w:val="00DC769A"/>
    <w:rsid w:val="00DD11AF"/>
    <w:rsid w:val="00DD3D86"/>
    <w:rsid w:val="00DD4AD2"/>
    <w:rsid w:val="00DD6825"/>
    <w:rsid w:val="00DE6A24"/>
    <w:rsid w:val="00DF1C3A"/>
    <w:rsid w:val="00DF1EC4"/>
    <w:rsid w:val="00DF7C32"/>
    <w:rsid w:val="00E0180D"/>
    <w:rsid w:val="00E0340B"/>
    <w:rsid w:val="00E04A90"/>
    <w:rsid w:val="00E0551F"/>
    <w:rsid w:val="00E113A6"/>
    <w:rsid w:val="00E12EF1"/>
    <w:rsid w:val="00E219C7"/>
    <w:rsid w:val="00E2310E"/>
    <w:rsid w:val="00E27AC7"/>
    <w:rsid w:val="00E32380"/>
    <w:rsid w:val="00E4118C"/>
    <w:rsid w:val="00E43157"/>
    <w:rsid w:val="00E461CE"/>
    <w:rsid w:val="00E5443D"/>
    <w:rsid w:val="00E54D28"/>
    <w:rsid w:val="00E55E83"/>
    <w:rsid w:val="00E56553"/>
    <w:rsid w:val="00E573E4"/>
    <w:rsid w:val="00E64C3D"/>
    <w:rsid w:val="00E67C67"/>
    <w:rsid w:val="00E720CA"/>
    <w:rsid w:val="00E7305E"/>
    <w:rsid w:val="00E73DF8"/>
    <w:rsid w:val="00E746B9"/>
    <w:rsid w:val="00E82DDC"/>
    <w:rsid w:val="00E84EB5"/>
    <w:rsid w:val="00E85662"/>
    <w:rsid w:val="00E86A70"/>
    <w:rsid w:val="00E86BEC"/>
    <w:rsid w:val="00E8789F"/>
    <w:rsid w:val="00E9392E"/>
    <w:rsid w:val="00E95CDD"/>
    <w:rsid w:val="00E97B71"/>
    <w:rsid w:val="00E97C64"/>
    <w:rsid w:val="00EA3D34"/>
    <w:rsid w:val="00EA5418"/>
    <w:rsid w:val="00EB197F"/>
    <w:rsid w:val="00EB1F56"/>
    <w:rsid w:val="00EB25B5"/>
    <w:rsid w:val="00EB454D"/>
    <w:rsid w:val="00EC3B10"/>
    <w:rsid w:val="00EC5CDA"/>
    <w:rsid w:val="00ED015C"/>
    <w:rsid w:val="00ED549D"/>
    <w:rsid w:val="00ED76BE"/>
    <w:rsid w:val="00EE00E9"/>
    <w:rsid w:val="00EE5835"/>
    <w:rsid w:val="00EF1AAA"/>
    <w:rsid w:val="00EF5C8A"/>
    <w:rsid w:val="00EF619B"/>
    <w:rsid w:val="00EF76F5"/>
    <w:rsid w:val="00F00B55"/>
    <w:rsid w:val="00F02AD1"/>
    <w:rsid w:val="00F02F65"/>
    <w:rsid w:val="00F1014E"/>
    <w:rsid w:val="00F15D4C"/>
    <w:rsid w:val="00F15E8B"/>
    <w:rsid w:val="00F223B8"/>
    <w:rsid w:val="00F253CC"/>
    <w:rsid w:val="00F2670D"/>
    <w:rsid w:val="00F30FCD"/>
    <w:rsid w:val="00F33F2D"/>
    <w:rsid w:val="00F35E2B"/>
    <w:rsid w:val="00F36846"/>
    <w:rsid w:val="00F37106"/>
    <w:rsid w:val="00F403F2"/>
    <w:rsid w:val="00F410F8"/>
    <w:rsid w:val="00F44E25"/>
    <w:rsid w:val="00F519CF"/>
    <w:rsid w:val="00F56BA5"/>
    <w:rsid w:val="00F60E22"/>
    <w:rsid w:val="00F64AC8"/>
    <w:rsid w:val="00F7050C"/>
    <w:rsid w:val="00F7499B"/>
    <w:rsid w:val="00F77E78"/>
    <w:rsid w:val="00F81395"/>
    <w:rsid w:val="00F81BB8"/>
    <w:rsid w:val="00F903DD"/>
    <w:rsid w:val="00F90BEB"/>
    <w:rsid w:val="00F90C64"/>
    <w:rsid w:val="00F917D1"/>
    <w:rsid w:val="00F92690"/>
    <w:rsid w:val="00F9653B"/>
    <w:rsid w:val="00F97B19"/>
    <w:rsid w:val="00FB62CF"/>
    <w:rsid w:val="00FC4EF1"/>
    <w:rsid w:val="00FD3C3B"/>
    <w:rsid w:val="00FD754C"/>
    <w:rsid w:val="00FE07DD"/>
    <w:rsid w:val="00FE5BBB"/>
    <w:rsid w:val="00FE6B45"/>
    <w:rsid w:val="00FE6C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F01B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B37FB9"/>
  </w:style>
  <w:style w:type="character" w:customStyle="1" w:styleId="ListParagraphChar">
    <w:name w:val="List Paragraph Char"/>
    <w:aliases w:val="Párrafo de lista1 Char,List Paragraph1 Char,Colorful List - Accent 11 Char,List Paragraph11 Char,List Paragraph2 Char,Lista vistosa - Énfasis 11 Char"/>
    <w:basedOn w:val="DefaultParagraphFont"/>
    <w:link w:val="ListParagraph"/>
    <w:uiPriority w:val="34"/>
    <w:rsid w:val="00701F7B"/>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6706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qFormat/>
    <w:rsid w:val="00067065"/>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styleId="CommentReference">
    <w:name w:val="annotation reference"/>
    <w:basedOn w:val="DefaultParagraphFont"/>
    <w:uiPriority w:val="99"/>
    <w:semiHidden/>
    <w:unhideWhenUsed/>
    <w:rsid w:val="006B243C"/>
    <w:rPr>
      <w:sz w:val="16"/>
      <w:szCs w:val="16"/>
    </w:rPr>
  </w:style>
  <w:style w:type="paragraph" w:styleId="CommentText">
    <w:name w:val="annotation text"/>
    <w:basedOn w:val="Normal"/>
    <w:link w:val="CommentTextChar"/>
    <w:uiPriority w:val="99"/>
    <w:unhideWhenUsed/>
    <w:rsid w:val="006B243C"/>
    <w:rPr>
      <w:sz w:val="20"/>
      <w:szCs w:val="20"/>
    </w:rPr>
  </w:style>
  <w:style w:type="character" w:customStyle="1" w:styleId="CommentTextChar">
    <w:name w:val="Comment Text Char"/>
    <w:basedOn w:val="DefaultParagraphFont"/>
    <w:link w:val="CommentText"/>
    <w:uiPriority w:val="99"/>
    <w:rsid w:val="006B243C"/>
    <w:rPr>
      <w:lang w:val="en-US" w:eastAsia="en-US"/>
    </w:rPr>
  </w:style>
  <w:style w:type="paragraph" w:styleId="CommentSubject">
    <w:name w:val="annotation subject"/>
    <w:basedOn w:val="CommentText"/>
    <w:next w:val="CommentText"/>
    <w:link w:val="CommentSubjectChar"/>
    <w:uiPriority w:val="99"/>
    <w:semiHidden/>
    <w:unhideWhenUsed/>
    <w:rsid w:val="006B243C"/>
    <w:rPr>
      <w:b/>
      <w:bCs/>
    </w:rPr>
  </w:style>
  <w:style w:type="character" w:customStyle="1" w:styleId="CommentSubjectChar">
    <w:name w:val="Comment Subject Char"/>
    <w:basedOn w:val="CommentTextChar"/>
    <w:link w:val="CommentSubject"/>
    <w:uiPriority w:val="99"/>
    <w:semiHidden/>
    <w:rsid w:val="006B243C"/>
    <w:rPr>
      <w:b/>
      <w:bCs/>
      <w:lang w:val="en-US" w:eastAsia="en-US"/>
    </w:rPr>
  </w:style>
  <w:style w:type="paragraph" w:customStyle="1" w:styleId="paragraph">
    <w:name w:val="paragraph"/>
    <w:basedOn w:val="Normal"/>
    <w:rsid w:val="00516B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16BFF"/>
  </w:style>
  <w:style w:type="character" w:customStyle="1" w:styleId="eop">
    <w:name w:val="eop"/>
    <w:basedOn w:val="DefaultParagraphFont"/>
    <w:rsid w:val="0051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8869">
      <w:bodyDiv w:val="1"/>
      <w:marLeft w:val="0"/>
      <w:marRight w:val="0"/>
      <w:marTop w:val="0"/>
      <w:marBottom w:val="0"/>
      <w:divBdr>
        <w:top w:val="none" w:sz="0" w:space="0" w:color="auto"/>
        <w:left w:val="none" w:sz="0" w:space="0" w:color="auto"/>
        <w:bottom w:val="none" w:sz="0" w:space="0" w:color="auto"/>
        <w:right w:val="none" w:sz="0" w:space="0" w:color="auto"/>
      </w:divBdr>
    </w:div>
    <w:div w:id="363556432">
      <w:bodyDiv w:val="1"/>
      <w:marLeft w:val="0"/>
      <w:marRight w:val="0"/>
      <w:marTop w:val="0"/>
      <w:marBottom w:val="0"/>
      <w:divBdr>
        <w:top w:val="none" w:sz="0" w:space="0" w:color="auto"/>
        <w:left w:val="none" w:sz="0" w:space="0" w:color="auto"/>
        <w:bottom w:val="none" w:sz="0" w:space="0" w:color="auto"/>
        <w:right w:val="none" w:sz="0" w:space="0" w:color="auto"/>
      </w:divBdr>
    </w:div>
    <w:div w:id="688259930">
      <w:bodyDiv w:val="1"/>
      <w:marLeft w:val="0"/>
      <w:marRight w:val="0"/>
      <w:marTop w:val="0"/>
      <w:marBottom w:val="0"/>
      <w:divBdr>
        <w:top w:val="none" w:sz="0" w:space="0" w:color="auto"/>
        <w:left w:val="none" w:sz="0" w:space="0" w:color="auto"/>
        <w:bottom w:val="none" w:sz="0" w:space="0" w:color="auto"/>
        <w:right w:val="none" w:sz="0" w:space="0" w:color="auto"/>
      </w:divBdr>
      <w:divsChild>
        <w:div w:id="135415584">
          <w:marLeft w:val="0"/>
          <w:marRight w:val="0"/>
          <w:marTop w:val="0"/>
          <w:marBottom w:val="0"/>
          <w:divBdr>
            <w:top w:val="none" w:sz="0" w:space="0" w:color="auto"/>
            <w:left w:val="none" w:sz="0" w:space="0" w:color="auto"/>
            <w:bottom w:val="none" w:sz="0" w:space="0" w:color="auto"/>
            <w:right w:val="none" w:sz="0" w:space="0" w:color="auto"/>
          </w:divBdr>
        </w:div>
      </w:divsChild>
    </w:div>
    <w:div w:id="812062594">
      <w:bodyDiv w:val="1"/>
      <w:marLeft w:val="0"/>
      <w:marRight w:val="0"/>
      <w:marTop w:val="0"/>
      <w:marBottom w:val="0"/>
      <w:divBdr>
        <w:top w:val="none" w:sz="0" w:space="0" w:color="auto"/>
        <w:left w:val="none" w:sz="0" w:space="0" w:color="auto"/>
        <w:bottom w:val="none" w:sz="0" w:space="0" w:color="auto"/>
        <w:right w:val="none" w:sz="0" w:space="0" w:color="auto"/>
      </w:divBdr>
    </w:div>
    <w:div w:id="946162322">
      <w:bodyDiv w:val="1"/>
      <w:marLeft w:val="0"/>
      <w:marRight w:val="0"/>
      <w:marTop w:val="0"/>
      <w:marBottom w:val="0"/>
      <w:divBdr>
        <w:top w:val="none" w:sz="0" w:space="0" w:color="auto"/>
        <w:left w:val="none" w:sz="0" w:space="0" w:color="auto"/>
        <w:bottom w:val="none" w:sz="0" w:space="0" w:color="auto"/>
        <w:right w:val="none" w:sz="0" w:space="0" w:color="auto"/>
      </w:divBdr>
    </w:div>
    <w:div w:id="966424516">
      <w:bodyDiv w:val="1"/>
      <w:marLeft w:val="0"/>
      <w:marRight w:val="0"/>
      <w:marTop w:val="0"/>
      <w:marBottom w:val="0"/>
      <w:divBdr>
        <w:top w:val="none" w:sz="0" w:space="0" w:color="auto"/>
        <w:left w:val="none" w:sz="0" w:space="0" w:color="auto"/>
        <w:bottom w:val="none" w:sz="0" w:space="0" w:color="auto"/>
        <w:right w:val="none" w:sz="0" w:space="0" w:color="auto"/>
      </w:divBdr>
    </w:div>
    <w:div w:id="993948917">
      <w:bodyDiv w:val="1"/>
      <w:marLeft w:val="0"/>
      <w:marRight w:val="0"/>
      <w:marTop w:val="0"/>
      <w:marBottom w:val="0"/>
      <w:divBdr>
        <w:top w:val="none" w:sz="0" w:space="0" w:color="auto"/>
        <w:left w:val="none" w:sz="0" w:space="0" w:color="auto"/>
        <w:bottom w:val="none" w:sz="0" w:space="0" w:color="auto"/>
        <w:right w:val="none" w:sz="0" w:space="0" w:color="auto"/>
      </w:divBdr>
    </w:div>
    <w:div w:id="11181821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4534887">
      <w:bodyDiv w:val="1"/>
      <w:marLeft w:val="0"/>
      <w:marRight w:val="0"/>
      <w:marTop w:val="0"/>
      <w:marBottom w:val="0"/>
      <w:divBdr>
        <w:top w:val="none" w:sz="0" w:space="0" w:color="auto"/>
        <w:left w:val="none" w:sz="0" w:space="0" w:color="auto"/>
        <w:bottom w:val="none" w:sz="0" w:space="0" w:color="auto"/>
        <w:right w:val="none" w:sz="0" w:space="0" w:color="auto"/>
      </w:divBdr>
    </w:div>
    <w:div w:id="1375426547">
      <w:bodyDiv w:val="1"/>
      <w:marLeft w:val="0"/>
      <w:marRight w:val="0"/>
      <w:marTop w:val="0"/>
      <w:marBottom w:val="0"/>
      <w:divBdr>
        <w:top w:val="none" w:sz="0" w:space="0" w:color="auto"/>
        <w:left w:val="none" w:sz="0" w:space="0" w:color="auto"/>
        <w:bottom w:val="none" w:sz="0" w:space="0" w:color="auto"/>
        <w:right w:val="none" w:sz="0" w:space="0" w:color="auto"/>
      </w:divBdr>
    </w:div>
    <w:div w:id="1485390790">
      <w:bodyDiv w:val="1"/>
      <w:marLeft w:val="0"/>
      <w:marRight w:val="0"/>
      <w:marTop w:val="0"/>
      <w:marBottom w:val="0"/>
      <w:divBdr>
        <w:top w:val="none" w:sz="0" w:space="0" w:color="auto"/>
        <w:left w:val="none" w:sz="0" w:space="0" w:color="auto"/>
        <w:bottom w:val="none" w:sz="0" w:space="0" w:color="auto"/>
        <w:right w:val="none" w:sz="0" w:space="0" w:color="auto"/>
      </w:divBdr>
      <w:divsChild>
        <w:div w:id="1670402092">
          <w:marLeft w:val="0"/>
          <w:marRight w:val="0"/>
          <w:marTop w:val="0"/>
          <w:marBottom w:val="0"/>
          <w:divBdr>
            <w:top w:val="none" w:sz="0" w:space="0" w:color="auto"/>
            <w:left w:val="none" w:sz="0" w:space="0" w:color="auto"/>
            <w:bottom w:val="none" w:sz="0" w:space="0" w:color="auto"/>
            <w:right w:val="none" w:sz="0" w:space="0" w:color="auto"/>
          </w:divBdr>
        </w:div>
      </w:divsChild>
    </w:div>
    <w:div w:id="16428834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80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47D5"/>
    <w:rsid w:val="00067412"/>
    <w:rsid w:val="0010749B"/>
    <w:rsid w:val="00136030"/>
    <w:rsid w:val="001B68CE"/>
    <w:rsid w:val="001C3921"/>
    <w:rsid w:val="001F2BD0"/>
    <w:rsid w:val="00200821"/>
    <w:rsid w:val="00201CE6"/>
    <w:rsid w:val="0025245B"/>
    <w:rsid w:val="002A3923"/>
    <w:rsid w:val="0032531A"/>
    <w:rsid w:val="00372A72"/>
    <w:rsid w:val="00394049"/>
    <w:rsid w:val="003B18F7"/>
    <w:rsid w:val="003E4EFC"/>
    <w:rsid w:val="00457410"/>
    <w:rsid w:val="004B5BBB"/>
    <w:rsid w:val="004F2DF8"/>
    <w:rsid w:val="005D5832"/>
    <w:rsid w:val="006F24A1"/>
    <w:rsid w:val="00712253"/>
    <w:rsid w:val="00787C63"/>
    <w:rsid w:val="00834578"/>
    <w:rsid w:val="008A346D"/>
    <w:rsid w:val="008F3E35"/>
    <w:rsid w:val="009A261B"/>
    <w:rsid w:val="009C3CB6"/>
    <w:rsid w:val="009C7B5F"/>
    <w:rsid w:val="009E0C7D"/>
    <w:rsid w:val="00A179BE"/>
    <w:rsid w:val="00A4418E"/>
    <w:rsid w:val="00A50FB6"/>
    <w:rsid w:val="00A76CB0"/>
    <w:rsid w:val="00AA2E17"/>
    <w:rsid w:val="00AC15A4"/>
    <w:rsid w:val="00B0336C"/>
    <w:rsid w:val="00B23068"/>
    <w:rsid w:val="00B30277"/>
    <w:rsid w:val="00D241E9"/>
    <w:rsid w:val="00D31849"/>
    <w:rsid w:val="00D74C0A"/>
    <w:rsid w:val="00D7750D"/>
    <w:rsid w:val="00D94EE9"/>
    <w:rsid w:val="00E32380"/>
    <w:rsid w:val="00E847EC"/>
    <w:rsid w:val="00EB1F56"/>
    <w:rsid w:val="00EF5C8A"/>
    <w:rsid w:val="00F00D2F"/>
    <w:rsid w:val="00F128DF"/>
    <w:rsid w:val="00F15E8B"/>
    <w:rsid w:val="00F64AC8"/>
    <w:rsid w:val="00F77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4E391AC1-CFC3-44A6-BDA7-FD5FF6EEB25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C39F688-E9C3-4FC5-BD8B-A6B2B3F1F5C4}">
  <ds:schemaRefs>
    <ds:schemaRef ds:uri="http://schemas.microsoft.com/sharepoint/v3/contenttype/forms"/>
  </ds:schemaRefs>
</ds:datastoreItem>
</file>

<file path=customXml/itemProps4.xml><?xml version="1.0" encoding="utf-8"?>
<ds:datastoreItem xmlns:ds="http://schemas.openxmlformats.org/officeDocument/2006/customXml" ds:itemID="{1B38439F-9FF2-4BF3-A004-9E4FC5370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3894</Words>
  <Characters>22199</Characters>
  <Application>Microsoft Office Word</Application>
  <DocSecurity>0</DocSecurity>
  <Lines>184</Lines>
  <Paragraphs>52</Paragraphs>
  <ScaleCrop>false</ScaleCrop>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2025-07-30T13:48:00Z</dcterms:created>
  <dcterms:modified xsi:type="dcterms:W3CDTF">2025-07-30T13:48:00Z</dcterms:modified>
</cp:coreProperties>
</file>