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C5411A">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52AE8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1E815E1B"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D2031D">
                              <w:rPr>
                                <w:rFonts w:asciiTheme="majorHAnsi" w:hAnsiTheme="majorHAnsi" w:cs="Arial"/>
                                <w:b/>
                                <w:bCs/>
                                <w:color w:val="0D0D0D" w:themeColor="text1" w:themeTint="F2"/>
                                <w:sz w:val="36"/>
                                <w:szCs w:val="22"/>
                                <w:lang w:val="es-ES_tradnl"/>
                              </w:rPr>
                              <w:t>149</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18117BFF"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433F2">
                              <w:rPr>
                                <w:rFonts w:asciiTheme="majorHAnsi" w:hAnsiTheme="majorHAnsi" w:cs="Arial"/>
                                <w:b/>
                                <w:color w:val="0D0D0D" w:themeColor="text1" w:themeTint="F2"/>
                                <w:sz w:val="36"/>
                                <w:szCs w:val="22"/>
                                <w:lang w:val="es-ES_tradnl"/>
                              </w:rPr>
                              <w:t>1303-15</w:t>
                            </w:r>
                            <w:r w:rsidR="00246D1F" w:rsidRPr="004E2649">
                              <w:rPr>
                                <w:rFonts w:asciiTheme="majorHAnsi" w:hAnsiTheme="majorHAnsi" w:cs="Arial"/>
                                <w:b/>
                                <w:color w:val="0D0D0D" w:themeColor="text1" w:themeTint="F2"/>
                                <w:sz w:val="36"/>
                                <w:szCs w:val="22"/>
                                <w:lang w:val="es-ES_tradnl"/>
                              </w:rPr>
                              <w:t xml:space="preserve"> </w:t>
                            </w:r>
                          </w:p>
                          <w:p w14:paraId="188B4303" w14:textId="0C482AD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5F16B2">
                              <w:rPr>
                                <w:rFonts w:asciiTheme="majorHAnsi" w:hAnsiTheme="majorHAnsi" w:cs="Arial"/>
                                <w:color w:val="0D0D0D" w:themeColor="text1" w:themeTint="F2"/>
                                <w:szCs w:val="22"/>
                                <w:lang w:val="es-ES_tradnl"/>
                              </w:rPr>
                              <w:t>IN</w:t>
                            </w:r>
                            <w:r w:rsidRPr="0010736F">
                              <w:rPr>
                                <w:rFonts w:asciiTheme="majorHAnsi" w:hAnsiTheme="majorHAnsi" w:cs="Arial"/>
                                <w:color w:val="0D0D0D" w:themeColor="text1" w:themeTint="F2"/>
                                <w:szCs w:val="22"/>
                                <w:lang w:val="es-ES_tradnl"/>
                              </w:rPr>
                              <w:t>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35E20049" w:rsidR="005B52B0" w:rsidRPr="0010736F" w:rsidRDefault="007433F2" w:rsidP="00997BC5">
                            <w:pPr>
                              <w:spacing w:line="276" w:lineRule="auto"/>
                              <w:rPr>
                                <w:rFonts w:asciiTheme="majorHAnsi" w:hAnsiTheme="majorHAnsi" w:cs="Arial"/>
                                <w:color w:val="0D0D0D" w:themeColor="text1" w:themeTint="F2"/>
                                <w:szCs w:val="22"/>
                                <w:lang w:val="es-ES_tradnl"/>
                              </w:rPr>
                            </w:pPr>
                            <w:r w:rsidRPr="007433F2">
                              <w:rPr>
                                <w:rFonts w:asciiTheme="majorHAnsi" w:hAnsiTheme="majorHAnsi" w:cs="Arial"/>
                                <w:color w:val="0D0D0D" w:themeColor="text1" w:themeTint="F2"/>
                                <w:szCs w:val="22"/>
                              </w:rPr>
                              <w:t>RUBÉN DARÍO ARCINIEGAS CALDERÓN</w:t>
                            </w:r>
                          </w:p>
                          <w:bookmarkEnd w:id="0"/>
                          <w:p w14:paraId="0B9F7D22" w14:textId="2A3201B8" w:rsidR="005B52B0" w:rsidRPr="00F56ECB" w:rsidRDefault="007F25F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1E815E1B"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D2031D">
                        <w:rPr>
                          <w:rFonts w:asciiTheme="majorHAnsi" w:hAnsiTheme="majorHAnsi" w:cs="Arial"/>
                          <w:b/>
                          <w:bCs/>
                          <w:color w:val="0D0D0D" w:themeColor="text1" w:themeTint="F2"/>
                          <w:sz w:val="36"/>
                          <w:szCs w:val="22"/>
                          <w:lang w:val="es-ES_tradnl"/>
                        </w:rPr>
                        <w:t>149</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18117BFF"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433F2">
                        <w:rPr>
                          <w:rFonts w:asciiTheme="majorHAnsi" w:hAnsiTheme="majorHAnsi" w:cs="Arial"/>
                          <w:b/>
                          <w:color w:val="0D0D0D" w:themeColor="text1" w:themeTint="F2"/>
                          <w:sz w:val="36"/>
                          <w:szCs w:val="22"/>
                          <w:lang w:val="es-ES_tradnl"/>
                        </w:rPr>
                        <w:t>1303-15</w:t>
                      </w:r>
                      <w:r w:rsidR="00246D1F" w:rsidRPr="004E2649">
                        <w:rPr>
                          <w:rFonts w:asciiTheme="majorHAnsi" w:hAnsiTheme="majorHAnsi" w:cs="Arial"/>
                          <w:b/>
                          <w:color w:val="0D0D0D" w:themeColor="text1" w:themeTint="F2"/>
                          <w:sz w:val="36"/>
                          <w:szCs w:val="22"/>
                          <w:lang w:val="es-ES_tradnl"/>
                        </w:rPr>
                        <w:t xml:space="preserve"> </w:t>
                      </w:r>
                    </w:p>
                    <w:p w14:paraId="188B4303" w14:textId="0C482AD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5F16B2">
                        <w:rPr>
                          <w:rFonts w:asciiTheme="majorHAnsi" w:hAnsiTheme="majorHAnsi" w:cs="Arial"/>
                          <w:color w:val="0D0D0D" w:themeColor="text1" w:themeTint="F2"/>
                          <w:szCs w:val="22"/>
                          <w:lang w:val="es-ES_tradnl"/>
                        </w:rPr>
                        <w:t>IN</w:t>
                      </w:r>
                      <w:r w:rsidRPr="0010736F">
                        <w:rPr>
                          <w:rFonts w:asciiTheme="majorHAnsi" w:hAnsiTheme="majorHAnsi" w:cs="Arial"/>
                          <w:color w:val="0D0D0D" w:themeColor="text1" w:themeTint="F2"/>
                          <w:szCs w:val="22"/>
                          <w:lang w:val="es-ES_tradnl"/>
                        </w:rPr>
                        <w:t>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35E20049" w:rsidR="005B52B0" w:rsidRPr="0010736F" w:rsidRDefault="007433F2" w:rsidP="00997BC5">
                      <w:pPr>
                        <w:spacing w:line="276" w:lineRule="auto"/>
                        <w:rPr>
                          <w:rFonts w:asciiTheme="majorHAnsi" w:hAnsiTheme="majorHAnsi" w:cs="Arial"/>
                          <w:color w:val="0D0D0D" w:themeColor="text1" w:themeTint="F2"/>
                          <w:szCs w:val="22"/>
                          <w:lang w:val="es-ES_tradnl"/>
                        </w:rPr>
                      </w:pPr>
                      <w:r w:rsidRPr="007433F2">
                        <w:rPr>
                          <w:rFonts w:asciiTheme="majorHAnsi" w:hAnsiTheme="majorHAnsi" w:cs="Arial"/>
                          <w:color w:val="0D0D0D" w:themeColor="text1" w:themeTint="F2"/>
                          <w:szCs w:val="22"/>
                        </w:rPr>
                        <w:t>RUBÉN DARÍO ARCINIEGAS CALDERÓN</w:t>
                      </w:r>
                    </w:p>
                    <w:bookmarkEnd w:id="1"/>
                    <w:p w14:paraId="0B9F7D22" w14:textId="2A3201B8" w:rsidR="005B52B0" w:rsidRPr="00F56ECB" w:rsidRDefault="007F25F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0EDD6CF9"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76DEE4C6"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D2031D">
                              <w:rPr>
                                <w:rFonts w:asciiTheme="minorHAnsi" w:hAnsiTheme="minorHAnsi"/>
                                <w:color w:val="FFFFFF" w:themeColor="background1"/>
                                <w:sz w:val="22"/>
                                <w:lang w:val="pt-BR"/>
                              </w:rPr>
                              <w:t>160</w:t>
                            </w:r>
                          </w:p>
                          <w:p w14:paraId="4061DBBD" w14:textId="17E5478C" w:rsidR="00627C9F" w:rsidRPr="00455E41" w:rsidRDefault="00D2031D" w:rsidP="007A5817">
                            <w:pPr>
                              <w:spacing w:line="276" w:lineRule="auto"/>
                              <w:jc w:val="right"/>
                              <w:rPr>
                                <w:rFonts w:asciiTheme="minorHAnsi" w:hAnsiTheme="minorHAnsi"/>
                                <w:color w:val="FFFFFF" w:themeColor="background1"/>
                                <w:sz w:val="22"/>
                                <w:lang w:val="pt-PT"/>
                              </w:rPr>
                            </w:pPr>
                            <w:r w:rsidRPr="00455E41">
                              <w:rPr>
                                <w:rFonts w:asciiTheme="minorHAnsi" w:hAnsiTheme="minorHAnsi"/>
                                <w:color w:val="FFFFFF" w:themeColor="background1"/>
                                <w:sz w:val="22"/>
                                <w:lang w:val="pt-PT"/>
                              </w:rPr>
                              <w:t>18 agosto</w:t>
                            </w:r>
                            <w:r w:rsidR="00627C9F" w:rsidRPr="00455E41">
                              <w:rPr>
                                <w:rFonts w:asciiTheme="minorHAnsi" w:hAnsiTheme="minorHAnsi"/>
                                <w:color w:val="FFFFFF" w:themeColor="background1"/>
                                <w:sz w:val="22"/>
                                <w:lang w:val="pt-PT"/>
                              </w:rPr>
                              <w:t xml:space="preserve"> 20</w:t>
                            </w:r>
                            <w:r w:rsidR="00C23BA4" w:rsidRPr="00455E41">
                              <w:rPr>
                                <w:rFonts w:asciiTheme="minorHAnsi" w:hAnsiTheme="minorHAnsi"/>
                                <w:color w:val="FFFFFF" w:themeColor="background1"/>
                                <w:sz w:val="22"/>
                                <w:lang w:val="pt-PT"/>
                              </w:rPr>
                              <w:t>2</w:t>
                            </w:r>
                            <w:r w:rsidR="00477887" w:rsidRPr="00455E41">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0EDD6CF9"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76DEE4C6"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D2031D">
                        <w:rPr>
                          <w:rFonts w:asciiTheme="minorHAnsi" w:hAnsiTheme="minorHAnsi"/>
                          <w:color w:val="FFFFFF" w:themeColor="background1"/>
                          <w:sz w:val="22"/>
                          <w:lang w:val="pt-BR"/>
                        </w:rPr>
                        <w:t>160</w:t>
                      </w:r>
                    </w:p>
                    <w:p w14:paraId="4061DBBD" w14:textId="17E5478C" w:rsidR="00627C9F" w:rsidRPr="00455E41" w:rsidRDefault="00D2031D" w:rsidP="007A5817">
                      <w:pPr>
                        <w:spacing w:line="276" w:lineRule="auto"/>
                        <w:jc w:val="right"/>
                        <w:rPr>
                          <w:rFonts w:asciiTheme="minorHAnsi" w:hAnsiTheme="minorHAnsi"/>
                          <w:color w:val="FFFFFF" w:themeColor="background1"/>
                          <w:sz w:val="22"/>
                          <w:lang w:val="pt-PT"/>
                        </w:rPr>
                      </w:pPr>
                      <w:r w:rsidRPr="00455E41">
                        <w:rPr>
                          <w:rFonts w:asciiTheme="minorHAnsi" w:hAnsiTheme="minorHAnsi"/>
                          <w:color w:val="FFFFFF" w:themeColor="background1"/>
                          <w:sz w:val="22"/>
                          <w:lang w:val="pt-PT"/>
                        </w:rPr>
                        <w:t>18 agosto</w:t>
                      </w:r>
                      <w:r w:rsidR="00627C9F" w:rsidRPr="00455E41">
                        <w:rPr>
                          <w:rFonts w:asciiTheme="minorHAnsi" w:hAnsiTheme="minorHAnsi"/>
                          <w:color w:val="FFFFFF" w:themeColor="background1"/>
                          <w:sz w:val="22"/>
                          <w:lang w:val="pt-PT"/>
                        </w:rPr>
                        <w:t xml:space="preserve"> 20</w:t>
                      </w:r>
                      <w:r w:rsidR="00C23BA4" w:rsidRPr="00455E41">
                        <w:rPr>
                          <w:rFonts w:asciiTheme="minorHAnsi" w:hAnsiTheme="minorHAnsi"/>
                          <w:color w:val="FFFFFF" w:themeColor="background1"/>
                          <w:sz w:val="22"/>
                          <w:lang w:val="pt-PT"/>
                        </w:rPr>
                        <w:t>2</w:t>
                      </w:r>
                      <w:r w:rsidR="00477887" w:rsidRPr="00455E41">
                        <w:rPr>
                          <w:rFonts w:asciiTheme="minorHAnsi" w:hAnsiTheme="minorHAnsi"/>
                          <w:color w:val="FFFFFF" w:themeColor="background1"/>
                          <w:sz w:val="22"/>
                          <w:lang w:val="pt-PT"/>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2561FC04"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3F2F8B">
                              <w:rPr>
                                <w:rFonts w:asciiTheme="majorHAnsi" w:hAnsiTheme="majorHAnsi"/>
                                <w:color w:val="0D0D0D" w:themeColor="text1" w:themeTint="F2"/>
                                <w:sz w:val="18"/>
                                <w:szCs w:val="22"/>
                                <w:lang w:val="es-ES"/>
                              </w:rPr>
                              <w:t>18</w:t>
                            </w:r>
                            <w:r w:rsidRPr="00890650">
                              <w:rPr>
                                <w:rFonts w:asciiTheme="majorHAnsi" w:hAnsiTheme="majorHAnsi"/>
                                <w:color w:val="0D0D0D" w:themeColor="text1" w:themeTint="F2"/>
                                <w:sz w:val="18"/>
                                <w:szCs w:val="22"/>
                                <w:lang w:val="es-ES"/>
                              </w:rPr>
                              <w:t xml:space="preserve"> de </w:t>
                            </w:r>
                            <w:r w:rsidR="003F2F8B">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3F2F8B">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2561FC04"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3F2F8B">
                        <w:rPr>
                          <w:rFonts w:asciiTheme="majorHAnsi" w:hAnsiTheme="majorHAnsi"/>
                          <w:color w:val="0D0D0D" w:themeColor="text1" w:themeTint="F2"/>
                          <w:sz w:val="18"/>
                          <w:szCs w:val="22"/>
                          <w:lang w:val="es-ES"/>
                        </w:rPr>
                        <w:t>18</w:t>
                      </w:r>
                      <w:r w:rsidRPr="00890650">
                        <w:rPr>
                          <w:rFonts w:asciiTheme="majorHAnsi" w:hAnsiTheme="majorHAnsi"/>
                          <w:color w:val="0D0D0D" w:themeColor="text1" w:themeTint="F2"/>
                          <w:sz w:val="18"/>
                          <w:szCs w:val="22"/>
                          <w:lang w:val="es-ES"/>
                        </w:rPr>
                        <w:t xml:space="preserve"> de </w:t>
                      </w:r>
                      <w:r w:rsidR="003F2F8B">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3F2F8B">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DA52C" w14:textId="77777777" w:rsidR="00B97A76"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3F2F8B" w:rsidRPr="003F2F8B">
                              <w:rPr>
                                <w:rFonts w:asciiTheme="majorHAnsi" w:hAnsiTheme="majorHAnsi"/>
                                <w:color w:val="595959" w:themeColor="text1" w:themeTint="A6"/>
                                <w:sz w:val="18"/>
                                <w:szCs w:val="18"/>
                                <w:lang w:val="pt-BR"/>
                              </w:rPr>
                              <w:t>149</w:t>
                            </w:r>
                            <w:r w:rsidR="007B05C4" w:rsidRPr="003F2F8B">
                              <w:rPr>
                                <w:rFonts w:asciiTheme="majorHAnsi" w:hAnsiTheme="majorHAnsi"/>
                                <w:color w:val="595959" w:themeColor="text1" w:themeTint="A6"/>
                                <w:sz w:val="18"/>
                                <w:szCs w:val="18"/>
                                <w:lang w:val="pt-BR"/>
                              </w:rPr>
                              <w:t>/</w:t>
                            </w:r>
                            <w:r w:rsidR="003F2F8B" w:rsidRPr="003F2F8B">
                              <w:rPr>
                                <w:rFonts w:asciiTheme="majorHAnsi" w:hAnsiTheme="majorHAnsi"/>
                                <w:color w:val="595959" w:themeColor="text1" w:themeTint="A6"/>
                                <w:sz w:val="18"/>
                                <w:szCs w:val="18"/>
                                <w:lang w:val="pt-BR"/>
                              </w:rPr>
                              <w:t>25</w:t>
                            </w:r>
                            <w:r w:rsidRPr="003F2F8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3F2F8B">
                              <w:rPr>
                                <w:rFonts w:asciiTheme="majorHAnsi" w:hAnsiTheme="majorHAnsi"/>
                                <w:color w:val="595959" w:themeColor="text1" w:themeTint="A6"/>
                                <w:sz w:val="18"/>
                                <w:szCs w:val="18"/>
                                <w:lang w:val="es-ES"/>
                              </w:rPr>
                              <w:t>1</w:t>
                            </w:r>
                            <w:r w:rsidR="004F69B8">
                              <w:rPr>
                                <w:rFonts w:asciiTheme="majorHAnsi" w:hAnsiTheme="majorHAnsi"/>
                                <w:color w:val="595959" w:themeColor="text1" w:themeTint="A6"/>
                                <w:sz w:val="18"/>
                                <w:szCs w:val="18"/>
                                <w:lang w:val="es-ES"/>
                              </w:rPr>
                              <w:t>303</w:t>
                            </w:r>
                            <w:r w:rsidR="000433C9">
                              <w:rPr>
                                <w:rFonts w:asciiTheme="majorHAnsi" w:hAnsiTheme="majorHAnsi"/>
                                <w:color w:val="595959" w:themeColor="text1" w:themeTint="A6"/>
                                <w:sz w:val="18"/>
                                <w:szCs w:val="18"/>
                                <w:lang w:val="es-ES"/>
                              </w:rPr>
                              <w:t>-</w:t>
                            </w:r>
                            <w:r w:rsidR="004F69B8">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4F2F25E5" w:rsidR="00113F73" w:rsidRPr="007B05C4" w:rsidRDefault="004F69B8"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Ru</w:t>
                            </w:r>
                            <w:r w:rsidRPr="009875AA">
                              <w:rPr>
                                <w:rFonts w:asciiTheme="majorHAnsi" w:hAnsiTheme="majorHAnsi"/>
                                <w:color w:val="595959" w:themeColor="text1" w:themeTint="A6"/>
                                <w:sz w:val="18"/>
                                <w:szCs w:val="18"/>
                                <w:lang w:val="es-ES"/>
                              </w:rPr>
                              <w:t>bén Darío Arc</w:t>
                            </w:r>
                            <w:r w:rsidR="009875AA" w:rsidRPr="009875AA">
                              <w:rPr>
                                <w:rFonts w:asciiTheme="majorHAnsi" w:hAnsiTheme="majorHAnsi"/>
                                <w:color w:val="595959" w:themeColor="text1" w:themeTint="A6"/>
                                <w:sz w:val="18"/>
                                <w:szCs w:val="18"/>
                                <w:lang w:val="es-ES"/>
                              </w:rPr>
                              <w:t>iniegas Calderón</w:t>
                            </w:r>
                            <w:r w:rsidR="00113F73" w:rsidRPr="00890650">
                              <w:rPr>
                                <w:rFonts w:asciiTheme="majorHAnsi" w:hAnsiTheme="majorHAnsi"/>
                                <w:color w:val="595959" w:themeColor="text1" w:themeTint="A6"/>
                                <w:sz w:val="18"/>
                                <w:szCs w:val="18"/>
                                <w:lang w:val="es-ES_tradnl"/>
                              </w:rPr>
                              <w:t xml:space="preserve">. </w:t>
                            </w:r>
                            <w:r w:rsidR="009875AA">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9875AA">
                              <w:rPr>
                                <w:rFonts w:asciiTheme="majorHAnsi" w:hAnsiTheme="majorHAnsi"/>
                                <w:color w:val="595959" w:themeColor="text1" w:themeTint="A6"/>
                                <w:sz w:val="18"/>
                                <w:szCs w:val="18"/>
                                <w:lang w:val="es-ES"/>
                              </w:rPr>
                              <w:t>18 de agosto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5ECDA52C" w14:textId="77777777" w:rsidR="00B97A76"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3F2F8B" w:rsidRPr="003F2F8B">
                        <w:rPr>
                          <w:rFonts w:asciiTheme="majorHAnsi" w:hAnsiTheme="majorHAnsi"/>
                          <w:color w:val="595959" w:themeColor="text1" w:themeTint="A6"/>
                          <w:sz w:val="18"/>
                          <w:szCs w:val="18"/>
                          <w:lang w:val="pt-BR"/>
                        </w:rPr>
                        <w:t>149</w:t>
                      </w:r>
                      <w:r w:rsidR="007B05C4" w:rsidRPr="003F2F8B">
                        <w:rPr>
                          <w:rFonts w:asciiTheme="majorHAnsi" w:hAnsiTheme="majorHAnsi"/>
                          <w:color w:val="595959" w:themeColor="text1" w:themeTint="A6"/>
                          <w:sz w:val="18"/>
                          <w:szCs w:val="18"/>
                          <w:lang w:val="pt-BR"/>
                        </w:rPr>
                        <w:t>/</w:t>
                      </w:r>
                      <w:r w:rsidR="003F2F8B" w:rsidRPr="003F2F8B">
                        <w:rPr>
                          <w:rFonts w:asciiTheme="majorHAnsi" w:hAnsiTheme="majorHAnsi"/>
                          <w:color w:val="595959" w:themeColor="text1" w:themeTint="A6"/>
                          <w:sz w:val="18"/>
                          <w:szCs w:val="18"/>
                          <w:lang w:val="pt-BR"/>
                        </w:rPr>
                        <w:t>25</w:t>
                      </w:r>
                      <w:r w:rsidRPr="003F2F8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3F2F8B">
                        <w:rPr>
                          <w:rFonts w:asciiTheme="majorHAnsi" w:hAnsiTheme="majorHAnsi"/>
                          <w:color w:val="595959" w:themeColor="text1" w:themeTint="A6"/>
                          <w:sz w:val="18"/>
                          <w:szCs w:val="18"/>
                          <w:lang w:val="es-ES"/>
                        </w:rPr>
                        <w:t>1</w:t>
                      </w:r>
                      <w:r w:rsidR="004F69B8">
                        <w:rPr>
                          <w:rFonts w:asciiTheme="majorHAnsi" w:hAnsiTheme="majorHAnsi"/>
                          <w:color w:val="595959" w:themeColor="text1" w:themeTint="A6"/>
                          <w:sz w:val="18"/>
                          <w:szCs w:val="18"/>
                          <w:lang w:val="es-ES"/>
                        </w:rPr>
                        <w:t>303</w:t>
                      </w:r>
                      <w:r w:rsidR="000433C9">
                        <w:rPr>
                          <w:rFonts w:asciiTheme="majorHAnsi" w:hAnsiTheme="majorHAnsi"/>
                          <w:color w:val="595959" w:themeColor="text1" w:themeTint="A6"/>
                          <w:sz w:val="18"/>
                          <w:szCs w:val="18"/>
                          <w:lang w:val="es-ES"/>
                        </w:rPr>
                        <w:t>-</w:t>
                      </w:r>
                      <w:r w:rsidR="004F69B8">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4F2F25E5" w:rsidR="00113F73" w:rsidRPr="007B05C4" w:rsidRDefault="004F69B8"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Ru</w:t>
                      </w:r>
                      <w:r w:rsidRPr="009875AA">
                        <w:rPr>
                          <w:rFonts w:asciiTheme="majorHAnsi" w:hAnsiTheme="majorHAnsi"/>
                          <w:color w:val="595959" w:themeColor="text1" w:themeTint="A6"/>
                          <w:sz w:val="18"/>
                          <w:szCs w:val="18"/>
                          <w:lang w:val="es-ES"/>
                        </w:rPr>
                        <w:t>bén Darío Arc</w:t>
                      </w:r>
                      <w:r w:rsidR="009875AA" w:rsidRPr="009875AA">
                        <w:rPr>
                          <w:rFonts w:asciiTheme="majorHAnsi" w:hAnsiTheme="majorHAnsi"/>
                          <w:color w:val="595959" w:themeColor="text1" w:themeTint="A6"/>
                          <w:sz w:val="18"/>
                          <w:szCs w:val="18"/>
                          <w:lang w:val="es-ES"/>
                        </w:rPr>
                        <w:t>iniegas Calderón</w:t>
                      </w:r>
                      <w:r w:rsidR="00113F73" w:rsidRPr="00890650">
                        <w:rPr>
                          <w:rFonts w:asciiTheme="majorHAnsi" w:hAnsiTheme="majorHAnsi"/>
                          <w:color w:val="595959" w:themeColor="text1" w:themeTint="A6"/>
                          <w:sz w:val="18"/>
                          <w:szCs w:val="18"/>
                          <w:lang w:val="es-ES_tradnl"/>
                        </w:rPr>
                        <w:t xml:space="preserve">. </w:t>
                      </w:r>
                      <w:r w:rsidR="009875AA">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9875AA">
                        <w:rPr>
                          <w:rFonts w:asciiTheme="majorHAnsi" w:hAnsiTheme="majorHAnsi"/>
                          <w:color w:val="595959" w:themeColor="text1" w:themeTint="A6"/>
                          <w:sz w:val="18"/>
                          <w:szCs w:val="18"/>
                          <w:lang w:val="es-ES"/>
                        </w:rPr>
                        <w:t>18 de agosto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FC2734"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3FE56E58" w:rsidR="003239B8" w:rsidRPr="00FC2734" w:rsidRDefault="00FC2734" w:rsidP="008D2290">
            <w:pPr>
              <w:jc w:val="both"/>
              <w:rPr>
                <w:rFonts w:ascii="Cambria" w:hAnsi="Cambria"/>
                <w:bCs/>
                <w:sz w:val="20"/>
                <w:szCs w:val="20"/>
                <w:lang w:val="es-CO"/>
              </w:rPr>
            </w:pPr>
            <w:r w:rsidRPr="00A0173F">
              <w:rPr>
                <w:rFonts w:ascii="Cambria" w:hAnsi="Cambria"/>
                <w:bCs/>
                <w:sz w:val="20"/>
                <w:szCs w:val="20"/>
              </w:rPr>
              <w:t>Rubén Darío Arciniegas Calderón</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F41E8C"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29E0C3E5" w:rsidR="003239B8" w:rsidRPr="000D05CB" w:rsidRDefault="00A0173F" w:rsidP="008D2290">
            <w:pPr>
              <w:jc w:val="both"/>
              <w:rPr>
                <w:rFonts w:ascii="Cambria" w:hAnsi="Cambria"/>
                <w:bCs/>
                <w:sz w:val="20"/>
                <w:szCs w:val="20"/>
                <w:lang w:val="es-ES"/>
              </w:rPr>
            </w:pPr>
            <w:r w:rsidRPr="00A0173F">
              <w:rPr>
                <w:rFonts w:ascii="Cambria" w:hAnsi="Cambria"/>
                <w:bCs/>
                <w:sz w:val="20"/>
                <w:szCs w:val="20"/>
              </w:rPr>
              <w:t>Rubén Darío Arciniegas Calderón</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2259B810" w:rsidR="003239B8" w:rsidRPr="000D05CB" w:rsidRDefault="004F4261"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455E41"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2D01CFD3" w:rsidR="00223A29" w:rsidRPr="00294F74" w:rsidRDefault="00294F74" w:rsidP="008D2290">
            <w:pPr>
              <w:jc w:val="both"/>
              <w:rPr>
                <w:rFonts w:ascii="Cambria" w:hAnsi="Cambria"/>
                <w:bCs/>
                <w:sz w:val="20"/>
                <w:szCs w:val="20"/>
                <w:lang w:val="es-CO"/>
              </w:rPr>
            </w:pPr>
            <w:r w:rsidRPr="002C6FBF">
              <w:rPr>
                <w:rFonts w:ascii="Cambria" w:hAnsi="Cambria"/>
                <w:bCs/>
                <w:sz w:val="20"/>
                <w:szCs w:val="20"/>
                <w:lang w:val="es-CO"/>
              </w:rPr>
              <w:t xml:space="preserve">Artículos 8 </w:t>
            </w:r>
            <w:r>
              <w:rPr>
                <w:rFonts w:ascii="Cambria" w:hAnsi="Cambria"/>
                <w:bCs/>
                <w:sz w:val="20"/>
                <w:szCs w:val="20"/>
                <w:lang w:val="es-CO"/>
              </w:rPr>
              <w:t>(garantías judiciales), 23 (derechos políticos) y 25 (protección judicial) de la Convención Americana sobre Derechos Humanos</w:t>
            </w:r>
            <w:r>
              <w:rPr>
                <w:rStyle w:val="FootnoteReference"/>
                <w:rFonts w:ascii="Cambria" w:hAnsi="Cambria"/>
                <w:bCs/>
                <w:sz w:val="20"/>
                <w:szCs w:val="20"/>
                <w:lang w:val="es-CO"/>
              </w:rPr>
              <w:footnoteReference w:id="3"/>
            </w:r>
            <w:r>
              <w:rPr>
                <w:rFonts w:ascii="Cambria" w:hAnsi="Cambria"/>
                <w:bCs/>
                <w:sz w:val="20"/>
                <w:szCs w:val="20"/>
                <w:lang w:val="es-CO"/>
              </w:rPr>
              <w:t xml:space="preserve">; </w:t>
            </w:r>
            <w:r w:rsidR="00D36A6D">
              <w:rPr>
                <w:rFonts w:ascii="Cambria" w:hAnsi="Cambria"/>
                <w:bCs/>
                <w:sz w:val="20"/>
                <w:szCs w:val="20"/>
                <w:lang w:val="es-CO"/>
              </w:rPr>
              <w:t xml:space="preserve">artículos 6, 7 y 9 del </w:t>
            </w:r>
            <w:r w:rsidR="00D36A6D" w:rsidRPr="00FA3168">
              <w:rPr>
                <w:rFonts w:ascii="Cambria" w:hAnsi="Cambria"/>
                <w:bCs/>
                <w:sz w:val="20"/>
                <w:szCs w:val="20"/>
                <w:lang w:val="es-CO"/>
              </w:rPr>
              <w:t>Protocolo Adicional a la Convención Americana sobre Derechos. Humanos en materia de derechos económicos, sociales y culturales</w:t>
            </w:r>
            <w:r w:rsidR="00D36A6D">
              <w:rPr>
                <w:rStyle w:val="FootnoteReference"/>
                <w:rFonts w:ascii="Cambria" w:hAnsi="Cambria"/>
                <w:bCs/>
                <w:sz w:val="20"/>
                <w:szCs w:val="20"/>
                <w:lang w:val="es-CO"/>
              </w:rPr>
              <w:footnoteReference w:id="4"/>
            </w:r>
            <w:r w:rsidR="00D36A6D">
              <w:rPr>
                <w:rFonts w:ascii="Cambria" w:hAnsi="Cambria"/>
                <w:bCs/>
                <w:sz w:val="20"/>
                <w:szCs w:val="20"/>
                <w:lang w:val="es-CO"/>
              </w:rPr>
              <w:t xml:space="preserve">; </w:t>
            </w:r>
            <w:r>
              <w:rPr>
                <w:rFonts w:ascii="Cambria" w:hAnsi="Cambria"/>
                <w:bCs/>
                <w:sz w:val="20"/>
                <w:szCs w:val="20"/>
                <w:lang w:val="es-CO"/>
              </w:rPr>
              <w:t>y artículos II, VIII</w:t>
            </w:r>
            <w:r w:rsidR="001F5FCA">
              <w:rPr>
                <w:rFonts w:ascii="Cambria" w:hAnsi="Cambria"/>
                <w:bCs/>
                <w:sz w:val="20"/>
                <w:szCs w:val="20"/>
                <w:lang w:val="es-CO"/>
              </w:rPr>
              <w:t>, XXIII, XXIV</w:t>
            </w:r>
            <w:r w:rsidR="009521C5">
              <w:rPr>
                <w:rFonts w:ascii="Cambria" w:hAnsi="Cambria"/>
                <w:bCs/>
                <w:sz w:val="20"/>
                <w:szCs w:val="20"/>
                <w:lang w:val="es-CO"/>
              </w:rPr>
              <w:t>, XXXIII</w:t>
            </w:r>
            <w:r>
              <w:rPr>
                <w:rFonts w:ascii="Cambria" w:hAnsi="Cambria"/>
                <w:bCs/>
                <w:sz w:val="20"/>
                <w:szCs w:val="20"/>
                <w:lang w:val="es-CO"/>
              </w:rPr>
              <w:t xml:space="preserve"> y XXX</w:t>
            </w:r>
            <w:r w:rsidR="009521C5">
              <w:rPr>
                <w:rFonts w:ascii="Cambria" w:hAnsi="Cambria"/>
                <w:bCs/>
                <w:sz w:val="20"/>
                <w:szCs w:val="20"/>
                <w:lang w:val="es-CO"/>
              </w:rPr>
              <w:t>VII</w:t>
            </w:r>
            <w:r>
              <w:rPr>
                <w:rFonts w:ascii="Cambria" w:hAnsi="Cambria"/>
                <w:bCs/>
                <w:sz w:val="20"/>
                <w:szCs w:val="20"/>
                <w:lang w:val="es-CO"/>
              </w:rPr>
              <w:t xml:space="preserve"> de la Declaración Americana de los Derechos y Deberes del Hombre</w:t>
            </w:r>
            <w:r>
              <w:rPr>
                <w:rStyle w:val="FootnoteReference"/>
                <w:rFonts w:ascii="Cambria" w:hAnsi="Cambria"/>
                <w:bCs/>
                <w:sz w:val="20"/>
                <w:szCs w:val="20"/>
                <w:lang w:val="es-CO"/>
              </w:rPr>
              <w:footnoteReference w:id="5"/>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6"/>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06E056D0" w:rsidR="004C2312" w:rsidRPr="003239B8" w:rsidRDefault="002873FF" w:rsidP="002625EA">
            <w:pPr>
              <w:jc w:val="both"/>
              <w:rPr>
                <w:rFonts w:ascii="Cambria" w:hAnsi="Cambria"/>
                <w:bCs/>
                <w:sz w:val="20"/>
                <w:szCs w:val="20"/>
                <w:lang w:val="es-ES"/>
              </w:rPr>
            </w:pPr>
            <w:r>
              <w:rPr>
                <w:rFonts w:ascii="Cambria" w:hAnsi="Cambria"/>
                <w:bCs/>
                <w:sz w:val="20"/>
                <w:szCs w:val="20"/>
                <w:lang w:val="es-ES"/>
              </w:rPr>
              <w:t>31 de agosto de 2015</w:t>
            </w:r>
          </w:p>
        </w:tc>
      </w:tr>
      <w:tr w:rsidR="00131425" w:rsidRPr="00455E41"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1F4CD8AF" w:rsidR="00131425" w:rsidRPr="003239B8" w:rsidRDefault="00DD47A2" w:rsidP="002625EA">
            <w:pPr>
              <w:jc w:val="both"/>
              <w:rPr>
                <w:rFonts w:ascii="Cambria" w:hAnsi="Cambria"/>
                <w:bCs/>
                <w:sz w:val="20"/>
                <w:szCs w:val="20"/>
                <w:lang w:val="es-ES"/>
              </w:rPr>
            </w:pPr>
            <w:r>
              <w:rPr>
                <w:rFonts w:ascii="Cambria" w:hAnsi="Cambria"/>
                <w:bCs/>
                <w:sz w:val="20"/>
                <w:szCs w:val="20"/>
                <w:lang w:val="es-ES"/>
              </w:rPr>
              <w:t>27 de marzo de 2017</w:t>
            </w:r>
            <w:r w:rsidR="00703EEE">
              <w:rPr>
                <w:rFonts w:ascii="Cambria" w:hAnsi="Cambria"/>
                <w:bCs/>
                <w:sz w:val="20"/>
                <w:szCs w:val="20"/>
                <w:lang w:val="es-ES"/>
              </w:rPr>
              <w:t xml:space="preserve">, 10 de abril de 2017, </w:t>
            </w:r>
            <w:r w:rsidR="00B96F2C">
              <w:rPr>
                <w:rFonts w:ascii="Cambria" w:hAnsi="Cambria"/>
                <w:bCs/>
                <w:sz w:val="20"/>
                <w:szCs w:val="20"/>
                <w:lang w:val="es-ES"/>
              </w:rPr>
              <w:t xml:space="preserve">7 de septiembre de 2017, 11 de septiembre de 2017, </w:t>
            </w:r>
            <w:r w:rsidR="000619C1">
              <w:rPr>
                <w:rFonts w:ascii="Cambria" w:hAnsi="Cambria"/>
                <w:bCs/>
                <w:sz w:val="20"/>
                <w:szCs w:val="20"/>
                <w:lang w:val="es-ES"/>
              </w:rPr>
              <w:t>2 de enero de 2018,</w:t>
            </w:r>
            <w:r w:rsidR="004E269D">
              <w:rPr>
                <w:rFonts w:ascii="Cambria" w:hAnsi="Cambria"/>
                <w:bCs/>
                <w:sz w:val="20"/>
                <w:szCs w:val="20"/>
                <w:lang w:val="es-ES"/>
              </w:rPr>
              <w:t xml:space="preserve"> 19 de noviembre de 2019,</w:t>
            </w:r>
            <w:r w:rsidR="00580736">
              <w:rPr>
                <w:rFonts w:ascii="Cambria" w:hAnsi="Cambria"/>
                <w:bCs/>
                <w:sz w:val="20"/>
                <w:szCs w:val="20"/>
                <w:lang w:val="es-ES"/>
              </w:rPr>
              <w:t xml:space="preserve"> 10 de junio de 2020</w:t>
            </w:r>
            <w:r w:rsidR="0034792F">
              <w:rPr>
                <w:rFonts w:ascii="Cambria" w:hAnsi="Cambria"/>
                <w:bCs/>
                <w:sz w:val="20"/>
                <w:szCs w:val="20"/>
                <w:lang w:val="es-ES"/>
              </w:rPr>
              <w:t>, 17 de enero de 2021</w:t>
            </w:r>
            <w:r w:rsidR="008D323E">
              <w:rPr>
                <w:rFonts w:ascii="Cambria" w:hAnsi="Cambria"/>
                <w:bCs/>
                <w:sz w:val="20"/>
                <w:szCs w:val="20"/>
                <w:lang w:val="es-ES"/>
              </w:rPr>
              <w:t>, 1° de marzo de 2023</w:t>
            </w:r>
            <w:r w:rsidR="0058643A">
              <w:rPr>
                <w:rFonts w:ascii="Cambria" w:hAnsi="Cambria"/>
                <w:bCs/>
                <w:sz w:val="20"/>
                <w:szCs w:val="20"/>
                <w:lang w:val="es-ES"/>
              </w:rPr>
              <w:t xml:space="preserve">, 19 de junio de 2023 y </w:t>
            </w:r>
            <w:r w:rsidR="00C7005F">
              <w:rPr>
                <w:rFonts w:ascii="Cambria" w:hAnsi="Cambria"/>
                <w:bCs/>
                <w:sz w:val="20"/>
                <w:szCs w:val="20"/>
                <w:lang w:val="es-ES"/>
              </w:rPr>
              <w:t>11 de julio de 2023</w:t>
            </w:r>
          </w:p>
        </w:tc>
      </w:tr>
      <w:tr w:rsidR="004C2312" w:rsidRPr="00505497"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594F55E3" w:rsidR="004C2312" w:rsidRPr="003239B8" w:rsidRDefault="002B15AA" w:rsidP="008D2290">
            <w:pPr>
              <w:jc w:val="both"/>
              <w:rPr>
                <w:rFonts w:ascii="Cambria" w:hAnsi="Cambria"/>
                <w:bCs/>
                <w:sz w:val="20"/>
                <w:szCs w:val="20"/>
                <w:lang w:val="es-ES"/>
              </w:rPr>
            </w:pPr>
            <w:r>
              <w:rPr>
                <w:rFonts w:ascii="Cambria" w:hAnsi="Cambria"/>
                <w:bCs/>
                <w:sz w:val="20"/>
                <w:szCs w:val="20"/>
                <w:lang w:val="es-ES"/>
              </w:rPr>
              <w:t>9 de diciembre de 2019</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0BA1E2FE" w:rsidR="004C2312" w:rsidRPr="003239B8" w:rsidRDefault="007B529B" w:rsidP="008D2290">
            <w:pPr>
              <w:jc w:val="both"/>
              <w:rPr>
                <w:rFonts w:ascii="Cambria" w:hAnsi="Cambria"/>
                <w:bCs/>
                <w:sz w:val="20"/>
                <w:szCs w:val="20"/>
                <w:lang w:val="es-ES"/>
              </w:rPr>
            </w:pPr>
            <w:r>
              <w:rPr>
                <w:rFonts w:ascii="Cambria" w:hAnsi="Cambria"/>
                <w:bCs/>
                <w:sz w:val="20"/>
                <w:szCs w:val="20"/>
                <w:lang w:val="es-ES"/>
              </w:rPr>
              <w:t>15 de febrero de 2021</w:t>
            </w:r>
          </w:p>
        </w:tc>
      </w:tr>
      <w:tr w:rsidR="004C2312" w:rsidRPr="00505497"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76B6BC59" w:rsidR="004C2312" w:rsidRPr="003239B8" w:rsidRDefault="00F21BA3" w:rsidP="008D2290">
            <w:pPr>
              <w:jc w:val="both"/>
              <w:rPr>
                <w:rFonts w:ascii="Cambria" w:hAnsi="Cambria"/>
                <w:bCs/>
                <w:sz w:val="20"/>
                <w:szCs w:val="20"/>
                <w:lang w:val="es-ES"/>
              </w:rPr>
            </w:pPr>
            <w:r>
              <w:rPr>
                <w:rFonts w:ascii="Cambria" w:hAnsi="Cambria"/>
                <w:bCs/>
                <w:sz w:val="20"/>
                <w:szCs w:val="20"/>
                <w:lang w:val="es-ES"/>
              </w:rPr>
              <w:t>10 de junio de 2021</w:t>
            </w:r>
          </w:p>
        </w:tc>
      </w:tr>
      <w:tr w:rsidR="004C2312" w:rsidRPr="009111EC"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647" w:type="dxa"/>
            <w:vAlign w:val="center"/>
          </w:tcPr>
          <w:p w14:paraId="15747C57" w14:textId="47A6F9EE" w:rsidR="004C2312" w:rsidRPr="009111EC" w:rsidRDefault="00845240" w:rsidP="008D2290">
            <w:pPr>
              <w:jc w:val="both"/>
              <w:rPr>
                <w:rFonts w:ascii="Cambria" w:hAnsi="Cambria"/>
                <w:bCs/>
                <w:sz w:val="20"/>
                <w:szCs w:val="20"/>
              </w:rPr>
            </w:pPr>
            <w:r>
              <w:rPr>
                <w:rFonts w:ascii="Cambria" w:hAnsi="Cambria"/>
                <w:bCs/>
                <w:sz w:val="20"/>
                <w:szCs w:val="20"/>
              </w:rPr>
              <w:t>15 de octubre de 2021</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59679C1C" w:rsidR="003239B8" w:rsidRPr="00B3745F" w:rsidRDefault="004F6FF8"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10718FE4" w:rsidR="003239B8" w:rsidRPr="00B3745F" w:rsidRDefault="004F6FF8"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5F2BC1E3" w:rsidR="003239B8" w:rsidRPr="00B3745F" w:rsidRDefault="004F6FF8" w:rsidP="008D2290">
            <w:pPr>
              <w:rPr>
                <w:rFonts w:ascii="Cambria" w:hAnsi="Cambria"/>
                <w:bCs/>
                <w:sz w:val="20"/>
                <w:szCs w:val="20"/>
              </w:rPr>
            </w:pPr>
            <w:r>
              <w:rPr>
                <w:rFonts w:ascii="Cambria" w:hAnsi="Cambria"/>
                <w:bCs/>
                <w:sz w:val="20"/>
                <w:szCs w:val="20"/>
              </w:rPr>
              <w:t>Sí</w:t>
            </w:r>
          </w:p>
        </w:tc>
      </w:tr>
      <w:tr w:rsidR="003239B8" w:rsidRPr="00455E41"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7633BD80" w:rsidR="003239B8" w:rsidRPr="00B3745F" w:rsidRDefault="004F6FF8" w:rsidP="008D2290">
            <w:pPr>
              <w:jc w:val="both"/>
              <w:rPr>
                <w:rFonts w:ascii="Cambria" w:hAnsi="Cambria"/>
                <w:bCs/>
                <w:sz w:val="20"/>
                <w:szCs w:val="20"/>
                <w:lang w:val="es-ES"/>
              </w:rPr>
            </w:pPr>
            <w:r w:rsidRPr="004F6FF8">
              <w:rPr>
                <w:rFonts w:ascii="Cambria" w:hAnsi="Cambria"/>
                <w:bCs/>
                <w:sz w:val="20"/>
                <w:szCs w:val="20"/>
                <w:lang w:val="es-419"/>
              </w:rPr>
              <w:t>Sí, la Convención Americana (depósito de instrumento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505497"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6B17D0E1" w:rsidR="00EE00E9" w:rsidRPr="00DC24E3" w:rsidRDefault="008A6F75"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1202F5CA" w:rsidR="003239B8" w:rsidRPr="00DC24E3" w:rsidRDefault="003E0C17" w:rsidP="008D2290">
            <w:pPr>
              <w:jc w:val="both"/>
              <w:rPr>
                <w:rFonts w:ascii="Cambria" w:hAnsi="Cambria"/>
                <w:bCs/>
                <w:sz w:val="20"/>
                <w:szCs w:val="20"/>
              </w:rPr>
            </w:pPr>
            <w:r>
              <w:rPr>
                <w:rFonts w:ascii="Cambria" w:hAnsi="Cambria"/>
                <w:bCs/>
                <w:sz w:val="20"/>
                <w:szCs w:val="20"/>
              </w:rPr>
              <w:t>Ninguno</w:t>
            </w:r>
          </w:p>
        </w:tc>
      </w:tr>
      <w:tr w:rsidR="003239B8" w:rsidRPr="00AE68E5"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7A2BEED0" w:rsidR="003239B8" w:rsidRPr="00DC24E3" w:rsidRDefault="003E0C17" w:rsidP="008D2290">
            <w:pPr>
              <w:rPr>
                <w:rFonts w:ascii="Cambria" w:hAnsi="Cambria"/>
                <w:bCs/>
                <w:sz w:val="20"/>
                <w:szCs w:val="20"/>
                <w:lang w:val="es-ES"/>
              </w:rPr>
            </w:pPr>
            <w:r>
              <w:rPr>
                <w:rFonts w:ascii="Cambria" w:hAnsi="Cambria"/>
                <w:bCs/>
                <w:sz w:val="20"/>
                <w:szCs w:val="20"/>
                <w:lang w:val="es-ES"/>
              </w:rPr>
              <w:t>Sí</w:t>
            </w:r>
          </w:p>
        </w:tc>
      </w:tr>
      <w:tr w:rsidR="003239B8" w:rsidRPr="00B2155F"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751F35B5" w:rsidR="003239B8" w:rsidRPr="00DC24E3" w:rsidRDefault="003E0C17" w:rsidP="008D2290">
            <w:pPr>
              <w:rPr>
                <w:rFonts w:ascii="Cambria" w:hAnsi="Cambria"/>
                <w:bCs/>
                <w:sz w:val="20"/>
                <w:szCs w:val="20"/>
              </w:rPr>
            </w:pPr>
            <w:r>
              <w:rPr>
                <w:rFonts w:ascii="Cambria" w:hAnsi="Cambria"/>
                <w:bCs/>
                <w:sz w:val="20"/>
                <w:szCs w:val="20"/>
              </w:rPr>
              <w:t>Sí</w:t>
            </w:r>
          </w:p>
        </w:tc>
      </w:tr>
    </w:tbl>
    <w:p w14:paraId="56FD5D57" w14:textId="252B1FD5" w:rsidR="003239B8" w:rsidRDefault="00223A29" w:rsidP="003239B8">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Pr>
          <w:rFonts w:asciiTheme="majorHAnsi" w:hAnsiTheme="majorHAnsi"/>
          <w:b/>
          <w:sz w:val="20"/>
          <w:szCs w:val="20"/>
          <w:lang w:val="es-UY"/>
        </w:rPr>
        <w:t>POSICIÓN DE LAS PARTES</w:t>
      </w:r>
      <w:r w:rsidR="003239B8">
        <w:rPr>
          <w:rFonts w:asciiTheme="majorHAnsi" w:hAnsiTheme="majorHAnsi"/>
          <w:b/>
          <w:sz w:val="20"/>
          <w:szCs w:val="20"/>
          <w:lang w:val="es-UY"/>
        </w:rPr>
        <w:t xml:space="preserve"> </w:t>
      </w:r>
    </w:p>
    <w:p w14:paraId="6901F992" w14:textId="2868F9D8" w:rsidR="0008158C" w:rsidRPr="00125980" w:rsidRDefault="00125980" w:rsidP="002E5A4F">
      <w:pPr>
        <w:pStyle w:val="ListParagraph"/>
        <w:numPr>
          <w:ilvl w:val="0"/>
          <w:numId w:val="0"/>
        </w:numPr>
        <w:ind w:left="720"/>
        <w:jc w:val="both"/>
        <w:rPr>
          <w:rFonts w:asciiTheme="majorHAnsi" w:hAnsiTheme="majorHAnsi"/>
          <w:b/>
          <w:sz w:val="20"/>
          <w:szCs w:val="20"/>
          <w:lang w:val="es-UY"/>
        </w:rPr>
      </w:pPr>
      <w:r>
        <w:rPr>
          <w:rFonts w:asciiTheme="majorHAnsi" w:hAnsiTheme="majorHAnsi"/>
          <w:b/>
          <w:sz w:val="20"/>
          <w:szCs w:val="20"/>
          <w:lang w:val="es-UY"/>
        </w:rPr>
        <w:t>La p</w:t>
      </w:r>
      <w:r w:rsidR="0008158C" w:rsidRPr="00125980">
        <w:rPr>
          <w:rFonts w:asciiTheme="majorHAnsi" w:hAnsiTheme="majorHAnsi"/>
          <w:b/>
          <w:sz w:val="20"/>
          <w:szCs w:val="20"/>
          <w:lang w:val="es-UY"/>
        </w:rPr>
        <w:t>arte peticionaria</w:t>
      </w:r>
    </w:p>
    <w:p w14:paraId="53BD3EF6" w14:textId="7FB14535" w:rsidR="006E621A" w:rsidRPr="006E621A" w:rsidRDefault="00D0581A"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El </w:t>
      </w:r>
      <w:r w:rsidR="00965A8D">
        <w:rPr>
          <w:sz w:val="20"/>
          <w:szCs w:val="20"/>
          <w:lang w:val="es-AR"/>
        </w:rPr>
        <w:t xml:space="preserve">señor </w:t>
      </w:r>
      <w:r w:rsidR="00965A8D" w:rsidRPr="00965A8D">
        <w:rPr>
          <w:bCs/>
          <w:sz w:val="20"/>
          <w:szCs w:val="20"/>
          <w:lang w:val="es-CO"/>
        </w:rPr>
        <w:t>Rubén Darío Arciniegas Calderón</w:t>
      </w:r>
      <w:r w:rsidR="00965A8D">
        <w:rPr>
          <w:sz w:val="20"/>
          <w:szCs w:val="20"/>
          <w:lang w:val="es-AR"/>
        </w:rPr>
        <w:t xml:space="preserve"> (en adelante “el </w:t>
      </w:r>
      <w:r>
        <w:rPr>
          <w:sz w:val="20"/>
          <w:szCs w:val="20"/>
          <w:lang w:val="es-AR"/>
        </w:rPr>
        <w:t>peticionario</w:t>
      </w:r>
      <w:r w:rsidR="00965A8D">
        <w:rPr>
          <w:sz w:val="20"/>
          <w:szCs w:val="20"/>
          <w:lang w:val="es-AR"/>
        </w:rPr>
        <w:t>”, “la presunta víctima” o “el Sr. Arciniegas”)</w:t>
      </w:r>
      <w:r>
        <w:rPr>
          <w:sz w:val="20"/>
          <w:szCs w:val="20"/>
          <w:lang w:val="es-AR"/>
        </w:rPr>
        <w:t xml:space="preserve"> denuncia su destitución </w:t>
      </w:r>
      <w:r w:rsidR="00794CAB">
        <w:rPr>
          <w:sz w:val="20"/>
          <w:szCs w:val="20"/>
          <w:lang w:val="es-AR"/>
        </w:rPr>
        <w:t xml:space="preserve">arbitraria </w:t>
      </w:r>
      <w:r>
        <w:rPr>
          <w:sz w:val="20"/>
          <w:szCs w:val="20"/>
          <w:lang w:val="es-AR"/>
        </w:rPr>
        <w:t xml:space="preserve">del cargo de fiscal </w:t>
      </w:r>
      <w:r w:rsidR="00794CAB">
        <w:rPr>
          <w:sz w:val="20"/>
          <w:szCs w:val="20"/>
          <w:lang w:val="es-AR"/>
        </w:rPr>
        <w:t xml:space="preserve">y la falta de un recurso efectivo para </w:t>
      </w:r>
      <w:r w:rsidR="0037279F">
        <w:rPr>
          <w:sz w:val="20"/>
          <w:szCs w:val="20"/>
          <w:lang w:val="es-AR"/>
        </w:rPr>
        <w:t xml:space="preserve">obtener </w:t>
      </w:r>
      <w:r w:rsidR="008D1181">
        <w:rPr>
          <w:sz w:val="20"/>
          <w:szCs w:val="20"/>
          <w:lang w:val="es-AR"/>
        </w:rPr>
        <w:t>una indemnización adecuada</w:t>
      </w:r>
      <w:r w:rsidR="00CD72BF">
        <w:rPr>
          <w:sz w:val="20"/>
          <w:szCs w:val="20"/>
          <w:lang w:val="es-AR"/>
        </w:rPr>
        <w:t xml:space="preserve"> por el suceso</w:t>
      </w:r>
      <w:r w:rsidR="0037279F">
        <w:rPr>
          <w:sz w:val="20"/>
          <w:szCs w:val="20"/>
          <w:lang w:val="es-AR"/>
        </w:rPr>
        <w:t>.</w:t>
      </w:r>
    </w:p>
    <w:p w14:paraId="088E643A" w14:textId="56E4946C" w:rsidR="00A61507" w:rsidRPr="007E3FFD" w:rsidRDefault="00A74EFA"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El peticionario relata que</w:t>
      </w:r>
      <w:r w:rsidR="00E572A3">
        <w:rPr>
          <w:sz w:val="20"/>
          <w:szCs w:val="20"/>
          <w:lang w:val="es-AR"/>
        </w:rPr>
        <w:t xml:space="preserve"> el </w:t>
      </w:r>
      <w:r w:rsidR="006859F7">
        <w:rPr>
          <w:sz w:val="20"/>
          <w:szCs w:val="20"/>
          <w:lang w:val="es-AR"/>
        </w:rPr>
        <w:t>5 de mayo de 2003 el fiscal general lo nombró en provisionalidad en el cargo de fiscal delegado ante el Tribunal Superior del Distrito de Bogotá</w:t>
      </w:r>
      <w:r w:rsidR="0036259E">
        <w:rPr>
          <w:sz w:val="20"/>
          <w:szCs w:val="20"/>
          <w:lang w:val="es-AR"/>
        </w:rPr>
        <w:t xml:space="preserve">, después de haber </w:t>
      </w:r>
      <w:r w:rsidR="00291BC2">
        <w:rPr>
          <w:sz w:val="20"/>
          <w:szCs w:val="20"/>
          <w:lang w:val="es-AR"/>
        </w:rPr>
        <w:t>prestado</w:t>
      </w:r>
      <w:r w:rsidR="0036259E">
        <w:rPr>
          <w:sz w:val="20"/>
          <w:szCs w:val="20"/>
          <w:lang w:val="es-AR"/>
        </w:rPr>
        <w:t xml:space="preserve"> 20 años de servicios como juez penal en el departamento del Tolima</w:t>
      </w:r>
      <w:r w:rsidR="006859F7">
        <w:rPr>
          <w:sz w:val="20"/>
          <w:szCs w:val="20"/>
          <w:lang w:val="es-AR"/>
        </w:rPr>
        <w:t xml:space="preserve">. </w:t>
      </w:r>
      <w:r w:rsidR="00F9382E">
        <w:rPr>
          <w:sz w:val="20"/>
          <w:szCs w:val="20"/>
          <w:lang w:val="es-AR"/>
        </w:rPr>
        <w:t>S</w:t>
      </w:r>
      <w:r w:rsidR="00A61507">
        <w:rPr>
          <w:sz w:val="20"/>
          <w:szCs w:val="20"/>
          <w:lang w:val="es-AR"/>
        </w:rPr>
        <w:t xml:space="preserve">in embargo, </w:t>
      </w:r>
      <w:r w:rsidR="00F9382E">
        <w:rPr>
          <w:sz w:val="20"/>
          <w:szCs w:val="20"/>
          <w:lang w:val="es-AR"/>
        </w:rPr>
        <w:t xml:space="preserve">el 11 de enero de 2006 el nuevo fiscal general declaró terminado su nombramiento mediante la Resolución no. </w:t>
      </w:r>
      <w:r w:rsidR="000736CF">
        <w:rPr>
          <w:sz w:val="20"/>
          <w:szCs w:val="20"/>
          <w:lang w:val="es-AR"/>
        </w:rPr>
        <w:t>0-0026</w:t>
      </w:r>
      <w:r w:rsidR="00D03D7C">
        <w:rPr>
          <w:sz w:val="20"/>
          <w:szCs w:val="20"/>
          <w:lang w:val="es-AR"/>
        </w:rPr>
        <w:t>, sin motivación alguna</w:t>
      </w:r>
      <w:r w:rsidR="000736CF">
        <w:rPr>
          <w:sz w:val="20"/>
          <w:szCs w:val="20"/>
          <w:lang w:val="es-AR"/>
        </w:rPr>
        <w:t>.</w:t>
      </w:r>
      <w:r w:rsidR="00A4181C">
        <w:rPr>
          <w:sz w:val="20"/>
          <w:szCs w:val="20"/>
          <w:lang w:val="es-AR"/>
        </w:rPr>
        <w:t xml:space="preserve"> Refiere </w:t>
      </w:r>
      <w:r w:rsidR="00C065C4">
        <w:rPr>
          <w:sz w:val="20"/>
          <w:szCs w:val="20"/>
          <w:lang w:val="es-AR"/>
        </w:rPr>
        <w:t>que,</w:t>
      </w:r>
      <w:r w:rsidR="000D2C10" w:rsidRPr="000D2C10">
        <w:rPr>
          <w:sz w:val="20"/>
          <w:szCs w:val="20"/>
          <w:lang w:val="es-AR"/>
        </w:rPr>
        <w:t xml:space="preserve"> </w:t>
      </w:r>
      <w:r w:rsidR="000D2C10">
        <w:rPr>
          <w:sz w:val="20"/>
          <w:szCs w:val="20"/>
          <w:lang w:val="es-AR"/>
        </w:rPr>
        <w:t>debido a la pérdida de empleo, sufrió graves perjuicios en su economía familiar</w:t>
      </w:r>
      <w:r w:rsidR="00A4181C">
        <w:rPr>
          <w:sz w:val="20"/>
          <w:szCs w:val="20"/>
          <w:lang w:val="es-AR"/>
        </w:rPr>
        <w:t xml:space="preserve">, </w:t>
      </w:r>
      <w:r w:rsidR="000D2C10">
        <w:rPr>
          <w:sz w:val="20"/>
          <w:szCs w:val="20"/>
          <w:lang w:val="es-AR"/>
        </w:rPr>
        <w:t xml:space="preserve">y, </w:t>
      </w:r>
      <w:r w:rsidR="00A4181C">
        <w:rPr>
          <w:sz w:val="20"/>
          <w:szCs w:val="20"/>
          <w:lang w:val="es-AR"/>
        </w:rPr>
        <w:t>como consecuencia de perder el esquema de seguridad que tenía como fiscal, se vio en la necesidad de exiliarse a Estados Unidos en marzo de 2006</w:t>
      </w:r>
      <w:r w:rsidR="007E3FFD">
        <w:rPr>
          <w:sz w:val="20"/>
          <w:szCs w:val="20"/>
          <w:lang w:val="es-AR"/>
        </w:rPr>
        <w:t>.</w:t>
      </w:r>
    </w:p>
    <w:p w14:paraId="3292A933" w14:textId="1828F534" w:rsidR="001E2CC2" w:rsidRPr="001E2CC2" w:rsidRDefault="00F07CC6"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Señala que interpuso una acción de nulidad y restablecimiento del derecho </w:t>
      </w:r>
      <w:r w:rsidR="00171908">
        <w:rPr>
          <w:sz w:val="20"/>
          <w:szCs w:val="20"/>
          <w:lang w:val="es-AR"/>
        </w:rPr>
        <w:t xml:space="preserve">por intermedio de apoderado </w:t>
      </w:r>
      <w:r>
        <w:rPr>
          <w:sz w:val="20"/>
          <w:szCs w:val="20"/>
          <w:lang w:val="es-AR"/>
        </w:rPr>
        <w:t>c</w:t>
      </w:r>
      <w:r w:rsidR="007E3FFD">
        <w:rPr>
          <w:sz w:val="20"/>
          <w:szCs w:val="20"/>
          <w:lang w:val="es-AR"/>
        </w:rPr>
        <w:t xml:space="preserve">ontra la decisión de </w:t>
      </w:r>
      <w:r w:rsidR="00B01C49">
        <w:rPr>
          <w:sz w:val="20"/>
          <w:szCs w:val="20"/>
          <w:lang w:val="es-AR"/>
        </w:rPr>
        <w:t>cese al cargo</w:t>
      </w:r>
      <w:r>
        <w:rPr>
          <w:sz w:val="20"/>
          <w:szCs w:val="20"/>
          <w:lang w:val="es-AR"/>
        </w:rPr>
        <w:t xml:space="preserve"> en mayo de 2006</w:t>
      </w:r>
      <w:r w:rsidR="00687E98">
        <w:rPr>
          <w:sz w:val="20"/>
          <w:szCs w:val="20"/>
          <w:lang w:val="es-AR"/>
        </w:rPr>
        <w:t>.</w:t>
      </w:r>
      <w:r w:rsidR="00171908">
        <w:rPr>
          <w:sz w:val="20"/>
          <w:szCs w:val="20"/>
          <w:lang w:val="es-AR"/>
        </w:rPr>
        <w:t xml:space="preserve"> </w:t>
      </w:r>
      <w:r w:rsidR="003C2D60">
        <w:rPr>
          <w:sz w:val="20"/>
          <w:szCs w:val="20"/>
          <w:lang w:val="es-AR"/>
        </w:rPr>
        <w:t>No obstante, e</w:t>
      </w:r>
      <w:r w:rsidR="00171908">
        <w:rPr>
          <w:sz w:val="20"/>
          <w:szCs w:val="20"/>
          <w:lang w:val="es-AR"/>
        </w:rPr>
        <w:t xml:space="preserve">l </w:t>
      </w:r>
      <w:r w:rsidR="001323E1">
        <w:rPr>
          <w:sz w:val="20"/>
          <w:szCs w:val="20"/>
          <w:lang w:val="es-AR"/>
        </w:rPr>
        <w:t xml:space="preserve">7 de mayo de 2009 el Tribunal Administrativo de Cundinamarca negó </w:t>
      </w:r>
      <w:r w:rsidR="003C2D60">
        <w:rPr>
          <w:sz w:val="20"/>
          <w:szCs w:val="20"/>
          <w:lang w:val="es-AR"/>
        </w:rPr>
        <w:t>la</w:t>
      </w:r>
      <w:r w:rsidR="001323E1">
        <w:rPr>
          <w:sz w:val="20"/>
          <w:szCs w:val="20"/>
          <w:lang w:val="es-AR"/>
        </w:rPr>
        <w:t xml:space="preserve">s pretensiones </w:t>
      </w:r>
      <w:r w:rsidR="003C2D60">
        <w:rPr>
          <w:sz w:val="20"/>
          <w:szCs w:val="20"/>
          <w:lang w:val="es-AR"/>
        </w:rPr>
        <w:t xml:space="preserve">de la demanda </w:t>
      </w:r>
      <w:r w:rsidR="001323E1">
        <w:rPr>
          <w:sz w:val="20"/>
          <w:szCs w:val="20"/>
          <w:lang w:val="es-AR"/>
        </w:rPr>
        <w:t xml:space="preserve">y declaró válida la resolución de destitución y negó su reincorporación al cargo, </w:t>
      </w:r>
      <w:r w:rsidR="000E434C">
        <w:rPr>
          <w:sz w:val="20"/>
          <w:szCs w:val="20"/>
          <w:lang w:val="es-AR"/>
        </w:rPr>
        <w:t xml:space="preserve">con fundamento en la facultad discrecional </w:t>
      </w:r>
      <w:r w:rsidR="00A30A94">
        <w:rPr>
          <w:sz w:val="20"/>
          <w:szCs w:val="20"/>
          <w:lang w:val="es-AR"/>
        </w:rPr>
        <w:t>qu</w:t>
      </w:r>
      <w:r w:rsidR="000E434C">
        <w:rPr>
          <w:sz w:val="20"/>
          <w:szCs w:val="20"/>
          <w:lang w:val="es-AR"/>
        </w:rPr>
        <w:t>e</w:t>
      </w:r>
      <w:r w:rsidR="00A30A94">
        <w:rPr>
          <w:sz w:val="20"/>
          <w:szCs w:val="20"/>
          <w:lang w:val="es-AR"/>
        </w:rPr>
        <w:t xml:space="preserve"> cobija</w:t>
      </w:r>
      <w:r w:rsidR="000E434C">
        <w:rPr>
          <w:sz w:val="20"/>
          <w:szCs w:val="20"/>
          <w:lang w:val="es-AR"/>
        </w:rPr>
        <w:t xml:space="preserve"> los nombramientos en provisionalidad.</w:t>
      </w:r>
      <w:r w:rsidR="0056146B">
        <w:rPr>
          <w:sz w:val="20"/>
          <w:szCs w:val="20"/>
          <w:lang w:val="es-AR"/>
        </w:rPr>
        <w:t xml:space="preserve"> El peticionario </w:t>
      </w:r>
      <w:r w:rsidR="009F1D9C">
        <w:rPr>
          <w:sz w:val="20"/>
          <w:szCs w:val="20"/>
          <w:lang w:val="es-AR"/>
        </w:rPr>
        <w:t xml:space="preserve">indica que presentó recurso de apelación </w:t>
      </w:r>
      <w:r w:rsidR="00D1684D">
        <w:rPr>
          <w:sz w:val="20"/>
          <w:szCs w:val="20"/>
          <w:lang w:val="es-AR"/>
        </w:rPr>
        <w:t>contra esa determinación</w:t>
      </w:r>
      <w:r w:rsidR="00687E98">
        <w:rPr>
          <w:sz w:val="20"/>
          <w:szCs w:val="20"/>
          <w:lang w:val="es-AR"/>
        </w:rPr>
        <w:t>,</w:t>
      </w:r>
      <w:r w:rsidR="001945CA">
        <w:rPr>
          <w:sz w:val="20"/>
          <w:szCs w:val="20"/>
          <w:lang w:val="es-AR"/>
        </w:rPr>
        <w:t xml:space="preserve"> </w:t>
      </w:r>
      <w:r w:rsidR="00687E98">
        <w:rPr>
          <w:sz w:val="20"/>
          <w:szCs w:val="20"/>
          <w:lang w:val="es-AR"/>
        </w:rPr>
        <w:t xml:space="preserve">pero </w:t>
      </w:r>
      <w:r w:rsidR="00D1684D">
        <w:rPr>
          <w:sz w:val="20"/>
          <w:szCs w:val="20"/>
          <w:lang w:val="es-AR"/>
        </w:rPr>
        <w:t xml:space="preserve">el 27 de mayo de 2010 el Consejo de Estado </w:t>
      </w:r>
      <w:r w:rsidR="003C2D60">
        <w:rPr>
          <w:sz w:val="20"/>
          <w:szCs w:val="20"/>
          <w:lang w:val="es-AR"/>
        </w:rPr>
        <w:t xml:space="preserve">la </w:t>
      </w:r>
      <w:r w:rsidR="00D1684D">
        <w:rPr>
          <w:sz w:val="20"/>
          <w:szCs w:val="20"/>
          <w:lang w:val="es-AR"/>
        </w:rPr>
        <w:t>confirmó en segunda instancia</w:t>
      </w:r>
      <w:r w:rsidR="003C2D60">
        <w:rPr>
          <w:sz w:val="20"/>
          <w:szCs w:val="20"/>
          <w:lang w:val="es-AR"/>
        </w:rPr>
        <w:t>.</w:t>
      </w:r>
    </w:p>
    <w:p w14:paraId="146AA305" w14:textId="5E4B2197" w:rsidR="007E3FFD" w:rsidRPr="00D051DA" w:rsidRDefault="007C793A"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Ante ello</w:t>
      </w:r>
      <w:r w:rsidR="001E2CC2">
        <w:rPr>
          <w:sz w:val="20"/>
          <w:szCs w:val="20"/>
          <w:lang w:val="es-AR"/>
        </w:rPr>
        <w:t xml:space="preserve"> promovió una acción de tutela por violación de </w:t>
      </w:r>
      <w:r w:rsidR="000E7FA3">
        <w:rPr>
          <w:sz w:val="20"/>
          <w:szCs w:val="20"/>
          <w:lang w:val="es-AR"/>
        </w:rPr>
        <w:t>sus derechos fundamentales a la</w:t>
      </w:r>
      <w:r w:rsidR="00B568AC">
        <w:rPr>
          <w:sz w:val="20"/>
          <w:szCs w:val="20"/>
          <w:lang w:val="es-AR"/>
        </w:rPr>
        <w:t xml:space="preserve"> estabilidad laboral, a la</w:t>
      </w:r>
      <w:r w:rsidR="000E7FA3">
        <w:rPr>
          <w:sz w:val="20"/>
          <w:szCs w:val="20"/>
          <w:lang w:val="es-AR"/>
        </w:rPr>
        <w:t xml:space="preserve"> defensa y al debido proceso por falta de motivación de la resolución que terminó su encargo.</w:t>
      </w:r>
      <w:r w:rsidR="0035435B">
        <w:rPr>
          <w:sz w:val="20"/>
          <w:szCs w:val="20"/>
          <w:lang w:val="es-AR"/>
        </w:rPr>
        <w:t xml:space="preserve"> El 3 de febrero de 2011 </w:t>
      </w:r>
      <w:r w:rsidR="00D92BB3">
        <w:rPr>
          <w:sz w:val="20"/>
          <w:szCs w:val="20"/>
          <w:lang w:val="es-AR"/>
        </w:rPr>
        <w:t>el Consejo de Estado emitió una sentencia mediante la cual declaró la improceden</w:t>
      </w:r>
      <w:r w:rsidR="007203C9">
        <w:rPr>
          <w:sz w:val="20"/>
          <w:szCs w:val="20"/>
          <w:lang w:val="es-AR"/>
        </w:rPr>
        <w:t>cia de la acción</w:t>
      </w:r>
      <w:r w:rsidR="00C86635">
        <w:rPr>
          <w:sz w:val="20"/>
          <w:szCs w:val="20"/>
          <w:lang w:val="es-AR"/>
        </w:rPr>
        <w:t xml:space="preserve"> constitucional</w:t>
      </w:r>
      <w:r w:rsidR="00D92BB3">
        <w:rPr>
          <w:sz w:val="20"/>
          <w:szCs w:val="20"/>
          <w:lang w:val="es-AR"/>
        </w:rPr>
        <w:t xml:space="preserve">, por lo que el peticionario impugnó el fallo y el 26 de enero de 2012, </w:t>
      </w:r>
      <w:r w:rsidR="00C02E2F">
        <w:rPr>
          <w:sz w:val="20"/>
          <w:szCs w:val="20"/>
          <w:lang w:val="es-AR"/>
        </w:rPr>
        <w:t xml:space="preserve">pero </w:t>
      </w:r>
      <w:r w:rsidR="00D92BB3">
        <w:rPr>
          <w:sz w:val="20"/>
          <w:szCs w:val="20"/>
          <w:lang w:val="es-AR"/>
        </w:rPr>
        <w:t xml:space="preserve">otra </w:t>
      </w:r>
      <w:r w:rsidR="00C02E2F">
        <w:rPr>
          <w:sz w:val="20"/>
          <w:szCs w:val="20"/>
          <w:lang w:val="es-AR"/>
        </w:rPr>
        <w:t>s</w:t>
      </w:r>
      <w:r w:rsidR="00D92BB3">
        <w:rPr>
          <w:sz w:val="20"/>
          <w:szCs w:val="20"/>
          <w:lang w:val="es-AR"/>
        </w:rPr>
        <w:t>ección de</w:t>
      </w:r>
      <w:r w:rsidR="00C02E2F">
        <w:rPr>
          <w:sz w:val="20"/>
          <w:szCs w:val="20"/>
          <w:lang w:val="es-AR"/>
        </w:rPr>
        <w:t xml:space="preserve">l mismo colegiado </w:t>
      </w:r>
      <w:r w:rsidR="000E4A5E">
        <w:rPr>
          <w:sz w:val="20"/>
          <w:szCs w:val="20"/>
          <w:lang w:val="es-AR"/>
        </w:rPr>
        <w:t>confirm</w:t>
      </w:r>
      <w:r w:rsidR="0012532A">
        <w:rPr>
          <w:sz w:val="20"/>
          <w:szCs w:val="20"/>
          <w:lang w:val="es-AR"/>
        </w:rPr>
        <w:t xml:space="preserve">ó </w:t>
      </w:r>
      <w:r w:rsidR="000E4A5E">
        <w:rPr>
          <w:sz w:val="20"/>
          <w:szCs w:val="20"/>
          <w:lang w:val="es-AR"/>
        </w:rPr>
        <w:t>la decisión</w:t>
      </w:r>
      <w:r w:rsidR="00D051DA">
        <w:rPr>
          <w:sz w:val="20"/>
          <w:szCs w:val="20"/>
          <w:lang w:val="es-AR"/>
        </w:rPr>
        <w:t>.</w:t>
      </w:r>
    </w:p>
    <w:p w14:paraId="7CFB56BF" w14:textId="59B2A17E" w:rsidR="006E621A" w:rsidRPr="00857D2C" w:rsidRDefault="00D051DA" w:rsidP="00747A05">
      <w:pPr>
        <w:pStyle w:val="ListParagraph"/>
        <w:numPr>
          <w:ilvl w:val="0"/>
          <w:numId w:val="61"/>
        </w:numPr>
        <w:ind w:left="0" w:firstLine="720"/>
        <w:jc w:val="both"/>
        <w:rPr>
          <w:rFonts w:asciiTheme="majorHAnsi" w:hAnsiTheme="majorHAnsi"/>
          <w:bCs/>
          <w:sz w:val="20"/>
          <w:szCs w:val="20"/>
          <w:lang w:val="es-UY"/>
        </w:rPr>
      </w:pPr>
      <w:r w:rsidRPr="0029491B">
        <w:rPr>
          <w:sz w:val="20"/>
          <w:szCs w:val="20"/>
          <w:lang w:val="es-AR"/>
        </w:rPr>
        <w:t xml:space="preserve">El peticionario destaca que la Corte Constitucional seleccionó su acción de tutela para revisión y la acumuló con otros casos similares. </w:t>
      </w:r>
      <w:r w:rsidR="00A54692" w:rsidRPr="0029491B">
        <w:rPr>
          <w:sz w:val="20"/>
          <w:szCs w:val="20"/>
          <w:lang w:val="es-AR"/>
        </w:rPr>
        <w:t xml:space="preserve">El 12 de enero de 2015 </w:t>
      </w:r>
      <w:r w:rsidR="00C02E2F">
        <w:rPr>
          <w:sz w:val="20"/>
          <w:szCs w:val="20"/>
          <w:lang w:val="es-AR"/>
        </w:rPr>
        <w:t>esta máxima instancia</w:t>
      </w:r>
      <w:r w:rsidR="00A54692" w:rsidRPr="0029491B">
        <w:rPr>
          <w:sz w:val="20"/>
          <w:szCs w:val="20"/>
          <w:lang w:val="es-AR"/>
        </w:rPr>
        <w:t xml:space="preserve"> profirió la sentencia de unificación SU-053/15</w:t>
      </w:r>
      <w:r w:rsidR="00036397" w:rsidRPr="0029491B">
        <w:rPr>
          <w:sz w:val="20"/>
          <w:szCs w:val="20"/>
          <w:lang w:val="es-AR"/>
        </w:rPr>
        <w:t xml:space="preserve"> mediante la cual </w:t>
      </w:r>
      <w:r w:rsidR="005C02B2" w:rsidRPr="0029491B">
        <w:rPr>
          <w:sz w:val="20"/>
          <w:szCs w:val="20"/>
          <w:lang w:val="es-AR"/>
        </w:rPr>
        <w:t xml:space="preserve">revocó todas las decisiones adoptadas en el proceso de tutela y de nulidad y restablecimiento del derecho, y ordenó el reintegro al cargo de la presunta víctima, siempre y cuando </w:t>
      </w:r>
      <w:r w:rsidR="00C02E2F">
        <w:rPr>
          <w:sz w:val="20"/>
          <w:szCs w:val="20"/>
          <w:lang w:val="es-AR"/>
        </w:rPr>
        <w:t>dicho cargo</w:t>
      </w:r>
      <w:r w:rsidR="0026688D">
        <w:rPr>
          <w:sz w:val="20"/>
          <w:szCs w:val="20"/>
          <w:lang w:val="es-AR"/>
        </w:rPr>
        <w:t xml:space="preserve"> no se </w:t>
      </w:r>
      <w:r w:rsidR="005C02B2" w:rsidRPr="0029491B">
        <w:rPr>
          <w:sz w:val="20"/>
          <w:szCs w:val="20"/>
          <w:lang w:val="es-AR"/>
        </w:rPr>
        <w:t>hubiera provisto mediante concurso, y</w:t>
      </w:r>
      <w:r w:rsidR="003810B5" w:rsidRPr="0029491B">
        <w:rPr>
          <w:sz w:val="20"/>
          <w:szCs w:val="20"/>
          <w:lang w:val="es-AR"/>
        </w:rPr>
        <w:t xml:space="preserve"> reconoció el pago a título de indemnización de los salarios dejados de percibir hasta entonces</w:t>
      </w:r>
      <w:r w:rsidR="001319A6" w:rsidRPr="0029491B">
        <w:rPr>
          <w:sz w:val="20"/>
          <w:szCs w:val="20"/>
          <w:lang w:val="es-AR"/>
        </w:rPr>
        <w:t xml:space="preserve">, sin que ello excediera el </w:t>
      </w:r>
      <w:r w:rsidR="008C3152" w:rsidRPr="0029491B">
        <w:rPr>
          <w:sz w:val="20"/>
          <w:szCs w:val="20"/>
          <w:lang w:val="es-AR"/>
        </w:rPr>
        <w:t>pago de 24 meses de salario</w:t>
      </w:r>
      <w:r w:rsidR="003810B5" w:rsidRPr="0029491B">
        <w:rPr>
          <w:sz w:val="20"/>
          <w:szCs w:val="20"/>
          <w:lang w:val="es-AR"/>
        </w:rPr>
        <w:t>.</w:t>
      </w:r>
      <w:r w:rsidR="0029491B" w:rsidRPr="0029491B">
        <w:rPr>
          <w:sz w:val="20"/>
          <w:szCs w:val="20"/>
          <w:lang w:val="es-AR"/>
        </w:rPr>
        <w:t xml:space="preserve"> El Sr. Arciniegas </w:t>
      </w:r>
      <w:r w:rsidR="00C02E2F">
        <w:rPr>
          <w:sz w:val="20"/>
          <w:szCs w:val="20"/>
          <w:lang w:val="es-AR"/>
        </w:rPr>
        <w:t>informa</w:t>
      </w:r>
      <w:r w:rsidR="0029491B" w:rsidRPr="0029491B">
        <w:rPr>
          <w:sz w:val="20"/>
          <w:szCs w:val="20"/>
          <w:lang w:val="es-AR"/>
        </w:rPr>
        <w:t xml:space="preserve"> que dicha sentencia le fue </w:t>
      </w:r>
      <w:r w:rsidR="0029491B">
        <w:rPr>
          <w:sz w:val="20"/>
          <w:szCs w:val="20"/>
          <w:lang w:val="es-AR"/>
        </w:rPr>
        <w:t>n</w:t>
      </w:r>
      <w:r w:rsidR="00A61507" w:rsidRPr="0029491B">
        <w:rPr>
          <w:sz w:val="20"/>
          <w:szCs w:val="20"/>
          <w:lang w:val="es-AR"/>
        </w:rPr>
        <w:t>otifica</w:t>
      </w:r>
      <w:r w:rsidR="0029491B">
        <w:rPr>
          <w:sz w:val="20"/>
          <w:szCs w:val="20"/>
          <w:lang w:val="es-AR"/>
        </w:rPr>
        <w:t>da el</w:t>
      </w:r>
      <w:r w:rsidR="00A61507" w:rsidRPr="0029491B">
        <w:rPr>
          <w:sz w:val="20"/>
          <w:szCs w:val="20"/>
          <w:lang w:val="es-AR"/>
        </w:rPr>
        <w:t xml:space="preserve"> 16 de abril de 2015.</w:t>
      </w:r>
    </w:p>
    <w:p w14:paraId="1702A8DC" w14:textId="746D5D1F" w:rsidR="00857D2C" w:rsidRPr="0029491B" w:rsidRDefault="00C02E2F" w:rsidP="00747A05">
      <w:pPr>
        <w:pStyle w:val="ListParagraph"/>
        <w:numPr>
          <w:ilvl w:val="0"/>
          <w:numId w:val="61"/>
        </w:numPr>
        <w:ind w:left="0" w:firstLine="720"/>
        <w:jc w:val="both"/>
        <w:rPr>
          <w:rFonts w:asciiTheme="majorHAnsi" w:hAnsiTheme="majorHAnsi"/>
          <w:bCs/>
          <w:sz w:val="20"/>
          <w:szCs w:val="20"/>
          <w:lang w:val="es-UY"/>
        </w:rPr>
      </w:pPr>
      <w:r>
        <w:rPr>
          <w:sz w:val="20"/>
          <w:szCs w:val="20"/>
          <w:lang w:val="es-AR"/>
        </w:rPr>
        <w:t>Sin embargo</w:t>
      </w:r>
      <w:r w:rsidR="009422B3">
        <w:rPr>
          <w:sz w:val="20"/>
          <w:szCs w:val="20"/>
          <w:lang w:val="es-AR"/>
        </w:rPr>
        <w:t xml:space="preserve">, el peticionario acude a la Comisión Interamericana </w:t>
      </w:r>
      <w:r w:rsidR="00166841">
        <w:rPr>
          <w:sz w:val="20"/>
          <w:szCs w:val="20"/>
          <w:lang w:val="es-AR"/>
        </w:rPr>
        <w:t xml:space="preserve">por su inconformidad con </w:t>
      </w:r>
      <w:r w:rsidR="003B3EC2">
        <w:rPr>
          <w:sz w:val="20"/>
          <w:szCs w:val="20"/>
          <w:lang w:val="es-AR"/>
        </w:rPr>
        <w:t>la orden indemnizatoria proferida en tanto considera que el límite de los 24 salarios caídos contraría la jurisprudencia previa</w:t>
      </w:r>
      <w:r w:rsidR="006440F2">
        <w:rPr>
          <w:sz w:val="20"/>
          <w:szCs w:val="20"/>
          <w:lang w:val="es-AR"/>
        </w:rPr>
        <w:t xml:space="preserve"> del alto tribunal</w:t>
      </w:r>
      <w:r w:rsidR="00B133E2">
        <w:rPr>
          <w:sz w:val="20"/>
          <w:szCs w:val="20"/>
          <w:lang w:val="es-AR"/>
        </w:rPr>
        <w:t>, lo que genera</w:t>
      </w:r>
      <w:r>
        <w:rPr>
          <w:sz w:val="20"/>
          <w:szCs w:val="20"/>
          <w:lang w:val="es-AR"/>
        </w:rPr>
        <w:t>, a su juicio,</w:t>
      </w:r>
      <w:r w:rsidR="00B133E2">
        <w:rPr>
          <w:sz w:val="20"/>
          <w:szCs w:val="20"/>
          <w:lang w:val="es-AR"/>
        </w:rPr>
        <w:t xml:space="preserve"> la violación de su derecho a la igualdad, puesto que su caso habría sido fallado diferente a otros similares. </w:t>
      </w:r>
      <w:r w:rsidR="00E3413B">
        <w:rPr>
          <w:sz w:val="20"/>
          <w:szCs w:val="20"/>
          <w:lang w:val="es-AR"/>
        </w:rPr>
        <w:t>Con ello, también alega la violación de su derecho a acceder a un recurso judicial efectivo</w:t>
      </w:r>
      <w:r w:rsidR="00341F74">
        <w:rPr>
          <w:sz w:val="20"/>
          <w:szCs w:val="20"/>
          <w:lang w:val="es-AR"/>
        </w:rPr>
        <w:t>, puesto que no</w:t>
      </w:r>
      <w:r w:rsidR="004E0A4D">
        <w:rPr>
          <w:sz w:val="20"/>
          <w:szCs w:val="20"/>
          <w:lang w:val="es-AR"/>
        </w:rPr>
        <w:t xml:space="preserve"> </w:t>
      </w:r>
      <w:r w:rsidR="00341F74">
        <w:rPr>
          <w:sz w:val="20"/>
          <w:szCs w:val="20"/>
          <w:lang w:val="es-AR"/>
        </w:rPr>
        <w:t>obtuvo una reparación suficiente.</w:t>
      </w:r>
      <w:r w:rsidR="00A672EC">
        <w:rPr>
          <w:sz w:val="20"/>
          <w:szCs w:val="20"/>
          <w:lang w:val="es-AR"/>
        </w:rPr>
        <w:t xml:space="preserve"> Por lo anterior, solicita a la CIDH </w:t>
      </w:r>
      <w:r w:rsidR="00CA02CB">
        <w:rPr>
          <w:sz w:val="20"/>
          <w:szCs w:val="20"/>
          <w:lang w:val="es-AR"/>
        </w:rPr>
        <w:t>recomendar al Estado realizar una reparación de los daños y perjuicios morales y materiales que incluya el pago de los salarios y prestaciones caídas desde el 12 de enero de 2006 hasta su reintegro efectivo.</w:t>
      </w:r>
    </w:p>
    <w:p w14:paraId="142267EB" w14:textId="1CC07C3A" w:rsidR="00890DA0" w:rsidRPr="00125980" w:rsidRDefault="00125980" w:rsidP="002E5A4F">
      <w:pPr>
        <w:pStyle w:val="ListParagraph"/>
        <w:numPr>
          <w:ilvl w:val="0"/>
          <w:numId w:val="0"/>
        </w:numPr>
        <w:ind w:left="720"/>
        <w:jc w:val="both"/>
        <w:rPr>
          <w:rFonts w:asciiTheme="majorHAnsi" w:hAnsiTheme="majorHAnsi"/>
          <w:b/>
          <w:bCs/>
          <w:sz w:val="20"/>
          <w:szCs w:val="20"/>
          <w:lang w:val="es-UY"/>
        </w:rPr>
      </w:pPr>
      <w:r>
        <w:rPr>
          <w:b/>
          <w:bCs/>
          <w:sz w:val="20"/>
          <w:szCs w:val="20"/>
          <w:lang w:val="es-AR"/>
        </w:rPr>
        <w:t xml:space="preserve">El </w:t>
      </w:r>
      <w:r w:rsidR="00890DA0" w:rsidRPr="00125980">
        <w:rPr>
          <w:b/>
          <w:bCs/>
          <w:sz w:val="20"/>
          <w:szCs w:val="20"/>
          <w:lang w:val="es-AR"/>
        </w:rPr>
        <w:t>Estado</w:t>
      </w:r>
      <w:r>
        <w:rPr>
          <w:b/>
          <w:bCs/>
          <w:sz w:val="20"/>
          <w:szCs w:val="20"/>
          <w:lang w:val="es-AR"/>
        </w:rPr>
        <w:t xml:space="preserve"> </w:t>
      </w:r>
      <w:r w:rsidR="009426DB">
        <w:rPr>
          <w:b/>
          <w:bCs/>
          <w:sz w:val="20"/>
          <w:szCs w:val="20"/>
          <w:lang w:val="es-AR"/>
        </w:rPr>
        <w:t>colombiano</w:t>
      </w:r>
    </w:p>
    <w:p w14:paraId="68A417B2" w14:textId="6068E396" w:rsidR="00B93D7F" w:rsidRPr="00467F6E" w:rsidRDefault="002F2062"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E</w:t>
      </w:r>
      <w:r w:rsidR="00B93D7F" w:rsidRPr="006E621A">
        <w:rPr>
          <w:sz w:val="20"/>
          <w:szCs w:val="20"/>
          <w:lang w:val="es-AR"/>
        </w:rPr>
        <w:t>l Es</w:t>
      </w:r>
      <w:r w:rsidR="003F5154" w:rsidRPr="006E621A">
        <w:rPr>
          <w:sz w:val="20"/>
          <w:szCs w:val="20"/>
          <w:lang w:val="es-AR"/>
        </w:rPr>
        <w:t xml:space="preserve">tado, </w:t>
      </w:r>
      <w:r>
        <w:rPr>
          <w:sz w:val="20"/>
          <w:szCs w:val="20"/>
          <w:lang w:val="es-AR"/>
        </w:rPr>
        <w:t>por su parte, replica que la presente petición es inadmisible por</w:t>
      </w:r>
      <w:r w:rsidR="00B0643E">
        <w:rPr>
          <w:sz w:val="20"/>
          <w:szCs w:val="20"/>
          <w:lang w:val="es-AR"/>
        </w:rPr>
        <w:t xml:space="preserve"> la presentación de cargos manifiestamente infundados respecto del derecho a la igualdad</w:t>
      </w:r>
      <w:r w:rsidR="007659F7">
        <w:rPr>
          <w:sz w:val="20"/>
          <w:szCs w:val="20"/>
          <w:lang w:val="es-AR"/>
        </w:rPr>
        <w:t>,</w:t>
      </w:r>
      <w:r w:rsidR="00B0643E">
        <w:rPr>
          <w:sz w:val="20"/>
          <w:szCs w:val="20"/>
          <w:lang w:val="es-AR"/>
        </w:rPr>
        <w:t xml:space="preserve"> por la configuración de la denominada </w:t>
      </w:r>
      <w:r w:rsidR="006A5F81">
        <w:rPr>
          <w:sz w:val="20"/>
          <w:szCs w:val="20"/>
          <w:lang w:val="es-AR"/>
        </w:rPr>
        <w:t xml:space="preserve">‘fórmula de la cuarta instancia </w:t>
      </w:r>
      <w:r w:rsidR="002D25A8">
        <w:rPr>
          <w:sz w:val="20"/>
          <w:szCs w:val="20"/>
          <w:lang w:val="es-AR"/>
        </w:rPr>
        <w:t>internacional</w:t>
      </w:r>
      <w:r w:rsidR="007659F7">
        <w:rPr>
          <w:sz w:val="20"/>
          <w:szCs w:val="20"/>
          <w:lang w:val="es-AR"/>
        </w:rPr>
        <w:t xml:space="preserve"> y por falta de competencia de la Comisión sobre los artículos invocados del Protocolo de San Salvador</w:t>
      </w:r>
      <w:r w:rsidR="003F5154" w:rsidRPr="006E621A">
        <w:rPr>
          <w:sz w:val="20"/>
          <w:szCs w:val="20"/>
          <w:lang w:val="es-AR"/>
        </w:rPr>
        <w:t>.</w:t>
      </w:r>
    </w:p>
    <w:p w14:paraId="0FE41741" w14:textId="002A270E" w:rsidR="00467F6E" w:rsidRPr="00AA75B7" w:rsidRDefault="001A1D8B"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En primer lugar, </w:t>
      </w:r>
      <w:r w:rsidR="00C02E2F">
        <w:rPr>
          <w:sz w:val="20"/>
          <w:szCs w:val="20"/>
          <w:lang w:val="es-AR"/>
        </w:rPr>
        <w:t>plantea</w:t>
      </w:r>
      <w:r w:rsidR="00A532F0">
        <w:rPr>
          <w:sz w:val="20"/>
          <w:szCs w:val="20"/>
          <w:lang w:val="es-AR"/>
        </w:rPr>
        <w:t xml:space="preserve"> que el artículo 47.c</w:t>
      </w:r>
      <w:r w:rsidR="00C02E2F">
        <w:rPr>
          <w:sz w:val="20"/>
          <w:szCs w:val="20"/>
          <w:lang w:val="es-AR"/>
        </w:rPr>
        <w:t>)</w:t>
      </w:r>
      <w:r w:rsidR="00A532F0">
        <w:rPr>
          <w:sz w:val="20"/>
          <w:szCs w:val="20"/>
          <w:lang w:val="es-AR"/>
        </w:rPr>
        <w:t xml:space="preserve"> de la Convención establece que se declararán inadmisibles las peticiones que contengan cargos manifiestamente infundados, </w:t>
      </w:r>
      <w:r w:rsidR="009F0ABF">
        <w:rPr>
          <w:sz w:val="20"/>
          <w:szCs w:val="20"/>
          <w:lang w:val="es-AR"/>
        </w:rPr>
        <w:t>y</w:t>
      </w:r>
      <w:r w:rsidR="009C7CC2">
        <w:rPr>
          <w:sz w:val="20"/>
          <w:szCs w:val="20"/>
          <w:lang w:val="es-AR"/>
        </w:rPr>
        <w:t xml:space="preserve"> que </w:t>
      </w:r>
      <w:r w:rsidR="00666D99">
        <w:rPr>
          <w:sz w:val="20"/>
          <w:szCs w:val="20"/>
          <w:lang w:val="es-AR"/>
        </w:rPr>
        <w:t xml:space="preserve">la presunta víctima no </w:t>
      </w:r>
      <w:r w:rsidR="007936C3">
        <w:rPr>
          <w:sz w:val="20"/>
          <w:szCs w:val="20"/>
          <w:lang w:val="es-AR"/>
        </w:rPr>
        <w:t xml:space="preserve">ofrece ningún sustento tendiente a demostrar la existencia de una ley discriminatoria </w:t>
      </w:r>
      <w:r w:rsidR="00C02E2F">
        <w:rPr>
          <w:sz w:val="20"/>
          <w:szCs w:val="20"/>
          <w:lang w:val="es-AR"/>
        </w:rPr>
        <w:t>vigente en Colombia</w:t>
      </w:r>
      <w:r w:rsidR="007936C3">
        <w:rPr>
          <w:sz w:val="20"/>
          <w:szCs w:val="20"/>
          <w:lang w:val="es-AR"/>
        </w:rPr>
        <w:t xml:space="preserve">, ni </w:t>
      </w:r>
      <w:r w:rsidR="007936C3">
        <w:rPr>
          <w:sz w:val="20"/>
          <w:szCs w:val="20"/>
          <w:lang w:val="es-AR"/>
        </w:rPr>
        <w:lastRenderedPageBreak/>
        <w:t>de la aplicación arbitraria de la legislación interna</w:t>
      </w:r>
      <w:r w:rsidR="00BD7750">
        <w:rPr>
          <w:sz w:val="20"/>
          <w:szCs w:val="20"/>
          <w:lang w:val="es-AR"/>
        </w:rPr>
        <w:t xml:space="preserve"> que vulnere su derecho a la igualdad.</w:t>
      </w:r>
      <w:r w:rsidR="002B0CB7">
        <w:rPr>
          <w:sz w:val="20"/>
          <w:szCs w:val="20"/>
          <w:lang w:val="es-AR"/>
        </w:rPr>
        <w:t xml:space="preserve"> Por el contrario, el peticionario se limita a señalar que </w:t>
      </w:r>
      <w:r w:rsidR="00AA75B7">
        <w:rPr>
          <w:sz w:val="20"/>
          <w:szCs w:val="20"/>
          <w:lang w:val="es-AR"/>
        </w:rPr>
        <w:t>el Estado habría violado dicho derecho sin alegato o sustento alguno, por lo cual, dicho cargo resulta manifiestamente infundado, y, por ende, inadmisible.</w:t>
      </w:r>
    </w:p>
    <w:p w14:paraId="08534DB6" w14:textId="77EB00CC" w:rsidR="00AA75B7" w:rsidRPr="00B275DF" w:rsidRDefault="000455F7"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Por otro lado, el Estado aduce que </w:t>
      </w:r>
      <w:r w:rsidR="00402769">
        <w:rPr>
          <w:sz w:val="20"/>
          <w:szCs w:val="20"/>
          <w:lang w:val="es-AR"/>
        </w:rPr>
        <w:t>la petición incurre en la denominada ‘fórmula de la cuarta instancia internacional’</w:t>
      </w:r>
      <w:r w:rsidR="009956D1">
        <w:rPr>
          <w:sz w:val="20"/>
          <w:szCs w:val="20"/>
          <w:lang w:val="es-AR"/>
        </w:rPr>
        <w:t>, en la medida que el peticionario pretende que la Comisión revise y revoque la sentencia de la Corte Constitucional en tanto tribunal de alzada internacional</w:t>
      </w:r>
      <w:r w:rsidR="000043A1">
        <w:rPr>
          <w:sz w:val="20"/>
          <w:szCs w:val="20"/>
          <w:lang w:val="es-AR"/>
        </w:rPr>
        <w:t xml:space="preserve">, sin que se verifique la existencia de violaciones de derechos humanos. Colombia </w:t>
      </w:r>
      <w:r w:rsidR="00936558">
        <w:rPr>
          <w:sz w:val="20"/>
          <w:szCs w:val="20"/>
          <w:lang w:val="es-AR"/>
        </w:rPr>
        <w:t>recalca</w:t>
      </w:r>
      <w:r w:rsidR="000043A1">
        <w:rPr>
          <w:sz w:val="20"/>
          <w:szCs w:val="20"/>
          <w:lang w:val="es-AR"/>
        </w:rPr>
        <w:t xml:space="preserve"> que según la </w:t>
      </w:r>
      <w:r w:rsidR="00F85668">
        <w:rPr>
          <w:sz w:val="20"/>
          <w:szCs w:val="20"/>
          <w:lang w:val="es-AR"/>
        </w:rPr>
        <w:t xml:space="preserve">doctrina de la cuarta instancia la CIDH no tiene la facultad de revisar las providencias emanadas de los tribunales domésticos que </w:t>
      </w:r>
      <w:r w:rsidR="00AE489F">
        <w:rPr>
          <w:sz w:val="20"/>
          <w:szCs w:val="20"/>
          <w:lang w:val="es-AR"/>
        </w:rPr>
        <w:t>actúen en la esfera de su competencia y en aplicación de las garantías judiciales.</w:t>
      </w:r>
      <w:r w:rsidR="001503F2">
        <w:rPr>
          <w:sz w:val="20"/>
          <w:szCs w:val="20"/>
          <w:lang w:val="es-AR"/>
        </w:rPr>
        <w:t xml:space="preserve"> En el caso concreto, </w:t>
      </w:r>
      <w:r w:rsidR="00B259F3">
        <w:rPr>
          <w:sz w:val="20"/>
          <w:szCs w:val="20"/>
          <w:lang w:val="es-AR"/>
        </w:rPr>
        <w:t>a</w:t>
      </w:r>
      <w:r w:rsidR="00345ECB">
        <w:rPr>
          <w:sz w:val="20"/>
          <w:szCs w:val="20"/>
          <w:lang w:val="es-AR"/>
        </w:rPr>
        <w:t>firm</w:t>
      </w:r>
      <w:r w:rsidR="00B259F3">
        <w:rPr>
          <w:sz w:val="20"/>
          <w:szCs w:val="20"/>
          <w:lang w:val="es-AR"/>
        </w:rPr>
        <w:t xml:space="preserve">a que </w:t>
      </w:r>
      <w:r w:rsidR="002366A3">
        <w:rPr>
          <w:sz w:val="20"/>
          <w:szCs w:val="20"/>
          <w:lang w:val="es-AR"/>
        </w:rPr>
        <w:t xml:space="preserve">la Corte Constitucional </w:t>
      </w:r>
      <w:r w:rsidR="00BE567D">
        <w:rPr>
          <w:sz w:val="20"/>
          <w:szCs w:val="20"/>
          <w:lang w:val="es-AR"/>
        </w:rPr>
        <w:t xml:space="preserve">reiteró </w:t>
      </w:r>
      <w:r w:rsidR="00FA3B87">
        <w:rPr>
          <w:sz w:val="20"/>
          <w:szCs w:val="20"/>
          <w:lang w:val="es-AR"/>
        </w:rPr>
        <w:t xml:space="preserve">el deber de la administración de motivar los actos que llevan al retiro y </w:t>
      </w:r>
      <w:r w:rsidR="00702A38">
        <w:rPr>
          <w:sz w:val="20"/>
          <w:szCs w:val="20"/>
          <w:lang w:val="es-AR"/>
        </w:rPr>
        <w:t xml:space="preserve">unificó su criterio debido a las discrepancias que presentaba con la </w:t>
      </w:r>
      <w:r w:rsidR="007E324E">
        <w:rPr>
          <w:sz w:val="20"/>
          <w:szCs w:val="20"/>
          <w:lang w:val="es-AR"/>
        </w:rPr>
        <w:t>jurisprudencia del Consejo de Estado</w:t>
      </w:r>
      <w:r w:rsidR="00926630">
        <w:rPr>
          <w:sz w:val="20"/>
          <w:szCs w:val="20"/>
          <w:lang w:val="es-AR"/>
        </w:rPr>
        <w:t xml:space="preserve">, por lo que ordenó el reintegro de la presunta víctima y declaró la nulidad de su cese. </w:t>
      </w:r>
      <w:r w:rsidR="00C553CE">
        <w:rPr>
          <w:sz w:val="20"/>
          <w:szCs w:val="20"/>
          <w:lang w:val="es-AR"/>
        </w:rPr>
        <w:t xml:space="preserve">Por lo tanto, </w:t>
      </w:r>
      <w:r w:rsidR="0078513B">
        <w:rPr>
          <w:sz w:val="20"/>
          <w:szCs w:val="20"/>
          <w:lang w:val="es-AR"/>
        </w:rPr>
        <w:t xml:space="preserve">el Estado </w:t>
      </w:r>
      <w:r w:rsidR="00C553CE">
        <w:rPr>
          <w:sz w:val="20"/>
          <w:szCs w:val="20"/>
          <w:lang w:val="es-AR"/>
        </w:rPr>
        <w:t xml:space="preserve">considera que el peticionario pretende que la CIDH </w:t>
      </w:r>
      <w:r w:rsidR="00086BC8">
        <w:rPr>
          <w:sz w:val="20"/>
          <w:szCs w:val="20"/>
          <w:lang w:val="es-AR"/>
        </w:rPr>
        <w:t xml:space="preserve">realice una nueva valoración de las pruebas y de </w:t>
      </w:r>
      <w:r w:rsidR="00C553CE">
        <w:rPr>
          <w:sz w:val="20"/>
          <w:szCs w:val="20"/>
          <w:lang w:val="es-AR"/>
        </w:rPr>
        <w:t xml:space="preserve">cuestiones que ya fueron </w:t>
      </w:r>
      <w:r w:rsidR="003B7C41">
        <w:rPr>
          <w:sz w:val="20"/>
          <w:szCs w:val="20"/>
          <w:lang w:val="es-AR"/>
        </w:rPr>
        <w:t>resueltas</w:t>
      </w:r>
      <w:r w:rsidR="00C553CE">
        <w:rPr>
          <w:sz w:val="20"/>
          <w:szCs w:val="20"/>
          <w:lang w:val="es-AR"/>
        </w:rPr>
        <w:t xml:space="preserve"> a nivel interno,</w:t>
      </w:r>
      <w:r w:rsidR="003B7C41">
        <w:rPr>
          <w:sz w:val="20"/>
          <w:szCs w:val="20"/>
          <w:lang w:val="es-AR"/>
        </w:rPr>
        <w:t xml:space="preserve"> conforme a la legislación y a los derechos reconocidos en la Convención Americana. Por consiguiente, solicita la declaratoria de inadmisibilidad de la presente petición.</w:t>
      </w:r>
    </w:p>
    <w:p w14:paraId="0293D009" w14:textId="7127752C" w:rsidR="00B275DF" w:rsidRPr="001731A3" w:rsidRDefault="001731A3"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D</w:t>
      </w:r>
      <w:r w:rsidR="00B275DF">
        <w:rPr>
          <w:sz w:val="20"/>
          <w:szCs w:val="20"/>
          <w:lang w:val="es-AR"/>
        </w:rPr>
        <w:t xml:space="preserve">e manera subsidiaria, el Estado plantea </w:t>
      </w:r>
      <w:r w:rsidR="00301A01">
        <w:rPr>
          <w:sz w:val="20"/>
          <w:szCs w:val="20"/>
          <w:lang w:val="es-AR"/>
        </w:rPr>
        <w:t xml:space="preserve">la inadmisibilidad de la petición porque no contiene hechos que caractericen </w:t>
      </w:r>
      <w:r w:rsidR="00301A01" w:rsidRPr="00301A01">
        <w:rPr>
          <w:i/>
          <w:iCs/>
          <w:sz w:val="20"/>
          <w:szCs w:val="20"/>
          <w:lang w:val="es-AR"/>
        </w:rPr>
        <w:t>prima facie</w:t>
      </w:r>
      <w:r w:rsidR="00301A01">
        <w:rPr>
          <w:sz w:val="20"/>
          <w:szCs w:val="20"/>
          <w:lang w:val="es-AR"/>
        </w:rPr>
        <w:t xml:space="preserve"> violaciones a la Convenció</w:t>
      </w:r>
      <w:r w:rsidR="00EA1AC8">
        <w:rPr>
          <w:sz w:val="20"/>
          <w:szCs w:val="20"/>
          <w:lang w:val="es-AR"/>
        </w:rPr>
        <w:t>n</w:t>
      </w:r>
      <w:r w:rsidR="00301A01">
        <w:rPr>
          <w:sz w:val="20"/>
          <w:szCs w:val="20"/>
          <w:lang w:val="es-AR"/>
        </w:rPr>
        <w:t>, conforme al artículo 47.b</w:t>
      </w:r>
      <w:r w:rsidR="00C52102">
        <w:rPr>
          <w:sz w:val="20"/>
          <w:szCs w:val="20"/>
          <w:lang w:val="es-AR"/>
        </w:rPr>
        <w:t>)</w:t>
      </w:r>
      <w:r w:rsidR="00301A01">
        <w:rPr>
          <w:sz w:val="20"/>
          <w:szCs w:val="20"/>
          <w:lang w:val="es-AR"/>
        </w:rPr>
        <w:t xml:space="preserve"> de dicho instrumento</w:t>
      </w:r>
      <w:r w:rsidR="00EE23D7">
        <w:rPr>
          <w:sz w:val="20"/>
          <w:szCs w:val="20"/>
          <w:lang w:val="es-AR"/>
        </w:rPr>
        <w:t>.</w:t>
      </w:r>
      <w:r w:rsidR="007D4402">
        <w:rPr>
          <w:sz w:val="20"/>
          <w:szCs w:val="20"/>
          <w:lang w:val="es-AR"/>
        </w:rPr>
        <w:t xml:space="preserve"> A modo de sustento, cita la sentencia de la Corte Interamericana de Derechos Humanos (en adelante “la Corte Interamericana” o “la Corte IDH”) </w:t>
      </w:r>
      <w:r w:rsidR="00877C2D">
        <w:rPr>
          <w:sz w:val="20"/>
          <w:szCs w:val="20"/>
          <w:lang w:val="es-AR"/>
        </w:rPr>
        <w:t xml:space="preserve">del </w:t>
      </w:r>
      <w:r w:rsidR="00877C2D" w:rsidRPr="00877C2D">
        <w:rPr>
          <w:i/>
          <w:iCs/>
          <w:sz w:val="20"/>
          <w:szCs w:val="20"/>
          <w:lang w:val="es-AR"/>
        </w:rPr>
        <w:t>Caso Martínez Esquivia vs. Colombia</w:t>
      </w:r>
      <w:r w:rsidR="00877C2D">
        <w:rPr>
          <w:sz w:val="20"/>
          <w:szCs w:val="20"/>
          <w:lang w:val="es-AR"/>
        </w:rPr>
        <w:t xml:space="preserve">, en la cual dicho tribunal estimó que el criterio seguido por la Corte Constitucional </w:t>
      </w:r>
      <w:r w:rsidR="00A10B53">
        <w:rPr>
          <w:sz w:val="20"/>
          <w:szCs w:val="20"/>
          <w:lang w:val="es-AR"/>
        </w:rPr>
        <w:t xml:space="preserve">en materia de indemnización </w:t>
      </w:r>
      <w:r w:rsidR="003001F1">
        <w:rPr>
          <w:sz w:val="20"/>
          <w:szCs w:val="20"/>
          <w:lang w:val="es-AR"/>
        </w:rPr>
        <w:t xml:space="preserve">por el cese injustificado </w:t>
      </w:r>
      <w:r w:rsidR="0013697F">
        <w:rPr>
          <w:sz w:val="20"/>
          <w:szCs w:val="20"/>
          <w:lang w:val="es-AR"/>
        </w:rPr>
        <w:t xml:space="preserve">de fiscales </w:t>
      </w:r>
      <w:r w:rsidR="00A10B53">
        <w:rPr>
          <w:sz w:val="20"/>
          <w:szCs w:val="20"/>
          <w:lang w:val="es-AR"/>
        </w:rPr>
        <w:t>era equitativo y razonable.</w:t>
      </w:r>
    </w:p>
    <w:p w14:paraId="0C925EDE" w14:textId="00AD7BAC" w:rsidR="001731A3" w:rsidRPr="006E621A" w:rsidRDefault="001731A3"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Por último, el Estado </w:t>
      </w:r>
      <w:r w:rsidR="0078406D">
        <w:rPr>
          <w:sz w:val="20"/>
          <w:szCs w:val="20"/>
          <w:lang w:val="es-AR"/>
        </w:rPr>
        <w:t>a</w:t>
      </w:r>
      <w:r w:rsidR="006B4FAA">
        <w:rPr>
          <w:sz w:val="20"/>
          <w:szCs w:val="20"/>
          <w:lang w:val="es-AR"/>
        </w:rPr>
        <w:t xml:space="preserve">rguye que </w:t>
      </w:r>
      <w:r w:rsidR="0078406D">
        <w:rPr>
          <w:sz w:val="20"/>
          <w:szCs w:val="20"/>
          <w:lang w:val="es-AR"/>
        </w:rPr>
        <w:t xml:space="preserve">la CIDH </w:t>
      </w:r>
      <w:r w:rsidR="006B4FAA">
        <w:rPr>
          <w:sz w:val="20"/>
          <w:szCs w:val="20"/>
          <w:lang w:val="es-AR"/>
        </w:rPr>
        <w:t xml:space="preserve">carece de competencia </w:t>
      </w:r>
      <w:r w:rsidR="0078406D">
        <w:rPr>
          <w:sz w:val="20"/>
          <w:szCs w:val="20"/>
          <w:lang w:val="es-AR"/>
        </w:rPr>
        <w:t>para conocer las alegadas violaciones del artículo 9 del Protocolo de San Salvador</w:t>
      </w:r>
      <w:r w:rsidR="00B345E0">
        <w:rPr>
          <w:sz w:val="20"/>
          <w:szCs w:val="20"/>
          <w:lang w:val="es-AR"/>
        </w:rPr>
        <w:t>, por cuanto el artículo 19.6 de este instrumento</w:t>
      </w:r>
      <w:r w:rsidR="00270B89">
        <w:rPr>
          <w:sz w:val="20"/>
          <w:szCs w:val="20"/>
          <w:lang w:val="es-AR"/>
        </w:rPr>
        <w:t xml:space="preserve"> sólo otorga la competencia contenciosa frente a sus artículos 8.1.a) y 13.</w:t>
      </w:r>
      <w:r w:rsidR="000F48E2">
        <w:rPr>
          <w:sz w:val="20"/>
          <w:szCs w:val="20"/>
          <w:lang w:val="es-AR"/>
        </w:rPr>
        <w:t xml:space="preserve"> En consecuencia,</w:t>
      </w:r>
      <w:r w:rsidR="00724B64">
        <w:rPr>
          <w:sz w:val="20"/>
          <w:szCs w:val="20"/>
          <w:lang w:val="es-AR"/>
        </w:rPr>
        <w:t xml:space="preserve"> sostiene</w:t>
      </w:r>
      <w:r w:rsidR="00B22E99">
        <w:rPr>
          <w:sz w:val="20"/>
          <w:szCs w:val="20"/>
          <w:lang w:val="es-AR"/>
        </w:rPr>
        <w:t xml:space="preserve"> que</w:t>
      </w:r>
      <w:r w:rsidR="000F48E2">
        <w:rPr>
          <w:sz w:val="20"/>
          <w:szCs w:val="20"/>
          <w:lang w:val="es-AR"/>
        </w:rPr>
        <w:t xml:space="preserve"> </w:t>
      </w:r>
      <w:r w:rsidR="002F2104">
        <w:rPr>
          <w:sz w:val="20"/>
          <w:szCs w:val="20"/>
          <w:lang w:val="es-AR"/>
        </w:rPr>
        <w:t xml:space="preserve">la Comisión no </w:t>
      </w:r>
      <w:r w:rsidR="00B22E99">
        <w:rPr>
          <w:sz w:val="20"/>
          <w:szCs w:val="20"/>
          <w:lang w:val="es-AR"/>
        </w:rPr>
        <w:t xml:space="preserve">tiene la facultad de pronunciarse sobre este reclamo y solicita </w:t>
      </w:r>
      <w:r w:rsidR="000A369B">
        <w:rPr>
          <w:sz w:val="20"/>
          <w:szCs w:val="20"/>
          <w:lang w:val="es-AR"/>
        </w:rPr>
        <w:t xml:space="preserve">que </w:t>
      </w:r>
      <w:r w:rsidR="00B22E99">
        <w:rPr>
          <w:sz w:val="20"/>
          <w:szCs w:val="20"/>
          <w:lang w:val="es-AR"/>
        </w:rPr>
        <w:t>se abstenga de hacerlo</w:t>
      </w:r>
      <w:r w:rsidR="002F2104">
        <w:rPr>
          <w:sz w:val="20"/>
          <w:szCs w:val="20"/>
          <w:lang w:val="es-AR"/>
        </w:rPr>
        <w:t>.</w:t>
      </w:r>
    </w:p>
    <w:p w14:paraId="51F68C92" w14:textId="77777777" w:rsidR="003239B8" w:rsidRPr="00E64C3D" w:rsidRDefault="003239B8" w:rsidP="003239B8">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7A7BA3C3" w14:textId="06AEFA90" w:rsidR="006C0ECF" w:rsidRDefault="00275BF8"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Esta petición versa sobre el despido injustificado del cargo que el Sr. Arciniegas ocupaba como fiscal en provisionalidad y la falta de una indemnización adecuada por los perjuicios sufridos. El Estado no present</w:t>
      </w:r>
      <w:r w:rsidR="00B028D9">
        <w:rPr>
          <w:sz w:val="20"/>
          <w:szCs w:val="20"/>
          <w:lang w:val="es-ES"/>
        </w:rPr>
        <w:t>a</w:t>
      </w:r>
      <w:r>
        <w:rPr>
          <w:sz w:val="20"/>
          <w:szCs w:val="20"/>
          <w:lang w:val="es-ES"/>
        </w:rPr>
        <w:t xml:space="preserve"> observaciones respecto del agotamiento de los recursos internos</w:t>
      </w:r>
      <w:r w:rsidR="00CB0E5C">
        <w:rPr>
          <w:sz w:val="20"/>
          <w:szCs w:val="20"/>
          <w:lang w:val="es-ES"/>
        </w:rPr>
        <w:t>.</w:t>
      </w:r>
    </w:p>
    <w:p w14:paraId="4D7045E1" w14:textId="3B90D835" w:rsidR="008C5E2D" w:rsidRPr="00ED5E10" w:rsidRDefault="000B783B" w:rsidP="00A93EE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 xml:space="preserve">La Comisión </w:t>
      </w:r>
      <w:r w:rsidR="00F333B2">
        <w:rPr>
          <w:sz w:val="20"/>
          <w:szCs w:val="20"/>
          <w:lang w:val="es-ES"/>
        </w:rPr>
        <w:t>observ</w:t>
      </w:r>
      <w:r>
        <w:rPr>
          <w:sz w:val="20"/>
          <w:szCs w:val="20"/>
          <w:lang w:val="es-ES"/>
        </w:rPr>
        <w:t xml:space="preserve">a que </w:t>
      </w:r>
      <w:r w:rsidR="00A93EEE">
        <w:rPr>
          <w:sz w:val="20"/>
          <w:szCs w:val="20"/>
          <w:lang w:val="es-ES"/>
        </w:rPr>
        <w:t xml:space="preserve">la presunta víctima agotó el recurso de nulidad y restablecimiento del derecho y la acción de tutela, </w:t>
      </w:r>
      <w:r w:rsidR="00A056CA">
        <w:rPr>
          <w:sz w:val="20"/>
          <w:szCs w:val="20"/>
          <w:lang w:val="es-ES"/>
        </w:rPr>
        <w:t xml:space="preserve">obteniendo una sentencia favorable de la Corte Constitucional que le fue notificada el </w:t>
      </w:r>
      <w:r w:rsidR="00616B6D">
        <w:rPr>
          <w:sz w:val="20"/>
          <w:szCs w:val="20"/>
          <w:lang w:val="es-ES"/>
        </w:rPr>
        <w:t xml:space="preserve">16 de abril de 2015. </w:t>
      </w:r>
      <w:r w:rsidR="00010604">
        <w:rPr>
          <w:sz w:val="20"/>
          <w:szCs w:val="20"/>
          <w:lang w:val="es-ES"/>
        </w:rPr>
        <w:t>D</w:t>
      </w:r>
      <w:r w:rsidR="00616B6D">
        <w:rPr>
          <w:sz w:val="20"/>
          <w:szCs w:val="20"/>
          <w:lang w:val="es-ES"/>
        </w:rPr>
        <w:t xml:space="preserve">ado que la petición fue presentada el </w:t>
      </w:r>
      <w:r w:rsidR="00616B6D">
        <w:rPr>
          <w:bCs/>
          <w:sz w:val="20"/>
          <w:szCs w:val="20"/>
          <w:lang w:val="es-ES"/>
        </w:rPr>
        <w:t>31 de agosto de 2015, la CIDH concluye que cumple con los requisitos establecidos en los artículos 46.1</w:t>
      </w:r>
      <w:r w:rsidR="00A14455">
        <w:rPr>
          <w:bCs/>
          <w:sz w:val="20"/>
          <w:szCs w:val="20"/>
          <w:lang w:val="es-ES"/>
        </w:rPr>
        <w:t>.a</w:t>
      </w:r>
      <w:r w:rsidR="00616B6D">
        <w:rPr>
          <w:bCs/>
          <w:sz w:val="20"/>
          <w:szCs w:val="20"/>
          <w:lang w:val="es-ES"/>
        </w:rPr>
        <w:t>) y b) de la Convención Americana.</w:t>
      </w:r>
    </w:p>
    <w:p w14:paraId="673598AF" w14:textId="77777777" w:rsidR="003239B8" w:rsidRDefault="003239B8" w:rsidP="002E5A4F">
      <w:pPr>
        <w:pStyle w:val="ListParagraph"/>
        <w:numPr>
          <w:ilvl w:val="0"/>
          <w:numId w:val="0"/>
        </w:numPr>
        <w:ind w:left="720"/>
        <w:jc w:val="both"/>
        <w:rPr>
          <w:rFonts w:asciiTheme="majorHAnsi" w:hAnsiTheme="majorHAnsi"/>
          <w:b/>
          <w:bCs/>
          <w:sz w:val="20"/>
          <w:szCs w:val="20"/>
          <w:lang w:val="es-UY"/>
        </w:rPr>
      </w:pPr>
      <w:r w:rsidRPr="00E64C3D">
        <w:rPr>
          <w:rFonts w:asciiTheme="majorHAnsi" w:hAnsiTheme="majorHAnsi"/>
          <w:b/>
          <w:bCs/>
          <w:sz w:val="20"/>
          <w:szCs w:val="20"/>
          <w:lang w:val="es-ES"/>
        </w:rPr>
        <w:t>VII.</w:t>
      </w:r>
      <w:r w:rsidRPr="00E64C3D">
        <w:rPr>
          <w:rFonts w:asciiTheme="majorHAnsi" w:hAnsiTheme="majorHAnsi"/>
          <w:b/>
          <w:bCs/>
          <w:sz w:val="20"/>
          <w:szCs w:val="20"/>
          <w:lang w:val="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bCs/>
          <w:sz w:val="20"/>
          <w:szCs w:val="20"/>
          <w:lang w:val="es-ES"/>
        </w:rPr>
        <w:t xml:space="preserve">CARACTERIZACIÓN </w:t>
      </w:r>
      <w:r w:rsidR="00C21FEF" w:rsidRPr="00E64C3D">
        <w:rPr>
          <w:rFonts w:asciiTheme="majorHAnsi" w:hAnsiTheme="majorHAnsi"/>
          <w:b/>
          <w:bCs/>
          <w:sz w:val="20"/>
          <w:szCs w:val="20"/>
          <w:lang w:val="es-UY"/>
        </w:rPr>
        <w:t>DE LOS HECHOS ALEGADOS</w:t>
      </w:r>
    </w:p>
    <w:p w14:paraId="2DDF1999" w14:textId="086E388A" w:rsidR="006E621A" w:rsidRDefault="00A14455"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UY"/>
        </w:rPr>
        <w:t>Ahora bien, l</w:t>
      </w:r>
      <w:r w:rsidR="008C5E2D" w:rsidRPr="006E621A">
        <w:rPr>
          <w:sz w:val="20"/>
          <w:szCs w:val="20"/>
          <w:lang w:val="es-ES"/>
        </w:rPr>
        <w:t xml:space="preserve">a Comisión </w:t>
      </w:r>
      <w:r w:rsidR="00F24EA4">
        <w:rPr>
          <w:sz w:val="20"/>
          <w:szCs w:val="20"/>
          <w:lang w:val="es-ES"/>
        </w:rPr>
        <w:t>advierte</w:t>
      </w:r>
      <w:r w:rsidR="008C5E2D" w:rsidRPr="006E621A">
        <w:rPr>
          <w:sz w:val="20"/>
          <w:szCs w:val="20"/>
          <w:lang w:val="es-ES"/>
        </w:rPr>
        <w:t xml:space="preserve"> que la presente petición inclu</w:t>
      </w:r>
      <w:r w:rsidR="004B421C" w:rsidRPr="006E621A">
        <w:rPr>
          <w:sz w:val="20"/>
          <w:szCs w:val="20"/>
          <w:lang w:val="es-ES"/>
        </w:rPr>
        <w:t>ye alega</w:t>
      </w:r>
      <w:r>
        <w:rPr>
          <w:sz w:val="20"/>
          <w:szCs w:val="20"/>
          <w:lang w:val="es-ES"/>
        </w:rPr>
        <w:t>to</w:t>
      </w:r>
      <w:r w:rsidR="004B421C" w:rsidRPr="006E621A">
        <w:rPr>
          <w:sz w:val="20"/>
          <w:szCs w:val="20"/>
          <w:lang w:val="es-ES"/>
        </w:rPr>
        <w:t xml:space="preserve">s con respecto a </w:t>
      </w:r>
      <w:r w:rsidR="008B2662">
        <w:rPr>
          <w:sz w:val="20"/>
          <w:szCs w:val="20"/>
          <w:lang w:val="es-ES"/>
        </w:rPr>
        <w:t xml:space="preserve">que la indemnización reconocida a nivel interno </w:t>
      </w:r>
      <w:r w:rsidR="003B711C">
        <w:rPr>
          <w:sz w:val="20"/>
          <w:szCs w:val="20"/>
          <w:lang w:val="es-ES"/>
        </w:rPr>
        <w:t xml:space="preserve">a favor </w:t>
      </w:r>
      <w:r w:rsidR="008B2662">
        <w:rPr>
          <w:sz w:val="20"/>
          <w:szCs w:val="20"/>
          <w:lang w:val="es-ES"/>
        </w:rPr>
        <w:t>del Sr. Arciniegas</w:t>
      </w:r>
      <w:r w:rsidR="0094404D">
        <w:rPr>
          <w:sz w:val="20"/>
          <w:szCs w:val="20"/>
          <w:lang w:val="es-ES"/>
        </w:rPr>
        <w:t xml:space="preserve"> resulta</w:t>
      </w:r>
      <w:r w:rsidR="00F81C3A">
        <w:rPr>
          <w:sz w:val="20"/>
          <w:szCs w:val="20"/>
          <w:lang w:val="es-ES"/>
        </w:rPr>
        <w:t>ría</w:t>
      </w:r>
      <w:r w:rsidR="0094404D">
        <w:rPr>
          <w:sz w:val="20"/>
          <w:szCs w:val="20"/>
          <w:lang w:val="es-ES"/>
        </w:rPr>
        <w:t xml:space="preserve"> inadecuada y contraria a la jurisprudencia en la materia</w:t>
      </w:r>
      <w:r w:rsidR="00722567">
        <w:rPr>
          <w:sz w:val="20"/>
          <w:szCs w:val="20"/>
          <w:lang w:val="es-ES"/>
        </w:rPr>
        <w:t xml:space="preserve">. El Estado replica que el peticionario pretende que la CIDH haga las veces de tribunal de alzada internacional frente a la decisión adoptada por la Corte Constitucional, pese a que no </w:t>
      </w:r>
      <w:r w:rsidR="005D509C">
        <w:rPr>
          <w:sz w:val="20"/>
          <w:szCs w:val="20"/>
          <w:lang w:val="es-ES"/>
        </w:rPr>
        <w:t>i</w:t>
      </w:r>
      <w:r w:rsidR="000D30C9">
        <w:rPr>
          <w:sz w:val="20"/>
          <w:szCs w:val="20"/>
          <w:lang w:val="es-ES"/>
        </w:rPr>
        <w:t>nvolucr</w:t>
      </w:r>
      <w:r w:rsidR="005D509C">
        <w:rPr>
          <w:sz w:val="20"/>
          <w:szCs w:val="20"/>
          <w:lang w:val="es-ES"/>
        </w:rPr>
        <w:t xml:space="preserve">a la violación de los derechos </w:t>
      </w:r>
      <w:r w:rsidR="00A05260">
        <w:rPr>
          <w:sz w:val="20"/>
          <w:szCs w:val="20"/>
          <w:lang w:val="es-ES"/>
        </w:rPr>
        <w:t>del peticionario</w:t>
      </w:r>
      <w:r w:rsidR="005D509C">
        <w:rPr>
          <w:sz w:val="20"/>
          <w:szCs w:val="20"/>
          <w:lang w:val="es-ES"/>
        </w:rPr>
        <w:t xml:space="preserve"> y su reclamo fue resuelto a nivel interno.</w:t>
      </w:r>
    </w:p>
    <w:p w14:paraId="6EB7ACE2" w14:textId="3C56FD06" w:rsidR="00697949" w:rsidRPr="00225F08" w:rsidRDefault="00D469B9" w:rsidP="00697949">
      <w:pPr>
        <w:pStyle w:val="ListParagraph"/>
        <w:numPr>
          <w:ilvl w:val="0"/>
          <w:numId w:val="61"/>
        </w:numPr>
        <w:suppressAutoHyphens/>
        <w:ind w:left="0" w:firstLine="720"/>
        <w:jc w:val="both"/>
        <w:rPr>
          <w:sz w:val="20"/>
          <w:szCs w:val="20"/>
          <w:lang w:val="es-ES"/>
        </w:rPr>
      </w:pPr>
      <w:r w:rsidRPr="00B80A2C">
        <w:rPr>
          <w:sz w:val="20"/>
          <w:szCs w:val="20"/>
          <w:lang w:val="es-CO"/>
        </w:rPr>
        <w:t xml:space="preserve">La Comisión reitera que el criterio de evaluación de la fase de admisibilidad difiere del que se utiliza para pronunciarse sobre el fondo de una petición; la CIDH debe realizar en esta etapa una evaluación </w:t>
      </w:r>
      <w:r w:rsidRPr="00B80A2C">
        <w:rPr>
          <w:i/>
          <w:iCs/>
          <w:sz w:val="20"/>
          <w:szCs w:val="20"/>
          <w:lang w:val="es-CO"/>
        </w:rPr>
        <w:t>prima facie</w:t>
      </w:r>
      <w:r w:rsidRPr="00B80A2C">
        <w:rPr>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w:t>
      </w:r>
      <w:r w:rsidRPr="00B80A2C">
        <w:rPr>
          <w:sz w:val="20"/>
          <w:szCs w:val="20"/>
          <w:lang w:val="es-CO"/>
        </w:rPr>
        <w:lastRenderedPageBreak/>
        <w:t>47.b) de la Convención Americana o si la petición es “manifiestamente infundada” o es “evidente su total improcedencia”, conforme al 47.c) de la Convención Americana.</w:t>
      </w:r>
    </w:p>
    <w:p w14:paraId="771E713D" w14:textId="44891A34" w:rsidR="005672D6" w:rsidRPr="005672D6" w:rsidRDefault="005672D6" w:rsidP="105F897C">
      <w:pPr>
        <w:pStyle w:val="ListParagraph"/>
        <w:suppressAutoHyphens/>
        <w:jc w:val="both"/>
        <w:rPr>
          <w:sz w:val="20"/>
          <w:szCs w:val="20"/>
        </w:rPr>
      </w:pPr>
      <w:r w:rsidRPr="105F897C">
        <w:rPr>
          <w:sz w:val="20"/>
          <w:szCs w:val="20"/>
        </w:rPr>
        <w:t>A este respecto, la C</w:t>
      </w:r>
      <w:r w:rsidR="002628D1" w:rsidRPr="105F897C">
        <w:rPr>
          <w:sz w:val="20"/>
          <w:szCs w:val="20"/>
        </w:rPr>
        <w:t>IDH</w:t>
      </w:r>
      <w:r w:rsidRPr="105F897C">
        <w:rPr>
          <w:sz w:val="20"/>
          <w:szCs w:val="20"/>
        </w:rPr>
        <w:t xml:space="preserve"> re</w:t>
      </w:r>
      <w:r w:rsidR="002628D1" w:rsidRPr="105F897C">
        <w:rPr>
          <w:sz w:val="20"/>
          <w:szCs w:val="20"/>
        </w:rPr>
        <w:t>cuerd</w:t>
      </w:r>
      <w:r w:rsidRPr="105F897C">
        <w:rPr>
          <w:sz w:val="20"/>
          <w:szCs w:val="20"/>
        </w:rPr>
        <w:t>a que la mera discrepancia de los peticionarios con la interpretación que los tribunales internos hayan hecho de las normas legales pertinentes no basta para configurar violaciones a la Convención. La interpretación de la ley, el procedimiento pertinente y la valoración de la prueba es, entre otros, el ejercicio de la función de la jurisdicción interna, que no puede ser remplazado por la CIDH</w:t>
      </w:r>
      <w:r w:rsidRPr="105F897C">
        <w:rPr>
          <w:rStyle w:val="FootnoteReference"/>
          <w:sz w:val="20"/>
          <w:szCs w:val="20"/>
        </w:rPr>
        <w:footnoteReference w:id="7"/>
      </w:r>
      <w:r w:rsidRPr="105F897C">
        <w:rPr>
          <w:sz w:val="20"/>
          <w:szCs w:val="20"/>
        </w:rPr>
        <w:t xml:space="preserve">. En ese sentido, la función de la Comisión consiste en garantizar la observancia de las obligaciones asumidas por los </w:t>
      </w:r>
      <w:r w:rsidR="002F2C56" w:rsidRPr="105F897C">
        <w:rPr>
          <w:sz w:val="20"/>
          <w:szCs w:val="20"/>
        </w:rPr>
        <w:t>Estados parte</w:t>
      </w:r>
      <w:r w:rsidRPr="105F897C">
        <w:rPr>
          <w:sz w:val="20"/>
          <w:szCs w:val="20"/>
        </w:rPr>
        <w:t xml:space="preserve"> de la Convención Americana, pero no puede hacer las veces de un tribunal de alzada para examinar supuestos errores de derecho o de hecho que puedan haber cometido los tribunales nacionales que hayan actuado dentro de los límites de su competencia</w:t>
      </w:r>
      <w:r w:rsidRPr="105F897C">
        <w:rPr>
          <w:rStyle w:val="FootnoteReference"/>
          <w:sz w:val="20"/>
          <w:szCs w:val="20"/>
        </w:rPr>
        <w:footnoteReference w:id="8"/>
      </w:r>
      <w:r w:rsidRPr="105F897C">
        <w:rPr>
          <w:sz w:val="20"/>
          <w:szCs w:val="20"/>
        </w:rPr>
        <w:t xml:space="preserve">.  </w:t>
      </w:r>
    </w:p>
    <w:p w14:paraId="047ECF89" w14:textId="1EC6A98A" w:rsidR="00175A5A" w:rsidRPr="00175A5A" w:rsidRDefault="002F2C56" w:rsidP="00670258">
      <w:pPr>
        <w:pStyle w:val="ListParagraph"/>
        <w:numPr>
          <w:ilvl w:val="0"/>
          <w:numId w:val="61"/>
        </w:numPr>
        <w:suppressAutoHyphens/>
        <w:ind w:left="0" w:firstLine="720"/>
        <w:jc w:val="both"/>
        <w:rPr>
          <w:sz w:val="20"/>
          <w:szCs w:val="20"/>
          <w:lang w:val="es-ES_tradnl"/>
        </w:rPr>
      </w:pPr>
      <w:r>
        <w:rPr>
          <w:sz w:val="20"/>
          <w:szCs w:val="20"/>
          <w:lang w:val="es-ES"/>
        </w:rPr>
        <w:t xml:space="preserve">En ese sentido, </w:t>
      </w:r>
      <w:r w:rsidR="00175A5A" w:rsidRPr="00175A5A">
        <w:rPr>
          <w:sz w:val="20"/>
          <w:szCs w:val="20"/>
          <w:lang w:val="es-ES_tradnl"/>
        </w:rPr>
        <w:t>la C</w:t>
      </w:r>
      <w:r w:rsidR="00175A5A">
        <w:rPr>
          <w:sz w:val="20"/>
          <w:szCs w:val="20"/>
          <w:lang w:val="es-ES_tradnl"/>
        </w:rPr>
        <w:t xml:space="preserve">omisión </w:t>
      </w:r>
      <w:r w:rsidR="00175A5A" w:rsidRPr="00175A5A">
        <w:rPr>
          <w:sz w:val="20"/>
          <w:szCs w:val="20"/>
          <w:lang w:val="es-ES_tradnl"/>
        </w:rPr>
        <w:t>ha limitado el análisis de la violación del derecho a acceder a un recurso judicial efectivo a que no se circunscriba a determinar un monto específico de indemnización o a reemplazar a los tribunales internos cuando las presuntas víctimas están disconformes con los montos otorgados a nivel interno</w:t>
      </w:r>
      <w:r w:rsidR="00175A5A" w:rsidRPr="00175A5A">
        <w:rPr>
          <w:sz w:val="20"/>
          <w:szCs w:val="20"/>
          <w:vertAlign w:val="superscript"/>
          <w:lang w:val="es-ES_tradnl"/>
        </w:rPr>
        <w:footnoteReference w:id="9"/>
      </w:r>
      <w:r w:rsidR="00670258">
        <w:rPr>
          <w:sz w:val="20"/>
          <w:szCs w:val="20"/>
          <w:lang w:val="es-ES_tradnl"/>
        </w:rPr>
        <w:t xml:space="preserve">, pues </w:t>
      </w:r>
      <w:r w:rsidR="00175A5A" w:rsidRPr="00175A5A">
        <w:rPr>
          <w:sz w:val="20"/>
          <w:szCs w:val="20"/>
          <w:lang w:val="es-ES_tradnl"/>
        </w:rPr>
        <w:t>el análisis de la efectividad del recurso en los términos del artículo 25 de la Convención Americana implica que exista “</w:t>
      </w:r>
      <w:r w:rsidR="00175A5A" w:rsidRPr="00C63894">
        <w:rPr>
          <w:i/>
          <w:iCs/>
          <w:sz w:val="20"/>
          <w:szCs w:val="20"/>
          <w:lang w:val="es-ES_tradnl"/>
        </w:rPr>
        <w:t>una autoridad competente y capaz de emitir una decisión vinculante determine si ha habido o no una violación a algún derecho que la persona que reclama y estima tener</w:t>
      </w:r>
      <w:r w:rsidR="00175A5A" w:rsidRPr="00175A5A">
        <w:rPr>
          <w:sz w:val="20"/>
          <w:szCs w:val="20"/>
          <w:lang w:val="es-ES_tradnl"/>
        </w:rPr>
        <w:t>”</w:t>
      </w:r>
      <w:r w:rsidR="00175A5A" w:rsidRPr="00175A5A">
        <w:rPr>
          <w:sz w:val="20"/>
          <w:szCs w:val="20"/>
          <w:vertAlign w:val="superscript"/>
          <w:lang w:val="es-ES_tradnl"/>
        </w:rPr>
        <w:footnoteReference w:id="10"/>
      </w:r>
      <w:r w:rsidR="00175A5A" w:rsidRPr="00175A5A">
        <w:rPr>
          <w:sz w:val="20"/>
          <w:szCs w:val="20"/>
          <w:lang w:val="es-ES_tradnl"/>
        </w:rPr>
        <w:t>.</w:t>
      </w:r>
    </w:p>
    <w:p w14:paraId="1D0D2169" w14:textId="56C4B04F" w:rsidR="00225F08" w:rsidRPr="00697949" w:rsidRDefault="00670258" w:rsidP="005672D6">
      <w:pPr>
        <w:pStyle w:val="ListParagraph"/>
        <w:numPr>
          <w:ilvl w:val="0"/>
          <w:numId w:val="61"/>
        </w:numPr>
        <w:suppressAutoHyphens/>
        <w:ind w:left="0" w:firstLine="720"/>
        <w:jc w:val="both"/>
        <w:rPr>
          <w:sz w:val="20"/>
          <w:szCs w:val="20"/>
          <w:lang w:val="es-ES"/>
        </w:rPr>
      </w:pPr>
      <w:r>
        <w:rPr>
          <w:sz w:val="20"/>
          <w:szCs w:val="20"/>
          <w:lang w:val="es-ES_tradnl"/>
        </w:rPr>
        <w:t>En el presente caso, resulta evidente que el peticionario presenta una mera inconformidad con el monto indemnizatorio otorgado a nivel interno, pese a que la Corte Constitucional remedió y ofreció una reparación razonable frente la situación causada con su despido injustificado, como lo ha reconocido la Corte Interamericana en casos similares respecto a Colombia</w:t>
      </w:r>
      <w:r w:rsidR="007C0682">
        <w:rPr>
          <w:rStyle w:val="FootnoteReference"/>
          <w:sz w:val="20"/>
          <w:szCs w:val="20"/>
          <w:lang w:val="es-ES_tradnl"/>
        </w:rPr>
        <w:footnoteReference w:id="11"/>
      </w:r>
      <w:r>
        <w:rPr>
          <w:sz w:val="20"/>
          <w:szCs w:val="20"/>
          <w:lang w:val="es-ES_tradnl"/>
        </w:rPr>
        <w:t>.</w:t>
      </w:r>
      <w:r w:rsidR="00B521B4">
        <w:rPr>
          <w:sz w:val="20"/>
          <w:szCs w:val="20"/>
          <w:lang w:val="es-ES_tradnl"/>
        </w:rPr>
        <w:t xml:space="preserve"> En consecuencia, la Comisión concluye que, en el presente caso, se configura la denominada ‘fórmula de la cuarta instancia internacional’,</w:t>
      </w:r>
      <w:r w:rsidR="00172761">
        <w:rPr>
          <w:sz w:val="20"/>
          <w:szCs w:val="20"/>
          <w:lang w:val="es-ES_tradnl"/>
        </w:rPr>
        <w:t xml:space="preserve"> y, por tanto,</w:t>
      </w:r>
      <w:r w:rsidR="00B521B4">
        <w:rPr>
          <w:sz w:val="20"/>
          <w:szCs w:val="20"/>
          <w:lang w:val="es-ES_tradnl"/>
        </w:rPr>
        <w:t xml:space="preserve"> corresponde declarar</w:t>
      </w:r>
      <w:r w:rsidR="00172761">
        <w:rPr>
          <w:sz w:val="20"/>
          <w:szCs w:val="20"/>
          <w:lang w:val="es-ES_tradnl"/>
        </w:rPr>
        <w:t xml:space="preserve"> su inadmisibilidad en los términos del artículo </w:t>
      </w:r>
      <w:r w:rsidR="00A06AE5">
        <w:rPr>
          <w:sz w:val="20"/>
          <w:szCs w:val="20"/>
          <w:lang w:val="es-ES_tradnl"/>
        </w:rPr>
        <w:t>47.b de la Convención Americana.</w:t>
      </w:r>
    </w:p>
    <w:p w14:paraId="445BF42E" w14:textId="77777777" w:rsidR="003239B8" w:rsidRPr="0078770A" w:rsidRDefault="003239B8" w:rsidP="005911B2">
      <w:pPr>
        <w:pStyle w:val="ListParagraph"/>
        <w:numPr>
          <w:ilvl w:val="0"/>
          <w:numId w:val="0"/>
        </w:numPr>
        <w:ind w:firstLine="720"/>
        <w:jc w:val="both"/>
        <w:rPr>
          <w:rFonts w:asciiTheme="majorHAnsi" w:hAnsiTheme="majorHAnsi"/>
          <w:b/>
          <w:bCs/>
          <w:sz w:val="20"/>
          <w:szCs w:val="20"/>
          <w:lang w:val="es-ES"/>
        </w:rPr>
      </w:pPr>
      <w:r w:rsidRPr="0078770A">
        <w:rPr>
          <w:rFonts w:asciiTheme="majorHAnsi" w:hAnsiTheme="majorHAnsi"/>
          <w:b/>
          <w:bCs/>
          <w:sz w:val="20"/>
          <w:szCs w:val="20"/>
          <w:lang w:val="es-ES"/>
        </w:rPr>
        <w:t xml:space="preserve">VIII.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16B36F97" w14:textId="34ECB2FE" w:rsidR="003239B8" w:rsidRPr="000419AD" w:rsidRDefault="003239B8" w:rsidP="0030583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3239B8">
        <w:rPr>
          <w:rFonts w:asciiTheme="majorHAnsi" w:hAnsiTheme="majorHAnsi"/>
          <w:sz w:val="20"/>
          <w:szCs w:val="20"/>
          <w:lang w:val="es-ES"/>
        </w:rPr>
        <w:t xml:space="preserve">Declarar </w:t>
      </w:r>
      <w:r w:rsidR="00221D4A">
        <w:rPr>
          <w:rFonts w:asciiTheme="majorHAnsi" w:hAnsiTheme="majorHAnsi"/>
          <w:sz w:val="20"/>
          <w:szCs w:val="20"/>
          <w:lang w:val="es-ES"/>
        </w:rPr>
        <w:t>in</w:t>
      </w:r>
      <w:r w:rsidRPr="003239B8">
        <w:rPr>
          <w:rFonts w:asciiTheme="majorHAnsi" w:hAnsiTheme="majorHAnsi"/>
          <w:sz w:val="20"/>
          <w:szCs w:val="20"/>
          <w:lang w:val="es-ES"/>
        </w:rPr>
        <w:t>admisible la presente petición</w:t>
      </w:r>
      <w:r w:rsidR="00A758AA">
        <w:rPr>
          <w:rFonts w:asciiTheme="majorHAnsi" w:hAnsiTheme="majorHAnsi"/>
          <w:sz w:val="20"/>
          <w:szCs w:val="20"/>
          <w:lang w:val="es-ES"/>
        </w:rPr>
        <w:t>;</w:t>
      </w:r>
      <w:r w:rsidR="007B76D3">
        <w:rPr>
          <w:rFonts w:asciiTheme="majorHAnsi" w:hAnsiTheme="majorHAnsi"/>
          <w:sz w:val="20"/>
          <w:szCs w:val="20"/>
          <w:lang w:val="es-ES"/>
        </w:rPr>
        <w:t xml:space="preserve"> y</w:t>
      </w:r>
    </w:p>
    <w:p w14:paraId="02C904B2" w14:textId="7538392E" w:rsidR="009A56CE" w:rsidRDefault="004A6A54" w:rsidP="005173A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B7794">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13044F9E" w14:textId="173A56AE" w:rsidR="00752ABC" w:rsidRPr="00455E41" w:rsidRDefault="00752ABC" w:rsidP="00455E41">
      <w:pPr>
        <w:suppressAutoHyphens/>
        <w:ind w:firstLine="720"/>
        <w:jc w:val="both"/>
        <w:rPr>
          <w:rFonts w:ascii="Segoe UI" w:hAnsi="Segoe UI" w:cs="Segoe UI"/>
          <w:sz w:val="18"/>
          <w:szCs w:val="18"/>
          <w:lang w:val="es-ES"/>
        </w:rPr>
      </w:pPr>
      <w:r w:rsidRPr="105F897C">
        <w:rPr>
          <w:rStyle w:val="normaltextrun"/>
          <w:rFonts w:ascii="Cambria" w:hAnsi="Cambria" w:cs="Segoe UI"/>
          <w:sz w:val="20"/>
          <w:szCs w:val="20"/>
          <w:lang w:val="es-CL"/>
        </w:rPr>
        <w:t xml:space="preserve">Aprobado por la Comisión Interamericana </w:t>
      </w:r>
      <w:r w:rsidRPr="105F897C">
        <w:rPr>
          <w:rStyle w:val="normaltextrun"/>
          <w:rFonts w:ascii="Cambria" w:hAnsi="Cambria" w:cs="Segoe UI"/>
          <w:color w:val="000000" w:themeColor="text1"/>
          <w:sz w:val="20"/>
          <w:szCs w:val="20"/>
          <w:lang w:val="es-CL"/>
        </w:rPr>
        <w:t xml:space="preserve">de Derechos Humanos a los 18 días del mes de agosto de 2025.  (Firmado): José Luis Caballero Ochoa, Presidente; Arif Bulkan, Segundo Vicepresidente; Roberta Clarke y Gloria Monique de Mees, </w:t>
      </w:r>
      <w:r w:rsidR="63088814" w:rsidRPr="105F897C">
        <w:rPr>
          <w:rStyle w:val="normaltextrun"/>
          <w:rFonts w:ascii="Cambria" w:hAnsi="Cambria" w:cs="Segoe UI"/>
          <w:color w:val="000000" w:themeColor="text1"/>
          <w:sz w:val="20"/>
          <w:szCs w:val="20"/>
          <w:lang w:val="es-CL"/>
        </w:rPr>
        <w:t>m</w:t>
      </w:r>
      <w:r w:rsidRPr="105F897C">
        <w:rPr>
          <w:rStyle w:val="normaltextrun"/>
          <w:rFonts w:ascii="Cambria" w:hAnsi="Cambria" w:cs="Segoe UI"/>
          <w:color w:val="000000" w:themeColor="text1"/>
          <w:sz w:val="20"/>
          <w:szCs w:val="20"/>
          <w:lang w:val="es-CL"/>
        </w:rPr>
        <w:t xml:space="preserve">iembros de la Comisión. </w:t>
      </w:r>
      <w:r w:rsidRPr="105F897C">
        <w:rPr>
          <w:rStyle w:val="eop"/>
          <w:rFonts w:ascii="Cambria" w:hAnsi="Cambria" w:cs="Segoe UI"/>
          <w:color w:val="000000" w:themeColor="text1"/>
          <w:sz w:val="20"/>
          <w:szCs w:val="20"/>
          <w:lang w:val="es-ES"/>
        </w:rPr>
        <w:t> </w:t>
      </w:r>
    </w:p>
    <w:sectPr w:rsidR="00752ABC" w:rsidRPr="00455E41"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3F06" w14:textId="77777777" w:rsidR="00EB652F" w:rsidRDefault="00EB652F">
      <w:r>
        <w:separator/>
      </w:r>
    </w:p>
  </w:endnote>
  <w:endnote w:type="continuationSeparator" w:id="0">
    <w:p w14:paraId="733826A3" w14:textId="77777777" w:rsidR="00EB652F" w:rsidRDefault="00EB652F">
      <w:r>
        <w:continuationSeparator/>
      </w:r>
    </w:p>
  </w:endnote>
  <w:endnote w:type="continuationNotice" w:id="1">
    <w:p w14:paraId="49D3B761" w14:textId="77777777" w:rsidR="00EB652F" w:rsidRDefault="00EB6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CFD7" w14:textId="77777777" w:rsidR="00EB652F" w:rsidRPr="000F35ED" w:rsidRDefault="00EB652F">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B8EBE09" w14:textId="77777777" w:rsidR="00EB652F" w:rsidRPr="000F35ED" w:rsidRDefault="00EB652F" w:rsidP="000F35ED">
      <w:pPr>
        <w:rPr>
          <w:rFonts w:asciiTheme="majorHAnsi" w:hAnsiTheme="majorHAnsi"/>
          <w:sz w:val="16"/>
          <w:szCs w:val="16"/>
        </w:rPr>
      </w:pPr>
      <w:r w:rsidRPr="000F35ED">
        <w:rPr>
          <w:rFonts w:asciiTheme="majorHAnsi" w:hAnsiTheme="majorHAnsi"/>
          <w:sz w:val="16"/>
          <w:szCs w:val="16"/>
        </w:rPr>
        <w:separator/>
      </w:r>
    </w:p>
    <w:p w14:paraId="0E1D3E48" w14:textId="77777777" w:rsidR="00EB652F" w:rsidRPr="000F35ED" w:rsidRDefault="00EB652F"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ECE9A50" w14:textId="77777777" w:rsidR="00EB652F" w:rsidRPr="000F35ED" w:rsidRDefault="00EB652F"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66D3A856"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4F4261">
        <w:t>Carlos Bernal Pulido</w:t>
      </w:r>
      <w:r w:rsidRPr="00306F33">
        <w:t xml:space="preserve">, de nacionalidad </w:t>
      </w:r>
      <w:r w:rsidR="004C11D2">
        <w:t>colombiana</w:t>
      </w:r>
      <w:r w:rsidRPr="00306F33">
        <w:t>, no participó en el debate ni en la decisión del presente asunto.</w:t>
      </w:r>
    </w:p>
  </w:footnote>
  <w:footnote w:id="3">
    <w:p w14:paraId="7E2C9DE5" w14:textId="77777777" w:rsidR="00294F74" w:rsidRPr="0067105E" w:rsidRDefault="00294F74" w:rsidP="00294F74">
      <w:pPr>
        <w:pStyle w:val="Notasalpie"/>
      </w:pPr>
      <w:r>
        <w:rPr>
          <w:rStyle w:val="FootnoteReference"/>
        </w:rPr>
        <w:footnoteRef/>
      </w:r>
      <w:r w:rsidRPr="0067105E">
        <w:t xml:space="preserve"> </w:t>
      </w:r>
      <w:r>
        <w:t>En adelante “la Convención Americana” o “la Convención”.</w:t>
      </w:r>
    </w:p>
  </w:footnote>
  <w:footnote w:id="4">
    <w:p w14:paraId="398E9B75" w14:textId="77777777" w:rsidR="00D36A6D" w:rsidRPr="00FA3168" w:rsidRDefault="00D36A6D" w:rsidP="00D36A6D">
      <w:pPr>
        <w:pStyle w:val="Notasalpie"/>
      </w:pPr>
      <w:r>
        <w:rPr>
          <w:rStyle w:val="FootnoteReference"/>
        </w:rPr>
        <w:footnoteRef/>
      </w:r>
      <w:r w:rsidRPr="00FA3168">
        <w:t xml:space="preserve"> </w:t>
      </w:r>
      <w:r>
        <w:t>En adelante “el Protocolo de San Salvador”.</w:t>
      </w:r>
    </w:p>
  </w:footnote>
  <w:footnote w:id="5">
    <w:p w14:paraId="10B25AFF" w14:textId="77777777" w:rsidR="00294F74" w:rsidRPr="004941B8" w:rsidRDefault="00294F74" w:rsidP="00294F74">
      <w:pPr>
        <w:pStyle w:val="Notasalpie"/>
        <w:rPr>
          <w:rStyle w:val="FootnoteReference"/>
          <w:lang w:val="es-CO"/>
        </w:rPr>
      </w:pPr>
      <w:r>
        <w:rPr>
          <w:rStyle w:val="FootnoteReference"/>
        </w:rPr>
        <w:footnoteRef/>
      </w:r>
      <w:r w:rsidRPr="004941B8">
        <w:t xml:space="preserve"> </w:t>
      </w:r>
      <w:r>
        <w:t>En adelante “la Declaración Americana” o “la Declaración”.</w:t>
      </w:r>
    </w:p>
  </w:footnote>
  <w:footnote w:id="6">
    <w:p w14:paraId="1AFEF3B0" w14:textId="50F52DB6" w:rsidR="008E3BFE" w:rsidRPr="00306F33" w:rsidRDefault="008E3BFE" w:rsidP="00306F33">
      <w:pPr>
        <w:pStyle w:val="FootnoteText"/>
        <w:ind w:firstLine="720"/>
        <w:jc w:val="both"/>
        <w:rPr>
          <w:rFonts w:asciiTheme="majorHAnsi" w:hAnsiTheme="majorHAnsi"/>
          <w:sz w:val="16"/>
          <w:szCs w:val="16"/>
          <w:lang w:val="es-ES"/>
        </w:rPr>
      </w:pPr>
      <w:r w:rsidRPr="005116AA">
        <w:rPr>
          <w:rStyle w:val="FootnoteReference"/>
          <w:rFonts w:asciiTheme="majorHAnsi" w:hAnsiTheme="majorHAnsi"/>
          <w:sz w:val="16"/>
          <w:szCs w:val="16"/>
        </w:rPr>
        <w:footnoteRef/>
      </w:r>
      <w:r w:rsidRPr="005116AA">
        <w:rPr>
          <w:rFonts w:asciiTheme="majorHAnsi" w:hAnsiTheme="majorHAnsi"/>
          <w:sz w:val="16"/>
          <w:szCs w:val="16"/>
          <w:lang w:val="es-ES"/>
        </w:rPr>
        <w:t xml:space="preserve"> Las observaciones de cada parte fueron debidamente trasladadas a la parte contraria.</w:t>
      </w:r>
      <w:r w:rsidR="00CA674B">
        <w:rPr>
          <w:rFonts w:asciiTheme="majorHAnsi" w:hAnsiTheme="majorHAnsi"/>
          <w:sz w:val="16"/>
          <w:szCs w:val="16"/>
          <w:lang w:val="es-ES"/>
        </w:rPr>
        <w:t xml:space="preserve"> El 17 de septiembre de 2015, el peticionario solicitó a la Comisión el otorgamiento de Medidas Cautelares, solicitud que fue tramitada bajo el registro MC-474-15. Sin embargo, </w:t>
      </w:r>
      <w:r w:rsidR="00E11B47">
        <w:rPr>
          <w:rFonts w:asciiTheme="majorHAnsi" w:hAnsiTheme="majorHAnsi"/>
          <w:sz w:val="16"/>
          <w:szCs w:val="16"/>
          <w:lang w:val="es-ES"/>
        </w:rPr>
        <w:t xml:space="preserve">el </w:t>
      </w:r>
      <w:r w:rsidR="00803B25">
        <w:rPr>
          <w:rFonts w:asciiTheme="majorHAnsi" w:hAnsiTheme="majorHAnsi"/>
          <w:sz w:val="16"/>
          <w:szCs w:val="16"/>
          <w:lang w:val="es-ES"/>
        </w:rPr>
        <w:t>29</w:t>
      </w:r>
      <w:r w:rsidR="00E11B47">
        <w:rPr>
          <w:rFonts w:asciiTheme="majorHAnsi" w:hAnsiTheme="majorHAnsi"/>
          <w:sz w:val="16"/>
          <w:szCs w:val="16"/>
          <w:lang w:val="es-ES"/>
        </w:rPr>
        <w:t xml:space="preserve"> de ma</w:t>
      </w:r>
      <w:r w:rsidR="00803B25">
        <w:rPr>
          <w:rFonts w:asciiTheme="majorHAnsi" w:hAnsiTheme="majorHAnsi"/>
          <w:sz w:val="16"/>
          <w:szCs w:val="16"/>
          <w:lang w:val="es-ES"/>
        </w:rPr>
        <w:t>rz</w:t>
      </w:r>
      <w:r w:rsidR="00E11B47">
        <w:rPr>
          <w:rFonts w:asciiTheme="majorHAnsi" w:hAnsiTheme="majorHAnsi"/>
          <w:sz w:val="16"/>
          <w:szCs w:val="16"/>
          <w:lang w:val="es-ES"/>
        </w:rPr>
        <w:t xml:space="preserve">o de 2016 la CIDH </w:t>
      </w:r>
      <w:r w:rsidR="00803B25">
        <w:rPr>
          <w:rFonts w:asciiTheme="majorHAnsi" w:hAnsiTheme="majorHAnsi"/>
          <w:sz w:val="16"/>
          <w:szCs w:val="16"/>
          <w:lang w:val="es-ES"/>
        </w:rPr>
        <w:t>decidió rechazar la solicitud porque estaba sustentada en fallas al debido proceso y no cumplía con los requisitos de urgencia</w:t>
      </w:r>
      <w:r w:rsidR="005D7A0B">
        <w:rPr>
          <w:rFonts w:asciiTheme="majorHAnsi" w:hAnsiTheme="majorHAnsi"/>
          <w:sz w:val="16"/>
          <w:szCs w:val="16"/>
          <w:lang w:val="es-ES"/>
        </w:rPr>
        <w:t>, gravedad y daño irreparable en los términos del artículo 25 del Reglamento de la Comisión.</w:t>
      </w:r>
    </w:p>
  </w:footnote>
  <w:footnote w:id="7">
    <w:p w14:paraId="65EB199C" w14:textId="77777777" w:rsidR="005672D6" w:rsidRPr="00A11B3B" w:rsidRDefault="005672D6" w:rsidP="005672D6">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Nº 83/05 (Inadmisibilidad), Petición 644/00, Carlos Alberto López Urquía, Honduras, 24 de octubre de 2005, párr. </w:t>
      </w:r>
      <w:r w:rsidRPr="00A11B3B">
        <w:rPr>
          <w:rFonts w:ascii="Cambria" w:hAnsi="Cambria"/>
          <w:sz w:val="16"/>
          <w:szCs w:val="16"/>
          <w:lang w:val="es-ES"/>
        </w:rPr>
        <w:t>72.</w:t>
      </w:r>
    </w:p>
  </w:footnote>
  <w:footnote w:id="8">
    <w:p w14:paraId="0742579B" w14:textId="77777777" w:rsidR="005672D6" w:rsidRPr="00A11B3B" w:rsidRDefault="005672D6" w:rsidP="005672D6">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Nº 70/08, (Admisibilidad), Petición 12.242, Clínica Pediátrica de la Región de los Lago, Brasil, 16 de octubre de 2008, párr. 47.</w:t>
      </w:r>
    </w:p>
  </w:footnote>
  <w:footnote w:id="9">
    <w:p w14:paraId="7E620C20" w14:textId="77777777" w:rsidR="00175A5A" w:rsidRPr="00455E41" w:rsidRDefault="00175A5A" w:rsidP="007C0682">
      <w:pPr>
        <w:pStyle w:val="Notasalpie"/>
        <w:rPr>
          <w:lang w:val="pt-PT"/>
        </w:rPr>
      </w:pPr>
      <w:r w:rsidRPr="00497A9B">
        <w:rPr>
          <w:rStyle w:val="FootnoteReference"/>
          <w:rFonts w:ascii="Cambria" w:hAnsi="Cambria"/>
          <w:color w:val="auto"/>
        </w:rPr>
        <w:footnoteRef/>
      </w:r>
      <w:r w:rsidRPr="00497A9B">
        <w:t xml:space="preserve"> </w:t>
      </w:r>
      <w:r w:rsidRPr="00497A9B">
        <w:rPr>
          <w:i/>
          <w:iCs/>
        </w:rPr>
        <w:t>Ver</w:t>
      </w:r>
      <w:r w:rsidRPr="00497A9B">
        <w:t xml:space="preserve"> CIDH, Informe No. 173/22. Petición 916-10. Inadmisibilidad. Hernando Martínez Novoa y otros. Colombia. 22 de julio de 2022, párrs. 15 y 16; y, CIDH, Informe No. 12/22. Petición 1035-11. Admisibilidad. Blanca Ruth Sánchez de Franco y Familia. Colombia. </w:t>
      </w:r>
      <w:r w:rsidRPr="00455E41">
        <w:rPr>
          <w:lang w:val="pt-PT"/>
        </w:rPr>
        <w:t>9 de febrero de 2022, párr. 12.</w:t>
      </w:r>
    </w:p>
  </w:footnote>
  <w:footnote w:id="10">
    <w:p w14:paraId="2853D607" w14:textId="77777777" w:rsidR="00175A5A" w:rsidRPr="00497A9B" w:rsidRDefault="00175A5A" w:rsidP="007C0682">
      <w:pPr>
        <w:pStyle w:val="Notasalpie"/>
      </w:pPr>
      <w:r w:rsidRPr="00497A9B">
        <w:rPr>
          <w:rStyle w:val="FootnoteReference"/>
          <w:rFonts w:ascii="Cambria" w:hAnsi="Cambria"/>
          <w:color w:val="auto"/>
        </w:rPr>
        <w:footnoteRef/>
      </w:r>
      <w:r w:rsidRPr="00455E41">
        <w:rPr>
          <w:lang w:val="pt-PT"/>
        </w:rPr>
        <w:t xml:space="preserve"> Corte IDH. Caso Nissen Pessolani Vs. Paraguay. </w:t>
      </w:r>
      <w:r w:rsidRPr="00497A9B">
        <w:t>Fondo, Reparaciones y Costas. Sentencia de 21 de noviembre de 2022. Serie C No. 477, párr. 148; y, Caso Pavez Pavez Vs. Chile. Fondo, Reparaciones y Costas. Sentencia de 4 de febrero de 2022. Serie C No. 449, párr. 157.</w:t>
      </w:r>
    </w:p>
  </w:footnote>
  <w:footnote w:id="11">
    <w:p w14:paraId="2BDC05EC" w14:textId="76924608" w:rsidR="007C0682" w:rsidRPr="007C0682" w:rsidRDefault="007C0682" w:rsidP="007C0682">
      <w:pPr>
        <w:pStyle w:val="Notasalpie"/>
      </w:pPr>
      <w:r>
        <w:rPr>
          <w:rStyle w:val="FootnoteReference"/>
        </w:rPr>
        <w:footnoteRef/>
      </w:r>
      <w:r w:rsidRPr="00455E41">
        <w:t xml:space="preserve"> </w:t>
      </w:r>
      <w:r w:rsidR="00861C2E" w:rsidRPr="00455E41">
        <w:t xml:space="preserve">Corte IDH. Caso Martínez Esquivia Vs. </w:t>
      </w:r>
      <w:r w:rsidR="00861C2E" w:rsidRPr="00861C2E">
        <w:rPr>
          <w:lang w:val="es-CO"/>
        </w:rPr>
        <w:t xml:space="preserve">Colombia. Excepciones preliminares, Fondo y Reparaciones. </w:t>
      </w:r>
      <w:r w:rsidR="00861C2E" w:rsidRPr="00861C2E">
        <w:rPr>
          <w:lang w:val="en-US"/>
        </w:rPr>
        <w:t>Sentencia de 6 de octubre de 2020. Serie C No. 412</w:t>
      </w:r>
      <w:r w:rsidR="00861C2E">
        <w:rPr>
          <w:lang w:val="en-US"/>
        </w:rPr>
        <w:t>, párrs. 166-168.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F41E8C"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5D7D4B9D"/>
    <w:multiLevelType w:val="hybridMultilevel"/>
    <w:tmpl w:val="402EB966"/>
    <w:lvl w:ilvl="0" w:tplc="3668A7D4">
      <w:start w:val="1"/>
      <w:numFmt w:val="decimal"/>
      <w:pStyle w:val="parrafos"/>
      <w:lvlText w:val="%1."/>
      <w:lvlJc w:val="left"/>
      <w:pPr>
        <w:ind w:left="360" w:hanging="360"/>
      </w:pPr>
      <w:rPr>
        <w:rFonts w:ascii="Cambria" w:hAnsi="Cambria"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8"/>
  </w:num>
  <w:num w:numId="4" w16cid:durableId="2018339747">
    <w:abstractNumId w:val="21"/>
  </w:num>
  <w:num w:numId="5" w16cid:durableId="368341374">
    <w:abstractNumId w:val="51"/>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50"/>
  </w:num>
  <w:num w:numId="42" w16cid:durableId="910309630">
    <w:abstractNumId w:val="52"/>
  </w:num>
  <w:num w:numId="43" w16cid:durableId="221603102">
    <w:abstractNumId w:val="53"/>
  </w:num>
  <w:num w:numId="44" w16cid:durableId="779104680">
    <w:abstractNumId w:val="56"/>
  </w:num>
  <w:num w:numId="45" w16cid:durableId="1713115894">
    <w:abstractNumId w:val="57"/>
  </w:num>
  <w:num w:numId="46" w16cid:durableId="1387951419">
    <w:abstractNumId w:val="59"/>
  </w:num>
  <w:num w:numId="47" w16cid:durableId="648510715">
    <w:abstractNumId w:val="60"/>
  </w:num>
  <w:num w:numId="48" w16cid:durableId="1806315575">
    <w:abstractNumId w:val="61"/>
  </w:num>
  <w:num w:numId="49" w16cid:durableId="1682586011">
    <w:abstractNumId w:val="62"/>
  </w:num>
  <w:num w:numId="50" w16cid:durableId="2025083079">
    <w:abstractNumId w:val="63"/>
  </w:num>
  <w:num w:numId="51" w16cid:durableId="530342504">
    <w:abstractNumId w:val="20"/>
  </w:num>
  <w:num w:numId="52" w16cid:durableId="955454438">
    <w:abstractNumId w:val="43"/>
  </w:num>
  <w:num w:numId="53" w16cid:durableId="586957926">
    <w:abstractNumId w:val="55"/>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4"/>
  </w:num>
  <w:num w:numId="62" w16cid:durableId="362898492">
    <w:abstractNumId w:val="6"/>
  </w:num>
  <w:num w:numId="63" w16cid:durableId="413744366">
    <w:abstractNumId w:val="22"/>
  </w:num>
  <w:num w:numId="64" w16cid:durableId="462499593">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43A1"/>
    <w:rsid w:val="00006763"/>
    <w:rsid w:val="00006E1F"/>
    <w:rsid w:val="000070D7"/>
    <w:rsid w:val="00010604"/>
    <w:rsid w:val="0001788C"/>
    <w:rsid w:val="0002349D"/>
    <w:rsid w:val="000337EF"/>
    <w:rsid w:val="00036397"/>
    <w:rsid w:val="00040C3A"/>
    <w:rsid w:val="000419AD"/>
    <w:rsid w:val="000433C9"/>
    <w:rsid w:val="000455F7"/>
    <w:rsid w:val="000619C1"/>
    <w:rsid w:val="000619E3"/>
    <w:rsid w:val="00071174"/>
    <w:rsid w:val="000716C5"/>
    <w:rsid w:val="000736CF"/>
    <w:rsid w:val="00075E23"/>
    <w:rsid w:val="0008158C"/>
    <w:rsid w:val="00086BC8"/>
    <w:rsid w:val="0009344A"/>
    <w:rsid w:val="000A369B"/>
    <w:rsid w:val="000A392E"/>
    <w:rsid w:val="000A575F"/>
    <w:rsid w:val="000B783B"/>
    <w:rsid w:val="000D05CB"/>
    <w:rsid w:val="000D10DB"/>
    <w:rsid w:val="000D2C10"/>
    <w:rsid w:val="000D30C9"/>
    <w:rsid w:val="000E434C"/>
    <w:rsid w:val="000E4A5E"/>
    <w:rsid w:val="000E5EB5"/>
    <w:rsid w:val="000E7FA3"/>
    <w:rsid w:val="000F35ED"/>
    <w:rsid w:val="000F48E2"/>
    <w:rsid w:val="001004FE"/>
    <w:rsid w:val="00107131"/>
    <w:rsid w:val="0010736F"/>
    <w:rsid w:val="00113F73"/>
    <w:rsid w:val="00121CC2"/>
    <w:rsid w:val="0012532A"/>
    <w:rsid w:val="00125980"/>
    <w:rsid w:val="00131425"/>
    <w:rsid w:val="001319A6"/>
    <w:rsid w:val="001323E1"/>
    <w:rsid w:val="00133EE5"/>
    <w:rsid w:val="0013697F"/>
    <w:rsid w:val="001503F2"/>
    <w:rsid w:val="00163E0D"/>
    <w:rsid w:val="00166841"/>
    <w:rsid w:val="00167A34"/>
    <w:rsid w:val="00171908"/>
    <w:rsid w:val="00172761"/>
    <w:rsid w:val="001731A3"/>
    <w:rsid w:val="00175A5A"/>
    <w:rsid w:val="001945CA"/>
    <w:rsid w:val="001A1D8B"/>
    <w:rsid w:val="001A520D"/>
    <w:rsid w:val="001A72D9"/>
    <w:rsid w:val="001A7870"/>
    <w:rsid w:val="001B3A00"/>
    <w:rsid w:val="001B478B"/>
    <w:rsid w:val="001C1B41"/>
    <w:rsid w:val="001D65EF"/>
    <w:rsid w:val="001D7F96"/>
    <w:rsid w:val="001E2CC2"/>
    <w:rsid w:val="001E49E7"/>
    <w:rsid w:val="001F5FCA"/>
    <w:rsid w:val="001F7201"/>
    <w:rsid w:val="00200EF2"/>
    <w:rsid w:val="00221D4A"/>
    <w:rsid w:val="00223A29"/>
    <w:rsid w:val="002250A3"/>
    <w:rsid w:val="00225F08"/>
    <w:rsid w:val="00235217"/>
    <w:rsid w:val="002366A3"/>
    <w:rsid w:val="002378BD"/>
    <w:rsid w:val="00245C2E"/>
    <w:rsid w:val="00246D1F"/>
    <w:rsid w:val="00247403"/>
    <w:rsid w:val="00247542"/>
    <w:rsid w:val="002543F0"/>
    <w:rsid w:val="002628D1"/>
    <w:rsid w:val="00264589"/>
    <w:rsid w:val="0026688D"/>
    <w:rsid w:val="00266B61"/>
    <w:rsid w:val="0026712A"/>
    <w:rsid w:val="002704DB"/>
    <w:rsid w:val="00270B89"/>
    <w:rsid w:val="00275BF8"/>
    <w:rsid w:val="002873FF"/>
    <w:rsid w:val="00291BC2"/>
    <w:rsid w:val="0029491B"/>
    <w:rsid w:val="00294F74"/>
    <w:rsid w:val="002A0AAE"/>
    <w:rsid w:val="002A188C"/>
    <w:rsid w:val="002A5820"/>
    <w:rsid w:val="002B0CB7"/>
    <w:rsid w:val="002B15AA"/>
    <w:rsid w:val="002B246D"/>
    <w:rsid w:val="002D25A8"/>
    <w:rsid w:val="002D2B26"/>
    <w:rsid w:val="002D7EA2"/>
    <w:rsid w:val="002E187C"/>
    <w:rsid w:val="002E5A4F"/>
    <w:rsid w:val="002F2062"/>
    <w:rsid w:val="002F2104"/>
    <w:rsid w:val="002F2C56"/>
    <w:rsid w:val="003001F1"/>
    <w:rsid w:val="00301A01"/>
    <w:rsid w:val="00302733"/>
    <w:rsid w:val="00305835"/>
    <w:rsid w:val="00306F33"/>
    <w:rsid w:val="00314078"/>
    <w:rsid w:val="0031535D"/>
    <w:rsid w:val="003239B8"/>
    <w:rsid w:val="00323DD5"/>
    <w:rsid w:val="0033169F"/>
    <w:rsid w:val="00335D68"/>
    <w:rsid w:val="00341F74"/>
    <w:rsid w:val="00344977"/>
    <w:rsid w:val="00345ECB"/>
    <w:rsid w:val="00346C95"/>
    <w:rsid w:val="0034792F"/>
    <w:rsid w:val="0035435B"/>
    <w:rsid w:val="00356185"/>
    <w:rsid w:val="00360380"/>
    <w:rsid w:val="0036259E"/>
    <w:rsid w:val="003633DD"/>
    <w:rsid w:val="0037279F"/>
    <w:rsid w:val="0037519E"/>
    <w:rsid w:val="003810B5"/>
    <w:rsid w:val="00386CF0"/>
    <w:rsid w:val="00394049"/>
    <w:rsid w:val="00394073"/>
    <w:rsid w:val="003B3EC2"/>
    <w:rsid w:val="003B70FB"/>
    <w:rsid w:val="003B711C"/>
    <w:rsid w:val="003B795E"/>
    <w:rsid w:val="003B7C41"/>
    <w:rsid w:val="003C2D60"/>
    <w:rsid w:val="003C676B"/>
    <w:rsid w:val="003D3566"/>
    <w:rsid w:val="003D3BC2"/>
    <w:rsid w:val="003E0C17"/>
    <w:rsid w:val="003E6CA1"/>
    <w:rsid w:val="003F27AE"/>
    <w:rsid w:val="003F2F8B"/>
    <w:rsid w:val="003F5154"/>
    <w:rsid w:val="00402769"/>
    <w:rsid w:val="00405F9C"/>
    <w:rsid w:val="004065A8"/>
    <w:rsid w:val="00414C6D"/>
    <w:rsid w:val="004165C2"/>
    <w:rsid w:val="004241A0"/>
    <w:rsid w:val="00441ECB"/>
    <w:rsid w:val="00445193"/>
    <w:rsid w:val="00455E41"/>
    <w:rsid w:val="00462C1B"/>
    <w:rsid w:val="00467B7E"/>
    <w:rsid w:val="00467F6E"/>
    <w:rsid w:val="00473BB4"/>
    <w:rsid w:val="00477592"/>
    <w:rsid w:val="00477887"/>
    <w:rsid w:val="00486F1C"/>
    <w:rsid w:val="0049003A"/>
    <w:rsid w:val="0049419D"/>
    <w:rsid w:val="004A057B"/>
    <w:rsid w:val="004A0ABA"/>
    <w:rsid w:val="004A6A54"/>
    <w:rsid w:val="004B421C"/>
    <w:rsid w:val="004C11D2"/>
    <w:rsid w:val="004C20D2"/>
    <w:rsid w:val="004C2312"/>
    <w:rsid w:val="004C4B62"/>
    <w:rsid w:val="004C54C9"/>
    <w:rsid w:val="004D4ABA"/>
    <w:rsid w:val="004D6025"/>
    <w:rsid w:val="004E0A4D"/>
    <w:rsid w:val="004E2649"/>
    <w:rsid w:val="004E269D"/>
    <w:rsid w:val="004F4261"/>
    <w:rsid w:val="004F626F"/>
    <w:rsid w:val="004F69B8"/>
    <w:rsid w:val="004F6FF8"/>
    <w:rsid w:val="00501399"/>
    <w:rsid w:val="005047ED"/>
    <w:rsid w:val="00505497"/>
    <w:rsid w:val="0050633D"/>
    <w:rsid w:val="00507BC4"/>
    <w:rsid w:val="005116AA"/>
    <w:rsid w:val="005128E4"/>
    <w:rsid w:val="005133DB"/>
    <w:rsid w:val="00514504"/>
    <w:rsid w:val="005173A3"/>
    <w:rsid w:val="00521E1F"/>
    <w:rsid w:val="00525560"/>
    <w:rsid w:val="00544C49"/>
    <w:rsid w:val="005516A1"/>
    <w:rsid w:val="005559EF"/>
    <w:rsid w:val="0056146B"/>
    <w:rsid w:val="00563557"/>
    <w:rsid w:val="005672D6"/>
    <w:rsid w:val="0057402A"/>
    <w:rsid w:val="00576BD2"/>
    <w:rsid w:val="005771D0"/>
    <w:rsid w:val="00580736"/>
    <w:rsid w:val="005851FF"/>
    <w:rsid w:val="0058643A"/>
    <w:rsid w:val="005911B2"/>
    <w:rsid w:val="0059191A"/>
    <w:rsid w:val="005921FF"/>
    <w:rsid w:val="005A24ED"/>
    <w:rsid w:val="005A6D0E"/>
    <w:rsid w:val="005B0ED9"/>
    <w:rsid w:val="005B52B0"/>
    <w:rsid w:val="005B6806"/>
    <w:rsid w:val="005C02B2"/>
    <w:rsid w:val="005C4225"/>
    <w:rsid w:val="005D509C"/>
    <w:rsid w:val="005D7A0B"/>
    <w:rsid w:val="005F0DAD"/>
    <w:rsid w:val="005F0F33"/>
    <w:rsid w:val="005F16B2"/>
    <w:rsid w:val="00600DEB"/>
    <w:rsid w:val="00616B6D"/>
    <w:rsid w:val="00623A25"/>
    <w:rsid w:val="00627C9F"/>
    <w:rsid w:val="006311E9"/>
    <w:rsid w:val="00632354"/>
    <w:rsid w:val="00635421"/>
    <w:rsid w:val="00642810"/>
    <w:rsid w:val="006440F2"/>
    <w:rsid w:val="00652333"/>
    <w:rsid w:val="00666D99"/>
    <w:rsid w:val="00670258"/>
    <w:rsid w:val="0068009E"/>
    <w:rsid w:val="006845D1"/>
    <w:rsid w:val="006859F7"/>
    <w:rsid w:val="00687E98"/>
    <w:rsid w:val="00692219"/>
    <w:rsid w:val="00697949"/>
    <w:rsid w:val="006A17D2"/>
    <w:rsid w:val="006A5F81"/>
    <w:rsid w:val="006A73E6"/>
    <w:rsid w:val="006B2D5C"/>
    <w:rsid w:val="006B4FAA"/>
    <w:rsid w:val="006C0ECF"/>
    <w:rsid w:val="006C4EB1"/>
    <w:rsid w:val="006E0166"/>
    <w:rsid w:val="006E2FFB"/>
    <w:rsid w:val="006E621A"/>
    <w:rsid w:val="006E7B34"/>
    <w:rsid w:val="00702A38"/>
    <w:rsid w:val="00703EEE"/>
    <w:rsid w:val="0070697F"/>
    <w:rsid w:val="007103C4"/>
    <w:rsid w:val="007203C9"/>
    <w:rsid w:val="0072199C"/>
    <w:rsid w:val="00722567"/>
    <w:rsid w:val="00722C9F"/>
    <w:rsid w:val="00724B64"/>
    <w:rsid w:val="007253B8"/>
    <w:rsid w:val="0073741F"/>
    <w:rsid w:val="0074222E"/>
    <w:rsid w:val="007433F2"/>
    <w:rsid w:val="00743D9D"/>
    <w:rsid w:val="00752ABC"/>
    <w:rsid w:val="007659F7"/>
    <w:rsid w:val="0076643F"/>
    <w:rsid w:val="00772AFD"/>
    <w:rsid w:val="00777F63"/>
    <w:rsid w:val="0078406D"/>
    <w:rsid w:val="0078513B"/>
    <w:rsid w:val="0079188B"/>
    <w:rsid w:val="007936C3"/>
    <w:rsid w:val="00794CAB"/>
    <w:rsid w:val="007A5817"/>
    <w:rsid w:val="007B05C4"/>
    <w:rsid w:val="007B529B"/>
    <w:rsid w:val="007B60E9"/>
    <w:rsid w:val="007B6CC3"/>
    <w:rsid w:val="007B76D3"/>
    <w:rsid w:val="007C0682"/>
    <w:rsid w:val="007C3334"/>
    <w:rsid w:val="007C72C7"/>
    <w:rsid w:val="007C793A"/>
    <w:rsid w:val="007D2B98"/>
    <w:rsid w:val="007D4402"/>
    <w:rsid w:val="007E21BC"/>
    <w:rsid w:val="007E324E"/>
    <w:rsid w:val="007E3FFD"/>
    <w:rsid w:val="007E7C82"/>
    <w:rsid w:val="007F25F3"/>
    <w:rsid w:val="007F2AA1"/>
    <w:rsid w:val="007F588D"/>
    <w:rsid w:val="0080386D"/>
    <w:rsid w:val="00803B25"/>
    <w:rsid w:val="00803F1C"/>
    <w:rsid w:val="0080600E"/>
    <w:rsid w:val="00814688"/>
    <w:rsid w:val="00817612"/>
    <w:rsid w:val="008338A4"/>
    <w:rsid w:val="00834D49"/>
    <w:rsid w:val="00837C45"/>
    <w:rsid w:val="00844730"/>
    <w:rsid w:val="00845240"/>
    <w:rsid w:val="008457C2"/>
    <w:rsid w:val="00857A82"/>
    <w:rsid w:val="00857D2C"/>
    <w:rsid w:val="00861C2E"/>
    <w:rsid w:val="00873836"/>
    <w:rsid w:val="00877C2D"/>
    <w:rsid w:val="00885737"/>
    <w:rsid w:val="00890650"/>
    <w:rsid w:val="00890DA0"/>
    <w:rsid w:val="008944DC"/>
    <w:rsid w:val="00897E12"/>
    <w:rsid w:val="008A6F75"/>
    <w:rsid w:val="008A7E0F"/>
    <w:rsid w:val="008B12F5"/>
    <w:rsid w:val="008B2662"/>
    <w:rsid w:val="008C3152"/>
    <w:rsid w:val="008C5E2D"/>
    <w:rsid w:val="008D1181"/>
    <w:rsid w:val="008D323E"/>
    <w:rsid w:val="008D768D"/>
    <w:rsid w:val="008E3759"/>
    <w:rsid w:val="008E3BFE"/>
    <w:rsid w:val="008F1912"/>
    <w:rsid w:val="00901503"/>
    <w:rsid w:val="0090270B"/>
    <w:rsid w:val="009041DC"/>
    <w:rsid w:val="00917B5A"/>
    <w:rsid w:val="00920A58"/>
    <w:rsid w:val="00920A8C"/>
    <w:rsid w:val="00926630"/>
    <w:rsid w:val="00934A2C"/>
    <w:rsid w:val="00936558"/>
    <w:rsid w:val="009422B3"/>
    <w:rsid w:val="009426DB"/>
    <w:rsid w:val="0094404D"/>
    <w:rsid w:val="00950C33"/>
    <w:rsid w:val="009521C5"/>
    <w:rsid w:val="00965A8D"/>
    <w:rsid w:val="0096675E"/>
    <w:rsid w:val="0096706E"/>
    <w:rsid w:val="00974276"/>
    <w:rsid w:val="00974491"/>
    <w:rsid w:val="00975AE3"/>
    <w:rsid w:val="00975C4E"/>
    <w:rsid w:val="00981FBA"/>
    <w:rsid w:val="009875AA"/>
    <w:rsid w:val="009901FF"/>
    <w:rsid w:val="009956D1"/>
    <w:rsid w:val="00997BC5"/>
    <w:rsid w:val="009A4F41"/>
    <w:rsid w:val="009A56CE"/>
    <w:rsid w:val="009B381B"/>
    <w:rsid w:val="009B6399"/>
    <w:rsid w:val="009C7CC2"/>
    <w:rsid w:val="009D1753"/>
    <w:rsid w:val="009D7611"/>
    <w:rsid w:val="009E0B61"/>
    <w:rsid w:val="009E4EBF"/>
    <w:rsid w:val="009E53DE"/>
    <w:rsid w:val="009F0ABF"/>
    <w:rsid w:val="009F1D9C"/>
    <w:rsid w:val="00A0173F"/>
    <w:rsid w:val="00A03F6A"/>
    <w:rsid w:val="00A05260"/>
    <w:rsid w:val="00A056CA"/>
    <w:rsid w:val="00A06AE5"/>
    <w:rsid w:val="00A10B53"/>
    <w:rsid w:val="00A11212"/>
    <w:rsid w:val="00A11E44"/>
    <w:rsid w:val="00A14455"/>
    <w:rsid w:val="00A15562"/>
    <w:rsid w:val="00A30100"/>
    <w:rsid w:val="00A30A94"/>
    <w:rsid w:val="00A328B3"/>
    <w:rsid w:val="00A366F0"/>
    <w:rsid w:val="00A4181C"/>
    <w:rsid w:val="00A50FCF"/>
    <w:rsid w:val="00A528D1"/>
    <w:rsid w:val="00A532F0"/>
    <w:rsid w:val="00A54692"/>
    <w:rsid w:val="00A610CD"/>
    <w:rsid w:val="00A61507"/>
    <w:rsid w:val="00A672EC"/>
    <w:rsid w:val="00A74EFA"/>
    <w:rsid w:val="00A758AA"/>
    <w:rsid w:val="00A80E92"/>
    <w:rsid w:val="00A93EEE"/>
    <w:rsid w:val="00AA09A2"/>
    <w:rsid w:val="00AA75B7"/>
    <w:rsid w:val="00AA7996"/>
    <w:rsid w:val="00AC19CB"/>
    <w:rsid w:val="00AE489F"/>
    <w:rsid w:val="00AE5488"/>
    <w:rsid w:val="00AE628D"/>
    <w:rsid w:val="00AE68E5"/>
    <w:rsid w:val="00AE6F91"/>
    <w:rsid w:val="00AF5571"/>
    <w:rsid w:val="00B01C49"/>
    <w:rsid w:val="00B028D9"/>
    <w:rsid w:val="00B04818"/>
    <w:rsid w:val="00B0643E"/>
    <w:rsid w:val="00B07341"/>
    <w:rsid w:val="00B07A47"/>
    <w:rsid w:val="00B133E2"/>
    <w:rsid w:val="00B22E99"/>
    <w:rsid w:val="00B259F3"/>
    <w:rsid w:val="00B275DF"/>
    <w:rsid w:val="00B30539"/>
    <w:rsid w:val="00B314DB"/>
    <w:rsid w:val="00B345E0"/>
    <w:rsid w:val="00B361F2"/>
    <w:rsid w:val="00B3718B"/>
    <w:rsid w:val="00B3745F"/>
    <w:rsid w:val="00B4632A"/>
    <w:rsid w:val="00B521B4"/>
    <w:rsid w:val="00B530F1"/>
    <w:rsid w:val="00B568AC"/>
    <w:rsid w:val="00B67432"/>
    <w:rsid w:val="00B6765D"/>
    <w:rsid w:val="00B80A2C"/>
    <w:rsid w:val="00B93D7F"/>
    <w:rsid w:val="00B96F2C"/>
    <w:rsid w:val="00B97A76"/>
    <w:rsid w:val="00BA276C"/>
    <w:rsid w:val="00BB019D"/>
    <w:rsid w:val="00BB306F"/>
    <w:rsid w:val="00BD0FF5"/>
    <w:rsid w:val="00BD4B89"/>
    <w:rsid w:val="00BD5922"/>
    <w:rsid w:val="00BD7750"/>
    <w:rsid w:val="00BE567D"/>
    <w:rsid w:val="00BF02CB"/>
    <w:rsid w:val="00BF134A"/>
    <w:rsid w:val="00BF6FD8"/>
    <w:rsid w:val="00BF764B"/>
    <w:rsid w:val="00C00B6B"/>
    <w:rsid w:val="00C02E2F"/>
    <w:rsid w:val="00C03680"/>
    <w:rsid w:val="00C054DF"/>
    <w:rsid w:val="00C065C4"/>
    <w:rsid w:val="00C15A9C"/>
    <w:rsid w:val="00C1761B"/>
    <w:rsid w:val="00C21762"/>
    <w:rsid w:val="00C21FEF"/>
    <w:rsid w:val="00C221A1"/>
    <w:rsid w:val="00C23BA4"/>
    <w:rsid w:val="00C24543"/>
    <w:rsid w:val="00C256A2"/>
    <w:rsid w:val="00C25ADB"/>
    <w:rsid w:val="00C409C7"/>
    <w:rsid w:val="00C51515"/>
    <w:rsid w:val="00C52102"/>
    <w:rsid w:val="00C553CE"/>
    <w:rsid w:val="00C5660B"/>
    <w:rsid w:val="00C63894"/>
    <w:rsid w:val="00C66B72"/>
    <w:rsid w:val="00C7005F"/>
    <w:rsid w:val="00C86635"/>
    <w:rsid w:val="00C875BD"/>
    <w:rsid w:val="00C87AC4"/>
    <w:rsid w:val="00C9567A"/>
    <w:rsid w:val="00CA02CB"/>
    <w:rsid w:val="00CA674B"/>
    <w:rsid w:val="00CB0E5C"/>
    <w:rsid w:val="00CB183E"/>
    <w:rsid w:val="00CB212D"/>
    <w:rsid w:val="00CB2660"/>
    <w:rsid w:val="00CC5E90"/>
    <w:rsid w:val="00CD046C"/>
    <w:rsid w:val="00CD607F"/>
    <w:rsid w:val="00CD72BF"/>
    <w:rsid w:val="00CE076C"/>
    <w:rsid w:val="00CE5199"/>
    <w:rsid w:val="00CE66D5"/>
    <w:rsid w:val="00CF637A"/>
    <w:rsid w:val="00D03D7C"/>
    <w:rsid w:val="00D049A2"/>
    <w:rsid w:val="00D051DA"/>
    <w:rsid w:val="00D0581A"/>
    <w:rsid w:val="00D059DE"/>
    <w:rsid w:val="00D05ABD"/>
    <w:rsid w:val="00D13FCE"/>
    <w:rsid w:val="00D1684D"/>
    <w:rsid w:val="00D2031D"/>
    <w:rsid w:val="00D306D1"/>
    <w:rsid w:val="00D30800"/>
    <w:rsid w:val="00D34786"/>
    <w:rsid w:val="00D36A6D"/>
    <w:rsid w:val="00D37BFC"/>
    <w:rsid w:val="00D4293B"/>
    <w:rsid w:val="00D45297"/>
    <w:rsid w:val="00D469B9"/>
    <w:rsid w:val="00D47A8E"/>
    <w:rsid w:val="00D52D14"/>
    <w:rsid w:val="00D712D3"/>
    <w:rsid w:val="00D71422"/>
    <w:rsid w:val="00D72DC6"/>
    <w:rsid w:val="00D73506"/>
    <w:rsid w:val="00D7558D"/>
    <w:rsid w:val="00D81D92"/>
    <w:rsid w:val="00D876F9"/>
    <w:rsid w:val="00D92BB3"/>
    <w:rsid w:val="00DA7B5F"/>
    <w:rsid w:val="00DB772F"/>
    <w:rsid w:val="00DC0D1A"/>
    <w:rsid w:val="00DC11E7"/>
    <w:rsid w:val="00DC24E3"/>
    <w:rsid w:val="00DC6CDC"/>
    <w:rsid w:val="00DC7023"/>
    <w:rsid w:val="00DC769A"/>
    <w:rsid w:val="00DD3D86"/>
    <w:rsid w:val="00DD47A2"/>
    <w:rsid w:val="00DD4AD2"/>
    <w:rsid w:val="00DD629A"/>
    <w:rsid w:val="00DE2862"/>
    <w:rsid w:val="00DE3F29"/>
    <w:rsid w:val="00DF1EC4"/>
    <w:rsid w:val="00E0340B"/>
    <w:rsid w:val="00E03973"/>
    <w:rsid w:val="00E04A90"/>
    <w:rsid w:val="00E0551F"/>
    <w:rsid w:val="00E11B47"/>
    <w:rsid w:val="00E219C7"/>
    <w:rsid w:val="00E305EB"/>
    <w:rsid w:val="00E31749"/>
    <w:rsid w:val="00E3413B"/>
    <w:rsid w:val="00E4118C"/>
    <w:rsid w:val="00E43157"/>
    <w:rsid w:val="00E461CE"/>
    <w:rsid w:val="00E4729B"/>
    <w:rsid w:val="00E572A3"/>
    <w:rsid w:val="00E573E4"/>
    <w:rsid w:val="00E64C3D"/>
    <w:rsid w:val="00E66075"/>
    <w:rsid w:val="00E720CA"/>
    <w:rsid w:val="00E84EB5"/>
    <w:rsid w:val="00E85662"/>
    <w:rsid w:val="00E8789F"/>
    <w:rsid w:val="00E97B71"/>
    <w:rsid w:val="00EA1AC8"/>
    <w:rsid w:val="00EA1B8A"/>
    <w:rsid w:val="00EA3D34"/>
    <w:rsid w:val="00EA4F24"/>
    <w:rsid w:val="00EB454D"/>
    <w:rsid w:val="00EB652F"/>
    <w:rsid w:val="00ED549D"/>
    <w:rsid w:val="00ED5E10"/>
    <w:rsid w:val="00ED76BE"/>
    <w:rsid w:val="00EE00E9"/>
    <w:rsid w:val="00EE23D7"/>
    <w:rsid w:val="00EE302B"/>
    <w:rsid w:val="00EF1AAA"/>
    <w:rsid w:val="00EF619B"/>
    <w:rsid w:val="00F00B55"/>
    <w:rsid w:val="00F02AD1"/>
    <w:rsid w:val="00F07CC6"/>
    <w:rsid w:val="00F106E1"/>
    <w:rsid w:val="00F15D83"/>
    <w:rsid w:val="00F21BA3"/>
    <w:rsid w:val="00F24EA4"/>
    <w:rsid w:val="00F253CC"/>
    <w:rsid w:val="00F333B2"/>
    <w:rsid w:val="00F37106"/>
    <w:rsid w:val="00F41E8C"/>
    <w:rsid w:val="00F43C33"/>
    <w:rsid w:val="00F44E25"/>
    <w:rsid w:val="00F519CF"/>
    <w:rsid w:val="00F56BA5"/>
    <w:rsid w:val="00F56ECB"/>
    <w:rsid w:val="00F60E22"/>
    <w:rsid w:val="00F67382"/>
    <w:rsid w:val="00F81395"/>
    <w:rsid w:val="00F81BB8"/>
    <w:rsid w:val="00F81C3A"/>
    <w:rsid w:val="00F85668"/>
    <w:rsid w:val="00F90C64"/>
    <w:rsid w:val="00F90CC7"/>
    <w:rsid w:val="00F917D1"/>
    <w:rsid w:val="00F9251D"/>
    <w:rsid w:val="00F9382E"/>
    <w:rsid w:val="00F9653B"/>
    <w:rsid w:val="00FA3B87"/>
    <w:rsid w:val="00FB62CF"/>
    <w:rsid w:val="00FC2734"/>
    <w:rsid w:val="00FD3C3B"/>
    <w:rsid w:val="00FE07DD"/>
    <w:rsid w:val="00FE115A"/>
    <w:rsid w:val="00FE54AB"/>
    <w:rsid w:val="00FE6B45"/>
    <w:rsid w:val="00FF55F3"/>
    <w:rsid w:val="00FF5851"/>
    <w:rsid w:val="00FF7B79"/>
    <w:rsid w:val="105F897C"/>
    <w:rsid w:val="6308881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294F74"/>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rafos">
    <w:name w:val="parrafos"/>
    <w:basedOn w:val="Normal"/>
    <w:qFormat/>
    <w:rsid w:val="00175A5A"/>
    <w:pPr>
      <w:numPr>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pPr>
    <w:rPr>
      <w:rFonts w:asciiTheme="majorHAnsi" w:hAnsiTheme="majorHAnsi"/>
      <w:color w:val="000000" w:themeColor="text1"/>
      <w:sz w:val="20"/>
      <w:szCs w:val="20"/>
      <w:lang w:val="es-VE"/>
    </w:rPr>
  </w:style>
  <w:style w:type="paragraph" w:customStyle="1" w:styleId="paragraph">
    <w:name w:val="paragraph"/>
    <w:basedOn w:val="Normal"/>
    <w:rsid w:val="00752A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752ABC"/>
  </w:style>
  <w:style w:type="character" w:customStyle="1" w:styleId="eop">
    <w:name w:val="eop"/>
    <w:basedOn w:val="DefaultParagraphFont"/>
    <w:rsid w:val="00752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200821"/>
    <w:rsid w:val="0025245B"/>
    <w:rsid w:val="002A3923"/>
    <w:rsid w:val="00323DD5"/>
    <w:rsid w:val="00335D68"/>
    <w:rsid w:val="00394049"/>
    <w:rsid w:val="003B0C71"/>
    <w:rsid w:val="003B795E"/>
    <w:rsid w:val="003E2DD8"/>
    <w:rsid w:val="004B5BBB"/>
    <w:rsid w:val="004F2DF8"/>
    <w:rsid w:val="00517E2A"/>
    <w:rsid w:val="006D3128"/>
    <w:rsid w:val="006F24A1"/>
    <w:rsid w:val="00743D9D"/>
    <w:rsid w:val="007C72C7"/>
    <w:rsid w:val="00875B8A"/>
    <w:rsid w:val="008937F7"/>
    <w:rsid w:val="008953BC"/>
    <w:rsid w:val="00901503"/>
    <w:rsid w:val="009A261B"/>
    <w:rsid w:val="009E4EBF"/>
    <w:rsid w:val="00AA2E17"/>
    <w:rsid w:val="00AC15A4"/>
    <w:rsid w:val="00AE628D"/>
    <w:rsid w:val="00B0336C"/>
    <w:rsid w:val="00B32DA1"/>
    <w:rsid w:val="00C221A1"/>
    <w:rsid w:val="00C409C7"/>
    <w:rsid w:val="00CA50B1"/>
    <w:rsid w:val="00D241E9"/>
    <w:rsid w:val="00D3126A"/>
    <w:rsid w:val="00D7750D"/>
    <w:rsid w:val="00DA32DF"/>
    <w:rsid w:val="00DC6CDC"/>
    <w:rsid w:val="00DD629A"/>
    <w:rsid w:val="00DE3F29"/>
    <w:rsid w:val="00E66075"/>
    <w:rsid w:val="00EA4F24"/>
    <w:rsid w:val="00ED6D30"/>
    <w:rsid w:val="00F00D2F"/>
    <w:rsid w:val="00F128DF"/>
    <w:rsid w:val="00F67382"/>
    <w:rsid w:val="00F90CC7"/>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2ABF7AEE-62BE-4F40-AA15-970E3D94F21F}">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CAA33BC7-4C68-407E-B639-15F2043B03F5}">
  <ds:schemaRefs>
    <ds:schemaRef ds:uri="http://schemas.microsoft.com/sharepoint/v3/contenttype/forms"/>
  </ds:schemaRefs>
</ds:datastoreItem>
</file>

<file path=customXml/itemProps4.xml><?xml version="1.0" encoding="utf-8"?>
<ds:datastoreItem xmlns:ds="http://schemas.openxmlformats.org/officeDocument/2006/customXml" ds:itemID="{FCCA1898-8626-4C0D-AEE9-46BF3356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2007</Words>
  <Characters>11444</Characters>
  <Application>Microsoft Office Word</Application>
  <DocSecurity>0</DocSecurity>
  <Lines>95</Lines>
  <Paragraphs>26</Paragraphs>
  <ScaleCrop>false</ScaleCrop>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2025-10-17T15:44:00Z</dcterms:created>
  <dcterms:modified xsi:type="dcterms:W3CDTF">2025-10-17T15:44:00Z</dcterms:modified>
</cp:coreProperties>
</file>