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2CF429C">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04E39E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9D68D2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057E9">
                              <w:rPr>
                                <w:rFonts w:asciiTheme="majorHAnsi" w:hAnsiTheme="majorHAnsi" w:cs="Arial"/>
                                <w:b/>
                                <w:bCs/>
                                <w:color w:val="0D0D0D" w:themeColor="text1" w:themeTint="F2"/>
                                <w:sz w:val="36"/>
                                <w:szCs w:val="22"/>
                                <w:lang w:val="es-ES_tradnl"/>
                              </w:rPr>
                              <w:t>192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E8E743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723E1">
                              <w:rPr>
                                <w:rFonts w:asciiTheme="majorHAnsi" w:hAnsiTheme="majorHAnsi" w:cs="Arial"/>
                                <w:b/>
                                <w:color w:val="0D0D0D" w:themeColor="text1" w:themeTint="F2"/>
                                <w:sz w:val="36"/>
                                <w:szCs w:val="22"/>
                                <w:lang w:val="es-ES_tradnl"/>
                              </w:rPr>
                              <w:t>1700-15</w:t>
                            </w:r>
                          </w:p>
                          <w:p w14:paraId="188B4303" w14:textId="7CD3E06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055C66">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768F8782" w14:textId="63C66C6A" w:rsidR="005B52B0" w:rsidRPr="0010736F" w:rsidRDefault="009723E1"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CARLOS ALBERTO MANTILLA GUTIÉRREZ</w:t>
                            </w:r>
                          </w:p>
                          <w:bookmarkEnd w:id="0"/>
                          <w:p w14:paraId="0B9F7D22" w14:textId="07A70372" w:rsidR="005B52B0" w:rsidRPr="00F56ECB" w:rsidRDefault="009723E1"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39D68D2B"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4057E9">
                        <w:rPr>
                          <w:rFonts w:asciiTheme="majorHAnsi" w:hAnsiTheme="majorHAnsi" w:cs="Arial"/>
                          <w:b/>
                          <w:bCs/>
                          <w:color w:val="0D0D0D" w:themeColor="text1" w:themeTint="F2"/>
                          <w:sz w:val="36"/>
                          <w:szCs w:val="22"/>
                          <w:lang w:val="es-ES_tradnl"/>
                        </w:rPr>
                        <w:t>192</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5E8E7433"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723E1">
                        <w:rPr>
                          <w:rFonts w:asciiTheme="majorHAnsi" w:hAnsiTheme="majorHAnsi" w:cs="Arial"/>
                          <w:b/>
                          <w:color w:val="0D0D0D" w:themeColor="text1" w:themeTint="F2"/>
                          <w:sz w:val="36"/>
                          <w:szCs w:val="22"/>
                          <w:lang w:val="es-ES_tradnl"/>
                        </w:rPr>
                        <w:t>1700-15</w:t>
                      </w:r>
                    </w:p>
                    <w:p w14:paraId="188B4303" w14:textId="7CD3E06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055C66">
                        <w:rPr>
                          <w:rFonts w:asciiTheme="majorHAnsi" w:hAnsiTheme="majorHAnsi" w:cs="Arial"/>
                          <w:color w:val="0D0D0D" w:themeColor="text1" w:themeTint="F2"/>
                          <w:szCs w:val="22"/>
                          <w:lang w:val="es-ES_tradnl"/>
                        </w:rPr>
                        <w:t>IN</w:t>
                      </w:r>
                      <w:r w:rsidRPr="0010736F">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768F8782" w14:textId="63C66C6A" w:rsidR="005B52B0" w:rsidRPr="0010736F" w:rsidRDefault="009723E1"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CARLOS ALBERTO MANTILLA GUTIÉRREZ</w:t>
                      </w:r>
                    </w:p>
                    <w:bookmarkEnd w:id="1"/>
                    <w:p w14:paraId="0B9F7D22" w14:textId="07A70372" w:rsidR="005B52B0" w:rsidRPr="00F56ECB" w:rsidRDefault="009723E1"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6F2897A" w:rsidR="00627C9F" w:rsidRPr="00572C10" w:rsidRDefault="00834D49" w:rsidP="007A5817">
                            <w:pPr>
                              <w:spacing w:line="276" w:lineRule="auto"/>
                              <w:jc w:val="right"/>
                              <w:rPr>
                                <w:rFonts w:asciiTheme="minorHAnsi" w:hAnsiTheme="minorHAnsi"/>
                                <w:color w:val="FFFFFF" w:themeColor="background1"/>
                                <w:sz w:val="22"/>
                                <w:lang w:val="es-ES"/>
                              </w:rPr>
                            </w:pPr>
                            <w:r w:rsidRPr="00572C10">
                              <w:rPr>
                                <w:rFonts w:asciiTheme="minorHAnsi" w:hAnsiTheme="minorHAnsi"/>
                                <w:color w:val="FFFFFF" w:themeColor="background1"/>
                                <w:sz w:val="22"/>
                                <w:lang w:val="es-ES"/>
                              </w:rPr>
                              <w:t>OEA/Ser.L/V/II</w:t>
                            </w:r>
                          </w:p>
                          <w:p w14:paraId="71D2D5D2" w14:textId="096B112F" w:rsidR="00627C9F" w:rsidRPr="00572C10" w:rsidRDefault="00627C9F" w:rsidP="007A5817">
                            <w:pPr>
                              <w:spacing w:line="276" w:lineRule="auto"/>
                              <w:jc w:val="right"/>
                              <w:rPr>
                                <w:rFonts w:asciiTheme="minorHAnsi" w:hAnsiTheme="minorHAnsi"/>
                                <w:color w:val="FFFFFF" w:themeColor="background1"/>
                                <w:sz w:val="22"/>
                                <w:lang w:val="es-ES"/>
                              </w:rPr>
                            </w:pPr>
                            <w:r w:rsidRPr="00572C10">
                              <w:rPr>
                                <w:rFonts w:asciiTheme="minorHAnsi" w:hAnsiTheme="minorHAnsi"/>
                                <w:color w:val="FFFFFF" w:themeColor="background1"/>
                                <w:sz w:val="22"/>
                                <w:lang w:val="es-ES"/>
                              </w:rPr>
                              <w:t xml:space="preserve">Doc. </w:t>
                            </w:r>
                            <w:r w:rsidR="004057E9" w:rsidRPr="00572C10">
                              <w:rPr>
                                <w:rFonts w:asciiTheme="minorHAnsi" w:hAnsiTheme="minorHAnsi"/>
                                <w:color w:val="FFFFFF" w:themeColor="background1"/>
                                <w:sz w:val="22"/>
                                <w:lang w:val="es-ES"/>
                              </w:rPr>
                              <w:t>203</w:t>
                            </w:r>
                          </w:p>
                          <w:p w14:paraId="4061DBBD" w14:textId="2F162AC6" w:rsidR="00627C9F" w:rsidRPr="00C25ADB" w:rsidRDefault="004057E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6F2897A" w:rsidR="00627C9F" w:rsidRPr="00572C10" w:rsidRDefault="00834D49" w:rsidP="007A5817">
                      <w:pPr>
                        <w:spacing w:line="276" w:lineRule="auto"/>
                        <w:jc w:val="right"/>
                        <w:rPr>
                          <w:rFonts w:asciiTheme="minorHAnsi" w:hAnsiTheme="minorHAnsi"/>
                          <w:color w:val="FFFFFF" w:themeColor="background1"/>
                          <w:sz w:val="22"/>
                          <w:lang w:val="es-ES"/>
                        </w:rPr>
                      </w:pPr>
                      <w:r w:rsidRPr="00572C10">
                        <w:rPr>
                          <w:rFonts w:asciiTheme="minorHAnsi" w:hAnsiTheme="minorHAnsi"/>
                          <w:color w:val="FFFFFF" w:themeColor="background1"/>
                          <w:sz w:val="22"/>
                          <w:lang w:val="es-ES"/>
                        </w:rPr>
                        <w:t>OEA/Ser.L/V/II</w:t>
                      </w:r>
                    </w:p>
                    <w:p w14:paraId="71D2D5D2" w14:textId="096B112F" w:rsidR="00627C9F" w:rsidRPr="00572C10" w:rsidRDefault="00627C9F" w:rsidP="007A5817">
                      <w:pPr>
                        <w:spacing w:line="276" w:lineRule="auto"/>
                        <w:jc w:val="right"/>
                        <w:rPr>
                          <w:rFonts w:asciiTheme="minorHAnsi" w:hAnsiTheme="minorHAnsi"/>
                          <w:color w:val="FFFFFF" w:themeColor="background1"/>
                          <w:sz w:val="22"/>
                          <w:lang w:val="es-ES"/>
                        </w:rPr>
                      </w:pPr>
                      <w:r w:rsidRPr="00572C10">
                        <w:rPr>
                          <w:rFonts w:asciiTheme="minorHAnsi" w:hAnsiTheme="minorHAnsi"/>
                          <w:color w:val="FFFFFF" w:themeColor="background1"/>
                          <w:sz w:val="22"/>
                          <w:lang w:val="es-ES"/>
                        </w:rPr>
                        <w:t xml:space="preserve">Doc. </w:t>
                      </w:r>
                      <w:r w:rsidR="004057E9" w:rsidRPr="00572C10">
                        <w:rPr>
                          <w:rFonts w:asciiTheme="minorHAnsi" w:hAnsiTheme="minorHAnsi"/>
                          <w:color w:val="FFFFFF" w:themeColor="background1"/>
                          <w:sz w:val="22"/>
                          <w:lang w:val="es-ES"/>
                        </w:rPr>
                        <w:t>203</w:t>
                      </w:r>
                    </w:p>
                    <w:p w14:paraId="4061DBBD" w14:textId="2F162AC6" w:rsidR="00627C9F" w:rsidRPr="00C25ADB" w:rsidRDefault="004057E9"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octubre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28005A9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004057E9">
                              <w:rPr>
                                <w:rFonts w:asciiTheme="majorHAnsi" w:hAnsiTheme="majorHAnsi"/>
                                <w:color w:val="0D0D0D" w:themeColor="text1" w:themeTint="F2"/>
                                <w:sz w:val="18"/>
                                <w:szCs w:val="22"/>
                                <w:lang w:val="es-ES"/>
                              </w:rPr>
                              <w:t>electrónicamente</w:t>
                            </w:r>
                            <w:r w:rsidRPr="00890650">
                              <w:rPr>
                                <w:rFonts w:asciiTheme="majorHAnsi" w:hAnsiTheme="majorHAnsi"/>
                                <w:color w:val="0D0D0D" w:themeColor="text1" w:themeTint="F2"/>
                                <w:sz w:val="18"/>
                                <w:szCs w:val="22"/>
                                <w:lang w:val="es-ES"/>
                              </w:rPr>
                              <w:t xml:space="preserve"> por la Comisión el </w:t>
                            </w:r>
                            <w:r w:rsidR="004057E9">
                              <w:rPr>
                                <w:rFonts w:asciiTheme="majorHAnsi" w:hAnsiTheme="majorHAnsi"/>
                                <w:color w:val="0D0D0D" w:themeColor="text1" w:themeTint="F2"/>
                                <w:sz w:val="18"/>
                                <w:szCs w:val="22"/>
                                <w:lang w:val="es-ES"/>
                              </w:rPr>
                              <w:t>6</w:t>
                            </w:r>
                            <w:r w:rsidRPr="00890650">
                              <w:rPr>
                                <w:rFonts w:asciiTheme="majorHAnsi" w:hAnsiTheme="majorHAnsi"/>
                                <w:color w:val="0D0D0D" w:themeColor="text1" w:themeTint="F2"/>
                                <w:sz w:val="18"/>
                                <w:szCs w:val="22"/>
                                <w:lang w:val="es-ES"/>
                              </w:rPr>
                              <w:t xml:space="preserve"> de </w:t>
                            </w:r>
                            <w:r w:rsidR="004057E9">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057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28005A99"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r w:rsidR="004057E9">
                        <w:rPr>
                          <w:rFonts w:asciiTheme="majorHAnsi" w:hAnsiTheme="majorHAnsi"/>
                          <w:color w:val="0D0D0D" w:themeColor="text1" w:themeTint="F2"/>
                          <w:sz w:val="18"/>
                          <w:szCs w:val="22"/>
                          <w:lang w:val="es-ES"/>
                        </w:rPr>
                        <w:t>electrónicamente</w:t>
                      </w:r>
                      <w:r w:rsidRPr="00890650">
                        <w:rPr>
                          <w:rFonts w:asciiTheme="majorHAnsi" w:hAnsiTheme="majorHAnsi"/>
                          <w:color w:val="0D0D0D" w:themeColor="text1" w:themeTint="F2"/>
                          <w:sz w:val="18"/>
                          <w:szCs w:val="22"/>
                          <w:lang w:val="es-ES"/>
                        </w:rPr>
                        <w:t xml:space="preserve"> por la Comisión el </w:t>
                      </w:r>
                      <w:r w:rsidR="004057E9">
                        <w:rPr>
                          <w:rFonts w:asciiTheme="majorHAnsi" w:hAnsiTheme="majorHAnsi"/>
                          <w:color w:val="0D0D0D" w:themeColor="text1" w:themeTint="F2"/>
                          <w:sz w:val="18"/>
                          <w:szCs w:val="22"/>
                          <w:lang w:val="es-ES"/>
                        </w:rPr>
                        <w:t>6</w:t>
                      </w:r>
                      <w:r w:rsidRPr="00890650">
                        <w:rPr>
                          <w:rFonts w:asciiTheme="majorHAnsi" w:hAnsiTheme="majorHAnsi"/>
                          <w:color w:val="0D0D0D" w:themeColor="text1" w:themeTint="F2"/>
                          <w:sz w:val="18"/>
                          <w:szCs w:val="22"/>
                          <w:lang w:val="es-ES"/>
                        </w:rPr>
                        <w:t xml:space="preserve"> de </w:t>
                      </w:r>
                      <w:r w:rsidR="004057E9">
                        <w:rPr>
                          <w:rFonts w:asciiTheme="majorHAnsi" w:hAnsiTheme="majorHAnsi"/>
                          <w:color w:val="0D0D0D" w:themeColor="text1" w:themeTint="F2"/>
                          <w:sz w:val="18"/>
                          <w:szCs w:val="22"/>
                          <w:lang w:val="es-ES"/>
                        </w:rPr>
                        <w:t>octubre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057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F0C3E" w14:textId="77777777" w:rsidR="004057E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057E9" w:rsidRPr="004057E9">
                              <w:rPr>
                                <w:rFonts w:asciiTheme="majorHAnsi" w:hAnsiTheme="majorHAnsi"/>
                                <w:color w:val="595959" w:themeColor="text1" w:themeTint="A6"/>
                                <w:sz w:val="18"/>
                                <w:szCs w:val="18"/>
                                <w:lang w:val="pt-BR"/>
                              </w:rPr>
                              <w:t>192</w:t>
                            </w:r>
                            <w:r w:rsidR="007B05C4" w:rsidRPr="004057E9">
                              <w:rPr>
                                <w:rFonts w:asciiTheme="majorHAnsi" w:hAnsiTheme="majorHAnsi"/>
                                <w:color w:val="595959" w:themeColor="text1" w:themeTint="A6"/>
                                <w:sz w:val="18"/>
                                <w:szCs w:val="18"/>
                                <w:lang w:val="pt-BR"/>
                              </w:rPr>
                              <w:t>/</w:t>
                            </w:r>
                            <w:r w:rsidR="004057E9" w:rsidRPr="004057E9">
                              <w:rPr>
                                <w:rFonts w:asciiTheme="majorHAnsi" w:hAnsiTheme="majorHAnsi"/>
                                <w:color w:val="595959" w:themeColor="text1" w:themeTint="A6"/>
                                <w:sz w:val="18"/>
                                <w:szCs w:val="18"/>
                                <w:lang w:val="pt-BR"/>
                              </w:rPr>
                              <w:t>25</w:t>
                            </w:r>
                            <w:r w:rsidRPr="004057E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057E9">
                              <w:rPr>
                                <w:rFonts w:asciiTheme="majorHAnsi" w:hAnsiTheme="majorHAnsi"/>
                                <w:color w:val="595959" w:themeColor="text1" w:themeTint="A6"/>
                                <w:sz w:val="18"/>
                                <w:szCs w:val="18"/>
                                <w:lang w:val="es-ES"/>
                              </w:rPr>
                              <w:t>1700</w:t>
                            </w:r>
                            <w:r w:rsidR="000433C9">
                              <w:rPr>
                                <w:rFonts w:asciiTheme="majorHAnsi" w:hAnsiTheme="majorHAnsi"/>
                                <w:color w:val="595959" w:themeColor="text1" w:themeTint="A6"/>
                                <w:sz w:val="18"/>
                                <w:szCs w:val="18"/>
                                <w:lang w:val="es-ES"/>
                              </w:rPr>
                              <w:t>-</w:t>
                            </w:r>
                            <w:r w:rsidR="004057E9">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2233FA1E" w:rsidR="00113F73" w:rsidRPr="007B05C4" w:rsidRDefault="004057E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Carlos Alberto Mantilla Gutiérrez</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6 de octubre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F0F0C3E" w14:textId="77777777" w:rsidR="004057E9"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057E9" w:rsidRPr="004057E9">
                        <w:rPr>
                          <w:rFonts w:asciiTheme="majorHAnsi" w:hAnsiTheme="majorHAnsi"/>
                          <w:color w:val="595959" w:themeColor="text1" w:themeTint="A6"/>
                          <w:sz w:val="18"/>
                          <w:szCs w:val="18"/>
                          <w:lang w:val="pt-BR"/>
                        </w:rPr>
                        <w:t>192</w:t>
                      </w:r>
                      <w:r w:rsidR="007B05C4" w:rsidRPr="004057E9">
                        <w:rPr>
                          <w:rFonts w:asciiTheme="majorHAnsi" w:hAnsiTheme="majorHAnsi"/>
                          <w:color w:val="595959" w:themeColor="text1" w:themeTint="A6"/>
                          <w:sz w:val="18"/>
                          <w:szCs w:val="18"/>
                          <w:lang w:val="pt-BR"/>
                        </w:rPr>
                        <w:t>/</w:t>
                      </w:r>
                      <w:r w:rsidR="004057E9" w:rsidRPr="004057E9">
                        <w:rPr>
                          <w:rFonts w:asciiTheme="majorHAnsi" w:hAnsiTheme="majorHAnsi"/>
                          <w:color w:val="595959" w:themeColor="text1" w:themeTint="A6"/>
                          <w:sz w:val="18"/>
                          <w:szCs w:val="18"/>
                          <w:lang w:val="pt-BR"/>
                        </w:rPr>
                        <w:t>25</w:t>
                      </w:r>
                      <w:r w:rsidRPr="004057E9">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057E9">
                        <w:rPr>
                          <w:rFonts w:asciiTheme="majorHAnsi" w:hAnsiTheme="majorHAnsi"/>
                          <w:color w:val="595959" w:themeColor="text1" w:themeTint="A6"/>
                          <w:sz w:val="18"/>
                          <w:szCs w:val="18"/>
                          <w:lang w:val="es-ES"/>
                        </w:rPr>
                        <w:t>1700</w:t>
                      </w:r>
                      <w:r w:rsidR="000433C9">
                        <w:rPr>
                          <w:rFonts w:asciiTheme="majorHAnsi" w:hAnsiTheme="majorHAnsi"/>
                          <w:color w:val="595959" w:themeColor="text1" w:themeTint="A6"/>
                          <w:sz w:val="18"/>
                          <w:szCs w:val="18"/>
                          <w:lang w:val="es-ES"/>
                        </w:rPr>
                        <w:t>-</w:t>
                      </w:r>
                      <w:r w:rsidR="004057E9">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Inadmisibilidad. </w:t>
                      </w:r>
                    </w:p>
                    <w:p w14:paraId="7FD77785" w14:textId="2233FA1E" w:rsidR="00113F73" w:rsidRPr="007B05C4" w:rsidRDefault="004057E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Carlos Alberto Mantilla Gutiérrez</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6 de octubre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1131EE0C" w:rsidR="003239B8" w:rsidRPr="000D05CB" w:rsidRDefault="009723E1">
            <w:pPr>
              <w:jc w:val="both"/>
              <w:rPr>
                <w:rFonts w:ascii="Cambria" w:hAnsi="Cambria"/>
                <w:bCs/>
                <w:sz w:val="20"/>
                <w:szCs w:val="20"/>
              </w:rPr>
            </w:pPr>
            <w:r>
              <w:rPr>
                <w:rFonts w:ascii="Cambria" w:hAnsi="Cambria"/>
                <w:bCs/>
                <w:sz w:val="20"/>
                <w:szCs w:val="20"/>
              </w:rPr>
              <w:t>Carlos Alberto Mantilla Gutiérrez</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B725E8">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62A6E6FD" w:rsidR="003239B8" w:rsidRPr="000D05CB" w:rsidRDefault="009723E1">
            <w:pPr>
              <w:jc w:val="both"/>
              <w:rPr>
                <w:rFonts w:ascii="Cambria" w:hAnsi="Cambria"/>
                <w:bCs/>
                <w:sz w:val="20"/>
                <w:szCs w:val="20"/>
                <w:lang w:val="es-ES"/>
              </w:rPr>
            </w:pPr>
            <w:r>
              <w:rPr>
                <w:rFonts w:ascii="Cambria" w:hAnsi="Cambria"/>
                <w:bCs/>
                <w:sz w:val="20"/>
                <w:szCs w:val="20"/>
              </w:rPr>
              <w:t>Carlos Alberto Mantilla Gutiérrez</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2D3FD6BF" w:rsidR="003239B8" w:rsidRPr="000D05CB" w:rsidRDefault="009723E1">
            <w:pPr>
              <w:jc w:val="both"/>
              <w:rPr>
                <w:rFonts w:ascii="Cambria" w:hAnsi="Cambria"/>
                <w:bCs/>
                <w:sz w:val="20"/>
                <w:szCs w:val="20"/>
              </w:rPr>
            </w:pPr>
            <w:r>
              <w:rPr>
                <w:rFonts w:ascii="Cambria" w:hAnsi="Cambria"/>
                <w:bCs/>
                <w:sz w:val="20"/>
                <w:szCs w:val="20"/>
              </w:rPr>
              <w:t>Colombia</w:t>
            </w:r>
            <w:r w:rsidR="004A6A54" w:rsidRPr="000D05CB">
              <w:rPr>
                <w:rStyle w:val="FootnoteReference"/>
                <w:rFonts w:ascii="Cambria" w:hAnsi="Cambria"/>
                <w:bCs/>
                <w:sz w:val="20"/>
                <w:szCs w:val="20"/>
              </w:rPr>
              <w:footnoteReference w:id="2"/>
            </w:r>
          </w:p>
        </w:tc>
      </w:tr>
      <w:tr w:rsidR="00223A29" w:rsidRPr="00572C10"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4230DA48" w:rsidR="00223A29" w:rsidRPr="00DB3919" w:rsidRDefault="004204B2">
            <w:pPr>
              <w:jc w:val="both"/>
              <w:rPr>
                <w:rFonts w:ascii="Cambria" w:hAnsi="Cambria"/>
                <w:bCs/>
                <w:sz w:val="20"/>
                <w:szCs w:val="20"/>
                <w:lang w:val="es-CO"/>
              </w:rPr>
            </w:pPr>
            <w:r w:rsidRPr="00DB3919">
              <w:rPr>
                <w:rFonts w:ascii="Cambria" w:hAnsi="Cambria"/>
                <w:bCs/>
                <w:sz w:val="20"/>
                <w:szCs w:val="20"/>
                <w:lang w:val="es-CO"/>
              </w:rPr>
              <w:t xml:space="preserve">Artículos </w:t>
            </w:r>
            <w:r w:rsidR="00795378" w:rsidRPr="00DB3919">
              <w:rPr>
                <w:rFonts w:ascii="Cambria" w:hAnsi="Cambria"/>
                <w:bCs/>
                <w:sz w:val="20"/>
                <w:szCs w:val="20"/>
                <w:lang w:val="es-CO"/>
              </w:rPr>
              <w:t>3 (</w:t>
            </w:r>
            <w:r w:rsidR="00DB3919" w:rsidRPr="00DB3919">
              <w:rPr>
                <w:rFonts w:ascii="Cambria" w:hAnsi="Cambria"/>
                <w:bCs/>
                <w:sz w:val="20"/>
                <w:szCs w:val="20"/>
                <w:lang w:val="es-CO"/>
              </w:rPr>
              <w:t>reconocimiento de la p</w:t>
            </w:r>
            <w:r w:rsidR="00DB3919">
              <w:rPr>
                <w:rFonts w:ascii="Cambria" w:hAnsi="Cambria"/>
                <w:bCs/>
                <w:sz w:val="20"/>
                <w:szCs w:val="20"/>
                <w:lang w:val="es-CO"/>
              </w:rPr>
              <w:t>ersonalidad jurídica), 8 (garantías judiciales), 21 (propiedad privada), 24 (igualdad ante la ley), 25 (protección judicial) y 26 (derecho a un ambiente sano) de la Convención Americana sobre Derechos Humanos</w:t>
            </w:r>
            <w:r w:rsidR="002868BC">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29137729" w:rsidR="004C2312" w:rsidRPr="003239B8" w:rsidRDefault="00510B3D">
            <w:pPr>
              <w:jc w:val="both"/>
              <w:rPr>
                <w:rFonts w:ascii="Cambria" w:hAnsi="Cambria"/>
                <w:bCs/>
                <w:sz w:val="20"/>
                <w:szCs w:val="20"/>
                <w:lang w:val="es-ES"/>
              </w:rPr>
            </w:pPr>
            <w:r>
              <w:rPr>
                <w:rFonts w:ascii="Cambria" w:hAnsi="Cambria"/>
                <w:bCs/>
                <w:sz w:val="20"/>
                <w:szCs w:val="20"/>
                <w:lang w:val="es-ES"/>
              </w:rPr>
              <w:t>19 de octubre de 2015</w:t>
            </w:r>
          </w:p>
        </w:tc>
      </w:tr>
      <w:tr w:rsidR="004C2312" w:rsidRPr="000F7894"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7A314B78" w:rsidR="004C2312" w:rsidRPr="003239B8" w:rsidRDefault="00161FF6">
            <w:pPr>
              <w:jc w:val="both"/>
              <w:rPr>
                <w:rFonts w:ascii="Cambria" w:hAnsi="Cambria"/>
                <w:bCs/>
                <w:sz w:val="20"/>
                <w:szCs w:val="20"/>
                <w:lang w:val="es-ES"/>
              </w:rPr>
            </w:pPr>
            <w:r>
              <w:rPr>
                <w:rFonts w:ascii="Cambria" w:hAnsi="Cambria"/>
                <w:bCs/>
                <w:sz w:val="20"/>
                <w:szCs w:val="20"/>
                <w:lang w:val="es-ES"/>
              </w:rPr>
              <w:t>30 de diciembre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647" w:type="dxa"/>
            <w:vAlign w:val="center"/>
          </w:tcPr>
          <w:p w14:paraId="6B47064C" w14:textId="55B82987" w:rsidR="004C2312" w:rsidRPr="003239B8" w:rsidRDefault="00505770">
            <w:pPr>
              <w:jc w:val="both"/>
              <w:rPr>
                <w:rFonts w:ascii="Cambria" w:hAnsi="Cambria"/>
                <w:bCs/>
                <w:sz w:val="20"/>
                <w:szCs w:val="20"/>
                <w:lang w:val="es-ES"/>
              </w:rPr>
            </w:pPr>
            <w:r>
              <w:rPr>
                <w:rFonts w:ascii="Cambria" w:hAnsi="Cambria"/>
                <w:bCs/>
                <w:sz w:val="20"/>
                <w:szCs w:val="20"/>
                <w:lang w:val="es-ES"/>
              </w:rPr>
              <w:t>3</w:t>
            </w:r>
            <w:r w:rsidR="00094FCF">
              <w:rPr>
                <w:rFonts w:ascii="Cambria" w:hAnsi="Cambria"/>
                <w:bCs/>
                <w:sz w:val="20"/>
                <w:szCs w:val="20"/>
                <w:lang w:val="es-ES"/>
              </w:rPr>
              <w:t xml:space="preserve"> de noviembre de 2020</w:t>
            </w:r>
          </w:p>
        </w:tc>
      </w:tr>
      <w:tr w:rsidR="004C2312" w:rsidRPr="00094FCF"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7F855E8B" w:rsidR="004C2312" w:rsidRPr="003239B8" w:rsidRDefault="000A6153">
            <w:pPr>
              <w:jc w:val="both"/>
              <w:rPr>
                <w:rFonts w:ascii="Cambria" w:hAnsi="Cambria"/>
                <w:bCs/>
                <w:sz w:val="20"/>
                <w:szCs w:val="20"/>
                <w:lang w:val="es-ES"/>
              </w:rPr>
            </w:pPr>
            <w:r>
              <w:rPr>
                <w:rFonts w:ascii="Cambria" w:hAnsi="Cambria"/>
                <w:bCs/>
                <w:sz w:val="20"/>
                <w:szCs w:val="20"/>
                <w:lang w:val="es-ES"/>
              </w:rPr>
              <w:t>17 de enero de 2021</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2802073E" w:rsidR="004C2312" w:rsidRPr="009111EC" w:rsidRDefault="00F6783A">
            <w:pPr>
              <w:jc w:val="both"/>
              <w:rPr>
                <w:rFonts w:ascii="Cambria" w:hAnsi="Cambria"/>
                <w:bCs/>
                <w:sz w:val="20"/>
                <w:szCs w:val="20"/>
              </w:rPr>
            </w:pPr>
            <w:r>
              <w:rPr>
                <w:rFonts w:ascii="Cambria" w:hAnsi="Cambria"/>
                <w:bCs/>
                <w:sz w:val="20"/>
                <w:szCs w:val="20"/>
              </w:rPr>
              <w:t>22 de diciembre de 2021</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06BD2692" w:rsidR="003239B8" w:rsidRPr="00B3745F" w:rsidRDefault="001E15E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633BE7FC" w:rsidR="003239B8" w:rsidRPr="00B3745F" w:rsidRDefault="001E15E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7E377A6C" w:rsidR="003239B8" w:rsidRPr="00B3745F" w:rsidRDefault="001E15E0">
            <w:pPr>
              <w:rPr>
                <w:rFonts w:ascii="Cambria" w:hAnsi="Cambria"/>
                <w:bCs/>
                <w:sz w:val="20"/>
                <w:szCs w:val="20"/>
              </w:rPr>
            </w:pPr>
            <w:r>
              <w:rPr>
                <w:rFonts w:ascii="Cambria" w:hAnsi="Cambria"/>
                <w:bCs/>
                <w:sz w:val="20"/>
                <w:szCs w:val="20"/>
              </w:rPr>
              <w:t>Sí</w:t>
            </w:r>
          </w:p>
        </w:tc>
      </w:tr>
      <w:tr w:rsidR="003239B8" w:rsidRPr="00572C10"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2007EAB1" w:rsidR="003239B8" w:rsidRPr="00B3745F" w:rsidRDefault="00E04D53">
            <w:pPr>
              <w:jc w:val="both"/>
              <w:rPr>
                <w:rFonts w:ascii="Cambria" w:hAnsi="Cambria"/>
                <w:bCs/>
                <w:sz w:val="20"/>
                <w:szCs w:val="20"/>
                <w:lang w:val="es-ES"/>
              </w:rPr>
            </w:pPr>
            <w:r w:rsidRPr="004F6FF8">
              <w:rPr>
                <w:rFonts w:ascii="Cambria" w:hAnsi="Cambria"/>
                <w:bCs/>
                <w:sz w:val="20"/>
                <w:szCs w:val="20"/>
                <w:lang w:val="es-419"/>
              </w:rPr>
              <w:t>Sí, la 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094FCF"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008C5C84" w:rsidR="00EE00E9" w:rsidRPr="00DC24E3" w:rsidRDefault="00BC4C03">
            <w:pPr>
              <w:jc w:val="both"/>
              <w:rPr>
                <w:rFonts w:ascii="Cambria" w:hAnsi="Cambria"/>
                <w:bCs/>
                <w:sz w:val="20"/>
                <w:szCs w:val="20"/>
                <w:lang w:val="es-ES"/>
              </w:rPr>
            </w:pPr>
            <w:r>
              <w:rPr>
                <w:rFonts w:ascii="Cambria" w:hAnsi="Cambria"/>
                <w:bCs/>
                <w:sz w:val="20"/>
                <w:szCs w:val="20"/>
                <w:lang w:val="es-ES"/>
              </w:rPr>
              <w:t>No</w:t>
            </w:r>
          </w:p>
        </w:tc>
      </w:tr>
      <w:tr w:rsidR="003239B8" w:rsidRPr="002021CE"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7B3C6608" w:rsidR="003239B8" w:rsidRPr="00DC24E3" w:rsidRDefault="005F444A">
            <w:pPr>
              <w:jc w:val="both"/>
              <w:rPr>
                <w:rFonts w:ascii="Cambria" w:hAnsi="Cambria"/>
                <w:bCs/>
                <w:sz w:val="20"/>
                <w:szCs w:val="20"/>
              </w:rPr>
            </w:pPr>
            <w:r>
              <w:rPr>
                <w:rFonts w:ascii="Cambria" w:hAnsi="Cambria"/>
                <w:bCs/>
                <w:sz w:val="20"/>
                <w:szCs w:val="20"/>
              </w:rPr>
              <w:t>N</w:t>
            </w:r>
            <w:r w:rsidR="00D81644">
              <w:rPr>
                <w:rFonts w:ascii="Cambria" w:hAnsi="Cambria"/>
                <w:bCs/>
                <w:sz w:val="20"/>
                <w:szCs w:val="20"/>
              </w:rPr>
              <w:t>inguno</w:t>
            </w:r>
          </w:p>
        </w:tc>
      </w:tr>
      <w:tr w:rsidR="003239B8" w:rsidRPr="00572C10"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0BE59842" w:rsidR="003239B8" w:rsidRPr="00DC24E3" w:rsidRDefault="00D81644">
            <w:pPr>
              <w:rPr>
                <w:rFonts w:ascii="Cambria" w:hAnsi="Cambria"/>
                <w:bCs/>
                <w:sz w:val="20"/>
                <w:szCs w:val="20"/>
                <w:lang w:val="es-ES"/>
              </w:rPr>
            </w:pPr>
            <w:r>
              <w:rPr>
                <w:rFonts w:ascii="Cambria" w:hAnsi="Cambria"/>
                <w:bCs/>
                <w:sz w:val="20"/>
                <w:szCs w:val="20"/>
                <w:lang w:val="es-ES"/>
              </w:rPr>
              <w:t>Sí</w:t>
            </w:r>
            <w:r w:rsidR="005F444A">
              <w:rPr>
                <w:rFonts w:ascii="Cambria" w:hAnsi="Cambria"/>
                <w:bCs/>
                <w:sz w:val="20"/>
                <w:szCs w:val="20"/>
                <w:lang w:val="es-ES"/>
              </w:rPr>
              <w:t>, en los términos de la Sección VI</w:t>
            </w:r>
          </w:p>
        </w:tc>
      </w:tr>
      <w:tr w:rsidR="003239B8" w:rsidRPr="00572C10"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52AFCE50" w:rsidR="003239B8" w:rsidRPr="005F444A" w:rsidRDefault="00D81644">
            <w:pPr>
              <w:rPr>
                <w:rFonts w:ascii="Cambria" w:hAnsi="Cambria"/>
                <w:bCs/>
                <w:sz w:val="20"/>
                <w:szCs w:val="20"/>
                <w:lang w:val="es-CO"/>
              </w:rPr>
            </w:pPr>
            <w:r>
              <w:rPr>
                <w:rFonts w:ascii="Cambria" w:hAnsi="Cambria"/>
                <w:bCs/>
                <w:sz w:val="20"/>
                <w:szCs w:val="20"/>
                <w:lang w:val="es-ES"/>
              </w:rPr>
              <w:t>Sí</w:t>
            </w:r>
            <w:r w:rsidR="005F444A">
              <w:rPr>
                <w:rFonts w:ascii="Cambria" w:hAnsi="Cambria"/>
                <w:bCs/>
                <w:sz w:val="20"/>
                <w:szCs w:val="20"/>
                <w:lang w:val="es-ES"/>
              </w:rPr>
              <w:t>, en los términos de la Sección VI</w:t>
            </w:r>
          </w:p>
        </w:tc>
      </w:tr>
    </w:tbl>
    <w:p w14:paraId="56FD5D57" w14:textId="252B1FD5"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2D54920D" w:rsidR="006E621A" w:rsidRPr="006E621A" w:rsidRDefault="00B524E1"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El </w:t>
      </w:r>
      <w:r w:rsidR="004D2CE1">
        <w:rPr>
          <w:sz w:val="20"/>
          <w:szCs w:val="20"/>
          <w:lang w:val="es-AR"/>
        </w:rPr>
        <w:t xml:space="preserve">señor Carlos Alberto Mantilla Gutiérrez (en adelante “el </w:t>
      </w:r>
      <w:r>
        <w:rPr>
          <w:sz w:val="20"/>
          <w:szCs w:val="20"/>
          <w:lang w:val="es-AR"/>
        </w:rPr>
        <w:t>peticionario</w:t>
      </w:r>
      <w:r w:rsidR="004D2CE1">
        <w:rPr>
          <w:sz w:val="20"/>
          <w:szCs w:val="20"/>
          <w:lang w:val="es-AR"/>
        </w:rPr>
        <w:t>” o “el Sr. Mantilla Gutiérrez”)</w:t>
      </w:r>
      <w:r>
        <w:rPr>
          <w:sz w:val="20"/>
          <w:szCs w:val="20"/>
          <w:lang w:val="es-AR"/>
        </w:rPr>
        <w:t xml:space="preserve"> </w:t>
      </w:r>
      <w:r w:rsidR="006C21F0">
        <w:rPr>
          <w:sz w:val="20"/>
          <w:szCs w:val="20"/>
          <w:lang w:val="es-AR"/>
        </w:rPr>
        <w:t>alega la violación de</w:t>
      </w:r>
      <w:r w:rsidR="00DF0322">
        <w:rPr>
          <w:sz w:val="20"/>
          <w:szCs w:val="20"/>
          <w:lang w:val="es-AR"/>
        </w:rPr>
        <w:t xml:space="preserve"> los</w:t>
      </w:r>
      <w:r w:rsidR="006C21F0">
        <w:rPr>
          <w:sz w:val="20"/>
          <w:szCs w:val="20"/>
          <w:lang w:val="es-AR"/>
        </w:rPr>
        <w:t xml:space="preserve"> derecho</w:t>
      </w:r>
      <w:r w:rsidR="00DF0322">
        <w:rPr>
          <w:sz w:val="20"/>
          <w:szCs w:val="20"/>
          <w:lang w:val="es-AR"/>
        </w:rPr>
        <w:t>s</w:t>
      </w:r>
      <w:r w:rsidR="006C21F0">
        <w:rPr>
          <w:sz w:val="20"/>
          <w:szCs w:val="20"/>
          <w:lang w:val="es-AR"/>
        </w:rPr>
        <w:t xml:space="preserve"> a un ambiente sano,</w:t>
      </w:r>
      <w:r w:rsidR="001275DF">
        <w:rPr>
          <w:sz w:val="20"/>
          <w:szCs w:val="20"/>
          <w:lang w:val="es-AR"/>
        </w:rPr>
        <w:t xml:space="preserve"> al debido proceso</w:t>
      </w:r>
      <w:r w:rsidR="00983228">
        <w:rPr>
          <w:sz w:val="20"/>
          <w:szCs w:val="20"/>
          <w:lang w:val="es-AR"/>
        </w:rPr>
        <w:t>, a la propiedad privada</w:t>
      </w:r>
      <w:r w:rsidR="001275DF">
        <w:rPr>
          <w:sz w:val="20"/>
          <w:szCs w:val="20"/>
          <w:lang w:val="es-AR"/>
        </w:rPr>
        <w:t xml:space="preserve"> y a la protección judicial por el presunto incumplimiento de un fallo de tutela proferido a su favor</w:t>
      </w:r>
      <w:r w:rsidR="00367CC8">
        <w:rPr>
          <w:sz w:val="20"/>
          <w:szCs w:val="20"/>
          <w:lang w:val="es-AR"/>
        </w:rPr>
        <w:t xml:space="preserve"> que ordenaba </w:t>
      </w:r>
      <w:r w:rsidR="00367CC8">
        <w:rPr>
          <w:sz w:val="20"/>
          <w:szCs w:val="20"/>
          <w:lang w:val="es-AR"/>
        </w:rPr>
        <w:lastRenderedPageBreak/>
        <w:t>la protección de un área de reserva forestal frente a la explotación minera</w:t>
      </w:r>
      <w:r w:rsidR="00064E07">
        <w:rPr>
          <w:sz w:val="20"/>
          <w:szCs w:val="20"/>
          <w:lang w:val="es-AR"/>
        </w:rPr>
        <w:t xml:space="preserve">, y por la tramitación de un proceso de expropiación sobre un </w:t>
      </w:r>
      <w:r w:rsidR="00CF16F7">
        <w:rPr>
          <w:sz w:val="20"/>
          <w:szCs w:val="20"/>
          <w:lang w:val="es-AR"/>
        </w:rPr>
        <w:t>lote</w:t>
      </w:r>
      <w:r w:rsidR="00064E07">
        <w:rPr>
          <w:sz w:val="20"/>
          <w:szCs w:val="20"/>
          <w:lang w:val="es-AR"/>
        </w:rPr>
        <w:t xml:space="preserve"> de su propiedad</w:t>
      </w:r>
      <w:r w:rsidR="00367CC8">
        <w:rPr>
          <w:sz w:val="20"/>
          <w:szCs w:val="20"/>
          <w:lang w:val="es-AR"/>
        </w:rPr>
        <w:t>.</w:t>
      </w:r>
    </w:p>
    <w:p w14:paraId="7CFB56BF" w14:textId="29CACE4D" w:rsidR="006E621A" w:rsidRPr="00572CA6" w:rsidRDefault="004D2CE1">
      <w:pPr>
        <w:pStyle w:val="ListParagraph"/>
        <w:numPr>
          <w:ilvl w:val="0"/>
          <w:numId w:val="61"/>
        </w:numPr>
        <w:ind w:left="0" w:firstLine="720"/>
        <w:jc w:val="both"/>
        <w:rPr>
          <w:rFonts w:asciiTheme="majorHAnsi" w:hAnsiTheme="majorHAnsi"/>
          <w:bCs/>
          <w:sz w:val="20"/>
          <w:szCs w:val="20"/>
          <w:lang w:val="es-UY"/>
        </w:rPr>
      </w:pPr>
      <w:r w:rsidRPr="00BD49DB">
        <w:rPr>
          <w:sz w:val="20"/>
          <w:szCs w:val="20"/>
          <w:lang w:val="es-AR"/>
        </w:rPr>
        <w:t>El peticionario relata</w:t>
      </w:r>
      <w:r w:rsidR="00FC1B8B" w:rsidRPr="00BD49DB">
        <w:rPr>
          <w:sz w:val="20"/>
          <w:szCs w:val="20"/>
          <w:lang w:val="es-AR"/>
        </w:rPr>
        <w:t xml:space="preserve"> que,</w:t>
      </w:r>
      <w:r w:rsidR="002E5953" w:rsidRPr="00BD49DB">
        <w:rPr>
          <w:sz w:val="20"/>
          <w:szCs w:val="20"/>
          <w:lang w:val="es-AR"/>
        </w:rPr>
        <w:t xml:space="preserve"> </w:t>
      </w:r>
      <w:r w:rsidR="00FC1B8B" w:rsidRPr="00BD49DB">
        <w:rPr>
          <w:sz w:val="20"/>
          <w:szCs w:val="20"/>
          <w:lang w:val="es-AR"/>
        </w:rPr>
        <w:t xml:space="preserve">desde 1993, </w:t>
      </w:r>
      <w:r w:rsidR="00BD49DB" w:rsidRPr="00BD49DB">
        <w:rPr>
          <w:sz w:val="20"/>
          <w:szCs w:val="20"/>
          <w:lang w:val="es-AR"/>
        </w:rPr>
        <w:t>una organización criminal conformada por funcionarios de la Corporación Autónoma Regional de Cundinamarca (</w:t>
      </w:r>
      <w:r w:rsidR="00DF7B56">
        <w:rPr>
          <w:sz w:val="20"/>
          <w:szCs w:val="20"/>
          <w:lang w:val="es-AR"/>
        </w:rPr>
        <w:t>“</w:t>
      </w:r>
      <w:r w:rsidR="00BD49DB" w:rsidRPr="00BD49DB">
        <w:rPr>
          <w:sz w:val="20"/>
          <w:szCs w:val="20"/>
          <w:lang w:val="es-AR"/>
        </w:rPr>
        <w:t>CAR</w:t>
      </w:r>
      <w:r w:rsidR="00DF7B56">
        <w:rPr>
          <w:sz w:val="20"/>
          <w:szCs w:val="20"/>
          <w:lang w:val="es-AR"/>
        </w:rPr>
        <w:t>”</w:t>
      </w:r>
      <w:r w:rsidR="00BD49DB" w:rsidRPr="00BD49DB">
        <w:rPr>
          <w:sz w:val="20"/>
          <w:szCs w:val="20"/>
          <w:lang w:val="es-AR"/>
        </w:rPr>
        <w:t xml:space="preserve">) y del Ministerio de Minas y Energía, han autorizado la explotación ilícita de </w:t>
      </w:r>
      <w:r w:rsidR="00572CA6">
        <w:rPr>
          <w:sz w:val="20"/>
          <w:szCs w:val="20"/>
          <w:lang w:val="es-AR"/>
        </w:rPr>
        <w:t xml:space="preserve">la </w:t>
      </w:r>
      <w:r w:rsidR="00BD49DB" w:rsidRPr="00BD49DB">
        <w:rPr>
          <w:sz w:val="20"/>
          <w:szCs w:val="20"/>
          <w:lang w:val="es-AR"/>
        </w:rPr>
        <w:t xml:space="preserve">reserva forestal </w:t>
      </w:r>
      <w:r w:rsidR="00572CA6">
        <w:rPr>
          <w:sz w:val="20"/>
          <w:szCs w:val="20"/>
          <w:lang w:val="es-AR"/>
        </w:rPr>
        <w:t xml:space="preserve">“Bosques o cerros orientales de Bogotá” </w:t>
      </w:r>
      <w:r w:rsidR="00BD49DB" w:rsidRPr="00BD49DB">
        <w:rPr>
          <w:sz w:val="20"/>
          <w:szCs w:val="20"/>
          <w:lang w:val="es-AR"/>
        </w:rPr>
        <w:t>a través de contratos de concesión minera. Informa que tal concesión se habría fundamentado en informes técnicos falsos, certificados de registro minero falsos, cesiones de derechos falsos, resoluciones de expropiación falsas y sentencias falsas. Alega la falsedad de estos documentos públicos porque se habrían emitido en violación de la normativa ambiental y minera vigente.</w:t>
      </w:r>
    </w:p>
    <w:p w14:paraId="306EC91A" w14:textId="4F3620B1" w:rsidR="00572CA6" w:rsidRPr="003756A5" w:rsidRDefault="00CF7431">
      <w:pPr>
        <w:pStyle w:val="ListParagraph"/>
        <w:numPr>
          <w:ilvl w:val="0"/>
          <w:numId w:val="61"/>
        </w:numPr>
        <w:ind w:left="0" w:firstLine="720"/>
        <w:jc w:val="both"/>
        <w:rPr>
          <w:rFonts w:asciiTheme="majorHAnsi" w:hAnsiTheme="majorHAnsi"/>
          <w:bCs/>
          <w:sz w:val="20"/>
          <w:szCs w:val="20"/>
          <w:lang w:val="es-UY"/>
        </w:rPr>
      </w:pPr>
      <w:r w:rsidRPr="003756A5">
        <w:rPr>
          <w:sz w:val="20"/>
          <w:szCs w:val="20"/>
          <w:lang w:val="es-AR"/>
        </w:rPr>
        <w:t>Por ello, s</w:t>
      </w:r>
      <w:r w:rsidR="006462C6" w:rsidRPr="003756A5">
        <w:rPr>
          <w:sz w:val="20"/>
          <w:szCs w:val="20"/>
          <w:lang w:val="es-AR"/>
        </w:rPr>
        <w:t xml:space="preserve">eñala </w:t>
      </w:r>
      <w:r w:rsidR="00F96335" w:rsidRPr="003756A5">
        <w:rPr>
          <w:sz w:val="20"/>
          <w:szCs w:val="20"/>
          <w:lang w:val="es-AR"/>
        </w:rPr>
        <w:t xml:space="preserve">que promovió una acción de cumplimiento contra </w:t>
      </w:r>
      <w:r w:rsidRPr="003756A5">
        <w:rPr>
          <w:sz w:val="20"/>
          <w:szCs w:val="20"/>
          <w:lang w:val="es-AR"/>
        </w:rPr>
        <w:t xml:space="preserve">el Ministerio de Minas y Energías a fin de que </w:t>
      </w:r>
      <w:r w:rsidR="00CA551D" w:rsidRPr="003756A5">
        <w:rPr>
          <w:sz w:val="20"/>
          <w:szCs w:val="20"/>
          <w:lang w:val="es-AR"/>
        </w:rPr>
        <w:t>garantizara la observancia de la normativa ambiental aplicable</w:t>
      </w:r>
      <w:r w:rsidR="00F96335" w:rsidRPr="003756A5">
        <w:rPr>
          <w:sz w:val="20"/>
          <w:szCs w:val="20"/>
          <w:lang w:val="es-AR"/>
        </w:rPr>
        <w:t xml:space="preserve">. </w:t>
      </w:r>
      <w:r w:rsidR="00E12D37" w:rsidRPr="003756A5">
        <w:rPr>
          <w:sz w:val="20"/>
          <w:szCs w:val="20"/>
          <w:lang w:val="es-AR"/>
        </w:rPr>
        <w:t xml:space="preserve">Narra que </w:t>
      </w:r>
      <w:r w:rsidR="002B6324" w:rsidRPr="003756A5">
        <w:rPr>
          <w:sz w:val="20"/>
          <w:szCs w:val="20"/>
          <w:lang w:val="es-AR"/>
        </w:rPr>
        <w:t>las pretensiones de su acción fueron denegadas e</w:t>
      </w:r>
      <w:r w:rsidR="00ED40D1" w:rsidRPr="003756A5">
        <w:rPr>
          <w:sz w:val="20"/>
          <w:szCs w:val="20"/>
          <w:lang w:val="es-AR"/>
        </w:rPr>
        <w:t xml:space="preserve">n primera instancia </w:t>
      </w:r>
      <w:r w:rsidR="002B6324" w:rsidRPr="003756A5">
        <w:rPr>
          <w:sz w:val="20"/>
          <w:szCs w:val="20"/>
          <w:lang w:val="es-AR"/>
        </w:rPr>
        <w:t xml:space="preserve">por </w:t>
      </w:r>
      <w:r w:rsidR="00ED40D1" w:rsidRPr="003756A5">
        <w:rPr>
          <w:sz w:val="20"/>
          <w:szCs w:val="20"/>
          <w:lang w:val="es-AR"/>
        </w:rPr>
        <w:t>el</w:t>
      </w:r>
      <w:r w:rsidR="002E40E0" w:rsidRPr="003756A5">
        <w:rPr>
          <w:sz w:val="20"/>
          <w:szCs w:val="20"/>
          <w:lang w:val="es-AR"/>
        </w:rPr>
        <w:t xml:space="preserve"> </w:t>
      </w:r>
      <w:r w:rsidR="00ED40D1" w:rsidRPr="003756A5">
        <w:rPr>
          <w:sz w:val="20"/>
          <w:szCs w:val="20"/>
          <w:lang w:val="es-AR"/>
        </w:rPr>
        <w:t>Tribunal Administrativo de Cundinamarca</w:t>
      </w:r>
      <w:r w:rsidR="0081353A" w:rsidRPr="003756A5">
        <w:rPr>
          <w:sz w:val="20"/>
          <w:szCs w:val="20"/>
          <w:lang w:val="es-AR"/>
        </w:rPr>
        <w:t>,</w:t>
      </w:r>
      <w:r w:rsidR="00ED40D1" w:rsidRPr="003756A5">
        <w:rPr>
          <w:sz w:val="20"/>
          <w:szCs w:val="20"/>
          <w:lang w:val="es-AR"/>
        </w:rPr>
        <w:t xml:space="preserve"> y</w:t>
      </w:r>
      <w:r w:rsidR="0081353A" w:rsidRPr="003756A5">
        <w:rPr>
          <w:sz w:val="20"/>
          <w:szCs w:val="20"/>
          <w:lang w:val="es-AR"/>
        </w:rPr>
        <w:t>,</w:t>
      </w:r>
      <w:r w:rsidR="00ED40D1" w:rsidRPr="003756A5">
        <w:rPr>
          <w:sz w:val="20"/>
          <w:szCs w:val="20"/>
          <w:lang w:val="es-AR"/>
        </w:rPr>
        <w:t xml:space="preserve"> en</w:t>
      </w:r>
      <w:r w:rsidR="002E40E0" w:rsidRPr="003756A5">
        <w:rPr>
          <w:sz w:val="20"/>
          <w:szCs w:val="20"/>
          <w:lang w:val="es-AR"/>
        </w:rPr>
        <w:t xml:space="preserve"> </w:t>
      </w:r>
      <w:r w:rsidR="002B6324" w:rsidRPr="003756A5">
        <w:rPr>
          <w:sz w:val="20"/>
          <w:szCs w:val="20"/>
          <w:lang w:val="es-AR"/>
        </w:rPr>
        <w:t>segunda instancia</w:t>
      </w:r>
      <w:r w:rsidR="0081353A" w:rsidRPr="003756A5">
        <w:rPr>
          <w:sz w:val="20"/>
          <w:szCs w:val="20"/>
          <w:lang w:val="es-AR"/>
        </w:rPr>
        <w:t>,</w:t>
      </w:r>
      <w:r w:rsidR="002B6324" w:rsidRPr="003756A5">
        <w:rPr>
          <w:sz w:val="20"/>
          <w:szCs w:val="20"/>
          <w:lang w:val="es-AR"/>
        </w:rPr>
        <w:t xml:space="preserve"> </w:t>
      </w:r>
      <w:r w:rsidR="00ED40D1" w:rsidRPr="003756A5">
        <w:rPr>
          <w:sz w:val="20"/>
          <w:szCs w:val="20"/>
          <w:lang w:val="es-AR"/>
        </w:rPr>
        <w:t>e</w:t>
      </w:r>
      <w:r w:rsidR="002B6324" w:rsidRPr="003756A5">
        <w:rPr>
          <w:sz w:val="20"/>
          <w:szCs w:val="20"/>
          <w:lang w:val="es-AR"/>
        </w:rPr>
        <w:t>l</w:t>
      </w:r>
      <w:r w:rsidR="00ED40D1" w:rsidRPr="003756A5">
        <w:rPr>
          <w:sz w:val="20"/>
          <w:szCs w:val="20"/>
          <w:lang w:val="es-AR"/>
        </w:rPr>
        <w:t xml:space="preserve"> 1</w:t>
      </w:r>
      <w:r w:rsidR="00BD1E8E" w:rsidRPr="003756A5">
        <w:rPr>
          <w:sz w:val="20"/>
          <w:szCs w:val="20"/>
          <w:lang w:val="es-AR"/>
        </w:rPr>
        <w:t>º de agost</w:t>
      </w:r>
      <w:r w:rsidR="00ED40D1" w:rsidRPr="003756A5">
        <w:rPr>
          <w:sz w:val="20"/>
          <w:szCs w:val="20"/>
          <w:lang w:val="es-AR"/>
        </w:rPr>
        <w:t>o</w:t>
      </w:r>
      <w:r w:rsidR="00BD1E8E" w:rsidRPr="003756A5">
        <w:rPr>
          <w:sz w:val="20"/>
          <w:szCs w:val="20"/>
          <w:lang w:val="es-AR"/>
        </w:rPr>
        <w:t xml:space="preserve"> de 20</w:t>
      </w:r>
      <w:r w:rsidR="00ED40D1" w:rsidRPr="003756A5">
        <w:rPr>
          <w:sz w:val="20"/>
          <w:szCs w:val="20"/>
          <w:lang w:val="es-AR"/>
        </w:rPr>
        <w:t xml:space="preserve">02 </w:t>
      </w:r>
      <w:r w:rsidR="003756A5" w:rsidRPr="003756A5">
        <w:rPr>
          <w:sz w:val="20"/>
          <w:szCs w:val="20"/>
          <w:lang w:val="es-AR"/>
        </w:rPr>
        <w:t xml:space="preserve">por </w:t>
      </w:r>
      <w:r w:rsidR="00ED40D1" w:rsidRPr="003756A5">
        <w:rPr>
          <w:sz w:val="20"/>
          <w:szCs w:val="20"/>
          <w:lang w:val="es-AR"/>
        </w:rPr>
        <w:t>el Consejo de Estado.</w:t>
      </w:r>
      <w:r w:rsidR="003756A5" w:rsidRPr="003756A5">
        <w:rPr>
          <w:sz w:val="20"/>
          <w:szCs w:val="20"/>
          <w:lang w:val="es-AR"/>
        </w:rPr>
        <w:t xml:space="preserve"> </w:t>
      </w:r>
      <w:r w:rsidR="00B0160B" w:rsidRPr="003756A5">
        <w:rPr>
          <w:sz w:val="20"/>
          <w:szCs w:val="20"/>
          <w:lang w:val="es-UY"/>
        </w:rPr>
        <w:t>Refiere que</w:t>
      </w:r>
      <w:r w:rsidR="00ED40D1" w:rsidRPr="003756A5">
        <w:rPr>
          <w:sz w:val="20"/>
          <w:szCs w:val="20"/>
          <w:lang w:val="es-AR"/>
        </w:rPr>
        <w:t xml:space="preserve"> </w:t>
      </w:r>
      <w:r w:rsidR="00B0160B" w:rsidRPr="003756A5">
        <w:rPr>
          <w:sz w:val="20"/>
          <w:szCs w:val="20"/>
          <w:lang w:val="es-AR"/>
        </w:rPr>
        <w:t xml:space="preserve">interpuso una </w:t>
      </w:r>
      <w:r w:rsidR="00ED40D1" w:rsidRPr="003756A5">
        <w:rPr>
          <w:sz w:val="20"/>
          <w:szCs w:val="20"/>
          <w:lang w:val="es-AR"/>
        </w:rPr>
        <w:t xml:space="preserve">acción de </w:t>
      </w:r>
      <w:r w:rsidR="00B0160B" w:rsidRPr="003756A5">
        <w:rPr>
          <w:sz w:val="20"/>
          <w:szCs w:val="20"/>
          <w:lang w:val="es-AR"/>
        </w:rPr>
        <w:t>t</w:t>
      </w:r>
      <w:r w:rsidR="00ED40D1" w:rsidRPr="003756A5">
        <w:rPr>
          <w:sz w:val="20"/>
          <w:szCs w:val="20"/>
          <w:lang w:val="es-AR"/>
        </w:rPr>
        <w:t>utela</w:t>
      </w:r>
      <w:r w:rsidR="00BD1EFC" w:rsidRPr="003756A5">
        <w:rPr>
          <w:sz w:val="20"/>
          <w:szCs w:val="20"/>
          <w:lang w:val="es-AR"/>
        </w:rPr>
        <w:t xml:space="preserve"> contra dicho fallo</w:t>
      </w:r>
      <w:r w:rsidR="00B0160B" w:rsidRPr="003756A5">
        <w:rPr>
          <w:sz w:val="20"/>
          <w:szCs w:val="20"/>
          <w:lang w:val="es-AR"/>
        </w:rPr>
        <w:t>,</w:t>
      </w:r>
      <w:r w:rsidR="00ED40D1" w:rsidRPr="003756A5">
        <w:rPr>
          <w:sz w:val="20"/>
          <w:szCs w:val="20"/>
          <w:lang w:val="es-AR"/>
        </w:rPr>
        <w:t xml:space="preserve"> que </w:t>
      </w:r>
      <w:r w:rsidR="00B0160B" w:rsidRPr="003756A5">
        <w:rPr>
          <w:sz w:val="20"/>
          <w:szCs w:val="20"/>
          <w:lang w:val="es-AR"/>
        </w:rPr>
        <w:t xml:space="preserve">fue </w:t>
      </w:r>
      <w:r w:rsidR="00ED40D1" w:rsidRPr="003756A5">
        <w:rPr>
          <w:sz w:val="20"/>
          <w:szCs w:val="20"/>
          <w:lang w:val="es-AR"/>
        </w:rPr>
        <w:t>negada en primera y</w:t>
      </w:r>
      <w:r w:rsidR="002E40E0" w:rsidRPr="003756A5">
        <w:rPr>
          <w:sz w:val="20"/>
          <w:szCs w:val="20"/>
          <w:lang w:val="es-AR"/>
        </w:rPr>
        <w:t xml:space="preserve"> </w:t>
      </w:r>
      <w:r w:rsidR="00ED40D1" w:rsidRPr="003756A5">
        <w:rPr>
          <w:sz w:val="20"/>
          <w:szCs w:val="20"/>
          <w:lang w:val="es-AR"/>
        </w:rPr>
        <w:t>segunda instancia.</w:t>
      </w:r>
      <w:r w:rsidR="002E40E0" w:rsidRPr="003756A5">
        <w:rPr>
          <w:sz w:val="20"/>
          <w:szCs w:val="20"/>
          <w:lang w:val="es-AR"/>
        </w:rPr>
        <w:t xml:space="preserve"> </w:t>
      </w:r>
      <w:r w:rsidR="00BD1EFC" w:rsidRPr="003756A5">
        <w:rPr>
          <w:sz w:val="20"/>
          <w:szCs w:val="20"/>
          <w:lang w:val="es-AR"/>
        </w:rPr>
        <w:t xml:space="preserve">Sin embargo, </w:t>
      </w:r>
      <w:r w:rsidR="003F5E56">
        <w:rPr>
          <w:sz w:val="20"/>
          <w:szCs w:val="20"/>
          <w:lang w:val="es-AR"/>
        </w:rPr>
        <w:t xml:space="preserve">recuenta que </w:t>
      </w:r>
      <w:r w:rsidR="00ED40D1" w:rsidRPr="003756A5">
        <w:rPr>
          <w:sz w:val="20"/>
          <w:szCs w:val="20"/>
          <w:lang w:val="es-AR"/>
        </w:rPr>
        <w:t>la Corte Constitucional</w:t>
      </w:r>
      <w:r w:rsidR="00BD1EFC" w:rsidRPr="003756A5">
        <w:rPr>
          <w:sz w:val="20"/>
          <w:szCs w:val="20"/>
          <w:lang w:val="es-AR"/>
        </w:rPr>
        <w:t xml:space="preserve"> decidió revisar el proceso y el 13 de agost</w:t>
      </w:r>
      <w:r w:rsidR="00AC762E" w:rsidRPr="003756A5">
        <w:rPr>
          <w:sz w:val="20"/>
          <w:szCs w:val="20"/>
          <w:lang w:val="es-AR"/>
        </w:rPr>
        <w:t>o de 20</w:t>
      </w:r>
      <w:r w:rsidR="00BD1EFC" w:rsidRPr="003756A5">
        <w:rPr>
          <w:sz w:val="20"/>
          <w:szCs w:val="20"/>
          <w:lang w:val="es-AR"/>
        </w:rPr>
        <w:t>04 profirió</w:t>
      </w:r>
      <w:r w:rsidR="00ED40D1" w:rsidRPr="003756A5">
        <w:rPr>
          <w:sz w:val="20"/>
          <w:szCs w:val="20"/>
          <w:lang w:val="es-AR"/>
        </w:rPr>
        <w:t xml:space="preserve"> la sentencia </w:t>
      </w:r>
      <w:r w:rsidR="00E55358" w:rsidRPr="003756A5">
        <w:rPr>
          <w:sz w:val="20"/>
          <w:szCs w:val="20"/>
          <w:lang w:val="es-AR"/>
        </w:rPr>
        <w:t xml:space="preserve">T-774 por medio de la </w:t>
      </w:r>
      <w:r w:rsidR="003F5E56">
        <w:rPr>
          <w:sz w:val="20"/>
          <w:szCs w:val="20"/>
          <w:lang w:val="es-AR"/>
        </w:rPr>
        <w:t xml:space="preserve">que </w:t>
      </w:r>
      <w:r w:rsidR="00EE69A5" w:rsidRPr="003756A5">
        <w:rPr>
          <w:sz w:val="20"/>
          <w:szCs w:val="20"/>
          <w:lang w:val="es-AR"/>
        </w:rPr>
        <w:t xml:space="preserve">amparó </w:t>
      </w:r>
      <w:r w:rsidR="00ED40D1" w:rsidRPr="003756A5">
        <w:rPr>
          <w:sz w:val="20"/>
          <w:szCs w:val="20"/>
          <w:lang w:val="es-AR"/>
        </w:rPr>
        <w:t xml:space="preserve">parcialmente el derecho </w:t>
      </w:r>
      <w:r w:rsidR="00EE69A5" w:rsidRPr="003756A5">
        <w:rPr>
          <w:sz w:val="20"/>
          <w:szCs w:val="20"/>
          <w:lang w:val="es-AR"/>
        </w:rPr>
        <w:t>de</w:t>
      </w:r>
      <w:r w:rsidR="00687E0E">
        <w:rPr>
          <w:sz w:val="20"/>
          <w:szCs w:val="20"/>
          <w:lang w:val="es-AR"/>
        </w:rPr>
        <w:t>l Sr. Mantilla Gutiérrez</w:t>
      </w:r>
      <w:r w:rsidR="00EE69A5" w:rsidRPr="003756A5">
        <w:rPr>
          <w:sz w:val="20"/>
          <w:szCs w:val="20"/>
          <w:lang w:val="es-AR"/>
        </w:rPr>
        <w:t xml:space="preserve"> </w:t>
      </w:r>
      <w:r w:rsidR="00ED40D1" w:rsidRPr="003756A5">
        <w:rPr>
          <w:sz w:val="20"/>
          <w:szCs w:val="20"/>
          <w:lang w:val="es-AR"/>
        </w:rPr>
        <w:t>al debido proceso en conexidad con el derecho al medio ambiente</w:t>
      </w:r>
      <w:r w:rsidR="002E40E0" w:rsidRPr="003756A5">
        <w:rPr>
          <w:sz w:val="20"/>
          <w:szCs w:val="20"/>
          <w:lang w:val="es-AR"/>
        </w:rPr>
        <w:t xml:space="preserve"> </w:t>
      </w:r>
      <w:r w:rsidR="00ED40D1" w:rsidRPr="003756A5">
        <w:rPr>
          <w:sz w:val="20"/>
          <w:szCs w:val="20"/>
          <w:lang w:val="es-AR"/>
        </w:rPr>
        <w:t>sano. En esta instancia, la Corte</w:t>
      </w:r>
      <w:r w:rsidR="00EF248A" w:rsidRPr="003756A5">
        <w:rPr>
          <w:sz w:val="20"/>
          <w:szCs w:val="20"/>
          <w:lang w:val="es-AR"/>
        </w:rPr>
        <w:t xml:space="preserve"> Constitucional</w:t>
      </w:r>
      <w:r w:rsidR="00ED40D1" w:rsidRPr="003756A5">
        <w:rPr>
          <w:sz w:val="20"/>
          <w:szCs w:val="20"/>
          <w:lang w:val="es-AR"/>
        </w:rPr>
        <w:t xml:space="preserve"> orden</w:t>
      </w:r>
      <w:r w:rsidR="00DC6005" w:rsidRPr="003756A5">
        <w:rPr>
          <w:sz w:val="20"/>
          <w:szCs w:val="20"/>
          <w:lang w:val="es-AR"/>
        </w:rPr>
        <w:t>ó</w:t>
      </w:r>
      <w:r w:rsidR="00ED40D1" w:rsidRPr="003756A5">
        <w:rPr>
          <w:sz w:val="20"/>
          <w:szCs w:val="20"/>
          <w:lang w:val="es-AR"/>
        </w:rPr>
        <w:t xml:space="preserve"> a la CAR, a la Contraloría General de la República,</w:t>
      </w:r>
      <w:r w:rsidR="002E40E0" w:rsidRPr="003756A5">
        <w:rPr>
          <w:sz w:val="20"/>
          <w:szCs w:val="20"/>
          <w:lang w:val="es-AR"/>
        </w:rPr>
        <w:t xml:space="preserve"> </w:t>
      </w:r>
      <w:r w:rsidR="00ED40D1" w:rsidRPr="003756A5">
        <w:rPr>
          <w:sz w:val="20"/>
          <w:szCs w:val="20"/>
          <w:lang w:val="es-AR"/>
        </w:rPr>
        <w:t>a la Procuraduría General de la Nación, a la Fiscalía General de la Nación y a la Defensoría del Pueblo que “</w:t>
      </w:r>
      <w:r w:rsidR="00ED40D1" w:rsidRPr="003756A5">
        <w:rPr>
          <w:i/>
          <w:iCs/>
          <w:sz w:val="20"/>
          <w:szCs w:val="20"/>
          <w:lang w:val="es-AR"/>
        </w:rPr>
        <w:t>tomaran</w:t>
      </w:r>
      <w:r w:rsidR="002E40E0" w:rsidRPr="003756A5">
        <w:rPr>
          <w:i/>
          <w:iCs/>
          <w:sz w:val="20"/>
          <w:szCs w:val="20"/>
          <w:lang w:val="es-AR"/>
        </w:rPr>
        <w:t xml:space="preserve"> </w:t>
      </w:r>
      <w:r w:rsidR="00ED40D1" w:rsidRPr="003756A5">
        <w:rPr>
          <w:i/>
          <w:iCs/>
          <w:sz w:val="20"/>
          <w:szCs w:val="20"/>
          <w:lang w:val="es-AR"/>
        </w:rPr>
        <w:t>las medidas procedentes y pertinentes para la defensa del medio ambiente de acuerdo a sus competencias</w:t>
      </w:r>
      <w:r w:rsidR="00DC6005" w:rsidRPr="003756A5">
        <w:rPr>
          <w:sz w:val="20"/>
          <w:szCs w:val="20"/>
          <w:lang w:val="es-AR"/>
        </w:rPr>
        <w:t>”</w:t>
      </w:r>
      <w:r w:rsidR="00F34BFE" w:rsidRPr="003756A5">
        <w:rPr>
          <w:sz w:val="20"/>
          <w:szCs w:val="20"/>
          <w:lang w:val="es-AR"/>
        </w:rPr>
        <w:t>.</w:t>
      </w:r>
    </w:p>
    <w:p w14:paraId="3E7FEFEC" w14:textId="4476D9E6" w:rsidR="00FC3379" w:rsidRPr="00FC3379" w:rsidRDefault="007355F6">
      <w:pPr>
        <w:pStyle w:val="ListParagraph"/>
        <w:numPr>
          <w:ilvl w:val="0"/>
          <w:numId w:val="61"/>
        </w:numPr>
        <w:ind w:left="0" w:firstLine="720"/>
        <w:jc w:val="both"/>
        <w:rPr>
          <w:rFonts w:asciiTheme="majorHAnsi" w:hAnsiTheme="majorHAnsi"/>
          <w:bCs/>
          <w:sz w:val="20"/>
          <w:szCs w:val="20"/>
          <w:lang w:val="es-CO"/>
        </w:rPr>
      </w:pPr>
      <w:r w:rsidRPr="00A56B72">
        <w:rPr>
          <w:sz w:val="20"/>
          <w:szCs w:val="20"/>
          <w:lang w:val="es-AR"/>
        </w:rPr>
        <w:t>No obstante, el peticionario sostiene que las entidades estatales no han cumplido de manera diligente con esta orden</w:t>
      </w:r>
      <w:r w:rsidR="00F049D7" w:rsidRPr="00A56B72">
        <w:rPr>
          <w:sz w:val="20"/>
          <w:szCs w:val="20"/>
          <w:lang w:val="es-AR"/>
        </w:rPr>
        <w:t xml:space="preserve">, particularmente, con respecto al efectivo desalojo y retiro de </w:t>
      </w:r>
      <w:r w:rsidR="00A80629" w:rsidRPr="00A56B72">
        <w:rPr>
          <w:sz w:val="20"/>
          <w:szCs w:val="20"/>
          <w:lang w:val="es-AR"/>
        </w:rPr>
        <w:t>los concesionarios mineros de las áreas protegidas y de quienes ejercen actividades de minería ilegal</w:t>
      </w:r>
      <w:r w:rsidRPr="00A56B72">
        <w:rPr>
          <w:sz w:val="20"/>
          <w:szCs w:val="20"/>
          <w:lang w:val="es-AR"/>
        </w:rPr>
        <w:t xml:space="preserve">. </w:t>
      </w:r>
      <w:r w:rsidR="008743A1" w:rsidRPr="00A56B72">
        <w:rPr>
          <w:sz w:val="20"/>
          <w:szCs w:val="20"/>
          <w:lang w:val="es-AR"/>
        </w:rPr>
        <w:t xml:space="preserve">Por esta razón, </w:t>
      </w:r>
      <w:r w:rsidR="004B20EC" w:rsidRPr="00A56B72">
        <w:rPr>
          <w:sz w:val="20"/>
          <w:szCs w:val="20"/>
          <w:lang w:val="es-AR"/>
        </w:rPr>
        <w:t xml:space="preserve">indica que </w:t>
      </w:r>
      <w:r w:rsidRPr="00A56B72">
        <w:rPr>
          <w:sz w:val="20"/>
          <w:szCs w:val="20"/>
          <w:lang w:val="es-AR"/>
        </w:rPr>
        <w:t>interpuso</w:t>
      </w:r>
      <w:r w:rsidR="004B20EC" w:rsidRPr="00A56B72">
        <w:rPr>
          <w:sz w:val="20"/>
          <w:szCs w:val="20"/>
          <w:lang w:val="es-AR"/>
        </w:rPr>
        <w:t xml:space="preserve"> un incidente de desacato. De los documentos anexos, se desprende que promovió este </w:t>
      </w:r>
      <w:r w:rsidR="001F3CA1">
        <w:rPr>
          <w:sz w:val="20"/>
          <w:szCs w:val="20"/>
          <w:lang w:val="es-AR"/>
        </w:rPr>
        <w:t>recurs</w:t>
      </w:r>
      <w:r w:rsidR="004B20EC" w:rsidRPr="00A56B72">
        <w:rPr>
          <w:sz w:val="20"/>
          <w:szCs w:val="20"/>
          <w:lang w:val="es-AR"/>
        </w:rPr>
        <w:t>o el 13 de noviembre de 2013 ante el Consejo de Es</w:t>
      </w:r>
      <w:r w:rsidR="0024522B" w:rsidRPr="00A56B72">
        <w:rPr>
          <w:sz w:val="20"/>
          <w:szCs w:val="20"/>
          <w:lang w:val="es-AR"/>
        </w:rPr>
        <w:t>tado y dicha Corporación decidió abrir a trámite el incidente el 8 de agosto de 2014.</w:t>
      </w:r>
      <w:r w:rsidR="004A3338" w:rsidRPr="00A56B72">
        <w:rPr>
          <w:sz w:val="20"/>
          <w:szCs w:val="20"/>
          <w:lang w:val="es-AR"/>
        </w:rPr>
        <w:t xml:space="preserve"> El </w:t>
      </w:r>
      <w:r w:rsidR="00E17D1E" w:rsidRPr="00A56B72">
        <w:rPr>
          <w:sz w:val="20"/>
          <w:szCs w:val="20"/>
          <w:lang w:val="es-AR"/>
        </w:rPr>
        <w:t xml:space="preserve">19 de febrero de 2015 la Sección Segunda del Consejo de Estado declaró que no existía incumplimiento por parte de las entidades estatales, </w:t>
      </w:r>
      <w:r w:rsidR="00ED5AD1" w:rsidRPr="00A56B72">
        <w:rPr>
          <w:sz w:val="20"/>
          <w:szCs w:val="20"/>
          <w:lang w:val="es-AR"/>
        </w:rPr>
        <w:t xml:space="preserve">por lo cual, </w:t>
      </w:r>
      <w:r w:rsidR="008D3F52" w:rsidRPr="00A56B72">
        <w:rPr>
          <w:sz w:val="20"/>
          <w:szCs w:val="20"/>
          <w:lang w:val="es-AR"/>
        </w:rPr>
        <w:t xml:space="preserve">en 2017, </w:t>
      </w:r>
      <w:r w:rsidR="00ED5AD1" w:rsidRPr="00A56B72">
        <w:rPr>
          <w:sz w:val="20"/>
          <w:szCs w:val="20"/>
          <w:lang w:val="es-AR"/>
        </w:rPr>
        <w:t>el Sr. Mantilla Gutiérrez solicitó la intervención de la Corte Constitucional para supervisar el cumplimiento de su sentencia</w:t>
      </w:r>
      <w:r w:rsidR="008D3F52" w:rsidRPr="00A56B72">
        <w:rPr>
          <w:sz w:val="20"/>
          <w:szCs w:val="20"/>
          <w:lang w:val="es-AR"/>
        </w:rPr>
        <w:t xml:space="preserve">, pero ésta </w:t>
      </w:r>
      <w:r w:rsidR="001B2645" w:rsidRPr="00A56B72">
        <w:rPr>
          <w:sz w:val="20"/>
          <w:szCs w:val="20"/>
          <w:lang w:val="es-AR"/>
        </w:rPr>
        <w:t xml:space="preserve">rechazó su competencia mediante </w:t>
      </w:r>
      <w:r w:rsidR="001B2645" w:rsidRPr="00A56B72">
        <w:rPr>
          <w:sz w:val="20"/>
          <w:szCs w:val="20"/>
          <w:lang w:val="es-CO"/>
        </w:rPr>
        <w:t xml:space="preserve">Auto no. 550 de 13 de octubre de 2017 y </w:t>
      </w:r>
      <w:r w:rsidR="003B6F8A" w:rsidRPr="00A56B72">
        <w:rPr>
          <w:sz w:val="20"/>
          <w:szCs w:val="20"/>
          <w:lang w:val="es-CO"/>
        </w:rPr>
        <w:t>Auto no. 122 de 22 de febrero de 2018</w:t>
      </w:r>
      <w:r w:rsidR="00E70668" w:rsidRPr="00A56B72">
        <w:rPr>
          <w:sz w:val="20"/>
          <w:szCs w:val="20"/>
          <w:lang w:val="es-CO"/>
        </w:rPr>
        <w:t xml:space="preserve">, </w:t>
      </w:r>
      <w:r w:rsidR="00EB260D">
        <w:rPr>
          <w:sz w:val="20"/>
          <w:szCs w:val="20"/>
          <w:lang w:val="es-CO"/>
        </w:rPr>
        <w:t xml:space="preserve">al </w:t>
      </w:r>
      <w:r w:rsidR="00E70668" w:rsidRPr="00A56B72">
        <w:rPr>
          <w:sz w:val="20"/>
          <w:szCs w:val="20"/>
          <w:lang w:val="es-CO"/>
        </w:rPr>
        <w:t xml:space="preserve">considerar, además, que el peticionario estaba planteando nuevas irregularidades que no fueron objeto de la Sentencia T-774/2004, y, que, </w:t>
      </w:r>
      <w:r w:rsidR="00A40E14">
        <w:rPr>
          <w:sz w:val="20"/>
          <w:szCs w:val="20"/>
          <w:lang w:val="es-CO"/>
        </w:rPr>
        <w:t>a su vez</w:t>
      </w:r>
      <w:r w:rsidR="00E70668" w:rsidRPr="00A56B72">
        <w:rPr>
          <w:sz w:val="20"/>
          <w:szCs w:val="20"/>
          <w:lang w:val="es-CO"/>
        </w:rPr>
        <w:t>, eran competencia de la jurisdicción penal</w:t>
      </w:r>
      <w:r w:rsidR="00ED5AD1" w:rsidRPr="00A56B72">
        <w:rPr>
          <w:sz w:val="20"/>
          <w:szCs w:val="20"/>
          <w:lang w:val="es-AR"/>
        </w:rPr>
        <w:t>.</w:t>
      </w:r>
      <w:r w:rsidR="00A56B72" w:rsidRPr="00A56B72">
        <w:rPr>
          <w:sz w:val="20"/>
          <w:szCs w:val="20"/>
          <w:lang w:val="es-AR"/>
        </w:rPr>
        <w:t xml:space="preserve"> </w:t>
      </w:r>
      <w:r w:rsidR="000838EC" w:rsidRPr="00A56B72">
        <w:rPr>
          <w:sz w:val="20"/>
          <w:szCs w:val="20"/>
          <w:lang w:val="es-CO"/>
        </w:rPr>
        <w:t>De los numerosos anexos remitidos por el peticionario, se desprende que existen varias investigaciones penales relativas a los hechos de minería ilegal.</w:t>
      </w:r>
    </w:p>
    <w:p w14:paraId="2B076BDC" w14:textId="50D05770" w:rsidR="000838EC" w:rsidRPr="00272A45" w:rsidRDefault="00A56B72" w:rsidP="00EB7E4B">
      <w:pPr>
        <w:pStyle w:val="ListParagraph"/>
        <w:numPr>
          <w:ilvl w:val="0"/>
          <w:numId w:val="61"/>
        </w:numPr>
        <w:ind w:left="0" w:firstLine="720"/>
        <w:jc w:val="both"/>
        <w:rPr>
          <w:rFonts w:asciiTheme="majorHAnsi" w:hAnsiTheme="majorHAnsi"/>
          <w:bCs/>
          <w:sz w:val="20"/>
          <w:szCs w:val="20"/>
          <w:lang w:val="es-CO"/>
        </w:rPr>
      </w:pPr>
      <w:r>
        <w:rPr>
          <w:sz w:val="20"/>
          <w:szCs w:val="20"/>
          <w:lang w:val="es-CO"/>
        </w:rPr>
        <w:t xml:space="preserve">Sin embargo, </w:t>
      </w:r>
      <w:r w:rsidR="001A4EE5">
        <w:rPr>
          <w:sz w:val="20"/>
          <w:szCs w:val="20"/>
          <w:lang w:val="es-CO"/>
        </w:rPr>
        <w:t>el Sr. Mantilla Gutiérrez</w:t>
      </w:r>
      <w:r>
        <w:rPr>
          <w:sz w:val="20"/>
          <w:szCs w:val="20"/>
          <w:lang w:val="es-CO"/>
        </w:rPr>
        <w:t xml:space="preserve"> </w:t>
      </w:r>
      <w:r w:rsidR="00EB7E4B">
        <w:rPr>
          <w:sz w:val="20"/>
          <w:szCs w:val="20"/>
          <w:lang w:val="es-CO"/>
        </w:rPr>
        <w:t>aduce</w:t>
      </w:r>
      <w:r w:rsidR="00FC3379">
        <w:rPr>
          <w:sz w:val="20"/>
          <w:szCs w:val="20"/>
          <w:lang w:val="es-CO"/>
        </w:rPr>
        <w:t xml:space="preserve"> que todavía </w:t>
      </w:r>
      <w:r w:rsidR="000F771F">
        <w:rPr>
          <w:sz w:val="20"/>
          <w:szCs w:val="20"/>
          <w:lang w:val="es-CO"/>
        </w:rPr>
        <w:t xml:space="preserve">se presentan actividades de </w:t>
      </w:r>
      <w:r w:rsidR="00FC3379">
        <w:rPr>
          <w:sz w:val="20"/>
          <w:szCs w:val="20"/>
          <w:lang w:val="es-CO"/>
        </w:rPr>
        <w:t>explotación minera e</w:t>
      </w:r>
      <w:r w:rsidR="00893300">
        <w:rPr>
          <w:sz w:val="20"/>
          <w:szCs w:val="20"/>
          <w:lang w:val="es-CO"/>
        </w:rPr>
        <w:t>n</w:t>
      </w:r>
      <w:r w:rsidR="00FC3379">
        <w:rPr>
          <w:sz w:val="20"/>
          <w:szCs w:val="20"/>
          <w:lang w:val="es-CO"/>
        </w:rPr>
        <w:t xml:space="preserve"> los cerros orientales sin las debidas concesiones y ocupación ilegal de terrenos por parte de terceros.</w:t>
      </w:r>
      <w:r w:rsidR="005F444A">
        <w:rPr>
          <w:sz w:val="20"/>
          <w:szCs w:val="20"/>
          <w:lang w:val="es-CO"/>
        </w:rPr>
        <w:t xml:space="preserve"> </w:t>
      </w:r>
    </w:p>
    <w:p w14:paraId="533F158A" w14:textId="53EEA640" w:rsidR="00272A45" w:rsidRPr="00BA0070" w:rsidRDefault="007B58A9">
      <w:pPr>
        <w:pStyle w:val="ListParagraph"/>
        <w:numPr>
          <w:ilvl w:val="0"/>
          <w:numId w:val="61"/>
        </w:numPr>
        <w:ind w:left="0" w:firstLine="720"/>
        <w:jc w:val="both"/>
        <w:rPr>
          <w:rFonts w:asciiTheme="majorHAnsi" w:hAnsiTheme="majorHAnsi"/>
          <w:bCs/>
          <w:sz w:val="20"/>
          <w:szCs w:val="20"/>
          <w:lang w:val="es-CO"/>
        </w:rPr>
      </w:pPr>
      <w:r>
        <w:rPr>
          <w:sz w:val="20"/>
          <w:szCs w:val="20"/>
          <w:lang w:val="es-CO"/>
        </w:rPr>
        <w:t>Por otro lado</w:t>
      </w:r>
      <w:r w:rsidR="00CF4117" w:rsidRPr="00E91DC9">
        <w:rPr>
          <w:sz w:val="20"/>
          <w:szCs w:val="20"/>
          <w:lang w:val="es-CO"/>
        </w:rPr>
        <w:t xml:space="preserve">, </w:t>
      </w:r>
      <w:r w:rsidR="00CD1BF0" w:rsidRPr="00E91DC9">
        <w:rPr>
          <w:sz w:val="20"/>
          <w:szCs w:val="20"/>
          <w:lang w:val="es-CO"/>
        </w:rPr>
        <w:t xml:space="preserve">en el marco del debate </w:t>
      </w:r>
      <w:r w:rsidR="00172FCD" w:rsidRPr="00E91DC9">
        <w:rPr>
          <w:sz w:val="20"/>
          <w:szCs w:val="20"/>
          <w:lang w:val="es-CO"/>
        </w:rPr>
        <w:t xml:space="preserve">de admisibilidad </w:t>
      </w:r>
      <w:r w:rsidR="00CD1BF0" w:rsidRPr="00E91DC9">
        <w:rPr>
          <w:sz w:val="20"/>
          <w:szCs w:val="20"/>
          <w:lang w:val="es-CO"/>
        </w:rPr>
        <w:t>con el Estado</w:t>
      </w:r>
      <w:r w:rsidR="00172FCD" w:rsidRPr="00E91DC9">
        <w:rPr>
          <w:sz w:val="20"/>
          <w:szCs w:val="20"/>
          <w:lang w:val="es-CO"/>
        </w:rPr>
        <w:t xml:space="preserve">, el peticionario introduce hechos </w:t>
      </w:r>
      <w:r w:rsidR="00B35DFD" w:rsidRPr="00E91DC9">
        <w:rPr>
          <w:sz w:val="20"/>
          <w:szCs w:val="20"/>
          <w:lang w:val="es-CO"/>
        </w:rPr>
        <w:t xml:space="preserve">relativos a una expropiación irregular de un inmueble de </w:t>
      </w:r>
      <w:r w:rsidR="003C387A">
        <w:rPr>
          <w:sz w:val="20"/>
          <w:szCs w:val="20"/>
          <w:lang w:val="es-CO"/>
        </w:rPr>
        <w:t xml:space="preserve">su </w:t>
      </w:r>
      <w:r w:rsidR="00B35DFD" w:rsidRPr="00E91DC9">
        <w:rPr>
          <w:sz w:val="20"/>
          <w:szCs w:val="20"/>
          <w:lang w:val="es-CO"/>
        </w:rPr>
        <w:t xml:space="preserve">propiedad </w:t>
      </w:r>
      <w:r w:rsidR="004F60CE" w:rsidRPr="00E91DC9">
        <w:rPr>
          <w:sz w:val="20"/>
          <w:szCs w:val="20"/>
          <w:lang w:val="es-CO"/>
        </w:rPr>
        <w:t xml:space="preserve">dentro del área forestal protegida de los cerros orientales. </w:t>
      </w:r>
      <w:r w:rsidR="00A80A0E" w:rsidRPr="00E91DC9">
        <w:rPr>
          <w:sz w:val="20"/>
          <w:szCs w:val="20"/>
          <w:lang w:val="es-CO"/>
        </w:rPr>
        <w:t xml:space="preserve">A este respecto, </w:t>
      </w:r>
      <w:r w:rsidR="001A4EE5">
        <w:rPr>
          <w:sz w:val="20"/>
          <w:szCs w:val="20"/>
          <w:lang w:val="es-CO"/>
        </w:rPr>
        <w:t xml:space="preserve">el Sr. Mantilla Gutiérrez </w:t>
      </w:r>
      <w:r w:rsidR="00A80A0E" w:rsidRPr="00E91DC9">
        <w:rPr>
          <w:sz w:val="20"/>
          <w:szCs w:val="20"/>
          <w:lang w:val="es-CO"/>
        </w:rPr>
        <w:t xml:space="preserve">explica que </w:t>
      </w:r>
      <w:r w:rsidR="009D61E5" w:rsidRPr="00E91DC9">
        <w:rPr>
          <w:sz w:val="20"/>
          <w:szCs w:val="20"/>
          <w:lang w:val="es-CO"/>
        </w:rPr>
        <w:t xml:space="preserve">el 28 de diciembre de 2001 adquirió un predio </w:t>
      </w:r>
      <w:r w:rsidR="007C4B5C" w:rsidRPr="00E91DC9">
        <w:rPr>
          <w:sz w:val="20"/>
          <w:szCs w:val="20"/>
          <w:lang w:val="es-CO"/>
        </w:rPr>
        <w:t>en esa zona denominad</w:t>
      </w:r>
      <w:r w:rsidR="00A56C58">
        <w:rPr>
          <w:sz w:val="20"/>
          <w:szCs w:val="20"/>
          <w:lang w:val="es-CO"/>
        </w:rPr>
        <w:t>o</w:t>
      </w:r>
      <w:r w:rsidR="007C4B5C" w:rsidRPr="00E91DC9">
        <w:rPr>
          <w:sz w:val="20"/>
          <w:szCs w:val="20"/>
          <w:lang w:val="es-CO"/>
        </w:rPr>
        <w:t xml:space="preserve"> ‘Nacapava’</w:t>
      </w:r>
      <w:r w:rsidR="00EE6707" w:rsidRPr="00E91DC9">
        <w:rPr>
          <w:sz w:val="20"/>
          <w:szCs w:val="20"/>
          <w:lang w:val="es-CO"/>
        </w:rPr>
        <w:t xml:space="preserve">. Enfatiza que realizó </w:t>
      </w:r>
      <w:r w:rsidR="000A0297">
        <w:rPr>
          <w:sz w:val="20"/>
          <w:szCs w:val="20"/>
          <w:lang w:val="es-CO"/>
        </w:rPr>
        <w:t>dicha</w:t>
      </w:r>
      <w:r w:rsidR="00EE6707" w:rsidRPr="00E91DC9">
        <w:rPr>
          <w:sz w:val="20"/>
          <w:szCs w:val="20"/>
          <w:lang w:val="es-CO"/>
        </w:rPr>
        <w:t xml:space="preserve"> adquisición bajo el conocimiento de que no procedía la expropiación estatal sobre ese inmueble con fines de concesión minera</w:t>
      </w:r>
      <w:r w:rsidR="00E34241" w:rsidRPr="00E91DC9">
        <w:rPr>
          <w:sz w:val="20"/>
          <w:szCs w:val="20"/>
          <w:lang w:val="es-CO"/>
        </w:rPr>
        <w:t>,</w:t>
      </w:r>
      <w:r w:rsidR="00EE6707" w:rsidRPr="00E91DC9">
        <w:rPr>
          <w:sz w:val="20"/>
          <w:szCs w:val="20"/>
          <w:lang w:val="es-CO"/>
        </w:rPr>
        <w:t xml:space="preserve"> debido a que la autoridad competente para </w:t>
      </w:r>
      <w:r w:rsidR="00E34241" w:rsidRPr="00E91DC9">
        <w:rPr>
          <w:sz w:val="20"/>
          <w:szCs w:val="20"/>
          <w:lang w:val="es-CO"/>
        </w:rPr>
        <w:t xml:space="preserve">hacerla había excedido el plazo legal de cuatro meses de caducidad de las resoluciones de expropiación </w:t>
      </w:r>
      <w:r w:rsidR="00990ED9" w:rsidRPr="00E91DC9">
        <w:rPr>
          <w:sz w:val="20"/>
          <w:szCs w:val="20"/>
          <w:lang w:val="es-CO"/>
        </w:rPr>
        <w:t>para</w:t>
      </w:r>
      <w:r w:rsidR="00E34241" w:rsidRPr="00E91DC9">
        <w:rPr>
          <w:sz w:val="20"/>
          <w:szCs w:val="20"/>
          <w:lang w:val="es-CO"/>
        </w:rPr>
        <w:t xml:space="preserve"> mayo de 2001.</w:t>
      </w:r>
      <w:r w:rsidR="00E91DC9" w:rsidRPr="00E91DC9">
        <w:rPr>
          <w:sz w:val="20"/>
          <w:szCs w:val="20"/>
          <w:lang w:val="es-CO"/>
        </w:rPr>
        <w:t xml:space="preserve"> Empero, </w:t>
      </w:r>
      <w:r w:rsidR="003F3D0B">
        <w:rPr>
          <w:sz w:val="20"/>
          <w:szCs w:val="20"/>
          <w:lang w:val="es-CO"/>
        </w:rPr>
        <w:t xml:space="preserve">el 8 de enero de 2002 la Oficina de Registro de Instrumentos Públicos rechazó el registro de la escritura pública correspondiente </w:t>
      </w:r>
      <w:r w:rsidR="00133FB0">
        <w:rPr>
          <w:sz w:val="20"/>
          <w:szCs w:val="20"/>
          <w:lang w:val="es-CO"/>
        </w:rPr>
        <w:t>porque existía un proceso de expropiación en trámite.</w:t>
      </w:r>
    </w:p>
    <w:p w14:paraId="30E7833E" w14:textId="77777777" w:rsidR="00FC2BF2" w:rsidRPr="00FC2BF2" w:rsidRDefault="00BA0070">
      <w:pPr>
        <w:pStyle w:val="ListParagraph"/>
        <w:numPr>
          <w:ilvl w:val="0"/>
          <w:numId w:val="61"/>
        </w:numPr>
        <w:ind w:left="0" w:firstLine="720"/>
        <w:jc w:val="both"/>
        <w:rPr>
          <w:rFonts w:asciiTheme="majorHAnsi" w:hAnsiTheme="majorHAnsi"/>
          <w:bCs/>
          <w:sz w:val="20"/>
          <w:szCs w:val="20"/>
          <w:lang w:val="es-CO"/>
        </w:rPr>
      </w:pPr>
      <w:r w:rsidRPr="00300954">
        <w:rPr>
          <w:sz w:val="20"/>
          <w:szCs w:val="20"/>
          <w:lang w:val="es-CO"/>
        </w:rPr>
        <w:t xml:space="preserve">Por esta razón, indica que </w:t>
      </w:r>
      <w:r w:rsidR="004F74D8" w:rsidRPr="00300954">
        <w:rPr>
          <w:sz w:val="20"/>
          <w:szCs w:val="20"/>
          <w:lang w:val="es-CO"/>
        </w:rPr>
        <w:t>instaur</w:t>
      </w:r>
      <w:r w:rsidRPr="00300954">
        <w:rPr>
          <w:sz w:val="20"/>
          <w:szCs w:val="20"/>
          <w:lang w:val="es-CO"/>
        </w:rPr>
        <w:t xml:space="preserve">ó </w:t>
      </w:r>
      <w:r w:rsidR="004F74D8" w:rsidRPr="00300954">
        <w:rPr>
          <w:sz w:val="20"/>
          <w:szCs w:val="20"/>
          <w:lang w:val="es-CO"/>
        </w:rPr>
        <w:t xml:space="preserve">una acción de nulidad y restablecimiento del derecho a fin de que se reconociera su derecho de propiedad sobre el predio, la cual </w:t>
      </w:r>
      <w:r w:rsidR="008C3274" w:rsidRPr="00300954">
        <w:rPr>
          <w:sz w:val="20"/>
          <w:szCs w:val="20"/>
          <w:lang w:val="es-CO"/>
        </w:rPr>
        <w:t>culminó con una sentencia de segunda instancia fallada a su favor el 4 de agosto de 2011 por parte del Consejo de Estado</w:t>
      </w:r>
      <w:r w:rsidR="008E3CDF" w:rsidRPr="00300954">
        <w:rPr>
          <w:sz w:val="20"/>
          <w:szCs w:val="20"/>
          <w:lang w:val="es-CO"/>
        </w:rPr>
        <w:t>, pero el registro</w:t>
      </w:r>
      <w:r w:rsidR="00065A59">
        <w:rPr>
          <w:sz w:val="20"/>
          <w:szCs w:val="20"/>
          <w:lang w:val="es-CO"/>
        </w:rPr>
        <w:t xml:space="preserve"> de la escritura pública </w:t>
      </w:r>
      <w:r w:rsidR="008E3CDF" w:rsidRPr="00300954">
        <w:rPr>
          <w:sz w:val="20"/>
          <w:szCs w:val="20"/>
          <w:lang w:val="es-CO"/>
        </w:rPr>
        <w:t>no se tramitó sino hasta finales de 2014.</w:t>
      </w:r>
      <w:r w:rsidR="00975E0D" w:rsidRPr="00300954">
        <w:rPr>
          <w:sz w:val="20"/>
          <w:szCs w:val="20"/>
          <w:lang w:val="es-CO"/>
        </w:rPr>
        <w:t xml:space="preserve"> Aduce que, de manera paralela, </w:t>
      </w:r>
      <w:r w:rsidR="00A13BED" w:rsidRPr="00300954">
        <w:rPr>
          <w:sz w:val="20"/>
          <w:szCs w:val="20"/>
          <w:lang w:val="es-CO"/>
        </w:rPr>
        <w:t xml:space="preserve">en septiembre de </w:t>
      </w:r>
      <w:r w:rsidR="00A13BED" w:rsidRPr="00300954">
        <w:rPr>
          <w:sz w:val="20"/>
          <w:szCs w:val="20"/>
          <w:lang w:val="es-CO"/>
        </w:rPr>
        <w:lastRenderedPageBreak/>
        <w:t>2004 el Juzgado 22 Civil del Circuito de Bogotá inició un proceso de expropiación sobre el inmueble,</w:t>
      </w:r>
      <w:r w:rsidR="005709F8" w:rsidRPr="00300954">
        <w:rPr>
          <w:sz w:val="20"/>
          <w:szCs w:val="20"/>
          <w:lang w:val="es-CO"/>
        </w:rPr>
        <w:t xml:space="preserve"> </w:t>
      </w:r>
      <w:r w:rsidR="00BF0DD6" w:rsidRPr="00300954">
        <w:rPr>
          <w:sz w:val="20"/>
          <w:szCs w:val="20"/>
          <w:lang w:val="es-CO"/>
        </w:rPr>
        <w:t>d</w:t>
      </w:r>
      <w:r w:rsidR="005709F8" w:rsidRPr="00300954">
        <w:rPr>
          <w:sz w:val="20"/>
          <w:szCs w:val="20"/>
          <w:lang w:val="es-CO"/>
        </w:rPr>
        <w:t xml:space="preserve">el cual, el peticionario no </w:t>
      </w:r>
      <w:r w:rsidR="00BF0DD6" w:rsidRPr="00300954">
        <w:rPr>
          <w:sz w:val="20"/>
          <w:szCs w:val="20"/>
          <w:lang w:val="es-CO"/>
        </w:rPr>
        <w:t xml:space="preserve">fue notificado </w:t>
      </w:r>
      <w:r w:rsidR="005709F8" w:rsidRPr="00300954">
        <w:rPr>
          <w:sz w:val="20"/>
          <w:szCs w:val="20"/>
          <w:lang w:val="es-CO"/>
        </w:rPr>
        <w:t xml:space="preserve">porque no estaba registrado como dueño todavía. </w:t>
      </w:r>
      <w:r w:rsidR="006221EF" w:rsidRPr="00300954">
        <w:rPr>
          <w:sz w:val="20"/>
          <w:szCs w:val="20"/>
          <w:lang w:val="es-CO"/>
        </w:rPr>
        <w:t xml:space="preserve">Manifiesta que el 2 de mayo de 2011 el juzgado decretó la expropiación </w:t>
      </w:r>
      <w:r w:rsidR="00B052DE" w:rsidRPr="00300954">
        <w:rPr>
          <w:sz w:val="20"/>
          <w:szCs w:val="20"/>
          <w:lang w:val="es-CO"/>
        </w:rPr>
        <w:t>del predio</w:t>
      </w:r>
      <w:r w:rsidR="004B60DD" w:rsidRPr="00300954">
        <w:rPr>
          <w:sz w:val="20"/>
          <w:szCs w:val="20"/>
          <w:lang w:val="es-CO"/>
        </w:rPr>
        <w:t>, pero el peticionario no recibió la indemnización correspondiente por la demora judicial en declararlo propietario</w:t>
      </w:r>
      <w:r w:rsidR="0006220E" w:rsidRPr="00300954">
        <w:rPr>
          <w:sz w:val="20"/>
          <w:szCs w:val="20"/>
          <w:lang w:val="es-CO"/>
        </w:rPr>
        <w:t>, lo que sucedió tres meses después de la sentencia de expropiación</w:t>
      </w:r>
      <w:r w:rsidR="008135DA" w:rsidRPr="00300954">
        <w:rPr>
          <w:sz w:val="20"/>
          <w:szCs w:val="20"/>
          <w:lang w:val="es-CO"/>
        </w:rPr>
        <w:t>.</w:t>
      </w:r>
    </w:p>
    <w:p w14:paraId="1ACC0506" w14:textId="6E8AE455" w:rsidR="00006CA2" w:rsidRPr="00006CA2" w:rsidRDefault="00425107">
      <w:pPr>
        <w:pStyle w:val="ListParagraph"/>
        <w:numPr>
          <w:ilvl w:val="0"/>
          <w:numId w:val="61"/>
        </w:numPr>
        <w:ind w:left="0" w:firstLine="720"/>
        <w:jc w:val="both"/>
        <w:rPr>
          <w:rFonts w:asciiTheme="majorHAnsi" w:hAnsiTheme="majorHAnsi"/>
          <w:bCs/>
          <w:sz w:val="20"/>
          <w:szCs w:val="20"/>
          <w:lang w:val="es-CO"/>
        </w:rPr>
      </w:pPr>
      <w:r w:rsidRPr="00300954">
        <w:rPr>
          <w:sz w:val="20"/>
          <w:szCs w:val="20"/>
          <w:lang w:val="es-CO"/>
        </w:rPr>
        <w:t xml:space="preserve">Sostiene que, ante ello, </w:t>
      </w:r>
      <w:r w:rsidR="00581FB5" w:rsidRPr="00300954">
        <w:rPr>
          <w:sz w:val="20"/>
          <w:szCs w:val="20"/>
          <w:lang w:val="es-CO"/>
        </w:rPr>
        <w:t>dado que no contaba con algún recurso para hacer valer su derecho de propiedad, interpuso tres acciones de tutela</w:t>
      </w:r>
      <w:r w:rsidR="00D1348B" w:rsidRPr="00300954">
        <w:rPr>
          <w:sz w:val="20"/>
          <w:szCs w:val="20"/>
          <w:lang w:val="es-CO"/>
        </w:rPr>
        <w:t>, pero éstas fueron negadas por improcedentes –no especifica las fechas</w:t>
      </w:r>
      <w:r w:rsidR="00581FB5" w:rsidRPr="00300954">
        <w:rPr>
          <w:sz w:val="20"/>
          <w:szCs w:val="20"/>
          <w:lang w:val="es-CO"/>
        </w:rPr>
        <w:t xml:space="preserve">. </w:t>
      </w:r>
      <w:r w:rsidR="00300954" w:rsidRPr="00300954">
        <w:rPr>
          <w:sz w:val="20"/>
          <w:szCs w:val="20"/>
          <w:lang w:val="es-CO"/>
        </w:rPr>
        <w:t xml:space="preserve">Además, </w:t>
      </w:r>
      <w:r w:rsidR="00FC2BF2">
        <w:rPr>
          <w:sz w:val="20"/>
          <w:szCs w:val="20"/>
          <w:lang w:val="es-CO"/>
        </w:rPr>
        <w:t xml:space="preserve">asevera </w:t>
      </w:r>
      <w:r w:rsidR="00300954" w:rsidRPr="00300954">
        <w:rPr>
          <w:sz w:val="20"/>
          <w:szCs w:val="20"/>
          <w:lang w:val="es-CO"/>
        </w:rPr>
        <w:t xml:space="preserve">que, en vista de que la escritura pública de adquisición fue registrada en 2014, ello le impidió ejercer una acción de reparación directa dentro de los dos años </w:t>
      </w:r>
      <w:r w:rsidR="00300954">
        <w:rPr>
          <w:sz w:val="20"/>
          <w:szCs w:val="20"/>
          <w:lang w:val="es-CO"/>
        </w:rPr>
        <w:t xml:space="preserve">siguientes a la expedición de la sentencia de expropiación, conforme al término legal de caducidad de la acción. </w:t>
      </w:r>
      <w:r w:rsidR="0081326F" w:rsidRPr="00300954">
        <w:rPr>
          <w:sz w:val="20"/>
          <w:szCs w:val="20"/>
          <w:lang w:val="es-CO"/>
        </w:rPr>
        <w:t>Como consecuencia, alega la violación de su</w:t>
      </w:r>
      <w:r w:rsidR="00B7147E">
        <w:rPr>
          <w:sz w:val="20"/>
          <w:szCs w:val="20"/>
          <w:lang w:val="es-CO"/>
        </w:rPr>
        <w:t>s</w:t>
      </w:r>
      <w:r w:rsidR="0081326F" w:rsidRPr="00300954">
        <w:rPr>
          <w:sz w:val="20"/>
          <w:szCs w:val="20"/>
          <w:lang w:val="es-CO"/>
        </w:rPr>
        <w:t xml:space="preserve"> derecho</w:t>
      </w:r>
      <w:r w:rsidR="00B7147E">
        <w:rPr>
          <w:sz w:val="20"/>
          <w:szCs w:val="20"/>
          <w:lang w:val="es-CO"/>
        </w:rPr>
        <w:t>s</w:t>
      </w:r>
      <w:r w:rsidR="0081326F" w:rsidRPr="00300954">
        <w:rPr>
          <w:sz w:val="20"/>
          <w:szCs w:val="20"/>
          <w:lang w:val="es-CO"/>
        </w:rPr>
        <w:t xml:space="preserve"> a la propiedad privada</w:t>
      </w:r>
      <w:r w:rsidR="00B7147E">
        <w:rPr>
          <w:sz w:val="20"/>
          <w:szCs w:val="20"/>
          <w:lang w:val="es-CO"/>
        </w:rPr>
        <w:t>,</w:t>
      </w:r>
      <w:r w:rsidR="0081326F" w:rsidRPr="00300954">
        <w:rPr>
          <w:sz w:val="20"/>
          <w:szCs w:val="20"/>
          <w:lang w:val="es-CO"/>
        </w:rPr>
        <w:t xml:space="preserve"> a la justa indemnización</w:t>
      </w:r>
      <w:r w:rsidR="00B7147E">
        <w:rPr>
          <w:sz w:val="20"/>
          <w:szCs w:val="20"/>
          <w:lang w:val="es-CO"/>
        </w:rPr>
        <w:t xml:space="preserve"> y a un recurso judicial efectivo</w:t>
      </w:r>
      <w:r w:rsidR="0081326F" w:rsidRPr="00300954">
        <w:rPr>
          <w:sz w:val="20"/>
          <w:szCs w:val="20"/>
          <w:lang w:val="es-CO"/>
        </w:rPr>
        <w:t>.</w:t>
      </w:r>
    </w:p>
    <w:p w14:paraId="6399A0D3" w14:textId="0CFA034C" w:rsidR="00BA0070" w:rsidRPr="00300954" w:rsidRDefault="005E31EE">
      <w:pPr>
        <w:pStyle w:val="ListParagraph"/>
        <w:numPr>
          <w:ilvl w:val="0"/>
          <w:numId w:val="61"/>
        </w:numPr>
        <w:ind w:left="0" w:firstLine="720"/>
        <w:jc w:val="both"/>
        <w:rPr>
          <w:rFonts w:asciiTheme="majorHAnsi" w:hAnsiTheme="majorHAnsi"/>
          <w:bCs/>
          <w:sz w:val="20"/>
          <w:szCs w:val="20"/>
          <w:lang w:val="es-CO"/>
        </w:rPr>
      </w:pPr>
      <w:r>
        <w:rPr>
          <w:sz w:val="20"/>
          <w:szCs w:val="20"/>
          <w:lang w:val="es-CO"/>
        </w:rPr>
        <w:t xml:space="preserve">Frente al alegato estatal de la falta de agotamiento de recursos internos, el peticionario </w:t>
      </w:r>
      <w:r w:rsidR="00DC20DA">
        <w:rPr>
          <w:sz w:val="20"/>
          <w:szCs w:val="20"/>
          <w:lang w:val="es-CO"/>
        </w:rPr>
        <w:t>invoca la excepción de retardo injustificado en la resolución de los recursos, ya que l</w:t>
      </w:r>
      <w:r w:rsidR="000F6828">
        <w:rPr>
          <w:sz w:val="20"/>
          <w:szCs w:val="20"/>
          <w:lang w:val="es-CO"/>
        </w:rPr>
        <w:t>os</w:t>
      </w:r>
      <w:r w:rsidR="00DC20DA">
        <w:rPr>
          <w:sz w:val="20"/>
          <w:szCs w:val="20"/>
          <w:lang w:val="es-CO"/>
        </w:rPr>
        <w:t xml:space="preserve"> proceso</w:t>
      </w:r>
      <w:r w:rsidR="000F6828">
        <w:rPr>
          <w:sz w:val="20"/>
          <w:szCs w:val="20"/>
          <w:lang w:val="es-CO"/>
        </w:rPr>
        <w:t>s</w:t>
      </w:r>
      <w:r w:rsidR="00DC20DA">
        <w:rPr>
          <w:sz w:val="20"/>
          <w:szCs w:val="20"/>
          <w:lang w:val="es-CO"/>
        </w:rPr>
        <w:t xml:space="preserve"> contencioso-administrativo </w:t>
      </w:r>
      <w:r w:rsidR="000F6828">
        <w:rPr>
          <w:sz w:val="20"/>
          <w:szCs w:val="20"/>
          <w:lang w:val="es-CO"/>
        </w:rPr>
        <w:t xml:space="preserve">y de tutela </w:t>
      </w:r>
      <w:r w:rsidR="00DC20DA">
        <w:rPr>
          <w:sz w:val="20"/>
          <w:szCs w:val="20"/>
          <w:lang w:val="es-CO"/>
        </w:rPr>
        <w:t>tard</w:t>
      </w:r>
      <w:r w:rsidR="000F6828">
        <w:rPr>
          <w:sz w:val="20"/>
          <w:szCs w:val="20"/>
          <w:lang w:val="es-CO"/>
        </w:rPr>
        <w:t>aron</w:t>
      </w:r>
      <w:r w:rsidR="00DC20DA">
        <w:rPr>
          <w:sz w:val="20"/>
          <w:szCs w:val="20"/>
          <w:lang w:val="es-CO"/>
        </w:rPr>
        <w:t xml:space="preserve"> 1</w:t>
      </w:r>
      <w:r w:rsidR="000F6828">
        <w:rPr>
          <w:sz w:val="20"/>
          <w:szCs w:val="20"/>
          <w:lang w:val="es-CO"/>
        </w:rPr>
        <w:t>3</w:t>
      </w:r>
      <w:r w:rsidR="00DC20DA">
        <w:rPr>
          <w:sz w:val="20"/>
          <w:szCs w:val="20"/>
          <w:lang w:val="es-CO"/>
        </w:rPr>
        <w:t xml:space="preserve"> años </w:t>
      </w:r>
      <w:r w:rsidR="00D12408">
        <w:rPr>
          <w:sz w:val="20"/>
          <w:szCs w:val="20"/>
          <w:lang w:val="es-CO"/>
        </w:rPr>
        <w:t xml:space="preserve">en </w:t>
      </w:r>
      <w:r w:rsidR="000F6828">
        <w:rPr>
          <w:sz w:val="20"/>
          <w:szCs w:val="20"/>
          <w:lang w:val="es-CO"/>
        </w:rPr>
        <w:t>concluir mediante una decisión definitiva</w:t>
      </w:r>
      <w:r w:rsidR="00191A44">
        <w:rPr>
          <w:sz w:val="20"/>
          <w:szCs w:val="20"/>
          <w:lang w:val="es-CO"/>
        </w:rPr>
        <w:t xml:space="preserve">, y </w:t>
      </w:r>
      <w:r w:rsidR="00175673">
        <w:rPr>
          <w:sz w:val="20"/>
          <w:szCs w:val="20"/>
          <w:lang w:val="es-CO"/>
        </w:rPr>
        <w:t xml:space="preserve">el Estado </w:t>
      </w:r>
      <w:r w:rsidR="00FC0851">
        <w:rPr>
          <w:sz w:val="20"/>
          <w:szCs w:val="20"/>
          <w:lang w:val="es-CO"/>
        </w:rPr>
        <w:t xml:space="preserve">se </w:t>
      </w:r>
      <w:r w:rsidR="00175673">
        <w:rPr>
          <w:sz w:val="20"/>
          <w:szCs w:val="20"/>
          <w:lang w:val="es-CO"/>
        </w:rPr>
        <w:t>demoró 41</w:t>
      </w:r>
      <w:r w:rsidR="00B11762">
        <w:rPr>
          <w:sz w:val="20"/>
          <w:szCs w:val="20"/>
          <w:lang w:val="es-CO"/>
        </w:rPr>
        <w:t xml:space="preserve"> años</w:t>
      </w:r>
      <w:r w:rsidR="00175673">
        <w:rPr>
          <w:sz w:val="20"/>
          <w:szCs w:val="20"/>
          <w:lang w:val="es-CO"/>
        </w:rPr>
        <w:t xml:space="preserve"> en registrar las zonas de reserva forestal protegidas de actividad minera</w:t>
      </w:r>
      <w:r w:rsidR="001B20AF">
        <w:rPr>
          <w:sz w:val="20"/>
          <w:szCs w:val="20"/>
          <w:lang w:val="es-CO"/>
        </w:rPr>
        <w:t xml:space="preserve"> en la cuenca alta del Río Bogotá</w:t>
      </w:r>
      <w:r w:rsidR="00FA2762">
        <w:rPr>
          <w:sz w:val="20"/>
          <w:szCs w:val="20"/>
          <w:lang w:val="es-CO"/>
        </w:rPr>
        <w:t>,</w:t>
      </w:r>
      <w:r w:rsidR="001B20AF">
        <w:rPr>
          <w:sz w:val="20"/>
          <w:szCs w:val="20"/>
          <w:lang w:val="es-CO"/>
        </w:rPr>
        <w:t xml:space="preserve"> donde está ubicado su inmueble</w:t>
      </w:r>
      <w:r w:rsidR="00175673">
        <w:rPr>
          <w:sz w:val="20"/>
          <w:szCs w:val="20"/>
          <w:lang w:val="es-CO"/>
        </w:rPr>
        <w:t>.</w:t>
      </w:r>
    </w:p>
    <w:p w14:paraId="142267EB" w14:textId="1392325F"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Pr>
          <w:b/>
          <w:bCs/>
          <w:sz w:val="20"/>
          <w:szCs w:val="20"/>
          <w:lang w:val="es-AR"/>
        </w:rPr>
        <w:t xml:space="preserve"> </w:t>
      </w:r>
      <w:r w:rsidR="001275DF">
        <w:rPr>
          <w:b/>
          <w:bCs/>
          <w:sz w:val="20"/>
          <w:szCs w:val="20"/>
          <w:lang w:val="es-AR"/>
        </w:rPr>
        <w:t>colombiano</w:t>
      </w:r>
    </w:p>
    <w:p w14:paraId="68A417B2" w14:textId="77C59D3E" w:rsidR="00B93D7F" w:rsidRPr="00D7366A" w:rsidRDefault="004227DF"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 xml:space="preserve">tado, </w:t>
      </w:r>
      <w:r>
        <w:rPr>
          <w:sz w:val="20"/>
          <w:szCs w:val="20"/>
          <w:lang w:val="es-AR"/>
        </w:rPr>
        <w:t>por su parte,</w:t>
      </w:r>
      <w:r w:rsidR="00CC72FE">
        <w:rPr>
          <w:sz w:val="20"/>
          <w:szCs w:val="20"/>
          <w:lang w:val="es-AR"/>
        </w:rPr>
        <w:t xml:space="preserve"> replica que la presente petición es inadmisible </w:t>
      </w:r>
      <w:r w:rsidR="00B13B78">
        <w:rPr>
          <w:sz w:val="20"/>
          <w:szCs w:val="20"/>
          <w:lang w:val="es-AR"/>
        </w:rPr>
        <w:t xml:space="preserve">por falta de agotamiento de los recursos internos y </w:t>
      </w:r>
      <w:r w:rsidR="00CC72FE">
        <w:rPr>
          <w:sz w:val="20"/>
          <w:szCs w:val="20"/>
          <w:lang w:val="es-AR"/>
        </w:rPr>
        <w:t>por</w:t>
      </w:r>
      <w:r w:rsidR="00B13B78">
        <w:rPr>
          <w:sz w:val="20"/>
          <w:szCs w:val="20"/>
          <w:lang w:val="es-AR"/>
        </w:rPr>
        <w:t>que</w:t>
      </w:r>
      <w:r w:rsidR="00CC72FE">
        <w:rPr>
          <w:sz w:val="20"/>
          <w:szCs w:val="20"/>
          <w:lang w:val="es-AR"/>
        </w:rPr>
        <w:t xml:space="preserve"> </w:t>
      </w:r>
      <w:r w:rsidR="00B13B78">
        <w:rPr>
          <w:sz w:val="20"/>
          <w:szCs w:val="20"/>
          <w:lang w:val="es-AR"/>
        </w:rPr>
        <w:t xml:space="preserve">no contiene </w:t>
      </w:r>
      <w:r w:rsidR="00CC72FE">
        <w:rPr>
          <w:sz w:val="20"/>
          <w:szCs w:val="20"/>
          <w:lang w:val="es-AR"/>
        </w:rPr>
        <w:t xml:space="preserve">hechos que caractericen violaciones de </w:t>
      </w:r>
      <w:r w:rsidR="00B13B78">
        <w:rPr>
          <w:sz w:val="20"/>
          <w:szCs w:val="20"/>
          <w:lang w:val="es-AR"/>
        </w:rPr>
        <w:t xml:space="preserve">los </w:t>
      </w:r>
      <w:r w:rsidR="00CC72FE">
        <w:rPr>
          <w:sz w:val="20"/>
          <w:szCs w:val="20"/>
          <w:lang w:val="es-AR"/>
        </w:rPr>
        <w:t xml:space="preserve">derechos </w:t>
      </w:r>
      <w:r w:rsidR="00B13B78">
        <w:rPr>
          <w:sz w:val="20"/>
          <w:szCs w:val="20"/>
          <w:lang w:val="es-AR"/>
        </w:rPr>
        <w:t>invocad</w:t>
      </w:r>
      <w:r w:rsidR="00CC72FE">
        <w:rPr>
          <w:sz w:val="20"/>
          <w:szCs w:val="20"/>
          <w:lang w:val="es-AR"/>
        </w:rPr>
        <w:t>os</w:t>
      </w:r>
      <w:r w:rsidR="003F5154" w:rsidRPr="006E621A">
        <w:rPr>
          <w:sz w:val="20"/>
          <w:szCs w:val="20"/>
          <w:lang w:val="es-AR"/>
        </w:rPr>
        <w:t>.</w:t>
      </w:r>
    </w:p>
    <w:p w14:paraId="692B0AB2" w14:textId="1C8A309C" w:rsidR="00D7366A" w:rsidRDefault="00497901"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En cuanto a los hechos, el Estado </w:t>
      </w:r>
      <w:r w:rsidR="005D3D59">
        <w:rPr>
          <w:rFonts w:asciiTheme="majorHAnsi" w:hAnsiTheme="majorHAnsi"/>
          <w:bCs/>
          <w:sz w:val="20"/>
          <w:szCs w:val="20"/>
          <w:lang w:val="es-UY"/>
        </w:rPr>
        <w:t>precis</w:t>
      </w:r>
      <w:r>
        <w:rPr>
          <w:rFonts w:asciiTheme="majorHAnsi" w:hAnsiTheme="majorHAnsi"/>
          <w:bCs/>
          <w:sz w:val="20"/>
          <w:szCs w:val="20"/>
          <w:lang w:val="es-UY"/>
        </w:rPr>
        <w:t xml:space="preserve">a que el proceso civil de expropiación continúa en trámite de segunda instancia </w:t>
      </w:r>
      <w:r w:rsidR="005D3D59">
        <w:rPr>
          <w:rFonts w:asciiTheme="majorHAnsi" w:hAnsiTheme="majorHAnsi"/>
          <w:bCs/>
          <w:sz w:val="20"/>
          <w:szCs w:val="20"/>
          <w:lang w:val="es-UY"/>
        </w:rPr>
        <w:t>ante el Juzgado 49 Civil del Circuito de Bogotá</w:t>
      </w:r>
      <w:r w:rsidR="000229C2">
        <w:rPr>
          <w:rFonts w:asciiTheme="majorHAnsi" w:hAnsiTheme="majorHAnsi"/>
          <w:bCs/>
          <w:sz w:val="20"/>
          <w:szCs w:val="20"/>
          <w:lang w:val="es-UY"/>
        </w:rPr>
        <w:t xml:space="preserve"> bajo el radicado número 110013103022200400450-01</w:t>
      </w:r>
      <w:r w:rsidR="005D3D59">
        <w:rPr>
          <w:rFonts w:asciiTheme="majorHAnsi" w:hAnsiTheme="majorHAnsi"/>
          <w:bCs/>
          <w:sz w:val="20"/>
          <w:szCs w:val="20"/>
          <w:lang w:val="es-UY"/>
        </w:rPr>
        <w:t xml:space="preserve">, </w:t>
      </w:r>
      <w:r w:rsidR="00192CCA">
        <w:rPr>
          <w:rFonts w:asciiTheme="majorHAnsi" w:hAnsiTheme="majorHAnsi"/>
          <w:bCs/>
          <w:sz w:val="20"/>
          <w:szCs w:val="20"/>
          <w:lang w:val="es-UY"/>
        </w:rPr>
        <w:t>en el cual el peticionario ha sido reconocido como parte y ha participado de manera activa interponiendo recursos y presentando alegatos.</w:t>
      </w:r>
      <w:r w:rsidR="000229C2">
        <w:rPr>
          <w:rFonts w:asciiTheme="majorHAnsi" w:hAnsiTheme="majorHAnsi"/>
          <w:bCs/>
          <w:sz w:val="20"/>
          <w:szCs w:val="20"/>
          <w:lang w:val="es-UY"/>
        </w:rPr>
        <w:t xml:space="preserve"> </w:t>
      </w:r>
      <w:r w:rsidR="00D668E0">
        <w:rPr>
          <w:rFonts w:asciiTheme="majorHAnsi" w:hAnsiTheme="majorHAnsi"/>
          <w:bCs/>
          <w:sz w:val="20"/>
          <w:szCs w:val="20"/>
          <w:lang w:val="es-UY"/>
        </w:rPr>
        <w:t xml:space="preserve">Por otro lado, advierte que cursa actualmente </w:t>
      </w:r>
      <w:r w:rsidR="007F6398">
        <w:rPr>
          <w:rFonts w:asciiTheme="majorHAnsi" w:hAnsiTheme="majorHAnsi"/>
          <w:bCs/>
          <w:sz w:val="20"/>
          <w:szCs w:val="20"/>
          <w:lang w:val="es-UY"/>
        </w:rPr>
        <w:t xml:space="preserve">un </w:t>
      </w:r>
      <w:r w:rsidR="00D668E0">
        <w:rPr>
          <w:rFonts w:asciiTheme="majorHAnsi" w:hAnsiTheme="majorHAnsi"/>
          <w:bCs/>
          <w:sz w:val="20"/>
          <w:szCs w:val="20"/>
          <w:lang w:val="es-UY"/>
        </w:rPr>
        <w:t xml:space="preserve">proceso de nulidad contra las resoluciones mineras </w:t>
      </w:r>
      <w:r w:rsidR="00310340">
        <w:rPr>
          <w:rFonts w:asciiTheme="majorHAnsi" w:hAnsiTheme="majorHAnsi"/>
          <w:bCs/>
          <w:sz w:val="20"/>
          <w:szCs w:val="20"/>
          <w:lang w:val="es-UY"/>
        </w:rPr>
        <w:t xml:space="preserve">que afectan el lote del peticionario ante el Consejo de Estado, en </w:t>
      </w:r>
      <w:r w:rsidR="000C4512">
        <w:rPr>
          <w:rFonts w:asciiTheme="majorHAnsi" w:hAnsiTheme="majorHAnsi"/>
          <w:bCs/>
          <w:sz w:val="20"/>
          <w:szCs w:val="20"/>
          <w:lang w:val="es-UY"/>
        </w:rPr>
        <w:t>e</w:t>
      </w:r>
      <w:r w:rsidR="00310340">
        <w:rPr>
          <w:rFonts w:asciiTheme="majorHAnsi" w:hAnsiTheme="majorHAnsi"/>
          <w:bCs/>
          <w:sz w:val="20"/>
          <w:szCs w:val="20"/>
          <w:lang w:val="es-UY"/>
        </w:rPr>
        <w:t xml:space="preserve">l que también interviene </w:t>
      </w:r>
      <w:r w:rsidR="00AC179C">
        <w:rPr>
          <w:rFonts w:asciiTheme="majorHAnsi" w:hAnsiTheme="majorHAnsi"/>
          <w:bCs/>
          <w:sz w:val="20"/>
          <w:szCs w:val="20"/>
          <w:lang w:val="es-UY"/>
        </w:rPr>
        <w:t>el Sr. Mantilla Gutiérrez</w:t>
      </w:r>
      <w:r w:rsidR="00310340">
        <w:rPr>
          <w:rFonts w:asciiTheme="majorHAnsi" w:hAnsiTheme="majorHAnsi"/>
          <w:bCs/>
          <w:sz w:val="20"/>
          <w:szCs w:val="20"/>
          <w:lang w:val="es-UY"/>
        </w:rPr>
        <w:t>.</w:t>
      </w:r>
      <w:r w:rsidR="00C32D52">
        <w:rPr>
          <w:rFonts w:asciiTheme="majorHAnsi" w:hAnsiTheme="majorHAnsi"/>
          <w:bCs/>
          <w:sz w:val="20"/>
          <w:szCs w:val="20"/>
          <w:lang w:val="es-UY"/>
        </w:rPr>
        <w:t xml:space="preserve"> </w:t>
      </w:r>
      <w:r w:rsidR="000C4512">
        <w:rPr>
          <w:rFonts w:asciiTheme="majorHAnsi" w:hAnsiTheme="majorHAnsi"/>
          <w:bCs/>
          <w:sz w:val="20"/>
          <w:szCs w:val="20"/>
          <w:lang w:val="es-UY"/>
        </w:rPr>
        <w:t xml:space="preserve">Asimismo, </w:t>
      </w:r>
      <w:r w:rsidR="00C32D52">
        <w:rPr>
          <w:rFonts w:asciiTheme="majorHAnsi" w:hAnsiTheme="majorHAnsi"/>
          <w:bCs/>
          <w:sz w:val="20"/>
          <w:szCs w:val="20"/>
          <w:lang w:val="es-UY"/>
        </w:rPr>
        <w:t xml:space="preserve">informa que el peticionario ha presentado </w:t>
      </w:r>
      <w:r w:rsidR="002B7BDF">
        <w:rPr>
          <w:rFonts w:asciiTheme="majorHAnsi" w:hAnsiTheme="majorHAnsi"/>
          <w:bCs/>
          <w:sz w:val="20"/>
          <w:szCs w:val="20"/>
          <w:lang w:val="es-UY"/>
        </w:rPr>
        <w:t xml:space="preserve">múltiples acciones de tutela </w:t>
      </w:r>
      <w:r w:rsidR="006743EB">
        <w:rPr>
          <w:rFonts w:asciiTheme="majorHAnsi" w:hAnsiTheme="majorHAnsi"/>
          <w:bCs/>
          <w:sz w:val="20"/>
          <w:szCs w:val="20"/>
          <w:lang w:val="es-UY"/>
        </w:rPr>
        <w:t>contra diferentes decisiones adoptadas en ambos procesos</w:t>
      </w:r>
      <w:r w:rsidR="004A141F">
        <w:rPr>
          <w:rFonts w:asciiTheme="majorHAnsi" w:hAnsiTheme="majorHAnsi"/>
          <w:bCs/>
          <w:sz w:val="20"/>
          <w:szCs w:val="20"/>
          <w:lang w:val="es-UY"/>
        </w:rPr>
        <w:t xml:space="preserve"> entre 2020 y 2021 que han sido objeto de admisión, </w:t>
      </w:r>
      <w:r w:rsidR="00B14BE9">
        <w:rPr>
          <w:rFonts w:asciiTheme="majorHAnsi" w:hAnsiTheme="majorHAnsi"/>
          <w:bCs/>
          <w:sz w:val="20"/>
          <w:szCs w:val="20"/>
          <w:lang w:val="es-UY"/>
        </w:rPr>
        <w:t>trámite y estudio por las autoridades judiciales</w:t>
      </w:r>
      <w:r w:rsidR="009C65AA">
        <w:rPr>
          <w:rFonts w:asciiTheme="majorHAnsi" w:hAnsiTheme="majorHAnsi"/>
          <w:bCs/>
          <w:sz w:val="20"/>
          <w:szCs w:val="20"/>
          <w:lang w:val="es-UY"/>
        </w:rPr>
        <w:t>.</w:t>
      </w:r>
    </w:p>
    <w:p w14:paraId="2D5CAECD" w14:textId="77777777" w:rsidR="00116193" w:rsidRDefault="00226F4D"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Con respecto a la admisibilidad de la petición, el Estado recuerda que el artículo 46.1.a) de la Convención establece el requisito de previo agotamiento de los recursos internos</w:t>
      </w:r>
      <w:r w:rsidR="00835CE5">
        <w:rPr>
          <w:rFonts w:asciiTheme="majorHAnsi" w:hAnsiTheme="majorHAnsi"/>
          <w:bCs/>
          <w:sz w:val="20"/>
          <w:szCs w:val="20"/>
          <w:lang w:val="es-UY"/>
        </w:rPr>
        <w:t>, el cual está sustentado en el principio de subsidiariedad</w:t>
      </w:r>
      <w:r w:rsidR="003C2370">
        <w:rPr>
          <w:rFonts w:asciiTheme="majorHAnsi" w:hAnsiTheme="majorHAnsi"/>
          <w:bCs/>
          <w:sz w:val="20"/>
          <w:szCs w:val="20"/>
          <w:lang w:val="es-UY"/>
        </w:rPr>
        <w:t xml:space="preserve"> y complementariedad</w:t>
      </w:r>
      <w:r w:rsidR="00835CE5">
        <w:rPr>
          <w:rFonts w:asciiTheme="majorHAnsi" w:hAnsiTheme="majorHAnsi"/>
          <w:bCs/>
          <w:sz w:val="20"/>
          <w:szCs w:val="20"/>
          <w:lang w:val="es-UY"/>
        </w:rPr>
        <w:t xml:space="preserve"> del Sistema Interamericano de Protección de Derechos Humanos, y brinda la oportunidad a</w:t>
      </w:r>
      <w:r w:rsidR="002C49E9">
        <w:rPr>
          <w:rFonts w:asciiTheme="majorHAnsi" w:hAnsiTheme="majorHAnsi"/>
          <w:bCs/>
          <w:sz w:val="20"/>
          <w:szCs w:val="20"/>
          <w:lang w:val="es-UY"/>
        </w:rPr>
        <w:t xml:space="preserve">l propio Estado de resolver </w:t>
      </w:r>
      <w:r w:rsidR="00AE0462">
        <w:rPr>
          <w:rFonts w:asciiTheme="majorHAnsi" w:hAnsiTheme="majorHAnsi"/>
          <w:bCs/>
          <w:sz w:val="20"/>
          <w:szCs w:val="20"/>
          <w:lang w:val="es-UY"/>
        </w:rPr>
        <w:t>y remediar una posible situación de violación de derechos humanos por sus medios.</w:t>
      </w:r>
    </w:p>
    <w:p w14:paraId="5F9CCDB1" w14:textId="1392C5A2" w:rsidR="00E451AD" w:rsidRPr="00572C10" w:rsidRDefault="006517D7" w:rsidP="6AAA8334">
      <w:pPr>
        <w:pStyle w:val="ListParagraph"/>
        <w:jc w:val="both"/>
        <w:rPr>
          <w:rFonts w:asciiTheme="majorHAnsi" w:hAnsiTheme="majorHAnsi"/>
          <w:sz w:val="20"/>
          <w:szCs w:val="20"/>
        </w:rPr>
      </w:pPr>
      <w:r w:rsidRPr="6AAA8334">
        <w:rPr>
          <w:rFonts w:asciiTheme="majorHAnsi" w:hAnsiTheme="majorHAnsi"/>
          <w:sz w:val="20"/>
          <w:szCs w:val="20"/>
        </w:rPr>
        <w:t xml:space="preserve">En el caso concreto, </w:t>
      </w:r>
      <w:r w:rsidR="00792E34" w:rsidRPr="6AAA8334">
        <w:rPr>
          <w:rFonts w:asciiTheme="majorHAnsi" w:hAnsiTheme="majorHAnsi"/>
          <w:sz w:val="20"/>
          <w:szCs w:val="20"/>
        </w:rPr>
        <w:t xml:space="preserve">arguye que el hecho de que </w:t>
      </w:r>
      <w:r w:rsidR="00C372C5" w:rsidRPr="6AAA8334">
        <w:rPr>
          <w:rFonts w:asciiTheme="majorHAnsi" w:hAnsiTheme="majorHAnsi"/>
          <w:sz w:val="20"/>
          <w:szCs w:val="20"/>
        </w:rPr>
        <w:t>l</w:t>
      </w:r>
      <w:r w:rsidR="00792E34" w:rsidRPr="6AAA8334">
        <w:rPr>
          <w:rFonts w:asciiTheme="majorHAnsi" w:hAnsiTheme="majorHAnsi"/>
          <w:sz w:val="20"/>
          <w:szCs w:val="20"/>
        </w:rPr>
        <w:t>os procesos</w:t>
      </w:r>
      <w:r w:rsidR="003B7062" w:rsidRPr="6AAA8334">
        <w:rPr>
          <w:rFonts w:asciiTheme="majorHAnsi" w:hAnsiTheme="majorHAnsi"/>
          <w:sz w:val="20"/>
          <w:szCs w:val="20"/>
        </w:rPr>
        <w:t xml:space="preserve"> </w:t>
      </w:r>
      <w:r w:rsidR="00C372C5" w:rsidRPr="6AAA8334">
        <w:rPr>
          <w:rFonts w:asciiTheme="majorHAnsi" w:hAnsiTheme="majorHAnsi"/>
          <w:sz w:val="20"/>
          <w:szCs w:val="20"/>
        </w:rPr>
        <w:t xml:space="preserve">civil de expropiación y contencioso de nulidad </w:t>
      </w:r>
      <w:r w:rsidR="00792E34" w:rsidRPr="6AAA8334">
        <w:rPr>
          <w:rFonts w:asciiTheme="majorHAnsi" w:hAnsiTheme="majorHAnsi"/>
          <w:sz w:val="20"/>
          <w:szCs w:val="20"/>
        </w:rPr>
        <w:t xml:space="preserve">sigan abiertos no constituye </w:t>
      </w:r>
      <w:r w:rsidR="00792E34" w:rsidRPr="6AAA8334">
        <w:rPr>
          <w:rFonts w:asciiTheme="majorHAnsi" w:hAnsiTheme="majorHAnsi"/>
          <w:i/>
          <w:iCs/>
          <w:sz w:val="20"/>
          <w:szCs w:val="20"/>
        </w:rPr>
        <w:t>per se</w:t>
      </w:r>
      <w:r w:rsidR="00792E34" w:rsidRPr="6AAA8334">
        <w:rPr>
          <w:rFonts w:asciiTheme="majorHAnsi" w:hAnsiTheme="majorHAnsi"/>
          <w:sz w:val="20"/>
          <w:szCs w:val="20"/>
        </w:rPr>
        <w:t xml:space="preserve"> en una violación de las </w:t>
      </w:r>
      <w:r w:rsidR="00B5250A" w:rsidRPr="6AAA8334">
        <w:rPr>
          <w:rFonts w:asciiTheme="majorHAnsi" w:hAnsiTheme="majorHAnsi"/>
          <w:sz w:val="20"/>
          <w:szCs w:val="20"/>
        </w:rPr>
        <w:t>garantías judiciales y del derecho a la protección judicial</w:t>
      </w:r>
      <w:r w:rsidR="004D2B2F" w:rsidRPr="6AAA8334">
        <w:rPr>
          <w:rFonts w:asciiTheme="majorHAnsi" w:hAnsiTheme="majorHAnsi"/>
          <w:sz w:val="20"/>
          <w:szCs w:val="20"/>
        </w:rPr>
        <w:t xml:space="preserve">, ni tampoco </w:t>
      </w:r>
      <w:r w:rsidR="00387D6B" w:rsidRPr="6AAA8334">
        <w:rPr>
          <w:rFonts w:asciiTheme="majorHAnsi" w:hAnsiTheme="majorHAnsi"/>
          <w:sz w:val="20"/>
          <w:szCs w:val="20"/>
        </w:rPr>
        <w:t>“</w:t>
      </w:r>
      <w:r w:rsidR="00387D6B" w:rsidRPr="6AAA8334">
        <w:rPr>
          <w:rFonts w:asciiTheme="majorHAnsi" w:hAnsiTheme="majorHAnsi"/>
          <w:i/>
          <w:iCs/>
          <w:sz w:val="20"/>
          <w:szCs w:val="20"/>
        </w:rPr>
        <w:t>una ventana abierta a la denegación de justicia</w:t>
      </w:r>
      <w:r w:rsidR="00387D6B" w:rsidRPr="6AAA8334">
        <w:rPr>
          <w:rFonts w:asciiTheme="majorHAnsi" w:hAnsiTheme="majorHAnsi"/>
          <w:sz w:val="20"/>
          <w:szCs w:val="20"/>
        </w:rPr>
        <w:t>”</w:t>
      </w:r>
      <w:r w:rsidR="00B5250A" w:rsidRPr="6AAA8334">
        <w:rPr>
          <w:rFonts w:asciiTheme="majorHAnsi" w:hAnsiTheme="majorHAnsi"/>
          <w:sz w:val="20"/>
          <w:szCs w:val="20"/>
        </w:rPr>
        <w:t>.</w:t>
      </w:r>
      <w:r w:rsidR="00116193" w:rsidRPr="6AAA8334">
        <w:rPr>
          <w:rFonts w:asciiTheme="majorHAnsi" w:hAnsiTheme="majorHAnsi"/>
          <w:sz w:val="20"/>
          <w:szCs w:val="20"/>
        </w:rPr>
        <w:t xml:space="preserve"> </w:t>
      </w:r>
      <w:r w:rsidR="00387D6B" w:rsidRPr="6AAA8334">
        <w:rPr>
          <w:rFonts w:asciiTheme="majorHAnsi" w:hAnsiTheme="majorHAnsi"/>
          <w:sz w:val="20"/>
          <w:szCs w:val="20"/>
        </w:rPr>
        <w:t xml:space="preserve">Recalca que, </w:t>
      </w:r>
      <w:r w:rsidR="0056100B" w:rsidRPr="6AAA8334">
        <w:rPr>
          <w:rFonts w:asciiTheme="majorHAnsi" w:hAnsiTheme="majorHAnsi"/>
          <w:sz w:val="20"/>
          <w:szCs w:val="20"/>
        </w:rPr>
        <w:t xml:space="preserve">para analizar la convencionalidad de un proceso judicial, </w:t>
      </w:r>
      <w:r w:rsidR="003648BE" w:rsidRPr="6AAA8334">
        <w:rPr>
          <w:rFonts w:asciiTheme="majorHAnsi" w:hAnsiTheme="majorHAnsi"/>
          <w:sz w:val="20"/>
          <w:szCs w:val="20"/>
        </w:rPr>
        <w:t xml:space="preserve">se debe </w:t>
      </w:r>
      <w:r w:rsidR="00765AE0" w:rsidRPr="6AAA8334">
        <w:rPr>
          <w:rFonts w:asciiTheme="majorHAnsi" w:hAnsiTheme="majorHAnsi"/>
          <w:sz w:val="20"/>
          <w:szCs w:val="20"/>
        </w:rPr>
        <w:t>tener en cuent</w:t>
      </w:r>
      <w:r w:rsidR="003648BE" w:rsidRPr="6AAA8334">
        <w:rPr>
          <w:rFonts w:asciiTheme="majorHAnsi" w:hAnsiTheme="majorHAnsi"/>
          <w:sz w:val="20"/>
          <w:szCs w:val="20"/>
        </w:rPr>
        <w:t>a en su totalidad</w:t>
      </w:r>
      <w:r w:rsidR="006F7000" w:rsidRPr="6AAA8334">
        <w:rPr>
          <w:rFonts w:asciiTheme="majorHAnsi" w:hAnsiTheme="majorHAnsi"/>
          <w:sz w:val="20"/>
          <w:szCs w:val="20"/>
        </w:rPr>
        <w:t xml:space="preserve">, y en los procesos bajo estudio, el peticionario ha desplegado una amplia actividad jurídica </w:t>
      </w:r>
      <w:r w:rsidR="003B7062" w:rsidRPr="6AAA8334">
        <w:rPr>
          <w:rFonts w:asciiTheme="majorHAnsi" w:hAnsiTheme="majorHAnsi"/>
          <w:sz w:val="20"/>
          <w:szCs w:val="20"/>
        </w:rPr>
        <w:t xml:space="preserve">consistente </w:t>
      </w:r>
      <w:r w:rsidR="006F7000" w:rsidRPr="6AAA8334">
        <w:rPr>
          <w:rFonts w:asciiTheme="majorHAnsi" w:hAnsiTheme="majorHAnsi"/>
          <w:sz w:val="20"/>
          <w:szCs w:val="20"/>
        </w:rPr>
        <w:t>e</w:t>
      </w:r>
      <w:r w:rsidR="003B7062" w:rsidRPr="6AAA8334">
        <w:rPr>
          <w:rFonts w:asciiTheme="majorHAnsi" w:hAnsiTheme="majorHAnsi"/>
          <w:sz w:val="20"/>
          <w:szCs w:val="20"/>
        </w:rPr>
        <w:t>n</w:t>
      </w:r>
      <w:r w:rsidR="006F7000" w:rsidRPr="6AAA8334">
        <w:rPr>
          <w:rFonts w:asciiTheme="majorHAnsi" w:hAnsiTheme="majorHAnsi"/>
          <w:sz w:val="20"/>
          <w:szCs w:val="20"/>
        </w:rPr>
        <w:t xml:space="preserve"> interponer recursos</w:t>
      </w:r>
      <w:r w:rsidR="00C94D04" w:rsidRPr="6AAA8334">
        <w:rPr>
          <w:rFonts w:asciiTheme="majorHAnsi" w:hAnsiTheme="majorHAnsi"/>
          <w:sz w:val="20"/>
          <w:szCs w:val="20"/>
        </w:rPr>
        <w:t xml:space="preserve"> y acciones de tutela dentro de los </w:t>
      </w:r>
      <w:r w:rsidR="00FA2FEC" w:rsidRPr="6AAA8334">
        <w:rPr>
          <w:rFonts w:asciiTheme="majorHAnsi" w:hAnsiTheme="majorHAnsi"/>
          <w:sz w:val="20"/>
          <w:szCs w:val="20"/>
        </w:rPr>
        <w:t>expedientes</w:t>
      </w:r>
      <w:r w:rsidR="006F7000" w:rsidRPr="6AAA8334">
        <w:rPr>
          <w:rFonts w:asciiTheme="majorHAnsi" w:hAnsiTheme="majorHAnsi"/>
          <w:sz w:val="20"/>
          <w:szCs w:val="20"/>
        </w:rPr>
        <w:t xml:space="preserve">, lo que ha aumentado </w:t>
      </w:r>
      <w:r w:rsidR="00C94D04" w:rsidRPr="6AAA8334">
        <w:rPr>
          <w:rFonts w:asciiTheme="majorHAnsi" w:hAnsiTheme="majorHAnsi"/>
          <w:sz w:val="20"/>
          <w:szCs w:val="20"/>
        </w:rPr>
        <w:t xml:space="preserve">su </w:t>
      </w:r>
      <w:r w:rsidR="00013796" w:rsidRPr="6AAA8334">
        <w:rPr>
          <w:rFonts w:asciiTheme="majorHAnsi" w:hAnsiTheme="majorHAnsi"/>
          <w:sz w:val="20"/>
          <w:szCs w:val="20"/>
        </w:rPr>
        <w:t>complejidad</w:t>
      </w:r>
      <w:r w:rsidR="00FA2FEC" w:rsidRPr="6AAA8334">
        <w:rPr>
          <w:rFonts w:asciiTheme="majorHAnsi" w:hAnsiTheme="majorHAnsi"/>
          <w:sz w:val="20"/>
          <w:szCs w:val="20"/>
        </w:rPr>
        <w:t xml:space="preserve"> y ha paralizado las actuaciones judiciales</w:t>
      </w:r>
      <w:r w:rsidR="00013796" w:rsidRPr="6AAA8334">
        <w:rPr>
          <w:rFonts w:asciiTheme="majorHAnsi" w:hAnsiTheme="majorHAnsi"/>
          <w:sz w:val="20"/>
          <w:szCs w:val="20"/>
        </w:rPr>
        <w:t xml:space="preserve">. Asimismo, destaca que, durante estos trámites, el peticionario ha </w:t>
      </w:r>
      <w:r w:rsidR="00F04461" w:rsidRPr="6AAA8334">
        <w:rPr>
          <w:rFonts w:asciiTheme="majorHAnsi" w:hAnsiTheme="majorHAnsi"/>
          <w:sz w:val="20"/>
          <w:szCs w:val="20"/>
        </w:rPr>
        <w:t>mantenido la propiedad del inmueble y n</w:t>
      </w:r>
      <w:r w:rsidR="00A64E10" w:rsidRPr="6AAA8334">
        <w:rPr>
          <w:rFonts w:asciiTheme="majorHAnsi" w:hAnsiTheme="majorHAnsi"/>
          <w:sz w:val="20"/>
          <w:szCs w:val="20"/>
        </w:rPr>
        <w:t>o</w:t>
      </w:r>
      <w:r w:rsidR="00F04461" w:rsidRPr="6AAA8334">
        <w:rPr>
          <w:rFonts w:asciiTheme="majorHAnsi" w:hAnsiTheme="majorHAnsi"/>
          <w:sz w:val="20"/>
          <w:szCs w:val="20"/>
        </w:rPr>
        <w:t xml:space="preserve"> se ha realizado ninguna actividad minera sobre el mismo,</w:t>
      </w:r>
      <w:r w:rsidR="005C5E44" w:rsidRPr="6AAA8334">
        <w:rPr>
          <w:rFonts w:asciiTheme="majorHAnsi" w:hAnsiTheme="majorHAnsi"/>
          <w:sz w:val="20"/>
          <w:szCs w:val="20"/>
        </w:rPr>
        <w:t xml:space="preserve"> por lo que ambos procesos se encuentran dentro del plazo razonable y no se configura una excepción al agotamiento de los recursos internos.</w:t>
      </w:r>
    </w:p>
    <w:p w14:paraId="539453E3" w14:textId="4459258A" w:rsidR="005C5E44" w:rsidRPr="006E621A" w:rsidRDefault="005C5E44" w:rsidP="006E621A">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bCs/>
          <w:sz w:val="20"/>
          <w:szCs w:val="20"/>
          <w:lang w:val="es-UY"/>
        </w:rPr>
        <w:t xml:space="preserve">Por otra parte, </w:t>
      </w:r>
      <w:r w:rsidR="00A37DFC">
        <w:rPr>
          <w:rFonts w:asciiTheme="majorHAnsi" w:hAnsiTheme="majorHAnsi"/>
          <w:bCs/>
          <w:sz w:val="20"/>
          <w:szCs w:val="20"/>
          <w:lang w:val="es-UY"/>
        </w:rPr>
        <w:t>Colombia plantea que la petición no contiene hechos que caractericen violaciones de derechos humanos, y, por ende, resulta inadmisible a la luz del artículo 47.b de la Convención Americana.</w:t>
      </w:r>
      <w:r w:rsidR="00CB1040">
        <w:rPr>
          <w:rFonts w:asciiTheme="majorHAnsi" w:hAnsiTheme="majorHAnsi"/>
          <w:bCs/>
          <w:sz w:val="20"/>
          <w:szCs w:val="20"/>
          <w:lang w:val="es-UY"/>
        </w:rPr>
        <w:t xml:space="preserve"> En particular, </w:t>
      </w:r>
      <w:r w:rsidR="00300EF1">
        <w:rPr>
          <w:rFonts w:asciiTheme="majorHAnsi" w:hAnsiTheme="majorHAnsi"/>
          <w:bCs/>
          <w:sz w:val="20"/>
          <w:szCs w:val="20"/>
          <w:lang w:val="es-UY"/>
        </w:rPr>
        <w:t xml:space="preserve">asevera que no se configura </w:t>
      </w:r>
      <w:r w:rsidR="00300EF1" w:rsidRPr="00300EF1">
        <w:rPr>
          <w:rFonts w:asciiTheme="majorHAnsi" w:hAnsiTheme="majorHAnsi"/>
          <w:bCs/>
          <w:i/>
          <w:iCs/>
          <w:sz w:val="20"/>
          <w:szCs w:val="20"/>
          <w:lang w:val="es-UY"/>
        </w:rPr>
        <w:t>prima facie</w:t>
      </w:r>
      <w:r w:rsidR="00300EF1">
        <w:rPr>
          <w:rFonts w:asciiTheme="majorHAnsi" w:hAnsiTheme="majorHAnsi"/>
          <w:bCs/>
          <w:sz w:val="20"/>
          <w:szCs w:val="20"/>
          <w:lang w:val="es-UY"/>
        </w:rPr>
        <w:t xml:space="preserve"> una violación de la garantía del plazo razonable</w:t>
      </w:r>
      <w:r w:rsidR="00F73F13">
        <w:rPr>
          <w:rFonts w:asciiTheme="majorHAnsi" w:hAnsiTheme="majorHAnsi"/>
          <w:bCs/>
          <w:sz w:val="20"/>
          <w:szCs w:val="20"/>
          <w:lang w:val="es-UY"/>
        </w:rPr>
        <w:t xml:space="preserve">, toda vez que dentro de los dos procesos judiciales en trámite, </w:t>
      </w:r>
      <w:r w:rsidR="00DC55AA">
        <w:rPr>
          <w:rFonts w:asciiTheme="majorHAnsi" w:hAnsiTheme="majorHAnsi"/>
          <w:bCs/>
          <w:sz w:val="20"/>
          <w:szCs w:val="20"/>
          <w:lang w:val="es-UY"/>
        </w:rPr>
        <w:t xml:space="preserve">se observa que las autoridades </w:t>
      </w:r>
      <w:r w:rsidR="00DC55AA">
        <w:rPr>
          <w:rFonts w:asciiTheme="majorHAnsi" w:hAnsiTheme="majorHAnsi"/>
          <w:bCs/>
          <w:sz w:val="20"/>
          <w:szCs w:val="20"/>
          <w:lang w:val="es-UY"/>
        </w:rPr>
        <w:lastRenderedPageBreak/>
        <w:t xml:space="preserve">judiciales </w:t>
      </w:r>
      <w:r w:rsidR="008E4B2C">
        <w:rPr>
          <w:rFonts w:asciiTheme="majorHAnsi" w:hAnsiTheme="majorHAnsi"/>
          <w:bCs/>
          <w:sz w:val="20"/>
          <w:szCs w:val="20"/>
          <w:lang w:val="es-UY"/>
        </w:rPr>
        <w:t xml:space="preserve">les </w:t>
      </w:r>
      <w:r w:rsidR="00DC55AA">
        <w:rPr>
          <w:rFonts w:asciiTheme="majorHAnsi" w:hAnsiTheme="majorHAnsi"/>
          <w:bCs/>
          <w:sz w:val="20"/>
          <w:szCs w:val="20"/>
          <w:lang w:val="es-UY"/>
        </w:rPr>
        <w:t>han</w:t>
      </w:r>
      <w:r w:rsidR="00CE45C9">
        <w:rPr>
          <w:rFonts w:asciiTheme="majorHAnsi" w:hAnsiTheme="majorHAnsi"/>
          <w:bCs/>
          <w:sz w:val="20"/>
          <w:szCs w:val="20"/>
          <w:lang w:val="es-UY"/>
        </w:rPr>
        <w:t xml:space="preserve"> dado impulso</w:t>
      </w:r>
      <w:r w:rsidR="00DC55AA">
        <w:rPr>
          <w:rFonts w:asciiTheme="majorHAnsi" w:hAnsiTheme="majorHAnsi"/>
          <w:bCs/>
          <w:sz w:val="20"/>
          <w:szCs w:val="20"/>
          <w:lang w:val="es-UY"/>
        </w:rPr>
        <w:t xml:space="preserve"> </w:t>
      </w:r>
      <w:r w:rsidR="008E4B2C">
        <w:rPr>
          <w:rFonts w:asciiTheme="majorHAnsi" w:hAnsiTheme="majorHAnsi"/>
          <w:bCs/>
          <w:sz w:val="20"/>
          <w:szCs w:val="20"/>
          <w:lang w:val="es-UY"/>
        </w:rPr>
        <w:t xml:space="preserve">y han adoptado decisiones </w:t>
      </w:r>
      <w:r w:rsidR="00DC55AA">
        <w:rPr>
          <w:rFonts w:asciiTheme="majorHAnsi" w:hAnsiTheme="majorHAnsi"/>
          <w:bCs/>
          <w:sz w:val="20"/>
          <w:szCs w:val="20"/>
          <w:lang w:val="es-UY"/>
        </w:rPr>
        <w:t>de manera diligente</w:t>
      </w:r>
      <w:r w:rsidR="00491CBF">
        <w:rPr>
          <w:rFonts w:asciiTheme="majorHAnsi" w:hAnsiTheme="majorHAnsi"/>
          <w:bCs/>
          <w:sz w:val="20"/>
          <w:szCs w:val="20"/>
          <w:lang w:val="es-UY"/>
        </w:rPr>
        <w:t xml:space="preserve">, </w:t>
      </w:r>
      <w:r w:rsidR="008E4B2C">
        <w:rPr>
          <w:rFonts w:asciiTheme="majorHAnsi" w:hAnsiTheme="majorHAnsi"/>
          <w:bCs/>
          <w:sz w:val="20"/>
          <w:szCs w:val="20"/>
          <w:lang w:val="es-UY"/>
        </w:rPr>
        <w:t xml:space="preserve">pero a su vez, éstas han sido objeto de </w:t>
      </w:r>
      <w:r w:rsidR="003F75F0">
        <w:rPr>
          <w:rFonts w:asciiTheme="majorHAnsi" w:hAnsiTheme="majorHAnsi"/>
          <w:bCs/>
          <w:sz w:val="20"/>
          <w:szCs w:val="20"/>
          <w:lang w:val="es-UY"/>
        </w:rPr>
        <w:t>la interposición de múltiples recursos ordinarios y extraordinarios por el peticionario y l</w:t>
      </w:r>
      <w:r w:rsidR="005B49D9">
        <w:rPr>
          <w:rFonts w:asciiTheme="majorHAnsi" w:hAnsiTheme="majorHAnsi"/>
          <w:bCs/>
          <w:sz w:val="20"/>
          <w:szCs w:val="20"/>
          <w:lang w:val="es-UY"/>
        </w:rPr>
        <w:t>as otras partes involucradas</w:t>
      </w:r>
      <w:r w:rsidR="005142DA">
        <w:rPr>
          <w:rFonts w:asciiTheme="majorHAnsi" w:hAnsiTheme="majorHAnsi"/>
          <w:bCs/>
          <w:sz w:val="20"/>
          <w:szCs w:val="20"/>
          <w:lang w:val="es-UY"/>
        </w:rPr>
        <w:t>,</w:t>
      </w:r>
      <w:r w:rsidR="00F727C1">
        <w:rPr>
          <w:rFonts w:asciiTheme="majorHAnsi" w:hAnsiTheme="majorHAnsi"/>
          <w:bCs/>
          <w:sz w:val="20"/>
          <w:szCs w:val="20"/>
          <w:lang w:val="es-UY"/>
        </w:rPr>
        <w:t xml:space="preserve"> lo que ha aumentado la complejidad y </w:t>
      </w:r>
      <w:r w:rsidR="00BF44C4">
        <w:rPr>
          <w:rFonts w:asciiTheme="majorHAnsi" w:hAnsiTheme="majorHAnsi"/>
          <w:bCs/>
          <w:sz w:val="20"/>
          <w:szCs w:val="20"/>
          <w:lang w:val="es-UY"/>
        </w:rPr>
        <w:t>ralenti</w:t>
      </w:r>
      <w:r w:rsidR="00F727C1">
        <w:rPr>
          <w:rFonts w:asciiTheme="majorHAnsi" w:hAnsiTheme="majorHAnsi"/>
          <w:bCs/>
          <w:sz w:val="20"/>
          <w:szCs w:val="20"/>
          <w:lang w:val="es-UY"/>
        </w:rPr>
        <w:t>zado los procesos.</w:t>
      </w:r>
      <w:r w:rsidR="005142DA">
        <w:rPr>
          <w:rFonts w:asciiTheme="majorHAnsi" w:hAnsiTheme="majorHAnsi"/>
          <w:bCs/>
          <w:sz w:val="20"/>
          <w:szCs w:val="20"/>
          <w:lang w:val="es-UY"/>
        </w:rPr>
        <w:t xml:space="preserve"> </w:t>
      </w:r>
      <w:r w:rsidR="00F727C1">
        <w:rPr>
          <w:rFonts w:asciiTheme="majorHAnsi" w:hAnsiTheme="majorHAnsi"/>
          <w:bCs/>
          <w:sz w:val="20"/>
          <w:szCs w:val="20"/>
          <w:lang w:val="es-UY"/>
        </w:rPr>
        <w:t>E</w:t>
      </w:r>
      <w:r w:rsidR="005142DA">
        <w:rPr>
          <w:rFonts w:asciiTheme="majorHAnsi" w:hAnsiTheme="majorHAnsi"/>
          <w:bCs/>
          <w:sz w:val="20"/>
          <w:szCs w:val="20"/>
          <w:lang w:val="es-UY"/>
        </w:rPr>
        <w:t>n el entretiempo</w:t>
      </w:r>
      <w:r w:rsidR="00FA4C16">
        <w:rPr>
          <w:rFonts w:asciiTheme="majorHAnsi" w:hAnsiTheme="majorHAnsi"/>
          <w:bCs/>
          <w:sz w:val="20"/>
          <w:szCs w:val="20"/>
          <w:lang w:val="es-UY"/>
        </w:rPr>
        <w:t xml:space="preserve">, </w:t>
      </w:r>
      <w:r w:rsidR="002327E3">
        <w:rPr>
          <w:rFonts w:asciiTheme="majorHAnsi" w:hAnsiTheme="majorHAnsi"/>
          <w:bCs/>
          <w:sz w:val="20"/>
          <w:szCs w:val="20"/>
          <w:lang w:val="es-UY"/>
        </w:rPr>
        <w:t xml:space="preserve">el Estado </w:t>
      </w:r>
      <w:r w:rsidR="00FA4C16">
        <w:rPr>
          <w:rFonts w:asciiTheme="majorHAnsi" w:hAnsiTheme="majorHAnsi"/>
          <w:bCs/>
          <w:sz w:val="20"/>
          <w:szCs w:val="20"/>
          <w:lang w:val="es-UY"/>
        </w:rPr>
        <w:t>subraya que</w:t>
      </w:r>
      <w:r w:rsidR="005142DA">
        <w:rPr>
          <w:rFonts w:asciiTheme="majorHAnsi" w:hAnsiTheme="majorHAnsi"/>
          <w:bCs/>
          <w:sz w:val="20"/>
          <w:szCs w:val="20"/>
          <w:lang w:val="es-UY"/>
        </w:rPr>
        <w:t xml:space="preserve"> </w:t>
      </w:r>
      <w:r w:rsidR="00AC179C">
        <w:rPr>
          <w:rFonts w:asciiTheme="majorHAnsi" w:hAnsiTheme="majorHAnsi"/>
          <w:bCs/>
          <w:sz w:val="20"/>
          <w:szCs w:val="20"/>
          <w:lang w:val="es-UY"/>
        </w:rPr>
        <w:t>el Sr. Mantilla Gutiérrez</w:t>
      </w:r>
      <w:r w:rsidR="005142DA">
        <w:rPr>
          <w:rFonts w:asciiTheme="majorHAnsi" w:hAnsiTheme="majorHAnsi"/>
          <w:bCs/>
          <w:sz w:val="20"/>
          <w:szCs w:val="20"/>
          <w:lang w:val="es-UY"/>
        </w:rPr>
        <w:t xml:space="preserve"> ha conservado su propiedad, sin ningún tipo de actividad minera</w:t>
      </w:r>
      <w:r w:rsidR="00156C2E">
        <w:rPr>
          <w:rFonts w:asciiTheme="majorHAnsi" w:hAnsiTheme="majorHAnsi"/>
          <w:bCs/>
          <w:sz w:val="20"/>
          <w:szCs w:val="20"/>
          <w:lang w:val="es-UY"/>
        </w:rPr>
        <w:t>, de manera que no se ha demostrado una afectación real del derecho de propiedad.</w:t>
      </w:r>
      <w:r w:rsidR="00646634">
        <w:rPr>
          <w:rFonts w:asciiTheme="majorHAnsi" w:hAnsiTheme="majorHAnsi"/>
          <w:bCs/>
          <w:sz w:val="20"/>
          <w:szCs w:val="20"/>
          <w:lang w:val="es-UY"/>
        </w:rPr>
        <w:t xml:space="preserve"> Por lo tanto, solicita a la CIDH declarar la inadmisibilidad de la presente petición en tanto los hechos </w:t>
      </w:r>
      <w:r w:rsidR="00864741">
        <w:rPr>
          <w:rFonts w:asciiTheme="majorHAnsi" w:hAnsiTheme="majorHAnsi"/>
          <w:bCs/>
          <w:sz w:val="20"/>
          <w:szCs w:val="20"/>
          <w:lang w:val="es-UY"/>
        </w:rPr>
        <w:t xml:space="preserve">no caracterizan </w:t>
      </w:r>
      <w:r w:rsidR="00864741" w:rsidRPr="00864741">
        <w:rPr>
          <w:rFonts w:asciiTheme="majorHAnsi" w:hAnsiTheme="majorHAnsi"/>
          <w:bCs/>
          <w:i/>
          <w:iCs/>
          <w:sz w:val="20"/>
          <w:szCs w:val="20"/>
          <w:lang w:val="es-UY"/>
        </w:rPr>
        <w:t>prima facie</w:t>
      </w:r>
      <w:r w:rsidR="00864741">
        <w:rPr>
          <w:rFonts w:asciiTheme="majorHAnsi" w:hAnsiTheme="majorHAnsi"/>
          <w:bCs/>
          <w:sz w:val="20"/>
          <w:szCs w:val="20"/>
          <w:lang w:val="es-UY"/>
        </w:rPr>
        <w:t xml:space="preserve"> una violación de los derechos invocados</w:t>
      </w:r>
      <w:r w:rsidR="0038342C">
        <w:rPr>
          <w:rFonts w:asciiTheme="majorHAnsi" w:hAnsiTheme="majorHAnsi"/>
          <w:bCs/>
          <w:sz w:val="20"/>
          <w:szCs w:val="20"/>
          <w:lang w:val="es-UY"/>
        </w:rPr>
        <w:t>.</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2ED5AB76" w14:textId="184DCB30" w:rsidR="00AB689F" w:rsidRDefault="00AB689F" w:rsidP="00AB689F">
      <w:pPr>
        <w:pStyle w:val="ListParagraph"/>
        <w:numPr>
          <w:ilvl w:val="0"/>
          <w:numId w:val="61"/>
        </w:numPr>
        <w:ind w:left="0" w:firstLine="720"/>
        <w:jc w:val="both"/>
        <w:rPr>
          <w:iCs/>
          <w:sz w:val="20"/>
          <w:szCs w:val="20"/>
          <w:lang w:val="es-ES_tradnl"/>
        </w:rPr>
      </w:pPr>
      <w:r w:rsidRPr="00A11B3B">
        <w:rPr>
          <w:sz w:val="20"/>
          <w:szCs w:val="20"/>
          <w:lang w:val="es-ES"/>
        </w:rPr>
        <w:t>E</w:t>
      </w:r>
      <w:r>
        <w:rPr>
          <w:sz w:val="20"/>
          <w:szCs w:val="20"/>
          <w:lang w:val="es-ES"/>
        </w:rPr>
        <w:t>l</w:t>
      </w:r>
      <w:r w:rsidRPr="00A11B3B">
        <w:rPr>
          <w:sz w:val="20"/>
          <w:szCs w:val="20"/>
          <w:lang w:val="es-ES"/>
        </w:rPr>
        <w:t xml:space="preserve"> artículo 46.1.a) de la Convención Americana dispone que para que una petición sea admitida se requiere “que se hayan interpuesto y agotado los recursos de jurisdicción interna, conforme a los principios del Derecho Internacional generalmente reconocidos”. </w:t>
      </w:r>
      <w:r w:rsidR="004E380D" w:rsidRPr="004E380D">
        <w:rPr>
          <w:iCs/>
          <w:sz w:val="20"/>
          <w:szCs w:val="20"/>
          <w:lang w:val="es-ES_tradnl"/>
        </w:rPr>
        <w:t>Para el análisis del agotamiento de los recursos domésticos en el presente asunto, la CIDH recuerda que, según su práctica consolidada y reiterada, a efectos de identificar los recursos idóneos que debieron haber sido agotados por un peticionario antes de recurrir al Sistema Interamericano, el primer paso metodológico del análisis consiste en deslindar los distintos reclamos formulados en la correspondiente petición para proceder a su examen individualizado</w:t>
      </w:r>
      <w:r>
        <w:rPr>
          <w:rStyle w:val="FootnoteReference"/>
          <w:iCs/>
          <w:sz w:val="20"/>
          <w:szCs w:val="20"/>
          <w:lang w:val="es-ES_tradnl"/>
        </w:rPr>
        <w:footnoteReference w:id="5"/>
      </w:r>
      <w:r w:rsidR="00BE09FC">
        <w:rPr>
          <w:iCs/>
          <w:sz w:val="20"/>
          <w:szCs w:val="20"/>
          <w:lang w:val="es-ES_tradnl"/>
        </w:rPr>
        <w:t>.</w:t>
      </w:r>
    </w:p>
    <w:p w14:paraId="171F9BA4" w14:textId="4762BF6B" w:rsidR="004E380D" w:rsidRPr="008F3F48" w:rsidRDefault="004E380D" w:rsidP="16592B62">
      <w:pPr>
        <w:pStyle w:val="ListParagraph"/>
        <w:jc w:val="both"/>
        <w:rPr>
          <w:sz w:val="20"/>
          <w:szCs w:val="20"/>
          <w:lang w:val="es-ES"/>
        </w:rPr>
      </w:pPr>
      <w:r w:rsidRPr="16592B62">
        <w:rPr>
          <w:sz w:val="20"/>
          <w:szCs w:val="20"/>
          <w:lang w:val="es-ES"/>
        </w:rPr>
        <w:t>En esa línea, en el presente procedimiento</w:t>
      </w:r>
      <w:r w:rsidR="003C636F" w:rsidRPr="16592B62">
        <w:rPr>
          <w:sz w:val="20"/>
          <w:szCs w:val="20"/>
          <w:lang w:val="es-ES"/>
        </w:rPr>
        <w:t>,</w:t>
      </w:r>
      <w:r w:rsidRPr="16592B62">
        <w:rPr>
          <w:sz w:val="20"/>
          <w:szCs w:val="20"/>
          <w:lang w:val="es-ES"/>
        </w:rPr>
        <w:t xml:space="preserve"> la CIDH </w:t>
      </w:r>
      <w:r w:rsidR="003C636F" w:rsidRPr="16592B62">
        <w:rPr>
          <w:sz w:val="20"/>
          <w:szCs w:val="20"/>
          <w:lang w:val="es-ES"/>
        </w:rPr>
        <w:t xml:space="preserve">advierte que el peticionario </w:t>
      </w:r>
      <w:r w:rsidR="00E64A9A" w:rsidRPr="16592B62">
        <w:rPr>
          <w:sz w:val="20"/>
          <w:szCs w:val="20"/>
          <w:lang w:val="es-ES"/>
        </w:rPr>
        <w:t xml:space="preserve">formula, </w:t>
      </w:r>
      <w:r w:rsidRPr="16592B62">
        <w:rPr>
          <w:sz w:val="20"/>
          <w:szCs w:val="20"/>
          <w:lang w:val="es-ES"/>
        </w:rPr>
        <w:t>en lo fundamental</w:t>
      </w:r>
      <w:r w:rsidR="00E64A9A" w:rsidRPr="16592B62">
        <w:rPr>
          <w:sz w:val="20"/>
          <w:szCs w:val="20"/>
          <w:lang w:val="es-ES"/>
        </w:rPr>
        <w:t>, lo siguientes reclamos</w:t>
      </w:r>
      <w:r w:rsidRPr="16592B62">
        <w:rPr>
          <w:sz w:val="20"/>
          <w:szCs w:val="20"/>
          <w:lang w:val="es-ES"/>
        </w:rPr>
        <w:t xml:space="preserve">: </w:t>
      </w:r>
      <w:r w:rsidRPr="16592B62">
        <w:rPr>
          <w:color w:val="auto"/>
          <w:sz w:val="20"/>
          <w:szCs w:val="20"/>
          <w:lang w:val="es-ES"/>
        </w:rPr>
        <w:t xml:space="preserve">(a) </w:t>
      </w:r>
      <w:r w:rsidR="0020676A" w:rsidRPr="16592B62">
        <w:rPr>
          <w:color w:val="auto"/>
          <w:sz w:val="20"/>
          <w:szCs w:val="20"/>
          <w:lang w:val="es-ES"/>
        </w:rPr>
        <w:t>el incumplimiento de las órdenes impartidas por la Corte Constitucional en su Sentencia de Tutela 774/2007</w:t>
      </w:r>
      <w:r w:rsidRPr="16592B62">
        <w:rPr>
          <w:color w:val="auto"/>
          <w:sz w:val="20"/>
          <w:szCs w:val="20"/>
          <w:lang w:val="es-ES"/>
        </w:rPr>
        <w:t xml:space="preserve">; (b) </w:t>
      </w:r>
      <w:r w:rsidR="005678D0" w:rsidRPr="16592B62">
        <w:rPr>
          <w:color w:val="auto"/>
          <w:sz w:val="20"/>
          <w:szCs w:val="20"/>
          <w:lang w:val="es-ES"/>
        </w:rPr>
        <w:t>el retardo excesivo del proceso civil de expropiación y pago de una indemnización</w:t>
      </w:r>
      <w:r w:rsidR="00601030" w:rsidRPr="16592B62">
        <w:rPr>
          <w:color w:val="auto"/>
          <w:sz w:val="20"/>
          <w:szCs w:val="20"/>
          <w:lang w:val="es-ES"/>
        </w:rPr>
        <w:t>;</w:t>
      </w:r>
      <w:r w:rsidR="005678D0" w:rsidRPr="16592B62">
        <w:rPr>
          <w:color w:val="auto"/>
          <w:sz w:val="20"/>
          <w:szCs w:val="20"/>
          <w:lang w:val="es-ES"/>
        </w:rPr>
        <w:t xml:space="preserve"> </w:t>
      </w:r>
      <w:r w:rsidR="0068385E" w:rsidRPr="16592B62">
        <w:rPr>
          <w:color w:val="auto"/>
          <w:sz w:val="20"/>
          <w:szCs w:val="20"/>
          <w:lang w:val="es-ES"/>
        </w:rPr>
        <w:t xml:space="preserve">y, </w:t>
      </w:r>
      <w:r w:rsidR="00601030" w:rsidRPr="16592B62">
        <w:rPr>
          <w:color w:val="auto"/>
          <w:sz w:val="20"/>
          <w:szCs w:val="20"/>
          <w:lang w:val="es-ES"/>
        </w:rPr>
        <w:t xml:space="preserve">(c) la demora en el proceso contencioso-administrativo </w:t>
      </w:r>
      <w:r w:rsidR="005678D0" w:rsidRPr="16592B62">
        <w:rPr>
          <w:color w:val="auto"/>
          <w:sz w:val="20"/>
          <w:szCs w:val="20"/>
          <w:lang w:val="es-ES"/>
        </w:rPr>
        <w:t>de reconocimiento de su derecho de propiedad en el registro de instrumentos públicos.</w:t>
      </w:r>
      <w:r w:rsidR="009B043B" w:rsidRPr="16592B62">
        <w:rPr>
          <w:color w:val="auto"/>
          <w:sz w:val="20"/>
          <w:szCs w:val="20"/>
          <w:lang w:val="es-ES"/>
        </w:rPr>
        <w:t xml:space="preserve"> </w:t>
      </w:r>
      <w:r w:rsidR="00627732" w:rsidRPr="16592B62">
        <w:rPr>
          <w:color w:val="auto"/>
          <w:sz w:val="20"/>
          <w:szCs w:val="20"/>
          <w:lang w:val="es-ES"/>
        </w:rPr>
        <w:t>La Comisión procederá con el análisis separado de agotamiento de los recursos internos frente a cada uno de estos reclamos.</w:t>
      </w:r>
    </w:p>
    <w:p w14:paraId="288F5A7E" w14:textId="107841B8" w:rsidR="008F3F48" w:rsidRPr="008F3F48" w:rsidRDefault="008F3F48" w:rsidP="008F3F48">
      <w:pPr>
        <w:pStyle w:val="ListParagraph"/>
        <w:numPr>
          <w:ilvl w:val="0"/>
          <w:numId w:val="0"/>
        </w:numPr>
        <w:ind w:left="720"/>
        <w:jc w:val="both"/>
        <w:rPr>
          <w:i/>
          <w:sz w:val="20"/>
          <w:szCs w:val="20"/>
          <w:lang w:val="es-ES_tradnl"/>
        </w:rPr>
      </w:pPr>
      <w:r>
        <w:rPr>
          <w:i/>
          <w:color w:val="auto"/>
          <w:sz w:val="20"/>
          <w:szCs w:val="20"/>
          <w:lang w:val="es-ES_tradnl"/>
        </w:rPr>
        <w:t>Sobre el alegado incumplimiento de la Sentencia T-774/2004</w:t>
      </w:r>
    </w:p>
    <w:p w14:paraId="7446712A" w14:textId="7BFC45A0" w:rsidR="00ED5E10" w:rsidRDefault="003C4EE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De los anexos se desprende que el peticionario promovió un incidente de desacato por el incumplimiento del fallo emitido por la Corte Constitucional</w:t>
      </w:r>
      <w:r w:rsidR="00FF437C">
        <w:rPr>
          <w:sz w:val="20"/>
          <w:szCs w:val="20"/>
          <w:lang w:val="es-ES"/>
        </w:rPr>
        <w:t>, el cual fue rechazado por el Consejo de Estado</w:t>
      </w:r>
      <w:r>
        <w:rPr>
          <w:sz w:val="20"/>
          <w:szCs w:val="20"/>
          <w:lang w:val="es-ES"/>
        </w:rPr>
        <w:t xml:space="preserve"> </w:t>
      </w:r>
      <w:r w:rsidR="00FF437C">
        <w:rPr>
          <w:sz w:val="20"/>
          <w:szCs w:val="20"/>
          <w:lang w:val="es-ES"/>
        </w:rPr>
        <w:t>e</w:t>
      </w:r>
      <w:r w:rsidR="00FF437C" w:rsidRPr="00A56B72">
        <w:rPr>
          <w:sz w:val="20"/>
          <w:szCs w:val="20"/>
          <w:lang w:val="es-AR"/>
        </w:rPr>
        <w:t>l 19 de febrero de 2015</w:t>
      </w:r>
      <w:r w:rsidR="00FF437C">
        <w:rPr>
          <w:sz w:val="20"/>
          <w:szCs w:val="20"/>
          <w:lang w:val="es-AR"/>
        </w:rPr>
        <w:t>, y, posteriormente</w:t>
      </w:r>
      <w:r w:rsidR="00FF437C" w:rsidRPr="00A56B72">
        <w:rPr>
          <w:sz w:val="20"/>
          <w:szCs w:val="20"/>
          <w:lang w:val="es-AR"/>
        </w:rPr>
        <w:t xml:space="preserve"> </w:t>
      </w:r>
      <w:r w:rsidR="00FF437C">
        <w:rPr>
          <w:sz w:val="20"/>
          <w:szCs w:val="20"/>
          <w:lang w:val="es-AR"/>
        </w:rPr>
        <w:t>la propia Corte Constitucional</w:t>
      </w:r>
      <w:r w:rsidR="009E34B6">
        <w:rPr>
          <w:sz w:val="20"/>
          <w:szCs w:val="20"/>
          <w:lang w:val="es-AR"/>
        </w:rPr>
        <w:t xml:space="preserve"> desestimó la solicitud de supervisión de </w:t>
      </w:r>
      <w:r w:rsidR="00FF437C" w:rsidRPr="00A56B72">
        <w:rPr>
          <w:sz w:val="20"/>
          <w:szCs w:val="20"/>
          <w:lang w:val="es-AR"/>
        </w:rPr>
        <w:t xml:space="preserve">cumplimiento mediante </w:t>
      </w:r>
      <w:r w:rsidR="00FF437C" w:rsidRPr="00A56B72">
        <w:rPr>
          <w:sz w:val="20"/>
          <w:szCs w:val="20"/>
          <w:lang w:val="es-CO"/>
        </w:rPr>
        <w:t>Auto</w:t>
      </w:r>
      <w:r w:rsidR="009E34B6">
        <w:rPr>
          <w:sz w:val="20"/>
          <w:szCs w:val="20"/>
          <w:lang w:val="es-CO"/>
        </w:rPr>
        <w:t>s</w:t>
      </w:r>
      <w:r w:rsidR="00FF437C" w:rsidRPr="00A56B72">
        <w:rPr>
          <w:sz w:val="20"/>
          <w:szCs w:val="20"/>
          <w:lang w:val="es-CO"/>
        </w:rPr>
        <w:t xml:space="preserve"> no. 550 de 13 de octubre de 2017 y no. 122 de 22 de febrero de 2018</w:t>
      </w:r>
      <w:r w:rsidR="009E34B6">
        <w:rPr>
          <w:sz w:val="20"/>
          <w:szCs w:val="20"/>
          <w:lang w:val="es-CO"/>
        </w:rPr>
        <w:t>. Así, la Comisión considera que el peticionario agotó el incidente de desacato con la decisión de 22 de febrero de 2018, y dado que la petición fue presentada el 19 de octubre de 2015, estima que cumple con los requisitos establecidos en los artículos 46.1</w:t>
      </w:r>
      <w:r w:rsidR="008A23A3">
        <w:rPr>
          <w:sz w:val="20"/>
          <w:szCs w:val="20"/>
          <w:lang w:val="es-CO"/>
        </w:rPr>
        <w:t>a</w:t>
      </w:r>
      <w:r w:rsidR="009E34B6">
        <w:rPr>
          <w:sz w:val="20"/>
          <w:szCs w:val="20"/>
          <w:lang w:val="es-CO"/>
        </w:rPr>
        <w:t>) y b) de la Convención Americana en este extremo.</w:t>
      </w:r>
    </w:p>
    <w:p w14:paraId="2A807BB4" w14:textId="625A661B" w:rsidR="008F3F48" w:rsidRPr="008F3F48" w:rsidRDefault="00645806" w:rsidP="008F3F48">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i/>
          <w:iCs/>
          <w:sz w:val="20"/>
          <w:szCs w:val="20"/>
          <w:lang w:val="es-ES"/>
        </w:rPr>
      </w:pPr>
      <w:r>
        <w:rPr>
          <w:i/>
          <w:iCs/>
          <w:sz w:val="20"/>
          <w:szCs w:val="20"/>
          <w:lang w:val="es-ES"/>
        </w:rPr>
        <w:t>Respecto de la duración excesiva en el proceso civil de expropiación</w:t>
      </w:r>
    </w:p>
    <w:p w14:paraId="4D7045E1" w14:textId="5182B4C4" w:rsidR="008C5E2D" w:rsidRDefault="00EC06DB"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En cuanto al proceso civil de expropiación en trámite, </w:t>
      </w:r>
      <w:r w:rsidR="004722AF">
        <w:rPr>
          <w:sz w:val="20"/>
          <w:szCs w:val="20"/>
          <w:lang w:val="es-ES"/>
        </w:rPr>
        <w:t>el peticionario invoca la excepción de retardo injustificado en la resolución de los recursos internos; mientras que, el Estado alega la falta de agotamiento de este</w:t>
      </w:r>
      <w:r w:rsidR="00702C2D">
        <w:rPr>
          <w:sz w:val="20"/>
          <w:szCs w:val="20"/>
          <w:lang w:val="es-ES"/>
        </w:rPr>
        <w:t xml:space="preserve"> procedimiento, debido a la complejidad del caso y a la excesiva actividad jurídica del peticionario y las otras partes.</w:t>
      </w:r>
    </w:p>
    <w:p w14:paraId="4B59C1F7" w14:textId="77777777" w:rsidR="00816D5D" w:rsidRPr="00816D5D" w:rsidRDefault="001423CC"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A este respecto, </w:t>
      </w:r>
      <w:bookmarkStart w:id="2" w:name="_Hlk184035509"/>
      <w:r w:rsidR="00816D5D">
        <w:rPr>
          <w:sz w:val="20"/>
          <w:szCs w:val="20"/>
          <w:lang w:val="es-ES_tradnl"/>
        </w:rPr>
        <w:t>r</w:t>
      </w:r>
      <w:r w:rsidR="00816D5D" w:rsidRPr="003F1861">
        <w:rPr>
          <w:sz w:val="20"/>
          <w:szCs w:val="20"/>
          <w:lang w:val="es-ES_tradnl"/>
        </w:rPr>
        <w:t>es</w:t>
      </w:r>
      <w:r w:rsidR="00816D5D">
        <w:rPr>
          <w:sz w:val="20"/>
          <w:szCs w:val="20"/>
          <w:lang w:val="es-ES_tradnl"/>
        </w:rPr>
        <w:t>ulta</w:t>
      </w:r>
      <w:r w:rsidR="00816D5D" w:rsidRPr="003F1861">
        <w:rPr>
          <w:sz w:val="20"/>
          <w:szCs w:val="20"/>
          <w:lang w:val="es-ES_tradnl"/>
        </w:rPr>
        <w:t xml:space="preserve"> pertinente recordar que </w:t>
      </w:r>
      <w:r w:rsidR="00816D5D" w:rsidRPr="003F1861">
        <w:rPr>
          <w:sz w:val="20"/>
          <w:szCs w:val="20"/>
          <w:lang w:val="es-CO"/>
        </w:rPr>
        <w:t>el artículo 46.2 de la Convención, por su naturaleza y objeto, es una norma con contenido autónomo frente a las normas sustantivas de la Convención Americana. Por lo tanto, la determinación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determinar la posible violación de los artículos 8 y 25 de la Convención.</w:t>
      </w:r>
      <w:bookmarkEnd w:id="2"/>
      <w:r w:rsidR="00816D5D">
        <w:rPr>
          <w:sz w:val="20"/>
          <w:szCs w:val="20"/>
          <w:lang w:val="es-CO"/>
        </w:rPr>
        <w:t xml:space="preserve"> Por consiguiente, la CIDH no entrará a analizar, en esta fase, los alegatos del Estado relativos a los elementos del plazo razonable en el proceso civil.</w:t>
      </w:r>
    </w:p>
    <w:p w14:paraId="5FD1188E" w14:textId="3ECCCFE6" w:rsidR="001423CC" w:rsidRPr="00936624" w:rsidRDefault="00816D5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lastRenderedPageBreak/>
        <w:t xml:space="preserve">En el presente caso, </w:t>
      </w:r>
      <w:r w:rsidR="001423CC">
        <w:rPr>
          <w:sz w:val="20"/>
          <w:szCs w:val="20"/>
          <w:lang w:val="es-ES"/>
        </w:rPr>
        <w:t xml:space="preserve">la CIDH </w:t>
      </w:r>
      <w:r w:rsidR="005A33DB">
        <w:rPr>
          <w:sz w:val="20"/>
          <w:szCs w:val="20"/>
          <w:lang w:val="es-CO"/>
        </w:rPr>
        <w:t xml:space="preserve">verifica que, en efecto, el proceso </w:t>
      </w:r>
      <w:r w:rsidR="00B102D7">
        <w:rPr>
          <w:sz w:val="20"/>
          <w:szCs w:val="20"/>
          <w:lang w:val="es-CO"/>
        </w:rPr>
        <w:t xml:space="preserve">civil </w:t>
      </w:r>
      <w:r w:rsidR="005A33DB">
        <w:rPr>
          <w:sz w:val="20"/>
          <w:szCs w:val="20"/>
          <w:lang w:val="es-CO"/>
        </w:rPr>
        <w:t>se ha extendido durante 21 años sin que se haya proferido una decisión definitiva.</w:t>
      </w:r>
      <w:r w:rsidR="002B1F4B">
        <w:rPr>
          <w:sz w:val="20"/>
          <w:szCs w:val="20"/>
          <w:lang w:val="es-CO"/>
        </w:rPr>
        <w:t xml:space="preserve"> Si bien el Estado sostiene que ello no ha sucedido de manera injustificada,</w:t>
      </w:r>
      <w:r w:rsidR="002B1F4B" w:rsidRPr="002B1F4B">
        <w:rPr>
          <w:sz w:val="20"/>
          <w:szCs w:val="20"/>
          <w:lang w:val="es-CO"/>
        </w:rPr>
        <w:t xml:space="preserve"> </w:t>
      </w:r>
      <w:r w:rsidR="002B1F4B">
        <w:rPr>
          <w:sz w:val="20"/>
          <w:szCs w:val="20"/>
          <w:lang w:val="es-CO"/>
        </w:rPr>
        <w:t>de acuerdo con sus precedentes, la Comisión entiende el proceso</w:t>
      </w:r>
      <w:r w:rsidR="005A33DB">
        <w:rPr>
          <w:sz w:val="20"/>
          <w:szCs w:val="20"/>
          <w:lang w:val="es-CO"/>
        </w:rPr>
        <w:t xml:space="preserve"> como un todo</w:t>
      </w:r>
      <w:r w:rsidR="00EB0D60">
        <w:rPr>
          <w:rStyle w:val="FootnoteReference"/>
          <w:sz w:val="20"/>
          <w:szCs w:val="20"/>
          <w:lang w:val="es-CO"/>
        </w:rPr>
        <w:footnoteReference w:id="6"/>
      </w:r>
      <w:r w:rsidR="00936624">
        <w:rPr>
          <w:sz w:val="20"/>
          <w:szCs w:val="20"/>
          <w:lang w:val="es-CO"/>
        </w:rPr>
        <w:t>,</w:t>
      </w:r>
      <w:r w:rsidR="005A33DB">
        <w:rPr>
          <w:sz w:val="20"/>
          <w:szCs w:val="20"/>
          <w:lang w:val="es-CO"/>
        </w:rPr>
        <w:t xml:space="preserve"> y, para efectos de </w:t>
      </w:r>
      <w:r w:rsidR="003807DC">
        <w:rPr>
          <w:sz w:val="20"/>
          <w:szCs w:val="20"/>
          <w:lang w:val="es-CO"/>
        </w:rPr>
        <w:t xml:space="preserve">la </w:t>
      </w:r>
      <w:r w:rsidR="005A33DB">
        <w:rPr>
          <w:sz w:val="20"/>
          <w:szCs w:val="20"/>
          <w:lang w:val="es-CO"/>
        </w:rPr>
        <w:t xml:space="preserve">admisibilidad, </w:t>
      </w:r>
      <w:r w:rsidR="00EB0D60" w:rsidRPr="00EB0D60">
        <w:rPr>
          <w:sz w:val="20"/>
          <w:szCs w:val="20"/>
          <w:lang w:val="es-CO"/>
        </w:rPr>
        <w:t>concluye que existe un retardo injustificado en la adopción de una decisión final a nivel interno, por lo que resulta aplicable la excepción prevista en el artículo 46.2.c) de la Convención Americana</w:t>
      </w:r>
      <w:r w:rsidR="00E853D0">
        <w:rPr>
          <w:sz w:val="20"/>
          <w:szCs w:val="20"/>
          <w:lang w:val="es-CO"/>
        </w:rPr>
        <w:t>.</w:t>
      </w:r>
    </w:p>
    <w:p w14:paraId="76729ACD" w14:textId="4DA7DB36" w:rsidR="00D03AD7" w:rsidRPr="00D03AD7" w:rsidRDefault="00D03AD7" w:rsidP="00D03AD7">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i/>
          <w:iCs/>
          <w:sz w:val="20"/>
          <w:szCs w:val="20"/>
          <w:lang w:val="es-ES"/>
        </w:rPr>
      </w:pPr>
      <w:r>
        <w:rPr>
          <w:i/>
          <w:iCs/>
          <w:sz w:val="20"/>
          <w:szCs w:val="20"/>
          <w:lang w:val="es-ES"/>
        </w:rPr>
        <w:t>Acerca de la demora en la emisión de un fallo en el proceso contencioso-administrativo</w:t>
      </w:r>
    </w:p>
    <w:p w14:paraId="4652B35A" w14:textId="77777777" w:rsidR="00465328" w:rsidRPr="00465328" w:rsidRDefault="00904BB7"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ES"/>
        </w:rPr>
        <w:t xml:space="preserve">Por último, el peticionario alega violaciones autónomas dentro del proceso contencioso-administrativo que promovió para el registro de la escritura pública por medio de la cual adquirió el predio </w:t>
      </w:r>
      <w:r w:rsidRPr="00E91DC9">
        <w:rPr>
          <w:sz w:val="20"/>
          <w:szCs w:val="20"/>
          <w:lang w:val="es-CO"/>
        </w:rPr>
        <w:t>‘Nacapava’</w:t>
      </w:r>
      <w:r w:rsidR="00D871D0">
        <w:rPr>
          <w:sz w:val="20"/>
          <w:szCs w:val="20"/>
          <w:lang w:val="es-CO"/>
        </w:rPr>
        <w:t xml:space="preserve">, debido a la demora de 13 años para </w:t>
      </w:r>
      <w:r w:rsidR="00E56089">
        <w:rPr>
          <w:sz w:val="20"/>
          <w:szCs w:val="20"/>
          <w:lang w:val="es-CO"/>
        </w:rPr>
        <w:t>obtener el reconocimiento de su derecho de propiedad</w:t>
      </w:r>
      <w:r>
        <w:rPr>
          <w:sz w:val="20"/>
          <w:szCs w:val="20"/>
          <w:lang w:val="es-CO"/>
        </w:rPr>
        <w:t xml:space="preserve">. La Comisión observa que </w:t>
      </w:r>
      <w:r w:rsidR="002B6CC9">
        <w:rPr>
          <w:sz w:val="20"/>
          <w:szCs w:val="20"/>
          <w:lang w:val="es-CO"/>
        </w:rPr>
        <w:t>el proceso inició en 2002 y culminó con una sentencia de segunda instancia del Consejo de Estado el 4 de agosto de 2011. En lo sucesivo, el peticionario informa que el registro fue efectuado a finales de 2014.</w:t>
      </w:r>
    </w:p>
    <w:p w14:paraId="6E8613ED" w14:textId="0C7919FA" w:rsidR="00645806" w:rsidRPr="00ED5E10" w:rsidRDefault="002B6CC9"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Pr>
          <w:sz w:val="20"/>
          <w:szCs w:val="20"/>
          <w:lang w:val="es-CO"/>
        </w:rPr>
        <w:t>Ahora</w:t>
      </w:r>
      <w:r w:rsidR="00465328">
        <w:rPr>
          <w:sz w:val="20"/>
          <w:szCs w:val="20"/>
          <w:lang w:val="es-CO"/>
        </w:rPr>
        <w:t xml:space="preserve"> bien</w:t>
      </w:r>
      <w:r>
        <w:rPr>
          <w:sz w:val="20"/>
          <w:szCs w:val="20"/>
          <w:lang w:val="es-CO"/>
        </w:rPr>
        <w:t xml:space="preserve">, </w:t>
      </w:r>
      <w:r w:rsidR="00465328">
        <w:rPr>
          <w:sz w:val="20"/>
          <w:szCs w:val="20"/>
          <w:lang w:val="es-CO"/>
        </w:rPr>
        <w:t xml:space="preserve">la CIDH nota que el proceso culminó el 4 de agosto de 2011, y, aún si se tuviera como </w:t>
      </w:r>
      <w:r w:rsidR="00AF4A45">
        <w:rPr>
          <w:sz w:val="20"/>
          <w:szCs w:val="20"/>
          <w:lang w:val="es-CO"/>
        </w:rPr>
        <w:t xml:space="preserve">fecha de agotamiento diciembre de 2014, la petición no cumple con el plazo de presentación de seis meses establecido en el artículo 46.1.b) de la Convención, </w:t>
      </w:r>
      <w:r w:rsidR="00C036FF">
        <w:rPr>
          <w:sz w:val="20"/>
          <w:szCs w:val="20"/>
          <w:lang w:val="es-CO"/>
        </w:rPr>
        <w:t>en relación con este proceso.</w:t>
      </w:r>
      <w:r w:rsidR="00CA2274">
        <w:rPr>
          <w:sz w:val="20"/>
          <w:szCs w:val="20"/>
          <w:lang w:val="es-CO"/>
        </w:rPr>
        <w:t xml:space="preserve"> En consecuencia, la Comisión estima que este reclamo resulta inadmisible por extemporaneidad, por lo cual, lo excluirá del </w:t>
      </w:r>
      <w:r w:rsidR="00E33089">
        <w:rPr>
          <w:sz w:val="20"/>
          <w:szCs w:val="20"/>
          <w:lang w:val="es-CO"/>
        </w:rPr>
        <w:t xml:space="preserve">subsiguiente </w:t>
      </w:r>
      <w:r w:rsidR="00CA2274">
        <w:rPr>
          <w:sz w:val="20"/>
          <w:szCs w:val="20"/>
          <w:lang w:val="es-CO"/>
        </w:rPr>
        <w:t>análisis de caracterización.</w:t>
      </w:r>
    </w:p>
    <w:p w14:paraId="673598AF" w14:textId="77777777" w:rsidR="003239B8" w:rsidRDefault="003239B8" w:rsidP="002E5A4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2DDF1999" w14:textId="28805A9D" w:rsidR="006E621A" w:rsidRDefault="008C5E2D" w:rsidP="006E621A">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sz w:val="20"/>
          <w:szCs w:val="20"/>
          <w:lang w:val="es-ES"/>
        </w:rPr>
      </w:pPr>
      <w:r w:rsidRPr="006E621A">
        <w:rPr>
          <w:sz w:val="20"/>
          <w:szCs w:val="20"/>
          <w:lang w:val="es-ES"/>
        </w:rPr>
        <w:t>La Comisión a</w:t>
      </w:r>
      <w:r w:rsidR="004F4DB9">
        <w:rPr>
          <w:sz w:val="20"/>
          <w:szCs w:val="20"/>
          <w:lang w:val="es-ES"/>
        </w:rPr>
        <w:t>dvierte</w:t>
      </w:r>
      <w:r w:rsidRPr="006E621A">
        <w:rPr>
          <w:sz w:val="20"/>
          <w:szCs w:val="20"/>
          <w:lang w:val="es-ES"/>
        </w:rPr>
        <w:t xml:space="preserve"> que la presente petición inclu</w:t>
      </w:r>
      <w:r w:rsidR="004B421C" w:rsidRPr="006E621A">
        <w:rPr>
          <w:sz w:val="20"/>
          <w:szCs w:val="20"/>
          <w:lang w:val="es-ES"/>
        </w:rPr>
        <w:t>ye alega</w:t>
      </w:r>
      <w:r w:rsidR="004F4DB9">
        <w:rPr>
          <w:sz w:val="20"/>
          <w:szCs w:val="20"/>
          <w:lang w:val="es-ES"/>
        </w:rPr>
        <w:t>tos</w:t>
      </w:r>
      <w:r w:rsidR="004B421C" w:rsidRPr="006E621A">
        <w:rPr>
          <w:sz w:val="20"/>
          <w:szCs w:val="20"/>
          <w:lang w:val="es-ES"/>
        </w:rPr>
        <w:t xml:space="preserve"> con respecto a</w:t>
      </w:r>
      <w:r w:rsidR="004F4DB9">
        <w:rPr>
          <w:sz w:val="20"/>
          <w:szCs w:val="20"/>
          <w:lang w:val="es-ES"/>
        </w:rPr>
        <w:t xml:space="preserve">l incumplimiento de la Sentencia T-774/2004 y </w:t>
      </w:r>
      <w:r w:rsidR="002E4E09">
        <w:rPr>
          <w:sz w:val="20"/>
          <w:szCs w:val="20"/>
          <w:lang w:val="es-ES"/>
        </w:rPr>
        <w:t>a la prolongación del proceso civil de expropiación.</w:t>
      </w:r>
      <w:r w:rsidR="000B4558">
        <w:rPr>
          <w:sz w:val="20"/>
          <w:szCs w:val="20"/>
          <w:lang w:val="es-ES"/>
        </w:rPr>
        <w:t xml:space="preserve"> Con respecto a este último, el Estado plantea que </w:t>
      </w:r>
      <w:r w:rsidR="00C211B2">
        <w:rPr>
          <w:sz w:val="20"/>
          <w:szCs w:val="20"/>
          <w:lang w:val="es-ES"/>
        </w:rPr>
        <w:t xml:space="preserve">no es posible concluir </w:t>
      </w:r>
      <w:r w:rsidR="00C211B2" w:rsidRPr="00C211B2">
        <w:rPr>
          <w:i/>
          <w:iCs/>
          <w:sz w:val="20"/>
          <w:szCs w:val="20"/>
          <w:lang w:val="es-ES"/>
        </w:rPr>
        <w:t>prima facie</w:t>
      </w:r>
      <w:r w:rsidR="00C211B2">
        <w:rPr>
          <w:sz w:val="20"/>
          <w:szCs w:val="20"/>
          <w:lang w:val="es-ES"/>
        </w:rPr>
        <w:t xml:space="preserve"> la violación del derecho de propiedad</w:t>
      </w:r>
      <w:r w:rsidR="00C53A57">
        <w:rPr>
          <w:sz w:val="20"/>
          <w:szCs w:val="20"/>
          <w:lang w:val="es-ES"/>
        </w:rPr>
        <w:t xml:space="preserve"> porque el peticionario ha mantenido la titularidad sobre el bien inmueble, ni de la garantía del plazo razonable por cuanto el proceso ha revestido de bastante complejidad y </w:t>
      </w:r>
      <w:r w:rsidR="0059217F">
        <w:rPr>
          <w:sz w:val="20"/>
          <w:szCs w:val="20"/>
          <w:lang w:val="es-ES"/>
        </w:rPr>
        <w:t>el peticionario y las otras partes han promovido sendos recursos en este marco.</w:t>
      </w:r>
    </w:p>
    <w:p w14:paraId="6EB7ACE2" w14:textId="3C56FD06" w:rsidR="00697949" w:rsidRPr="000E1D13" w:rsidRDefault="00D469B9" w:rsidP="00697949">
      <w:pPr>
        <w:pStyle w:val="ListParagraph"/>
        <w:numPr>
          <w:ilvl w:val="0"/>
          <w:numId w:val="61"/>
        </w:numPr>
        <w:suppressAutoHyphens/>
        <w:ind w:left="0" w:firstLine="720"/>
        <w:jc w:val="both"/>
        <w:rPr>
          <w:sz w:val="20"/>
          <w:szCs w:val="20"/>
          <w:lang w:val="es-ES"/>
        </w:rPr>
      </w:pPr>
      <w:r w:rsidRPr="00B80A2C">
        <w:rPr>
          <w:sz w:val="20"/>
          <w:szCs w:val="20"/>
          <w:lang w:val="es-CO"/>
        </w:rPr>
        <w:t xml:space="preserve">La Comisión reitera que el criterio de evaluación de la fase de admisibilidad difiere del que se utiliza para pronunciarse sobre el fondo de una petición; la CIDH debe realizar en esta etapa una evaluación </w:t>
      </w:r>
      <w:r w:rsidRPr="00B80A2C">
        <w:rPr>
          <w:i/>
          <w:iCs/>
          <w:sz w:val="20"/>
          <w:szCs w:val="20"/>
          <w:lang w:val="es-CO"/>
        </w:rPr>
        <w:t>prima facie</w:t>
      </w:r>
      <w:r w:rsidRPr="00B80A2C">
        <w:rPr>
          <w:sz w:val="20"/>
          <w:szCs w:val="20"/>
          <w:lang w:val="es-CO"/>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43DA83CD" w14:textId="08954561" w:rsidR="0099124D" w:rsidRDefault="0099124D" w:rsidP="00697949">
      <w:pPr>
        <w:pStyle w:val="ListParagraph"/>
        <w:numPr>
          <w:ilvl w:val="0"/>
          <w:numId w:val="61"/>
        </w:numPr>
        <w:suppressAutoHyphens/>
        <w:ind w:left="0" w:firstLine="720"/>
        <w:jc w:val="both"/>
        <w:rPr>
          <w:sz w:val="20"/>
          <w:szCs w:val="20"/>
          <w:lang w:val="es-ES"/>
        </w:rPr>
      </w:pPr>
      <w:r>
        <w:rPr>
          <w:sz w:val="20"/>
          <w:szCs w:val="20"/>
          <w:lang w:val="es-ES"/>
        </w:rPr>
        <w:t xml:space="preserve">En primer lugar, en cuanto al reclamo relativo al incumplimiento de la Sentencia T-774/2004, la Comisión encuentra que </w:t>
      </w:r>
      <w:r w:rsidR="00E721FB">
        <w:rPr>
          <w:sz w:val="20"/>
          <w:szCs w:val="20"/>
          <w:lang w:val="es-ES"/>
        </w:rPr>
        <w:t xml:space="preserve">el peticionario no detalla de qué forma el Estado ha incumplido las órdenes impartidas, y </w:t>
      </w:r>
      <w:r w:rsidR="00A125DC">
        <w:rPr>
          <w:sz w:val="20"/>
          <w:szCs w:val="20"/>
          <w:lang w:val="es-ES"/>
        </w:rPr>
        <w:t>la propia Corte Constitucional desestimó su solicitud porque planteaba nuevos hechos, que, además, correspondía</w:t>
      </w:r>
      <w:r w:rsidR="008F43A0">
        <w:rPr>
          <w:sz w:val="20"/>
          <w:szCs w:val="20"/>
          <w:lang w:val="es-ES"/>
        </w:rPr>
        <w:t>n</w:t>
      </w:r>
      <w:r w:rsidR="00A125DC">
        <w:rPr>
          <w:sz w:val="20"/>
          <w:szCs w:val="20"/>
          <w:lang w:val="es-ES"/>
        </w:rPr>
        <w:t xml:space="preserve"> </w:t>
      </w:r>
      <w:r w:rsidR="002651DD">
        <w:rPr>
          <w:sz w:val="20"/>
          <w:szCs w:val="20"/>
          <w:lang w:val="es-ES"/>
        </w:rPr>
        <w:t xml:space="preserve">por competencia a la jurisdicción penal y no a la constitucional. Así las cosas, la CIDH </w:t>
      </w:r>
      <w:r w:rsidR="00105570">
        <w:rPr>
          <w:sz w:val="20"/>
          <w:szCs w:val="20"/>
          <w:lang w:val="es-ES"/>
        </w:rPr>
        <w:t>advierte</w:t>
      </w:r>
      <w:r w:rsidR="002651DD">
        <w:rPr>
          <w:sz w:val="20"/>
          <w:szCs w:val="20"/>
          <w:lang w:val="es-ES"/>
        </w:rPr>
        <w:t xml:space="preserve"> que no existen elementos suficientes en el presente caso que </w:t>
      </w:r>
      <w:r w:rsidR="003261AC">
        <w:rPr>
          <w:sz w:val="20"/>
          <w:szCs w:val="20"/>
          <w:lang w:val="es-ES"/>
        </w:rPr>
        <w:t>acrediten una posible violación de los derechos a las garantías judiciales, a la protección judicial y al ambiente sano, en este extremo</w:t>
      </w:r>
      <w:r w:rsidR="0078533E">
        <w:rPr>
          <w:sz w:val="20"/>
          <w:szCs w:val="20"/>
          <w:lang w:val="es-ES"/>
        </w:rPr>
        <w:t xml:space="preserve"> de la petición</w:t>
      </w:r>
      <w:r w:rsidR="003261AC">
        <w:rPr>
          <w:sz w:val="20"/>
          <w:szCs w:val="20"/>
          <w:lang w:val="es-ES"/>
        </w:rPr>
        <w:t xml:space="preserve">. Por consiguiente, </w:t>
      </w:r>
      <w:r w:rsidR="000923E3">
        <w:rPr>
          <w:sz w:val="20"/>
          <w:szCs w:val="20"/>
          <w:lang w:val="es-ES"/>
        </w:rPr>
        <w:t xml:space="preserve">este reclamo deviene inadmisible </w:t>
      </w:r>
      <w:r w:rsidR="001C2C37">
        <w:rPr>
          <w:sz w:val="20"/>
          <w:szCs w:val="20"/>
          <w:lang w:val="es-ES"/>
        </w:rPr>
        <w:t>en los términos del artículo 47.c de la Convención.</w:t>
      </w:r>
    </w:p>
    <w:p w14:paraId="170B99A9" w14:textId="77777777" w:rsidR="004057E9" w:rsidRPr="0099124D" w:rsidRDefault="004057E9" w:rsidP="004057E9">
      <w:pPr>
        <w:pStyle w:val="ListParagraph"/>
        <w:numPr>
          <w:ilvl w:val="0"/>
          <w:numId w:val="0"/>
        </w:numPr>
        <w:suppressAutoHyphens/>
        <w:ind w:left="720"/>
        <w:jc w:val="both"/>
        <w:rPr>
          <w:sz w:val="20"/>
          <w:szCs w:val="20"/>
          <w:lang w:val="es-ES"/>
        </w:rPr>
      </w:pPr>
    </w:p>
    <w:p w14:paraId="5A1707BC" w14:textId="0FEE6EEA" w:rsidR="000E1D13" w:rsidRPr="00652568" w:rsidRDefault="00654AA0" w:rsidP="009A1A7A">
      <w:pPr>
        <w:pStyle w:val="ListParagraph"/>
        <w:numPr>
          <w:ilvl w:val="0"/>
          <w:numId w:val="61"/>
        </w:numPr>
        <w:suppressAutoHyphens/>
        <w:ind w:left="0" w:firstLine="720"/>
        <w:jc w:val="both"/>
        <w:rPr>
          <w:sz w:val="20"/>
          <w:szCs w:val="20"/>
          <w:lang w:val="es-ES"/>
        </w:rPr>
      </w:pPr>
      <w:r>
        <w:rPr>
          <w:sz w:val="20"/>
          <w:szCs w:val="20"/>
          <w:lang w:val="es-CO"/>
        </w:rPr>
        <w:lastRenderedPageBreak/>
        <w:t xml:space="preserve">En relación con el reclamo por la prolongación </w:t>
      </w:r>
      <w:r w:rsidR="000E1D13">
        <w:rPr>
          <w:sz w:val="20"/>
          <w:szCs w:val="20"/>
          <w:lang w:val="es-CO"/>
        </w:rPr>
        <w:t>del proceso</w:t>
      </w:r>
      <w:r>
        <w:rPr>
          <w:sz w:val="20"/>
          <w:szCs w:val="20"/>
          <w:lang w:val="es-CO"/>
        </w:rPr>
        <w:t xml:space="preserve"> civil de expropiación, </w:t>
      </w:r>
      <w:r w:rsidR="00A91E43">
        <w:rPr>
          <w:sz w:val="20"/>
          <w:szCs w:val="20"/>
          <w:lang w:val="es-CO"/>
        </w:rPr>
        <w:t>la CIDH toma nota de que</w:t>
      </w:r>
      <w:r w:rsidR="005D41C5">
        <w:rPr>
          <w:sz w:val="20"/>
          <w:szCs w:val="20"/>
          <w:lang w:val="es-CO"/>
        </w:rPr>
        <w:t xml:space="preserve">, </w:t>
      </w:r>
      <w:r w:rsidR="005D41C5" w:rsidRPr="005D41C5">
        <w:rPr>
          <w:i/>
          <w:iCs/>
          <w:sz w:val="20"/>
          <w:szCs w:val="20"/>
          <w:lang w:val="es-CO"/>
        </w:rPr>
        <w:t>prima facie</w:t>
      </w:r>
      <w:r w:rsidR="005D41C5">
        <w:rPr>
          <w:sz w:val="20"/>
          <w:szCs w:val="20"/>
          <w:lang w:val="es-CO"/>
        </w:rPr>
        <w:t>, sólo</w:t>
      </w:r>
      <w:r w:rsidR="00172C67">
        <w:rPr>
          <w:sz w:val="20"/>
          <w:szCs w:val="20"/>
          <w:lang w:val="es-CO"/>
        </w:rPr>
        <w:t xml:space="preserve"> subsiste</w:t>
      </w:r>
      <w:r w:rsidR="005D41C5">
        <w:rPr>
          <w:sz w:val="20"/>
          <w:szCs w:val="20"/>
          <w:lang w:val="es-CO"/>
        </w:rPr>
        <w:t xml:space="preserve"> </w:t>
      </w:r>
      <w:r w:rsidR="0082238D">
        <w:rPr>
          <w:sz w:val="20"/>
          <w:szCs w:val="20"/>
          <w:lang w:val="es-CO"/>
        </w:rPr>
        <w:t xml:space="preserve">una posible violación a la garantía del plazo razonable, pues, como lo señala el Estado, el peticionario ha </w:t>
      </w:r>
      <w:r w:rsidR="00F87C88">
        <w:rPr>
          <w:sz w:val="20"/>
          <w:szCs w:val="20"/>
          <w:lang w:val="es-CO"/>
        </w:rPr>
        <w:t>permanecido con la titularidad y el</w:t>
      </w:r>
      <w:r w:rsidR="0082238D">
        <w:rPr>
          <w:sz w:val="20"/>
          <w:szCs w:val="20"/>
          <w:lang w:val="es-CO"/>
        </w:rPr>
        <w:t xml:space="preserve"> ejercicio de su derecho de propiedad sobre el inmueble y ha intervenido en el proceso activamente. </w:t>
      </w:r>
      <w:r w:rsidR="00DC1AD9">
        <w:rPr>
          <w:sz w:val="20"/>
          <w:szCs w:val="20"/>
          <w:lang w:val="es-CO"/>
        </w:rPr>
        <w:t>Ahora bien</w:t>
      </w:r>
      <w:r w:rsidR="009A1A7A">
        <w:rPr>
          <w:sz w:val="20"/>
          <w:szCs w:val="20"/>
          <w:lang w:val="es-CO"/>
        </w:rPr>
        <w:t>, la Comisión considera que, dadas las circunstancias particulares del caso, y la amplia</w:t>
      </w:r>
      <w:r w:rsidR="00261F93">
        <w:rPr>
          <w:sz w:val="20"/>
          <w:szCs w:val="20"/>
          <w:lang w:val="es-CO"/>
        </w:rPr>
        <w:t xml:space="preserve"> intervención del peticionario tanto a nivel interno como ante la Comisión, </w:t>
      </w:r>
      <w:r w:rsidR="005E0882">
        <w:rPr>
          <w:sz w:val="20"/>
          <w:szCs w:val="20"/>
          <w:lang w:val="es-CO"/>
        </w:rPr>
        <w:t>existe un</w:t>
      </w:r>
      <w:r w:rsidR="009E6112">
        <w:rPr>
          <w:sz w:val="20"/>
          <w:szCs w:val="20"/>
          <w:lang w:val="es-CO"/>
        </w:rPr>
        <w:t>a</w:t>
      </w:r>
      <w:r w:rsidR="005E0882">
        <w:rPr>
          <w:sz w:val="20"/>
          <w:szCs w:val="20"/>
          <w:lang w:val="es-CO"/>
        </w:rPr>
        <w:t xml:space="preserve"> gran probabilidad de</w:t>
      </w:r>
      <w:r w:rsidR="00D40E6D">
        <w:rPr>
          <w:sz w:val="20"/>
          <w:szCs w:val="20"/>
          <w:lang w:val="es-CO"/>
        </w:rPr>
        <w:t xml:space="preserve"> que parte de la dilación del proceso pueda ser imputable a la interposición constante de recursos</w:t>
      </w:r>
      <w:r w:rsidR="00373AB5">
        <w:rPr>
          <w:sz w:val="20"/>
          <w:szCs w:val="20"/>
          <w:lang w:val="es-CO"/>
        </w:rPr>
        <w:t xml:space="preserve"> por el Sr. Mantilla Gutiérrez</w:t>
      </w:r>
      <w:r w:rsidR="00A434F4">
        <w:rPr>
          <w:sz w:val="20"/>
          <w:szCs w:val="20"/>
          <w:lang w:val="es-CO"/>
        </w:rPr>
        <w:t xml:space="preserve">, de lo cuales, la CIDH </w:t>
      </w:r>
      <w:r w:rsidR="00FD56A6">
        <w:rPr>
          <w:sz w:val="20"/>
          <w:szCs w:val="20"/>
          <w:lang w:val="es-CO"/>
        </w:rPr>
        <w:t>constata que existen por lo menos dos acciones de tutela contra el procedimiento. En esa medida, la Comisión no puede concluir que la alegada</w:t>
      </w:r>
      <w:r w:rsidR="009A1A7A">
        <w:rPr>
          <w:sz w:val="20"/>
          <w:szCs w:val="20"/>
          <w:lang w:val="es-CO"/>
        </w:rPr>
        <w:t xml:space="preserve"> </w:t>
      </w:r>
      <w:r w:rsidR="00FE5624">
        <w:rPr>
          <w:sz w:val="20"/>
          <w:szCs w:val="20"/>
          <w:lang w:val="es-CO"/>
        </w:rPr>
        <w:t xml:space="preserve">violación </w:t>
      </w:r>
      <w:r w:rsidR="00FD56A6">
        <w:rPr>
          <w:sz w:val="20"/>
          <w:szCs w:val="20"/>
          <w:lang w:val="es-CO"/>
        </w:rPr>
        <w:t xml:space="preserve">revista de una </w:t>
      </w:r>
      <w:r w:rsidR="003C4335">
        <w:rPr>
          <w:sz w:val="20"/>
          <w:szCs w:val="20"/>
          <w:lang w:val="es-CO"/>
        </w:rPr>
        <w:t xml:space="preserve">entidad </w:t>
      </w:r>
      <w:r w:rsidR="00FE5624">
        <w:rPr>
          <w:sz w:val="20"/>
          <w:szCs w:val="20"/>
          <w:lang w:val="es-CO"/>
        </w:rPr>
        <w:t xml:space="preserve">tal que </w:t>
      </w:r>
      <w:r w:rsidR="00FE5624" w:rsidRPr="00687E0E">
        <w:rPr>
          <w:i/>
          <w:iCs/>
          <w:sz w:val="20"/>
          <w:szCs w:val="20"/>
          <w:lang w:val="es-CO"/>
        </w:rPr>
        <w:t xml:space="preserve">prima facie </w:t>
      </w:r>
      <w:r w:rsidR="00FE5624">
        <w:rPr>
          <w:sz w:val="20"/>
          <w:szCs w:val="20"/>
          <w:lang w:val="es-CO"/>
        </w:rPr>
        <w:t>amerite una revisión de fondo.</w:t>
      </w:r>
      <w:r w:rsidR="003C4335">
        <w:rPr>
          <w:sz w:val="20"/>
          <w:szCs w:val="20"/>
          <w:lang w:val="es-CO"/>
        </w:rPr>
        <w:t xml:space="preserve"> En consecuencia, </w:t>
      </w:r>
      <w:r w:rsidR="002E6F78">
        <w:rPr>
          <w:sz w:val="20"/>
          <w:szCs w:val="20"/>
          <w:lang w:val="es-CO"/>
        </w:rPr>
        <w:t>estima que este alegato también resulta inadmisible a la luz de lo dispuesto en el artículo 47.b de la Convención Americana.</w:t>
      </w:r>
    </w:p>
    <w:p w14:paraId="4E8F715F" w14:textId="665ABE3D" w:rsidR="00652568" w:rsidRPr="000D617E" w:rsidRDefault="00022C7C" w:rsidP="00652568">
      <w:pPr>
        <w:pStyle w:val="ListParagraph"/>
        <w:numPr>
          <w:ilvl w:val="0"/>
          <w:numId w:val="61"/>
        </w:numPr>
        <w:ind w:left="0" w:firstLine="720"/>
        <w:jc w:val="both"/>
        <w:rPr>
          <w:b/>
          <w:sz w:val="20"/>
          <w:szCs w:val="20"/>
          <w:lang w:val="es-ES"/>
        </w:rPr>
      </w:pPr>
      <w:r>
        <w:rPr>
          <w:sz w:val="20"/>
          <w:szCs w:val="20"/>
          <w:lang w:val="es-ES_tradnl"/>
        </w:rPr>
        <w:t>Respecto de</w:t>
      </w:r>
      <w:r w:rsidR="00652568" w:rsidRPr="00652568">
        <w:rPr>
          <w:sz w:val="20"/>
          <w:szCs w:val="20"/>
          <w:lang w:val="es-ES_tradnl"/>
        </w:rPr>
        <w:t xml:space="preserve"> la presunta violación de los artículos</w:t>
      </w:r>
      <w:r w:rsidR="009132B9">
        <w:rPr>
          <w:sz w:val="20"/>
          <w:szCs w:val="20"/>
          <w:lang w:val="es-ES_tradnl"/>
        </w:rPr>
        <w:t xml:space="preserve"> </w:t>
      </w:r>
      <w:r w:rsidRPr="00DB3919">
        <w:rPr>
          <w:bCs/>
          <w:sz w:val="20"/>
          <w:szCs w:val="20"/>
          <w:lang w:val="es-CO"/>
        </w:rPr>
        <w:t>3 (reconocimiento de la p</w:t>
      </w:r>
      <w:r>
        <w:rPr>
          <w:bCs/>
          <w:sz w:val="20"/>
          <w:szCs w:val="20"/>
          <w:lang w:val="es-CO"/>
        </w:rPr>
        <w:t>ersonalidad jurídica)</w:t>
      </w:r>
      <w:r w:rsidR="003261AC">
        <w:rPr>
          <w:bCs/>
          <w:sz w:val="20"/>
          <w:szCs w:val="20"/>
          <w:lang w:val="es-CO"/>
        </w:rPr>
        <w:t xml:space="preserve"> y</w:t>
      </w:r>
      <w:r>
        <w:rPr>
          <w:bCs/>
          <w:sz w:val="20"/>
          <w:szCs w:val="20"/>
          <w:lang w:val="es-CO"/>
        </w:rPr>
        <w:t xml:space="preserve"> 24 (igualdad ante la ley) de la Convención Americana</w:t>
      </w:r>
      <w:r w:rsidR="00652568" w:rsidRPr="00652568">
        <w:rPr>
          <w:sz w:val="20"/>
          <w:szCs w:val="20"/>
          <w:lang w:val="es-ES_tradnl"/>
        </w:rPr>
        <w:t xml:space="preserve">; la Comisión observa que </w:t>
      </w:r>
      <w:r w:rsidR="009132B9">
        <w:rPr>
          <w:sz w:val="20"/>
          <w:szCs w:val="20"/>
          <w:lang w:val="es-ES_tradnl"/>
        </w:rPr>
        <w:t>e</w:t>
      </w:r>
      <w:r w:rsidR="00652568" w:rsidRPr="00652568">
        <w:rPr>
          <w:sz w:val="20"/>
          <w:szCs w:val="20"/>
          <w:lang w:val="es-ES_tradnl"/>
        </w:rPr>
        <w:t xml:space="preserve">l peticionario no ha ofrecido alegatos o sustento suficiente que permita considerar </w:t>
      </w:r>
      <w:r w:rsidR="00652568" w:rsidRPr="00652568">
        <w:rPr>
          <w:i/>
          <w:sz w:val="20"/>
          <w:szCs w:val="20"/>
          <w:lang w:val="es-ES_tradnl"/>
        </w:rPr>
        <w:t>prima facie</w:t>
      </w:r>
      <w:r w:rsidR="00652568" w:rsidRPr="00652568">
        <w:rPr>
          <w:sz w:val="20"/>
          <w:szCs w:val="20"/>
          <w:lang w:val="es-ES_tradnl"/>
        </w:rPr>
        <w:t xml:space="preserve"> su posible violación.</w:t>
      </w:r>
      <w:r w:rsidR="006A541C">
        <w:rPr>
          <w:sz w:val="20"/>
          <w:szCs w:val="20"/>
          <w:lang w:val="es-ES_tradnl"/>
        </w:rPr>
        <w:t xml:space="preserve"> Por lo tanto, declarará la </w:t>
      </w:r>
      <w:r w:rsidR="00EB5621">
        <w:rPr>
          <w:sz w:val="20"/>
          <w:szCs w:val="20"/>
          <w:lang w:val="es-ES_tradnl"/>
        </w:rPr>
        <w:t>inadmisibilidad</w:t>
      </w:r>
      <w:r w:rsidR="006A541C">
        <w:rPr>
          <w:sz w:val="20"/>
          <w:szCs w:val="20"/>
          <w:lang w:val="es-ES_tradnl"/>
        </w:rPr>
        <w:t xml:space="preserve"> de la petición.</w:t>
      </w:r>
    </w:p>
    <w:p w14:paraId="36C229A2" w14:textId="05CDC612" w:rsidR="000D617E" w:rsidRPr="000D617E" w:rsidRDefault="000D617E" w:rsidP="000D617E">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_tradnl"/>
        </w:rPr>
      </w:pPr>
      <w:r w:rsidRPr="00551508">
        <w:rPr>
          <w:sz w:val="20"/>
          <w:szCs w:val="20"/>
          <w:lang w:val="es-ES_tradnl"/>
        </w:rPr>
        <w:t xml:space="preserve">Finalmente, Comisión Interamericana recuerda que la presentación de casos contenciosos ante los órganos del Sistema Interamericano de Derechos Humanos, si bien es un ejercicio poco formalista por su naturaleza, en comparación con lo que podrían ser otros trámites jurídicos a nivel doméstico, sí exige el cumplimiento de una serie de requisitos y condiciones mínimas; </w:t>
      </w:r>
      <w:r>
        <w:rPr>
          <w:sz w:val="20"/>
          <w:szCs w:val="20"/>
          <w:lang w:val="es-ES_tradnl"/>
        </w:rPr>
        <w:t>así como</w:t>
      </w:r>
      <w:r w:rsidRPr="00551508">
        <w:rPr>
          <w:sz w:val="20"/>
          <w:szCs w:val="20"/>
          <w:lang w:val="es-ES_tradnl"/>
        </w:rPr>
        <w:t xml:space="preserve"> un nivel de compromiso y ética de los peticionarios frente a los órganos del Sistema Interamericano</w:t>
      </w:r>
      <w:r w:rsidRPr="00A11B3B">
        <w:rPr>
          <w:rStyle w:val="FootnoteReference"/>
          <w:sz w:val="20"/>
          <w:szCs w:val="20"/>
          <w:lang w:val="es-ES_tradnl"/>
        </w:rPr>
        <w:footnoteReference w:id="7"/>
      </w:r>
      <w:r w:rsidRPr="00551508">
        <w:rPr>
          <w:sz w:val="20"/>
          <w:szCs w:val="20"/>
          <w:lang w:val="es-ES_tradnl"/>
        </w:rPr>
        <w:t>.</w:t>
      </w:r>
      <w:r>
        <w:rPr>
          <w:sz w:val="20"/>
          <w:szCs w:val="20"/>
          <w:lang w:val="es-ES_tradnl"/>
        </w:rPr>
        <w:t xml:space="preserve"> De tal manera, </w:t>
      </w:r>
      <w:r w:rsidR="00195CBD">
        <w:rPr>
          <w:sz w:val="20"/>
          <w:szCs w:val="20"/>
          <w:lang w:val="es-ES_tradnl"/>
        </w:rPr>
        <w:t>el envío constante de documentación no relacionada con el caso y sin explicación adecuada constituye un ejercicio po</w:t>
      </w:r>
      <w:r w:rsidR="007B6F3E">
        <w:rPr>
          <w:sz w:val="20"/>
          <w:szCs w:val="20"/>
          <w:lang w:val="es-ES_tradnl"/>
        </w:rPr>
        <w:t>co</w:t>
      </w:r>
      <w:r w:rsidR="00195CBD">
        <w:rPr>
          <w:sz w:val="20"/>
          <w:szCs w:val="20"/>
          <w:lang w:val="es-ES_tradnl"/>
        </w:rPr>
        <w:t xml:space="preserve"> responsable y abusivo </w:t>
      </w:r>
      <w:r w:rsidR="001A340D">
        <w:rPr>
          <w:sz w:val="20"/>
          <w:szCs w:val="20"/>
          <w:lang w:val="es-ES_tradnl"/>
        </w:rPr>
        <w:t>de los canales de acceso a la justicia interamericana frente al cual la Comisión llama la atención de la parte peticionaria</w:t>
      </w:r>
      <w:r>
        <w:rPr>
          <w:sz w:val="20"/>
          <w:szCs w:val="20"/>
          <w:lang w:val="es-ES_tradnl"/>
        </w:rPr>
        <w:t>.</w:t>
      </w:r>
    </w:p>
    <w:p w14:paraId="445BF42E" w14:textId="77777777" w:rsidR="003239B8" w:rsidRPr="0078770A" w:rsidRDefault="003239B8" w:rsidP="002E5A4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1BB1A8B6"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 xml:space="preserve">Declarar </w:t>
      </w:r>
      <w:r w:rsidR="00523B4F">
        <w:rPr>
          <w:rFonts w:asciiTheme="majorHAnsi" w:hAnsiTheme="majorHAnsi"/>
          <w:sz w:val="20"/>
          <w:szCs w:val="20"/>
          <w:lang w:val="es-ES"/>
        </w:rPr>
        <w:t>in</w:t>
      </w:r>
      <w:r w:rsidRPr="003239B8">
        <w:rPr>
          <w:rFonts w:asciiTheme="majorHAnsi" w:hAnsiTheme="majorHAnsi"/>
          <w:sz w:val="20"/>
          <w:szCs w:val="20"/>
          <w:lang w:val="es-ES"/>
        </w:rPr>
        <w:t>admisible la presente petición</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76F7D4C8" w:rsidR="009A56CE" w:rsidRDefault="004A6A5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523B4F">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69C3E39D" w14:textId="2207D418" w:rsidR="00061675" w:rsidRPr="00061675" w:rsidRDefault="004057E9" w:rsidP="00061675">
      <w:pPr>
        <w:suppressAutoHyphens/>
        <w:ind w:firstLine="720"/>
        <w:jc w:val="both"/>
        <w:rPr>
          <w:rFonts w:ascii="Segoe UI" w:hAnsi="Segoe UI" w:cs="Segoe UI"/>
          <w:sz w:val="18"/>
          <w:szCs w:val="18"/>
          <w:lang w:val="es-ES"/>
        </w:rPr>
      </w:pPr>
      <w:r w:rsidRPr="004057E9">
        <w:rPr>
          <w:rStyle w:val="normaltextrun"/>
          <w:rFonts w:ascii="Cambria" w:hAnsi="Cambria" w:cs="Segoe UI"/>
          <w:sz w:val="20"/>
          <w:szCs w:val="20"/>
          <w:lang w:val="es-CL"/>
        </w:rPr>
        <w:t xml:space="preserve">Aprobado por la Comisión Interamericana de Derechos Humanos a los 6 días del mes de octubre de 2025.  (Firmado): José Luis Caballero Ochoa, Presidente; Arif Bulkan, Segundo Vicepresidente; Roberta Clarke y Gloria Monique de Mees, </w:t>
      </w:r>
      <w:r w:rsidR="007B51A9">
        <w:rPr>
          <w:rStyle w:val="normaltextrun"/>
          <w:rFonts w:ascii="Cambria" w:hAnsi="Cambria" w:cs="Segoe UI"/>
          <w:sz w:val="20"/>
          <w:szCs w:val="20"/>
          <w:lang w:val="es-CL"/>
        </w:rPr>
        <w:t>m</w:t>
      </w:r>
      <w:r w:rsidRPr="004057E9">
        <w:rPr>
          <w:rStyle w:val="normaltextrun"/>
          <w:rFonts w:ascii="Cambria" w:hAnsi="Cambria" w:cs="Segoe UI"/>
          <w:sz w:val="20"/>
          <w:szCs w:val="20"/>
          <w:lang w:val="es-CL"/>
        </w:rPr>
        <w:t>iembros de la Comisión.</w:t>
      </w:r>
    </w:p>
    <w:p w14:paraId="05F11939" w14:textId="33E963C4" w:rsidR="004057E9" w:rsidRPr="00523B4F" w:rsidRDefault="004057E9" w:rsidP="004057E9">
      <w:pPr>
        <w:pStyle w:val="paragraph"/>
        <w:spacing w:before="0" w:beforeAutospacing="0" w:after="0" w:afterAutospacing="0"/>
        <w:jc w:val="center"/>
        <w:textAlignment w:val="baseline"/>
        <w:rPr>
          <w:rFonts w:asciiTheme="majorHAnsi" w:hAnsiTheme="majorHAnsi"/>
          <w:sz w:val="20"/>
          <w:szCs w:val="20"/>
          <w:lang w:val="es-ES"/>
        </w:rPr>
      </w:pPr>
    </w:p>
    <w:sectPr w:rsidR="004057E9" w:rsidRPr="00523B4F"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56D5" w14:textId="77777777" w:rsidR="002C3409" w:rsidRDefault="002C3409">
      <w:r>
        <w:separator/>
      </w:r>
    </w:p>
  </w:endnote>
  <w:endnote w:type="continuationSeparator" w:id="0">
    <w:p w14:paraId="16440364" w14:textId="77777777" w:rsidR="002C3409" w:rsidRDefault="002C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8A382" w14:textId="77777777" w:rsidR="002C3409" w:rsidRPr="000F35ED" w:rsidRDefault="002C340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2FE2EAC" w14:textId="77777777" w:rsidR="002C3409" w:rsidRPr="000F35ED" w:rsidRDefault="002C3409" w:rsidP="000F35ED">
      <w:pPr>
        <w:rPr>
          <w:rFonts w:asciiTheme="majorHAnsi" w:hAnsiTheme="majorHAnsi"/>
          <w:sz w:val="16"/>
          <w:szCs w:val="16"/>
        </w:rPr>
      </w:pPr>
      <w:r w:rsidRPr="000F35ED">
        <w:rPr>
          <w:rFonts w:asciiTheme="majorHAnsi" w:hAnsiTheme="majorHAnsi"/>
          <w:sz w:val="16"/>
          <w:szCs w:val="16"/>
        </w:rPr>
        <w:separator/>
      </w:r>
    </w:p>
    <w:p w14:paraId="4C516469" w14:textId="77777777" w:rsidR="002C3409" w:rsidRPr="000F35ED" w:rsidRDefault="002C340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10F5E7C" w14:textId="77777777" w:rsidR="002C3409" w:rsidRPr="000F35ED" w:rsidRDefault="002C340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6E930B8" w14:textId="693C23F6" w:rsidR="004A6A54" w:rsidRPr="00306F33" w:rsidRDefault="004A6A54" w:rsidP="009901FF">
      <w:pPr>
        <w:pStyle w:val="Notasalpie"/>
      </w:pPr>
      <w:r w:rsidRPr="00306F33">
        <w:rPr>
          <w:rStyle w:val="FootnoteReference"/>
        </w:rPr>
        <w:footnoteRef/>
      </w:r>
      <w:r w:rsidRPr="00306F33">
        <w:t xml:space="preserve"> Conforme a lo dispuesto en el artículo 17.2.a del Reglamento de la Comisión, el Comisionado </w:t>
      </w:r>
      <w:r w:rsidR="001D3BA7">
        <w:t>Carlos Bernal Pulido</w:t>
      </w:r>
      <w:r w:rsidRPr="00306F33">
        <w:t xml:space="preserve">, de nacionalidad </w:t>
      </w:r>
      <w:r w:rsidR="001D3BA7">
        <w:t>colombiana</w:t>
      </w:r>
      <w:r w:rsidRPr="00306F33">
        <w:t>, no participó en el debate ni en la decisión del presente asunto.</w:t>
      </w:r>
    </w:p>
  </w:footnote>
  <w:footnote w:id="3">
    <w:p w14:paraId="6732CFED" w14:textId="0F71E443" w:rsidR="002868BC" w:rsidRPr="002868BC" w:rsidRDefault="002868BC" w:rsidP="002868BC">
      <w:pPr>
        <w:pStyle w:val="Notasalpie"/>
      </w:pPr>
      <w:r>
        <w:rPr>
          <w:rStyle w:val="FootnoteReference"/>
        </w:rPr>
        <w:footnoteRef/>
      </w:r>
      <w:r w:rsidRPr="002868BC">
        <w:t xml:space="preserve"> </w:t>
      </w:r>
      <w:r>
        <w:t>En adelante “la Convención Americana” o “la Convención”.</w:t>
      </w:r>
    </w:p>
  </w:footnote>
  <w:footnote w:id="4">
    <w:p w14:paraId="1AFEF3B0" w14:textId="4570CD05" w:rsidR="008E3BFE" w:rsidRPr="00306F33" w:rsidRDefault="008E3BFE" w:rsidP="00306F33">
      <w:pPr>
        <w:pStyle w:val="FootnoteText"/>
        <w:ind w:firstLine="720"/>
        <w:jc w:val="both"/>
        <w:rPr>
          <w:rFonts w:asciiTheme="majorHAnsi" w:hAnsiTheme="majorHAnsi"/>
          <w:sz w:val="16"/>
          <w:szCs w:val="16"/>
          <w:lang w:val="es-ES"/>
        </w:rPr>
      </w:pPr>
      <w:r w:rsidRPr="007E5A73">
        <w:rPr>
          <w:rStyle w:val="FootnoteReference"/>
          <w:rFonts w:asciiTheme="majorHAnsi" w:hAnsiTheme="majorHAnsi"/>
          <w:sz w:val="16"/>
          <w:szCs w:val="16"/>
        </w:rPr>
        <w:footnoteRef/>
      </w:r>
      <w:r w:rsidRPr="007E5A73">
        <w:rPr>
          <w:rFonts w:asciiTheme="majorHAnsi" w:hAnsiTheme="majorHAnsi"/>
          <w:sz w:val="16"/>
          <w:szCs w:val="16"/>
          <w:lang w:val="es-ES"/>
        </w:rPr>
        <w:t xml:space="preserve"> Las observaciones de cada parte fueron debidamente trasladadas a la parte contraria.</w:t>
      </w:r>
      <w:r w:rsidR="0080748F">
        <w:rPr>
          <w:rFonts w:asciiTheme="majorHAnsi" w:hAnsiTheme="majorHAnsi"/>
          <w:sz w:val="16"/>
          <w:szCs w:val="16"/>
          <w:lang w:val="es-ES"/>
        </w:rPr>
        <w:t xml:space="preserve"> Durante el trámite de estudio inicial y de admisibilidad de la petición, el peticionario remitió más de 150 comunicaciones a la CIDH con más de </w:t>
      </w:r>
      <w:r w:rsidR="00E82E3A">
        <w:rPr>
          <w:rFonts w:asciiTheme="majorHAnsi" w:hAnsiTheme="majorHAnsi"/>
          <w:sz w:val="16"/>
          <w:szCs w:val="16"/>
          <w:lang w:val="es-ES"/>
        </w:rPr>
        <w:t xml:space="preserve">1.400 documentos anexos. La última comunicación </w:t>
      </w:r>
      <w:r w:rsidR="00EE26D7">
        <w:rPr>
          <w:rFonts w:asciiTheme="majorHAnsi" w:hAnsiTheme="majorHAnsi"/>
          <w:sz w:val="16"/>
          <w:szCs w:val="16"/>
          <w:lang w:val="es-ES"/>
        </w:rPr>
        <w:t xml:space="preserve">con anexos </w:t>
      </w:r>
      <w:r w:rsidR="00E82E3A">
        <w:rPr>
          <w:rFonts w:asciiTheme="majorHAnsi" w:hAnsiTheme="majorHAnsi"/>
          <w:sz w:val="16"/>
          <w:szCs w:val="16"/>
          <w:lang w:val="es-ES"/>
        </w:rPr>
        <w:t xml:space="preserve">fue recibida el </w:t>
      </w:r>
      <w:r w:rsidR="00EE26D7">
        <w:rPr>
          <w:rFonts w:asciiTheme="majorHAnsi" w:hAnsiTheme="majorHAnsi"/>
          <w:sz w:val="16"/>
          <w:szCs w:val="16"/>
          <w:lang w:val="es-ES"/>
        </w:rPr>
        <w:t xml:space="preserve">16 de febrero de 2024. Adicionalmente, el peticionario solicitó el otorgamiento de Medidas Cautelares de la Comisión Interamericana, </w:t>
      </w:r>
      <w:r w:rsidR="00C730E4">
        <w:rPr>
          <w:rFonts w:asciiTheme="majorHAnsi" w:hAnsiTheme="majorHAnsi"/>
          <w:sz w:val="16"/>
          <w:szCs w:val="16"/>
          <w:lang w:val="es-ES"/>
        </w:rPr>
        <w:t xml:space="preserve">solicitud que fue registrada bajo el número MC-532-15. Sin embargo, el </w:t>
      </w:r>
      <w:r w:rsidR="000A422C">
        <w:rPr>
          <w:rFonts w:asciiTheme="majorHAnsi" w:hAnsiTheme="majorHAnsi"/>
          <w:sz w:val="16"/>
          <w:szCs w:val="16"/>
          <w:lang w:val="es-ES"/>
        </w:rPr>
        <w:t xml:space="preserve">1° de febrero de 2016 la CIDH decidió no otorgar las Medidas solicitadas </w:t>
      </w:r>
      <w:r w:rsidR="00A3798A">
        <w:rPr>
          <w:rFonts w:asciiTheme="majorHAnsi" w:hAnsiTheme="majorHAnsi"/>
          <w:sz w:val="16"/>
          <w:szCs w:val="16"/>
          <w:lang w:val="es-ES"/>
        </w:rPr>
        <w:t xml:space="preserve">porque la solicitud estaba fundada en supuestas fallas al debido proceso, lo cual es un tema que </w:t>
      </w:r>
      <w:r w:rsidR="00E35EDE">
        <w:rPr>
          <w:rFonts w:asciiTheme="majorHAnsi" w:hAnsiTheme="majorHAnsi"/>
          <w:sz w:val="16"/>
          <w:szCs w:val="16"/>
          <w:lang w:val="es-ES"/>
        </w:rPr>
        <w:t>la Comisión</w:t>
      </w:r>
      <w:r w:rsidR="00A3798A">
        <w:rPr>
          <w:rFonts w:asciiTheme="majorHAnsi" w:hAnsiTheme="majorHAnsi"/>
          <w:sz w:val="16"/>
          <w:szCs w:val="16"/>
          <w:lang w:val="es-ES"/>
        </w:rPr>
        <w:t xml:space="preserve"> analiza sólo a través de</w:t>
      </w:r>
      <w:r w:rsidR="00E35EDE">
        <w:rPr>
          <w:rFonts w:asciiTheme="majorHAnsi" w:hAnsiTheme="majorHAnsi"/>
          <w:sz w:val="16"/>
          <w:szCs w:val="16"/>
          <w:lang w:val="es-ES"/>
        </w:rPr>
        <w:t xml:space="preserve"> su</w:t>
      </w:r>
      <w:r w:rsidR="00A3798A">
        <w:rPr>
          <w:rFonts w:asciiTheme="majorHAnsi" w:hAnsiTheme="majorHAnsi"/>
          <w:sz w:val="16"/>
          <w:szCs w:val="16"/>
          <w:lang w:val="es-ES"/>
        </w:rPr>
        <w:t xml:space="preserve"> Sistema de Peticiones y Casos.</w:t>
      </w:r>
    </w:p>
  </w:footnote>
  <w:footnote w:id="5">
    <w:p w14:paraId="3C6E70EA" w14:textId="4FE0D47C" w:rsidR="00AB689F" w:rsidRPr="00AB689F" w:rsidRDefault="00AB689F" w:rsidP="00D170D9">
      <w:pPr>
        <w:pStyle w:val="Notasalpie"/>
        <w:rPr>
          <w:lang w:val="es-CO"/>
        </w:rPr>
      </w:pPr>
      <w:r>
        <w:rPr>
          <w:rStyle w:val="FootnoteReference"/>
        </w:rPr>
        <w:footnoteRef/>
      </w:r>
      <w:r>
        <w:t xml:space="preserve"> </w:t>
      </w:r>
      <w:r w:rsidR="00F45F8F" w:rsidRPr="00F45F8F">
        <w:rPr>
          <w:lang w:val="es-CO"/>
        </w:rPr>
        <w:t xml:space="preserve">CIDH, Informe No. 279/21. Petición 2106-12. Admisibilidad. Comunidades Huitosachi, Mogótavo y Bacajípare del pueblo indígena Rarámuri. </w:t>
      </w:r>
      <w:r w:rsidR="00F45F8F" w:rsidRPr="00D170D9">
        <w:rPr>
          <w:lang w:val="es-CO"/>
        </w:rPr>
        <w:t>México. 29 de octubre d</w:t>
      </w:r>
      <w:r w:rsidR="0028651D" w:rsidRPr="00D170D9">
        <w:rPr>
          <w:lang w:val="es-CO"/>
        </w:rPr>
        <w:t>e 2021, párr. 29</w:t>
      </w:r>
      <w:r w:rsidR="00D170D9" w:rsidRPr="00D170D9">
        <w:rPr>
          <w:lang w:val="es-CO"/>
        </w:rPr>
        <w:t xml:space="preserve">; </w:t>
      </w:r>
      <w:r w:rsidR="00D170D9">
        <w:rPr>
          <w:lang w:val="es-CO"/>
        </w:rPr>
        <w:t xml:space="preserve">e, </w:t>
      </w:r>
      <w:r w:rsidR="00D170D9" w:rsidRPr="00D170D9">
        <w:rPr>
          <w:lang w:val="es-CO"/>
        </w:rPr>
        <w:t xml:space="preserve">Informe No. Informe No. 89/21, Petición 5-12, Trabajadores Mineros de Cananea y sus familiares. </w:t>
      </w:r>
      <w:r w:rsidR="00D170D9" w:rsidRPr="00F7479B">
        <w:rPr>
          <w:lang w:val="es-CO"/>
        </w:rPr>
        <w:t>México. 28 de marzo de 2021, párr. 32.</w:t>
      </w:r>
    </w:p>
  </w:footnote>
  <w:footnote w:id="6">
    <w:p w14:paraId="2D7DF811" w14:textId="511EC10A" w:rsidR="00EB0D60" w:rsidRPr="00EB0D60" w:rsidRDefault="00EB0D60" w:rsidP="00EB0D60">
      <w:pPr>
        <w:pStyle w:val="Notasalpie"/>
        <w:rPr>
          <w:lang w:val="es-CO"/>
        </w:rPr>
      </w:pPr>
      <w:r>
        <w:rPr>
          <w:rStyle w:val="FootnoteReference"/>
        </w:rPr>
        <w:footnoteRef/>
      </w:r>
      <w:r>
        <w:t xml:space="preserve"> </w:t>
      </w:r>
      <w:r w:rsidR="00AB1B8C" w:rsidRPr="00AB1B8C">
        <w:rPr>
          <w:lang w:val="es-CO"/>
        </w:rPr>
        <w:t xml:space="preserve">CIDH, Informe No. 239/23. Petición 467-12. Admisibilidad. Ernesto Cruz Guevara y familiares. Colombia. </w:t>
      </w:r>
      <w:r w:rsidR="00AB1B8C" w:rsidRPr="008E6CF3">
        <w:rPr>
          <w:lang w:val="es-CO"/>
        </w:rPr>
        <w:t>20 de octubre de 2023, párr. 25</w:t>
      </w:r>
      <w:r w:rsidR="008E6CF3" w:rsidRPr="008E6CF3">
        <w:rPr>
          <w:lang w:val="es-CO"/>
        </w:rPr>
        <w:t xml:space="preserve">; e, Informe No. 220/21. Petición 1374-11. Admisibilidad. Jaír Tarache Cruz y familia. </w:t>
      </w:r>
      <w:r w:rsidR="008E6CF3" w:rsidRPr="00F7479B">
        <w:rPr>
          <w:lang w:val="es-CO"/>
        </w:rPr>
        <w:t xml:space="preserve">Colombia. 9 de septiembre de 2021, párr. </w:t>
      </w:r>
      <w:r w:rsidR="008E6CF3" w:rsidRPr="00EB7E4B">
        <w:t>14.</w:t>
      </w:r>
    </w:p>
  </w:footnote>
  <w:footnote w:id="7">
    <w:p w14:paraId="6896C369" w14:textId="3C6D7315" w:rsidR="000D617E" w:rsidRPr="0026787C" w:rsidRDefault="000D617E" w:rsidP="000D617E">
      <w:pPr>
        <w:pStyle w:val="FootnoteText"/>
        <w:ind w:firstLine="720"/>
        <w:jc w:val="both"/>
        <w:rPr>
          <w:rFonts w:ascii="Cambria" w:hAnsi="Cambria"/>
          <w:sz w:val="16"/>
          <w:szCs w:val="16"/>
          <w:lang w:val="es-ES"/>
        </w:rPr>
      </w:pPr>
      <w:r w:rsidRPr="0026787C">
        <w:rPr>
          <w:rStyle w:val="FootnoteReference"/>
          <w:rFonts w:ascii="Cambria" w:hAnsi="Cambria"/>
          <w:sz w:val="16"/>
          <w:szCs w:val="16"/>
        </w:rPr>
        <w:footnoteRef/>
      </w:r>
      <w:r w:rsidRPr="0026787C">
        <w:rPr>
          <w:rFonts w:ascii="Cambria" w:hAnsi="Cambria"/>
          <w:sz w:val="16"/>
          <w:szCs w:val="16"/>
          <w:lang w:val="es-ES"/>
        </w:rPr>
        <w:t xml:space="preserve"> CIDH, </w:t>
      </w:r>
      <w:r w:rsidR="00C71F6C" w:rsidRPr="00C71F6C">
        <w:rPr>
          <w:rFonts w:ascii="Cambria" w:hAnsi="Cambria"/>
          <w:sz w:val="16"/>
          <w:szCs w:val="16"/>
          <w:lang w:val="es-CO"/>
        </w:rPr>
        <w:t>Informe No. 107/25. Petición 1677-15. Inadmisibilidad. Miembros del Sindicato del Servicio Nacional de Aprendizaje. Colombia. 16 de junio de 2025</w:t>
      </w:r>
      <w:r w:rsidR="00C71F6C">
        <w:rPr>
          <w:rFonts w:ascii="Cambria" w:hAnsi="Cambria"/>
          <w:sz w:val="16"/>
          <w:szCs w:val="16"/>
          <w:lang w:val="es-CO"/>
        </w:rPr>
        <w:t xml:space="preserve">, párr. 10; e, </w:t>
      </w:r>
      <w:r w:rsidRPr="0026787C">
        <w:rPr>
          <w:rFonts w:ascii="Cambria" w:hAnsi="Cambria"/>
          <w:sz w:val="16"/>
          <w:szCs w:val="16"/>
          <w:lang w:val="es-ES"/>
        </w:rPr>
        <w:t>Informe No. 193/22. Petición 1153-12 Inadmisibilidad. Luis Alejandro Cárdenas Tafur y Familia. Colombia. 3 de agosto de 2022, párr.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B725E8"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02F60340"/>
    <w:lvl w:ilvl="0" w:tplc="065E9E5E">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137"/>
    <w:rsid w:val="0000036F"/>
    <w:rsid w:val="000005CD"/>
    <w:rsid w:val="00000CDA"/>
    <w:rsid w:val="00006CA2"/>
    <w:rsid w:val="00006E1F"/>
    <w:rsid w:val="000070D7"/>
    <w:rsid w:val="00013796"/>
    <w:rsid w:val="0001788C"/>
    <w:rsid w:val="000229C2"/>
    <w:rsid w:val="00022C7C"/>
    <w:rsid w:val="0002349D"/>
    <w:rsid w:val="000337EF"/>
    <w:rsid w:val="00040C3A"/>
    <w:rsid w:val="000419AD"/>
    <w:rsid w:val="000433C9"/>
    <w:rsid w:val="00045B85"/>
    <w:rsid w:val="00055C66"/>
    <w:rsid w:val="00061675"/>
    <w:rsid w:val="000619E3"/>
    <w:rsid w:val="0006220E"/>
    <w:rsid w:val="00064E07"/>
    <w:rsid w:val="00065A59"/>
    <w:rsid w:val="00071174"/>
    <w:rsid w:val="000716C5"/>
    <w:rsid w:val="00075E23"/>
    <w:rsid w:val="0008158C"/>
    <w:rsid w:val="000838EC"/>
    <w:rsid w:val="00086136"/>
    <w:rsid w:val="000923E3"/>
    <w:rsid w:val="0009344A"/>
    <w:rsid w:val="00094FCF"/>
    <w:rsid w:val="000A0297"/>
    <w:rsid w:val="000A392E"/>
    <w:rsid w:val="000A422C"/>
    <w:rsid w:val="000A575F"/>
    <w:rsid w:val="000A6153"/>
    <w:rsid w:val="000B4558"/>
    <w:rsid w:val="000C4512"/>
    <w:rsid w:val="000D05CB"/>
    <w:rsid w:val="000D10DB"/>
    <w:rsid w:val="000D617E"/>
    <w:rsid w:val="000E1D13"/>
    <w:rsid w:val="000E5EB5"/>
    <w:rsid w:val="000F033D"/>
    <w:rsid w:val="000F35ED"/>
    <w:rsid w:val="000F6828"/>
    <w:rsid w:val="000F771F"/>
    <w:rsid w:val="000F7894"/>
    <w:rsid w:val="001004FE"/>
    <w:rsid w:val="00105570"/>
    <w:rsid w:val="00107131"/>
    <w:rsid w:val="0010736F"/>
    <w:rsid w:val="00113F73"/>
    <w:rsid w:val="00116193"/>
    <w:rsid w:val="00121CC2"/>
    <w:rsid w:val="00125980"/>
    <w:rsid w:val="001275DF"/>
    <w:rsid w:val="00131425"/>
    <w:rsid w:val="00133EE5"/>
    <w:rsid w:val="00133FB0"/>
    <w:rsid w:val="001423CC"/>
    <w:rsid w:val="00156C2E"/>
    <w:rsid w:val="00161FF6"/>
    <w:rsid w:val="00167A34"/>
    <w:rsid w:val="00172C67"/>
    <w:rsid w:val="00172FCD"/>
    <w:rsid w:val="00173782"/>
    <w:rsid w:val="00175673"/>
    <w:rsid w:val="00175C2D"/>
    <w:rsid w:val="001808E1"/>
    <w:rsid w:val="00191A44"/>
    <w:rsid w:val="00192CCA"/>
    <w:rsid w:val="00195411"/>
    <w:rsid w:val="00195CBD"/>
    <w:rsid w:val="001A340D"/>
    <w:rsid w:val="001A4EE5"/>
    <w:rsid w:val="001A4F24"/>
    <w:rsid w:val="001A520D"/>
    <w:rsid w:val="001A7870"/>
    <w:rsid w:val="001B20AF"/>
    <w:rsid w:val="001B2645"/>
    <w:rsid w:val="001B3A00"/>
    <w:rsid w:val="001B478B"/>
    <w:rsid w:val="001C1B41"/>
    <w:rsid w:val="001C28D9"/>
    <w:rsid w:val="001C2C37"/>
    <w:rsid w:val="001D3BA7"/>
    <w:rsid w:val="001D65EF"/>
    <w:rsid w:val="001D7F96"/>
    <w:rsid w:val="001E15E0"/>
    <w:rsid w:val="001E49E7"/>
    <w:rsid w:val="001F28AC"/>
    <w:rsid w:val="001F3CA1"/>
    <w:rsid w:val="001F7201"/>
    <w:rsid w:val="00200EF2"/>
    <w:rsid w:val="0020676A"/>
    <w:rsid w:val="00223A29"/>
    <w:rsid w:val="002250A3"/>
    <w:rsid w:val="00226F4D"/>
    <w:rsid w:val="002327E3"/>
    <w:rsid w:val="00235217"/>
    <w:rsid w:val="002378BD"/>
    <w:rsid w:val="0024522B"/>
    <w:rsid w:val="00245C2E"/>
    <w:rsid w:val="00246D1F"/>
    <w:rsid w:val="00247403"/>
    <w:rsid w:val="00247542"/>
    <w:rsid w:val="002543F0"/>
    <w:rsid w:val="00261F93"/>
    <w:rsid w:val="002651DD"/>
    <w:rsid w:val="00266B61"/>
    <w:rsid w:val="0026712A"/>
    <w:rsid w:val="002704DB"/>
    <w:rsid w:val="00272A45"/>
    <w:rsid w:val="00274104"/>
    <w:rsid w:val="00285DCC"/>
    <w:rsid w:val="0028651D"/>
    <w:rsid w:val="002868BC"/>
    <w:rsid w:val="002A0AAE"/>
    <w:rsid w:val="002A5820"/>
    <w:rsid w:val="002B043D"/>
    <w:rsid w:val="002B1F4B"/>
    <w:rsid w:val="002B6324"/>
    <w:rsid w:val="002B6CC9"/>
    <w:rsid w:val="002B7BDF"/>
    <w:rsid w:val="002C3409"/>
    <w:rsid w:val="002C49E9"/>
    <w:rsid w:val="002D2B26"/>
    <w:rsid w:val="002D7EA2"/>
    <w:rsid w:val="002E187C"/>
    <w:rsid w:val="002E40E0"/>
    <w:rsid w:val="002E4E09"/>
    <w:rsid w:val="002E5953"/>
    <w:rsid w:val="002E5A4F"/>
    <w:rsid w:val="002E6F78"/>
    <w:rsid w:val="00300954"/>
    <w:rsid w:val="00300EF1"/>
    <w:rsid w:val="00302733"/>
    <w:rsid w:val="00305835"/>
    <w:rsid w:val="00306F33"/>
    <w:rsid w:val="00310340"/>
    <w:rsid w:val="00314078"/>
    <w:rsid w:val="0031535D"/>
    <w:rsid w:val="003239B8"/>
    <w:rsid w:val="00323DD5"/>
    <w:rsid w:val="003261AC"/>
    <w:rsid w:val="0033169F"/>
    <w:rsid w:val="00335D68"/>
    <w:rsid w:val="00344977"/>
    <w:rsid w:val="00346C95"/>
    <w:rsid w:val="00356185"/>
    <w:rsid w:val="00360380"/>
    <w:rsid w:val="003648BE"/>
    <w:rsid w:val="00367CC8"/>
    <w:rsid w:val="00373AB5"/>
    <w:rsid w:val="0037519E"/>
    <w:rsid w:val="003756A5"/>
    <w:rsid w:val="003807DC"/>
    <w:rsid w:val="0038342C"/>
    <w:rsid w:val="00386CF0"/>
    <w:rsid w:val="00387D6B"/>
    <w:rsid w:val="00394049"/>
    <w:rsid w:val="00394073"/>
    <w:rsid w:val="003B6F8A"/>
    <w:rsid w:val="003B7062"/>
    <w:rsid w:val="003B70FB"/>
    <w:rsid w:val="003B795E"/>
    <w:rsid w:val="003C2370"/>
    <w:rsid w:val="003C387A"/>
    <w:rsid w:val="003C4335"/>
    <w:rsid w:val="003C4EED"/>
    <w:rsid w:val="003C636F"/>
    <w:rsid w:val="003C676B"/>
    <w:rsid w:val="003D3566"/>
    <w:rsid w:val="003D3BC2"/>
    <w:rsid w:val="003E6CA1"/>
    <w:rsid w:val="003F1861"/>
    <w:rsid w:val="003F27AE"/>
    <w:rsid w:val="003F3D0B"/>
    <w:rsid w:val="003F5154"/>
    <w:rsid w:val="003F5E56"/>
    <w:rsid w:val="003F75F0"/>
    <w:rsid w:val="004057E9"/>
    <w:rsid w:val="00405F9C"/>
    <w:rsid w:val="004065A8"/>
    <w:rsid w:val="00414C6D"/>
    <w:rsid w:val="004165C2"/>
    <w:rsid w:val="004204B2"/>
    <w:rsid w:val="004227DF"/>
    <w:rsid w:val="0042383A"/>
    <w:rsid w:val="004241A0"/>
    <w:rsid w:val="00425107"/>
    <w:rsid w:val="00441ECB"/>
    <w:rsid w:val="00445193"/>
    <w:rsid w:val="00455B52"/>
    <w:rsid w:val="00462C1B"/>
    <w:rsid w:val="00465328"/>
    <w:rsid w:val="00467B7E"/>
    <w:rsid w:val="004722AF"/>
    <w:rsid w:val="00472E6A"/>
    <w:rsid w:val="00473BB4"/>
    <w:rsid w:val="00477592"/>
    <w:rsid w:val="00477887"/>
    <w:rsid w:val="00486F1C"/>
    <w:rsid w:val="0049003A"/>
    <w:rsid w:val="00491CBF"/>
    <w:rsid w:val="0049419D"/>
    <w:rsid w:val="0049534C"/>
    <w:rsid w:val="00497901"/>
    <w:rsid w:val="004A057B"/>
    <w:rsid w:val="004A141F"/>
    <w:rsid w:val="004A3338"/>
    <w:rsid w:val="004A6A54"/>
    <w:rsid w:val="004B20EC"/>
    <w:rsid w:val="004B421C"/>
    <w:rsid w:val="004B60DD"/>
    <w:rsid w:val="004C20D2"/>
    <w:rsid w:val="004C2312"/>
    <w:rsid w:val="004C4B62"/>
    <w:rsid w:val="004C54C9"/>
    <w:rsid w:val="004D1B9D"/>
    <w:rsid w:val="004D2B2F"/>
    <w:rsid w:val="004D2CE1"/>
    <w:rsid w:val="004D4ABA"/>
    <w:rsid w:val="004D6025"/>
    <w:rsid w:val="004E2649"/>
    <w:rsid w:val="004E380D"/>
    <w:rsid w:val="004F4DB9"/>
    <w:rsid w:val="004F60CE"/>
    <w:rsid w:val="004F626F"/>
    <w:rsid w:val="004F74D8"/>
    <w:rsid w:val="00501399"/>
    <w:rsid w:val="005047ED"/>
    <w:rsid w:val="00505770"/>
    <w:rsid w:val="0050633D"/>
    <w:rsid w:val="00507BC4"/>
    <w:rsid w:val="00510B3D"/>
    <w:rsid w:val="005128E4"/>
    <w:rsid w:val="005133DB"/>
    <w:rsid w:val="005142DA"/>
    <w:rsid w:val="00514504"/>
    <w:rsid w:val="005173A3"/>
    <w:rsid w:val="00521E1F"/>
    <w:rsid w:val="00523B4F"/>
    <w:rsid w:val="00525560"/>
    <w:rsid w:val="00544C49"/>
    <w:rsid w:val="005516A1"/>
    <w:rsid w:val="005559EF"/>
    <w:rsid w:val="0055675A"/>
    <w:rsid w:val="0056100B"/>
    <w:rsid w:val="00563557"/>
    <w:rsid w:val="005678D0"/>
    <w:rsid w:val="005709F8"/>
    <w:rsid w:val="00572C10"/>
    <w:rsid w:val="00572CA6"/>
    <w:rsid w:val="0057402A"/>
    <w:rsid w:val="00576BD2"/>
    <w:rsid w:val="005771D0"/>
    <w:rsid w:val="00581FB5"/>
    <w:rsid w:val="00583539"/>
    <w:rsid w:val="005851FF"/>
    <w:rsid w:val="0059191A"/>
    <w:rsid w:val="0059217F"/>
    <w:rsid w:val="005921FF"/>
    <w:rsid w:val="005A24ED"/>
    <w:rsid w:val="005A33DB"/>
    <w:rsid w:val="005A6D0E"/>
    <w:rsid w:val="005B49D9"/>
    <w:rsid w:val="005B52B0"/>
    <w:rsid w:val="005B6806"/>
    <w:rsid w:val="005C1219"/>
    <w:rsid w:val="005C4225"/>
    <w:rsid w:val="005C5E44"/>
    <w:rsid w:val="005D3D59"/>
    <w:rsid w:val="005D41C5"/>
    <w:rsid w:val="005E0882"/>
    <w:rsid w:val="005E31EE"/>
    <w:rsid w:val="005E34D1"/>
    <w:rsid w:val="005F0DAD"/>
    <w:rsid w:val="005F0F33"/>
    <w:rsid w:val="005F444A"/>
    <w:rsid w:val="00600DEB"/>
    <w:rsid w:val="00601030"/>
    <w:rsid w:val="00603C31"/>
    <w:rsid w:val="00611D00"/>
    <w:rsid w:val="00621CD7"/>
    <w:rsid w:val="006221EF"/>
    <w:rsid w:val="00625CD7"/>
    <w:rsid w:val="00627732"/>
    <w:rsid w:val="00627C9F"/>
    <w:rsid w:val="006311E9"/>
    <w:rsid w:val="00632354"/>
    <w:rsid w:val="00635421"/>
    <w:rsid w:val="00640C77"/>
    <w:rsid w:val="00642810"/>
    <w:rsid w:val="00645806"/>
    <w:rsid w:val="006462C6"/>
    <w:rsid w:val="00646634"/>
    <w:rsid w:val="006517D7"/>
    <w:rsid w:val="00652333"/>
    <w:rsid w:val="00652568"/>
    <w:rsid w:val="00654AA0"/>
    <w:rsid w:val="0067004F"/>
    <w:rsid w:val="006743EB"/>
    <w:rsid w:val="0068009E"/>
    <w:rsid w:val="0068385E"/>
    <w:rsid w:val="006845D1"/>
    <w:rsid w:val="00687E0E"/>
    <w:rsid w:val="00692219"/>
    <w:rsid w:val="00697949"/>
    <w:rsid w:val="006A17D2"/>
    <w:rsid w:val="006A541C"/>
    <w:rsid w:val="006A73E6"/>
    <w:rsid w:val="006B2D5C"/>
    <w:rsid w:val="006C0ECF"/>
    <w:rsid w:val="006C21F0"/>
    <w:rsid w:val="006C4EB1"/>
    <w:rsid w:val="006D2485"/>
    <w:rsid w:val="006E0166"/>
    <w:rsid w:val="006E2FFB"/>
    <w:rsid w:val="006E621A"/>
    <w:rsid w:val="006E7B34"/>
    <w:rsid w:val="006F7000"/>
    <w:rsid w:val="00702C2D"/>
    <w:rsid w:val="0070697F"/>
    <w:rsid w:val="007103C4"/>
    <w:rsid w:val="007140A7"/>
    <w:rsid w:val="0072199C"/>
    <w:rsid w:val="00722C9F"/>
    <w:rsid w:val="007253B8"/>
    <w:rsid w:val="007355F6"/>
    <w:rsid w:val="0073741F"/>
    <w:rsid w:val="00765AE0"/>
    <w:rsid w:val="0076643F"/>
    <w:rsid w:val="00772AFD"/>
    <w:rsid w:val="00773A18"/>
    <w:rsid w:val="00777F63"/>
    <w:rsid w:val="0078533E"/>
    <w:rsid w:val="0079188B"/>
    <w:rsid w:val="00792E34"/>
    <w:rsid w:val="00795378"/>
    <w:rsid w:val="007A5817"/>
    <w:rsid w:val="007B05C4"/>
    <w:rsid w:val="007B51A9"/>
    <w:rsid w:val="007B58A9"/>
    <w:rsid w:val="007B60E9"/>
    <w:rsid w:val="007B6CC3"/>
    <w:rsid w:val="007B6F3E"/>
    <w:rsid w:val="007B76D3"/>
    <w:rsid w:val="007C3334"/>
    <w:rsid w:val="007C4B5C"/>
    <w:rsid w:val="007C72C7"/>
    <w:rsid w:val="007D2B98"/>
    <w:rsid w:val="007D3224"/>
    <w:rsid w:val="007E21BC"/>
    <w:rsid w:val="007E5A73"/>
    <w:rsid w:val="007E7C82"/>
    <w:rsid w:val="007F2AA1"/>
    <w:rsid w:val="007F588D"/>
    <w:rsid w:val="007F6398"/>
    <w:rsid w:val="00803F1C"/>
    <w:rsid w:val="0080600E"/>
    <w:rsid w:val="0080748F"/>
    <w:rsid w:val="0081326F"/>
    <w:rsid w:val="0081353A"/>
    <w:rsid w:val="008135DA"/>
    <w:rsid w:val="00814688"/>
    <w:rsid w:val="00816D5D"/>
    <w:rsid w:val="00817612"/>
    <w:rsid w:val="0082238D"/>
    <w:rsid w:val="008338A4"/>
    <w:rsid w:val="008345F8"/>
    <w:rsid w:val="00834D49"/>
    <w:rsid w:val="00835CE5"/>
    <w:rsid w:val="00837C45"/>
    <w:rsid w:val="00844730"/>
    <w:rsid w:val="008457C2"/>
    <w:rsid w:val="00857A82"/>
    <w:rsid w:val="00864741"/>
    <w:rsid w:val="00873836"/>
    <w:rsid w:val="008743A1"/>
    <w:rsid w:val="0087446F"/>
    <w:rsid w:val="00885737"/>
    <w:rsid w:val="00890650"/>
    <w:rsid w:val="00890DA0"/>
    <w:rsid w:val="00893300"/>
    <w:rsid w:val="008944DC"/>
    <w:rsid w:val="00894F10"/>
    <w:rsid w:val="00897E12"/>
    <w:rsid w:val="008A23A3"/>
    <w:rsid w:val="008A7E0F"/>
    <w:rsid w:val="008B12F5"/>
    <w:rsid w:val="008B3D18"/>
    <w:rsid w:val="008C3274"/>
    <w:rsid w:val="008C5E2D"/>
    <w:rsid w:val="008D3F52"/>
    <w:rsid w:val="008D768D"/>
    <w:rsid w:val="008E3759"/>
    <w:rsid w:val="008E3BFE"/>
    <w:rsid w:val="008E3CDF"/>
    <w:rsid w:val="008E4B2C"/>
    <w:rsid w:val="008E6CF3"/>
    <w:rsid w:val="008F1912"/>
    <w:rsid w:val="008F3F48"/>
    <w:rsid w:val="008F43A0"/>
    <w:rsid w:val="00901503"/>
    <w:rsid w:val="0090270B"/>
    <w:rsid w:val="009041DC"/>
    <w:rsid w:val="00904BB7"/>
    <w:rsid w:val="009132B9"/>
    <w:rsid w:val="00917B5A"/>
    <w:rsid w:val="00920A58"/>
    <w:rsid w:val="00920A8C"/>
    <w:rsid w:val="009259B0"/>
    <w:rsid w:val="00934A2C"/>
    <w:rsid w:val="009360A7"/>
    <w:rsid w:val="00936624"/>
    <w:rsid w:val="00950C33"/>
    <w:rsid w:val="0096706E"/>
    <w:rsid w:val="009723E1"/>
    <w:rsid w:val="00974276"/>
    <w:rsid w:val="00974491"/>
    <w:rsid w:val="00975AE3"/>
    <w:rsid w:val="00975C4E"/>
    <w:rsid w:val="00975E0D"/>
    <w:rsid w:val="00981FBA"/>
    <w:rsid w:val="00983228"/>
    <w:rsid w:val="009901FF"/>
    <w:rsid w:val="00990ED9"/>
    <w:rsid w:val="0099124D"/>
    <w:rsid w:val="00997BC5"/>
    <w:rsid w:val="009A1A7A"/>
    <w:rsid w:val="009A4F41"/>
    <w:rsid w:val="009A56CE"/>
    <w:rsid w:val="009B043B"/>
    <w:rsid w:val="009B381B"/>
    <w:rsid w:val="009C65AA"/>
    <w:rsid w:val="009D1670"/>
    <w:rsid w:val="009D1753"/>
    <w:rsid w:val="009D57C4"/>
    <w:rsid w:val="009D61E5"/>
    <w:rsid w:val="009D7611"/>
    <w:rsid w:val="009E0B61"/>
    <w:rsid w:val="009E34B6"/>
    <w:rsid w:val="009E4EBF"/>
    <w:rsid w:val="009E53DE"/>
    <w:rsid w:val="009E6112"/>
    <w:rsid w:val="00A03F6A"/>
    <w:rsid w:val="00A11212"/>
    <w:rsid w:val="00A11E44"/>
    <w:rsid w:val="00A125DC"/>
    <w:rsid w:val="00A13BED"/>
    <w:rsid w:val="00A15562"/>
    <w:rsid w:val="00A30100"/>
    <w:rsid w:val="00A328B3"/>
    <w:rsid w:val="00A3786F"/>
    <w:rsid w:val="00A3798A"/>
    <w:rsid w:val="00A37DFC"/>
    <w:rsid w:val="00A40E14"/>
    <w:rsid w:val="00A434F4"/>
    <w:rsid w:val="00A50FCF"/>
    <w:rsid w:val="00A528D1"/>
    <w:rsid w:val="00A56B72"/>
    <w:rsid w:val="00A56C58"/>
    <w:rsid w:val="00A610CD"/>
    <w:rsid w:val="00A64E10"/>
    <w:rsid w:val="00A758AA"/>
    <w:rsid w:val="00A80629"/>
    <w:rsid w:val="00A80A0E"/>
    <w:rsid w:val="00A91E43"/>
    <w:rsid w:val="00A957F6"/>
    <w:rsid w:val="00AA09A2"/>
    <w:rsid w:val="00AA7996"/>
    <w:rsid w:val="00AB1B8C"/>
    <w:rsid w:val="00AB689F"/>
    <w:rsid w:val="00AC179C"/>
    <w:rsid w:val="00AC19CB"/>
    <w:rsid w:val="00AC762E"/>
    <w:rsid w:val="00AE0462"/>
    <w:rsid w:val="00AE5488"/>
    <w:rsid w:val="00AE57F8"/>
    <w:rsid w:val="00AE628D"/>
    <w:rsid w:val="00AE6F91"/>
    <w:rsid w:val="00AF4A45"/>
    <w:rsid w:val="00AF5571"/>
    <w:rsid w:val="00B0160B"/>
    <w:rsid w:val="00B04818"/>
    <w:rsid w:val="00B052DE"/>
    <w:rsid w:val="00B07341"/>
    <w:rsid w:val="00B102D7"/>
    <w:rsid w:val="00B11762"/>
    <w:rsid w:val="00B13B78"/>
    <w:rsid w:val="00B14BE9"/>
    <w:rsid w:val="00B30539"/>
    <w:rsid w:val="00B314DB"/>
    <w:rsid w:val="00B35DFD"/>
    <w:rsid w:val="00B361F2"/>
    <w:rsid w:val="00B3718B"/>
    <w:rsid w:val="00B3745F"/>
    <w:rsid w:val="00B4632A"/>
    <w:rsid w:val="00B524E1"/>
    <w:rsid w:val="00B5250A"/>
    <w:rsid w:val="00B530F1"/>
    <w:rsid w:val="00B6765D"/>
    <w:rsid w:val="00B7147E"/>
    <w:rsid w:val="00B725E8"/>
    <w:rsid w:val="00B80A2C"/>
    <w:rsid w:val="00B93D7F"/>
    <w:rsid w:val="00BA0070"/>
    <w:rsid w:val="00BA276C"/>
    <w:rsid w:val="00BB019D"/>
    <w:rsid w:val="00BB306F"/>
    <w:rsid w:val="00BB75BB"/>
    <w:rsid w:val="00BC460F"/>
    <w:rsid w:val="00BC4C03"/>
    <w:rsid w:val="00BD0FF5"/>
    <w:rsid w:val="00BD1E8E"/>
    <w:rsid w:val="00BD1EFC"/>
    <w:rsid w:val="00BD49DB"/>
    <w:rsid w:val="00BD4B89"/>
    <w:rsid w:val="00BD5922"/>
    <w:rsid w:val="00BE09FC"/>
    <w:rsid w:val="00BF02CB"/>
    <w:rsid w:val="00BF0DD6"/>
    <w:rsid w:val="00BF134A"/>
    <w:rsid w:val="00BF44C4"/>
    <w:rsid w:val="00BF6FD8"/>
    <w:rsid w:val="00C03680"/>
    <w:rsid w:val="00C036FF"/>
    <w:rsid w:val="00C054DF"/>
    <w:rsid w:val="00C211B2"/>
    <w:rsid w:val="00C21762"/>
    <w:rsid w:val="00C21FEF"/>
    <w:rsid w:val="00C23BA4"/>
    <w:rsid w:val="00C24543"/>
    <w:rsid w:val="00C256A2"/>
    <w:rsid w:val="00C25ADB"/>
    <w:rsid w:val="00C32D52"/>
    <w:rsid w:val="00C372C5"/>
    <w:rsid w:val="00C51515"/>
    <w:rsid w:val="00C53A57"/>
    <w:rsid w:val="00C5660B"/>
    <w:rsid w:val="00C63991"/>
    <w:rsid w:val="00C66B72"/>
    <w:rsid w:val="00C71F6C"/>
    <w:rsid w:val="00C730E4"/>
    <w:rsid w:val="00C87AC4"/>
    <w:rsid w:val="00C94D04"/>
    <w:rsid w:val="00C9567A"/>
    <w:rsid w:val="00CA2274"/>
    <w:rsid w:val="00CA551D"/>
    <w:rsid w:val="00CB1040"/>
    <w:rsid w:val="00CB183E"/>
    <w:rsid w:val="00CB212D"/>
    <w:rsid w:val="00CB2660"/>
    <w:rsid w:val="00CC5E90"/>
    <w:rsid w:val="00CC72FE"/>
    <w:rsid w:val="00CD046C"/>
    <w:rsid w:val="00CD1BF0"/>
    <w:rsid w:val="00CD607F"/>
    <w:rsid w:val="00CE076C"/>
    <w:rsid w:val="00CE45C9"/>
    <w:rsid w:val="00CE5199"/>
    <w:rsid w:val="00CE66D5"/>
    <w:rsid w:val="00CF16F7"/>
    <w:rsid w:val="00CF4117"/>
    <w:rsid w:val="00CF637A"/>
    <w:rsid w:val="00CF7431"/>
    <w:rsid w:val="00D03AD7"/>
    <w:rsid w:val="00D049A2"/>
    <w:rsid w:val="00D059DE"/>
    <w:rsid w:val="00D05ABD"/>
    <w:rsid w:val="00D12408"/>
    <w:rsid w:val="00D1348B"/>
    <w:rsid w:val="00D13FCE"/>
    <w:rsid w:val="00D170D9"/>
    <w:rsid w:val="00D306D1"/>
    <w:rsid w:val="00D30800"/>
    <w:rsid w:val="00D34786"/>
    <w:rsid w:val="00D37BFC"/>
    <w:rsid w:val="00D40E6D"/>
    <w:rsid w:val="00D4293B"/>
    <w:rsid w:val="00D469B9"/>
    <w:rsid w:val="00D47A8E"/>
    <w:rsid w:val="00D52D14"/>
    <w:rsid w:val="00D5606C"/>
    <w:rsid w:val="00D668E0"/>
    <w:rsid w:val="00D712D3"/>
    <w:rsid w:val="00D71422"/>
    <w:rsid w:val="00D72DC6"/>
    <w:rsid w:val="00D7366A"/>
    <w:rsid w:val="00D7558D"/>
    <w:rsid w:val="00D81644"/>
    <w:rsid w:val="00D81D92"/>
    <w:rsid w:val="00D871D0"/>
    <w:rsid w:val="00D876F9"/>
    <w:rsid w:val="00DA7B5F"/>
    <w:rsid w:val="00DB3919"/>
    <w:rsid w:val="00DB772F"/>
    <w:rsid w:val="00DC0D1A"/>
    <w:rsid w:val="00DC11E7"/>
    <w:rsid w:val="00DC1AD9"/>
    <w:rsid w:val="00DC20DA"/>
    <w:rsid w:val="00DC24E3"/>
    <w:rsid w:val="00DC55AA"/>
    <w:rsid w:val="00DC6005"/>
    <w:rsid w:val="00DC7023"/>
    <w:rsid w:val="00DC769A"/>
    <w:rsid w:val="00DC7DDA"/>
    <w:rsid w:val="00DD3D86"/>
    <w:rsid w:val="00DD4AD2"/>
    <w:rsid w:val="00DD629A"/>
    <w:rsid w:val="00DE2862"/>
    <w:rsid w:val="00DF0322"/>
    <w:rsid w:val="00DF1EC4"/>
    <w:rsid w:val="00DF7B56"/>
    <w:rsid w:val="00E0340B"/>
    <w:rsid w:val="00E03973"/>
    <w:rsid w:val="00E03B0D"/>
    <w:rsid w:val="00E04A90"/>
    <w:rsid w:val="00E04D53"/>
    <w:rsid w:val="00E0551F"/>
    <w:rsid w:val="00E12D37"/>
    <w:rsid w:val="00E17D1E"/>
    <w:rsid w:val="00E20EDE"/>
    <w:rsid w:val="00E219C7"/>
    <w:rsid w:val="00E305EB"/>
    <w:rsid w:val="00E31749"/>
    <w:rsid w:val="00E33089"/>
    <w:rsid w:val="00E34241"/>
    <w:rsid w:val="00E35EDE"/>
    <w:rsid w:val="00E4118C"/>
    <w:rsid w:val="00E43157"/>
    <w:rsid w:val="00E451AD"/>
    <w:rsid w:val="00E461CE"/>
    <w:rsid w:val="00E4729B"/>
    <w:rsid w:val="00E50BAC"/>
    <w:rsid w:val="00E55358"/>
    <w:rsid w:val="00E56089"/>
    <w:rsid w:val="00E573E4"/>
    <w:rsid w:val="00E64A9A"/>
    <w:rsid w:val="00E64C3D"/>
    <w:rsid w:val="00E66075"/>
    <w:rsid w:val="00E70668"/>
    <w:rsid w:val="00E720CA"/>
    <w:rsid w:val="00E721FB"/>
    <w:rsid w:val="00E7434C"/>
    <w:rsid w:val="00E82E3A"/>
    <w:rsid w:val="00E84EB5"/>
    <w:rsid w:val="00E853D0"/>
    <w:rsid w:val="00E85662"/>
    <w:rsid w:val="00E8789F"/>
    <w:rsid w:val="00E91DC9"/>
    <w:rsid w:val="00E97B71"/>
    <w:rsid w:val="00EA2789"/>
    <w:rsid w:val="00EA3D34"/>
    <w:rsid w:val="00EA4F24"/>
    <w:rsid w:val="00EB0D60"/>
    <w:rsid w:val="00EB260D"/>
    <w:rsid w:val="00EB454D"/>
    <w:rsid w:val="00EB5621"/>
    <w:rsid w:val="00EB7E4B"/>
    <w:rsid w:val="00EC06DB"/>
    <w:rsid w:val="00ED40D1"/>
    <w:rsid w:val="00ED549D"/>
    <w:rsid w:val="00ED5AD1"/>
    <w:rsid w:val="00ED5E10"/>
    <w:rsid w:val="00ED76BE"/>
    <w:rsid w:val="00EE00E9"/>
    <w:rsid w:val="00EE26D7"/>
    <w:rsid w:val="00EE5159"/>
    <w:rsid w:val="00EE6707"/>
    <w:rsid w:val="00EE69A5"/>
    <w:rsid w:val="00EF1AAA"/>
    <w:rsid w:val="00EF248A"/>
    <w:rsid w:val="00EF4E5F"/>
    <w:rsid w:val="00EF5D44"/>
    <w:rsid w:val="00EF619B"/>
    <w:rsid w:val="00F00B55"/>
    <w:rsid w:val="00F02AD1"/>
    <w:rsid w:val="00F04461"/>
    <w:rsid w:val="00F049D7"/>
    <w:rsid w:val="00F132A2"/>
    <w:rsid w:val="00F253CC"/>
    <w:rsid w:val="00F34BFE"/>
    <w:rsid w:val="00F37106"/>
    <w:rsid w:val="00F44E25"/>
    <w:rsid w:val="00F45F8F"/>
    <w:rsid w:val="00F519CF"/>
    <w:rsid w:val="00F56BA5"/>
    <w:rsid w:val="00F56ECB"/>
    <w:rsid w:val="00F60E22"/>
    <w:rsid w:val="00F64A50"/>
    <w:rsid w:val="00F6783A"/>
    <w:rsid w:val="00F727C1"/>
    <w:rsid w:val="00F73F13"/>
    <w:rsid w:val="00F7479B"/>
    <w:rsid w:val="00F81395"/>
    <w:rsid w:val="00F81BB8"/>
    <w:rsid w:val="00F87C88"/>
    <w:rsid w:val="00F90C64"/>
    <w:rsid w:val="00F917D1"/>
    <w:rsid w:val="00F96335"/>
    <w:rsid w:val="00F9653B"/>
    <w:rsid w:val="00FA2762"/>
    <w:rsid w:val="00FA2FEC"/>
    <w:rsid w:val="00FA4C16"/>
    <w:rsid w:val="00FB62CF"/>
    <w:rsid w:val="00FC0851"/>
    <w:rsid w:val="00FC1B8B"/>
    <w:rsid w:val="00FC2BF2"/>
    <w:rsid w:val="00FC3379"/>
    <w:rsid w:val="00FD3C3B"/>
    <w:rsid w:val="00FD56A6"/>
    <w:rsid w:val="00FE07DD"/>
    <w:rsid w:val="00FE54AB"/>
    <w:rsid w:val="00FE5624"/>
    <w:rsid w:val="00FE6B45"/>
    <w:rsid w:val="00FF437C"/>
    <w:rsid w:val="00FF55F3"/>
    <w:rsid w:val="00FF5851"/>
    <w:rsid w:val="00FF7B79"/>
    <w:rsid w:val="16592B62"/>
    <w:rsid w:val="6AAA833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0D617E"/>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4057E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4057E9"/>
  </w:style>
  <w:style w:type="character" w:customStyle="1" w:styleId="eop">
    <w:name w:val="eop"/>
    <w:basedOn w:val="DefaultParagraphFont"/>
    <w:rsid w:val="0040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73782"/>
    <w:rsid w:val="00200821"/>
    <w:rsid w:val="0025245B"/>
    <w:rsid w:val="002A3923"/>
    <w:rsid w:val="00323DD5"/>
    <w:rsid w:val="00335D68"/>
    <w:rsid w:val="00394049"/>
    <w:rsid w:val="003B0C71"/>
    <w:rsid w:val="003B795E"/>
    <w:rsid w:val="003D08D9"/>
    <w:rsid w:val="003E2DD8"/>
    <w:rsid w:val="00455B52"/>
    <w:rsid w:val="004B5BBB"/>
    <w:rsid w:val="004D1B9D"/>
    <w:rsid w:val="004D58E9"/>
    <w:rsid w:val="004F2DF8"/>
    <w:rsid w:val="00517E2A"/>
    <w:rsid w:val="0053227E"/>
    <w:rsid w:val="005C1219"/>
    <w:rsid w:val="00621CD7"/>
    <w:rsid w:val="006D3128"/>
    <w:rsid w:val="006F24A1"/>
    <w:rsid w:val="007C72C7"/>
    <w:rsid w:val="00875B8A"/>
    <w:rsid w:val="008937F7"/>
    <w:rsid w:val="008953BC"/>
    <w:rsid w:val="008B3D18"/>
    <w:rsid w:val="00901503"/>
    <w:rsid w:val="009A261B"/>
    <w:rsid w:val="009E4EBF"/>
    <w:rsid w:val="00AA2E17"/>
    <w:rsid w:val="00AC15A4"/>
    <w:rsid w:val="00AE628D"/>
    <w:rsid w:val="00B0336C"/>
    <w:rsid w:val="00D241E9"/>
    <w:rsid w:val="00D3126A"/>
    <w:rsid w:val="00D7750D"/>
    <w:rsid w:val="00DD629A"/>
    <w:rsid w:val="00E66075"/>
    <w:rsid w:val="00EA4F24"/>
    <w:rsid w:val="00EF5D44"/>
    <w:rsid w:val="00F00D2F"/>
    <w:rsid w:val="00F128DF"/>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51FAFA8A-E42A-4AA9-B2AB-C89A076B7130}">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E501B09E-BF92-4A82-BAB8-B992C2B9A5C0}">
  <ds:schemaRefs>
    <ds:schemaRef ds:uri="http://schemas.microsoft.com/sharepoint/v3/contenttype/forms"/>
  </ds:schemaRefs>
</ds:datastoreItem>
</file>

<file path=customXml/itemProps4.xml><?xml version="1.0" encoding="utf-8"?>
<ds:datastoreItem xmlns:ds="http://schemas.openxmlformats.org/officeDocument/2006/customXml" ds:itemID="{F17154C1-3B85-4AB6-A022-29CB3C49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3224</Words>
  <Characters>18380</Characters>
  <Application>Microsoft Office Word</Application>
  <DocSecurity>0</DocSecurity>
  <Lines>153</Lines>
  <Paragraphs>43</Paragraphs>
  <ScaleCrop>false</ScaleCrop>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2025-12-12T14:46:00Z</dcterms:created>
  <dcterms:modified xsi:type="dcterms:W3CDTF">2025-12-12T14:46:00Z</dcterms:modified>
</cp:coreProperties>
</file>