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002C0" w14:textId="77777777" w:rsidR="006A407F" w:rsidRPr="00F2058B" w:rsidRDefault="00FD783B" w:rsidP="006A407F">
      <w:pPr>
        <w:jc w:val="both"/>
        <w:rPr>
          <w:rFonts w:ascii="Cambria" w:hAnsi="Cambria" w:cs="Univers"/>
          <w:b/>
          <w:bCs/>
          <w:sz w:val="20"/>
          <w:szCs w:val="20"/>
          <w:lang w:val="es-419"/>
        </w:rPr>
      </w:pPr>
      <w:r w:rsidRPr="00F2058B">
        <w:rPr>
          <w:rFonts w:ascii="Cambria" w:hAnsi="Cambria"/>
          <w:noProof/>
          <w:sz w:val="20"/>
          <w:szCs w:val="20"/>
          <w:bdr w:val="none" w:sz="0" w:space="0" w:color="auto"/>
          <w:lang w:val="es-419"/>
        </w:rPr>
        <mc:AlternateContent>
          <mc:Choice Requires="wps">
            <w:drawing>
              <wp:anchor distT="0" distB="0" distL="114300" distR="114300" simplePos="0" relativeHeight="251653120" behindDoc="0" locked="0" layoutInCell="1" allowOverlap="1" wp14:anchorId="5A908681" wp14:editId="7584EE9B">
                <wp:simplePos x="0" y="0"/>
                <wp:positionH relativeFrom="column">
                  <wp:posOffset>-415290</wp:posOffset>
                </wp:positionH>
                <wp:positionV relativeFrom="paragraph">
                  <wp:posOffset>-438785</wp:posOffset>
                </wp:positionV>
                <wp:extent cx="1543050" cy="9096375"/>
                <wp:effectExtent l="0" t="0" r="0" b="952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9096375"/>
                        </a:xfrm>
                        <a:prstGeom prst="rect">
                          <a:avLst/>
                        </a:prstGeom>
                        <a:solidFill>
                          <a:srgbClr val="4A7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78FAF" id="Rectangle 1" o:spid="_x0000_s1026" style="position:absolute;margin-left:-32.7pt;margin-top:-34.55pt;width:121.5pt;height:71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" fillcolor="#4a7194" stroked="f" strokeweight="2pt"/>
            </w:pict>
          </mc:Fallback>
        </mc:AlternateContent>
      </w:r>
      <w:r w:rsidRPr="00F2058B">
        <w:rPr>
          <w:rFonts w:ascii="Cambria" w:hAnsi="Cambria"/>
          <w:noProof/>
          <w:sz w:val="20"/>
          <w:szCs w:val="20"/>
          <w:bdr w:val="none" w:sz="0" w:space="0" w:color="auto"/>
          <w:lang w:val="es-419"/>
        </w:rPr>
        <mc:AlternateContent>
          <mc:Choice Requires="wps">
            <w:drawing>
              <wp:anchor distT="0" distB="0" distL="114300" distR="114300" simplePos="0" relativeHeight="251657216" behindDoc="0" locked="0" layoutInCell="1" allowOverlap="1" wp14:anchorId="07C2B828" wp14:editId="541F9625">
                <wp:simplePos x="0" y="0"/>
                <wp:positionH relativeFrom="column">
                  <wp:posOffset>1282065</wp:posOffset>
                </wp:positionH>
                <wp:positionV relativeFrom="paragraph">
                  <wp:posOffset>-423545</wp:posOffset>
                </wp:positionV>
                <wp:extent cx="5248275" cy="902335"/>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275" cy="902335"/>
                        </a:xfrm>
                        <a:prstGeom prst="rect">
                          <a:avLst/>
                        </a:prstGeom>
                        <a:noFill/>
                        <a:ln w="6350">
                          <a:noFill/>
                        </a:ln>
                        <a:effectLst/>
                      </wps:spPr>
                      <wps:txbx>
                        <w:txbxContent>
                          <w:p w14:paraId="12C1BBA6" w14:textId="77777777" w:rsidR="002F4213" w:rsidRDefault="002F4213" w:rsidP="006A407F">
                            <w:r>
                              <w:rPr>
                                <w:noProof/>
                              </w:rPr>
                              <w:drawing>
                                <wp:inline distT="0" distB="0" distL="0" distR="0" wp14:anchorId="37526833" wp14:editId="6F7447CA">
                                  <wp:extent cx="2647950" cy="498475"/>
                                  <wp:effectExtent l="0" t="0" r="0" b="0"/>
                                  <wp:docPr id="12" name="Picture 12" descr="Description: 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498475"/>
                                          </a:xfrm>
                                          <a:prstGeom prst="rect">
                                            <a:avLst/>
                                          </a:prstGeom>
                                          <a:noFill/>
                                          <a:ln>
                                            <a:noFill/>
                                          </a:ln>
                                        </pic:spPr>
                                      </pic:pic>
                                    </a:graphicData>
                                  </a:graphic>
                                </wp:inline>
                              </w:drawing>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2B828" id="_x0000_t202" coordsize="21600,21600" o:spt="202" path="m,l,21600r21600,l21600,xe">
                <v:stroke joinstyle="miter"/>
                <v:path gradientshapeok="t" o:connecttype="rect"/>
              </v:shapetype>
              <v:shape id="Text Box 11" o:spid="_x0000_s1026" type="#_x0000_t202" style="position:absolute;left:0;text-align:left;margin-left:100.95pt;margin-top:-33.35pt;width:413.25pt;height:7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" filled="f" stroked="f" strokeweight=".5pt">
                <v:textbox>
                  <w:txbxContent>
                    <w:p w14:paraId="12C1BBA6" w14:textId="77777777" w:rsidR="002F4213" w:rsidRDefault="002F4213" w:rsidP="006A407F">
                      <w:r>
                        <w:rPr>
                          <w:noProof/>
                        </w:rPr>
                        <w:drawing>
                          <wp:inline distT="0" distB="0" distL="0" distR="0" wp14:anchorId="37526833" wp14:editId="6F7447CA">
                            <wp:extent cx="2647950" cy="498475"/>
                            <wp:effectExtent l="0" t="0" r="0" b="0"/>
                            <wp:docPr id="12" name="Picture 12" descr="Description: 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498475"/>
                                    </a:xfrm>
                                    <a:prstGeom prst="rect">
                                      <a:avLst/>
                                    </a:prstGeom>
                                    <a:noFill/>
                                    <a:ln>
                                      <a:noFill/>
                                    </a:ln>
                                  </pic:spPr>
                                </pic:pic>
                              </a:graphicData>
                            </a:graphic>
                          </wp:inline>
                        </w:drawing>
                      </w:r>
                      <w:r>
                        <w:tab/>
                        <w:t xml:space="preserve">                              </w:t>
                      </w:r>
                    </w:p>
                  </w:txbxContent>
                </v:textbox>
              </v:shape>
            </w:pict>
          </mc:Fallback>
        </mc:AlternateContent>
      </w:r>
    </w:p>
    <w:p w14:paraId="22967730" w14:textId="77777777" w:rsidR="006A407F" w:rsidRPr="00F2058B" w:rsidRDefault="006A407F" w:rsidP="006A407F">
      <w:pPr>
        <w:tabs>
          <w:tab w:val="center" w:pos="5400"/>
        </w:tabs>
        <w:suppressAutoHyphens/>
        <w:jc w:val="both"/>
        <w:rPr>
          <w:rFonts w:ascii="Cambria" w:hAnsi="Cambria"/>
          <w:sz w:val="20"/>
          <w:szCs w:val="20"/>
          <w:lang w:val="es-419"/>
        </w:rPr>
      </w:pPr>
    </w:p>
    <w:p w14:paraId="01673499" w14:textId="77777777" w:rsidR="006A407F" w:rsidRPr="00F2058B" w:rsidRDefault="006A407F" w:rsidP="006A407F">
      <w:pPr>
        <w:tabs>
          <w:tab w:val="center" w:pos="5400"/>
        </w:tabs>
        <w:suppressAutoHyphens/>
        <w:jc w:val="both"/>
        <w:rPr>
          <w:rFonts w:ascii="Cambria" w:hAnsi="Cambria"/>
          <w:sz w:val="20"/>
          <w:szCs w:val="20"/>
          <w:lang w:val="es-419"/>
        </w:rPr>
      </w:pPr>
    </w:p>
    <w:p w14:paraId="6F5981FC" w14:textId="77777777" w:rsidR="006A407F" w:rsidRPr="00F2058B" w:rsidRDefault="006A407F" w:rsidP="006A407F">
      <w:pPr>
        <w:tabs>
          <w:tab w:val="center" w:pos="5400"/>
        </w:tabs>
        <w:suppressAutoHyphens/>
        <w:rPr>
          <w:rFonts w:ascii="Cambria" w:hAnsi="Cambria"/>
          <w:sz w:val="20"/>
          <w:szCs w:val="20"/>
          <w:lang w:val="es-419"/>
        </w:rPr>
      </w:pPr>
    </w:p>
    <w:p w14:paraId="57DC876C" w14:textId="77777777" w:rsidR="006A407F" w:rsidRPr="00F2058B" w:rsidRDefault="006A407F" w:rsidP="006A407F">
      <w:pPr>
        <w:tabs>
          <w:tab w:val="center" w:pos="5400"/>
        </w:tabs>
        <w:suppressAutoHyphens/>
        <w:rPr>
          <w:rFonts w:ascii="Cambria" w:hAnsi="Cambria"/>
          <w:sz w:val="20"/>
          <w:szCs w:val="20"/>
          <w:lang w:val="es-419"/>
        </w:rPr>
      </w:pPr>
    </w:p>
    <w:p w14:paraId="42442EC0" w14:textId="77777777" w:rsidR="006A407F" w:rsidRPr="00F2058B" w:rsidRDefault="006A407F" w:rsidP="006A407F">
      <w:pPr>
        <w:tabs>
          <w:tab w:val="center" w:pos="5400"/>
        </w:tabs>
        <w:suppressAutoHyphens/>
        <w:rPr>
          <w:rFonts w:ascii="Cambria" w:hAnsi="Cambria"/>
          <w:sz w:val="20"/>
          <w:szCs w:val="20"/>
          <w:lang w:val="es-419"/>
        </w:rPr>
      </w:pPr>
    </w:p>
    <w:p w14:paraId="4CC24089" w14:textId="77777777" w:rsidR="006A407F" w:rsidRPr="00F2058B" w:rsidRDefault="006A407F" w:rsidP="006A407F">
      <w:pPr>
        <w:tabs>
          <w:tab w:val="center" w:pos="5400"/>
        </w:tabs>
        <w:suppressAutoHyphens/>
        <w:jc w:val="center"/>
        <w:rPr>
          <w:rFonts w:ascii="Cambria" w:hAnsi="Cambria"/>
          <w:sz w:val="20"/>
          <w:szCs w:val="20"/>
          <w:lang w:val="es-419"/>
        </w:rPr>
      </w:pPr>
    </w:p>
    <w:p w14:paraId="533297DE" w14:textId="77777777" w:rsidR="006A407F" w:rsidRPr="00F2058B" w:rsidRDefault="006A407F" w:rsidP="006A407F">
      <w:pPr>
        <w:tabs>
          <w:tab w:val="center" w:pos="5400"/>
        </w:tabs>
        <w:suppressAutoHyphens/>
        <w:jc w:val="center"/>
        <w:rPr>
          <w:rFonts w:ascii="Cambria" w:hAnsi="Cambria"/>
          <w:sz w:val="20"/>
          <w:szCs w:val="20"/>
          <w:lang w:val="es-419"/>
        </w:rPr>
      </w:pPr>
    </w:p>
    <w:p w14:paraId="56F90028" w14:textId="77777777" w:rsidR="006A407F" w:rsidRPr="00F2058B" w:rsidRDefault="006A407F" w:rsidP="006A407F">
      <w:pPr>
        <w:tabs>
          <w:tab w:val="center" w:pos="5400"/>
        </w:tabs>
        <w:suppressAutoHyphens/>
        <w:jc w:val="center"/>
        <w:rPr>
          <w:rFonts w:ascii="Cambria" w:hAnsi="Cambria"/>
          <w:sz w:val="20"/>
          <w:szCs w:val="20"/>
          <w:lang w:val="es-419"/>
        </w:rPr>
      </w:pPr>
    </w:p>
    <w:p w14:paraId="2987D693" w14:textId="77777777" w:rsidR="006A407F" w:rsidRPr="00F2058B" w:rsidRDefault="006A407F" w:rsidP="006A407F">
      <w:pPr>
        <w:tabs>
          <w:tab w:val="center" w:pos="5400"/>
        </w:tabs>
        <w:suppressAutoHyphens/>
        <w:jc w:val="center"/>
        <w:rPr>
          <w:rFonts w:ascii="Cambria" w:hAnsi="Cambria"/>
          <w:sz w:val="20"/>
          <w:szCs w:val="20"/>
          <w:lang w:val="es-419"/>
        </w:rPr>
      </w:pPr>
    </w:p>
    <w:p w14:paraId="5B3F8949" w14:textId="77777777" w:rsidR="006A407F" w:rsidRPr="00F2058B" w:rsidRDefault="006A407F" w:rsidP="006A407F">
      <w:pPr>
        <w:tabs>
          <w:tab w:val="center" w:pos="5400"/>
        </w:tabs>
        <w:suppressAutoHyphens/>
        <w:jc w:val="center"/>
        <w:rPr>
          <w:rFonts w:ascii="Cambria" w:hAnsi="Cambria"/>
          <w:sz w:val="20"/>
          <w:szCs w:val="20"/>
          <w:lang w:val="es-419"/>
        </w:rPr>
      </w:pPr>
    </w:p>
    <w:p w14:paraId="2F82A517" w14:textId="77777777" w:rsidR="006A407F" w:rsidRPr="00F2058B" w:rsidRDefault="006A407F" w:rsidP="006A407F">
      <w:pPr>
        <w:tabs>
          <w:tab w:val="center" w:pos="5400"/>
        </w:tabs>
        <w:suppressAutoHyphens/>
        <w:jc w:val="center"/>
        <w:rPr>
          <w:rFonts w:ascii="Cambria" w:hAnsi="Cambria"/>
          <w:sz w:val="20"/>
          <w:szCs w:val="20"/>
          <w:lang w:val="es-419"/>
        </w:rPr>
      </w:pPr>
    </w:p>
    <w:p w14:paraId="42042897" w14:textId="77777777" w:rsidR="006A407F" w:rsidRPr="00F2058B" w:rsidRDefault="006A407F" w:rsidP="006A407F">
      <w:pPr>
        <w:tabs>
          <w:tab w:val="center" w:pos="5400"/>
        </w:tabs>
        <w:suppressAutoHyphens/>
        <w:jc w:val="center"/>
        <w:rPr>
          <w:rFonts w:ascii="Cambria" w:hAnsi="Cambria"/>
          <w:sz w:val="20"/>
          <w:szCs w:val="20"/>
          <w:lang w:val="es-419"/>
        </w:rPr>
      </w:pPr>
    </w:p>
    <w:p w14:paraId="3495FC67" w14:textId="77777777" w:rsidR="006A407F" w:rsidRPr="00F2058B" w:rsidRDefault="00FD783B" w:rsidP="006A407F">
      <w:pPr>
        <w:tabs>
          <w:tab w:val="center" w:pos="5400"/>
        </w:tabs>
        <w:suppressAutoHyphens/>
        <w:jc w:val="center"/>
        <w:rPr>
          <w:rFonts w:ascii="Cambria" w:hAnsi="Cambria"/>
          <w:sz w:val="20"/>
          <w:szCs w:val="20"/>
          <w:lang w:val="es-419"/>
        </w:rPr>
      </w:pPr>
      <w:r w:rsidRPr="00F2058B">
        <w:rPr>
          <w:rFonts w:ascii="Cambria" w:hAnsi="Cambria"/>
          <w:noProof/>
          <w:sz w:val="20"/>
          <w:szCs w:val="20"/>
          <w:bdr w:val="none" w:sz="0" w:space="0" w:color="auto"/>
          <w:lang w:val="es-419"/>
        </w:rPr>
        <mc:AlternateContent>
          <mc:Choice Requires="wps">
            <w:drawing>
              <wp:anchor distT="0" distB="0" distL="114300" distR="114300" simplePos="0" relativeHeight="251654144" behindDoc="0" locked="0" layoutInCell="1" allowOverlap="1" wp14:anchorId="5ACFEB72" wp14:editId="758864BB">
                <wp:simplePos x="0" y="0"/>
                <wp:positionH relativeFrom="column">
                  <wp:posOffset>1352390</wp:posOffset>
                </wp:positionH>
                <wp:positionV relativeFrom="paragraph">
                  <wp:posOffset>108473</wp:posOffset>
                </wp:positionV>
                <wp:extent cx="4441190" cy="2397418"/>
                <wp:effectExtent l="0" t="0" r="0" b="317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1190" cy="2397418"/>
                        </a:xfrm>
                        <a:prstGeom prst="rect">
                          <a:avLst/>
                        </a:prstGeom>
                        <a:noFill/>
                        <a:ln w="6350">
                          <a:noFill/>
                        </a:ln>
                        <a:effectLst/>
                      </wps:spPr>
                      <wps:txbx>
                        <w:txbxContent>
                          <w:p w14:paraId="52945B67" w14:textId="038FB711" w:rsidR="002F4213" w:rsidRPr="00CF46FC" w:rsidRDefault="002F4213" w:rsidP="006A407F">
                            <w:pPr>
                              <w:spacing w:line="276" w:lineRule="auto"/>
                              <w:rPr>
                                <w:rFonts w:ascii="Cambria" w:hAnsi="Cambria" w:cs="Arial"/>
                                <w:b/>
                                <w:bCs/>
                                <w:color w:val="0D0D0D"/>
                                <w:sz w:val="36"/>
                                <w:szCs w:val="22"/>
                                <w:lang w:val="es-US"/>
                              </w:rPr>
                            </w:pPr>
                            <w:r w:rsidRPr="00F707F7">
                              <w:rPr>
                                <w:rFonts w:ascii="Cambria" w:hAnsi="Cambria" w:cs="Arial"/>
                                <w:b/>
                                <w:bCs/>
                                <w:color w:val="0D0D0D"/>
                                <w:sz w:val="36"/>
                                <w:szCs w:val="22"/>
                                <w:lang w:val="es-MX"/>
                              </w:rPr>
                              <w:t xml:space="preserve">INFORME </w:t>
                            </w:r>
                            <w:r w:rsidRPr="00F707F7">
                              <w:rPr>
                                <w:rFonts w:ascii="Cambria" w:hAnsi="Cambria" w:cs="Arial"/>
                                <w:b/>
                                <w:bCs/>
                                <w:color w:val="0D0D0D"/>
                                <w:sz w:val="36"/>
                                <w:szCs w:val="40"/>
                                <w:lang w:val="es-MX"/>
                              </w:rPr>
                              <w:t>No.</w:t>
                            </w:r>
                            <w:r w:rsidRPr="00F707F7">
                              <w:rPr>
                                <w:rFonts w:ascii="Cambria" w:hAnsi="Cambria" w:cs="Arial"/>
                                <w:b/>
                                <w:bCs/>
                                <w:color w:val="0D0D0D"/>
                                <w:sz w:val="36"/>
                                <w:szCs w:val="22"/>
                                <w:lang w:val="es-MX"/>
                              </w:rPr>
                              <w:t xml:space="preserve"> </w:t>
                            </w:r>
                            <w:r w:rsidR="00594E6D">
                              <w:rPr>
                                <w:rFonts w:ascii="Cambria" w:hAnsi="Cambria" w:cs="Arial"/>
                                <w:b/>
                                <w:bCs/>
                                <w:color w:val="0D0D0D"/>
                                <w:sz w:val="36"/>
                                <w:szCs w:val="22"/>
                                <w:lang w:val="es-MX"/>
                              </w:rPr>
                              <w:t>241</w:t>
                            </w:r>
                            <w:r>
                              <w:rPr>
                                <w:rFonts w:ascii="Cambria" w:hAnsi="Cambria" w:cs="Arial"/>
                                <w:b/>
                                <w:bCs/>
                                <w:color w:val="0D0D0D"/>
                                <w:sz w:val="36"/>
                                <w:szCs w:val="22"/>
                                <w:lang w:val="es-US"/>
                              </w:rPr>
                              <w:t>/2</w:t>
                            </w:r>
                            <w:r w:rsidR="00AD0849">
                              <w:rPr>
                                <w:rFonts w:ascii="Cambria" w:hAnsi="Cambria" w:cs="Arial"/>
                                <w:b/>
                                <w:bCs/>
                                <w:color w:val="0D0D0D"/>
                                <w:sz w:val="36"/>
                                <w:szCs w:val="22"/>
                                <w:lang w:val="es-US"/>
                              </w:rPr>
                              <w:t>5</w:t>
                            </w:r>
                          </w:p>
                          <w:p w14:paraId="20836E5D" w14:textId="77777777" w:rsidR="002F4213" w:rsidRDefault="002F4213" w:rsidP="006A407F">
                            <w:pPr>
                              <w:spacing w:line="276" w:lineRule="auto"/>
                              <w:rPr>
                                <w:rFonts w:ascii="Cambria" w:hAnsi="Cambria" w:cs="Arial"/>
                                <w:b/>
                                <w:color w:val="0D0D0D"/>
                                <w:sz w:val="36"/>
                                <w:szCs w:val="22"/>
                                <w:lang w:val="es-MX"/>
                              </w:rPr>
                            </w:pPr>
                            <w:r>
                              <w:rPr>
                                <w:rFonts w:ascii="Cambria" w:hAnsi="Cambria" w:cs="Arial"/>
                                <w:b/>
                                <w:color w:val="0D0D0D"/>
                                <w:sz w:val="36"/>
                                <w:szCs w:val="22"/>
                                <w:lang w:val="es-MX"/>
                              </w:rPr>
                              <w:t xml:space="preserve">CASO 12.636 </w:t>
                            </w:r>
                          </w:p>
                          <w:p w14:paraId="3907F0B5" w14:textId="03C69068" w:rsidR="002F4213" w:rsidRDefault="002F4213" w:rsidP="006A407F">
                            <w:pPr>
                              <w:spacing w:line="276" w:lineRule="auto"/>
                              <w:rPr>
                                <w:rFonts w:ascii="Cambria" w:hAnsi="Cambria" w:cs="Arial"/>
                                <w:color w:val="0D0D0D"/>
                                <w:szCs w:val="22"/>
                                <w:lang w:val="es-ES_tradnl"/>
                              </w:rPr>
                            </w:pPr>
                            <w:r w:rsidRPr="006C777D">
                              <w:rPr>
                                <w:rFonts w:ascii="Cambria" w:hAnsi="Cambria" w:cs="Arial"/>
                                <w:color w:val="0D0D0D"/>
                                <w:szCs w:val="22"/>
                                <w:lang w:val="es-ES_tradnl"/>
                              </w:rPr>
                              <w:t>INFORME DE FONDO</w:t>
                            </w:r>
                            <w:bookmarkStart w:id="0" w:name="_ftnref1"/>
                            <w:r w:rsidR="00AD0849">
                              <w:rPr>
                                <w:rFonts w:ascii="Cambria" w:hAnsi="Cambria" w:cs="Arial"/>
                                <w:color w:val="0D0D0D"/>
                                <w:szCs w:val="22"/>
                                <w:lang w:val="es-ES_tradnl"/>
                              </w:rPr>
                              <w:t xml:space="preserve"> </w:t>
                            </w:r>
                            <w:r w:rsidR="00AD0849" w:rsidRPr="004A1F38">
                              <w:rPr>
                                <w:rFonts w:ascii="Cambria" w:hAnsi="Cambria" w:cs="Arial"/>
                                <w:color w:val="0D0D0D"/>
                                <w:szCs w:val="22"/>
                                <w:lang w:val="es-ES_tradnl"/>
                              </w:rPr>
                              <w:t>(</w:t>
                            </w:r>
                            <w:r w:rsidR="00F14527" w:rsidRPr="00594E6D">
                              <w:rPr>
                                <w:rFonts w:ascii="Cambria" w:hAnsi="Cambria" w:cs="Arial"/>
                                <w:color w:val="0D0D0D"/>
                                <w:szCs w:val="22"/>
                                <w:lang w:val="es-ES_tradnl"/>
                              </w:rPr>
                              <w:t>PUBLICACI</w:t>
                            </w:r>
                            <w:r w:rsidR="00F14527" w:rsidRPr="00594E6D">
                              <w:rPr>
                                <w:rFonts w:ascii="Cambria" w:hAnsi="Cambria" w:cs="Arial"/>
                                <w:color w:val="0D0D0D"/>
                                <w:szCs w:val="22"/>
                                <w:lang w:val="es-US"/>
                              </w:rPr>
                              <w:t>ÓN</w:t>
                            </w:r>
                            <w:r w:rsidR="00AD0849" w:rsidRPr="00594E6D">
                              <w:rPr>
                                <w:rFonts w:ascii="Cambria" w:hAnsi="Cambria" w:cs="Arial"/>
                                <w:color w:val="0D0D0D"/>
                                <w:szCs w:val="22"/>
                                <w:lang w:val="es-ES_tradnl"/>
                              </w:rPr>
                              <w:t>)</w:t>
                            </w:r>
                          </w:p>
                          <w:p w14:paraId="00AA1870" w14:textId="77777777" w:rsidR="002F4213" w:rsidRPr="006C777D" w:rsidRDefault="002F4213" w:rsidP="006A407F">
                            <w:pPr>
                              <w:spacing w:line="276" w:lineRule="auto"/>
                              <w:rPr>
                                <w:rFonts w:ascii="Cambria" w:hAnsi="Cambria" w:cs="Arial"/>
                                <w:color w:val="0D0D0D"/>
                                <w:szCs w:val="22"/>
                                <w:lang w:val="es-ES_tradnl"/>
                              </w:rPr>
                            </w:pPr>
                          </w:p>
                          <w:p w14:paraId="18783B82" w14:textId="7C79E986" w:rsidR="002F4213" w:rsidRPr="00A43C93" w:rsidRDefault="002F4213" w:rsidP="006A407F">
                            <w:pPr>
                              <w:spacing w:line="276" w:lineRule="auto"/>
                              <w:rPr>
                                <w:rFonts w:ascii="Cambria" w:hAnsi="Cambria" w:cs="Arial"/>
                                <w:color w:val="0D0D0D"/>
                                <w:szCs w:val="22"/>
                                <w:lang w:val="es-ES_tradnl"/>
                              </w:rPr>
                            </w:pPr>
                            <w:r>
                              <w:rPr>
                                <w:rFonts w:ascii="Cambria" w:hAnsi="Cambria" w:cs="Arial"/>
                                <w:color w:val="0D0D0D"/>
                                <w:szCs w:val="22"/>
                                <w:lang w:val="es-ES_tradnl"/>
                              </w:rPr>
                              <w:t>EDGAR QUIROGA, GILDARDO FUENTES Y</w:t>
                            </w:r>
                            <w:r w:rsidRPr="00A43C93">
                              <w:rPr>
                                <w:rFonts w:ascii="Cambria" w:hAnsi="Cambria" w:cs="Arial"/>
                                <w:color w:val="0D0D0D"/>
                                <w:szCs w:val="22"/>
                                <w:lang w:val="es-ES_tradnl"/>
                              </w:rPr>
                              <w:t xml:space="preserve"> </w:t>
                            </w:r>
                            <w:r>
                              <w:rPr>
                                <w:rFonts w:ascii="Cambria" w:hAnsi="Cambria" w:cs="Arial"/>
                                <w:color w:val="0D0D0D"/>
                                <w:szCs w:val="22"/>
                                <w:lang w:val="es-ES_tradnl"/>
                              </w:rPr>
                              <w:t>VICTORIA DELGADO ANAYA</w:t>
                            </w:r>
                          </w:p>
                          <w:bookmarkEnd w:id="0"/>
                          <w:p w14:paraId="578FB441" w14:textId="77777777" w:rsidR="002F4213" w:rsidRPr="006C777D" w:rsidRDefault="002F4213" w:rsidP="006A407F">
                            <w:pPr>
                              <w:spacing w:line="276" w:lineRule="auto"/>
                              <w:rPr>
                                <w:rFonts w:ascii="Cambria" w:hAnsi="Cambria" w:cs="Arial"/>
                                <w:color w:val="0D0D0D"/>
                                <w:szCs w:val="22"/>
                                <w:lang w:val="es-ES"/>
                              </w:rPr>
                            </w:pPr>
                            <w:r>
                              <w:rPr>
                                <w:rFonts w:ascii="Cambria" w:hAnsi="Cambria" w:cs="Arial"/>
                                <w:color w:val="0D0D0D"/>
                                <w:szCs w:val="22"/>
                                <w:lang w:val="es-ES_tradnl"/>
                              </w:rPr>
                              <w:t>COLOMBIA</w:t>
                            </w:r>
                          </w:p>
                          <w:p w14:paraId="3F0318A3" w14:textId="77777777" w:rsidR="002F4213" w:rsidRPr="00A95E0A" w:rsidRDefault="002F4213" w:rsidP="006A407F">
                            <w:pPr>
                              <w:rPr>
                                <w:color w:val="0D0D0D"/>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FEB72" id="Text Box 5" o:spid="_x0000_s1027" type="#_x0000_t202" style="position:absolute;left:0;text-align:left;margin-left:106.5pt;margin-top:8.55pt;width:349.7pt;height:18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" filled="f" stroked="f" strokeweight=".5pt">
                <v:textbox>
                  <w:txbxContent>
                    <w:p w14:paraId="52945B67" w14:textId="038FB711" w:rsidR="002F4213" w:rsidRPr="00CF46FC" w:rsidRDefault="002F4213" w:rsidP="006A407F">
                      <w:pPr>
                        <w:spacing w:line="276" w:lineRule="auto"/>
                        <w:rPr>
                          <w:rFonts w:ascii="Cambria" w:hAnsi="Cambria" w:cs="Arial"/>
                          <w:b/>
                          <w:bCs/>
                          <w:color w:val="0D0D0D"/>
                          <w:sz w:val="36"/>
                          <w:szCs w:val="22"/>
                          <w:lang w:val="es-US"/>
                        </w:rPr>
                      </w:pPr>
                      <w:r w:rsidRPr="00F707F7">
                        <w:rPr>
                          <w:rFonts w:ascii="Cambria" w:hAnsi="Cambria" w:cs="Arial"/>
                          <w:b/>
                          <w:bCs/>
                          <w:color w:val="0D0D0D"/>
                          <w:sz w:val="36"/>
                          <w:szCs w:val="22"/>
                          <w:lang w:val="es-MX"/>
                        </w:rPr>
                        <w:t xml:space="preserve">INFORME </w:t>
                      </w:r>
                      <w:r w:rsidRPr="00F707F7">
                        <w:rPr>
                          <w:rFonts w:ascii="Cambria" w:hAnsi="Cambria" w:cs="Arial"/>
                          <w:b/>
                          <w:bCs/>
                          <w:color w:val="0D0D0D"/>
                          <w:sz w:val="36"/>
                          <w:szCs w:val="40"/>
                          <w:lang w:val="es-MX"/>
                        </w:rPr>
                        <w:t>No.</w:t>
                      </w:r>
                      <w:r w:rsidRPr="00F707F7">
                        <w:rPr>
                          <w:rFonts w:ascii="Cambria" w:hAnsi="Cambria" w:cs="Arial"/>
                          <w:b/>
                          <w:bCs/>
                          <w:color w:val="0D0D0D"/>
                          <w:sz w:val="36"/>
                          <w:szCs w:val="22"/>
                          <w:lang w:val="es-MX"/>
                        </w:rPr>
                        <w:t xml:space="preserve"> </w:t>
                      </w:r>
                      <w:r w:rsidR="00594E6D">
                        <w:rPr>
                          <w:rFonts w:ascii="Cambria" w:hAnsi="Cambria" w:cs="Arial"/>
                          <w:b/>
                          <w:bCs/>
                          <w:color w:val="0D0D0D"/>
                          <w:sz w:val="36"/>
                          <w:szCs w:val="22"/>
                          <w:lang w:val="es-MX"/>
                        </w:rPr>
                        <w:t>241</w:t>
                      </w:r>
                      <w:r>
                        <w:rPr>
                          <w:rFonts w:ascii="Cambria" w:hAnsi="Cambria" w:cs="Arial"/>
                          <w:b/>
                          <w:bCs/>
                          <w:color w:val="0D0D0D"/>
                          <w:sz w:val="36"/>
                          <w:szCs w:val="22"/>
                          <w:lang w:val="es-US"/>
                        </w:rPr>
                        <w:t>/2</w:t>
                      </w:r>
                      <w:r w:rsidR="00AD0849">
                        <w:rPr>
                          <w:rFonts w:ascii="Cambria" w:hAnsi="Cambria" w:cs="Arial"/>
                          <w:b/>
                          <w:bCs/>
                          <w:color w:val="0D0D0D"/>
                          <w:sz w:val="36"/>
                          <w:szCs w:val="22"/>
                          <w:lang w:val="es-US"/>
                        </w:rPr>
                        <w:t>5</w:t>
                      </w:r>
                    </w:p>
                    <w:p w14:paraId="20836E5D" w14:textId="77777777" w:rsidR="002F4213" w:rsidRDefault="002F4213" w:rsidP="006A407F">
                      <w:pPr>
                        <w:spacing w:line="276" w:lineRule="auto"/>
                        <w:rPr>
                          <w:rFonts w:ascii="Cambria" w:hAnsi="Cambria" w:cs="Arial"/>
                          <w:b/>
                          <w:color w:val="0D0D0D"/>
                          <w:sz w:val="36"/>
                          <w:szCs w:val="22"/>
                          <w:lang w:val="es-MX"/>
                        </w:rPr>
                      </w:pPr>
                      <w:r>
                        <w:rPr>
                          <w:rFonts w:ascii="Cambria" w:hAnsi="Cambria" w:cs="Arial"/>
                          <w:b/>
                          <w:color w:val="0D0D0D"/>
                          <w:sz w:val="36"/>
                          <w:szCs w:val="22"/>
                          <w:lang w:val="es-MX"/>
                        </w:rPr>
                        <w:t xml:space="preserve">CASO 12.636 </w:t>
                      </w:r>
                    </w:p>
                    <w:p w14:paraId="3907F0B5" w14:textId="03C69068" w:rsidR="002F4213" w:rsidRDefault="002F4213" w:rsidP="006A407F">
                      <w:pPr>
                        <w:spacing w:line="276" w:lineRule="auto"/>
                        <w:rPr>
                          <w:rFonts w:ascii="Cambria" w:hAnsi="Cambria" w:cs="Arial"/>
                          <w:color w:val="0D0D0D"/>
                          <w:szCs w:val="22"/>
                          <w:lang w:val="es-ES_tradnl"/>
                        </w:rPr>
                      </w:pPr>
                      <w:r w:rsidRPr="006C777D">
                        <w:rPr>
                          <w:rFonts w:ascii="Cambria" w:hAnsi="Cambria" w:cs="Arial"/>
                          <w:color w:val="0D0D0D"/>
                          <w:szCs w:val="22"/>
                          <w:lang w:val="es-ES_tradnl"/>
                        </w:rPr>
                        <w:t>INFORME DE FONDO</w:t>
                      </w:r>
                      <w:bookmarkStart w:id="1" w:name="_ftnref1"/>
                      <w:r w:rsidR="00AD0849">
                        <w:rPr>
                          <w:rFonts w:ascii="Cambria" w:hAnsi="Cambria" w:cs="Arial"/>
                          <w:color w:val="0D0D0D"/>
                          <w:szCs w:val="22"/>
                          <w:lang w:val="es-ES_tradnl"/>
                        </w:rPr>
                        <w:t xml:space="preserve"> </w:t>
                      </w:r>
                      <w:r w:rsidR="00AD0849" w:rsidRPr="004A1F38">
                        <w:rPr>
                          <w:rFonts w:ascii="Cambria" w:hAnsi="Cambria" w:cs="Arial"/>
                          <w:color w:val="0D0D0D"/>
                          <w:szCs w:val="22"/>
                          <w:lang w:val="es-ES_tradnl"/>
                        </w:rPr>
                        <w:t>(</w:t>
                      </w:r>
                      <w:r w:rsidR="00F14527" w:rsidRPr="00594E6D">
                        <w:rPr>
                          <w:rFonts w:ascii="Cambria" w:hAnsi="Cambria" w:cs="Arial"/>
                          <w:color w:val="0D0D0D"/>
                          <w:szCs w:val="22"/>
                          <w:lang w:val="es-ES_tradnl"/>
                        </w:rPr>
                        <w:t>PUBLICACI</w:t>
                      </w:r>
                      <w:r w:rsidR="00F14527" w:rsidRPr="00594E6D">
                        <w:rPr>
                          <w:rFonts w:ascii="Cambria" w:hAnsi="Cambria" w:cs="Arial"/>
                          <w:color w:val="0D0D0D"/>
                          <w:szCs w:val="22"/>
                          <w:lang w:val="es-US"/>
                        </w:rPr>
                        <w:t>ÓN</w:t>
                      </w:r>
                      <w:r w:rsidR="00AD0849" w:rsidRPr="00594E6D">
                        <w:rPr>
                          <w:rFonts w:ascii="Cambria" w:hAnsi="Cambria" w:cs="Arial"/>
                          <w:color w:val="0D0D0D"/>
                          <w:szCs w:val="22"/>
                          <w:lang w:val="es-ES_tradnl"/>
                        </w:rPr>
                        <w:t>)</w:t>
                      </w:r>
                    </w:p>
                    <w:p w14:paraId="00AA1870" w14:textId="77777777" w:rsidR="002F4213" w:rsidRPr="006C777D" w:rsidRDefault="002F4213" w:rsidP="006A407F">
                      <w:pPr>
                        <w:spacing w:line="276" w:lineRule="auto"/>
                        <w:rPr>
                          <w:rFonts w:ascii="Cambria" w:hAnsi="Cambria" w:cs="Arial"/>
                          <w:color w:val="0D0D0D"/>
                          <w:szCs w:val="22"/>
                          <w:lang w:val="es-ES_tradnl"/>
                        </w:rPr>
                      </w:pPr>
                    </w:p>
                    <w:p w14:paraId="18783B82" w14:textId="7C79E986" w:rsidR="002F4213" w:rsidRPr="00A43C93" w:rsidRDefault="002F4213" w:rsidP="006A407F">
                      <w:pPr>
                        <w:spacing w:line="276" w:lineRule="auto"/>
                        <w:rPr>
                          <w:rFonts w:ascii="Cambria" w:hAnsi="Cambria" w:cs="Arial"/>
                          <w:color w:val="0D0D0D"/>
                          <w:szCs w:val="22"/>
                          <w:lang w:val="es-ES_tradnl"/>
                        </w:rPr>
                      </w:pPr>
                      <w:r>
                        <w:rPr>
                          <w:rFonts w:ascii="Cambria" w:hAnsi="Cambria" w:cs="Arial"/>
                          <w:color w:val="0D0D0D"/>
                          <w:szCs w:val="22"/>
                          <w:lang w:val="es-ES_tradnl"/>
                        </w:rPr>
                        <w:t>EDGAR QUIROGA, GILDARDO FUENTES Y</w:t>
                      </w:r>
                      <w:r w:rsidRPr="00A43C93">
                        <w:rPr>
                          <w:rFonts w:ascii="Cambria" w:hAnsi="Cambria" w:cs="Arial"/>
                          <w:color w:val="0D0D0D"/>
                          <w:szCs w:val="22"/>
                          <w:lang w:val="es-ES_tradnl"/>
                        </w:rPr>
                        <w:t xml:space="preserve"> </w:t>
                      </w:r>
                      <w:r>
                        <w:rPr>
                          <w:rFonts w:ascii="Cambria" w:hAnsi="Cambria" w:cs="Arial"/>
                          <w:color w:val="0D0D0D"/>
                          <w:szCs w:val="22"/>
                          <w:lang w:val="es-ES_tradnl"/>
                        </w:rPr>
                        <w:t>VICTORIA DELGADO ANAYA</w:t>
                      </w:r>
                    </w:p>
                    <w:bookmarkEnd w:id="1"/>
                    <w:p w14:paraId="578FB441" w14:textId="77777777" w:rsidR="002F4213" w:rsidRPr="006C777D" w:rsidRDefault="002F4213" w:rsidP="006A407F">
                      <w:pPr>
                        <w:spacing w:line="276" w:lineRule="auto"/>
                        <w:rPr>
                          <w:rFonts w:ascii="Cambria" w:hAnsi="Cambria" w:cs="Arial"/>
                          <w:color w:val="0D0D0D"/>
                          <w:szCs w:val="22"/>
                          <w:lang w:val="es-ES"/>
                        </w:rPr>
                      </w:pPr>
                      <w:r>
                        <w:rPr>
                          <w:rFonts w:ascii="Cambria" w:hAnsi="Cambria" w:cs="Arial"/>
                          <w:color w:val="0D0D0D"/>
                          <w:szCs w:val="22"/>
                          <w:lang w:val="es-ES_tradnl"/>
                        </w:rPr>
                        <w:t>COLOMBIA</w:t>
                      </w:r>
                    </w:p>
                    <w:p w14:paraId="3F0318A3" w14:textId="77777777" w:rsidR="002F4213" w:rsidRPr="00A95E0A" w:rsidRDefault="002F4213" w:rsidP="006A407F">
                      <w:pPr>
                        <w:rPr>
                          <w:color w:val="0D0D0D"/>
                          <w:lang w:val="es-ES"/>
                        </w:rPr>
                      </w:pPr>
                    </w:p>
                  </w:txbxContent>
                </v:textbox>
              </v:shape>
            </w:pict>
          </mc:Fallback>
        </mc:AlternateContent>
      </w:r>
      <w:r w:rsidRPr="00F2058B">
        <w:rPr>
          <w:rFonts w:ascii="Cambria" w:hAnsi="Cambria"/>
          <w:noProof/>
          <w:sz w:val="20"/>
          <w:szCs w:val="20"/>
          <w:bdr w:val="none" w:sz="0" w:space="0" w:color="auto"/>
          <w:lang w:val="es-419"/>
        </w:rPr>
        <mc:AlternateContent>
          <mc:Choice Requires="wps">
            <w:drawing>
              <wp:anchor distT="0" distB="0" distL="114300" distR="114300" simplePos="0" relativeHeight="251656192" behindDoc="0" locked="0" layoutInCell="1" allowOverlap="1" wp14:anchorId="0C8D3E7E" wp14:editId="21A31243">
                <wp:simplePos x="0" y="0"/>
                <wp:positionH relativeFrom="column">
                  <wp:posOffset>-342265</wp:posOffset>
                </wp:positionH>
                <wp:positionV relativeFrom="paragraph">
                  <wp:posOffset>164465</wp:posOffset>
                </wp:positionV>
                <wp:extent cx="1390650" cy="13773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1377315"/>
                        </a:xfrm>
                        <a:prstGeom prst="rect">
                          <a:avLst/>
                        </a:prstGeom>
                        <a:noFill/>
                        <a:ln w="6350">
                          <a:noFill/>
                        </a:ln>
                        <a:effectLst/>
                      </wps:spPr>
                      <wps:txbx>
                        <w:txbxContent>
                          <w:p w14:paraId="2A802B4D" w14:textId="34A38E52" w:rsidR="002F4213" w:rsidRPr="00CF4C63" w:rsidRDefault="002F4213" w:rsidP="006A407F">
                            <w:pPr>
                              <w:spacing w:line="276" w:lineRule="auto"/>
                              <w:jc w:val="right"/>
                              <w:rPr>
                                <w:rFonts w:ascii="Calibri" w:hAnsi="Calibri"/>
                                <w:color w:val="FFFFFF"/>
                                <w:sz w:val="22"/>
                                <w:lang w:val="es-US"/>
                              </w:rPr>
                            </w:pPr>
                            <w:r w:rsidRPr="00CF4C63">
                              <w:rPr>
                                <w:rFonts w:ascii="Calibri" w:hAnsi="Calibri"/>
                                <w:color w:val="FFFFFF"/>
                                <w:sz w:val="22"/>
                                <w:lang w:val="es-US"/>
                              </w:rPr>
                              <w:t>OEA/Ser.L/V/II</w:t>
                            </w:r>
                          </w:p>
                          <w:p w14:paraId="120A00DE" w14:textId="5AE11A45" w:rsidR="002F4213" w:rsidRPr="00CF4C63" w:rsidRDefault="002F4213" w:rsidP="006A407F">
                            <w:pPr>
                              <w:spacing w:line="276" w:lineRule="auto"/>
                              <w:jc w:val="right"/>
                              <w:rPr>
                                <w:rFonts w:ascii="Calibri" w:hAnsi="Calibri"/>
                                <w:color w:val="FFFFFF"/>
                                <w:sz w:val="22"/>
                                <w:lang w:val="es-US"/>
                              </w:rPr>
                            </w:pPr>
                            <w:r w:rsidRPr="00CF4C63">
                              <w:rPr>
                                <w:rFonts w:ascii="Calibri" w:hAnsi="Calibri"/>
                                <w:color w:val="FFFFFF"/>
                                <w:sz w:val="22"/>
                                <w:lang w:val="es-US"/>
                              </w:rPr>
                              <w:t xml:space="preserve">Doc. </w:t>
                            </w:r>
                            <w:r w:rsidR="00594E6D">
                              <w:rPr>
                                <w:rFonts w:ascii="Calibri" w:hAnsi="Calibri"/>
                                <w:color w:val="FFFFFF"/>
                                <w:sz w:val="22"/>
                                <w:lang w:val="es-US"/>
                              </w:rPr>
                              <w:t>255</w:t>
                            </w:r>
                          </w:p>
                          <w:p w14:paraId="24CFFA99" w14:textId="77BCA155" w:rsidR="002F4213" w:rsidRPr="006C777D" w:rsidRDefault="00BE71E4" w:rsidP="006A407F">
                            <w:pPr>
                              <w:spacing w:line="276" w:lineRule="auto"/>
                              <w:jc w:val="right"/>
                              <w:rPr>
                                <w:rFonts w:ascii="Calibri" w:hAnsi="Calibri"/>
                                <w:color w:val="FFFFFF"/>
                                <w:sz w:val="22"/>
                                <w:lang w:val="es-ES"/>
                              </w:rPr>
                            </w:pPr>
                            <w:r>
                              <w:rPr>
                                <w:rFonts w:ascii="Calibri" w:hAnsi="Calibri"/>
                                <w:color w:val="FFFFFF"/>
                                <w:sz w:val="22"/>
                                <w:lang w:val="es-US"/>
                              </w:rPr>
                              <w:t>14 noviembre</w:t>
                            </w:r>
                            <w:r w:rsidR="00AD0849" w:rsidRPr="00CF4C63">
                              <w:rPr>
                                <w:rFonts w:ascii="Calibri" w:hAnsi="Calibri"/>
                                <w:color w:val="FFFFFF"/>
                                <w:sz w:val="22"/>
                                <w:lang w:val="es-US"/>
                              </w:rPr>
                              <w:t xml:space="preserve"> </w:t>
                            </w:r>
                            <w:r w:rsidR="002F4213" w:rsidRPr="006C777D">
                              <w:rPr>
                                <w:rFonts w:ascii="Calibri" w:hAnsi="Calibri"/>
                                <w:color w:val="FFFFFF"/>
                                <w:sz w:val="22"/>
                                <w:lang w:val="es-ES"/>
                              </w:rPr>
                              <w:t>20</w:t>
                            </w:r>
                            <w:r w:rsidR="002F4213">
                              <w:rPr>
                                <w:rFonts w:ascii="Calibri" w:hAnsi="Calibri"/>
                                <w:color w:val="FFFFFF"/>
                                <w:sz w:val="22"/>
                                <w:lang w:val="es-ES"/>
                              </w:rPr>
                              <w:t>2</w:t>
                            </w:r>
                            <w:r w:rsidR="00AD0849">
                              <w:rPr>
                                <w:rFonts w:ascii="Calibri" w:hAnsi="Calibri"/>
                                <w:color w:val="FFFFFF"/>
                                <w:sz w:val="22"/>
                                <w:lang w:val="es-ES"/>
                              </w:rPr>
                              <w:t>5</w:t>
                            </w:r>
                          </w:p>
                          <w:p w14:paraId="59CD9107" w14:textId="665A7319" w:rsidR="002F4213" w:rsidRPr="006C777D" w:rsidRDefault="002F4213" w:rsidP="006A407F">
                            <w:pPr>
                              <w:spacing w:line="276" w:lineRule="auto"/>
                              <w:jc w:val="right"/>
                              <w:rPr>
                                <w:rFonts w:ascii="Calibri" w:hAnsi="Calibri"/>
                                <w:color w:val="FFFFFF"/>
                                <w:sz w:val="22"/>
                                <w:lang w:val="es-ES"/>
                              </w:rPr>
                            </w:pPr>
                            <w:r>
                              <w:rPr>
                                <w:rFonts w:ascii="Calibri" w:hAnsi="Calibri"/>
                                <w:color w:val="FFFFFF"/>
                                <w:sz w:val="22"/>
                                <w:lang w:val="es-ES"/>
                              </w:rPr>
                              <w:t>Original: e</w:t>
                            </w:r>
                            <w:r w:rsidRPr="006C777D">
                              <w:rPr>
                                <w:rFonts w:ascii="Calibri" w:hAnsi="Calibri"/>
                                <w:color w:val="FFFFFF"/>
                                <w:sz w:val="22"/>
                                <w:lang w:val="es-ES"/>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D3E7E" id="Text Box 8" o:spid="_x0000_s1028" type="#_x0000_t202" style="position:absolute;left:0;text-align:left;margin-left:-26.95pt;margin-top:12.95pt;width:109.5pt;height:10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" filled="f" stroked="f" strokeweight=".5pt">
                <v:textbox>
                  <w:txbxContent>
                    <w:p w14:paraId="2A802B4D" w14:textId="34A38E52" w:rsidR="002F4213" w:rsidRPr="00CF4C63" w:rsidRDefault="002F4213" w:rsidP="006A407F">
                      <w:pPr>
                        <w:spacing w:line="276" w:lineRule="auto"/>
                        <w:jc w:val="right"/>
                        <w:rPr>
                          <w:rFonts w:ascii="Calibri" w:hAnsi="Calibri"/>
                          <w:color w:val="FFFFFF"/>
                          <w:sz w:val="22"/>
                          <w:lang w:val="es-US"/>
                        </w:rPr>
                      </w:pPr>
                      <w:r w:rsidRPr="00CF4C63">
                        <w:rPr>
                          <w:rFonts w:ascii="Calibri" w:hAnsi="Calibri"/>
                          <w:color w:val="FFFFFF"/>
                          <w:sz w:val="22"/>
                          <w:lang w:val="es-US"/>
                        </w:rPr>
                        <w:t>OEA/Ser.L/V/II</w:t>
                      </w:r>
                    </w:p>
                    <w:p w14:paraId="120A00DE" w14:textId="5AE11A45" w:rsidR="002F4213" w:rsidRPr="00CF4C63" w:rsidRDefault="002F4213" w:rsidP="006A407F">
                      <w:pPr>
                        <w:spacing w:line="276" w:lineRule="auto"/>
                        <w:jc w:val="right"/>
                        <w:rPr>
                          <w:rFonts w:ascii="Calibri" w:hAnsi="Calibri"/>
                          <w:color w:val="FFFFFF"/>
                          <w:sz w:val="22"/>
                          <w:lang w:val="es-US"/>
                        </w:rPr>
                      </w:pPr>
                      <w:r w:rsidRPr="00CF4C63">
                        <w:rPr>
                          <w:rFonts w:ascii="Calibri" w:hAnsi="Calibri"/>
                          <w:color w:val="FFFFFF"/>
                          <w:sz w:val="22"/>
                          <w:lang w:val="es-US"/>
                        </w:rPr>
                        <w:t xml:space="preserve">Doc. </w:t>
                      </w:r>
                      <w:r w:rsidR="00594E6D">
                        <w:rPr>
                          <w:rFonts w:ascii="Calibri" w:hAnsi="Calibri"/>
                          <w:color w:val="FFFFFF"/>
                          <w:sz w:val="22"/>
                          <w:lang w:val="es-US"/>
                        </w:rPr>
                        <w:t>255</w:t>
                      </w:r>
                    </w:p>
                    <w:p w14:paraId="24CFFA99" w14:textId="77BCA155" w:rsidR="002F4213" w:rsidRPr="006C777D" w:rsidRDefault="00BE71E4" w:rsidP="006A407F">
                      <w:pPr>
                        <w:spacing w:line="276" w:lineRule="auto"/>
                        <w:jc w:val="right"/>
                        <w:rPr>
                          <w:rFonts w:ascii="Calibri" w:hAnsi="Calibri"/>
                          <w:color w:val="FFFFFF"/>
                          <w:sz w:val="22"/>
                          <w:lang w:val="es-ES"/>
                        </w:rPr>
                      </w:pPr>
                      <w:r>
                        <w:rPr>
                          <w:rFonts w:ascii="Calibri" w:hAnsi="Calibri"/>
                          <w:color w:val="FFFFFF"/>
                          <w:sz w:val="22"/>
                          <w:lang w:val="es-US"/>
                        </w:rPr>
                        <w:t>14 noviembre</w:t>
                      </w:r>
                      <w:r w:rsidR="00AD0849" w:rsidRPr="00CF4C63">
                        <w:rPr>
                          <w:rFonts w:ascii="Calibri" w:hAnsi="Calibri"/>
                          <w:color w:val="FFFFFF"/>
                          <w:sz w:val="22"/>
                          <w:lang w:val="es-US"/>
                        </w:rPr>
                        <w:t xml:space="preserve"> </w:t>
                      </w:r>
                      <w:r w:rsidR="002F4213" w:rsidRPr="006C777D">
                        <w:rPr>
                          <w:rFonts w:ascii="Calibri" w:hAnsi="Calibri"/>
                          <w:color w:val="FFFFFF"/>
                          <w:sz w:val="22"/>
                          <w:lang w:val="es-ES"/>
                        </w:rPr>
                        <w:t>20</w:t>
                      </w:r>
                      <w:r w:rsidR="002F4213">
                        <w:rPr>
                          <w:rFonts w:ascii="Calibri" w:hAnsi="Calibri"/>
                          <w:color w:val="FFFFFF"/>
                          <w:sz w:val="22"/>
                          <w:lang w:val="es-ES"/>
                        </w:rPr>
                        <w:t>2</w:t>
                      </w:r>
                      <w:r w:rsidR="00AD0849">
                        <w:rPr>
                          <w:rFonts w:ascii="Calibri" w:hAnsi="Calibri"/>
                          <w:color w:val="FFFFFF"/>
                          <w:sz w:val="22"/>
                          <w:lang w:val="es-ES"/>
                        </w:rPr>
                        <w:t>5</w:t>
                      </w:r>
                    </w:p>
                    <w:p w14:paraId="59CD9107" w14:textId="665A7319" w:rsidR="002F4213" w:rsidRPr="006C777D" w:rsidRDefault="002F4213" w:rsidP="006A407F">
                      <w:pPr>
                        <w:spacing w:line="276" w:lineRule="auto"/>
                        <w:jc w:val="right"/>
                        <w:rPr>
                          <w:rFonts w:ascii="Calibri" w:hAnsi="Calibri"/>
                          <w:color w:val="FFFFFF"/>
                          <w:sz w:val="22"/>
                          <w:lang w:val="es-ES"/>
                        </w:rPr>
                      </w:pPr>
                      <w:r>
                        <w:rPr>
                          <w:rFonts w:ascii="Calibri" w:hAnsi="Calibri"/>
                          <w:color w:val="FFFFFF"/>
                          <w:sz w:val="22"/>
                          <w:lang w:val="es-ES"/>
                        </w:rPr>
                        <w:t>Original: e</w:t>
                      </w:r>
                      <w:r w:rsidRPr="006C777D">
                        <w:rPr>
                          <w:rFonts w:ascii="Calibri" w:hAnsi="Calibri"/>
                          <w:color w:val="FFFFFF"/>
                          <w:sz w:val="22"/>
                          <w:lang w:val="es-ES"/>
                        </w:rPr>
                        <w:t>spañol</w:t>
                      </w:r>
                    </w:p>
                  </w:txbxContent>
                </v:textbox>
              </v:shape>
            </w:pict>
          </mc:Fallback>
        </mc:AlternateContent>
      </w:r>
    </w:p>
    <w:p w14:paraId="7900C332" w14:textId="77777777" w:rsidR="006A407F" w:rsidRPr="00F2058B" w:rsidRDefault="006A407F" w:rsidP="006A407F">
      <w:pPr>
        <w:tabs>
          <w:tab w:val="center" w:pos="5400"/>
        </w:tabs>
        <w:suppressAutoHyphens/>
        <w:jc w:val="center"/>
        <w:rPr>
          <w:rFonts w:ascii="Cambria" w:hAnsi="Cambria"/>
          <w:sz w:val="20"/>
          <w:szCs w:val="20"/>
          <w:lang w:val="es-419"/>
        </w:rPr>
      </w:pPr>
    </w:p>
    <w:p w14:paraId="2D4D55D1" w14:textId="77777777" w:rsidR="006A407F" w:rsidRPr="00F2058B" w:rsidRDefault="006A407F" w:rsidP="006A407F">
      <w:pPr>
        <w:tabs>
          <w:tab w:val="center" w:pos="5400"/>
        </w:tabs>
        <w:suppressAutoHyphens/>
        <w:jc w:val="center"/>
        <w:rPr>
          <w:rFonts w:ascii="Cambria" w:hAnsi="Cambria"/>
          <w:sz w:val="20"/>
          <w:szCs w:val="20"/>
          <w:lang w:val="es-419"/>
        </w:rPr>
      </w:pPr>
    </w:p>
    <w:p w14:paraId="0AE2081F" w14:textId="77777777" w:rsidR="006A407F" w:rsidRPr="00F2058B" w:rsidRDefault="006A407F" w:rsidP="006A407F">
      <w:pPr>
        <w:tabs>
          <w:tab w:val="center" w:pos="5400"/>
        </w:tabs>
        <w:suppressAutoHyphens/>
        <w:jc w:val="center"/>
        <w:rPr>
          <w:rFonts w:ascii="Cambria" w:hAnsi="Cambria" w:cs="Arial"/>
          <w:sz w:val="20"/>
          <w:szCs w:val="20"/>
          <w:lang w:val="es-419"/>
        </w:rPr>
      </w:pPr>
    </w:p>
    <w:p w14:paraId="1C5E54E5" w14:textId="77777777" w:rsidR="006A407F" w:rsidRPr="00F2058B" w:rsidRDefault="006A407F" w:rsidP="006A407F">
      <w:pPr>
        <w:tabs>
          <w:tab w:val="center" w:pos="5400"/>
        </w:tabs>
        <w:suppressAutoHyphens/>
        <w:jc w:val="center"/>
        <w:rPr>
          <w:rFonts w:ascii="Cambria" w:hAnsi="Cambria"/>
          <w:sz w:val="20"/>
          <w:szCs w:val="20"/>
          <w:lang w:val="es-419"/>
        </w:rPr>
      </w:pPr>
    </w:p>
    <w:p w14:paraId="69EBA18B" w14:textId="77777777" w:rsidR="006A407F" w:rsidRPr="00F2058B" w:rsidRDefault="006A407F" w:rsidP="006A407F">
      <w:pPr>
        <w:tabs>
          <w:tab w:val="center" w:pos="5400"/>
        </w:tabs>
        <w:suppressAutoHyphens/>
        <w:jc w:val="center"/>
        <w:rPr>
          <w:rFonts w:ascii="Cambria" w:hAnsi="Cambria"/>
          <w:sz w:val="20"/>
          <w:szCs w:val="20"/>
          <w:lang w:val="es-419"/>
        </w:rPr>
      </w:pPr>
    </w:p>
    <w:p w14:paraId="0FA12EDC" w14:textId="77777777" w:rsidR="006A407F" w:rsidRPr="00F2058B" w:rsidRDefault="006A407F" w:rsidP="006A407F">
      <w:pPr>
        <w:tabs>
          <w:tab w:val="center" w:pos="5400"/>
        </w:tabs>
        <w:suppressAutoHyphens/>
        <w:jc w:val="center"/>
        <w:rPr>
          <w:rFonts w:ascii="Cambria" w:hAnsi="Cambria"/>
          <w:sz w:val="20"/>
          <w:szCs w:val="20"/>
          <w:lang w:val="es-419"/>
        </w:rPr>
      </w:pPr>
    </w:p>
    <w:p w14:paraId="358F6DD6" w14:textId="77777777" w:rsidR="006A407F" w:rsidRPr="00F2058B" w:rsidRDefault="006A407F" w:rsidP="006A407F">
      <w:pPr>
        <w:tabs>
          <w:tab w:val="center" w:pos="5400"/>
        </w:tabs>
        <w:suppressAutoHyphens/>
        <w:jc w:val="center"/>
        <w:rPr>
          <w:rFonts w:ascii="Cambria" w:hAnsi="Cambria"/>
          <w:sz w:val="20"/>
          <w:szCs w:val="20"/>
          <w:lang w:val="es-419"/>
        </w:rPr>
      </w:pPr>
    </w:p>
    <w:p w14:paraId="5A758242" w14:textId="77777777" w:rsidR="006A407F" w:rsidRPr="00F2058B" w:rsidRDefault="006A407F" w:rsidP="006A407F">
      <w:pPr>
        <w:tabs>
          <w:tab w:val="center" w:pos="5400"/>
        </w:tabs>
        <w:suppressAutoHyphens/>
        <w:jc w:val="center"/>
        <w:rPr>
          <w:rFonts w:ascii="Cambria" w:hAnsi="Cambria"/>
          <w:sz w:val="20"/>
          <w:szCs w:val="20"/>
          <w:lang w:val="es-419"/>
        </w:rPr>
      </w:pPr>
    </w:p>
    <w:p w14:paraId="6912FDCF" w14:textId="77777777" w:rsidR="006A407F" w:rsidRPr="00F2058B" w:rsidRDefault="006A407F" w:rsidP="006A407F">
      <w:pPr>
        <w:tabs>
          <w:tab w:val="center" w:pos="5400"/>
        </w:tabs>
        <w:suppressAutoHyphens/>
        <w:jc w:val="center"/>
        <w:rPr>
          <w:rFonts w:ascii="Cambria" w:hAnsi="Cambria"/>
          <w:sz w:val="20"/>
          <w:szCs w:val="20"/>
          <w:lang w:val="es-419"/>
        </w:rPr>
      </w:pPr>
    </w:p>
    <w:p w14:paraId="189FD441" w14:textId="77777777" w:rsidR="006A407F" w:rsidRPr="00F2058B" w:rsidRDefault="006A407F" w:rsidP="006A407F">
      <w:pPr>
        <w:tabs>
          <w:tab w:val="center" w:pos="5400"/>
        </w:tabs>
        <w:suppressAutoHyphens/>
        <w:jc w:val="center"/>
        <w:rPr>
          <w:rFonts w:ascii="Cambria" w:hAnsi="Cambria"/>
          <w:sz w:val="20"/>
          <w:szCs w:val="20"/>
          <w:lang w:val="es-419"/>
        </w:rPr>
      </w:pPr>
    </w:p>
    <w:p w14:paraId="469E8439" w14:textId="77777777" w:rsidR="006A407F" w:rsidRPr="00F2058B" w:rsidRDefault="006A407F" w:rsidP="006A407F">
      <w:pPr>
        <w:tabs>
          <w:tab w:val="center" w:pos="5400"/>
        </w:tabs>
        <w:suppressAutoHyphens/>
        <w:jc w:val="center"/>
        <w:rPr>
          <w:rFonts w:ascii="Cambria" w:hAnsi="Cambria"/>
          <w:sz w:val="20"/>
          <w:szCs w:val="20"/>
          <w:lang w:val="es-419"/>
        </w:rPr>
      </w:pPr>
    </w:p>
    <w:p w14:paraId="4A436AE7" w14:textId="77777777" w:rsidR="006A407F" w:rsidRPr="00F2058B" w:rsidRDefault="006A407F" w:rsidP="006A407F">
      <w:pPr>
        <w:tabs>
          <w:tab w:val="center" w:pos="5400"/>
        </w:tabs>
        <w:suppressAutoHyphens/>
        <w:jc w:val="center"/>
        <w:rPr>
          <w:rFonts w:ascii="Cambria" w:hAnsi="Cambria"/>
          <w:sz w:val="20"/>
          <w:szCs w:val="20"/>
          <w:lang w:val="es-419"/>
        </w:rPr>
      </w:pPr>
    </w:p>
    <w:p w14:paraId="176904D9" w14:textId="77777777" w:rsidR="006A407F" w:rsidRPr="00F2058B" w:rsidRDefault="006A407F" w:rsidP="006A407F">
      <w:pPr>
        <w:tabs>
          <w:tab w:val="center" w:pos="5400"/>
        </w:tabs>
        <w:suppressAutoHyphens/>
        <w:jc w:val="center"/>
        <w:rPr>
          <w:rFonts w:ascii="Cambria" w:hAnsi="Cambria"/>
          <w:sz w:val="20"/>
          <w:szCs w:val="20"/>
          <w:lang w:val="es-419"/>
        </w:rPr>
      </w:pPr>
    </w:p>
    <w:p w14:paraId="32EBC602" w14:textId="77777777" w:rsidR="006A407F" w:rsidRPr="00F2058B" w:rsidRDefault="006A407F" w:rsidP="006A407F">
      <w:pPr>
        <w:tabs>
          <w:tab w:val="center" w:pos="5400"/>
        </w:tabs>
        <w:suppressAutoHyphens/>
        <w:jc w:val="center"/>
        <w:rPr>
          <w:rFonts w:ascii="Cambria" w:hAnsi="Cambria"/>
          <w:sz w:val="20"/>
          <w:szCs w:val="20"/>
          <w:lang w:val="es-419"/>
        </w:rPr>
      </w:pPr>
    </w:p>
    <w:p w14:paraId="1A181804" w14:textId="77777777" w:rsidR="006A407F" w:rsidRPr="00F2058B" w:rsidRDefault="006A407F" w:rsidP="006A407F">
      <w:pPr>
        <w:tabs>
          <w:tab w:val="center" w:pos="5400"/>
        </w:tabs>
        <w:suppressAutoHyphens/>
        <w:jc w:val="center"/>
        <w:rPr>
          <w:rFonts w:ascii="Cambria" w:hAnsi="Cambria"/>
          <w:sz w:val="20"/>
          <w:szCs w:val="20"/>
          <w:lang w:val="es-419"/>
        </w:rPr>
      </w:pPr>
    </w:p>
    <w:p w14:paraId="295E0A66" w14:textId="77777777" w:rsidR="006A407F" w:rsidRPr="00F2058B" w:rsidRDefault="006A407F" w:rsidP="006A407F">
      <w:pPr>
        <w:tabs>
          <w:tab w:val="center" w:pos="5400"/>
        </w:tabs>
        <w:suppressAutoHyphens/>
        <w:jc w:val="center"/>
        <w:rPr>
          <w:rFonts w:ascii="Cambria" w:hAnsi="Cambria"/>
          <w:sz w:val="20"/>
          <w:szCs w:val="20"/>
          <w:lang w:val="es-419"/>
        </w:rPr>
      </w:pPr>
    </w:p>
    <w:p w14:paraId="17C1C6B2" w14:textId="77777777" w:rsidR="006A407F" w:rsidRPr="00F2058B" w:rsidRDefault="006A407F" w:rsidP="006A407F">
      <w:pPr>
        <w:tabs>
          <w:tab w:val="center" w:pos="5400"/>
        </w:tabs>
        <w:suppressAutoHyphens/>
        <w:jc w:val="center"/>
        <w:rPr>
          <w:rFonts w:ascii="Cambria" w:hAnsi="Cambria"/>
          <w:sz w:val="20"/>
          <w:szCs w:val="20"/>
          <w:lang w:val="es-419"/>
        </w:rPr>
      </w:pPr>
    </w:p>
    <w:p w14:paraId="7FF053C1" w14:textId="77777777" w:rsidR="006A407F" w:rsidRPr="00F2058B" w:rsidRDefault="006A407F" w:rsidP="006A407F">
      <w:pPr>
        <w:tabs>
          <w:tab w:val="center" w:pos="5400"/>
        </w:tabs>
        <w:suppressAutoHyphens/>
        <w:jc w:val="center"/>
        <w:rPr>
          <w:rFonts w:ascii="Cambria" w:hAnsi="Cambria"/>
          <w:sz w:val="20"/>
          <w:szCs w:val="20"/>
          <w:lang w:val="es-419"/>
        </w:rPr>
      </w:pPr>
    </w:p>
    <w:p w14:paraId="41CA230D" w14:textId="77777777" w:rsidR="006A407F" w:rsidRPr="00F2058B" w:rsidRDefault="006A407F" w:rsidP="006A407F">
      <w:pPr>
        <w:tabs>
          <w:tab w:val="center" w:pos="5400"/>
        </w:tabs>
        <w:suppressAutoHyphens/>
        <w:jc w:val="center"/>
        <w:rPr>
          <w:rFonts w:ascii="Cambria" w:hAnsi="Cambria"/>
          <w:sz w:val="20"/>
          <w:szCs w:val="20"/>
          <w:lang w:val="es-419"/>
        </w:rPr>
      </w:pPr>
    </w:p>
    <w:p w14:paraId="02AF8105" w14:textId="77777777" w:rsidR="006A407F" w:rsidRPr="00F2058B" w:rsidRDefault="006A407F" w:rsidP="006A407F">
      <w:pPr>
        <w:tabs>
          <w:tab w:val="center" w:pos="5400"/>
        </w:tabs>
        <w:suppressAutoHyphens/>
        <w:jc w:val="center"/>
        <w:rPr>
          <w:rFonts w:ascii="Cambria" w:hAnsi="Cambria"/>
          <w:sz w:val="20"/>
          <w:szCs w:val="20"/>
          <w:lang w:val="es-419"/>
        </w:rPr>
      </w:pPr>
    </w:p>
    <w:p w14:paraId="21F54162" w14:textId="77777777" w:rsidR="006A407F" w:rsidRPr="00F2058B" w:rsidRDefault="006A407F" w:rsidP="006A407F">
      <w:pPr>
        <w:tabs>
          <w:tab w:val="center" w:pos="5400"/>
        </w:tabs>
        <w:suppressAutoHyphens/>
        <w:jc w:val="center"/>
        <w:rPr>
          <w:rFonts w:ascii="Cambria" w:hAnsi="Cambria"/>
          <w:sz w:val="20"/>
          <w:szCs w:val="20"/>
          <w:lang w:val="es-419"/>
        </w:rPr>
      </w:pPr>
    </w:p>
    <w:p w14:paraId="58DA18A8" w14:textId="77777777" w:rsidR="006A407F" w:rsidRPr="00F2058B" w:rsidRDefault="006A407F" w:rsidP="006A407F">
      <w:pPr>
        <w:tabs>
          <w:tab w:val="center" w:pos="5400"/>
        </w:tabs>
        <w:suppressAutoHyphens/>
        <w:jc w:val="center"/>
        <w:rPr>
          <w:rFonts w:ascii="Cambria" w:hAnsi="Cambria"/>
          <w:sz w:val="20"/>
          <w:szCs w:val="20"/>
          <w:lang w:val="es-419"/>
        </w:rPr>
      </w:pPr>
    </w:p>
    <w:p w14:paraId="41F0BD86" w14:textId="77777777" w:rsidR="006A407F" w:rsidRPr="00F2058B" w:rsidRDefault="006A407F" w:rsidP="006A407F">
      <w:pPr>
        <w:tabs>
          <w:tab w:val="center" w:pos="5400"/>
        </w:tabs>
        <w:suppressAutoHyphens/>
        <w:jc w:val="center"/>
        <w:rPr>
          <w:rFonts w:ascii="Cambria" w:hAnsi="Cambria"/>
          <w:sz w:val="20"/>
          <w:szCs w:val="20"/>
          <w:lang w:val="es-419"/>
        </w:rPr>
      </w:pPr>
    </w:p>
    <w:p w14:paraId="4BA38503" w14:textId="77777777" w:rsidR="006A407F" w:rsidRPr="00F2058B" w:rsidRDefault="006A407F" w:rsidP="006A407F">
      <w:pPr>
        <w:tabs>
          <w:tab w:val="center" w:pos="5400"/>
        </w:tabs>
        <w:suppressAutoHyphens/>
        <w:jc w:val="center"/>
        <w:rPr>
          <w:rFonts w:ascii="Cambria" w:hAnsi="Cambria"/>
          <w:sz w:val="20"/>
          <w:szCs w:val="20"/>
          <w:lang w:val="es-419"/>
        </w:rPr>
      </w:pPr>
    </w:p>
    <w:p w14:paraId="5B329AEE" w14:textId="77777777" w:rsidR="006A407F" w:rsidRPr="00F2058B" w:rsidRDefault="006A407F" w:rsidP="006A407F">
      <w:pPr>
        <w:tabs>
          <w:tab w:val="center" w:pos="5400"/>
        </w:tabs>
        <w:suppressAutoHyphens/>
        <w:jc w:val="center"/>
        <w:rPr>
          <w:rFonts w:ascii="Cambria" w:hAnsi="Cambria"/>
          <w:sz w:val="20"/>
          <w:szCs w:val="20"/>
          <w:lang w:val="es-419"/>
        </w:rPr>
      </w:pPr>
    </w:p>
    <w:p w14:paraId="3F6E8A4E" w14:textId="77777777" w:rsidR="006A407F" w:rsidRPr="00F2058B" w:rsidRDefault="006A407F" w:rsidP="006A407F">
      <w:pPr>
        <w:tabs>
          <w:tab w:val="center" w:pos="5400"/>
        </w:tabs>
        <w:suppressAutoHyphens/>
        <w:jc w:val="center"/>
        <w:rPr>
          <w:rFonts w:ascii="Cambria" w:hAnsi="Cambria"/>
          <w:sz w:val="20"/>
          <w:szCs w:val="20"/>
          <w:lang w:val="es-419"/>
        </w:rPr>
      </w:pPr>
    </w:p>
    <w:p w14:paraId="0EBCB71E" w14:textId="77777777" w:rsidR="006A407F" w:rsidRPr="00F2058B" w:rsidRDefault="006A407F" w:rsidP="006A407F">
      <w:pPr>
        <w:tabs>
          <w:tab w:val="center" w:pos="5400"/>
        </w:tabs>
        <w:suppressAutoHyphens/>
        <w:jc w:val="center"/>
        <w:rPr>
          <w:rFonts w:ascii="Cambria" w:hAnsi="Cambria"/>
          <w:sz w:val="20"/>
          <w:szCs w:val="20"/>
          <w:lang w:val="es-419"/>
        </w:rPr>
      </w:pPr>
    </w:p>
    <w:p w14:paraId="78C9B923" w14:textId="77777777" w:rsidR="006A407F" w:rsidRPr="00F2058B" w:rsidRDefault="006A407F" w:rsidP="006A407F">
      <w:pPr>
        <w:tabs>
          <w:tab w:val="center" w:pos="5400"/>
        </w:tabs>
        <w:suppressAutoHyphens/>
        <w:jc w:val="center"/>
        <w:rPr>
          <w:rFonts w:ascii="Cambria" w:hAnsi="Cambria"/>
          <w:sz w:val="20"/>
          <w:szCs w:val="20"/>
          <w:lang w:val="es-419"/>
        </w:rPr>
      </w:pPr>
    </w:p>
    <w:p w14:paraId="6DD0593D" w14:textId="77777777" w:rsidR="006A407F" w:rsidRPr="00F2058B" w:rsidRDefault="00FD783B" w:rsidP="006A407F">
      <w:pPr>
        <w:tabs>
          <w:tab w:val="center" w:pos="5400"/>
        </w:tabs>
        <w:suppressAutoHyphens/>
        <w:jc w:val="center"/>
        <w:rPr>
          <w:rFonts w:ascii="Cambria" w:hAnsi="Cambria"/>
          <w:sz w:val="20"/>
          <w:szCs w:val="20"/>
          <w:lang w:val="es-419"/>
        </w:rPr>
      </w:pPr>
      <w:r w:rsidRPr="00F2058B">
        <w:rPr>
          <w:rFonts w:ascii="Cambria" w:hAnsi="Cambria"/>
          <w:noProof/>
          <w:sz w:val="20"/>
          <w:szCs w:val="20"/>
          <w:bdr w:val="none" w:sz="0" w:space="0" w:color="auto"/>
          <w:lang w:val="es-419"/>
        </w:rPr>
        <mc:AlternateContent>
          <mc:Choice Requires="wps">
            <w:drawing>
              <wp:anchor distT="0" distB="0" distL="114300" distR="114300" simplePos="0" relativeHeight="251655168" behindDoc="0" locked="0" layoutInCell="1" allowOverlap="1" wp14:anchorId="08004772" wp14:editId="0DC18F3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0" cy="664845"/>
                        </a:xfrm>
                        <a:prstGeom prst="rect">
                          <a:avLst/>
                        </a:prstGeom>
                        <a:noFill/>
                        <a:ln w="6350">
                          <a:noFill/>
                        </a:ln>
                        <a:effectLst/>
                      </wps:spPr>
                      <wps:txbx>
                        <w:txbxContent>
                          <w:p w14:paraId="774C6AEA" w14:textId="3AB2696E" w:rsidR="002F4213" w:rsidRPr="006C777D" w:rsidRDefault="002F4213" w:rsidP="006A407F">
                            <w:pPr>
                              <w:tabs>
                                <w:tab w:val="center" w:pos="5400"/>
                              </w:tabs>
                              <w:suppressAutoHyphens/>
                              <w:spacing w:before="60"/>
                              <w:rPr>
                                <w:rFonts w:ascii="Cambria" w:hAnsi="Cambria" w:cs="Univers"/>
                                <w:color w:val="0D0D0D"/>
                                <w:sz w:val="18"/>
                                <w:szCs w:val="20"/>
                                <w:lang w:val="es-ES_tradnl"/>
                              </w:rPr>
                            </w:pPr>
                            <w:r w:rsidRPr="00F765B4">
                              <w:rPr>
                                <w:rFonts w:ascii="Cambria" w:hAnsi="Cambria"/>
                                <w:color w:val="0D0D0D"/>
                                <w:sz w:val="18"/>
                                <w:szCs w:val="20"/>
                                <w:lang w:val="es-ES"/>
                              </w:rPr>
                              <w:t xml:space="preserve">Aprobado </w:t>
                            </w:r>
                            <w:r w:rsidR="00AD0849">
                              <w:rPr>
                                <w:rFonts w:ascii="Cambria" w:hAnsi="Cambria"/>
                                <w:color w:val="0D0D0D"/>
                                <w:sz w:val="18"/>
                                <w:szCs w:val="20"/>
                                <w:lang w:val="es-ES"/>
                              </w:rPr>
                              <w:t xml:space="preserve">electrónicamente </w:t>
                            </w:r>
                            <w:r w:rsidRPr="00F765B4">
                              <w:rPr>
                                <w:rFonts w:ascii="Cambria" w:hAnsi="Cambria"/>
                                <w:color w:val="0D0D0D"/>
                                <w:sz w:val="18"/>
                                <w:szCs w:val="20"/>
                                <w:lang w:val="es-ES"/>
                              </w:rPr>
                              <w:t>po</w:t>
                            </w:r>
                            <w:r>
                              <w:rPr>
                                <w:rFonts w:ascii="Cambria" w:hAnsi="Cambria"/>
                                <w:color w:val="0D0D0D"/>
                                <w:sz w:val="18"/>
                                <w:szCs w:val="20"/>
                                <w:lang w:val="es-ES"/>
                              </w:rPr>
                              <w:t xml:space="preserve">r la Comisión el </w:t>
                            </w:r>
                            <w:r w:rsidR="00BE71E4">
                              <w:rPr>
                                <w:rFonts w:ascii="Cambria" w:hAnsi="Cambria"/>
                                <w:color w:val="0D0D0D"/>
                                <w:sz w:val="18"/>
                                <w:szCs w:val="20"/>
                                <w:lang w:val="es-ES"/>
                              </w:rPr>
                              <w:t>14</w:t>
                            </w:r>
                            <w:r w:rsidR="002039C1">
                              <w:rPr>
                                <w:rFonts w:ascii="Cambria" w:hAnsi="Cambria"/>
                                <w:color w:val="0D0D0D"/>
                                <w:sz w:val="18"/>
                                <w:szCs w:val="20"/>
                                <w:lang w:val="es-ES"/>
                              </w:rPr>
                              <w:t xml:space="preserve"> de </w:t>
                            </w:r>
                            <w:r w:rsidR="00BE71E4">
                              <w:rPr>
                                <w:rFonts w:ascii="Cambria" w:hAnsi="Cambria"/>
                                <w:color w:val="0D0D0D"/>
                                <w:sz w:val="18"/>
                                <w:szCs w:val="20"/>
                                <w:lang w:val="es-ES"/>
                              </w:rPr>
                              <w:t>noviembre</w:t>
                            </w:r>
                            <w:r w:rsidR="00F14527">
                              <w:rPr>
                                <w:rFonts w:ascii="Cambria" w:hAnsi="Cambria"/>
                                <w:color w:val="0D0D0D"/>
                                <w:sz w:val="18"/>
                                <w:szCs w:val="20"/>
                                <w:lang w:val="es-ES"/>
                              </w:rPr>
                              <w:t xml:space="preserve"> </w:t>
                            </w:r>
                            <w:r w:rsidRPr="00F765B4">
                              <w:rPr>
                                <w:rFonts w:ascii="Cambria" w:hAnsi="Cambria"/>
                                <w:color w:val="0D0D0D"/>
                                <w:sz w:val="18"/>
                                <w:szCs w:val="20"/>
                                <w:lang w:val="es-ES"/>
                              </w:rPr>
                              <w:t>de 202</w:t>
                            </w:r>
                            <w:r w:rsidR="00AD0849">
                              <w:rPr>
                                <w:rFonts w:ascii="Cambria" w:hAnsi="Cambria"/>
                                <w:color w:val="0D0D0D"/>
                                <w:sz w:val="18"/>
                                <w:szCs w:val="20"/>
                                <w:lang w:val="es-ES"/>
                              </w:rPr>
                              <w:t>5</w:t>
                            </w:r>
                            <w:r w:rsidRPr="00F765B4">
                              <w:rPr>
                                <w:rFonts w:ascii="Cambria" w:hAnsi="Cambria"/>
                                <w:color w:val="0D0D0D"/>
                                <w:sz w:val="18"/>
                                <w:szCs w:val="20"/>
                                <w:lang w:val="es-ES"/>
                              </w:rPr>
                              <w:br/>
                            </w:r>
                          </w:p>
                          <w:p w14:paraId="49AE8400" w14:textId="77777777" w:rsidR="002F4213" w:rsidRPr="006C777D" w:rsidRDefault="002F4213" w:rsidP="006A407F">
                            <w:pPr>
                              <w:tabs>
                                <w:tab w:val="center" w:pos="5400"/>
                              </w:tabs>
                              <w:suppressAutoHyphens/>
                              <w:spacing w:before="60"/>
                              <w:rPr>
                                <w:rFonts w:ascii="Calibri" w:hAnsi="Calibri" w:cs="Univers"/>
                                <w:color w:val="0D0D0D"/>
                                <w:sz w:val="20"/>
                                <w:szCs w:val="20"/>
                                <w:lang w:val="es-ES"/>
                              </w:rPr>
                            </w:pPr>
                          </w:p>
                          <w:p w14:paraId="470ACA8B" w14:textId="77777777" w:rsidR="002F4213" w:rsidRPr="006C777D" w:rsidRDefault="002F4213" w:rsidP="006A407F">
                            <w:pPr>
                              <w:tabs>
                                <w:tab w:val="center" w:pos="5400"/>
                              </w:tabs>
                              <w:suppressAutoHyphens/>
                              <w:spacing w:before="60"/>
                              <w:rPr>
                                <w:rFonts w:ascii="Calibri" w:hAnsi="Calibri"/>
                                <w:color w:val="FFFFFF"/>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04772" id="Text Box 7" o:spid="_x0000_s1029" type="#_x0000_t202" style="position:absolute;left:0;text-align:left;margin-left:105.65pt;margin-top:1.8pt;width:388.5pt;height:5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" filled="f" stroked="f" strokeweight=".5pt">
                <v:textbox>
                  <w:txbxContent>
                    <w:p w14:paraId="774C6AEA" w14:textId="3AB2696E" w:rsidR="002F4213" w:rsidRPr="006C777D" w:rsidRDefault="002F4213" w:rsidP="006A407F">
                      <w:pPr>
                        <w:tabs>
                          <w:tab w:val="center" w:pos="5400"/>
                        </w:tabs>
                        <w:suppressAutoHyphens/>
                        <w:spacing w:before="60"/>
                        <w:rPr>
                          <w:rFonts w:ascii="Cambria" w:hAnsi="Cambria" w:cs="Univers"/>
                          <w:color w:val="0D0D0D"/>
                          <w:sz w:val="18"/>
                          <w:szCs w:val="20"/>
                          <w:lang w:val="es-ES_tradnl"/>
                        </w:rPr>
                      </w:pPr>
                      <w:r w:rsidRPr="00F765B4">
                        <w:rPr>
                          <w:rFonts w:ascii="Cambria" w:hAnsi="Cambria"/>
                          <w:color w:val="0D0D0D"/>
                          <w:sz w:val="18"/>
                          <w:szCs w:val="20"/>
                          <w:lang w:val="es-ES"/>
                        </w:rPr>
                        <w:t xml:space="preserve">Aprobado </w:t>
                      </w:r>
                      <w:r w:rsidR="00AD0849">
                        <w:rPr>
                          <w:rFonts w:ascii="Cambria" w:hAnsi="Cambria"/>
                          <w:color w:val="0D0D0D"/>
                          <w:sz w:val="18"/>
                          <w:szCs w:val="20"/>
                          <w:lang w:val="es-ES"/>
                        </w:rPr>
                        <w:t xml:space="preserve">electrónicamente </w:t>
                      </w:r>
                      <w:r w:rsidRPr="00F765B4">
                        <w:rPr>
                          <w:rFonts w:ascii="Cambria" w:hAnsi="Cambria"/>
                          <w:color w:val="0D0D0D"/>
                          <w:sz w:val="18"/>
                          <w:szCs w:val="20"/>
                          <w:lang w:val="es-ES"/>
                        </w:rPr>
                        <w:t>po</w:t>
                      </w:r>
                      <w:r>
                        <w:rPr>
                          <w:rFonts w:ascii="Cambria" w:hAnsi="Cambria"/>
                          <w:color w:val="0D0D0D"/>
                          <w:sz w:val="18"/>
                          <w:szCs w:val="20"/>
                          <w:lang w:val="es-ES"/>
                        </w:rPr>
                        <w:t xml:space="preserve">r la Comisión el </w:t>
                      </w:r>
                      <w:r w:rsidR="00BE71E4">
                        <w:rPr>
                          <w:rFonts w:ascii="Cambria" w:hAnsi="Cambria"/>
                          <w:color w:val="0D0D0D"/>
                          <w:sz w:val="18"/>
                          <w:szCs w:val="20"/>
                          <w:lang w:val="es-ES"/>
                        </w:rPr>
                        <w:t>14</w:t>
                      </w:r>
                      <w:r w:rsidR="002039C1">
                        <w:rPr>
                          <w:rFonts w:ascii="Cambria" w:hAnsi="Cambria"/>
                          <w:color w:val="0D0D0D"/>
                          <w:sz w:val="18"/>
                          <w:szCs w:val="20"/>
                          <w:lang w:val="es-ES"/>
                        </w:rPr>
                        <w:t xml:space="preserve"> de </w:t>
                      </w:r>
                      <w:r w:rsidR="00BE71E4">
                        <w:rPr>
                          <w:rFonts w:ascii="Cambria" w:hAnsi="Cambria"/>
                          <w:color w:val="0D0D0D"/>
                          <w:sz w:val="18"/>
                          <w:szCs w:val="20"/>
                          <w:lang w:val="es-ES"/>
                        </w:rPr>
                        <w:t>noviembre</w:t>
                      </w:r>
                      <w:r w:rsidR="00F14527">
                        <w:rPr>
                          <w:rFonts w:ascii="Cambria" w:hAnsi="Cambria"/>
                          <w:color w:val="0D0D0D"/>
                          <w:sz w:val="18"/>
                          <w:szCs w:val="20"/>
                          <w:lang w:val="es-ES"/>
                        </w:rPr>
                        <w:t xml:space="preserve"> </w:t>
                      </w:r>
                      <w:r w:rsidRPr="00F765B4">
                        <w:rPr>
                          <w:rFonts w:ascii="Cambria" w:hAnsi="Cambria"/>
                          <w:color w:val="0D0D0D"/>
                          <w:sz w:val="18"/>
                          <w:szCs w:val="20"/>
                          <w:lang w:val="es-ES"/>
                        </w:rPr>
                        <w:t>de 202</w:t>
                      </w:r>
                      <w:r w:rsidR="00AD0849">
                        <w:rPr>
                          <w:rFonts w:ascii="Cambria" w:hAnsi="Cambria"/>
                          <w:color w:val="0D0D0D"/>
                          <w:sz w:val="18"/>
                          <w:szCs w:val="20"/>
                          <w:lang w:val="es-ES"/>
                        </w:rPr>
                        <w:t>5</w:t>
                      </w:r>
                      <w:r w:rsidRPr="00F765B4">
                        <w:rPr>
                          <w:rFonts w:ascii="Cambria" w:hAnsi="Cambria"/>
                          <w:color w:val="0D0D0D"/>
                          <w:sz w:val="18"/>
                          <w:szCs w:val="20"/>
                          <w:lang w:val="es-ES"/>
                        </w:rPr>
                        <w:br/>
                      </w:r>
                    </w:p>
                    <w:p w14:paraId="49AE8400" w14:textId="77777777" w:rsidR="002F4213" w:rsidRPr="006C777D" w:rsidRDefault="002F4213" w:rsidP="006A407F">
                      <w:pPr>
                        <w:tabs>
                          <w:tab w:val="center" w:pos="5400"/>
                        </w:tabs>
                        <w:suppressAutoHyphens/>
                        <w:spacing w:before="60"/>
                        <w:rPr>
                          <w:rFonts w:ascii="Calibri" w:hAnsi="Calibri" w:cs="Univers"/>
                          <w:color w:val="0D0D0D"/>
                          <w:sz w:val="20"/>
                          <w:szCs w:val="20"/>
                          <w:lang w:val="es-ES"/>
                        </w:rPr>
                      </w:pPr>
                    </w:p>
                    <w:p w14:paraId="470ACA8B" w14:textId="77777777" w:rsidR="002F4213" w:rsidRPr="006C777D" w:rsidRDefault="002F4213" w:rsidP="006A407F">
                      <w:pPr>
                        <w:tabs>
                          <w:tab w:val="center" w:pos="5400"/>
                        </w:tabs>
                        <w:suppressAutoHyphens/>
                        <w:spacing w:before="60"/>
                        <w:rPr>
                          <w:rFonts w:ascii="Calibri" w:hAnsi="Calibri"/>
                          <w:color w:val="FFFFFF"/>
                          <w:spacing w:val="-2"/>
                          <w:sz w:val="16"/>
                          <w:lang w:val="es-ES"/>
                        </w:rPr>
                      </w:pPr>
                    </w:p>
                  </w:txbxContent>
                </v:textbox>
              </v:shape>
            </w:pict>
          </mc:Fallback>
        </mc:AlternateContent>
      </w:r>
    </w:p>
    <w:p w14:paraId="6CFC7E28" w14:textId="77777777" w:rsidR="006A407F" w:rsidRPr="00F2058B" w:rsidRDefault="006A407F" w:rsidP="006A407F">
      <w:pPr>
        <w:tabs>
          <w:tab w:val="center" w:pos="5400"/>
        </w:tabs>
        <w:suppressAutoHyphens/>
        <w:jc w:val="center"/>
        <w:rPr>
          <w:rFonts w:ascii="Cambria" w:hAnsi="Cambria"/>
          <w:sz w:val="20"/>
          <w:szCs w:val="20"/>
          <w:lang w:val="es-419"/>
        </w:rPr>
      </w:pPr>
    </w:p>
    <w:p w14:paraId="2D80AE42" w14:textId="77777777" w:rsidR="006A407F" w:rsidRPr="00F2058B" w:rsidRDefault="006A407F" w:rsidP="006A407F">
      <w:pPr>
        <w:tabs>
          <w:tab w:val="center" w:pos="5400"/>
        </w:tabs>
        <w:suppressAutoHyphens/>
        <w:jc w:val="center"/>
        <w:rPr>
          <w:rFonts w:ascii="Cambria" w:hAnsi="Cambria"/>
          <w:sz w:val="20"/>
          <w:szCs w:val="20"/>
          <w:lang w:val="es-419"/>
        </w:rPr>
      </w:pPr>
    </w:p>
    <w:p w14:paraId="3CA9D8D8" w14:textId="77777777" w:rsidR="006A407F" w:rsidRPr="00F2058B" w:rsidRDefault="006A407F" w:rsidP="006A407F">
      <w:pPr>
        <w:tabs>
          <w:tab w:val="center" w:pos="5400"/>
        </w:tabs>
        <w:suppressAutoHyphens/>
        <w:jc w:val="center"/>
        <w:rPr>
          <w:rFonts w:ascii="Cambria" w:hAnsi="Cambria"/>
          <w:sz w:val="20"/>
          <w:szCs w:val="20"/>
          <w:lang w:val="es-419"/>
        </w:rPr>
      </w:pPr>
    </w:p>
    <w:p w14:paraId="5AF09927" w14:textId="77777777" w:rsidR="006A407F" w:rsidRPr="00F2058B" w:rsidRDefault="006A407F" w:rsidP="006A407F">
      <w:pPr>
        <w:tabs>
          <w:tab w:val="center" w:pos="5400"/>
        </w:tabs>
        <w:suppressAutoHyphens/>
        <w:jc w:val="center"/>
        <w:rPr>
          <w:rFonts w:ascii="Cambria" w:hAnsi="Cambria"/>
          <w:sz w:val="20"/>
          <w:szCs w:val="20"/>
          <w:lang w:val="es-419"/>
        </w:rPr>
      </w:pPr>
    </w:p>
    <w:p w14:paraId="5B306055" w14:textId="77777777" w:rsidR="006A407F" w:rsidRPr="00F2058B" w:rsidRDefault="00FD783B" w:rsidP="006A407F">
      <w:pPr>
        <w:tabs>
          <w:tab w:val="center" w:pos="5400"/>
        </w:tabs>
        <w:suppressAutoHyphens/>
        <w:jc w:val="center"/>
        <w:rPr>
          <w:rFonts w:ascii="Cambria" w:hAnsi="Cambria"/>
          <w:sz w:val="20"/>
          <w:szCs w:val="20"/>
          <w:lang w:val="es-419"/>
        </w:rPr>
      </w:pPr>
      <w:r w:rsidRPr="00F2058B">
        <w:rPr>
          <w:rFonts w:ascii="Cambria" w:hAnsi="Cambria"/>
          <w:noProof/>
          <w:sz w:val="20"/>
          <w:szCs w:val="20"/>
          <w:bdr w:val="none" w:sz="0" w:space="0" w:color="auto"/>
          <w:lang w:val="es-419"/>
        </w:rPr>
        <mc:AlternateContent>
          <mc:Choice Requires="wps">
            <w:drawing>
              <wp:anchor distT="0" distB="0" distL="114300" distR="114300" simplePos="0" relativeHeight="251659264" behindDoc="0" locked="0" layoutInCell="1" allowOverlap="1" wp14:anchorId="55A12B84" wp14:editId="230F59AC">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3475" cy="657225"/>
                        </a:xfrm>
                        <a:prstGeom prst="rect">
                          <a:avLst/>
                        </a:prstGeom>
                        <a:noFill/>
                        <a:ln w="6350">
                          <a:noFill/>
                        </a:ln>
                        <a:effectLst/>
                      </wps:spPr>
                      <wps:txbx>
                        <w:txbxContent>
                          <w:p w14:paraId="6996B27E" w14:textId="6218AF88" w:rsidR="002F4213" w:rsidRPr="001924D3" w:rsidRDefault="002F4213" w:rsidP="006A407F">
                            <w:pPr>
                              <w:spacing w:line="276" w:lineRule="auto"/>
                              <w:rPr>
                                <w:rFonts w:ascii="Cambria" w:hAnsi="Cambria"/>
                                <w:color w:val="595959"/>
                                <w:sz w:val="18"/>
                                <w:szCs w:val="18"/>
                                <w:lang w:val="es-MX"/>
                              </w:rPr>
                            </w:pPr>
                            <w:r w:rsidRPr="001924D3">
                              <w:rPr>
                                <w:rFonts w:ascii="Cambria" w:hAnsi="Cambria"/>
                                <w:b/>
                                <w:color w:val="595959"/>
                                <w:sz w:val="18"/>
                                <w:szCs w:val="18"/>
                                <w:lang w:val="pt-BR"/>
                              </w:rPr>
                              <w:t>Citar como:</w:t>
                            </w:r>
                            <w:r w:rsidRPr="001924D3">
                              <w:rPr>
                                <w:rFonts w:ascii="Cambria" w:hAnsi="Cambria"/>
                                <w:color w:val="595959"/>
                                <w:sz w:val="18"/>
                                <w:szCs w:val="18"/>
                                <w:lang w:val="pt-BR"/>
                              </w:rPr>
                              <w:t xml:space="preserve"> CIDH, Informe No. </w:t>
                            </w:r>
                            <w:r w:rsidR="00BE71E4" w:rsidRPr="00BE71E4">
                              <w:rPr>
                                <w:rFonts w:ascii="Cambria" w:hAnsi="Cambria"/>
                                <w:color w:val="595959"/>
                                <w:sz w:val="18"/>
                                <w:szCs w:val="18"/>
                                <w:lang w:val="pt-BR"/>
                              </w:rPr>
                              <w:t>241</w:t>
                            </w:r>
                            <w:r w:rsidRPr="00BE71E4">
                              <w:rPr>
                                <w:rFonts w:ascii="Cambria" w:hAnsi="Cambria"/>
                                <w:color w:val="595959"/>
                                <w:sz w:val="18"/>
                                <w:szCs w:val="18"/>
                                <w:lang w:val="pt-BR"/>
                              </w:rPr>
                              <w:t>/2</w:t>
                            </w:r>
                            <w:r w:rsidR="00AD0849" w:rsidRPr="00BE71E4">
                              <w:rPr>
                                <w:rFonts w:ascii="Cambria" w:hAnsi="Cambria"/>
                                <w:color w:val="595959"/>
                                <w:sz w:val="18"/>
                                <w:szCs w:val="18"/>
                                <w:lang w:val="pt-BR"/>
                              </w:rPr>
                              <w:t>5</w:t>
                            </w:r>
                            <w:r w:rsidRPr="00BE71E4">
                              <w:rPr>
                                <w:rFonts w:ascii="Cambria" w:hAnsi="Cambria"/>
                                <w:color w:val="595959"/>
                                <w:sz w:val="18"/>
                                <w:szCs w:val="18"/>
                                <w:lang w:val="pt-BR"/>
                              </w:rPr>
                              <w:t xml:space="preserve">, Caso 12.636. </w:t>
                            </w:r>
                            <w:r w:rsidRPr="001924D3">
                              <w:rPr>
                                <w:rFonts w:ascii="Cambria" w:hAnsi="Cambria"/>
                                <w:color w:val="595959"/>
                                <w:sz w:val="18"/>
                                <w:szCs w:val="18"/>
                                <w:lang w:val="es-ES_tradnl"/>
                              </w:rPr>
                              <w:t>Fondo</w:t>
                            </w:r>
                            <w:r w:rsidR="00AD0849">
                              <w:rPr>
                                <w:rFonts w:ascii="Cambria" w:hAnsi="Cambria"/>
                                <w:color w:val="595959"/>
                                <w:sz w:val="18"/>
                                <w:szCs w:val="18"/>
                                <w:lang w:val="es-ES_tradnl"/>
                              </w:rPr>
                              <w:t xml:space="preserve"> (</w:t>
                            </w:r>
                            <w:r w:rsidR="00F14527" w:rsidRPr="00BE71E4">
                              <w:rPr>
                                <w:rFonts w:ascii="Cambria" w:hAnsi="Cambria"/>
                                <w:color w:val="595959"/>
                                <w:sz w:val="18"/>
                                <w:szCs w:val="18"/>
                                <w:lang w:val="es-ES_tradnl"/>
                              </w:rPr>
                              <w:t>Publicación</w:t>
                            </w:r>
                            <w:r w:rsidR="00AD0849">
                              <w:rPr>
                                <w:rFonts w:ascii="Cambria" w:hAnsi="Cambria"/>
                                <w:color w:val="595959"/>
                                <w:sz w:val="18"/>
                                <w:szCs w:val="18"/>
                                <w:lang w:val="es-ES_tradnl"/>
                              </w:rPr>
                              <w:t>)</w:t>
                            </w:r>
                            <w:r w:rsidRPr="001924D3">
                              <w:rPr>
                                <w:rFonts w:ascii="Cambria" w:hAnsi="Cambria"/>
                                <w:color w:val="595959"/>
                                <w:sz w:val="18"/>
                                <w:szCs w:val="18"/>
                                <w:lang w:val="es-ES_tradnl"/>
                              </w:rPr>
                              <w:t xml:space="preserve">. </w:t>
                            </w:r>
                            <w:r>
                              <w:rPr>
                                <w:rFonts w:ascii="Cambria" w:hAnsi="Cambria"/>
                                <w:color w:val="595959"/>
                                <w:sz w:val="18"/>
                                <w:szCs w:val="18"/>
                                <w:lang w:val="es-ES_tradnl"/>
                              </w:rPr>
                              <w:t>Edgar Quiroga</w:t>
                            </w:r>
                            <w:r w:rsidRPr="001924D3">
                              <w:rPr>
                                <w:rFonts w:ascii="Cambria" w:hAnsi="Cambria"/>
                                <w:color w:val="595959"/>
                                <w:sz w:val="18"/>
                                <w:szCs w:val="18"/>
                                <w:lang w:val="es-ES_tradnl"/>
                              </w:rPr>
                              <w:t xml:space="preserve"> y otros. Colombia.</w:t>
                            </w:r>
                            <w:r>
                              <w:rPr>
                                <w:rFonts w:ascii="Cambria" w:hAnsi="Cambria"/>
                                <w:color w:val="595959"/>
                                <w:sz w:val="18"/>
                                <w:szCs w:val="18"/>
                                <w:lang w:val="es-ES_tradnl"/>
                              </w:rPr>
                              <w:t xml:space="preserve"> </w:t>
                            </w:r>
                            <w:r w:rsidR="00BE71E4">
                              <w:rPr>
                                <w:rFonts w:ascii="Cambria" w:hAnsi="Cambria"/>
                                <w:color w:val="595959"/>
                                <w:sz w:val="18"/>
                                <w:szCs w:val="18"/>
                                <w:lang w:val="es-ES_tradnl"/>
                              </w:rPr>
                              <w:t>14</w:t>
                            </w:r>
                            <w:r w:rsidR="002039C1">
                              <w:rPr>
                                <w:rFonts w:ascii="Cambria" w:hAnsi="Cambria"/>
                                <w:color w:val="595959"/>
                                <w:sz w:val="18"/>
                                <w:szCs w:val="18"/>
                                <w:lang w:val="es-ES_tradnl"/>
                              </w:rPr>
                              <w:t xml:space="preserve"> de </w:t>
                            </w:r>
                            <w:r w:rsidR="00BE71E4">
                              <w:rPr>
                                <w:rFonts w:ascii="Cambria" w:hAnsi="Cambria"/>
                                <w:color w:val="595959"/>
                                <w:sz w:val="18"/>
                                <w:szCs w:val="18"/>
                                <w:lang w:val="es-ES_tradnl"/>
                              </w:rPr>
                              <w:t>noviembre</w:t>
                            </w:r>
                            <w:r w:rsidR="00F14527">
                              <w:rPr>
                                <w:rFonts w:ascii="Cambria" w:hAnsi="Cambria"/>
                                <w:color w:val="595959"/>
                                <w:sz w:val="18"/>
                                <w:szCs w:val="18"/>
                                <w:lang w:val="es-ES_tradnl"/>
                              </w:rPr>
                              <w:t xml:space="preserve"> </w:t>
                            </w:r>
                            <w:r w:rsidR="00AD0849">
                              <w:rPr>
                                <w:rFonts w:ascii="Cambria" w:hAnsi="Cambria"/>
                                <w:color w:val="595959"/>
                                <w:sz w:val="18"/>
                                <w:szCs w:val="18"/>
                                <w:lang w:val="es-ES_tradnl"/>
                              </w:rPr>
                              <w:t xml:space="preserve">de </w:t>
                            </w:r>
                            <w:r>
                              <w:rPr>
                                <w:rFonts w:ascii="Cambria" w:hAnsi="Cambria"/>
                                <w:color w:val="595959"/>
                                <w:sz w:val="18"/>
                                <w:szCs w:val="18"/>
                                <w:lang w:val="es-ES_tradnl"/>
                              </w:rPr>
                              <w:t>202</w:t>
                            </w:r>
                            <w:r w:rsidR="00AD0849">
                              <w:rPr>
                                <w:rFonts w:ascii="Cambria" w:hAnsi="Cambria"/>
                                <w:color w:val="595959"/>
                                <w:sz w:val="18"/>
                                <w:szCs w:val="18"/>
                                <w:lang w:val="es-ES_tradnl"/>
                              </w:rPr>
                              <w:t>5</w:t>
                            </w:r>
                            <w:r>
                              <w:rPr>
                                <w:rFonts w:ascii="Cambria" w:hAnsi="Cambria"/>
                                <w:color w:val="595959"/>
                                <w:sz w:val="18"/>
                                <w:szCs w:val="18"/>
                                <w:lang w:val="es-ES_trad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12B84" id="Text Box 10" o:spid="_x0000_s1030" type="#_x0000_t202" style="position:absolute;left:0;text-align:left;margin-left:105pt;margin-top:.45pt;width:389.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" filled="f" stroked="f" strokeweight=".5pt">
                <v:textbox>
                  <w:txbxContent>
                    <w:p w14:paraId="6996B27E" w14:textId="6218AF88" w:rsidR="002F4213" w:rsidRPr="001924D3" w:rsidRDefault="002F4213" w:rsidP="006A407F">
                      <w:pPr>
                        <w:spacing w:line="276" w:lineRule="auto"/>
                        <w:rPr>
                          <w:rFonts w:ascii="Cambria" w:hAnsi="Cambria"/>
                          <w:color w:val="595959"/>
                          <w:sz w:val="18"/>
                          <w:szCs w:val="18"/>
                          <w:lang w:val="es-MX"/>
                        </w:rPr>
                      </w:pPr>
                      <w:r w:rsidRPr="001924D3">
                        <w:rPr>
                          <w:rFonts w:ascii="Cambria" w:hAnsi="Cambria"/>
                          <w:b/>
                          <w:color w:val="595959"/>
                          <w:sz w:val="18"/>
                          <w:szCs w:val="18"/>
                          <w:lang w:val="pt-BR"/>
                        </w:rPr>
                        <w:t>Citar como:</w:t>
                      </w:r>
                      <w:r w:rsidRPr="001924D3">
                        <w:rPr>
                          <w:rFonts w:ascii="Cambria" w:hAnsi="Cambria"/>
                          <w:color w:val="595959"/>
                          <w:sz w:val="18"/>
                          <w:szCs w:val="18"/>
                          <w:lang w:val="pt-BR"/>
                        </w:rPr>
                        <w:t xml:space="preserve"> CIDH, Informe No. </w:t>
                      </w:r>
                      <w:r w:rsidR="00BE71E4" w:rsidRPr="00BE71E4">
                        <w:rPr>
                          <w:rFonts w:ascii="Cambria" w:hAnsi="Cambria"/>
                          <w:color w:val="595959"/>
                          <w:sz w:val="18"/>
                          <w:szCs w:val="18"/>
                          <w:lang w:val="pt-BR"/>
                        </w:rPr>
                        <w:t>241</w:t>
                      </w:r>
                      <w:r w:rsidRPr="00BE71E4">
                        <w:rPr>
                          <w:rFonts w:ascii="Cambria" w:hAnsi="Cambria"/>
                          <w:color w:val="595959"/>
                          <w:sz w:val="18"/>
                          <w:szCs w:val="18"/>
                          <w:lang w:val="pt-BR"/>
                        </w:rPr>
                        <w:t>/2</w:t>
                      </w:r>
                      <w:r w:rsidR="00AD0849" w:rsidRPr="00BE71E4">
                        <w:rPr>
                          <w:rFonts w:ascii="Cambria" w:hAnsi="Cambria"/>
                          <w:color w:val="595959"/>
                          <w:sz w:val="18"/>
                          <w:szCs w:val="18"/>
                          <w:lang w:val="pt-BR"/>
                        </w:rPr>
                        <w:t>5</w:t>
                      </w:r>
                      <w:r w:rsidRPr="00BE71E4">
                        <w:rPr>
                          <w:rFonts w:ascii="Cambria" w:hAnsi="Cambria"/>
                          <w:color w:val="595959"/>
                          <w:sz w:val="18"/>
                          <w:szCs w:val="18"/>
                          <w:lang w:val="pt-BR"/>
                        </w:rPr>
                        <w:t xml:space="preserve">, Caso 12.636. </w:t>
                      </w:r>
                      <w:r w:rsidRPr="001924D3">
                        <w:rPr>
                          <w:rFonts w:ascii="Cambria" w:hAnsi="Cambria"/>
                          <w:color w:val="595959"/>
                          <w:sz w:val="18"/>
                          <w:szCs w:val="18"/>
                          <w:lang w:val="es-ES_tradnl"/>
                        </w:rPr>
                        <w:t>Fondo</w:t>
                      </w:r>
                      <w:r w:rsidR="00AD0849">
                        <w:rPr>
                          <w:rFonts w:ascii="Cambria" w:hAnsi="Cambria"/>
                          <w:color w:val="595959"/>
                          <w:sz w:val="18"/>
                          <w:szCs w:val="18"/>
                          <w:lang w:val="es-ES_tradnl"/>
                        </w:rPr>
                        <w:t xml:space="preserve"> (</w:t>
                      </w:r>
                      <w:r w:rsidR="00F14527" w:rsidRPr="00BE71E4">
                        <w:rPr>
                          <w:rFonts w:ascii="Cambria" w:hAnsi="Cambria"/>
                          <w:color w:val="595959"/>
                          <w:sz w:val="18"/>
                          <w:szCs w:val="18"/>
                          <w:lang w:val="es-ES_tradnl"/>
                        </w:rPr>
                        <w:t>Publicación</w:t>
                      </w:r>
                      <w:r w:rsidR="00AD0849">
                        <w:rPr>
                          <w:rFonts w:ascii="Cambria" w:hAnsi="Cambria"/>
                          <w:color w:val="595959"/>
                          <w:sz w:val="18"/>
                          <w:szCs w:val="18"/>
                          <w:lang w:val="es-ES_tradnl"/>
                        </w:rPr>
                        <w:t>)</w:t>
                      </w:r>
                      <w:r w:rsidRPr="001924D3">
                        <w:rPr>
                          <w:rFonts w:ascii="Cambria" w:hAnsi="Cambria"/>
                          <w:color w:val="595959"/>
                          <w:sz w:val="18"/>
                          <w:szCs w:val="18"/>
                          <w:lang w:val="es-ES_tradnl"/>
                        </w:rPr>
                        <w:t xml:space="preserve">. </w:t>
                      </w:r>
                      <w:r>
                        <w:rPr>
                          <w:rFonts w:ascii="Cambria" w:hAnsi="Cambria"/>
                          <w:color w:val="595959"/>
                          <w:sz w:val="18"/>
                          <w:szCs w:val="18"/>
                          <w:lang w:val="es-ES_tradnl"/>
                        </w:rPr>
                        <w:t>Edgar Quiroga</w:t>
                      </w:r>
                      <w:r w:rsidRPr="001924D3">
                        <w:rPr>
                          <w:rFonts w:ascii="Cambria" w:hAnsi="Cambria"/>
                          <w:color w:val="595959"/>
                          <w:sz w:val="18"/>
                          <w:szCs w:val="18"/>
                          <w:lang w:val="es-ES_tradnl"/>
                        </w:rPr>
                        <w:t xml:space="preserve"> y otros. Colombia.</w:t>
                      </w:r>
                      <w:r>
                        <w:rPr>
                          <w:rFonts w:ascii="Cambria" w:hAnsi="Cambria"/>
                          <w:color w:val="595959"/>
                          <w:sz w:val="18"/>
                          <w:szCs w:val="18"/>
                          <w:lang w:val="es-ES_tradnl"/>
                        </w:rPr>
                        <w:t xml:space="preserve"> </w:t>
                      </w:r>
                      <w:r w:rsidR="00BE71E4">
                        <w:rPr>
                          <w:rFonts w:ascii="Cambria" w:hAnsi="Cambria"/>
                          <w:color w:val="595959"/>
                          <w:sz w:val="18"/>
                          <w:szCs w:val="18"/>
                          <w:lang w:val="es-ES_tradnl"/>
                        </w:rPr>
                        <w:t>14</w:t>
                      </w:r>
                      <w:r w:rsidR="002039C1">
                        <w:rPr>
                          <w:rFonts w:ascii="Cambria" w:hAnsi="Cambria"/>
                          <w:color w:val="595959"/>
                          <w:sz w:val="18"/>
                          <w:szCs w:val="18"/>
                          <w:lang w:val="es-ES_tradnl"/>
                        </w:rPr>
                        <w:t xml:space="preserve"> de </w:t>
                      </w:r>
                      <w:r w:rsidR="00BE71E4">
                        <w:rPr>
                          <w:rFonts w:ascii="Cambria" w:hAnsi="Cambria"/>
                          <w:color w:val="595959"/>
                          <w:sz w:val="18"/>
                          <w:szCs w:val="18"/>
                          <w:lang w:val="es-ES_tradnl"/>
                        </w:rPr>
                        <w:t>noviembre</w:t>
                      </w:r>
                      <w:r w:rsidR="00F14527">
                        <w:rPr>
                          <w:rFonts w:ascii="Cambria" w:hAnsi="Cambria"/>
                          <w:color w:val="595959"/>
                          <w:sz w:val="18"/>
                          <w:szCs w:val="18"/>
                          <w:lang w:val="es-ES_tradnl"/>
                        </w:rPr>
                        <w:t xml:space="preserve"> </w:t>
                      </w:r>
                      <w:r w:rsidR="00AD0849">
                        <w:rPr>
                          <w:rFonts w:ascii="Cambria" w:hAnsi="Cambria"/>
                          <w:color w:val="595959"/>
                          <w:sz w:val="18"/>
                          <w:szCs w:val="18"/>
                          <w:lang w:val="es-ES_tradnl"/>
                        </w:rPr>
                        <w:t xml:space="preserve">de </w:t>
                      </w:r>
                      <w:r>
                        <w:rPr>
                          <w:rFonts w:ascii="Cambria" w:hAnsi="Cambria"/>
                          <w:color w:val="595959"/>
                          <w:sz w:val="18"/>
                          <w:szCs w:val="18"/>
                          <w:lang w:val="es-ES_tradnl"/>
                        </w:rPr>
                        <w:t>202</w:t>
                      </w:r>
                      <w:r w:rsidR="00AD0849">
                        <w:rPr>
                          <w:rFonts w:ascii="Cambria" w:hAnsi="Cambria"/>
                          <w:color w:val="595959"/>
                          <w:sz w:val="18"/>
                          <w:szCs w:val="18"/>
                          <w:lang w:val="es-ES_tradnl"/>
                        </w:rPr>
                        <w:t>5</w:t>
                      </w:r>
                      <w:r>
                        <w:rPr>
                          <w:rFonts w:ascii="Cambria" w:hAnsi="Cambria"/>
                          <w:color w:val="595959"/>
                          <w:sz w:val="18"/>
                          <w:szCs w:val="18"/>
                          <w:lang w:val="es-ES_tradnl"/>
                        </w:rPr>
                        <w:t>.</w:t>
                      </w:r>
                    </w:p>
                  </w:txbxContent>
                </v:textbox>
              </v:shape>
            </w:pict>
          </mc:Fallback>
        </mc:AlternateContent>
      </w:r>
    </w:p>
    <w:p w14:paraId="69EC7DAF" w14:textId="77777777" w:rsidR="006A407F" w:rsidRPr="00F2058B" w:rsidRDefault="006A407F" w:rsidP="006A407F">
      <w:pPr>
        <w:tabs>
          <w:tab w:val="center" w:pos="5400"/>
        </w:tabs>
        <w:suppressAutoHyphens/>
        <w:jc w:val="center"/>
        <w:rPr>
          <w:rFonts w:ascii="Cambria" w:hAnsi="Cambria"/>
          <w:sz w:val="20"/>
          <w:szCs w:val="20"/>
          <w:lang w:val="es-419"/>
        </w:rPr>
      </w:pPr>
    </w:p>
    <w:p w14:paraId="309E967D" w14:textId="77777777" w:rsidR="006A407F" w:rsidRPr="00F2058B" w:rsidRDefault="00FD783B" w:rsidP="006A407F">
      <w:pPr>
        <w:tabs>
          <w:tab w:val="center" w:pos="5400"/>
        </w:tabs>
        <w:suppressAutoHyphens/>
        <w:jc w:val="center"/>
        <w:rPr>
          <w:rFonts w:ascii="Cambria" w:hAnsi="Cambria"/>
          <w:b/>
          <w:sz w:val="20"/>
          <w:szCs w:val="20"/>
          <w:lang w:val="es-419"/>
        </w:rPr>
      </w:pPr>
      <w:r w:rsidRPr="00F2058B">
        <w:rPr>
          <w:rFonts w:ascii="Cambria" w:hAnsi="Cambria"/>
          <w:noProof/>
          <w:sz w:val="20"/>
          <w:szCs w:val="20"/>
          <w:bdr w:val="none" w:sz="0" w:space="0" w:color="auto"/>
          <w:lang w:val="es-419"/>
        </w:rPr>
        <mc:AlternateContent>
          <mc:Choice Requires="wps">
            <w:drawing>
              <wp:anchor distT="0" distB="0" distL="114300" distR="114300" simplePos="0" relativeHeight="251661312" behindDoc="0" locked="0" layoutInCell="1" allowOverlap="1" wp14:anchorId="1EEFD27C" wp14:editId="716A9EF5">
                <wp:simplePos x="0" y="0"/>
                <wp:positionH relativeFrom="column">
                  <wp:posOffset>1329690</wp:posOffset>
                </wp:positionH>
                <wp:positionV relativeFrom="paragraph">
                  <wp:posOffset>638810</wp:posOffset>
                </wp:positionV>
                <wp:extent cx="4096385" cy="5670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6385" cy="567055"/>
                        </a:xfrm>
                        <a:prstGeom prst="rect">
                          <a:avLst/>
                        </a:prstGeom>
                        <a:solidFill>
                          <a:sysClr val="window" lastClr="FFFFFF"/>
                        </a:solidFill>
                        <a:ln w="6350">
                          <a:noFill/>
                        </a:ln>
                        <a:effectLst/>
                      </wps:spPr>
                      <wps:txbx>
                        <w:txbxContent>
                          <w:p w14:paraId="23B2D7FE" w14:textId="77777777" w:rsidR="002F4213" w:rsidRPr="006C777D" w:rsidRDefault="002F4213" w:rsidP="006A407F">
                            <w:pPr>
                              <w:rPr>
                                <w:color w:val="FFFFFF"/>
                              </w:rPr>
                            </w:pPr>
                            <w:r>
                              <w:rPr>
                                <w:noProof/>
                                <w:color w:val="FFFFFF"/>
                              </w:rPr>
                              <w:drawing>
                                <wp:inline distT="0" distB="0" distL="0" distR="0" wp14:anchorId="5AF2F35D" wp14:editId="356F0EAD">
                                  <wp:extent cx="1341755" cy="391795"/>
                                  <wp:effectExtent l="0" t="0" r="0" b="8255"/>
                                  <wp:docPr id="15" name="Picture 15" descr="Description: 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Users\mfontana\Documents\Eva Fontana\GRAFICA CIDH\cartas\logos\oea-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755" cy="3917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FD27C" id="Text Box 9" o:spid="_x0000_s1031" type="#_x0000_t202" style="position:absolute;left:0;text-align:left;margin-left:104.7pt;margin-top:50.3pt;width:322.55pt;height:4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" fillcolor="window" stroked="f" strokeweight=".5pt">
                <v:textbox>
                  <w:txbxContent>
                    <w:p w14:paraId="23B2D7FE" w14:textId="77777777" w:rsidR="002F4213" w:rsidRPr="006C777D" w:rsidRDefault="002F4213" w:rsidP="006A407F">
                      <w:pPr>
                        <w:rPr>
                          <w:color w:val="FFFFFF"/>
                        </w:rPr>
                      </w:pPr>
                      <w:r>
                        <w:rPr>
                          <w:noProof/>
                          <w:color w:val="FFFFFF"/>
                        </w:rPr>
                        <w:drawing>
                          <wp:inline distT="0" distB="0" distL="0" distR="0" wp14:anchorId="5AF2F35D" wp14:editId="356F0EAD">
                            <wp:extent cx="1341755" cy="391795"/>
                            <wp:effectExtent l="0" t="0" r="0" b="8255"/>
                            <wp:docPr id="15" name="Picture 15" descr="Description: 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Users\mfontana\Documents\Eva Fontana\GRAFICA CIDH\cartas\logos\oea-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755" cy="391795"/>
                                    </a:xfrm>
                                    <a:prstGeom prst="rect">
                                      <a:avLst/>
                                    </a:prstGeom>
                                    <a:noFill/>
                                    <a:ln>
                                      <a:noFill/>
                                    </a:ln>
                                  </pic:spPr>
                                </pic:pic>
                              </a:graphicData>
                            </a:graphic>
                          </wp:inline>
                        </w:drawing>
                      </w:r>
                    </w:p>
                  </w:txbxContent>
                </v:textbox>
              </v:shape>
            </w:pict>
          </mc:Fallback>
        </mc:AlternateContent>
      </w:r>
      <w:r w:rsidRPr="00F2058B">
        <w:rPr>
          <w:rFonts w:ascii="Cambria" w:hAnsi="Cambria"/>
          <w:noProof/>
          <w:sz w:val="20"/>
          <w:szCs w:val="20"/>
          <w:bdr w:val="none" w:sz="0" w:space="0" w:color="auto"/>
          <w:lang w:val="es-419"/>
        </w:rPr>
        <mc:AlternateContent>
          <mc:Choice Requires="wps">
            <w:drawing>
              <wp:anchor distT="0" distB="0" distL="114300" distR="114300" simplePos="0" relativeHeight="251662336" behindDoc="0" locked="0" layoutInCell="1" allowOverlap="1" wp14:anchorId="22611AE3" wp14:editId="02512FF0">
                <wp:simplePos x="0" y="0"/>
                <wp:positionH relativeFrom="column">
                  <wp:posOffset>-271780</wp:posOffset>
                </wp:positionH>
                <wp:positionV relativeFrom="paragraph">
                  <wp:posOffset>915035</wp:posOffset>
                </wp:positionV>
                <wp:extent cx="1181100" cy="33274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332740"/>
                        </a:xfrm>
                        <a:prstGeom prst="rect">
                          <a:avLst/>
                        </a:prstGeom>
                        <a:noFill/>
                        <a:ln w="6350">
                          <a:noFill/>
                        </a:ln>
                        <a:effectLst/>
                      </wps:spPr>
                      <wps:txbx>
                        <w:txbxContent>
                          <w:p w14:paraId="0041CB73" w14:textId="77777777" w:rsidR="002F4213" w:rsidRPr="006C777D" w:rsidRDefault="002F4213" w:rsidP="006A407F">
                            <w:pPr>
                              <w:jc w:val="center"/>
                              <w:rPr>
                                <w:rFonts w:ascii="Calibri" w:hAnsi="Calibri"/>
                                <w:b/>
                                <w:color w:val="FFFFFF"/>
                              </w:rPr>
                            </w:pPr>
                            <w:r w:rsidRPr="006C777D">
                              <w:rPr>
                                <w:rFonts w:ascii="Calibri" w:hAnsi="Calibri"/>
                                <w:b/>
                                <w:color w:val="FFFFFF"/>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11AE3" id="Text Box 4" o:spid="_x0000_s1032" type="#_x0000_t202" style="position:absolute;left:0;text-align:left;margin-left:-21.4pt;margin-top:72.05pt;width:93pt;height:2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" filled="f" stroked="f" strokeweight=".5pt">
                <v:textbox>
                  <w:txbxContent>
                    <w:p w14:paraId="0041CB73" w14:textId="77777777" w:rsidR="002F4213" w:rsidRPr="006C777D" w:rsidRDefault="002F4213" w:rsidP="006A407F">
                      <w:pPr>
                        <w:jc w:val="center"/>
                        <w:rPr>
                          <w:rFonts w:ascii="Calibri" w:hAnsi="Calibri"/>
                          <w:b/>
                          <w:color w:val="FFFFFF"/>
                        </w:rPr>
                      </w:pPr>
                      <w:r w:rsidRPr="006C777D">
                        <w:rPr>
                          <w:rFonts w:ascii="Calibri" w:hAnsi="Calibri"/>
                          <w:b/>
                          <w:color w:val="FFFFFF"/>
                          <w:lang w:val="pt-BR"/>
                        </w:rPr>
                        <w:t>www.cidh.org</w:t>
                      </w:r>
                    </w:p>
                  </w:txbxContent>
                </v:textbox>
              </v:shape>
            </w:pict>
          </mc:Fallback>
        </mc:AlternateContent>
      </w:r>
    </w:p>
    <w:p w14:paraId="4F00132C" w14:textId="77777777" w:rsidR="006A407F" w:rsidRPr="00F2058B" w:rsidRDefault="006A407F" w:rsidP="006A407F">
      <w:pPr>
        <w:tabs>
          <w:tab w:val="center" w:pos="5400"/>
        </w:tabs>
        <w:suppressAutoHyphens/>
        <w:rPr>
          <w:rFonts w:ascii="Cambria" w:hAnsi="Cambria"/>
          <w:b/>
          <w:sz w:val="20"/>
          <w:szCs w:val="20"/>
          <w:lang w:val="es-419"/>
        </w:rPr>
        <w:sectPr w:rsidR="006A407F" w:rsidRPr="00F2058B" w:rsidSect="006A407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p>
    <w:p w14:paraId="50EC700D" w14:textId="77777777" w:rsidR="006A407F" w:rsidRPr="00F2058B" w:rsidRDefault="006A407F" w:rsidP="006A407F">
      <w:pPr>
        <w:tabs>
          <w:tab w:val="left" w:pos="720"/>
          <w:tab w:val="center" w:pos="5400"/>
        </w:tabs>
        <w:suppressAutoHyphens/>
        <w:spacing w:line="276" w:lineRule="auto"/>
        <w:rPr>
          <w:rFonts w:ascii="Cambria" w:hAnsi="Cambria"/>
          <w:sz w:val="20"/>
          <w:szCs w:val="20"/>
          <w:lang w:val="es-419"/>
        </w:rPr>
      </w:pPr>
    </w:p>
    <w:p w14:paraId="1993803C" w14:textId="1B6D3E00" w:rsidR="006A407F" w:rsidRPr="00F2058B" w:rsidRDefault="006A407F" w:rsidP="00F42DD2">
      <w:pPr>
        <w:pStyle w:val="TOC1"/>
      </w:pPr>
    </w:p>
    <w:sdt>
      <w:sdtPr>
        <w:rPr>
          <w:rFonts w:ascii="Times New Roman" w:eastAsia="Arial Unicode MS" w:hAnsi="Times New Roman" w:cs="Times New Roman"/>
          <w:color w:val="auto"/>
          <w:sz w:val="24"/>
          <w:szCs w:val="24"/>
          <w:bdr w:val="nil"/>
          <w:lang w:val="es-419"/>
        </w:rPr>
        <w:id w:val="1338035300"/>
        <w:docPartObj>
          <w:docPartGallery w:val="Table of Contents"/>
          <w:docPartUnique/>
        </w:docPartObj>
      </w:sdtPr>
      <w:sdtEndPr>
        <w:rPr>
          <w:rFonts w:asciiTheme="majorHAnsi" w:hAnsiTheme="majorHAnsi"/>
          <w:b/>
          <w:bCs/>
          <w:noProof/>
          <w:sz w:val="20"/>
          <w:szCs w:val="20"/>
        </w:rPr>
      </w:sdtEndPr>
      <w:sdtContent>
        <w:p w14:paraId="2D533F04" w14:textId="673EA8B5" w:rsidR="007223AB" w:rsidRPr="00F42DD2" w:rsidRDefault="00863EF8" w:rsidP="005B2E38">
          <w:pPr>
            <w:pStyle w:val="TOCHeading"/>
            <w:jc w:val="center"/>
            <w:rPr>
              <w:b/>
              <w:bCs/>
              <w:sz w:val="24"/>
              <w:szCs w:val="24"/>
              <w:lang w:val="es-419"/>
            </w:rPr>
          </w:pPr>
          <w:r w:rsidRPr="00F42DD2">
            <w:rPr>
              <w:rFonts w:eastAsia="Arial Unicode MS" w:cs="Times New Roman"/>
              <w:b/>
              <w:bCs/>
              <w:color w:val="auto"/>
              <w:sz w:val="24"/>
              <w:szCs w:val="24"/>
              <w:bdr w:val="nil"/>
              <w:lang w:val="es-419"/>
            </w:rPr>
            <w:t>Í</w:t>
          </w:r>
          <w:r w:rsidR="005B2E38" w:rsidRPr="00F42DD2">
            <w:rPr>
              <w:rFonts w:eastAsia="Arial Unicode MS" w:cs="Times New Roman"/>
              <w:b/>
              <w:bCs/>
              <w:color w:val="auto"/>
              <w:sz w:val="24"/>
              <w:szCs w:val="24"/>
              <w:bdr w:val="nil"/>
              <w:lang w:val="es-419"/>
            </w:rPr>
            <w:t>NDICE</w:t>
          </w:r>
        </w:p>
        <w:p w14:paraId="648614C0" w14:textId="08794781" w:rsidR="00F42DD2" w:rsidRPr="00F42DD2" w:rsidRDefault="007223AB" w:rsidP="00F42DD2">
          <w:pPr>
            <w:pStyle w:val="TOC1"/>
            <w:rPr>
              <w:rFonts w:eastAsiaTheme="minorEastAsia" w:cstheme="minorBidi"/>
              <w:noProof/>
              <w:kern w:val="2"/>
              <w:bdr w:val="none" w:sz="0" w:space="0" w:color="auto"/>
              <w:lang w:val="en-US"/>
              <w14:ligatures w14:val="standardContextual"/>
            </w:rPr>
          </w:pPr>
          <w:r w:rsidRPr="00F42DD2">
            <w:rPr>
              <w:lang w:val="es-419"/>
            </w:rPr>
            <w:fldChar w:fldCharType="begin"/>
          </w:r>
          <w:r w:rsidRPr="00F42DD2">
            <w:rPr>
              <w:lang w:val="es-419"/>
            </w:rPr>
            <w:instrText xml:space="preserve"> TOC \o "1-3" \h \z \u </w:instrText>
          </w:r>
          <w:r w:rsidRPr="00F42DD2">
            <w:rPr>
              <w:lang w:val="es-419"/>
            </w:rPr>
            <w:fldChar w:fldCharType="separate"/>
          </w:r>
          <w:hyperlink w:anchor="_Toc216359306" w:history="1">
            <w:r w:rsidR="00F42DD2" w:rsidRPr="00F42DD2">
              <w:rPr>
                <w:rStyle w:val="Hyperlink"/>
                <w:noProof/>
                <w:sz w:val="24"/>
                <w:szCs w:val="24"/>
                <w:lang w:val="es-419"/>
              </w:rPr>
              <w:t>I.</w:t>
            </w:r>
            <w:r w:rsidR="00F42DD2" w:rsidRPr="00F42DD2">
              <w:rPr>
                <w:rFonts w:eastAsiaTheme="minorEastAsia" w:cstheme="minorBidi"/>
                <w:noProof/>
                <w:kern w:val="2"/>
                <w:bdr w:val="none" w:sz="0" w:space="0" w:color="auto"/>
                <w:lang w:val="en-US"/>
                <w14:ligatures w14:val="standardContextual"/>
              </w:rPr>
              <w:tab/>
            </w:r>
            <w:r w:rsidR="00F42DD2" w:rsidRPr="00F42DD2">
              <w:rPr>
                <w:rStyle w:val="Hyperlink"/>
                <w:noProof/>
                <w:sz w:val="24"/>
                <w:szCs w:val="24"/>
                <w:lang w:val="es-419"/>
              </w:rPr>
              <w:t>INTRODUCCIÓN</w:t>
            </w:r>
            <w:r w:rsidR="00F42DD2" w:rsidRPr="00F42DD2">
              <w:rPr>
                <w:noProof/>
                <w:webHidden/>
              </w:rPr>
              <w:tab/>
            </w:r>
            <w:r w:rsidR="00F42DD2">
              <w:rPr>
                <w:noProof/>
                <w:webHidden/>
              </w:rPr>
              <w:tab/>
            </w:r>
            <w:r w:rsidR="00F42DD2" w:rsidRPr="00F42DD2">
              <w:rPr>
                <w:noProof/>
                <w:webHidden/>
              </w:rPr>
              <w:fldChar w:fldCharType="begin"/>
            </w:r>
            <w:r w:rsidR="00F42DD2" w:rsidRPr="00F42DD2">
              <w:rPr>
                <w:noProof/>
                <w:webHidden/>
              </w:rPr>
              <w:instrText xml:space="preserve"> PAGEREF _Toc216359306 \h </w:instrText>
            </w:r>
            <w:r w:rsidR="00F42DD2" w:rsidRPr="00F42DD2">
              <w:rPr>
                <w:noProof/>
                <w:webHidden/>
              </w:rPr>
            </w:r>
            <w:r w:rsidR="00F42DD2" w:rsidRPr="00F42DD2">
              <w:rPr>
                <w:noProof/>
                <w:webHidden/>
              </w:rPr>
              <w:fldChar w:fldCharType="separate"/>
            </w:r>
            <w:r w:rsidR="00CF3CC8">
              <w:rPr>
                <w:noProof/>
                <w:webHidden/>
              </w:rPr>
              <w:t>3</w:t>
            </w:r>
            <w:r w:rsidR="00F42DD2" w:rsidRPr="00F42DD2">
              <w:rPr>
                <w:noProof/>
                <w:webHidden/>
              </w:rPr>
              <w:fldChar w:fldCharType="end"/>
            </w:r>
          </w:hyperlink>
        </w:p>
        <w:p w14:paraId="06D6FEA4" w14:textId="2B00025C" w:rsidR="00F42DD2" w:rsidRPr="00F42DD2" w:rsidRDefault="00F42DD2" w:rsidP="00F42DD2">
          <w:pPr>
            <w:pStyle w:val="TOC1"/>
            <w:rPr>
              <w:rFonts w:eastAsiaTheme="minorEastAsia" w:cstheme="minorBidi"/>
              <w:noProof/>
              <w:kern w:val="2"/>
              <w:bdr w:val="none" w:sz="0" w:space="0" w:color="auto"/>
              <w:lang w:val="en-US"/>
              <w14:ligatures w14:val="standardContextual"/>
            </w:rPr>
          </w:pPr>
          <w:hyperlink w:anchor="_Toc216359307" w:history="1">
            <w:r w:rsidRPr="00F42DD2">
              <w:rPr>
                <w:rStyle w:val="Hyperlink"/>
                <w:noProof/>
                <w:sz w:val="24"/>
                <w:szCs w:val="24"/>
                <w:lang w:val="es-419"/>
              </w:rPr>
              <w:t>II.</w:t>
            </w:r>
            <w:r w:rsidRPr="00F42DD2">
              <w:rPr>
                <w:rFonts w:eastAsiaTheme="minorEastAsia" w:cstheme="minorBidi"/>
                <w:noProof/>
                <w:kern w:val="2"/>
                <w:bdr w:val="none" w:sz="0" w:space="0" w:color="auto"/>
                <w:lang w:val="en-US"/>
                <w14:ligatures w14:val="standardContextual"/>
              </w:rPr>
              <w:tab/>
            </w:r>
            <w:r w:rsidRPr="00F42DD2">
              <w:rPr>
                <w:rStyle w:val="Hyperlink"/>
                <w:noProof/>
                <w:sz w:val="24"/>
                <w:szCs w:val="24"/>
                <w:lang w:val="es-419"/>
              </w:rPr>
              <w:t>ALEGATOS DE LAS PARTES</w:t>
            </w:r>
            <w:r w:rsidRPr="00F42DD2">
              <w:rPr>
                <w:noProof/>
                <w:webHidden/>
              </w:rPr>
              <w:tab/>
            </w:r>
            <w:r>
              <w:rPr>
                <w:noProof/>
                <w:webHidden/>
              </w:rPr>
              <w:tab/>
            </w:r>
            <w:r w:rsidRPr="00F42DD2">
              <w:rPr>
                <w:noProof/>
                <w:webHidden/>
              </w:rPr>
              <w:fldChar w:fldCharType="begin"/>
            </w:r>
            <w:r w:rsidRPr="00F42DD2">
              <w:rPr>
                <w:noProof/>
                <w:webHidden/>
              </w:rPr>
              <w:instrText xml:space="preserve"> PAGEREF _Toc216359307 \h </w:instrText>
            </w:r>
            <w:r w:rsidRPr="00F42DD2">
              <w:rPr>
                <w:noProof/>
                <w:webHidden/>
              </w:rPr>
            </w:r>
            <w:r w:rsidRPr="00F42DD2">
              <w:rPr>
                <w:noProof/>
                <w:webHidden/>
              </w:rPr>
              <w:fldChar w:fldCharType="separate"/>
            </w:r>
            <w:r w:rsidR="00CF3CC8">
              <w:rPr>
                <w:noProof/>
                <w:webHidden/>
              </w:rPr>
              <w:t>3</w:t>
            </w:r>
            <w:r w:rsidRPr="00F42DD2">
              <w:rPr>
                <w:noProof/>
                <w:webHidden/>
              </w:rPr>
              <w:fldChar w:fldCharType="end"/>
            </w:r>
          </w:hyperlink>
        </w:p>
        <w:p w14:paraId="00F39AD8" w14:textId="25BA5B55" w:rsidR="00F42DD2" w:rsidRPr="00F42DD2" w:rsidRDefault="00F42DD2">
          <w:pPr>
            <w:pStyle w:val="TOC2"/>
            <w:rPr>
              <w:rFonts w:asciiTheme="majorHAnsi" w:eastAsiaTheme="minorEastAsia" w:hAnsiTheme="majorHAnsi" w:cstheme="minorBidi"/>
              <w:noProof/>
              <w:kern w:val="2"/>
              <w:bdr w:val="none" w:sz="0" w:space="0" w:color="auto"/>
              <w14:ligatures w14:val="standardContextual"/>
            </w:rPr>
          </w:pPr>
          <w:hyperlink w:anchor="_Toc216359308" w:history="1">
            <w:r w:rsidRPr="00F42DD2">
              <w:rPr>
                <w:rStyle w:val="Hyperlink"/>
                <w:rFonts w:asciiTheme="majorHAnsi" w:hAnsiTheme="majorHAnsi"/>
                <w:noProof/>
                <w:lang w:val="es-419"/>
              </w:rPr>
              <w:t>A.</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Parte peticionaria</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_Toc216359308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3</w:t>
            </w:r>
            <w:r w:rsidRPr="00F42DD2">
              <w:rPr>
                <w:rFonts w:asciiTheme="majorHAnsi" w:hAnsiTheme="majorHAnsi"/>
                <w:noProof/>
                <w:webHidden/>
              </w:rPr>
              <w:fldChar w:fldCharType="end"/>
            </w:r>
          </w:hyperlink>
        </w:p>
        <w:p w14:paraId="1C880BF7" w14:textId="5413D0BF" w:rsidR="00F42DD2" w:rsidRPr="00F42DD2" w:rsidRDefault="00F42DD2">
          <w:pPr>
            <w:pStyle w:val="TOC2"/>
            <w:rPr>
              <w:rFonts w:asciiTheme="majorHAnsi" w:eastAsiaTheme="minorEastAsia" w:hAnsiTheme="majorHAnsi" w:cstheme="minorBidi"/>
              <w:noProof/>
              <w:kern w:val="2"/>
              <w:bdr w:val="none" w:sz="0" w:space="0" w:color="auto"/>
              <w14:ligatures w14:val="standardContextual"/>
            </w:rPr>
          </w:pPr>
          <w:hyperlink w:anchor="_Toc216359309" w:history="1">
            <w:r w:rsidRPr="00F42DD2">
              <w:rPr>
                <w:rStyle w:val="Hyperlink"/>
                <w:rFonts w:asciiTheme="majorHAnsi" w:hAnsiTheme="majorHAnsi"/>
                <w:noProof/>
                <w:lang w:val="es-419"/>
              </w:rPr>
              <w:t>B.</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Estado</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_Toc216359309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5</w:t>
            </w:r>
            <w:r w:rsidRPr="00F42DD2">
              <w:rPr>
                <w:rFonts w:asciiTheme="majorHAnsi" w:hAnsiTheme="majorHAnsi"/>
                <w:noProof/>
                <w:webHidden/>
              </w:rPr>
              <w:fldChar w:fldCharType="end"/>
            </w:r>
          </w:hyperlink>
        </w:p>
        <w:p w14:paraId="2A3FBEC0" w14:textId="764EBB53" w:rsidR="00F42DD2" w:rsidRPr="00F42DD2" w:rsidRDefault="00F42DD2" w:rsidP="00F42DD2">
          <w:pPr>
            <w:pStyle w:val="TOC1"/>
            <w:rPr>
              <w:rFonts w:eastAsiaTheme="minorEastAsia" w:cstheme="minorBidi"/>
              <w:noProof/>
              <w:kern w:val="2"/>
              <w:bdr w:val="none" w:sz="0" w:space="0" w:color="auto"/>
              <w:lang w:val="en-US"/>
              <w14:ligatures w14:val="standardContextual"/>
            </w:rPr>
          </w:pPr>
          <w:hyperlink w:anchor="_Toc216359310" w:history="1">
            <w:r w:rsidRPr="00F42DD2">
              <w:rPr>
                <w:rStyle w:val="Hyperlink"/>
                <w:noProof/>
                <w:sz w:val="24"/>
                <w:szCs w:val="24"/>
                <w:lang w:val="es-419"/>
              </w:rPr>
              <w:t>III.</w:t>
            </w:r>
            <w:r w:rsidRPr="00F42DD2">
              <w:rPr>
                <w:rFonts w:eastAsiaTheme="minorEastAsia" w:cstheme="minorBidi"/>
                <w:noProof/>
                <w:kern w:val="2"/>
                <w:bdr w:val="none" w:sz="0" w:space="0" w:color="auto"/>
                <w:lang w:val="en-US"/>
                <w14:ligatures w14:val="standardContextual"/>
              </w:rPr>
              <w:tab/>
            </w:r>
            <w:r w:rsidRPr="00F42DD2">
              <w:rPr>
                <w:rStyle w:val="Hyperlink"/>
                <w:rFonts w:eastAsia="Cambria" w:cs="Cambria"/>
                <w:noProof/>
                <w:sz w:val="24"/>
                <w:szCs w:val="24"/>
                <w:lang w:val="es-419" w:eastAsia="es-ES"/>
              </w:rPr>
              <w:t>DETERMINACIONES</w:t>
            </w:r>
            <w:r w:rsidRPr="00F42DD2">
              <w:rPr>
                <w:rStyle w:val="Hyperlink"/>
                <w:noProof/>
                <w:sz w:val="24"/>
                <w:szCs w:val="24"/>
                <w:lang w:val="es-419"/>
              </w:rPr>
              <w:t xml:space="preserve"> DE HECHO</w:t>
            </w:r>
            <w:r w:rsidRPr="00F42DD2">
              <w:rPr>
                <w:noProof/>
                <w:webHidden/>
              </w:rPr>
              <w:tab/>
            </w:r>
            <w:r w:rsidRPr="00F42DD2">
              <w:rPr>
                <w:noProof/>
                <w:webHidden/>
              </w:rPr>
              <w:fldChar w:fldCharType="begin"/>
            </w:r>
            <w:r w:rsidRPr="00F42DD2">
              <w:rPr>
                <w:noProof/>
                <w:webHidden/>
              </w:rPr>
              <w:instrText xml:space="preserve"> PAGEREF _Toc216359310 \h </w:instrText>
            </w:r>
            <w:r w:rsidRPr="00F42DD2">
              <w:rPr>
                <w:noProof/>
                <w:webHidden/>
              </w:rPr>
            </w:r>
            <w:r w:rsidRPr="00F42DD2">
              <w:rPr>
                <w:noProof/>
                <w:webHidden/>
              </w:rPr>
              <w:fldChar w:fldCharType="separate"/>
            </w:r>
            <w:r w:rsidR="00CF3CC8">
              <w:rPr>
                <w:noProof/>
                <w:webHidden/>
              </w:rPr>
              <w:t>6</w:t>
            </w:r>
            <w:r w:rsidRPr="00F42DD2">
              <w:rPr>
                <w:noProof/>
                <w:webHidden/>
              </w:rPr>
              <w:fldChar w:fldCharType="end"/>
            </w:r>
          </w:hyperlink>
        </w:p>
        <w:p w14:paraId="6A859DAF" w14:textId="40FACD46" w:rsidR="00F42DD2" w:rsidRPr="00F42DD2" w:rsidRDefault="00F42DD2">
          <w:pPr>
            <w:pStyle w:val="TOC2"/>
            <w:rPr>
              <w:rFonts w:asciiTheme="majorHAnsi" w:eastAsiaTheme="minorEastAsia" w:hAnsiTheme="majorHAnsi" w:cstheme="minorBidi"/>
              <w:noProof/>
              <w:kern w:val="2"/>
              <w:bdr w:val="none" w:sz="0" w:space="0" w:color="auto"/>
              <w14:ligatures w14:val="standardContextual"/>
            </w:rPr>
          </w:pPr>
          <w:hyperlink w:anchor="_Toc216359311" w:history="1">
            <w:r w:rsidRPr="00F42DD2">
              <w:rPr>
                <w:rStyle w:val="Hyperlink"/>
                <w:rFonts w:asciiTheme="majorHAnsi" w:hAnsiTheme="majorHAnsi"/>
                <w:noProof/>
                <w:lang w:val="es-419"/>
              </w:rPr>
              <w:t>A.</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Sobre el fenómeno del paramilitarismo en Colombia.</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_Toc216359311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6</w:t>
            </w:r>
            <w:r w:rsidRPr="00F42DD2">
              <w:rPr>
                <w:rFonts w:asciiTheme="majorHAnsi" w:hAnsiTheme="majorHAnsi"/>
                <w:noProof/>
                <w:webHidden/>
              </w:rPr>
              <w:fldChar w:fldCharType="end"/>
            </w:r>
          </w:hyperlink>
        </w:p>
        <w:p w14:paraId="22FF212C" w14:textId="0AC2989D" w:rsidR="00F42DD2" w:rsidRPr="00F42DD2" w:rsidRDefault="00F42DD2">
          <w:pPr>
            <w:pStyle w:val="TOC2"/>
            <w:rPr>
              <w:rFonts w:asciiTheme="majorHAnsi" w:eastAsiaTheme="minorEastAsia" w:hAnsiTheme="majorHAnsi" w:cstheme="minorBidi"/>
              <w:noProof/>
              <w:kern w:val="2"/>
              <w:bdr w:val="none" w:sz="0" w:space="0" w:color="auto"/>
              <w14:ligatures w14:val="standardContextual"/>
            </w:rPr>
          </w:pPr>
          <w:hyperlink w:anchor="_Toc216359312" w:history="1">
            <w:r w:rsidRPr="00F42DD2">
              <w:rPr>
                <w:rStyle w:val="Hyperlink"/>
                <w:rFonts w:asciiTheme="majorHAnsi" w:hAnsiTheme="majorHAnsi"/>
                <w:noProof/>
                <w:lang w:val="es-419"/>
              </w:rPr>
              <w:t>B.</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La situación en el Magdalena Medio.</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_Toc216359312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7</w:t>
            </w:r>
            <w:r w:rsidRPr="00F42DD2">
              <w:rPr>
                <w:rFonts w:asciiTheme="majorHAnsi" w:hAnsiTheme="majorHAnsi"/>
                <w:noProof/>
                <w:webHidden/>
              </w:rPr>
              <w:fldChar w:fldCharType="end"/>
            </w:r>
          </w:hyperlink>
        </w:p>
        <w:p w14:paraId="30A86802" w14:textId="5C3A6505" w:rsidR="00F42DD2" w:rsidRPr="00F42DD2" w:rsidRDefault="00F42DD2">
          <w:pPr>
            <w:pStyle w:val="TOC2"/>
            <w:rPr>
              <w:rFonts w:asciiTheme="majorHAnsi" w:eastAsiaTheme="minorEastAsia" w:hAnsiTheme="majorHAnsi" w:cstheme="minorBidi"/>
              <w:noProof/>
              <w:kern w:val="2"/>
              <w:bdr w:val="none" w:sz="0" w:space="0" w:color="auto"/>
              <w14:ligatures w14:val="standardContextual"/>
            </w:rPr>
          </w:pPr>
          <w:hyperlink w:anchor="_Toc216359313" w:history="1">
            <w:r w:rsidRPr="00F42DD2">
              <w:rPr>
                <w:rStyle w:val="Hyperlink"/>
                <w:rFonts w:asciiTheme="majorHAnsi" w:hAnsiTheme="majorHAnsi"/>
                <w:noProof/>
                <w:lang w:val="es-419"/>
              </w:rPr>
              <w:t>C.</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Antecedentes y desapariciones de Gildardo Fuentes y Edgar Quiroga</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_Toc216359313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8</w:t>
            </w:r>
            <w:r w:rsidRPr="00F42DD2">
              <w:rPr>
                <w:rFonts w:asciiTheme="majorHAnsi" w:hAnsiTheme="majorHAnsi"/>
                <w:noProof/>
                <w:webHidden/>
              </w:rPr>
              <w:fldChar w:fldCharType="end"/>
            </w:r>
          </w:hyperlink>
        </w:p>
        <w:p w14:paraId="47AAD218" w14:textId="57B503FE" w:rsidR="00F42DD2" w:rsidRPr="00F42DD2" w:rsidRDefault="00F42DD2">
          <w:pPr>
            <w:pStyle w:val="TOC2"/>
            <w:rPr>
              <w:rFonts w:asciiTheme="majorHAnsi" w:eastAsiaTheme="minorEastAsia" w:hAnsiTheme="majorHAnsi" w:cstheme="minorBidi"/>
              <w:noProof/>
              <w:kern w:val="2"/>
              <w:bdr w:val="none" w:sz="0" w:space="0" w:color="auto"/>
              <w14:ligatures w14:val="standardContextual"/>
            </w:rPr>
          </w:pPr>
          <w:hyperlink w:anchor="_Toc216359314" w:history="1">
            <w:r w:rsidRPr="00F42DD2">
              <w:rPr>
                <w:rStyle w:val="Hyperlink"/>
                <w:rFonts w:asciiTheme="majorHAnsi" w:hAnsiTheme="majorHAnsi"/>
                <w:noProof/>
                <w:lang w:val="es-419"/>
              </w:rPr>
              <w:t>D.</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Procesos internos en relación con las desapariciones de Edgar Quiroga y Gildardo Fuentes</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_Toc216359314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11</w:t>
            </w:r>
            <w:r w:rsidRPr="00F42DD2">
              <w:rPr>
                <w:rFonts w:asciiTheme="majorHAnsi" w:hAnsiTheme="majorHAnsi"/>
                <w:noProof/>
                <w:webHidden/>
              </w:rPr>
              <w:fldChar w:fldCharType="end"/>
            </w:r>
          </w:hyperlink>
        </w:p>
        <w:p w14:paraId="7F4AB37D" w14:textId="49717DE5" w:rsidR="00F42DD2" w:rsidRPr="00F42DD2" w:rsidRDefault="00F42DD2">
          <w:pPr>
            <w:pStyle w:val="TOC3"/>
            <w:rPr>
              <w:rFonts w:asciiTheme="majorHAnsi" w:eastAsiaTheme="minorEastAsia" w:hAnsiTheme="majorHAnsi" w:cstheme="minorBidi"/>
              <w:noProof/>
              <w:kern w:val="2"/>
              <w:bdr w:val="none" w:sz="0" w:space="0" w:color="auto"/>
              <w14:ligatures w14:val="standardContextual"/>
            </w:rPr>
          </w:pPr>
          <w:hyperlink w:anchor="_Toc216359315" w:history="1">
            <w:r w:rsidRPr="00F42DD2">
              <w:rPr>
                <w:rStyle w:val="Hyperlink"/>
                <w:rFonts w:asciiTheme="majorHAnsi" w:hAnsiTheme="majorHAnsi"/>
                <w:noProof/>
                <w:lang w:val="es-419"/>
              </w:rPr>
              <w:t>1.</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Hábeas Corpus</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_Toc216359315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11</w:t>
            </w:r>
            <w:r w:rsidRPr="00F42DD2">
              <w:rPr>
                <w:rFonts w:asciiTheme="majorHAnsi" w:hAnsiTheme="majorHAnsi"/>
                <w:noProof/>
                <w:webHidden/>
              </w:rPr>
              <w:fldChar w:fldCharType="end"/>
            </w:r>
          </w:hyperlink>
        </w:p>
        <w:p w14:paraId="6FD4BB44" w14:textId="336C77C4" w:rsidR="00F42DD2" w:rsidRPr="00F42DD2" w:rsidRDefault="00F42DD2">
          <w:pPr>
            <w:pStyle w:val="TOC3"/>
            <w:rPr>
              <w:rFonts w:asciiTheme="majorHAnsi" w:eastAsiaTheme="minorEastAsia" w:hAnsiTheme="majorHAnsi" w:cstheme="minorBidi"/>
              <w:noProof/>
              <w:kern w:val="2"/>
              <w:bdr w:val="none" w:sz="0" w:space="0" w:color="auto"/>
              <w14:ligatures w14:val="standardContextual"/>
            </w:rPr>
          </w:pPr>
          <w:hyperlink w:anchor="_Toc216359316" w:history="1">
            <w:r w:rsidRPr="00F42DD2">
              <w:rPr>
                <w:rStyle w:val="Hyperlink"/>
                <w:rFonts w:asciiTheme="majorHAnsi" w:hAnsiTheme="majorHAnsi"/>
                <w:noProof/>
                <w:lang w:val="es-419"/>
              </w:rPr>
              <w:t>2.</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Comisiones de búsqueda</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_Toc216359316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12</w:t>
            </w:r>
            <w:r w:rsidRPr="00F42DD2">
              <w:rPr>
                <w:rFonts w:asciiTheme="majorHAnsi" w:hAnsiTheme="majorHAnsi"/>
                <w:noProof/>
                <w:webHidden/>
              </w:rPr>
              <w:fldChar w:fldCharType="end"/>
            </w:r>
          </w:hyperlink>
        </w:p>
        <w:p w14:paraId="4F211F75" w14:textId="7B021A1D" w:rsidR="00F42DD2" w:rsidRPr="00F42DD2" w:rsidRDefault="00F42DD2">
          <w:pPr>
            <w:pStyle w:val="TOC3"/>
            <w:rPr>
              <w:rFonts w:asciiTheme="majorHAnsi" w:eastAsiaTheme="minorEastAsia" w:hAnsiTheme="majorHAnsi" w:cstheme="minorBidi"/>
              <w:noProof/>
              <w:kern w:val="2"/>
              <w:bdr w:val="none" w:sz="0" w:space="0" w:color="auto"/>
              <w14:ligatures w14:val="standardContextual"/>
            </w:rPr>
          </w:pPr>
          <w:hyperlink w:anchor="_Toc216359317" w:history="1">
            <w:r w:rsidRPr="00F42DD2">
              <w:rPr>
                <w:rStyle w:val="Hyperlink"/>
                <w:rFonts w:asciiTheme="majorHAnsi" w:hAnsiTheme="majorHAnsi"/>
                <w:noProof/>
                <w:lang w:val="es-419"/>
              </w:rPr>
              <w:t>3.</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Investigación penal ante la Unidad Nacional de Derechos Humanos y Derecho Internacional Humanitario.</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_Toc216359317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15</w:t>
            </w:r>
            <w:r w:rsidRPr="00F42DD2">
              <w:rPr>
                <w:rFonts w:asciiTheme="majorHAnsi" w:hAnsiTheme="majorHAnsi"/>
                <w:noProof/>
                <w:webHidden/>
              </w:rPr>
              <w:fldChar w:fldCharType="end"/>
            </w:r>
          </w:hyperlink>
        </w:p>
        <w:p w14:paraId="44C099CE" w14:textId="09A3DA54" w:rsidR="00F42DD2" w:rsidRPr="00F42DD2" w:rsidRDefault="00F42DD2">
          <w:pPr>
            <w:pStyle w:val="TOC2"/>
            <w:rPr>
              <w:rFonts w:asciiTheme="majorHAnsi" w:eastAsiaTheme="minorEastAsia" w:hAnsiTheme="majorHAnsi" w:cstheme="minorBidi"/>
              <w:noProof/>
              <w:kern w:val="2"/>
              <w:bdr w:val="none" w:sz="0" w:space="0" w:color="auto"/>
              <w14:ligatures w14:val="standardContextual"/>
            </w:rPr>
          </w:pPr>
          <w:hyperlink w:anchor="_Toc216359318" w:history="1">
            <w:r w:rsidRPr="00F42DD2">
              <w:rPr>
                <w:rStyle w:val="Hyperlink"/>
                <w:rFonts w:asciiTheme="majorHAnsi" w:hAnsiTheme="majorHAnsi"/>
                <w:noProof/>
                <w:lang w:val="es-419"/>
              </w:rPr>
              <w:t>E.</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Hechos en relación con Victoria Delgado Anaya.</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_Toc216359318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17</w:t>
            </w:r>
            <w:r w:rsidRPr="00F42DD2">
              <w:rPr>
                <w:rFonts w:asciiTheme="majorHAnsi" w:hAnsiTheme="majorHAnsi"/>
                <w:noProof/>
                <w:webHidden/>
              </w:rPr>
              <w:fldChar w:fldCharType="end"/>
            </w:r>
          </w:hyperlink>
        </w:p>
        <w:p w14:paraId="2BD9468F" w14:textId="622A03F4" w:rsidR="00F42DD2" w:rsidRPr="00F42DD2" w:rsidRDefault="00F42DD2">
          <w:pPr>
            <w:pStyle w:val="TOC2"/>
            <w:rPr>
              <w:rFonts w:asciiTheme="majorHAnsi" w:eastAsiaTheme="minorEastAsia" w:hAnsiTheme="majorHAnsi" w:cstheme="minorBidi"/>
              <w:noProof/>
              <w:kern w:val="2"/>
              <w:bdr w:val="none" w:sz="0" w:space="0" w:color="auto"/>
              <w14:ligatures w14:val="standardContextual"/>
            </w:rPr>
          </w:pPr>
          <w:hyperlink w:anchor="_Toc216359319" w:history="1">
            <w:r w:rsidRPr="00F42DD2">
              <w:rPr>
                <w:rStyle w:val="Hyperlink"/>
                <w:rFonts w:asciiTheme="majorHAnsi" w:hAnsiTheme="majorHAnsi"/>
                <w:noProof/>
                <w:lang w:val="es-419"/>
              </w:rPr>
              <w:t>F.</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Investigaciones por la muerte de Victoria Delgado Anaya</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_Toc216359319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19</w:t>
            </w:r>
            <w:r w:rsidRPr="00F42DD2">
              <w:rPr>
                <w:rFonts w:asciiTheme="majorHAnsi" w:hAnsiTheme="majorHAnsi"/>
                <w:noProof/>
                <w:webHidden/>
              </w:rPr>
              <w:fldChar w:fldCharType="end"/>
            </w:r>
          </w:hyperlink>
        </w:p>
        <w:p w14:paraId="4974A3CE" w14:textId="2A7FE9A0" w:rsidR="00F42DD2" w:rsidRPr="00F42DD2" w:rsidRDefault="00F42DD2" w:rsidP="00F42DD2">
          <w:pPr>
            <w:pStyle w:val="TOC1"/>
            <w:rPr>
              <w:rFonts w:eastAsiaTheme="minorEastAsia" w:cstheme="minorBidi"/>
              <w:noProof/>
              <w:kern w:val="2"/>
              <w:bdr w:val="none" w:sz="0" w:space="0" w:color="auto"/>
              <w:lang w:val="en-US"/>
              <w14:ligatures w14:val="standardContextual"/>
            </w:rPr>
          </w:pPr>
          <w:hyperlink w:anchor="_Toc216359320" w:history="1">
            <w:r w:rsidRPr="00F42DD2">
              <w:rPr>
                <w:rStyle w:val="Hyperlink"/>
                <w:noProof/>
                <w:sz w:val="24"/>
                <w:szCs w:val="24"/>
                <w:lang w:val="es-419"/>
              </w:rPr>
              <w:t>IV.</w:t>
            </w:r>
            <w:r w:rsidRPr="00F42DD2">
              <w:rPr>
                <w:rFonts w:eastAsiaTheme="minorEastAsia" w:cstheme="minorBidi"/>
                <w:noProof/>
                <w:kern w:val="2"/>
                <w:bdr w:val="none" w:sz="0" w:space="0" w:color="auto"/>
                <w:lang w:val="en-US"/>
                <w14:ligatures w14:val="standardContextual"/>
              </w:rPr>
              <w:tab/>
            </w:r>
            <w:r w:rsidRPr="00F42DD2">
              <w:rPr>
                <w:rStyle w:val="Hyperlink"/>
                <w:rFonts w:eastAsia="Cambria" w:cs="Cambria"/>
                <w:noProof/>
                <w:sz w:val="24"/>
                <w:szCs w:val="24"/>
                <w:lang w:val="es-419" w:eastAsia="es-ES"/>
              </w:rPr>
              <w:t>ANÁLISIS DE DERECHO</w:t>
            </w:r>
            <w:r w:rsidRPr="00F42DD2">
              <w:rPr>
                <w:noProof/>
                <w:webHidden/>
              </w:rPr>
              <w:tab/>
            </w:r>
            <w:r w:rsidRPr="00F42DD2">
              <w:rPr>
                <w:noProof/>
                <w:webHidden/>
              </w:rPr>
              <w:fldChar w:fldCharType="begin"/>
            </w:r>
            <w:r w:rsidRPr="00F42DD2">
              <w:rPr>
                <w:noProof/>
                <w:webHidden/>
              </w:rPr>
              <w:instrText xml:space="preserve"> PAGEREF _Toc216359320 \h </w:instrText>
            </w:r>
            <w:r w:rsidRPr="00F42DD2">
              <w:rPr>
                <w:noProof/>
                <w:webHidden/>
              </w:rPr>
            </w:r>
            <w:r w:rsidRPr="00F42DD2">
              <w:rPr>
                <w:noProof/>
                <w:webHidden/>
              </w:rPr>
              <w:fldChar w:fldCharType="separate"/>
            </w:r>
            <w:r w:rsidR="00CF3CC8">
              <w:rPr>
                <w:noProof/>
                <w:webHidden/>
              </w:rPr>
              <w:t>20</w:t>
            </w:r>
            <w:r w:rsidRPr="00F42DD2">
              <w:rPr>
                <w:noProof/>
                <w:webHidden/>
              </w:rPr>
              <w:fldChar w:fldCharType="end"/>
            </w:r>
          </w:hyperlink>
        </w:p>
        <w:p w14:paraId="1ABCF718" w14:textId="1374379D" w:rsidR="00F42DD2" w:rsidRPr="00F42DD2" w:rsidRDefault="00F42DD2">
          <w:pPr>
            <w:pStyle w:val="TOC2"/>
            <w:rPr>
              <w:rFonts w:asciiTheme="majorHAnsi" w:eastAsiaTheme="minorEastAsia" w:hAnsiTheme="majorHAnsi" w:cstheme="minorBidi"/>
              <w:noProof/>
              <w:kern w:val="2"/>
              <w:bdr w:val="none" w:sz="0" w:space="0" w:color="auto"/>
              <w14:ligatures w14:val="standardContextual"/>
            </w:rPr>
          </w:pPr>
          <w:hyperlink w:anchor="_Toc216359321" w:history="1">
            <w:r w:rsidRPr="00F42DD2">
              <w:rPr>
                <w:rStyle w:val="Hyperlink"/>
                <w:rFonts w:asciiTheme="majorHAnsi" w:hAnsiTheme="majorHAnsi"/>
                <w:noProof/>
                <w:lang w:val="es-419"/>
              </w:rPr>
              <w:t>A.</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El derecho a la vida , integridad personal y libertad personal y disposiciones relevantes de la CIPST respecto de las alegadas torturas e intento de asesinato de Gildardo Fuentes</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_Toc216359321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20</w:t>
            </w:r>
            <w:r w:rsidRPr="00F42DD2">
              <w:rPr>
                <w:rFonts w:asciiTheme="majorHAnsi" w:hAnsiTheme="majorHAnsi"/>
                <w:noProof/>
                <w:webHidden/>
              </w:rPr>
              <w:fldChar w:fldCharType="end"/>
            </w:r>
          </w:hyperlink>
        </w:p>
        <w:p w14:paraId="5E6024B7" w14:textId="757330AA" w:rsidR="00F42DD2" w:rsidRPr="00F42DD2" w:rsidRDefault="00F42DD2">
          <w:pPr>
            <w:pStyle w:val="TOC2"/>
            <w:rPr>
              <w:rFonts w:asciiTheme="majorHAnsi" w:eastAsiaTheme="minorEastAsia" w:hAnsiTheme="majorHAnsi" w:cstheme="minorBidi"/>
              <w:noProof/>
              <w:kern w:val="2"/>
              <w:bdr w:val="none" w:sz="0" w:space="0" w:color="auto"/>
              <w14:ligatures w14:val="standardContextual"/>
            </w:rPr>
          </w:pPr>
          <w:hyperlink w:anchor="_Toc216359322" w:history="1">
            <w:r w:rsidRPr="00F42DD2">
              <w:rPr>
                <w:rStyle w:val="Hyperlink"/>
                <w:rFonts w:asciiTheme="majorHAnsi" w:hAnsiTheme="majorHAnsi"/>
                <w:noProof/>
                <w:lang w:val="es-419"/>
              </w:rPr>
              <w:t>B.</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Derechos al reconocimiento de la personalidad jurídica, a la libertad personal, a la integridad personal y a la vida en relación con la obligación de respetar y garantizar los derechos  y el artículo I a)  de la CIDFP respecto a las desapariciones de Edgar Quiroga y Gildardo Fuentes</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_Toc216359322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22</w:t>
            </w:r>
            <w:r w:rsidRPr="00F42DD2">
              <w:rPr>
                <w:rFonts w:asciiTheme="majorHAnsi" w:hAnsiTheme="majorHAnsi"/>
                <w:noProof/>
                <w:webHidden/>
              </w:rPr>
              <w:fldChar w:fldCharType="end"/>
            </w:r>
          </w:hyperlink>
        </w:p>
        <w:p w14:paraId="296D67E2" w14:textId="413E85E3" w:rsidR="00F42DD2" w:rsidRPr="00F42DD2" w:rsidRDefault="00F42DD2">
          <w:pPr>
            <w:pStyle w:val="TOC2"/>
            <w:rPr>
              <w:rFonts w:asciiTheme="majorHAnsi" w:eastAsiaTheme="minorEastAsia" w:hAnsiTheme="majorHAnsi" w:cstheme="minorBidi"/>
              <w:noProof/>
              <w:kern w:val="2"/>
              <w:bdr w:val="none" w:sz="0" w:space="0" w:color="auto"/>
              <w14:ligatures w14:val="standardContextual"/>
            </w:rPr>
          </w:pPr>
          <w:hyperlink w:anchor="_Toc216359323" w:history="1">
            <w:r w:rsidRPr="00F42DD2">
              <w:rPr>
                <w:rStyle w:val="Hyperlink"/>
                <w:rFonts w:asciiTheme="majorHAnsi" w:hAnsiTheme="majorHAnsi"/>
                <w:noProof/>
                <w:lang w:val="es-419"/>
              </w:rPr>
              <w:t>C.</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Derecho a las garantías judiciales y la protección judicial en relación con la obligación de respetar los derechos humanos y el deber de adoptar disposiciones de derecho interno) y el artículo I.b de la CIDFP</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_Toc216359323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26</w:t>
            </w:r>
            <w:r w:rsidRPr="00F42DD2">
              <w:rPr>
                <w:rFonts w:asciiTheme="majorHAnsi" w:hAnsiTheme="majorHAnsi"/>
                <w:noProof/>
                <w:webHidden/>
              </w:rPr>
              <w:fldChar w:fldCharType="end"/>
            </w:r>
          </w:hyperlink>
        </w:p>
        <w:p w14:paraId="6537160D" w14:textId="0F62DD9A" w:rsidR="00F42DD2" w:rsidRPr="00F42DD2" w:rsidRDefault="00F42DD2">
          <w:pPr>
            <w:pStyle w:val="TOC2"/>
            <w:rPr>
              <w:rFonts w:asciiTheme="majorHAnsi" w:eastAsiaTheme="minorEastAsia" w:hAnsiTheme="majorHAnsi" w:cstheme="minorBidi"/>
              <w:noProof/>
              <w:kern w:val="2"/>
              <w:bdr w:val="none" w:sz="0" w:space="0" w:color="auto"/>
              <w14:ligatures w14:val="standardContextual"/>
            </w:rPr>
          </w:pPr>
          <w:hyperlink w:anchor="_Toc216359324" w:history="1">
            <w:r w:rsidRPr="00F42DD2">
              <w:rPr>
                <w:rStyle w:val="Hyperlink"/>
                <w:rFonts w:asciiTheme="majorHAnsi" w:hAnsiTheme="majorHAnsi"/>
                <w:noProof/>
                <w:lang w:val="es-419"/>
              </w:rPr>
              <w:t>D.</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Derechos a la vida, garantías judiciales y protección judicial respecto del asesinato de Victoria Delgado Anaya</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_Toc216359324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28</w:t>
            </w:r>
            <w:r w:rsidRPr="00F42DD2">
              <w:rPr>
                <w:rFonts w:asciiTheme="majorHAnsi" w:hAnsiTheme="majorHAnsi"/>
                <w:noProof/>
                <w:webHidden/>
              </w:rPr>
              <w:fldChar w:fldCharType="end"/>
            </w:r>
          </w:hyperlink>
        </w:p>
        <w:p w14:paraId="0D55DF78" w14:textId="3E90CCD3" w:rsidR="00F42DD2" w:rsidRPr="00F42DD2" w:rsidRDefault="00F42DD2">
          <w:pPr>
            <w:pStyle w:val="TOC2"/>
            <w:rPr>
              <w:rFonts w:asciiTheme="majorHAnsi" w:eastAsiaTheme="minorEastAsia" w:hAnsiTheme="majorHAnsi" w:cstheme="minorBidi"/>
              <w:noProof/>
              <w:kern w:val="2"/>
              <w:bdr w:val="none" w:sz="0" w:space="0" w:color="auto"/>
              <w14:ligatures w14:val="standardContextual"/>
            </w:rPr>
          </w:pPr>
          <w:hyperlink w:anchor="_Toc216359325" w:history="1">
            <w:r w:rsidRPr="00F42DD2">
              <w:rPr>
                <w:rStyle w:val="Hyperlink"/>
                <w:rFonts w:asciiTheme="majorHAnsi" w:hAnsiTheme="majorHAnsi"/>
                <w:noProof/>
                <w:lang w:val="es-419"/>
              </w:rPr>
              <w:t>E.</w:t>
            </w:r>
            <w:r w:rsidRPr="00F42DD2">
              <w:rPr>
                <w:rFonts w:asciiTheme="majorHAnsi" w:eastAsiaTheme="minorEastAsia" w:hAnsiTheme="majorHAnsi" w:cstheme="minorBidi"/>
                <w:noProof/>
                <w:kern w:val="2"/>
                <w:bdr w:val="none" w:sz="0" w:space="0" w:color="auto"/>
                <w14:ligatures w14:val="standardContextual"/>
              </w:rPr>
              <w:tab/>
            </w:r>
            <w:r w:rsidRPr="00F42DD2">
              <w:rPr>
                <w:rStyle w:val="Hyperlink"/>
                <w:rFonts w:asciiTheme="majorHAnsi" w:hAnsiTheme="majorHAnsi"/>
                <w:noProof/>
                <w:lang w:val="es-419"/>
              </w:rPr>
              <w:t>Derecho a la integridad personal de los familiares (artículo 5 en relación con el artículo 1.1 de la Convención Americana)</w:t>
            </w:r>
            <w:r w:rsidRPr="00F42DD2">
              <w:rPr>
                <w:rFonts w:asciiTheme="majorHAnsi" w:hAnsiTheme="majorHAnsi"/>
                <w:noProof/>
                <w:webHidden/>
              </w:rPr>
              <w:tab/>
            </w:r>
            <w:r w:rsidRPr="00F42DD2">
              <w:rPr>
                <w:rFonts w:asciiTheme="majorHAnsi" w:hAnsiTheme="majorHAnsi"/>
                <w:noProof/>
                <w:webHidden/>
              </w:rPr>
              <w:fldChar w:fldCharType="begin"/>
            </w:r>
            <w:r w:rsidRPr="00F42DD2">
              <w:rPr>
                <w:rFonts w:asciiTheme="majorHAnsi" w:hAnsiTheme="majorHAnsi"/>
                <w:noProof/>
                <w:webHidden/>
              </w:rPr>
              <w:instrText xml:space="preserve"> PAGEREF _Toc216359325 \h </w:instrText>
            </w:r>
            <w:r w:rsidRPr="00F42DD2">
              <w:rPr>
                <w:rFonts w:asciiTheme="majorHAnsi" w:hAnsiTheme="majorHAnsi"/>
                <w:noProof/>
                <w:webHidden/>
              </w:rPr>
            </w:r>
            <w:r w:rsidRPr="00F42DD2">
              <w:rPr>
                <w:rFonts w:asciiTheme="majorHAnsi" w:hAnsiTheme="majorHAnsi"/>
                <w:noProof/>
                <w:webHidden/>
              </w:rPr>
              <w:fldChar w:fldCharType="separate"/>
            </w:r>
            <w:r w:rsidR="00CF3CC8">
              <w:rPr>
                <w:rFonts w:asciiTheme="majorHAnsi" w:hAnsiTheme="majorHAnsi"/>
                <w:noProof/>
                <w:webHidden/>
              </w:rPr>
              <w:t>30</w:t>
            </w:r>
            <w:r w:rsidRPr="00F42DD2">
              <w:rPr>
                <w:rFonts w:asciiTheme="majorHAnsi" w:hAnsiTheme="majorHAnsi"/>
                <w:noProof/>
                <w:webHidden/>
              </w:rPr>
              <w:fldChar w:fldCharType="end"/>
            </w:r>
          </w:hyperlink>
        </w:p>
        <w:p w14:paraId="326AC3E7" w14:textId="4E7D5648" w:rsidR="00F42DD2" w:rsidRPr="00F42DD2" w:rsidRDefault="00F42DD2" w:rsidP="00F42DD2">
          <w:pPr>
            <w:pStyle w:val="TOC1"/>
            <w:rPr>
              <w:rFonts w:eastAsiaTheme="minorEastAsia" w:cstheme="minorBidi"/>
              <w:noProof/>
              <w:kern w:val="2"/>
              <w:bdr w:val="none" w:sz="0" w:space="0" w:color="auto"/>
              <w:lang w:val="en-US"/>
              <w14:ligatures w14:val="standardContextual"/>
            </w:rPr>
          </w:pPr>
          <w:hyperlink w:anchor="_Toc216359326" w:history="1">
            <w:r w:rsidRPr="00F42DD2">
              <w:rPr>
                <w:rStyle w:val="Hyperlink"/>
                <w:noProof/>
                <w:sz w:val="24"/>
                <w:szCs w:val="24"/>
                <w:lang w:val="es-419"/>
              </w:rPr>
              <w:t>V.</w:t>
            </w:r>
            <w:r w:rsidRPr="00F42DD2">
              <w:rPr>
                <w:rFonts w:eastAsiaTheme="minorEastAsia" w:cstheme="minorBidi"/>
                <w:noProof/>
                <w:kern w:val="2"/>
                <w:bdr w:val="none" w:sz="0" w:space="0" w:color="auto"/>
                <w:lang w:val="en-US"/>
                <w14:ligatures w14:val="standardContextual"/>
              </w:rPr>
              <w:tab/>
            </w:r>
            <w:r w:rsidRPr="00F42DD2">
              <w:rPr>
                <w:rStyle w:val="Hyperlink"/>
                <w:rFonts w:eastAsia="Cambria" w:cs="Cambria"/>
                <w:noProof/>
                <w:sz w:val="24"/>
                <w:szCs w:val="24"/>
                <w:lang w:val="es-419" w:eastAsia="es-ES"/>
              </w:rPr>
              <w:t>INFORME</w:t>
            </w:r>
            <w:r w:rsidRPr="00F42DD2">
              <w:rPr>
                <w:rStyle w:val="Hyperlink"/>
                <w:noProof/>
                <w:sz w:val="24"/>
                <w:szCs w:val="24"/>
                <w:lang w:val="es-419"/>
              </w:rPr>
              <w:t xml:space="preserve"> No. 300/20 E INFORMACIÓN SOBRE CUMPLIMIENTO</w:t>
            </w:r>
            <w:r w:rsidRPr="00F42DD2">
              <w:rPr>
                <w:noProof/>
                <w:webHidden/>
              </w:rPr>
              <w:tab/>
            </w:r>
            <w:r w:rsidRPr="00F42DD2">
              <w:rPr>
                <w:noProof/>
                <w:webHidden/>
              </w:rPr>
              <w:fldChar w:fldCharType="begin"/>
            </w:r>
            <w:r w:rsidRPr="00F42DD2">
              <w:rPr>
                <w:noProof/>
                <w:webHidden/>
              </w:rPr>
              <w:instrText xml:space="preserve"> PAGEREF _Toc216359326 \h </w:instrText>
            </w:r>
            <w:r w:rsidRPr="00F42DD2">
              <w:rPr>
                <w:noProof/>
                <w:webHidden/>
              </w:rPr>
            </w:r>
            <w:r w:rsidRPr="00F42DD2">
              <w:rPr>
                <w:noProof/>
                <w:webHidden/>
              </w:rPr>
              <w:fldChar w:fldCharType="separate"/>
            </w:r>
            <w:r w:rsidR="00CF3CC8">
              <w:rPr>
                <w:noProof/>
                <w:webHidden/>
              </w:rPr>
              <w:t>31</w:t>
            </w:r>
            <w:r w:rsidRPr="00F42DD2">
              <w:rPr>
                <w:noProof/>
                <w:webHidden/>
              </w:rPr>
              <w:fldChar w:fldCharType="end"/>
            </w:r>
          </w:hyperlink>
        </w:p>
        <w:p w14:paraId="44EA4F6E" w14:textId="480163E3" w:rsidR="00F42DD2" w:rsidRPr="00F42DD2" w:rsidRDefault="00F42DD2" w:rsidP="00F42DD2">
          <w:pPr>
            <w:pStyle w:val="TOC1"/>
            <w:rPr>
              <w:rFonts w:eastAsiaTheme="minorEastAsia" w:cstheme="minorBidi"/>
              <w:noProof/>
              <w:kern w:val="2"/>
              <w:bdr w:val="none" w:sz="0" w:space="0" w:color="auto"/>
              <w:lang w:val="en-US"/>
              <w14:ligatures w14:val="standardContextual"/>
            </w:rPr>
          </w:pPr>
          <w:hyperlink w:anchor="_Toc216359327" w:history="1">
            <w:r w:rsidRPr="00F42DD2">
              <w:rPr>
                <w:rStyle w:val="Hyperlink"/>
                <w:rFonts w:eastAsia="Cambria" w:cs="Cambria"/>
                <w:noProof/>
                <w:sz w:val="24"/>
                <w:szCs w:val="24"/>
                <w:lang w:val="es-419" w:eastAsia="es-ES"/>
              </w:rPr>
              <w:t>VI.</w:t>
            </w:r>
            <w:r w:rsidRPr="00F42DD2">
              <w:rPr>
                <w:rFonts w:eastAsiaTheme="minorEastAsia" w:cstheme="minorBidi"/>
                <w:noProof/>
                <w:kern w:val="2"/>
                <w:bdr w:val="none" w:sz="0" w:space="0" w:color="auto"/>
                <w:lang w:val="en-US"/>
                <w14:ligatures w14:val="standardContextual"/>
              </w:rPr>
              <w:tab/>
            </w:r>
            <w:r w:rsidRPr="00F42DD2">
              <w:rPr>
                <w:rStyle w:val="Hyperlink"/>
                <w:rFonts w:eastAsia="Cambria" w:cs="Cambria"/>
                <w:noProof/>
                <w:sz w:val="24"/>
                <w:szCs w:val="24"/>
                <w:lang w:val="es-419" w:eastAsia="es-ES"/>
              </w:rPr>
              <w:t>SOBRE LA DUPLICACIÓN DE PROCEDIMIENTO EN RELACIÓN CON EDGAR QUIROGA</w:t>
            </w:r>
            <w:r w:rsidRPr="00F42DD2">
              <w:rPr>
                <w:noProof/>
                <w:webHidden/>
              </w:rPr>
              <w:tab/>
            </w:r>
            <w:r>
              <w:rPr>
                <w:noProof/>
                <w:webHidden/>
              </w:rPr>
              <w:tab/>
            </w:r>
            <w:r>
              <w:rPr>
                <w:noProof/>
                <w:webHidden/>
              </w:rPr>
              <w:tab/>
            </w:r>
            <w:r>
              <w:rPr>
                <w:noProof/>
                <w:webHidden/>
              </w:rPr>
              <w:tab/>
            </w:r>
            <w:r w:rsidRPr="00F42DD2">
              <w:rPr>
                <w:noProof/>
                <w:webHidden/>
              </w:rPr>
              <w:fldChar w:fldCharType="begin"/>
            </w:r>
            <w:r w:rsidRPr="00F42DD2">
              <w:rPr>
                <w:noProof/>
                <w:webHidden/>
              </w:rPr>
              <w:instrText xml:space="preserve"> PAGEREF _Toc216359327 \h </w:instrText>
            </w:r>
            <w:r w:rsidRPr="00F42DD2">
              <w:rPr>
                <w:noProof/>
                <w:webHidden/>
              </w:rPr>
            </w:r>
            <w:r w:rsidRPr="00F42DD2">
              <w:rPr>
                <w:noProof/>
                <w:webHidden/>
              </w:rPr>
              <w:fldChar w:fldCharType="separate"/>
            </w:r>
            <w:r w:rsidR="00CF3CC8">
              <w:rPr>
                <w:noProof/>
                <w:webHidden/>
              </w:rPr>
              <w:t>38</w:t>
            </w:r>
            <w:r w:rsidRPr="00F42DD2">
              <w:rPr>
                <w:noProof/>
                <w:webHidden/>
              </w:rPr>
              <w:fldChar w:fldCharType="end"/>
            </w:r>
          </w:hyperlink>
        </w:p>
        <w:p w14:paraId="6BF618FB" w14:textId="5B244FCF" w:rsidR="00F42DD2" w:rsidRPr="00F42DD2" w:rsidRDefault="00F42DD2" w:rsidP="00F42DD2">
          <w:pPr>
            <w:pStyle w:val="TOC1"/>
            <w:rPr>
              <w:rFonts w:eastAsiaTheme="minorEastAsia" w:cstheme="minorBidi"/>
              <w:noProof/>
              <w:kern w:val="2"/>
              <w:bdr w:val="none" w:sz="0" w:space="0" w:color="auto"/>
              <w:lang w:val="en-US"/>
              <w14:ligatures w14:val="standardContextual"/>
            </w:rPr>
          </w:pPr>
          <w:hyperlink w:anchor="_Toc216359328" w:history="1">
            <w:r w:rsidRPr="00F42DD2">
              <w:rPr>
                <w:rStyle w:val="Hyperlink"/>
                <w:noProof/>
                <w:sz w:val="24"/>
                <w:szCs w:val="24"/>
                <w:lang w:val="es-US"/>
              </w:rPr>
              <w:t>VII.</w:t>
            </w:r>
            <w:r w:rsidRPr="00F42DD2">
              <w:rPr>
                <w:rFonts w:eastAsiaTheme="minorEastAsia" w:cstheme="minorBidi"/>
                <w:noProof/>
                <w:kern w:val="2"/>
                <w:bdr w:val="none" w:sz="0" w:space="0" w:color="auto"/>
                <w:lang w:val="en-US"/>
                <w14:ligatures w14:val="standardContextual"/>
              </w:rPr>
              <w:tab/>
            </w:r>
            <w:r w:rsidRPr="00F42DD2">
              <w:rPr>
                <w:rStyle w:val="Hyperlink"/>
                <w:rFonts w:eastAsia="Cambria" w:cs="Cambria"/>
                <w:noProof/>
                <w:sz w:val="24"/>
                <w:szCs w:val="24"/>
                <w:lang w:val="es-419" w:eastAsia="es-ES"/>
              </w:rPr>
              <w:t>ACTUACIONES</w:t>
            </w:r>
            <w:r w:rsidRPr="00F42DD2">
              <w:rPr>
                <w:rStyle w:val="Hyperlink"/>
                <w:noProof/>
                <w:sz w:val="24"/>
                <w:szCs w:val="24"/>
                <w:lang w:val="es-US"/>
              </w:rPr>
              <w:t xml:space="preserve"> POSTERIORES AL INFORME No. 90/25 E INFORMACIÓN SOBRE CUMPLIMIENTO</w:t>
            </w:r>
            <w:r w:rsidRPr="00F42DD2">
              <w:rPr>
                <w:noProof/>
                <w:webHidden/>
              </w:rPr>
              <w:tab/>
            </w:r>
            <w:r>
              <w:rPr>
                <w:noProof/>
                <w:webHidden/>
              </w:rPr>
              <w:tab/>
            </w:r>
            <w:r w:rsidRPr="00F42DD2">
              <w:rPr>
                <w:noProof/>
                <w:webHidden/>
              </w:rPr>
              <w:fldChar w:fldCharType="begin"/>
            </w:r>
            <w:r w:rsidRPr="00F42DD2">
              <w:rPr>
                <w:noProof/>
                <w:webHidden/>
              </w:rPr>
              <w:instrText xml:space="preserve"> PAGEREF _Toc216359328 \h </w:instrText>
            </w:r>
            <w:r w:rsidRPr="00F42DD2">
              <w:rPr>
                <w:noProof/>
                <w:webHidden/>
              </w:rPr>
            </w:r>
            <w:r w:rsidRPr="00F42DD2">
              <w:rPr>
                <w:noProof/>
                <w:webHidden/>
              </w:rPr>
              <w:fldChar w:fldCharType="separate"/>
            </w:r>
            <w:r w:rsidR="00CF3CC8">
              <w:rPr>
                <w:noProof/>
                <w:webHidden/>
              </w:rPr>
              <w:t>39</w:t>
            </w:r>
            <w:r w:rsidRPr="00F42DD2">
              <w:rPr>
                <w:noProof/>
                <w:webHidden/>
              </w:rPr>
              <w:fldChar w:fldCharType="end"/>
            </w:r>
          </w:hyperlink>
        </w:p>
        <w:p w14:paraId="5B295635" w14:textId="4F8531EB" w:rsidR="00F42DD2" w:rsidRPr="00F42DD2" w:rsidRDefault="00F42DD2" w:rsidP="00F42DD2">
          <w:pPr>
            <w:pStyle w:val="TOC1"/>
            <w:rPr>
              <w:rFonts w:eastAsiaTheme="minorEastAsia" w:cstheme="minorBidi"/>
              <w:noProof/>
              <w:kern w:val="2"/>
              <w:bdr w:val="none" w:sz="0" w:space="0" w:color="auto"/>
              <w:lang w:val="en-US"/>
              <w14:ligatures w14:val="standardContextual"/>
            </w:rPr>
          </w:pPr>
          <w:hyperlink w:anchor="_Toc216359329" w:history="1">
            <w:r w:rsidRPr="00F42DD2">
              <w:rPr>
                <w:rStyle w:val="Hyperlink"/>
                <w:rFonts w:eastAsia="Cambria" w:cs="Cambria"/>
                <w:noProof/>
                <w:sz w:val="24"/>
                <w:szCs w:val="24"/>
                <w:lang w:val="es-419" w:eastAsia="es-ES"/>
              </w:rPr>
              <w:t>VIII.</w:t>
            </w:r>
            <w:r w:rsidRPr="00F42DD2">
              <w:rPr>
                <w:rFonts w:eastAsiaTheme="minorEastAsia" w:cstheme="minorBidi"/>
                <w:noProof/>
                <w:kern w:val="2"/>
                <w:bdr w:val="none" w:sz="0" w:space="0" w:color="auto"/>
                <w:lang w:val="en-US"/>
                <w14:ligatures w14:val="standardContextual"/>
              </w:rPr>
              <w:tab/>
            </w:r>
            <w:r w:rsidRPr="00F42DD2">
              <w:rPr>
                <w:rStyle w:val="Hyperlink"/>
                <w:rFonts w:eastAsia="Cambria" w:cs="Cambria"/>
                <w:noProof/>
                <w:sz w:val="24"/>
                <w:szCs w:val="24"/>
                <w:lang w:val="es-419" w:eastAsia="es-ES"/>
              </w:rPr>
              <w:t>CONCLUSIONES Y RECOMENDACIONES FINALES</w:t>
            </w:r>
            <w:r w:rsidRPr="00F42DD2">
              <w:rPr>
                <w:noProof/>
                <w:webHidden/>
              </w:rPr>
              <w:tab/>
            </w:r>
            <w:r w:rsidRPr="00F42DD2">
              <w:rPr>
                <w:noProof/>
                <w:webHidden/>
              </w:rPr>
              <w:fldChar w:fldCharType="begin"/>
            </w:r>
            <w:r w:rsidRPr="00F42DD2">
              <w:rPr>
                <w:noProof/>
                <w:webHidden/>
              </w:rPr>
              <w:instrText xml:space="preserve"> PAGEREF _Toc216359329 \h </w:instrText>
            </w:r>
            <w:r w:rsidRPr="00F42DD2">
              <w:rPr>
                <w:noProof/>
                <w:webHidden/>
              </w:rPr>
            </w:r>
            <w:r w:rsidRPr="00F42DD2">
              <w:rPr>
                <w:noProof/>
                <w:webHidden/>
              </w:rPr>
              <w:fldChar w:fldCharType="separate"/>
            </w:r>
            <w:r w:rsidR="00CF3CC8">
              <w:rPr>
                <w:noProof/>
                <w:webHidden/>
              </w:rPr>
              <w:t>42</w:t>
            </w:r>
            <w:r w:rsidRPr="00F42DD2">
              <w:rPr>
                <w:noProof/>
                <w:webHidden/>
              </w:rPr>
              <w:fldChar w:fldCharType="end"/>
            </w:r>
          </w:hyperlink>
        </w:p>
        <w:p w14:paraId="5BDD275D" w14:textId="755826AE" w:rsidR="00F42DD2" w:rsidRPr="00F42DD2" w:rsidRDefault="00F42DD2" w:rsidP="00F42DD2">
          <w:pPr>
            <w:pStyle w:val="TOC1"/>
            <w:rPr>
              <w:rFonts w:eastAsiaTheme="minorEastAsia" w:cstheme="minorBidi"/>
              <w:noProof/>
              <w:kern w:val="2"/>
              <w:bdr w:val="none" w:sz="0" w:space="0" w:color="auto"/>
              <w:lang w:val="en-US"/>
              <w14:ligatures w14:val="standardContextual"/>
            </w:rPr>
          </w:pPr>
          <w:hyperlink w:anchor="_Toc216359330" w:history="1">
            <w:r w:rsidRPr="00F42DD2">
              <w:rPr>
                <w:rStyle w:val="Hyperlink"/>
                <w:noProof/>
                <w:sz w:val="24"/>
                <w:szCs w:val="24"/>
              </w:rPr>
              <w:t>IX.</w:t>
            </w:r>
            <w:r w:rsidRPr="00F42DD2">
              <w:rPr>
                <w:rFonts w:eastAsiaTheme="minorEastAsia" w:cstheme="minorBidi"/>
                <w:noProof/>
                <w:kern w:val="2"/>
                <w:bdr w:val="none" w:sz="0" w:space="0" w:color="auto"/>
                <w:lang w:val="en-US"/>
                <w14:ligatures w14:val="standardContextual"/>
              </w:rPr>
              <w:tab/>
            </w:r>
            <w:r w:rsidRPr="00F42DD2">
              <w:rPr>
                <w:rStyle w:val="Hyperlink"/>
                <w:noProof/>
                <w:sz w:val="24"/>
                <w:szCs w:val="24"/>
              </w:rPr>
              <w:t>PUBLICACIÓN</w:t>
            </w:r>
            <w:r w:rsidRPr="00F42DD2">
              <w:rPr>
                <w:noProof/>
                <w:webHidden/>
              </w:rPr>
              <w:tab/>
            </w:r>
            <w:r>
              <w:rPr>
                <w:noProof/>
                <w:webHidden/>
              </w:rPr>
              <w:tab/>
            </w:r>
            <w:r w:rsidRPr="00F42DD2">
              <w:rPr>
                <w:noProof/>
                <w:webHidden/>
              </w:rPr>
              <w:fldChar w:fldCharType="begin"/>
            </w:r>
            <w:r w:rsidRPr="00F42DD2">
              <w:rPr>
                <w:noProof/>
                <w:webHidden/>
              </w:rPr>
              <w:instrText xml:space="preserve"> PAGEREF _Toc216359330 \h </w:instrText>
            </w:r>
            <w:r w:rsidRPr="00F42DD2">
              <w:rPr>
                <w:noProof/>
                <w:webHidden/>
              </w:rPr>
            </w:r>
            <w:r w:rsidRPr="00F42DD2">
              <w:rPr>
                <w:noProof/>
                <w:webHidden/>
              </w:rPr>
              <w:fldChar w:fldCharType="separate"/>
            </w:r>
            <w:r w:rsidR="00CF3CC8">
              <w:rPr>
                <w:noProof/>
                <w:webHidden/>
              </w:rPr>
              <w:t>42</w:t>
            </w:r>
            <w:r w:rsidRPr="00F42DD2">
              <w:rPr>
                <w:noProof/>
                <w:webHidden/>
              </w:rPr>
              <w:fldChar w:fldCharType="end"/>
            </w:r>
          </w:hyperlink>
        </w:p>
        <w:p w14:paraId="6DA543EF" w14:textId="4E3BFB24" w:rsidR="007223AB" w:rsidRPr="005229D1" w:rsidRDefault="007223AB">
          <w:pPr>
            <w:rPr>
              <w:rFonts w:asciiTheme="majorHAnsi" w:hAnsiTheme="majorHAnsi"/>
              <w:sz w:val="20"/>
              <w:szCs w:val="20"/>
              <w:lang w:val="es-419"/>
            </w:rPr>
          </w:pPr>
          <w:r w:rsidRPr="00F42DD2">
            <w:rPr>
              <w:rFonts w:asciiTheme="majorHAnsi" w:hAnsiTheme="majorHAnsi"/>
              <w:b/>
              <w:bCs/>
              <w:noProof/>
              <w:lang w:val="es-419"/>
            </w:rPr>
            <w:fldChar w:fldCharType="end"/>
          </w:r>
        </w:p>
      </w:sdtContent>
    </w:sdt>
    <w:p w14:paraId="4AAB4BA6" w14:textId="77777777" w:rsidR="006A407F" w:rsidRPr="00F2058B" w:rsidRDefault="006A407F" w:rsidP="00F42DD2">
      <w:pPr>
        <w:pStyle w:val="TOC1"/>
      </w:pPr>
    </w:p>
    <w:p w14:paraId="289344CF" w14:textId="35A13EEE" w:rsidR="006A407F" w:rsidRPr="00D168C5" w:rsidRDefault="00F42DD2" w:rsidP="00F42DD2">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sz w:val="20"/>
          <w:szCs w:val="20"/>
          <w:lang w:val="es-419"/>
        </w:rPr>
      </w:pPr>
      <w:r>
        <w:rPr>
          <w:rFonts w:asciiTheme="majorHAnsi" w:hAnsiTheme="majorHAnsi"/>
          <w:b/>
          <w:sz w:val="20"/>
          <w:szCs w:val="20"/>
          <w:lang w:val="es-419"/>
        </w:rPr>
        <w:br w:type="page"/>
      </w:r>
    </w:p>
    <w:p w14:paraId="6FD2D4BB" w14:textId="77777777" w:rsidR="008F0868" w:rsidRPr="00F2058B" w:rsidRDefault="008F0868" w:rsidP="006A407F">
      <w:pPr>
        <w:jc w:val="center"/>
        <w:rPr>
          <w:rFonts w:ascii="Cambria" w:hAnsi="Cambria"/>
          <w:sz w:val="20"/>
          <w:szCs w:val="20"/>
          <w:lang w:val="es-419"/>
        </w:rPr>
      </w:pPr>
    </w:p>
    <w:p w14:paraId="0637F9F5" w14:textId="7163CCCE" w:rsidR="007E12CC" w:rsidRPr="00F2058B" w:rsidRDefault="008F0868" w:rsidP="00F06940">
      <w:pPr>
        <w:pStyle w:val="Heading1"/>
        <w:keepNext w:val="0"/>
        <w:numPr>
          <w:ilvl w:val="0"/>
          <w:numId w:val="60"/>
        </w:numPr>
        <w:pBdr>
          <w:top w:val="nil"/>
          <w:left w:val="nil"/>
          <w:bottom w:val="nil"/>
          <w:right w:val="nil"/>
          <w:between w:val="nil"/>
          <w:bar w:val="nil"/>
        </w:pBdr>
        <w:tabs>
          <w:tab w:val="left" w:pos="360"/>
        </w:tabs>
        <w:suppressAutoHyphens/>
        <w:ind w:left="0" w:right="360" w:firstLine="0"/>
        <w:jc w:val="both"/>
        <w:rPr>
          <w:lang w:val="es-419"/>
        </w:rPr>
      </w:pPr>
      <w:bookmarkStart w:id="2" w:name="_Toc26366343"/>
      <w:bookmarkStart w:id="3" w:name="_Toc216359306"/>
      <w:r w:rsidRPr="00F2058B">
        <w:rPr>
          <w:lang w:val="es-419"/>
        </w:rPr>
        <w:t>INTRODUCCIÓN</w:t>
      </w:r>
      <w:bookmarkEnd w:id="2"/>
      <w:r w:rsidR="00256FC5" w:rsidRPr="00F2058B">
        <w:rPr>
          <w:rFonts w:ascii="Calibri" w:eastAsia="Batang" w:hAnsi="Calibri"/>
          <w:b w:val="0"/>
          <w:bCs w:val="0"/>
          <w:sz w:val="18"/>
          <w:szCs w:val="18"/>
          <w:bdr w:val="none" w:sz="0" w:space="0" w:color="auto"/>
          <w:vertAlign w:val="superscript"/>
          <w:lang w:val="es-419"/>
        </w:rPr>
        <w:footnoteReference w:id="2"/>
      </w:r>
      <w:bookmarkEnd w:id="3"/>
    </w:p>
    <w:p w14:paraId="2C7CCE66" w14:textId="77777777" w:rsidR="000343A9" w:rsidRPr="00F2058B" w:rsidRDefault="000343A9" w:rsidP="000343A9">
      <w:pPr>
        <w:rPr>
          <w:lang w:val="es-419"/>
        </w:rPr>
      </w:pPr>
    </w:p>
    <w:p w14:paraId="4B06E0D7" w14:textId="2EE9DBEA" w:rsidR="008F0868" w:rsidRPr="00F2058B" w:rsidRDefault="007E12CC" w:rsidP="00F06940">
      <w:pPr>
        <w:pStyle w:val="parrafos"/>
        <w:numPr>
          <w:ilvl w:val="0"/>
          <w:numId w:val="58"/>
        </w:numPr>
        <w:ind w:left="0" w:firstLine="0"/>
        <w:rPr>
          <w:rFonts w:ascii="Cambria" w:hAnsi="Cambria"/>
          <w:lang w:val="es-419"/>
        </w:rPr>
      </w:pPr>
      <w:r w:rsidRPr="00F2058B">
        <w:rPr>
          <w:rFonts w:ascii="Cambria" w:hAnsi="Cambria"/>
          <w:lang w:val="es-419"/>
        </w:rPr>
        <w:t>El 14 de mayo de 2001 La Comisión Interamericana de Derechos Humanos (en adelante “la Comisión”, “la Comisión Interamericana” o “la CIDH”) recibió una petición presentada por la Corporación Servicios Profesionales Comunitarios “</w:t>
      </w:r>
      <w:r w:rsidRPr="00F2058B">
        <w:rPr>
          <w:lang w:val="es-419"/>
        </w:rPr>
        <w:t>Sembrar</w:t>
      </w:r>
      <w:r w:rsidR="00337562" w:rsidRPr="00F2058B">
        <w:rPr>
          <w:rFonts w:ascii="Cambria" w:hAnsi="Cambria"/>
          <w:lang w:val="es-419"/>
        </w:rPr>
        <w:t>” (en adelante “la parte peticionaria</w:t>
      </w:r>
      <w:r w:rsidRPr="00F2058B">
        <w:rPr>
          <w:rFonts w:ascii="Cambria" w:hAnsi="Cambria"/>
          <w:lang w:val="es-419"/>
        </w:rPr>
        <w:t>”) en la cual se aleg</w:t>
      </w:r>
      <w:r w:rsidR="0015697D" w:rsidRPr="00F2058B">
        <w:rPr>
          <w:rFonts w:ascii="Cambria" w:hAnsi="Cambria"/>
          <w:lang w:val="es-419"/>
        </w:rPr>
        <w:t>a</w:t>
      </w:r>
      <w:r w:rsidRPr="00F2058B">
        <w:rPr>
          <w:rFonts w:ascii="Cambria" w:hAnsi="Cambria"/>
          <w:lang w:val="es-419"/>
        </w:rPr>
        <w:t xml:space="preserve"> la responsabilidad internacional de la República de Colombia (en adelante “el Estado”, “el Estado colombiano” o “Colombia”) por la </w:t>
      </w:r>
      <w:r w:rsidR="007852A8" w:rsidRPr="00F2058B">
        <w:rPr>
          <w:rFonts w:ascii="Cambria" w:hAnsi="Cambria"/>
          <w:lang w:val="es-419"/>
        </w:rPr>
        <w:t xml:space="preserve">presunta </w:t>
      </w:r>
      <w:r w:rsidRPr="00F2058B">
        <w:rPr>
          <w:rFonts w:ascii="Cambria" w:hAnsi="Cambria"/>
          <w:lang w:val="es-419"/>
        </w:rPr>
        <w:t>desaparición forzada de Edgar Quiroga y Gildardo Fuentes ocurridas el 28 de noviembre de 1999 en el corregimiento de Cerro Azul, jurisdicción de San Pablo, Sur de Bolívar</w:t>
      </w:r>
      <w:r w:rsidR="0093294E" w:rsidRPr="00F2058B">
        <w:rPr>
          <w:rStyle w:val="FootnoteReference"/>
          <w:rFonts w:ascii="Cambria" w:hAnsi="Cambria"/>
          <w:lang w:val="es-419"/>
        </w:rPr>
        <w:footnoteReference w:id="3"/>
      </w:r>
      <w:r w:rsidR="0064715A" w:rsidRPr="00F2058B">
        <w:rPr>
          <w:rFonts w:ascii="Cambria" w:hAnsi="Cambria"/>
          <w:lang w:val="es-419"/>
        </w:rPr>
        <w:t>.</w:t>
      </w:r>
    </w:p>
    <w:p w14:paraId="61EC8460" w14:textId="77777777" w:rsidR="008F0868" w:rsidRPr="00F2058B" w:rsidRDefault="008F0868" w:rsidP="008F0868">
      <w:pPr>
        <w:pStyle w:val="parrafos"/>
        <w:rPr>
          <w:rFonts w:ascii="Cambria" w:hAnsi="Cambria"/>
          <w:lang w:val="es-419"/>
        </w:rPr>
      </w:pPr>
    </w:p>
    <w:p w14:paraId="499F42C5" w14:textId="3740F129" w:rsidR="008F0868" w:rsidRPr="00F2058B" w:rsidRDefault="00F765B4" w:rsidP="00F06940">
      <w:pPr>
        <w:pStyle w:val="parrafos"/>
        <w:numPr>
          <w:ilvl w:val="0"/>
          <w:numId w:val="58"/>
        </w:numPr>
        <w:ind w:left="0" w:firstLine="0"/>
        <w:rPr>
          <w:rFonts w:ascii="Cambria" w:hAnsi="Cambria"/>
          <w:lang w:val="es-419"/>
        </w:rPr>
      </w:pPr>
      <w:r w:rsidRPr="00F2058B">
        <w:rPr>
          <w:rFonts w:ascii="Cambria" w:eastAsia="Times New Roman" w:hAnsi="Cambria"/>
          <w:color w:val="000000"/>
          <w:u w:color="000000"/>
          <w:lang w:val="es-419" w:eastAsia="es-ES"/>
        </w:rPr>
        <w:t>La Comisión aprobó el Informe de A</w:t>
      </w:r>
      <w:r w:rsidR="007E12CC" w:rsidRPr="00F2058B">
        <w:rPr>
          <w:rFonts w:ascii="Cambria" w:eastAsia="Times New Roman" w:hAnsi="Cambria"/>
          <w:color w:val="000000"/>
          <w:u w:color="000000"/>
          <w:lang w:val="es-419" w:eastAsia="es-ES"/>
        </w:rPr>
        <w:t>dmisibilidad No. 72/07 el 15 de octubre de 2007</w:t>
      </w:r>
      <w:r w:rsidR="007E12CC" w:rsidRPr="00F2058B">
        <w:rPr>
          <w:rFonts w:eastAsia="Times New Roman"/>
          <w:color w:val="000000"/>
          <w:u w:color="000000"/>
          <w:vertAlign w:val="superscript"/>
          <w:lang w:val="es-419" w:eastAsia="es-ES"/>
        </w:rPr>
        <w:footnoteReference w:id="4"/>
      </w:r>
      <w:r w:rsidR="007E12CC" w:rsidRPr="00F2058B">
        <w:rPr>
          <w:rFonts w:ascii="Cambria" w:eastAsia="Times New Roman" w:hAnsi="Cambria"/>
          <w:color w:val="000000"/>
          <w:u w:color="000000"/>
          <w:lang w:val="es-419" w:eastAsia="es-ES"/>
        </w:rPr>
        <w:t>. El 8 de noviembre de 2007 la Comisión notificó dicho informe a las partes y se puso a disposición a fin de llegar a una solución amistosa, sin que se dieran las condiciones para iniciar dicho procedimiento</w:t>
      </w:r>
      <w:r w:rsidR="0064715A" w:rsidRPr="00F2058B">
        <w:rPr>
          <w:rFonts w:ascii="Cambria" w:eastAsia="Times New Roman" w:hAnsi="Cambria"/>
          <w:color w:val="000000"/>
          <w:u w:color="000000"/>
          <w:lang w:val="es-419" w:eastAsia="es-ES"/>
        </w:rPr>
        <w:t>.</w:t>
      </w:r>
    </w:p>
    <w:p w14:paraId="7DD16EFB" w14:textId="77777777" w:rsidR="008F0868" w:rsidRPr="00F2058B" w:rsidRDefault="008F0868" w:rsidP="008F0868">
      <w:pPr>
        <w:pStyle w:val="ListParagraph"/>
        <w:rPr>
          <w:rFonts w:ascii="Cambria" w:hAnsi="Cambria"/>
          <w:lang w:val="es-419"/>
        </w:rPr>
      </w:pPr>
    </w:p>
    <w:p w14:paraId="669B9735" w14:textId="21A163C7" w:rsidR="008F0868" w:rsidRPr="00F2058B" w:rsidRDefault="0064715A" w:rsidP="00F06940">
      <w:pPr>
        <w:pStyle w:val="parrafos"/>
        <w:numPr>
          <w:ilvl w:val="0"/>
          <w:numId w:val="58"/>
        </w:numPr>
        <w:ind w:left="0" w:firstLine="0"/>
        <w:rPr>
          <w:rFonts w:ascii="Cambria" w:hAnsi="Cambria"/>
          <w:lang w:val="es-419"/>
        </w:rPr>
      </w:pPr>
      <w:r w:rsidRPr="00F2058B">
        <w:rPr>
          <w:rFonts w:ascii="Cambria" w:hAnsi="Cambria"/>
          <w:lang w:val="es-419"/>
        </w:rPr>
        <w:t xml:space="preserve">Asimismo, el </w:t>
      </w:r>
      <w:r w:rsidR="00F765B4" w:rsidRPr="00F2058B">
        <w:rPr>
          <w:rFonts w:ascii="Cambria" w:hAnsi="Cambria"/>
          <w:lang w:val="es-419"/>
        </w:rPr>
        <w:t>3 de septiembre de 2003</w:t>
      </w:r>
      <w:r w:rsidR="0015697D" w:rsidRPr="00F2058B">
        <w:rPr>
          <w:rFonts w:ascii="Cambria" w:hAnsi="Cambria"/>
          <w:lang w:val="es-419"/>
        </w:rPr>
        <w:t xml:space="preserve"> la Comisión recibió </w:t>
      </w:r>
      <w:r w:rsidR="00F765B4" w:rsidRPr="00F2058B">
        <w:rPr>
          <w:rFonts w:ascii="Cambria" w:hAnsi="Cambria"/>
          <w:lang w:val="es-419"/>
        </w:rPr>
        <w:t xml:space="preserve">una </w:t>
      </w:r>
      <w:r w:rsidR="0015697D" w:rsidRPr="00F2058B">
        <w:rPr>
          <w:rFonts w:ascii="Cambria" w:hAnsi="Cambria"/>
          <w:lang w:val="es-419"/>
        </w:rPr>
        <w:t>petición presentada por el Comité de Solidaridad con los Presos Po</w:t>
      </w:r>
      <w:r w:rsidR="00337562" w:rsidRPr="00F2058B">
        <w:rPr>
          <w:rFonts w:ascii="Cambria" w:hAnsi="Cambria"/>
          <w:lang w:val="es-419"/>
        </w:rPr>
        <w:t>líticos “CSPP” (en adelante “la parte peticionaria</w:t>
      </w:r>
      <w:r w:rsidR="0015697D" w:rsidRPr="00F2058B">
        <w:rPr>
          <w:rFonts w:ascii="Cambria" w:hAnsi="Cambria"/>
          <w:lang w:val="es-419"/>
        </w:rPr>
        <w:t>”) en la cual alegan</w:t>
      </w:r>
      <w:r w:rsidR="003C4EE5" w:rsidRPr="00F2058B">
        <w:rPr>
          <w:rFonts w:ascii="Cambria" w:hAnsi="Cambria"/>
          <w:lang w:val="es-419"/>
        </w:rPr>
        <w:t xml:space="preserve"> la responsabilidad internacional del Estado por dos </w:t>
      </w:r>
      <w:r w:rsidR="00F765B4" w:rsidRPr="00F2058B">
        <w:rPr>
          <w:rFonts w:ascii="Cambria" w:hAnsi="Cambria"/>
          <w:lang w:val="es-419"/>
        </w:rPr>
        <w:t>pres</w:t>
      </w:r>
      <w:r w:rsidR="007852A8" w:rsidRPr="00F2058B">
        <w:rPr>
          <w:rFonts w:ascii="Cambria" w:hAnsi="Cambria"/>
          <w:lang w:val="es-419"/>
        </w:rPr>
        <w:t xml:space="preserve">untos </w:t>
      </w:r>
      <w:r w:rsidR="003C4EE5" w:rsidRPr="00F2058B">
        <w:rPr>
          <w:rFonts w:ascii="Cambria" w:hAnsi="Cambria"/>
          <w:lang w:val="es-419"/>
        </w:rPr>
        <w:t xml:space="preserve">secuestros de Victoria Delgado Anaya ocurridos el 16 de mayo de 2001 y el 23 de diciembre de 2001, </w:t>
      </w:r>
      <w:r w:rsidR="007852A8" w:rsidRPr="00F2058B">
        <w:rPr>
          <w:rFonts w:ascii="Cambria" w:hAnsi="Cambria"/>
          <w:lang w:val="es-419"/>
        </w:rPr>
        <w:t xml:space="preserve">así </w:t>
      </w:r>
      <w:r w:rsidR="003C4EE5" w:rsidRPr="00F2058B">
        <w:rPr>
          <w:rFonts w:ascii="Cambria" w:hAnsi="Cambria"/>
          <w:lang w:val="es-419"/>
        </w:rPr>
        <w:t xml:space="preserve">como </w:t>
      </w:r>
      <w:r w:rsidR="007852A8" w:rsidRPr="00F2058B">
        <w:rPr>
          <w:rFonts w:ascii="Cambria" w:hAnsi="Cambria"/>
          <w:lang w:val="es-419"/>
        </w:rPr>
        <w:t xml:space="preserve">por su muerte, ocurrida </w:t>
      </w:r>
      <w:r w:rsidR="003C4EE5" w:rsidRPr="00F2058B">
        <w:rPr>
          <w:rFonts w:ascii="Cambria" w:hAnsi="Cambria"/>
          <w:lang w:val="es-419"/>
        </w:rPr>
        <w:t>el 24 de diciembre de 2001.</w:t>
      </w:r>
      <w:r w:rsidR="00462C23" w:rsidRPr="00F2058B">
        <w:rPr>
          <w:rFonts w:ascii="Cambria" w:hAnsi="Cambria"/>
          <w:lang w:val="es-419"/>
        </w:rPr>
        <w:t xml:space="preserve"> L</w:t>
      </w:r>
      <w:r w:rsidR="0062640B" w:rsidRPr="00F2058B">
        <w:rPr>
          <w:rFonts w:ascii="Cambria" w:hAnsi="Cambria"/>
          <w:lang w:val="es-419"/>
        </w:rPr>
        <w:t>a C</w:t>
      </w:r>
      <w:r w:rsidR="00F765B4" w:rsidRPr="00F2058B">
        <w:rPr>
          <w:rFonts w:ascii="Cambria" w:hAnsi="Cambria"/>
          <w:lang w:val="es-419"/>
        </w:rPr>
        <w:t>omisión aprobó el Informe de A</w:t>
      </w:r>
      <w:r w:rsidR="003C4EE5" w:rsidRPr="00F2058B">
        <w:rPr>
          <w:rFonts w:ascii="Cambria" w:hAnsi="Cambria"/>
          <w:lang w:val="es-419"/>
        </w:rPr>
        <w:t>dmisibilidad No. 46/08 el 24 de julio de 2008</w:t>
      </w:r>
      <w:r w:rsidR="003C4EE5" w:rsidRPr="00F2058B">
        <w:rPr>
          <w:rStyle w:val="FootnoteReference"/>
          <w:rFonts w:ascii="Cambria" w:hAnsi="Cambria"/>
          <w:lang w:val="es-419"/>
        </w:rPr>
        <w:footnoteReference w:id="5"/>
      </w:r>
      <w:r w:rsidR="00F765B4" w:rsidRPr="00F2058B">
        <w:rPr>
          <w:rFonts w:ascii="Cambria" w:hAnsi="Cambria"/>
          <w:lang w:val="es-419"/>
        </w:rPr>
        <w:t xml:space="preserve">. </w:t>
      </w:r>
      <w:r w:rsidR="00BC72A5" w:rsidRPr="00F2058B">
        <w:rPr>
          <w:rFonts w:ascii="Cambria" w:hAnsi="Cambria"/>
          <w:lang w:val="es-419"/>
        </w:rPr>
        <w:t>El 15 de agosto de 2008 la Comisión notificó dicho informe a las partes y se puso a disposición a fin de llegar a una solución amistosa, sin que se dieran las condiciones para iniciar tal procedimiento.</w:t>
      </w:r>
    </w:p>
    <w:p w14:paraId="7A04A830" w14:textId="77777777" w:rsidR="008F0868" w:rsidRPr="00F2058B" w:rsidRDefault="008F0868" w:rsidP="008F0868">
      <w:pPr>
        <w:pStyle w:val="ListParagraph"/>
        <w:rPr>
          <w:lang w:val="es-419"/>
        </w:rPr>
      </w:pPr>
    </w:p>
    <w:p w14:paraId="1FB534C6" w14:textId="59720845" w:rsidR="00374669" w:rsidRPr="00F2058B" w:rsidRDefault="00617DBF" w:rsidP="00F06940">
      <w:pPr>
        <w:pStyle w:val="parrafos"/>
        <w:numPr>
          <w:ilvl w:val="0"/>
          <w:numId w:val="58"/>
        </w:numPr>
        <w:ind w:left="0" w:firstLine="0"/>
        <w:rPr>
          <w:rFonts w:ascii="Cambria" w:hAnsi="Cambria"/>
          <w:lang w:val="es-419"/>
        </w:rPr>
      </w:pPr>
      <w:r w:rsidRPr="00F2058B">
        <w:rPr>
          <w:lang w:val="es-419"/>
        </w:rPr>
        <w:t xml:space="preserve">El 6 de enero de 2011, con fundamento en el </w:t>
      </w:r>
      <w:r w:rsidR="00F2058B" w:rsidRPr="00F2058B">
        <w:rPr>
          <w:lang w:val="es-419"/>
        </w:rPr>
        <w:t>artículo</w:t>
      </w:r>
      <w:r w:rsidRPr="00F2058B">
        <w:rPr>
          <w:lang w:val="es-419"/>
        </w:rPr>
        <w:t xml:space="preserve"> 29 (1) (d) de su Reglamento, </w:t>
      </w:r>
      <w:r w:rsidR="00946617" w:rsidRPr="00F2058B">
        <w:rPr>
          <w:lang w:val="es-419"/>
        </w:rPr>
        <w:t>la Comisión decidió</w:t>
      </w:r>
      <w:r w:rsidRPr="00F2058B">
        <w:rPr>
          <w:lang w:val="es-419"/>
        </w:rPr>
        <w:t xml:space="preserve"> acumular</w:t>
      </w:r>
      <w:r w:rsidR="0062640B" w:rsidRPr="00F2058B">
        <w:rPr>
          <w:lang w:val="es-419"/>
        </w:rPr>
        <w:t xml:space="preserve"> los casos anteriores, es decir, el c</w:t>
      </w:r>
      <w:r w:rsidRPr="00F2058B">
        <w:rPr>
          <w:lang w:val="es-419"/>
        </w:rPr>
        <w:t xml:space="preserve">aso 12.657, respecto de </w:t>
      </w:r>
      <w:r w:rsidR="0062640B" w:rsidRPr="00F2058B">
        <w:rPr>
          <w:lang w:val="es-419"/>
        </w:rPr>
        <w:t>Victoria Delgado Anaya, al c</w:t>
      </w:r>
      <w:r w:rsidRPr="00F2058B">
        <w:rPr>
          <w:lang w:val="es-419"/>
        </w:rPr>
        <w:t>aso 12.636,</w:t>
      </w:r>
      <w:r w:rsidR="0062640B" w:rsidRPr="00F2058B">
        <w:rPr>
          <w:lang w:val="es-419"/>
        </w:rPr>
        <w:t xml:space="preserve"> de Édgar Quiroga y Gildardo Fuentes,</w:t>
      </w:r>
      <w:r w:rsidRPr="00F2058B">
        <w:rPr>
          <w:lang w:val="es-419"/>
        </w:rPr>
        <w:t xml:space="preserve"> por involucrar personas de una misma fami</w:t>
      </w:r>
      <w:r w:rsidR="00170A54" w:rsidRPr="00F2058B">
        <w:rPr>
          <w:lang w:val="es-419"/>
        </w:rPr>
        <w:t>l</w:t>
      </w:r>
      <w:r w:rsidRPr="00F2058B">
        <w:rPr>
          <w:lang w:val="es-419"/>
        </w:rPr>
        <w:t xml:space="preserve">ia, y </w:t>
      </w:r>
      <w:r w:rsidR="002E0154" w:rsidRPr="00F2058B">
        <w:rPr>
          <w:lang w:val="es-419"/>
        </w:rPr>
        <w:t xml:space="preserve">presuntamente </w:t>
      </w:r>
      <w:r w:rsidRPr="00F2058B">
        <w:rPr>
          <w:lang w:val="es-419"/>
        </w:rPr>
        <w:t>revelar el mismo patrón de conducta. Las partes contaron con los plazos reglamentarios para presentar sus observaciones adicionales sobre el fondo. Toda la información recibida fue debidamente trasladada entre las partes</w:t>
      </w:r>
      <w:r w:rsidRPr="00F2058B">
        <w:rPr>
          <w:rStyle w:val="FootnoteReference"/>
          <w:lang w:val="es-419"/>
        </w:rPr>
        <w:footnoteReference w:id="6"/>
      </w:r>
      <w:r w:rsidRPr="00F2058B">
        <w:rPr>
          <w:lang w:val="es-419"/>
        </w:rPr>
        <w:t>.</w:t>
      </w:r>
    </w:p>
    <w:p w14:paraId="05B642CF" w14:textId="77777777" w:rsidR="00F3613B" w:rsidRPr="00F2058B" w:rsidRDefault="00F3613B" w:rsidP="00F3613B">
      <w:pPr>
        <w:pStyle w:val="ListParagraph"/>
        <w:rPr>
          <w:rFonts w:asciiTheme="majorHAnsi" w:hAnsiTheme="majorHAnsi"/>
          <w:sz w:val="20"/>
          <w:szCs w:val="20"/>
          <w:lang w:val="es-419"/>
        </w:rPr>
      </w:pPr>
    </w:p>
    <w:p w14:paraId="4217F268" w14:textId="05566117" w:rsidR="00462C23" w:rsidRPr="00F2058B" w:rsidRDefault="008E777D" w:rsidP="00F06940">
      <w:pPr>
        <w:pStyle w:val="Heading1"/>
        <w:keepNext w:val="0"/>
        <w:numPr>
          <w:ilvl w:val="0"/>
          <w:numId w:val="60"/>
        </w:numPr>
        <w:pBdr>
          <w:top w:val="nil"/>
          <w:left w:val="nil"/>
          <w:bottom w:val="nil"/>
          <w:right w:val="nil"/>
          <w:between w:val="nil"/>
          <w:bar w:val="nil"/>
        </w:pBdr>
        <w:tabs>
          <w:tab w:val="left" w:pos="360"/>
        </w:tabs>
        <w:suppressAutoHyphens/>
        <w:ind w:left="0" w:right="360" w:firstLine="0"/>
        <w:jc w:val="both"/>
        <w:rPr>
          <w:lang w:val="es-419"/>
        </w:rPr>
      </w:pPr>
      <w:bookmarkStart w:id="4" w:name="_Toc216359307"/>
      <w:bookmarkStart w:id="5" w:name="_Toc26366344"/>
      <w:r w:rsidRPr="00F2058B">
        <w:rPr>
          <w:lang w:val="es-419"/>
        </w:rPr>
        <w:t xml:space="preserve">ALEGATOS </w:t>
      </w:r>
      <w:r w:rsidR="00F3613B" w:rsidRPr="00F2058B">
        <w:rPr>
          <w:lang w:val="es-419"/>
        </w:rPr>
        <w:t>DE LAS PARTES</w:t>
      </w:r>
      <w:bookmarkEnd w:id="4"/>
      <w:r w:rsidR="00F3613B" w:rsidRPr="00F2058B">
        <w:rPr>
          <w:lang w:val="es-419"/>
        </w:rPr>
        <w:t xml:space="preserve"> </w:t>
      </w:r>
      <w:bookmarkStart w:id="6" w:name="_Toc26366345"/>
      <w:bookmarkEnd w:id="5"/>
    </w:p>
    <w:p w14:paraId="5DD755CB" w14:textId="77777777" w:rsidR="0049203E" w:rsidRPr="00F2058B" w:rsidRDefault="0049203E" w:rsidP="0049203E">
      <w:pPr>
        <w:rPr>
          <w:lang w:val="es-419"/>
        </w:rPr>
      </w:pPr>
    </w:p>
    <w:p w14:paraId="2BBB4B03" w14:textId="77777777" w:rsidR="00F3613B" w:rsidRPr="00F2058B" w:rsidRDefault="00F3613B" w:rsidP="00F06940">
      <w:pPr>
        <w:pStyle w:val="Heading2"/>
        <w:keepNext/>
        <w:numPr>
          <w:ilvl w:val="2"/>
          <w:numId w:val="56"/>
        </w:numPr>
        <w:tabs>
          <w:tab w:val="left" w:pos="360"/>
        </w:tabs>
        <w:jc w:val="left"/>
        <w:rPr>
          <w:lang w:val="es-419"/>
        </w:rPr>
      </w:pPr>
      <w:bookmarkStart w:id="7" w:name="_Toc216359308"/>
      <w:r w:rsidRPr="00F2058B">
        <w:rPr>
          <w:lang w:val="es-419"/>
        </w:rPr>
        <w:t>A.</w:t>
      </w:r>
      <w:r w:rsidRPr="00F2058B">
        <w:rPr>
          <w:lang w:val="es-419"/>
        </w:rPr>
        <w:tab/>
      </w:r>
      <w:r w:rsidR="008E777D" w:rsidRPr="00F2058B">
        <w:rPr>
          <w:szCs w:val="28"/>
          <w:lang w:val="es-419"/>
        </w:rPr>
        <w:t>P</w:t>
      </w:r>
      <w:r w:rsidR="008F0868" w:rsidRPr="00F2058B">
        <w:rPr>
          <w:szCs w:val="28"/>
          <w:lang w:val="es-419"/>
        </w:rPr>
        <w:t>arte peticionaria</w:t>
      </w:r>
      <w:bookmarkEnd w:id="7"/>
      <w:r w:rsidR="008F0868" w:rsidRPr="00F2058B">
        <w:rPr>
          <w:szCs w:val="28"/>
          <w:lang w:val="es-419"/>
        </w:rPr>
        <w:t xml:space="preserve"> </w:t>
      </w:r>
      <w:bookmarkEnd w:id="6"/>
    </w:p>
    <w:p w14:paraId="4B3973A7" w14:textId="77777777" w:rsidR="00F3613B" w:rsidRPr="00F2058B" w:rsidRDefault="00F3613B" w:rsidP="00F3613B">
      <w:pPr>
        <w:pStyle w:val="ListParagraph"/>
        <w:rPr>
          <w:rFonts w:asciiTheme="majorHAnsi" w:hAnsiTheme="majorHAnsi"/>
          <w:sz w:val="20"/>
          <w:szCs w:val="20"/>
          <w:lang w:val="es-419"/>
        </w:rPr>
      </w:pPr>
    </w:p>
    <w:p w14:paraId="143365A1" w14:textId="575C4467" w:rsidR="008F0868" w:rsidRPr="00F2058B" w:rsidRDefault="00414F72" w:rsidP="00F06940">
      <w:pPr>
        <w:pStyle w:val="parrafos"/>
        <w:numPr>
          <w:ilvl w:val="0"/>
          <w:numId w:val="58"/>
        </w:numPr>
        <w:ind w:left="0" w:firstLine="0"/>
        <w:rPr>
          <w:lang w:val="es-419"/>
        </w:rPr>
      </w:pPr>
      <w:r w:rsidRPr="00F2058B">
        <w:rPr>
          <w:rFonts w:ascii="Cambria" w:hAnsi="Cambria"/>
          <w:lang w:val="es-419"/>
        </w:rPr>
        <w:t xml:space="preserve">La parte peticionaria </w:t>
      </w:r>
      <w:r w:rsidR="006A407F" w:rsidRPr="00F2058B">
        <w:rPr>
          <w:rFonts w:ascii="Cambria" w:hAnsi="Cambria"/>
          <w:lang w:val="es-419"/>
        </w:rPr>
        <w:t xml:space="preserve">señala </w:t>
      </w:r>
      <w:r w:rsidR="00110AA4" w:rsidRPr="00F2058B">
        <w:rPr>
          <w:rFonts w:ascii="Cambria" w:hAnsi="Cambria"/>
          <w:lang w:val="es-419"/>
        </w:rPr>
        <w:t>que,</w:t>
      </w:r>
      <w:r w:rsidR="006A407F" w:rsidRPr="00F2058B">
        <w:rPr>
          <w:rFonts w:ascii="Cambria" w:hAnsi="Cambria"/>
          <w:lang w:val="es-419"/>
        </w:rPr>
        <w:t xml:space="preserve"> </w:t>
      </w:r>
      <w:r w:rsidR="008438BF" w:rsidRPr="00F2058B">
        <w:rPr>
          <w:rFonts w:ascii="Cambria" w:hAnsi="Cambria"/>
          <w:lang w:val="es-419"/>
        </w:rPr>
        <w:t>durante el segundo semestre del año 1998</w:t>
      </w:r>
      <w:r w:rsidR="00024C13" w:rsidRPr="00F2058B">
        <w:rPr>
          <w:rFonts w:ascii="Cambria" w:hAnsi="Cambria"/>
          <w:lang w:val="es-419"/>
        </w:rPr>
        <w:t>,</w:t>
      </w:r>
      <w:r w:rsidR="008438BF" w:rsidRPr="00F2058B">
        <w:rPr>
          <w:rFonts w:ascii="Cambria" w:hAnsi="Cambria"/>
          <w:lang w:val="es-419"/>
        </w:rPr>
        <w:t xml:space="preserve"> en el Magdalena </w:t>
      </w:r>
      <w:r w:rsidRPr="00F2058B">
        <w:rPr>
          <w:rFonts w:ascii="Cambria" w:hAnsi="Cambria"/>
          <w:lang w:val="es-419"/>
        </w:rPr>
        <w:t>M</w:t>
      </w:r>
      <w:r w:rsidR="008438BF" w:rsidRPr="00F2058B">
        <w:rPr>
          <w:rFonts w:ascii="Cambria" w:hAnsi="Cambria"/>
          <w:lang w:val="es-419"/>
        </w:rPr>
        <w:t>edio</w:t>
      </w:r>
      <w:r w:rsidR="00024C13" w:rsidRPr="00F2058B">
        <w:rPr>
          <w:rFonts w:ascii="Cambria" w:hAnsi="Cambria"/>
          <w:lang w:val="es-419"/>
        </w:rPr>
        <w:t>,</w:t>
      </w:r>
      <w:r w:rsidR="00191E6B" w:rsidRPr="00F2058B">
        <w:rPr>
          <w:rFonts w:ascii="Cambria" w:hAnsi="Cambria"/>
          <w:lang w:val="es-419"/>
        </w:rPr>
        <w:t xml:space="preserve"> más de 10,</w:t>
      </w:r>
      <w:r w:rsidR="008438BF" w:rsidRPr="00F2058B">
        <w:rPr>
          <w:rFonts w:ascii="Cambria" w:hAnsi="Cambria"/>
          <w:lang w:val="es-419"/>
        </w:rPr>
        <w:t>000 campesinos participaron en un éxodo con el propósito de llamar la atención del gobierno d</w:t>
      </w:r>
      <w:r w:rsidR="00753642" w:rsidRPr="00F2058B">
        <w:rPr>
          <w:rFonts w:ascii="Cambria" w:hAnsi="Cambria"/>
          <w:lang w:val="es-419"/>
        </w:rPr>
        <w:t>e</w:t>
      </w:r>
      <w:r w:rsidR="008438BF" w:rsidRPr="00F2058B">
        <w:rPr>
          <w:rFonts w:ascii="Cambria" w:hAnsi="Cambria"/>
          <w:lang w:val="es-419"/>
        </w:rPr>
        <w:t xml:space="preserve"> Colombia sobre la</w:t>
      </w:r>
      <w:r w:rsidR="00753642" w:rsidRPr="00F2058B">
        <w:rPr>
          <w:rFonts w:ascii="Cambria" w:hAnsi="Cambria"/>
          <w:lang w:val="es-419"/>
        </w:rPr>
        <w:t xml:space="preserve"> </w:t>
      </w:r>
      <w:r w:rsidR="008438BF" w:rsidRPr="00F2058B">
        <w:rPr>
          <w:rFonts w:ascii="Cambria" w:hAnsi="Cambria"/>
          <w:lang w:val="es-419"/>
        </w:rPr>
        <w:t>s</w:t>
      </w:r>
      <w:r w:rsidR="00753642" w:rsidRPr="00F2058B">
        <w:rPr>
          <w:rFonts w:ascii="Cambria" w:hAnsi="Cambria"/>
          <w:lang w:val="es-419"/>
        </w:rPr>
        <w:t>istemática vulneración de derechos humanos p</w:t>
      </w:r>
      <w:r w:rsidR="00EA0298" w:rsidRPr="00F2058B">
        <w:rPr>
          <w:rFonts w:ascii="Cambria" w:hAnsi="Cambria"/>
          <w:lang w:val="es-419"/>
        </w:rPr>
        <w:t>erpetradas por miembros de las Au</w:t>
      </w:r>
      <w:r w:rsidR="00292DE8" w:rsidRPr="00F2058B">
        <w:rPr>
          <w:rFonts w:ascii="Cambria" w:hAnsi="Cambria"/>
          <w:lang w:val="es-419"/>
        </w:rPr>
        <w:t>todefensas Unidas de Colombia (</w:t>
      </w:r>
      <w:r w:rsidR="00EA0298" w:rsidRPr="00F2058B">
        <w:rPr>
          <w:rFonts w:ascii="Cambria" w:hAnsi="Cambria"/>
          <w:lang w:val="es-419"/>
        </w:rPr>
        <w:t>“A</w:t>
      </w:r>
      <w:r w:rsidRPr="00F2058B">
        <w:rPr>
          <w:rFonts w:ascii="Cambria" w:hAnsi="Cambria"/>
          <w:lang w:val="es-419"/>
        </w:rPr>
        <w:t>UC</w:t>
      </w:r>
      <w:r w:rsidR="00EA0298" w:rsidRPr="00F2058B">
        <w:rPr>
          <w:rFonts w:ascii="Cambria" w:hAnsi="Cambria"/>
          <w:lang w:val="es-419"/>
        </w:rPr>
        <w:t>”)</w:t>
      </w:r>
      <w:r w:rsidR="00344D22" w:rsidRPr="00F2058B">
        <w:rPr>
          <w:rFonts w:ascii="Cambria" w:hAnsi="Cambria"/>
          <w:lang w:val="es-419"/>
        </w:rPr>
        <w:t xml:space="preserve"> </w:t>
      </w:r>
      <w:r w:rsidR="00753642" w:rsidRPr="00F2058B">
        <w:rPr>
          <w:rFonts w:ascii="Cambria" w:hAnsi="Cambria"/>
          <w:lang w:val="es-419"/>
        </w:rPr>
        <w:t>y</w:t>
      </w:r>
      <w:r w:rsidR="00344D22" w:rsidRPr="00F2058B">
        <w:rPr>
          <w:rFonts w:ascii="Cambria" w:hAnsi="Cambria"/>
          <w:lang w:val="es-419"/>
        </w:rPr>
        <w:t xml:space="preserve"> la </w:t>
      </w:r>
      <w:r w:rsidR="00F76AB1" w:rsidRPr="00F2058B">
        <w:rPr>
          <w:rFonts w:ascii="Cambria" w:hAnsi="Cambria"/>
          <w:lang w:val="es-419"/>
        </w:rPr>
        <w:t>Fuerza P</w:t>
      </w:r>
      <w:r w:rsidR="00753642" w:rsidRPr="00F2058B">
        <w:rPr>
          <w:rFonts w:ascii="Cambria" w:hAnsi="Cambria"/>
          <w:lang w:val="es-419"/>
        </w:rPr>
        <w:t>ública</w:t>
      </w:r>
      <w:r w:rsidR="00EB783B" w:rsidRPr="00F2058B">
        <w:rPr>
          <w:rFonts w:ascii="Cambria" w:hAnsi="Cambria"/>
          <w:lang w:val="es-419"/>
        </w:rPr>
        <w:t xml:space="preserve"> en esa región</w:t>
      </w:r>
      <w:r w:rsidR="00753642" w:rsidRPr="00F2058B">
        <w:rPr>
          <w:rFonts w:ascii="Cambria" w:hAnsi="Cambria"/>
          <w:lang w:val="es-419"/>
        </w:rPr>
        <w:t>.</w:t>
      </w:r>
      <w:r w:rsidR="008438BF" w:rsidRPr="00F2058B">
        <w:rPr>
          <w:rFonts w:ascii="Cambria" w:hAnsi="Cambria"/>
          <w:lang w:val="es-419"/>
        </w:rPr>
        <w:t xml:space="preserve"> </w:t>
      </w:r>
      <w:r w:rsidR="00F3613B" w:rsidRPr="00F2058B">
        <w:rPr>
          <w:rFonts w:ascii="Cambria" w:hAnsi="Cambria"/>
          <w:lang w:val="es-419"/>
        </w:rPr>
        <w:t xml:space="preserve">Indica que con ocasión del éxodo campesino se suscribieron unos acuerdos con el Presidente de </w:t>
      </w:r>
      <w:r w:rsidR="00EA0298" w:rsidRPr="00F2058B">
        <w:rPr>
          <w:rFonts w:ascii="Cambria" w:hAnsi="Cambria"/>
          <w:lang w:val="es-419"/>
        </w:rPr>
        <w:t xml:space="preserve">la Nación de </w:t>
      </w:r>
      <w:r w:rsidR="00F3613B" w:rsidRPr="00F2058B">
        <w:rPr>
          <w:rFonts w:ascii="Cambria" w:hAnsi="Cambria"/>
          <w:lang w:val="es-419"/>
        </w:rPr>
        <w:t xml:space="preserve">aquel entonces, quien asumió el compromiso de garantizar la vida </w:t>
      </w:r>
      <w:r w:rsidR="00F3613B" w:rsidRPr="00F2058B">
        <w:rPr>
          <w:rFonts w:ascii="Cambria" w:hAnsi="Cambria"/>
          <w:lang w:val="es-419"/>
        </w:rPr>
        <w:lastRenderedPageBreak/>
        <w:t>e integridad personal tanto de los campesinos como de los vocer</w:t>
      </w:r>
      <w:r w:rsidR="00FC69A7" w:rsidRPr="00F2058B">
        <w:rPr>
          <w:rFonts w:ascii="Cambria" w:hAnsi="Cambria"/>
          <w:lang w:val="es-419"/>
        </w:rPr>
        <w:t>os que participaron en el éxodo</w:t>
      </w:r>
      <w:r w:rsidR="00EA0298" w:rsidRPr="00F2058B">
        <w:rPr>
          <w:rFonts w:ascii="Cambria" w:hAnsi="Cambria"/>
          <w:lang w:val="es-419"/>
        </w:rPr>
        <w:t xml:space="preserve">; </w:t>
      </w:r>
      <w:r w:rsidR="00FC69A7" w:rsidRPr="00F2058B">
        <w:rPr>
          <w:rFonts w:ascii="Cambria" w:hAnsi="Cambria"/>
          <w:lang w:val="es-419"/>
        </w:rPr>
        <w:t xml:space="preserve">como </w:t>
      </w:r>
      <w:r w:rsidR="00EA0298" w:rsidRPr="00F2058B">
        <w:rPr>
          <w:rFonts w:ascii="Cambria" w:hAnsi="Cambria"/>
          <w:lang w:val="es-419"/>
        </w:rPr>
        <w:t xml:space="preserve">es </w:t>
      </w:r>
      <w:r w:rsidR="00FC69A7" w:rsidRPr="00F2058B">
        <w:rPr>
          <w:rFonts w:ascii="Cambria" w:hAnsi="Cambria"/>
          <w:lang w:val="es-419"/>
        </w:rPr>
        <w:t xml:space="preserve">el caso de </w:t>
      </w:r>
      <w:r w:rsidR="00F3613B" w:rsidRPr="00F2058B">
        <w:rPr>
          <w:rFonts w:ascii="Cambria" w:hAnsi="Cambria"/>
          <w:lang w:val="es-419"/>
        </w:rPr>
        <w:t>Édgar Quiroga</w:t>
      </w:r>
      <w:r w:rsidR="00FC69A7" w:rsidRPr="00F2058B">
        <w:rPr>
          <w:rFonts w:ascii="Cambria" w:hAnsi="Cambria"/>
          <w:lang w:val="es-419"/>
        </w:rPr>
        <w:t>, quien</w:t>
      </w:r>
      <w:r w:rsidR="00024C13" w:rsidRPr="00F2058B">
        <w:rPr>
          <w:rFonts w:ascii="Cambria" w:hAnsi="Cambria"/>
          <w:lang w:val="es-419"/>
        </w:rPr>
        <w:t xml:space="preserve"> </w:t>
      </w:r>
      <w:r w:rsidR="00FC69A7" w:rsidRPr="00F2058B">
        <w:rPr>
          <w:rFonts w:ascii="Cambria" w:hAnsi="Cambria"/>
          <w:lang w:val="es-419"/>
        </w:rPr>
        <w:t xml:space="preserve">era un reconocido líder de la región y </w:t>
      </w:r>
      <w:r w:rsidR="00F3613B" w:rsidRPr="00F2058B">
        <w:rPr>
          <w:rFonts w:ascii="Cambria" w:hAnsi="Cambria"/>
          <w:lang w:val="es-419"/>
        </w:rPr>
        <w:t>que gozaba de tal protección</w:t>
      </w:r>
      <w:r w:rsidR="00FC69A7" w:rsidRPr="00F2058B">
        <w:rPr>
          <w:rFonts w:ascii="Cambria" w:hAnsi="Cambria"/>
          <w:lang w:val="es-419"/>
        </w:rPr>
        <w:t>.</w:t>
      </w:r>
    </w:p>
    <w:p w14:paraId="12CE9A52" w14:textId="77777777" w:rsidR="008F0868" w:rsidRPr="00F2058B" w:rsidRDefault="008F0868" w:rsidP="008F0868">
      <w:pPr>
        <w:pStyle w:val="ListParagraph"/>
        <w:rPr>
          <w:lang w:val="es-419"/>
        </w:rPr>
      </w:pPr>
    </w:p>
    <w:p w14:paraId="1B03048C" w14:textId="4F81DB26" w:rsidR="008F0868" w:rsidRPr="00F2058B" w:rsidRDefault="00EA0298" w:rsidP="00F06940">
      <w:pPr>
        <w:pStyle w:val="parrafos"/>
        <w:numPr>
          <w:ilvl w:val="0"/>
          <w:numId w:val="58"/>
        </w:numPr>
        <w:ind w:left="0" w:firstLine="0"/>
        <w:rPr>
          <w:lang w:val="es-419"/>
        </w:rPr>
      </w:pPr>
      <w:r w:rsidRPr="00F2058B">
        <w:rPr>
          <w:lang w:val="es-419"/>
        </w:rPr>
        <w:t xml:space="preserve">Refiere que </w:t>
      </w:r>
      <w:r w:rsidR="008B3ED1" w:rsidRPr="00F2058B">
        <w:rPr>
          <w:lang w:val="es-419"/>
        </w:rPr>
        <w:t>Gildardo Fuentes</w:t>
      </w:r>
      <w:r w:rsidR="009F50DB" w:rsidRPr="00F2058B">
        <w:rPr>
          <w:lang w:val="es-419"/>
        </w:rPr>
        <w:t xml:space="preserve"> era un campesino</w:t>
      </w:r>
      <w:r w:rsidRPr="00F2058B">
        <w:rPr>
          <w:lang w:val="es-419"/>
        </w:rPr>
        <w:t>, habitante de la región,</w:t>
      </w:r>
      <w:r w:rsidR="009F50DB" w:rsidRPr="00F2058B">
        <w:rPr>
          <w:lang w:val="es-419"/>
        </w:rPr>
        <w:t xml:space="preserve"> qu</w:t>
      </w:r>
      <w:r w:rsidRPr="00F2058B">
        <w:rPr>
          <w:lang w:val="es-419"/>
        </w:rPr>
        <w:t>ien</w:t>
      </w:r>
      <w:r w:rsidR="009F50DB" w:rsidRPr="00F2058B">
        <w:rPr>
          <w:lang w:val="es-419"/>
        </w:rPr>
        <w:t xml:space="preserve"> para la época de su desaparición forzada contaba con 19 años de edad y quien entre el 8 y 10 de octubre de 1999, un mes antes de que </w:t>
      </w:r>
      <w:r w:rsidRPr="00F2058B">
        <w:rPr>
          <w:lang w:val="es-419"/>
        </w:rPr>
        <w:t xml:space="preserve">se diera su </w:t>
      </w:r>
      <w:r w:rsidR="00191E6B" w:rsidRPr="00F2058B">
        <w:rPr>
          <w:lang w:val="es-419"/>
        </w:rPr>
        <w:t xml:space="preserve">alegada </w:t>
      </w:r>
      <w:r w:rsidR="009F50DB" w:rsidRPr="00F2058B">
        <w:rPr>
          <w:lang w:val="es-419"/>
        </w:rPr>
        <w:t>desaparición</w:t>
      </w:r>
      <w:r w:rsidR="00F76AB1" w:rsidRPr="00F2058B">
        <w:rPr>
          <w:lang w:val="es-419"/>
        </w:rPr>
        <w:t xml:space="preserve"> forzada,</w:t>
      </w:r>
      <w:r w:rsidR="009F50DB" w:rsidRPr="00F2058B">
        <w:rPr>
          <w:lang w:val="es-419"/>
        </w:rPr>
        <w:t xml:space="preserve"> fue víctima de actos de tortura cometidos por las AUC con la aquiescencia del Batallón No. 45 Héroes de Majagual en el corregimiento de Cerro Azul</w:t>
      </w:r>
      <w:r w:rsidR="00F76AB1" w:rsidRPr="00F2058B">
        <w:rPr>
          <w:lang w:val="es-419"/>
        </w:rPr>
        <w:t>.</w:t>
      </w:r>
      <w:r w:rsidR="009F50DB" w:rsidRPr="00F2058B">
        <w:rPr>
          <w:lang w:val="es-419"/>
        </w:rPr>
        <w:t xml:space="preserve"> </w:t>
      </w:r>
    </w:p>
    <w:p w14:paraId="5DD230A5" w14:textId="77777777" w:rsidR="008F0868" w:rsidRPr="00F2058B" w:rsidRDefault="008F0868" w:rsidP="008F0868">
      <w:pPr>
        <w:pStyle w:val="ListParagraph"/>
        <w:rPr>
          <w:rFonts w:ascii="Cambria" w:hAnsi="Cambria"/>
          <w:lang w:val="es-419"/>
        </w:rPr>
      </w:pPr>
    </w:p>
    <w:p w14:paraId="63A11636" w14:textId="77777777" w:rsidR="008F0868" w:rsidRPr="00F2058B" w:rsidRDefault="00EB20CB" w:rsidP="00F06940">
      <w:pPr>
        <w:pStyle w:val="parrafos"/>
        <w:numPr>
          <w:ilvl w:val="0"/>
          <w:numId w:val="58"/>
        </w:numPr>
        <w:ind w:left="0" w:firstLine="0"/>
        <w:rPr>
          <w:lang w:val="es-419"/>
        </w:rPr>
      </w:pPr>
      <w:r w:rsidRPr="00F2058B">
        <w:rPr>
          <w:rFonts w:ascii="Cambria" w:hAnsi="Cambria"/>
          <w:lang w:val="es-419"/>
        </w:rPr>
        <w:t xml:space="preserve">Sobre </w:t>
      </w:r>
      <w:r w:rsidR="0076085F" w:rsidRPr="00F2058B">
        <w:rPr>
          <w:rFonts w:ascii="Cambria" w:hAnsi="Cambria"/>
          <w:lang w:val="es-419"/>
        </w:rPr>
        <w:t xml:space="preserve">Victoria Delgado Anaya, </w:t>
      </w:r>
      <w:r w:rsidR="00F76AB1" w:rsidRPr="00F2058B">
        <w:rPr>
          <w:rFonts w:ascii="Cambria" w:hAnsi="Cambria"/>
          <w:lang w:val="es-419"/>
        </w:rPr>
        <w:t xml:space="preserve">la parte peticionaria </w:t>
      </w:r>
      <w:r w:rsidRPr="00F2058B">
        <w:rPr>
          <w:rFonts w:ascii="Cambria" w:hAnsi="Cambria"/>
          <w:lang w:val="es-419"/>
        </w:rPr>
        <w:t xml:space="preserve">indica que </w:t>
      </w:r>
      <w:r w:rsidR="00F76AB1" w:rsidRPr="00F2058B">
        <w:rPr>
          <w:rFonts w:ascii="Cambria" w:hAnsi="Cambria"/>
          <w:lang w:val="es-419"/>
        </w:rPr>
        <w:t xml:space="preserve">ésta </w:t>
      </w:r>
      <w:r w:rsidRPr="00F2058B">
        <w:rPr>
          <w:rFonts w:ascii="Cambria" w:hAnsi="Cambria"/>
          <w:lang w:val="es-419"/>
        </w:rPr>
        <w:t xml:space="preserve">era la </w:t>
      </w:r>
      <w:r w:rsidR="0076085F" w:rsidRPr="00F2058B">
        <w:rPr>
          <w:rFonts w:ascii="Cambria" w:hAnsi="Cambria"/>
          <w:lang w:val="es-419"/>
        </w:rPr>
        <w:t xml:space="preserve">madre de Gildardo Fuentes </w:t>
      </w:r>
      <w:r w:rsidR="00A57A84" w:rsidRPr="00F2058B">
        <w:rPr>
          <w:rFonts w:ascii="Cambria" w:hAnsi="Cambria"/>
          <w:lang w:val="es-419"/>
        </w:rPr>
        <w:t xml:space="preserve">y </w:t>
      </w:r>
      <w:r w:rsidR="0076085F" w:rsidRPr="00F2058B">
        <w:rPr>
          <w:rFonts w:ascii="Cambria" w:hAnsi="Cambria"/>
          <w:lang w:val="es-419"/>
        </w:rPr>
        <w:t xml:space="preserve">que se dedicaba </w:t>
      </w:r>
      <w:r w:rsidR="00A57A84" w:rsidRPr="00F2058B">
        <w:rPr>
          <w:rFonts w:ascii="Cambria" w:hAnsi="Cambria"/>
          <w:lang w:val="es-419"/>
        </w:rPr>
        <w:t>a la</w:t>
      </w:r>
      <w:r w:rsidR="0076085F" w:rsidRPr="00F2058B">
        <w:rPr>
          <w:rFonts w:ascii="Cambria" w:hAnsi="Cambria"/>
          <w:lang w:val="es-419"/>
        </w:rPr>
        <w:t xml:space="preserve"> venta de víveres, abarrotes, herramientas y otros elementos</w:t>
      </w:r>
      <w:r w:rsidR="00EA0298" w:rsidRPr="00F2058B">
        <w:rPr>
          <w:rFonts w:ascii="Cambria" w:hAnsi="Cambria"/>
          <w:lang w:val="es-419"/>
        </w:rPr>
        <w:t>.</w:t>
      </w:r>
      <w:r w:rsidR="0076085F" w:rsidRPr="00F2058B">
        <w:rPr>
          <w:rFonts w:ascii="Cambria" w:hAnsi="Cambria"/>
          <w:lang w:val="es-419"/>
        </w:rPr>
        <w:t xml:space="preserve"> Refiere que la señora </w:t>
      </w:r>
      <w:r w:rsidR="00A57A84" w:rsidRPr="00F2058B">
        <w:rPr>
          <w:rFonts w:ascii="Cambria" w:hAnsi="Cambria"/>
          <w:lang w:val="es-419"/>
        </w:rPr>
        <w:t xml:space="preserve">Delgado </w:t>
      </w:r>
      <w:r w:rsidR="0076085F" w:rsidRPr="00F2058B">
        <w:rPr>
          <w:rFonts w:ascii="Cambria" w:hAnsi="Cambria"/>
          <w:lang w:val="es-419"/>
        </w:rPr>
        <w:t>fue amenazada, en medio de las múltiples denuncias y averiguaciones para esclarecer los hechos que rodearon la desaparición de su hijo; secuestrada en dos oportunidades, y finalmente asesinada el 24 de diciembre de 2001 en San Pablo Bolívar por miembros de la misma estructura paramilitar.</w:t>
      </w:r>
    </w:p>
    <w:p w14:paraId="35DE0184" w14:textId="77777777" w:rsidR="008F0868" w:rsidRPr="00F2058B" w:rsidRDefault="008F0868" w:rsidP="008F0868">
      <w:pPr>
        <w:pStyle w:val="ListParagraph"/>
        <w:rPr>
          <w:rFonts w:ascii="Cambria" w:hAnsi="Cambria"/>
          <w:lang w:val="es-419"/>
        </w:rPr>
      </w:pPr>
    </w:p>
    <w:p w14:paraId="20ECEE03" w14:textId="7861995B" w:rsidR="008F0868" w:rsidRPr="00F2058B" w:rsidRDefault="007B02B7" w:rsidP="00F06940">
      <w:pPr>
        <w:pStyle w:val="parrafos"/>
        <w:numPr>
          <w:ilvl w:val="0"/>
          <w:numId w:val="58"/>
        </w:numPr>
        <w:ind w:left="0" w:firstLine="0"/>
        <w:rPr>
          <w:lang w:val="es-419"/>
        </w:rPr>
      </w:pPr>
      <w:r w:rsidRPr="00F2058B">
        <w:rPr>
          <w:rFonts w:ascii="Cambria" w:hAnsi="Cambria"/>
          <w:lang w:val="es-419"/>
        </w:rPr>
        <w:t xml:space="preserve">Aduce que </w:t>
      </w:r>
      <w:r w:rsidR="00671853" w:rsidRPr="00F2058B">
        <w:rPr>
          <w:rFonts w:ascii="Cambria" w:hAnsi="Cambria"/>
          <w:lang w:val="es-419"/>
        </w:rPr>
        <w:t xml:space="preserve">entre el 24 y 26 de noviembre de 1999, </w:t>
      </w:r>
      <w:r w:rsidR="00845E09" w:rsidRPr="00F2058B">
        <w:rPr>
          <w:rFonts w:ascii="Cambria" w:hAnsi="Cambria"/>
          <w:lang w:val="es-419"/>
        </w:rPr>
        <w:t>dos</w:t>
      </w:r>
      <w:r w:rsidR="00671853" w:rsidRPr="00F2058B">
        <w:rPr>
          <w:rFonts w:ascii="Cambria" w:hAnsi="Cambria"/>
          <w:lang w:val="es-419"/>
        </w:rPr>
        <w:t xml:space="preserve"> </w:t>
      </w:r>
      <w:r w:rsidR="006F0EEE" w:rsidRPr="00F2058B">
        <w:rPr>
          <w:rFonts w:ascii="Cambria" w:hAnsi="Cambria"/>
          <w:lang w:val="es-419"/>
        </w:rPr>
        <w:t>días</w:t>
      </w:r>
      <w:r w:rsidRPr="00F2058B">
        <w:rPr>
          <w:rFonts w:ascii="Cambria" w:hAnsi="Cambria"/>
          <w:lang w:val="es-419"/>
        </w:rPr>
        <w:t xml:space="preserve"> antes de la desaparición forzada de Édgar Quiroga y </w:t>
      </w:r>
      <w:r w:rsidR="00504DA7" w:rsidRPr="00F2058B">
        <w:rPr>
          <w:rFonts w:ascii="Cambria" w:hAnsi="Cambria"/>
          <w:lang w:val="es-419"/>
        </w:rPr>
        <w:t>Gildardo Fuentes</w:t>
      </w:r>
      <w:r w:rsidRPr="00F2058B">
        <w:rPr>
          <w:rFonts w:ascii="Cambria" w:hAnsi="Cambria"/>
          <w:lang w:val="es-419"/>
        </w:rPr>
        <w:t>, estos compareci</w:t>
      </w:r>
      <w:r w:rsidR="008501FC" w:rsidRPr="00F2058B">
        <w:rPr>
          <w:rFonts w:ascii="Cambria" w:hAnsi="Cambria"/>
          <w:lang w:val="es-419"/>
        </w:rPr>
        <w:t xml:space="preserve">eron </w:t>
      </w:r>
      <w:r w:rsidRPr="00F2058B">
        <w:rPr>
          <w:rFonts w:ascii="Cambria" w:hAnsi="Cambria"/>
          <w:lang w:val="es-419"/>
        </w:rPr>
        <w:t>ante la F</w:t>
      </w:r>
      <w:r w:rsidR="000778F6" w:rsidRPr="00F2058B">
        <w:rPr>
          <w:rFonts w:ascii="Cambria" w:hAnsi="Cambria"/>
          <w:lang w:val="es-419"/>
        </w:rPr>
        <w:t>iscalía</w:t>
      </w:r>
      <w:r w:rsidR="005B4907" w:rsidRPr="00F2058B">
        <w:rPr>
          <w:rFonts w:ascii="Cambria" w:hAnsi="Cambria"/>
          <w:lang w:val="es-419"/>
        </w:rPr>
        <w:t xml:space="preserve"> y Procuraduría</w:t>
      </w:r>
      <w:r w:rsidR="000778F6" w:rsidRPr="00F2058B">
        <w:rPr>
          <w:rFonts w:ascii="Cambria" w:hAnsi="Cambria"/>
          <w:lang w:val="es-419"/>
        </w:rPr>
        <w:t xml:space="preserve"> General de la </w:t>
      </w:r>
      <w:r w:rsidRPr="00F2058B">
        <w:rPr>
          <w:rFonts w:ascii="Cambria" w:hAnsi="Cambria"/>
          <w:lang w:val="es-419"/>
        </w:rPr>
        <w:t>N</w:t>
      </w:r>
      <w:r w:rsidR="000778F6" w:rsidRPr="00F2058B">
        <w:rPr>
          <w:rFonts w:ascii="Cambria" w:hAnsi="Cambria"/>
          <w:lang w:val="es-419"/>
        </w:rPr>
        <w:t>ación</w:t>
      </w:r>
      <w:r w:rsidRPr="00F2058B">
        <w:rPr>
          <w:rFonts w:ascii="Cambria" w:hAnsi="Cambria"/>
          <w:lang w:val="es-419"/>
        </w:rPr>
        <w:t xml:space="preserve"> con el propósito de denunciar las violacione</w:t>
      </w:r>
      <w:r w:rsidR="005B4907" w:rsidRPr="00F2058B">
        <w:rPr>
          <w:rFonts w:ascii="Cambria" w:hAnsi="Cambria"/>
          <w:lang w:val="es-419"/>
        </w:rPr>
        <w:t>s de derechos humanos</w:t>
      </w:r>
      <w:r w:rsidR="00191E6B" w:rsidRPr="00F2058B">
        <w:rPr>
          <w:rFonts w:ascii="Cambria" w:hAnsi="Cambria"/>
          <w:lang w:val="es-419"/>
        </w:rPr>
        <w:t xml:space="preserve"> que miembros de la fuerza p</w:t>
      </w:r>
      <w:r w:rsidRPr="00F2058B">
        <w:rPr>
          <w:rFonts w:ascii="Cambria" w:hAnsi="Cambria"/>
          <w:lang w:val="es-419"/>
        </w:rPr>
        <w:t>ública</w:t>
      </w:r>
      <w:r w:rsidR="00403688" w:rsidRPr="00F2058B">
        <w:rPr>
          <w:rFonts w:ascii="Cambria" w:hAnsi="Cambria"/>
          <w:lang w:val="es-419"/>
        </w:rPr>
        <w:t>,</w:t>
      </w:r>
      <w:r w:rsidRPr="00F2058B">
        <w:rPr>
          <w:rFonts w:ascii="Cambria" w:hAnsi="Cambria"/>
          <w:lang w:val="es-419"/>
        </w:rPr>
        <w:t xml:space="preserve"> en estrecha relación con integrantes de </w:t>
      </w:r>
      <w:r w:rsidR="00CC2F7A" w:rsidRPr="00F2058B">
        <w:rPr>
          <w:rFonts w:ascii="Cambria" w:hAnsi="Cambria"/>
          <w:lang w:val="es-419"/>
        </w:rPr>
        <w:t>las AUC</w:t>
      </w:r>
      <w:r w:rsidR="00403688" w:rsidRPr="00F2058B">
        <w:rPr>
          <w:rFonts w:ascii="Cambria" w:hAnsi="Cambria"/>
          <w:lang w:val="es-419"/>
        </w:rPr>
        <w:t xml:space="preserve">, cometían </w:t>
      </w:r>
      <w:r w:rsidRPr="00F2058B">
        <w:rPr>
          <w:rFonts w:ascii="Cambria" w:hAnsi="Cambria"/>
          <w:lang w:val="es-419"/>
        </w:rPr>
        <w:t>en el Sur de Bolívar</w:t>
      </w:r>
      <w:r w:rsidR="00176B13" w:rsidRPr="00F2058B">
        <w:rPr>
          <w:rFonts w:ascii="Cambria" w:hAnsi="Cambria"/>
          <w:lang w:val="es-419"/>
        </w:rPr>
        <w:t>.</w:t>
      </w:r>
    </w:p>
    <w:p w14:paraId="3C73A063" w14:textId="77777777" w:rsidR="008F0868" w:rsidRPr="00F2058B" w:rsidRDefault="008F0868" w:rsidP="008F0868">
      <w:pPr>
        <w:pStyle w:val="ListParagraph"/>
        <w:rPr>
          <w:rFonts w:ascii="Cambria" w:hAnsi="Cambria"/>
          <w:lang w:val="es-419"/>
        </w:rPr>
      </w:pPr>
    </w:p>
    <w:p w14:paraId="3ADCD1C1" w14:textId="77777777" w:rsidR="008F0868" w:rsidRPr="00F2058B" w:rsidRDefault="006F0EEE" w:rsidP="00F06940">
      <w:pPr>
        <w:pStyle w:val="parrafos"/>
        <w:numPr>
          <w:ilvl w:val="0"/>
          <w:numId w:val="58"/>
        </w:numPr>
        <w:ind w:left="0" w:firstLine="0"/>
        <w:rPr>
          <w:lang w:val="es-419"/>
        </w:rPr>
      </w:pPr>
      <w:r w:rsidRPr="00F2058B">
        <w:rPr>
          <w:rFonts w:ascii="Cambria" w:hAnsi="Cambria"/>
          <w:lang w:val="es-419"/>
        </w:rPr>
        <w:t>A</w:t>
      </w:r>
      <w:r w:rsidR="00845E09" w:rsidRPr="00F2058B">
        <w:rPr>
          <w:rFonts w:ascii="Cambria" w:hAnsi="Cambria"/>
          <w:lang w:val="es-419"/>
        </w:rPr>
        <w:t>s</w:t>
      </w:r>
      <w:r w:rsidR="00D35B80" w:rsidRPr="00F2058B">
        <w:rPr>
          <w:rFonts w:ascii="Cambria" w:hAnsi="Cambria"/>
          <w:lang w:val="es-419"/>
        </w:rPr>
        <w:t>i</w:t>
      </w:r>
      <w:r w:rsidR="00845E09" w:rsidRPr="00F2058B">
        <w:rPr>
          <w:rFonts w:ascii="Cambria" w:hAnsi="Cambria"/>
          <w:lang w:val="es-419"/>
        </w:rPr>
        <w:t xml:space="preserve">mismo, </w:t>
      </w:r>
      <w:r w:rsidR="00E1667F" w:rsidRPr="00F2058B">
        <w:rPr>
          <w:rFonts w:ascii="Cambria" w:hAnsi="Cambria"/>
          <w:lang w:val="es-419"/>
        </w:rPr>
        <w:t>afirma</w:t>
      </w:r>
      <w:r w:rsidR="00AA61CF" w:rsidRPr="00F2058B">
        <w:rPr>
          <w:rFonts w:ascii="Cambria" w:hAnsi="Cambria"/>
          <w:lang w:val="es-419"/>
        </w:rPr>
        <w:t xml:space="preserve"> que la desaparición forzada</w:t>
      </w:r>
      <w:r w:rsidR="00F76AB1" w:rsidRPr="00F2058B">
        <w:rPr>
          <w:rFonts w:ascii="Cambria" w:hAnsi="Cambria"/>
          <w:lang w:val="es-419"/>
        </w:rPr>
        <w:t xml:space="preserve"> de ambos,</w:t>
      </w:r>
      <w:r w:rsidR="00AA61CF" w:rsidRPr="00F2058B">
        <w:rPr>
          <w:rFonts w:ascii="Cambria" w:hAnsi="Cambria"/>
          <w:lang w:val="es-419"/>
        </w:rPr>
        <w:t xml:space="preserve"> se vio precedida de </w:t>
      </w:r>
      <w:r w:rsidR="002A0AF0" w:rsidRPr="00F2058B">
        <w:rPr>
          <w:rFonts w:ascii="Cambria" w:hAnsi="Cambria"/>
          <w:lang w:val="es-419"/>
        </w:rPr>
        <w:t>dos eventos</w:t>
      </w:r>
      <w:r w:rsidR="003F13CE" w:rsidRPr="00F2058B">
        <w:rPr>
          <w:rFonts w:ascii="Cambria" w:hAnsi="Cambria"/>
          <w:lang w:val="es-419"/>
        </w:rPr>
        <w:t>:</w:t>
      </w:r>
      <w:r w:rsidR="00AA61CF" w:rsidRPr="00F2058B">
        <w:rPr>
          <w:rFonts w:ascii="Cambria" w:hAnsi="Cambria"/>
          <w:lang w:val="es-419"/>
        </w:rPr>
        <w:t xml:space="preserve"> </w:t>
      </w:r>
      <w:r w:rsidR="00F20BBF" w:rsidRPr="00F2058B">
        <w:rPr>
          <w:rFonts w:ascii="Cambria" w:hAnsi="Cambria"/>
          <w:lang w:val="es-419"/>
        </w:rPr>
        <w:t xml:space="preserve">i) </w:t>
      </w:r>
      <w:r w:rsidR="003F13CE" w:rsidRPr="00F2058B">
        <w:rPr>
          <w:rFonts w:ascii="Cambria" w:hAnsi="Cambria"/>
          <w:lang w:val="es-419"/>
        </w:rPr>
        <w:t xml:space="preserve">el </w:t>
      </w:r>
      <w:r w:rsidR="00AA61CF" w:rsidRPr="00F2058B">
        <w:rPr>
          <w:rFonts w:ascii="Cambria" w:hAnsi="Cambria"/>
          <w:lang w:val="es-419"/>
        </w:rPr>
        <w:t>26 de noviembre de 1999 en el corregimiento de Cerro A</w:t>
      </w:r>
      <w:r w:rsidR="00E80AAA" w:rsidRPr="00F2058B">
        <w:rPr>
          <w:rFonts w:ascii="Cambria" w:hAnsi="Cambria"/>
          <w:lang w:val="es-419"/>
        </w:rPr>
        <w:t>zul del Municipio de San Pablo</w:t>
      </w:r>
      <w:r w:rsidR="002D674F" w:rsidRPr="00F2058B">
        <w:rPr>
          <w:rFonts w:ascii="Cambria" w:hAnsi="Cambria"/>
          <w:lang w:val="es-419"/>
        </w:rPr>
        <w:t>,</w:t>
      </w:r>
      <w:r w:rsidR="00AA61CF" w:rsidRPr="00F2058B">
        <w:rPr>
          <w:rFonts w:ascii="Cambria" w:hAnsi="Cambria"/>
          <w:lang w:val="es-419"/>
        </w:rPr>
        <w:t xml:space="preserve"> día</w:t>
      </w:r>
      <w:r w:rsidR="002D674F" w:rsidRPr="00F2058B">
        <w:rPr>
          <w:rFonts w:ascii="Cambria" w:hAnsi="Cambria"/>
          <w:lang w:val="es-419"/>
        </w:rPr>
        <w:t xml:space="preserve"> en que</w:t>
      </w:r>
      <w:r w:rsidR="00AA61CF" w:rsidRPr="00F2058B">
        <w:rPr>
          <w:rFonts w:ascii="Cambria" w:hAnsi="Cambria"/>
          <w:lang w:val="es-419"/>
        </w:rPr>
        <w:t xml:space="preserve"> se presentaron sobrevuelos de un helicóptero con líneas rojas y verdes desde el cual a</w:t>
      </w:r>
      <w:r w:rsidR="00E80AAA" w:rsidRPr="00F2058B">
        <w:rPr>
          <w:rFonts w:ascii="Cambria" w:hAnsi="Cambria"/>
          <w:lang w:val="es-419"/>
        </w:rPr>
        <w:t>metrallaron y lanzaron bombas a</w:t>
      </w:r>
      <w:r w:rsidR="00AA61CF" w:rsidRPr="00F2058B">
        <w:rPr>
          <w:rFonts w:ascii="Cambria" w:hAnsi="Cambria"/>
          <w:lang w:val="es-419"/>
        </w:rPr>
        <w:t xml:space="preserve"> los alrededores del caserío ubicado en Villa Nueva</w:t>
      </w:r>
      <w:r w:rsidR="003F13CE" w:rsidRPr="00F2058B">
        <w:rPr>
          <w:rFonts w:ascii="Cambria" w:hAnsi="Cambria"/>
          <w:lang w:val="es-419"/>
        </w:rPr>
        <w:t xml:space="preserve">, y ii) </w:t>
      </w:r>
      <w:r w:rsidR="002A0AF0" w:rsidRPr="00F2058B">
        <w:rPr>
          <w:rFonts w:ascii="Cambria" w:hAnsi="Cambria"/>
          <w:lang w:val="es-419"/>
        </w:rPr>
        <w:t xml:space="preserve">el </w:t>
      </w:r>
      <w:r w:rsidR="00AA61CF" w:rsidRPr="00F2058B">
        <w:rPr>
          <w:rFonts w:ascii="Cambria" w:hAnsi="Cambria"/>
          <w:lang w:val="es-419"/>
        </w:rPr>
        <w:t>27 de noviembre de 1999,</w:t>
      </w:r>
      <w:r w:rsidR="003F13CE" w:rsidRPr="00F2058B">
        <w:rPr>
          <w:rFonts w:ascii="Cambria" w:hAnsi="Cambria"/>
          <w:lang w:val="es-419"/>
        </w:rPr>
        <w:t xml:space="preserve"> día en que</w:t>
      </w:r>
      <w:r w:rsidR="00AA61CF" w:rsidRPr="00F2058B">
        <w:rPr>
          <w:rFonts w:ascii="Cambria" w:hAnsi="Cambria"/>
          <w:lang w:val="es-419"/>
        </w:rPr>
        <w:t xml:space="preserve"> Cerro Azul fue ocupado por un grupo de hombres armados portadores de prendas militares </w:t>
      </w:r>
      <w:r w:rsidR="00E80AAA" w:rsidRPr="00F2058B">
        <w:rPr>
          <w:rFonts w:ascii="Cambria" w:hAnsi="Cambria"/>
          <w:lang w:val="es-419"/>
        </w:rPr>
        <w:t>con</w:t>
      </w:r>
      <w:r w:rsidR="007C3F8F" w:rsidRPr="00F2058B">
        <w:rPr>
          <w:rFonts w:ascii="Cambria" w:hAnsi="Cambria"/>
          <w:lang w:val="es-419"/>
        </w:rPr>
        <w:t xml:space="preserve"> </w:t>
      </w:r>
      <w:r w:rsidR="00AA61CF" w:rsidRPr="00F2058B">
        <w:rPr>
          <w:rFonts w:ascii="Cambria" w:hAnsi="Cambria"/>
          <w:lang w:val="es-419"/>
        </w:rPr>
        <w:t>sello distintivo de las AUC</w:t>
      </w:r>
      <w:r w:rsidR="001F4EFC" w:rsidRPr="00F2058B">
        <w:rPr>
          <w:rFonts w:ascii="Cambria" w:hAnsi="Cambria"/>
          <w:lang w:val="es-419"/>
        </w:rPr>
        <w:t>,</w:t>
      </w:r>
      <w:r w:rsidR="00AA61CF" w:rsidRPr="00F2058B">
        <w:rPr>
          <w:rFonts w:ascii="Cambria" w:hAnsi="Cambria"/>
          <w:lang w:val="es-419"/>
        </w:rPr>
        <w:t xml:space="preserve"> qu</w:t>
      </w:r>
      <w:r w:rsidR="00E80AAA" w:rsidRPr="00F2058B">
        <w:rPr>
          <w:rFonts w:ascii="Cambria" w:hAnsi="Cambria"/>
          <w:lang w:val="es-419"/>
        </w:rPr>
        <w:t>ienes establecie</w:t>
      </w:r>
      <w:r w:rsidR="00AA61CF" w:rsidRPr="00F2058B">
        <w:rPr>
          <w:rFonts w:ascii="Cambria" w:hAnsi="Cambria"/>
          <w:lang w:val="es-419"/>
        </w:rPr>
        <w:t>r</w:t>
      </w:r>
      <w:r w:rsidR="00171684" w:rsidRPr="00F2058B">
        <w:rPr>
          <w:rFonts w:ascii="Cambria" w:hAnsi="Cambria"/>
          <w:lang w:val="es-419"/>
        </w:rPr>
        <w:t>o</w:t>
      </w:r>
      <w:r w:rsidR="00E80AAA" w:rsidRPr="00F2058B">
        <w:rPr>
          <w:rFonts w:ascii="Cambria" w:hAnsi="Cambria"/>
          <w:lang w:val="es-419"/>
        </w:rPr>
        <w:t>n</w:t>
      </w:r>
      <w:r w:rsidR="00AA61CF" w:rsidRPr="00F2058B">
        <w:rPr>
          <w:rFonts w:ascii="Cambria" w:hAnsi="Cambria"/>
          <w:lang w:val="es-419"/>
        </w:rPr>
        <w:t xml:space="preserve"> </w:t>
      </w:r>
      <w:r w:rsidR="00171684" w:rsidRPr="00F2058B">
        <w:rPr>
          <w:rFonts w:ascii="Cambria" w:hAnsi="Cambria"/>
          <w:lang w:val="es-419"/>
        </w:rPr>
        <w:t xml:space="preserve">un </w:t>
      </w:r>
      <w:r w:rsidR="00AA61CF" w:rsidRPr="00F2058B">
        <w:rPr>
          <w:rFonts w:ascii="Cambria" w:hAnsi="Cambria"/>
          <w:lang w:val="es-419"/>
        </w:rPr>
        <w:t xml:space="preserve">retén, </w:t>
      </w:r>
      <w:r w:rsidR="00171684" w:rsidRPr="00F2058B">
        <w:rPr>
          <w:rFonts w:ascii="Cambria" w:hAnsi="Cambria"/>
          <w:lang w:val="es-419"/>
        </w:rPr>
        <w:t xml:space="preserve">y procedieron a </w:t>
      </w:r>
      <w:r w:rsidR="00AA61CF" w:rsidRPr="00F2058B">
        <w:rPr>
          <w:rFonts w:ascii="Cambria" w:hAnsi="Cambria"/>
          <w:lang w:val="es-419"/>
        </w:rPr>
        <w:t>ocupar viviendas, el puesto de salud y la escuela del lugar.</w:t>
      </w:r>
      <w:r w:rsidR="00D35B80" w:rsidRPr="00F2058B">
        <w:rPr>
          <w:rFonts w:ascii="Cambria" w:hAnsi="Cambria"/>
          <w:lang w:val="es-419"/>
        </w:rPr>
        <w:t xml:space="preserve"> Agreg</w:t>
      </w:r>
      <w:r w:rsidR="006844AD" w:rsidRPr="00F2058B">
        <w:rPr>
          <w:rFonts w:ascii="Cambria" w:hAnsi="Cambria"/>
          <w:lang w:val="es-419"/>
        </w:rPr>
        <w:t>a que</w:t>
      </w:r>
      <w:r w:rsidR="00C16881" w:rsidRPr="00F2058B">
        <w:rPr>
          <w:rFonts w:ascii="Cambria" w:hAnsi="Cambria"/>
          <w:lang w:val="es-419"/>
        </w:rPr>
        <w:t xml:space="preserve"> fueron </w:t>
      </w:r>
      <w:r w:rsidR="00AA61CF" w:rsidRPr="00F2058B">
        <w:rPr>
          <w:rFonts w:ascii="Cambria" w:hAnsi="Cambria"/>
          <w:lang w:val="es-419"/>
        </w:rPr>
        <w:t xml:space="preserve">aproximadamente 300 hombres camuflados y armados </w:t>
      </w:r>
      <w:r w:rsidR="003F13CE" w:rsidRPr="00F2058B">
        <w:rPr>
          <w:rFonts w:ascii="Cambria" w:hAnsi="Cambria"/>
          <w:lang w:val="es-419"/>
        </w:rPr>
        <w:t>que se identificaron como</w:t>
      </w:r>
      <w:r w:rsidR="00AA61CF" w:rsidRPr="00F2058B">
        <w:rPr>
          <w:rFonts w:ascii="Cambria" w:hAnsi="Cambria"/>
          <w:lang w:val="es-419"/>
        </w:rPr>
        <w:t xml:space="preserve"> parte de un grupo de 500 reservistas que habían sido pedidos a la V Brigada del Ejército Nacional.</w:t>
      </w:r>
    </w:p>
    <w:p w14:paraId="4467A025" w14:textId="77777777" w:rsidR="008F0868" w:rsidRPr="00F2058B" w:rsidRDefault="008F0868" w:rsidP="008F0868">
      <w:pPr>
        <w:pStyle w:val="ListParagraph"/>
        <w:rPr>
          <w:lang w:val="es-419"/>
        </w:rPr>
      </w:pPr>
    </w:p>
    <w:p w14:paraId="56778CC6" w14:textId="0641E4BC" w:rsidR="008F0868" w:rsidRPr="00F2058B" w:rsidRDefault="00CB44D5" w:rsidP="00F06940">
      <w:pPr>
        <w:pStyle w:val="parrafos"/>
        <w:numPr>
          <w:ilvl w:val="0"/>
          <w:numId w:val="58"/>
        </w:numPr>
        <w:ind w:left="0" w:firstLine="0"/>
        <w:rPr>
          <w:lang w:val="es-419"/>
        </w:rPr>
      </w:pPr>
      <w:r w:rsidRPr="00F2058B">
        <w:rPr>
          <w:lang w:val="es-419"/>
        </w:rPr>
        <w:t xml:space="preserve">La parte peticionaria indica </w:t>
      </w:r>
      <w:r w:rsidR="00BF5734" w:rsidRPr="00F2058B">
        <w:rPr>
          <w:lang w:val="es-419"/>
        </w:rPr>
        <w:t xml:space="preserve">que </w:t>
      </w:r>
      <w:r w:rsidR="00F35395" w:rsidRPr="00F2058B">
        <w:rPr>
          <w:rFonts w:ascii="Cambria" w:hAnsi="Cambria"/>
          <w:lang w:val="es-419"/>
        </w:rPr>
        <w:t xml:space="preserve">el día de los </w:t>
      </w:r>
      <w:r w:rsidR="00F765B4" w:rsidRPr="00F2058B">
        <w:rPr>
          <w:rFonts w:ascii="Cambria" w:hAnsi="Cambria"/>
          <w:lang w:val="es-419"/>
        </w:rPr>
        <w:t>hechos, 28 de noviembre de 1999</w:t>
      </w:r>
      <w:r w:rsidR="00C4535A" w:rsidRPr="00F2058B">
        <w:rPr>
          <w:rFonts w:ascii="Cambria" w:hAnsi="Cambria"/>
          <w:lang w:val="es-419"/>
        </w:rPr>
        <w:t>,</w:t>
      </w:r>
      <w:r w:rsidR="00F35395" w:rsidRPr="00F2058B">
        <w:rPr>
          <w:rFonts w:ascii="Cambria" w:hAnsi="Cambria"/>
          <w:lang w:val="es-419"/>
        </w:rPr>
        <w:t xml:space="preserve"> cuando Édgar Quiroga</w:t>
      </w:r>
      <w:r w:rsidR="005F0D7C" w:rsidRPr="00F2058B">
        <w:rPr>
          <w:rFonts w:ascii="Cambria" w:hAnsi="Cambria"/>
          <w:lang w:val="es-419"/>
        </w:rPr>
        <w:t xml:space="preserve"> y </w:t>
      </w:r>
      <w:r w:rsidR="00F35395" w:rsidRPr="00F2058B">
        <w:rPr>
          <w:rFonts w:ascii="Cambria" w:hAnsi="Cambria"/>
          <w:lang w:val="es-419"/>
        </w:rPr>
        <w:t>Gildardo Fuentes arribaron al corregimiento de Cerro Azul</w:t>
      </w:r>
      <w:r w:rsidR="00F76AB1" w:rsidRPr="00F2058B">
        <w:rPr>
          <w:rFonts w:ascii="Cambria" w:hAnsi="Cambria"/>
          <w:lang w:val="es-419"/>
        </w:rPr>
        <w:t>,</w:t>
      </w:r>
      <w:r w:rsidR="00F35395" w:rsidRPr="00F2058B">
        <w:rPr>
          <w:rFonts w:ascii="Cambria" w:hAnsi="Cambria"/>
          <w:lang w:val="es-419"/>
        </w:rPr>
        <w:t xml:space="preserve"> siendo aproximadamente las 10:00 </w:t>
      </w:r>
      <w:r w:rsidR="00C16881" w:rsidRPr="00F2058B">
        <w:rPr>
          <w:rFonts w:ascii="Cambria" w:hAnsi="Cambria"/>
          <w:lang w:val="es-419"/>
        </w:rPr>
        <w:t>de la mañana</w:t>
      </w:r>
      <w:r w:rsidR="00F35395" w:rsidRPr="00F2058B">
        <w:rPr>
          <w:rFonts w:ascii="Cambria" w:hAnsi="Cambria"/>
          <w:lang w:val="es-419"/>
        </w:rPr>
        <w:t>, fueron privados de su libertad por parte de</w:t>
      </w:r>
      <w:r w:rsidR="00C16881" w:rsidRPr="00F2058B">
        <w:rPr>
          <w:rFonts w:ascii="Cambria" w:hAnsi="Cambria"/>
          <w:lang w:val="es-419"/>
        </w:rPr>
        <w:t>l</w:t>
      </w:r>
      <w:r w:rsidR="00F35395" w:rsidRPr="00F2058B">
        <w:rPr>
          <w:rFonts w:ascii="Cambria" w:hAnsi="Cambria"/>
          <w:lang w:val="es-419"/>
        </w:rPr>
        <w:t xml:space="preserve"> grupo armado que </w:t>
      </w:r>
      <w:r w:rsidR="00C16881" w:rsidRPr="00F2058B">
        <w:rPr>
          <w:rFonts w:ascii="Cambria" w:hAnsi="Cambria"/>
          <w:lang w:val="es-419"/>
        </w:rPr>
        <w:t xml:space="preserve">se encontraba </w:t>
      </w:r>
      <w:r w:rsidR="00F35395" w:rsidRPr="00F2058B">
        <w:rPr>
          <w:rFonts w:ascii="Cambria" w:hAnsi="Cambria"/>
          <w:lang w:val="es-419"/>
        </w:rPr>
        <w:t xml:space="preserve">en Cerro Azul. </w:t>
      </w:r>
      <w:r w:rsidR="00C16881" w:rsidRPr="00F2058B">
        <w:rPr>
          <w:rFonts w:ascii="Cambria" w:hAnsi="Cambria"/>
          <w:lang w:val="es-419"/>
        </w:rPr>
        <w:t xml:space="preserve">Agrega que de los testimonios </w:t>
      </w:r>
      <w:r w:rsidR="005F0D7C" w:rsidRPr="00F2058B">
        <w:rPr>
          <w:rFonts w:ascii="Cambria" w:hAnsi="Cambria"/>
          <w:lang w:val="es-419"/>
        </w:rPr>
        <w:t>recogi</w:t>
      </w:r>
      <w:r w:rsidR="00C16881" w:rsidRPr="00F2058B">
        <w:rPr>
          <w:rFonts w:ascii="Cambria" w:hAnsi="Cambria"/>
          <w:lang w:val="es-419"/>
        </w:rPr>
        <w:t xml:space="preserve">dos más adelante, </w:t>
      </w:r>
      <w:r w:rsidR="005F0D7C" w:rsidRPr="00F2058B">
        <w:rPr>
          <w:rFonts w:ascii="Cambria" w:hAnsi="Cambria"/>
          <w:lang w:val="es-419"/>
        </w:rPr>
        <w:t xml:space="preserve">a través de la Comisión de Búsqueda, </w:t>
      </w:r>
      <w:r w:rsidR="00C16881" w:rsidRPr="00F2058B">
        <w:rPr>
          <w:rFonts w:ascii="Cambria" w:hAnsi="Cambria"/>
          <w:lang w:val="es-419"/>
        </w:rPr>
        <w:t xml:space="preserve">se </w:t>
      </w:r>
      <w:r w:rsidR="005F0D7C" w:rsidRPr="00F2058B">
        <w:rPr>
          <w:rFonts w:ascii="Cambria" w:hAnsi="Cambria"/>
          <w:lang w:val="es-419"/>
        </w:rPr>
        <w:t>estableci</w:t>
      </w:r>
      <w:r w:rsidR="00C16881" w:rsidRPr="00F2058B">
        <w:rPr>
          <w:rFonts w:ascii="Cambria" w:hAnsi="Cambria"/>
          <w:lang w:val="es-419"/>
        </w:rPr>
        <w:t xml:space="preserve">ó </w:t>
      </w:r>
      <w:r w:rsidR="005F0D7C" w:rsidRPr="00F2058B">
        <w:rPr>
          <w:rFonts w:ascii="Cambria" w:hAnsi="Cambria"/>
          <w:lang w:val="es-419"/>
        </w:rPr>
        <w:t>que</w:t>
      </w:r>
      <w:r w:rsidR="00F35395" w:rsidRPr="00F2058B">
        <w:rPr>
          <w:rFonts w:ascii="Cambria" w:hAnsi="Cambria"/>
          <w:lang w:val="es-419"/>
        </w:rPr>
        <w:t xml:space="preserve"> Édgar Quiroga fue detenido junto a Gildardo Fuentes, y </w:t>
      </w:r>
      <w:r w:rsidR="00C16881" w:rsidRPr="00F2058B">
        <w:rPr>
          <w:rFonts w:ascii="Cambria" w:hAnsi="Cambria"/>
          <w:lang w:val="es-419"/>
        </w:rPr>
        <w:t xml:space="preserve">ambos fueron </w:t>
      </w:r>
      <w:r w:rsidR="00F35395" w:rsidRPr="00F2058B">
        <w:rPr>
          <w:rFonts w:ascii="Cambria" w:hAnsi="Cambria"/>
          <w:lang w:val="es-419"/>
        </w:rPr>
        <w:t xml:space="preserve">llevados a un establecimiento público donde fueron interrogados sobre su procedencia y actividades en el área. </w:t>
      </w:r>
    </w:p>
    <w:p w14:paraId="43605FE5" w14:textId="77777777" w:rsidR="008F0868" w:rsidRPr="00F2058B" w:rsidRDefault="008F0868" w:rsidP="008F0868">
      <w:pPr>
        <w:pStyle w:val="ListParagraph"/>
        <w:rPr>
          <w:rFonts w:ascii="Cambria" w:hAnsi="Cambria"/>
          <w:lang w:val="es-419"/>
        </w:rPr>
      </w:pPr>
    </w:p>
    <w:p w14:paraId="634BB778" w14:textId="6BF6D9C3" w:rsidR="008F0868" w:rsidRPr="00F2058B" w:rsidRDefault="00CB44D5" w:rsidP="00F06940">
      <w:pPr>
        <w:pStyle w:val="parrafos"/>
        <w:numPr>
          <w:ilvl w:val="0"/>
          <w:numId w:val="58"/>
        </w:numPr>
        <w:ind w:left="0" w:firstLine="0"/>
        <w:rPr>
          <w:lang w:val="es-419"/>
        </w:rPr>
      </w:pPr>
      <w:r w:rsidRPr="00F2058B">
        <w:rPr>
          <w:rFonts w:ascii="Cambria" w:hAnsi="Cambria"/>
          <w:lang w:val="es-419"/>
        </w:rPr>
        <w:t>S</w:t>
      </w:r>
      <w:r w:rsidR="00FC5D0A" w:rsidRPr="00F2058B">
        <w:rPr>
          <w:rFonts w:ascii="Cambria" w:hAnsi="Cambria"/>
          <w:lang w:val="es-419"/>
        </w:rPr>
        <w:t>eñala</w:t>
      </w:r>
      <w:r w:rsidR="0012765C" w:rsidRPr="00F2058B">
        <w:rPr>
          <w:rFonts w:ascii="Cambria" w:hAnsi="Cambria"/>
          <w:lang w:val="es-419"/>
        </w:rPr>
        <w:t xml:space="preserve"> que uno de los comandantes</w:t>
      </w:r>
      <w:r w:rsidR="00A85B10" w:rsidRPr="00F2058B">
        <w:rPr>
          <w:rFonts w:ascii="Cambria" w:hAnsi="Cambria"/>
          <w:lang w:val="es-419"/>
        </w:rPr>
        <w:t xml:space="preserve"> del grupo captor</w:t>
      </w:r>
      <w:r w:rsidR="00AD0EF7" w:rsidRPr="00F2058B">
        <w:rPr>
          <w:rFonts w:ascii="Cambria" w:hAnsi="Cambria"/>
          <w:lang w:val="es-419"/>
        </w:rPr>
        <w:t>,</w:t>
      </w:r>
      <w:r w:rsidR="0012765C" w:rsidRPr="00F2058B">
        <w:rPr>
          <w:rFonts w:ascii="Cambria" w:hAnsi="Cambria"/>
          <w:lang w:val="es-419"/>
        </w:rPr>
        <w:t xml:space="preserve"> </w:t>
      </w:r>
      <w:r w:rsidR="006715C2" w:rsidRPr="00F2058B">
        <w:rPr>
          <w:rFonts w:ascii="Cambria" w:hAnsi="Cambria"/>
          <w:lang w:val="es-419"/>
        </w:rPr>
        <w:t>en</w:t>
      </w:r>
      <w:r w:rsidR="0012765C" w:rsidRPr="00F2058B">
        <w:rPr>
          <w:rFonts w:ascii="Cambria" w:hAnsi="Cambria"/>
          <w:lang w:val="es-419"/>
        </w:rPr>
        <w:t xml:space="preserve"> conversaciones por radio</w:t>
      </w:r>
      <w:r w:rsidR="005B32BA" w:rsidRPr="00F2058B">
        <w:rPr>
          <w:rFonts w:ascii="Cambria" w:hAnsi="Cambria"/>
          <w:lang w:val="es-419"/>
        </w:rPr>
        <w:t>,</w:t>
      </w:r>
      <w:r w:rsidR="0012765C" w:rsidRPr="00F2058B">
        <w:rPr>
          <w:rFonts w:ascii="Cambria" w:hAnsi="Cambria"/>
          <w:lang w:val="es-419"/>
        </w:rPr>
        <w:t xml:space="preserve"> afirma</w:t>
      </w:r>
      <w:r w:rsidR="002D3907" w:rsidRPr="00F2058B">
        <w:rPr>
          <w:rFonts w:ascii="Cambria" w:hAnsi="Cambria"/>
          <w:lang w:val="es-419"/>
        </w:rPr>
        <w:t xml:space="preserve">ba </w:t>
      </w:r>
      <w:r w:rsidR="0012765C" w:rsidRPr="00F2058B">
        <w:rPr>
          <w:rFonts w:ascii="Cambria" w:hAnsi="Cambria"/>
          <w:lang w:val="es-419"/>
        </w:rPr>
        <w:t xml:space="preserve">tener </w:t>
      </w:r>
      <w:r w:rsidR="005B32BA" w:rsidRPr="00F2058B">
        <w:rPr>
          <w:rFonts w:ascii="Cambria" w:hAnsi="Cambria"/>
          <w:lang w:val="es-419"/>
        </w:rPr>
        <w:t xml:space="preserve">a </w:t>
      </w:r>
      <w:r w:rsidR="0012765C" w:rsidRPr="00F2058B">
        <w:rPr>
          <w:rFonts w:ascii="Cambria" w:hAnsi="Cambria"/>
          <w:lang w:val="es-419"/>
        </w:rPr>
        <w:t xml:space="preserve">uno de los jefes guerrilleros </w:t>
      </w:r>
      <w:r w:rsidR="00A85B10" w:rsidRPr="00F2058B">
        <w:rPr>
          <w:rFonts w:ascii="Cambria" w:hAnsi="Cambria"/>
          <w:lang w:val="es-419"/>
        </w:rPr>
        <w:t xml:space="preserve">más importantes </w:t>
      </w:r>
      <w:r w:rsidR="0012765C" w:rsidRPr="00F2058B">
        <w:rPr>
          <w:rFonts w:ascii="Cambria" w:hAnsi="Cambria"/>
          <w:lang w:val="es-419"/>
        </w:rPr>
        <w:t>del Magdalena Medio</w:t>
      </w:r>
      <w:r w:rsidR="00A85B10" w:rsidRPr="00F2058B">
        <w:rPr>
          <w:rFonts w:ascii="Cambria" w:hAnsi="Cambria"/>
          <w:lang w:val="es-419"/>
        </w:rPr>
        <w:t>,</w:t>
      </w:r>
      <w:r w:rsidR="0012765C" w:rsidRPr="00F2058B">
        <w:rPr>
          <w:rFonts w:ascii="Cambria" w:hAnsi="Cambria"/>
          <w:lang w:val="es-419"/>
        </w:rPr>
        <w:t xml:space="preserve"> refiriéndose a Édgar Quiroga</w:t>
      </w:r>
      <w:r w:rsidR="00A85B10" w:rsidRPr="00F2058B">
        <w:rPr>
          <w:rFonts w:ascii="Cambria" w:hAnsi="Cambria"/>
          <w:lang w:val="es-419"/>
        </w:rPr>
        <w:t>,</w:t>
      </w:r>
      <w:r w:rsidR="0012765C" w:rsidRPr="00F2058B">
        <w:rPr>
          <w:rFonts w:ascii="Cambria" w:hAnsi="Cambria"/>
          <w:lang w:val="es-419"/>
        </w:rPr>
        <w:t xml:space="preserve"> a quien </w:t>
      </w:r>
      <w:r w:rsidR="00FC5D0A" w:rsidRPr="00F2058B">
        <w:rPr>
          <w:rFonts w:ascii="Cambria" w:hAnsi="Cambria"/>
          <w:lang w:val="es-419"/>
        </w:rPr>
        <w:t xml:space="preserve">tenían </w:t>
      </w:r>
      <w:r w:rsidR="0012765C" w:rsidRPr="00F2058B">
        <w:rPr>
          <w:rFonts w:ascii="Cambria" w:hAnsi="Cambria"/>
          <w:lang w:val="es-419"/>
        </w:rPr>
        <w:t>amarra</w:t>
      </w:r>
      <w:r w:rsidR="00FC5D0A" w:rsidRPr="00F2058B">
        <w:rPr>
          <w:rFonts w:ascii="Cambria" w:hAnsi="Cambria"/>
          <w:lang w:val="es-419"/>
        </w:rPr>
        <w:t>do</w:t>
      </w:r>
      <w:r w:rsidR="002D3907" w:rsidRPr="00F2058B">
        <w:rPr>
          <w:rFonts w:ascii="Cambria" w:hAnsi="Cambria"/>
          <w:lang w:val="es-419"/>
        </w:rPr>
        <w:t xml:space="preserve"> de manos,</w:t>
      </w:r>
      <w:r w:rsidR="0012765C" w:rsidRPr="00F2058B">
        <w:rPr>
          <w:rFonts w:ascii="Cambria" w:hAnsi="Cambria"/>
          <w:lang w:val="es-419"/>
        </w:rPr>
        <w:t xml:space="preserve"> pies y </w:t>
      </w:r>
      <w:r w:rsidR="00FC5D0A" w:rsidRPr="00F2058B">
        <w:rPr>
          <w:rFonts w:ascii="Cambria" w:hAnsi="Cambria"/>
          <w:lang w:val="es-419"/>
        </w:rPr>
        <w:t xml:space="preserve">habían </w:t>
      </w:r>
      <w:r w:rsidR="0012765C" w:rsidRPr="00F2058B">
        <w:rPr>
          <w:rFonts w:ascii="Cambria" w:hAnsi="Cambria"/>
          <w:lang w:val="es-419"/>
        </w:rPr>
        <w:t>golpea</w:t>
      </w:r>
      <w:r w:rsidR="00FC5D0A" w:rsidRPr="00F2058B">
        <w:rPr>
          <w:rFonts w:ascii="Cambria" w:hAnsi="Cambria"/>
          <w:lang w:val="es-419"/>
        </w:rPr>
        <w:t>d</w:t>
      </w:r>
      <w:r w:rsidR="0012765C" w:rsidRPr="00F2058B">
        <w:rPr>
          <w:rFonts w:ascii="Cambria" w:hAnsi="Cambria"/>
          <w:lang w:val="es-419"/>
        </w:rPr>
        <w:t>o con patadas y culet</w:t>
      </w:r>
      <w:r w:rsidR="002D3907" w:rsidRPr="00F2058B">
        <w:rPr>
          <w:rFonts w:ascii="Cambria" w:hAnsi="Cambria"/>
          <w:lang w:val="es-419"/>
        </w:rPr>
        <w:t>azos de fusil</w:t>
      </w:r>
      <w:r w:rsidR="0012765C" w:rsidRPr="00F2058B">
        <w:rPr>
          <w:rFonts w:ascii="Cambria" w:hAnsi="Cambria"/>
          <w:lang w:val="es-419"/>
        </w:rPr>
        <w:t>.</w:t>
      </w:r>
      <w:r w:rsidR="00FC5D0A" w:rsidRPr="00F2058B">
        <w:rPr>
          <w:rFonts w:ascii="Cambria" w:hAnsi="Cambria"/>
          <w:lang w:val="es-419"/>
        </w:rPr>
        <w:t xml:space="preserve"> </w:t>
      </w:r>
      <w:r w:rsidR="00292DE8" w:rsidRPr="00F2058B">
        <w:rPr>
          <w:rFonts w:ascii="Cambria" w:hAnsi="Cambria"/>
          <w:lang w:val="es-419"/>
        </w:rPr>
        <w:t>La parte peticionaria a</w:t>
      </w:r>
      <w:r w:rsidR="005B32BA" w:rsidRPr="00F2058B">
        <w:rPr>
          <w:rFonts w:ascii="Cambria" w:hAnsi="Cambria"/>
          <w:lang w:val="es-419"/>
        </w:rPr>
        <w:t>grega q</w:t>
      </w:r>
      <w:r w:rsidR="00FC5D0A" w:rsidRPr="00F2058B">
        <w:rPr>
          <w:rFonts w:ascii="Cambria" w:hAnsi="Cambria"/>
          <w:lang w:val="es-419"/>
        </w:rPr>
        <w:t>ue</w:t>
      </w:r>
      <w:r w:rsidR="00E723CF" w:rsidRPr="00F2058B">
        <w:rPr>
          <w:rFonts w:ascii="Cambria" w:hAnsi="Cambria"/>
          <w:lang w:val="es-419"/>
        </w:rPr>
        <w:t xml:space="preserve"> </w:t>
      </w:r>
      <w:r w:rsidR="005B32BA" w:rsidRPr="00F2058B">
        <w:rPr>
          <w:rFonts w:ascii="Cambria" w:hAnsi="Cambria"/>
          <w:lang w:val="es-419"/>
        </w:rPr>
        <w:t>el mismo día</w:t>
      </w:r>
      <w:r w:rsidR="00E723CF" w:rsidRPr="00F2058B">
        <w:rPr>
          <w:rFonts w:ascii="Cambria" w:hAnsi="Cambria"/>
          <w:lang w:val="es-419"/>
        </w:rPr>
        <w:t xml:space="preserve">, </w:t>
      </w:r>
      <w:r w:rsidR="0012765C" w:rsidRPr="00F2058B">
        <w:rPr>
          <w:rFonts w:ascii="Cambria" w:hAnsi="Cambria"/>
          <w:lang w:val="es-419"/>
        </w:rPr>
        <w:t xml:space="preserve">un helicóptero similar al que realizó bombardeos días antes, aterrizó frente a la gasolinera del pueblo y </w:t>
      </w:r>
      <w:r w:rsidR="00E723CF" w:rsidRPr="00F2058B">
        <w:rPr>
          <w:rFonts w:ascii="Cambria" w:hAnsi="Cambria"/>
          <w:lang w:val="es-419"/>
        </w:rPr>
        <w:t xml:space="preserve">trasladó </w:t>
      </w:r>
      <w:r w:rsidR="00292DE8" w:rsidRPr="00F2058B">
        <w:rPr>
          <w:rFonts w:ascii="Cambria" w:hAnsi="Cambria"/>
          <w:lang w:val="es-419"/>
        </w:rPr>
        <w:t>a Edgar</w:t>
      </w:r>
      <w:r w:rsidR="005B32BA" w:rsidRPr="00F2058B">
        <w:rPr>
          <w:rFonts w:ascii="Cambria" w:hAnsi="Cambria"/>
          <w:lang w:val="es-419"/>
        </w:rPr>
        <w:t xml:space="preserve"> Quiroga al municipio San Blas, según lo informado por </w:t>
      </w:r>
      <w:r w:rsidR="0012765C" w:rsidRPr="00F2058B">
        <w:rPr>
          <w:rFonts w:ascii="Cambria" w:hAnsi="Cambria"/>
          <w:lang w:val="es-419"/>
        </w:rPr>
        <w:t>uno de los integrantes de</w:t>
      </w:r>
      <w:r w:rsidR="005B32BA" w:rsidRPr="00F2058B">
        <w:rPr>
          <w:rFonts w:ascii="Cambria" w:hAnsi="Cambria"/>
          <w:lang w:val="es-419"/>
        </w:rPr>
        <w:t>l</w:t>
      </w:r>
      <w:r w:rsidR="0012765C" w:rsidRPr="00F2058B">
        <w:rPr>
          <w:rFonts w:ascii="Cambria" w:hAnsi="Cambria"/>
          <w:lang w:val="es-419"/>
        </w:rPr>
        <w:t xml:space="preserve"> grupo armado</w:t>
      </w:r>
      <w:r w:rsidR="005B32BA" w:rsidRPr="00F2058B">
        <w:rPr>
          <w:rFonts w:ascii="Cambria" w:hAnsi="Cambria"/>
          <w:lang w:val="es-419"/>
        </w:rPr>
        <w:t>,</w:t>
      </w:r>
      <w:r w:rsidR="0012765C" w:rsidRPr="00F2058B">
        <w:rPr>
          <w:rFonts w:ascii="Cambria" w:hAnsi="Cambria"/>
          <w:lang w:val="es-419"/>
        </w:rPr>
        <w:t xml:space="preserve"> apodado “El Niche”. </w:t>
      </w:r>
    </w:p>
    <w:p w14:paraId="6ACA6A48" w14:textId="77777777" w:rsidR="008F0868" w:rsidRPr="00F2058B" w:rsidRDefault="008F0868" w:rsidP="008F0868">
      <w:pPr>
        <w:pStyle w:val="ListParagraph"/>
        <w:rPr>
          <w:rFonts w:ascii="Cambria" w:hAnsi="Cambria"/>
          <w:lang w:val="es-419"/>
        </w:rPr>
      </w:pPr>
    </w:p>
    <w:p w14:paraId="725C3760" w14:textId="77777777" w:rsidR="008F0868" w:rsidRPr="00F2058B" w:rsidRDefault="00AE1A8F" w:rsidP="00F06940">
      <w:pPr>
        <w:pStyle w:val="parrafos"/>
        <w:numPr>
          <w:ilvl w:val="0"/>
          <w:numId w:val="58"/>
        </w:numPr>
        <w:ind w:left="0" w:firstLine="0"/>
        <w:rPr>
          <w:lang w:val="es-419"/>
        </w:rPr>
      </w:pPr>
      <w:r w:rsidRPr="00F2058B">
        <w:rPr>
          <w:rFonts w:ascii="Cambria" w:hAnsi="Cambria"/>
          <w:lang w:val="es-419"/>
        </w:rPr>
        <w:t>I</w:t>
      </w:r>
      <w:r w:rsidR="009863FF" w:rsidRPr="00F2058B">
        <w:rPr>
          <w:rFonts w:ascii="Cambria" w:hAnsi="Cambria"/>
          <w:lang w:val="es-419"/>
        </w:rPr>
        <w:t>ndica</w:t>
      </w:r>
      <w:r w:rsidR="0046459A" w:rsidRPr="00F2058B">
        <w:rPr>
          <w:rFonts w:ascii="Cambria" w:hAnsi="Cambria"/>
          <w:lang w:val="es-419"/>
        </w:rPr>
        <w:t xml:space="preserve"> que los familiares de las víctimas empezaron a recibir llamadas </w:t>
      </w:r>
      <w:r w:rsidR="00676FEC" w:rsidRPr="00F2058B">
        <w:rPr>
          <w:rFonts w:ascii="Cambria" w:hAnsi="Cambria"/>
          <w:lang w:val="es-419"/>
        </w:rPr>
        <w:t xml:space="preserve">aproximadamente </w:t>
      </w:r>
      <w:r w:rsidR="006A1E66" w:rsidRPr="00F2058B">
        <w:rPr>
          <w:rFonts w:ascii="Cambria" w:hAnsi="Cambria"/>
          <w:lang w:val="es-419"/>
        </w:rPr>
        <w:t>a las 6:00 P.M</w:t>
      </w:r>
      <w:r w:rsidR="0046459A" w:rsidRPr="00F2058B">
        <w:rPr>
          <w:rFonts w:ascii="Cambria" w:hAnsi="Cambria"/>
          <w:lang w:val="es-419"/>
        </w:rPr>
        <w:t xml:space="preserve"> de</w:t>
      </w:r>
      <w:r w:rsidR="0085590B" w:rsidRPr="00F2058B">
        <w:rPr>
          <w:rFonts w:ascii="Cambria" w:hAnsi="Cambria"/>
          <w:lang w:val="es-419"/>
        </w:rPr>
        <w:t>l mismo día</w:t>
      </w:r>
      <w:r w:rsidR="006A1E66" w:rsidRPr="00F2058B">
        <w:rPr>
          <w:rFonts w:ascii="Cambria" w:hAnsi="Cambria"/>
          <w:lang w:val="es-419"/>
        </w:rPr>
        <w:t>,</w:t>
      </w:r>
      <w:r w:rsidR="0046459A" w:rsidRPr="00F2058B">
        <w:rPr>
          <w:rFonts w:ascii="Cambria" w:hAnsi="Cambria"/>
          <w:lang w:val="es-419"/>
        </w:rPr>
        <w:t xml:space="preserve"> en las cuales </w:t>
      </w:r>
      <w:r w:rsidR="00DB639D" w:rsidRPr="00F2058B">
        <w:rPr>
          <w:rFonts w:ascii="Cambria" w:hAnsi="Cambria"/>
          <w:lang w:val="es-419"/>
        </w:rPr>
        <w:t>les infor</w:t>
      </w:r>
      <w:r w:rsidR="00B40BEE" w:rsidRPr="00F2058B">
        <w:rPr>
          <w:rFonts w:ascii="Cambria" w:hAnsi="Cambria"/>
          <w:lang w:val="es-419"/>
        </w:rPr>
        <w:t>m</w:t>
      </w:r>
      <w:r w:rsidR="006A1E66" w:rsidRPr="00F2058B">
        <w:rPr>
          <w:rFonts w:ascii="Cambria" w:hAnsi="Cambria"/>
          <w:lang w:val="es-419"/>
        </w:rPr>
        <w:t>aron</w:t>
      </w:r>
      <w:r w:rsidR="00DB639D" w:rsidRPr="00F2058B">
        <w:rPr>
          <w:rFonts w:ascii="Cambria" w:hAnsi="Cambria"/>
          <w:lang w:val="es-419"/>
        </w:rPr>
        <w:t xml:space="preserve"> </w:t>
      </w:r>
      <w:r w:rsidR="00EE7779" w:rsidRPr="00F2058B">
        <w:rPr>
          <w:rFonts w:ascii="Cambria" w:hAnsi="Cambria"/>
          <w:lang w:val="es-419"/>
        </w:rPr>
        <w:t>que</w:t>
      </w:r>
      <w:r w:rsidR="00D41DB9" w:rsidRPr="00F2058B">
        <w:rPr>
          <w:rFonts w:ascii="Cambria" w:hAnsi="Cambria"/>
          <w:lang w:val="es-419"/>
        </w:rPr>
        <w:t xml:space="preserve"> </w:t>
      </w:r>
      <w:r w:rsidR="00EE7779" w:rsidRPr="00F2058B">
        <w:rPr>
          <w:rFonts w:ascii="Cambria" w:hAnsi="Cambria"/>
          <w:lang w:val="es-419"/>
        </w:rPr>
        <w:t xml:space="preserve">dicha </w:t>
      </w:r>
      <w:r w:rsidR="00D41DB9" w:rsidRPr="00F2058B">
        <w:rPr>
          <w:rFonts w:ascii="Cambria" w:hAnsi="Cambria"/>
          <w:lang w:val="es-419"/>
        </w:rPr>
        <w:t>detención</w:t>
      </w:r>
      <w:r w:rsidR="00D5621C" w:rsidRPr="00F2058B">
        <w:rPr>
          <w:rFonts w:ascii="Cambria" w:hAnsi="Cambria"/>
          <w:lang w:val="es-419"/>
        </w:rPr>
        <w:t xml:space="preserve"> </w:t>
      </w:r>
      <w:r w:rsidR="00FD397E" w:rsidRPr="00F2058B">
        <w:rPr>
          <w:rFonts w:ascii="Cambria" w:hAnsi="Cambria"/>
          <w:lang w:val="es-419"/>
        </w:rPr>
        <w:t>fue realizada por</w:t>
      </w:r>
      <w:r w:rsidR="005F3C76" w:rsidRPr="00F2058B">
        <w:rPr>
          <w:rFonts w:ascii="Cambria" w:hAnsi="Cambria"/>
          <w:lang w:val="es-419"/>
        </w:rPr>
        <w:t xml:space="preserve"> h</w:t>
      </w:r>
      <w:r w:rsidR="00EE7779" w:rsidRPr="00F2058B">
        <w:rPr>
          <w:rFonts w:ascii="Cambria" w:hAnsi="Cambria"/>
          <w:lang w:val="es-419"/>
        </w:rPr>
        <w:t>ombres armados y uniformados</w:t>
      </w:r>
      <w:r w:rsidR="005F3C76" w:rsidRPr="00F2058B">
        <w:rPr>
          <w:rFonts w:ascii="Cambria" w:hAnsi="Cambria"/>
          <w:lang w:val="es-419"/>
        </w:rPr>
        <w:t xml:space="preserve"> pertenec</w:t>
      </w:r>
      <w:r w:rsidR="00EE7779" w:rsidRPr="00F2058B">
        <w:rPr>
          <w:rFonts w:ascii="Cambria" w:hAnsi="Cambria"/>
          <w:lang w:val="es-419"/>
        </w:rPr>
        <w:t xml:space="preserve">ientes </w:t>
      </w:r>
      <w:r w:rsidR="005F3C76" w:rsidRPr="00F2058B">
        <w:rPr>
          <w:rFonts w:ascii="Cambria" w:hAnsi="Cambria"/>
          <w:lang w:val="es-419"/>
        </w:rPr>
        <w:t>a la tropa de</w:t>
      </w:r>
      <w:r w:rsidR="00D2010D" w:rsidRPr="00F2058B">
        <w:rPr>
          <w:rFonts w:ascii="Cambria" w:hAnsi="Cambria"/>
          <w:lang w:val="es-419"/>
        </w:rPr>
        <w:t>l Batallón No. 45</w:t>
      </w:r>
      <w:r w:rsidR="005F3C76" w:rsidRPr="00F2058B">
        <w:rPr>
          <w:rFonts w:ascii="Cambria" w:hAnsi="Cambria"/>
          <w:lang w:val="es-419"/>
        </w:rPr>
        <w:t xml:space="preserve"> Héroes de Majagual.</w:t>
      </w:r>
      <w:r w:rsidR="00460AD4" w:rsidRPr="00F2058B">
        <w:rPr>
          <w:rFonts w:ascii="Cambria" w:hAnsi="Cambria"/>
          <w:lang w:val="es-419"/>
        </w:rPr>
        <w:t xml:space="preserve">   </w:t>
      </w:r>
    </w:p>
    <w:p w14:paraId="56C55B61" w14:textId="77777777" w:rsidR="008F0868" w:rsidRPr="00F2058B" w:rsidRDefault="008F0868" w:rsidP="001C4F0E">
      <w:pPr>
        <w:pStyle w:val="ListParagraph"/>
        <w:rPr>
          <w:lang w:val="es-419"/>
        </w:rPr>
      </w:pPr>
    </w:p>
    <w:p w14:paraId="40482A62" w14:textId="1934EB50" w:rsidR="008F0868" w:rsidRPr="00F2058B" w:rsidRDefault="009863FF" w:rsidP="00F06940">
      <w:pPr>
        <w:pStyle w:val="parrafos"/>
        <w:numPr>
          <w:ilvl w:val="0"/>
          <w:numId w:val="58"/>
        </w:numPr>
        <w:ind w:left="0" w:firstLine="0"/>
        <w:rPr>
          <w:lang w:val="es-419"/>
        </w:rPr>
      </w:pPr>
      <w:r w:rsidRPr="00F2058B">
        <w:rPr>
          <w:lang w:val="es-419"/>
        </w:rPr>
        <w:t>Sobre el c</w:t>
      </w:r>
      <w:r w:rsidR="00AE1A8F" w:rsidRPr="00F2058B">
        <w:rPr>
          <w:lang w:val="es-419"/>
        </w:rPr>
        <w:t xml:space="preserve">aso de Victoria Delgado Anaya, </w:t>
      </w:r>
      <w:r w:rsidRPr="00F2058B">
        <w:rPr>
          <w:lang w:val="es-419"/>
        </w:rPr>
        <w:t xml:space="preserve">indica la parte peticionaria que </w:t>
      </w:r>
      <w:r w:rsidR="00912B18" w:rsidRPr="00F2058B">
        <w:rPr>
          <w:lang w:val="es-419"/>
        </w:rPr>
        <w:t xml:space="preserve">su primer </w:t>
      </w:r>
      <w:r w:rsidR="008B3AD8" w:rsidRPr="00F2058B">
        <w:rPr>
          <w:lang w:val="es-419"/>
        </w:rPr>
        <w:t xml:space="preserve">secuestro </w:t>
      </w:r>
      <w:r w:rsidRPr="00F2058B">
        <w:rPr>
          <w:lang w:val="es-419"/>
        </w:rPr>
        <w:t>fue</w:t>
      </w:r>
      <w:r w:rsidR="00095897" w:rsidRPr="00F2058B">
        <w:rPr>
          <w:lang w:val="es-419"/>
        </w:rPr>
        <w:t xml:space="preserve"> producto de la incursión paramilitar del 16 de mayo de 2001 en el que miembros de las AUC quemaron aproximadamente 20 viviendas de</w:t>
      </w:r>
      <w:r w:rsidR="003161E1" w:rsidRPr="00F2058B">
        <w:rPr>
          <w:lang w:val="es-419"/>
        </w:rPr>
        <w:t>l</w:t>
      </w:r>
      <w:r w:rsidR="00912B18" w:rsidRPr="00F2058B">
        <w:rPr>
          <w:lang w:val="es-419"/>
        </w:rPr>
        <w:t xml:space="preserve"> área. Indica</w:t>
      </w:r>
      <w:r w:rsidR="00AE1A8F" w:rsidRPr="00F2058B">
        <w:rPr>
          <w:lang w:val="es-419"/>
        </w:rPr>
        <w:t xml:space="preserve"> que é</w:t>
      </w:r>
      <w:r w:rsidR="00912B18" w:rsidRPr="00F2058B">
        <w:rPr>
          <w:lang w:val="es-419"/>
        </w:rPr>
        <w:t xml:space="preserve">sta </w:t>
      </w:r>
      <w:r w:rsidR="00095897" w:rsidRPr="00F2058B">
        <w:rPr>
          <w:lang w:val="es-419"/>
        </w:rPr>
        <w:t xml:space="preserve">fue puesta en libertad </w:t>
      </w:r>
      <w:r w:rsidR="00912B18" w:rsidRPr="00F2058B">
        <w:rPr>
          <w:lang w:val="es-419"/>
        </w:rPr>
        <w:t>en esa oportunidad,</w:t>
      </w:r>
      <w:r w:rsidR="00095897" w:rsidRPr="00F2058B">
        <w:rPr>
          <w:lang w:val="es-419"/>
        </w:rPr>
        <w:t xml:space="preserve"> gracias a la intervención de la población que exigió su liberación</w:t>
      </w:r>
      <w:r w:rsidR="00AE1A8F" w:rsidRPr="00F2058B">
        <w:rPr>
          <w:lang w:val="es-419"/>
        </w:rPr>
        <w:t xml:space="preserve">. Agrega que </w:t>
      </w:r>
      <w:r w:rsidR="00095897" w:rsidRPr="00F2058B">
        <w:rPr>
          <w:lang w:val="es-419"/>
        </w:rPr>
        <w:t>el Estado adelantó un plan preventivo</w:t>
      </w:r>
      <w:r w:rsidR="00912B18" w:rsidRPr="00F2058B">
        <w:rPr>
          <w:lang w:val="es-419"/>
        </w:rPr>
        <w:t>,</w:t>
      </w:r>
      <w:r w:rsidR="00095897" w:rsidRPr="00F2058B">
        <w:rPr>
          <w:lang w:val="es-419"/>
        </w:rPr>
        <w:t xml:space="preserve"> </w:t>
      </w:r>
      <w:r w:rsidR="00AE1A8F" w:rsidRPr="00F2058B">
        <w:rPr>
          <w:lang w:val="es-419"/>
        </w:rPr>
        <w:t>pero en una comunidad equivocada, lo cual hizo</w:t>
      </w:r>
      <w:r w:rsidR="003161E1" w:rsidRPr="00F2058B">
        <w:rPr>
          <w:lang w:val="es-419"/>
        </w:rPr>
        <w:t xml:space="preserve"> posible el segundo secuestro</w:t>
      </w:r>
      <w:r w:rsidR="00912B18" w:rsidRPr="00F2058B">
        <w:rPr>
          <w:lang w:val="es-419"/>
        </w:rPr>
        <w:t xml:space="preserve"> </w:t>
      </w:r>
      <w:r w:rsidR="003161E1" w:rsidRPr="00F2058B">
        <w:rPr>
          <w:lang w:val="es-419"/>
        </w:rPr>
        <w:t>y</w:t>
      </w:r>
      <w:r w:rsidR="00AE1A8F" w:rsidRPr="00F2058B">
        <w:rPr>
          <w:lang w:val="es-419"/>
        </w:rPr>
        <w:t xml:space="preserve"> la</w:t>
      </w:r>
      <w:r w:rsidR="003161E1" w:rsidRPr="00F2058B">
        <w:rPr>
          <w:lang w:val="es-419"/>
        </w:rPr>
        <w:t xml:space="preserve"> muerte de la señora </w:t>
      </w:r>
      <w:r w:rsidR="00A96035" w:rsidRPr="00F2058B">
        <w:rPr>
          <w:lang w:val="es-419"/>
        </w:rPr>
        <w:t>Delgado</w:t>
      </w:r>
      <w:r w:rsidR="005B065F" w:rsidRPr="00F2058B">
        <w:rPr>
          <w:lang w:val="es-419"/>
        </w:rPr>
        <w:t>,</w:t>
      </w:r>
      <w:r w:rsidR="003161E1" w:rsidRPr="00F2058B">
        <w:rPr>
          <w:lang w:val="es-419"/>
        </w:rPr>
        <w:t xml:space="preserve"> ocurridos el 23 y 24 de diciembre de</w:t>
      </w:r>
      <w:r w:rsidR="002F7E50" w:rsidRPr="00F2058B">
        <w:rPr>
          <w:lang w:val="es-419"/>
        </w:rPr>
        <w:t xml:space="preserve"> 2001, respectivamente, </w:t>
      </w:r>
      <w:r w:rsidR="00AE1A8F" w:rsidRPr="00F2058B">
        <w:rPr>
          <w:lang w:val="es-419"/>
        </w:rPr>
        <w:t>a</w:t>
      </w:r>
      <w:r w:rsidR="00912B18" w:rsidRPr="00F2058B">
        <w:rPr>
          <w:lang w:val="es-419"/>
        </w:rPr>
        <w:t xml:space="preserve"> manos de las AUC tras </w:t>
      </w:r>
      <w:r w:rsidR="002F7E50" w:rsidRPr="00F2058B">
        <w:rPr>
          <w:lang w:val="es-419"/>
        </w:rPr>
        <w:t>señala</w:t>
      </w:r>
      <w:r w:rsidR="00912B18" w:rsidRPr="00F2058B">
        <w:rPr>
          <w:lang w:val="es-419"/>
        </w:rPr>
        <w:t xml:space="preserve">rla </w:t>
      </w:r>
      <w:r w:rsidR="002F7E50" w:rsidRPr="00F2058B">
        <w:rPr>
          <w:lang w:val="es-419"/>
        </w:rPr>
        <w:t>de colaboradora de la guerrilla.</w:t>
      </w:r>
    </w:p>
    <w:p w14:paraId="1E34153C" w14:textId="59CCE494" w:rsidR="00C4535A" w:rsidRPr="00F2058B" w:rsidRDefault="00C4535A" w:rsidP="00C4535A">
      <w:pPr>
        <w:pStyle w:val="parrafos"/>
        <w:rPr>
          <w:lang w:val="es-419"/>
        </w:rPr>
      </w:pPr>
    </w:p>
    <w:p w14:paraId="2B8ED4BC" w14:textId="0EEB1696" w:rsidR="008F0868" w:rsidRPr="00F2058B" w:rsidRDefault="002647AB" w:rsidP="00F06940">
      <w:pPr>
        <w:pStyle w:val="parrafos"/>
        <w:numPr>
          <w:ilvl w:val="0"/>
          <w:numId w:val="58"/>
        </w:numPr>
        <w:ind w:left="0" w:firstLine="0"/>
        <w:rPr>
          <w:lang w:val="es-419"/>
        </w:rPr>
      </w:pPr>
      <w:r w:rsidRPr="00F2058B">
        <w:rPr>
          <w:rFonts w:ascii="Cambria" w:hAnsi="Cambria"/>
          <w:lang w:val="es-419"/>
        </w:rPr>
        <w:lastRenderedPageBreak/>
        <w:t>Señala que</w:t>
      </w:r>
      <w:r w:rsidR="00AE1A8F" w:rsidRPr="00F2058B">
        <w:rPr>
          <w:rFonts w:ascii="Cambria" w:hAnsi="Cambria"/>
          <w:lang w:val="es-419"/>
        </w:rPr>
        <w:t xml:space="preserve"> </w:t>
      </w:r>
      <w:r w:rsidRPr="00F2058B">
        <w:rPr>
          <w:rFonts w:ascii="Cambria" w:hAnsi="Cambria"/>
          <w:lang w:val="es-419"/>
        </w:rPr>
        <w:t>persiste la situación de impunidad dada la falta de diligencia en las investigaciones</w:t>
      </w:r>
      <w:r w:rsidR="00AE1A8F" w:rsidRPr="00F2058B">
        <w:rPr>
          <w:rFonts w:ascii="Cambria" w:hAnsi="Cambria"/>
          <w:lang w:val="es-419"/>
        </w:rPr>
        <w:t xml:space="preserve">. Al respecto refiere que </w:t>
      </w:r>
      <w:r w:rsidRPr="00F2058B">
        <w:rPr>
          <w:rFonts w:ascii="Cambria" w:hAnsi="Cambria"/>
          <w:lang w:val="es-419"/>
        </w:rPr>
        <w:t xml:space="preserve">no se individualizaron los partícipes que perpetraron la </w:t>
      </w:r>
      <w:r w:rsidR="00A96035" w:rsidRPr="00F2058B">
        <w:rPr>
          <w:rFonts w:ascii="Cambria" w:hAnsi="Cambria"/>
          <w:lang w:val="es-419"/>
        </w:rPr>
        <w:t xml:space="preserve">alegada </w:t>
      </w:r>
      <w:r w:rsidRPr="00F2058B">
        <w:rPr>
          <w:rFonts w:ascii="Cambria" w:hAnsi="Cambria"/>
          <w:lang w:val="es-419"/>
        </w:rPr>
        <w:t>desaparición forzada</w:t>
      </w:r>
      <w:r w:rsidR="00B53CC4" w:rsidRPr="00F2058B">
        <w:rPr>
          <w:rFonts w:ascii="Cambria" w:hAnsi="Cambria"/>
          <w:lang w:val="es-419"/>
        </w:rPr>
        <w:t xml:space="preserve"> de É</w:t>
      </w:r>
      <w:r w:rsidR="00AE1A8F" w:rsidRPr="00F2058B">
        <w:rPr>
          <w:rFonts w:ascii="Cambria" w:hAnsi="Cambria"/>
          <w:lang w:val="es-419"/>
        </w:rPr>
        <w:t xml:space="preserve">dgar Quiroga y Gildardo Fuentes y </w:t>
      </w:r>
      <w:r w:rsidR="00A932FA" w:rsidRPr="00F2058B">
        <w:rPr>
          <w:rFonts w:ascii="Cambria" w:hAnsi="Cambria"/>
          <w:lang w:val="es-419"/>
        </w:rPr>
        <w:t xml:space="preserve">que, </w:t>
      </w:r>
      <w:r w:rsidR="009A7B76" w:rsidRPr="00F2058B">
        <w:rPr>
          <w:rFonts w:ascii="Cambria" w:hAnsi="Cambria"/>
          <w:lang w:val="es-419"/>
        </w:rPr>
        <w:t xml:space="preserve">al condenado Rodrigo Pérez Alzate alias “Julián Bolívar”, se le </w:t>
      </w:r>
      <w:r w:rsidR="00AE1A8F" w:rsidRPr="00F2058B">
        <w:rPr>
          <w:rFonts w:ascii="Cambria" w:hAnsi="Cambria"/>
          <w:lang w:val="es-419"/>
        </w:rPr>
        <w:t xml:space="preserve">concedieron beneficios sin que </w:t>
      </w:r>
      <w:r w:rsidR="009A7B76" w:rsidRPr="00F2058B">
        <w:rPr>
          <w:rFonts w:ascii="Cambria" w:hAnsi="Cambria"/>
          <w:lang w:val="es-419"/>
        </w:rPr>
        <w:t>contribuyera a efectos de hallar</w:t>
      </w:r>
      <w:r w:rsidR="00A932FA" w:rsidRPr="00F2058B">
        <w:rPr>
          <w:rFonts w:ascii="Cambria" w:hAnsi="Cambria"/>
          <w:lang w:val="es-419"/>
        </w:rPr>
        <w:t>los</w:t>
      </w:r>
      <w:r w:rsidR="009A7B76" w:rsidRPr="00F2058B">
        <w:rPr>
          <w:rFonts w:ascii="Cambria" w:hAnsi="Cambria"/>
          <w:lang w:val="es-419"/>
        </w:rPr>
        <w:t xml:space="preserve"> con vida</w:t>
      </w:r>
      <w:r w:rsidR="00E535AF" w:rsidRPr="00F2058B">
        <w:rPr>
          <w:rFonts w:ascii="Cambria" w:hAnsi="Cambria"/>
          <w:lang w:val="es-419"/>
        </w:rPr>
        <w:t>.</w:t>
      </w:r>
      <w:r w:rsidR="00A932FA" w:rsidRPr="00F2058B">
        <w:rPr>
          <w:rFonts w:ascii="Cambria" w:hAnsi="Cambria"/>
          <w:lang w:val="es-419"/>
        </w:rPr>
        <w:t xml:space="preserve"> </w:t>
      </w:r>
      <w:r w:rsidR="00383999" w:rsidRPr="00F2058B">
        <w:rPr>
          <w:rFonts w:ascii="Cambria" w:hAnsi="Cambria"/>
          <w:lang w:val="es-419"/>
        </w:rPr>
        <w:t>En</w:t>
      </w:r>
      <w:r w:rsidR="00DC54F5" w:rsidRPr="00F2058B">
        <w:rPr>
          <w:rFonts w:ascii="Cambria" w:hAnsi="Cambria"/>
          <w:lang w:val="es-419"/>
        </w:rPr>
        <w:t xml:space="preserve"> el caso de Victoria Delgado Anaya</w:t>
      </w:r>
      <w:r w:rsidR="00383999" w:rsidRPr="00F2058B">
        <w:rPr>
          <w:rFonts w:ascii="Cambria" w:hAnsi="Cambria"/>
          <w:lang w:val="es-419"/>
        </w:rPr>
        <w:t xml:space="preserve">, </w:t>
      </w:r>
      <w:r w:rsidR="00A932FA" w:rsidRPr="00F2058B">
        <w:rPr>
          <w:rFonts w:ascii="Cambria" w:hAnsi="Cambria"/>
          <w:lang w:val="es-419"/>
        </w:rPr>
        <w:t xml:space="preserve">indica </w:t>
      </w:r>
      <w:r w:rsidR="00383999" w:rsidRPr="00F2058B">
        <w:rPr>
          <w:rFonts w:ascii="Cambria" w:hAnsi="Cambria"/>
          <w:lang w:val="es-419"/>
        </w:rPr>
        <w:t>que</w:t>
      </w:r>
      <w:r w:rsidR="00DC54F5" w:rsidRPr="00F2058B">
        <w:rPr>
          <w:rFonts w:ascii="Cambria" w:hAnsi="Cambria"/>
          <w:lang w:val="es-419"/>
        </w:rPr>
        <w:t xml:space="preserve"> </w:t>
      </w:r>
      <w:r w:rsidR="007E1BC2" w:rsidRPr="00F2058B">
        <w:rPr>
          <w:rFonts w:ascii="Cambria" w:hAnsi="Cambria"/>
          <w:lang w:val="es-419"/>
        </w:rPr>
        <w:t>no se</w:t>
      </w:r>
      <w:r w:rsidR="00383999" w:rsidRPr="00F2058B">
        <w:rPr>
          <w:rFonts w:ascii="Cambria" w:hAnsi="Cambria"/>
          <w:lang w:val="es-419"/>
        </w:rPr>
        <w:t xml:space="preserve"> individualizaron y sancionaron la totalidad de intervinientes en los secuestros y su muerte, como tampoco</w:t>
      </w:r>
      <w:r w:rsidR="00A932FA" w:rsidRPr="00F2058B">
        <w:rPr>
          <w:rFonts w:ascii="Cambria" w:hAnsi="Cambria"/>
          <w:lang w:val="es-419"/>
        </w:rPr>
        <w:t xml:space="preserve"> </w:t>
      </w:r>
      <w:r w:rsidR="00383999" w:rsidRPr="00F2058B">
        <w:rPr>
          <w:rFonts w:ascii="Cambria" w:hAnsi="Cambria"/>
          <w:lang w:val="es-419"/>
        </w:rPr>
        <w:t>se esclareció el contexto de coo</w:t>
      </w:r>
      <w:r w:rsidR="00A932FA" w:rsidRPr="00F2058B">
        <w:rPr>
          <w:rFonts w:ascii="Cambria" w:hAnsi="Cambria"/>
          <w:lang w:val="es-419"/>
        </w:rPr>
        <w:t>peración entre estas</w:t>
      </w:r>
      <w:r w:rsidR="00F765B4" w:rsidRPr="00F2058B">
        <w:rPr>
          <w:rFonts w:ascii="Cambria" w:hAnsi="Cambria"/>
          <w:lang w:val="es-419"/>
        </w:rPr>
        <w:t>,</w:t>
      </w:r>
      <w:r w:rsidR="00A932FA" w:rsidRPr="00F2058B">
        <w:rPr>
          <w:rFonts w:ascii="Cambria" w:hAnsi="Cambria"/>
          <w:lang w:val="es-419"/>
        </w:rPr>
        <w:t xml:space="preserve"> la Fuerza Pública</w:t>
      </w:r>
      <w:r w:rsidR="00383999" w:rsidRPr="00F2058B">
        <w:rPr>
          <w:rFonts w:ascii="Cambria" w:hAnsi="Cambria"/>
          <w:lang w:val="es-419"/>
        </w:rPr>
        <w:t xml:space="preserve"> y las AUC.</w:t>
      </w:r>
    </w:p>
    <w:p w14:paraId="32CB5DAB" w14:textId="1CA01EF3" w:rsidR="007B2050" w:rsidRPr="00F2058B" w:rsidRDefault="007B2050" w:rsidP="00BB79F8">
      <w:pPr>
        <w:rPr>
          <w:rFonts w:ascii="Cambria" w:hAnsi="Cambria"/>
          <w:sz w:val="20"/>
          <w:szCs w:val="20"/>
          <w:highlight w:val="lightGray"/>
          <w:lang w:val="es-419"/>
        </w:rPr>
      </w:pPr>
    </w:p>
    <w:bookmarkStart w:id="8" w:name="_Toc26366346"/>
    <w:bookmarkStart w:id="9" w:name="_Toc216359309"/>
    <w:p w14:paraId="184B2EB6" w14:textId="77777777" w:rsidR="003261AB" w:rsidRPr="00F2058B" w:rsidRDefault="003261AB" w:rsidP="00F06940">
      <w:pPr>
        <w:pStyle w:val="Heading2"/>
        <w:keepNext/>
        <w:numPr>
          <w:ilvl w:val="2"/>
          <w:numId w:val="56"/>
        </w:numPr>
        <w:tabs>
          <w:tab w:val="left" w:pos="360"/>
        </w:tabs>
        <w:jc w:val="left"/>
        <w:rPr>
          <w:lang w:val="es-419"/>
        </w:rPr>
      </w:pPr>
      <w:r w:rsidRPr="00F2058B">
        <w:rPr>
          <w:noProof/>
          <w:lang w:val="es-419"/>
        </w:rPr>
        <mc:AlternateContent>
          <mc:Choice Requires="wps">
            <w:drawing>
              <wp:anchor distT="4294967295" distB="4294967295" distL="114300" distR="114300" simplePos="0" relativeHeight="251660288" behindDoc="0" locked="0" layoutInCell="1" allowOverlap="1" wp14:anchorId="7FA8C9DF" wp14:editId="09557F5B">
                <wp:simplePos x="0" y="0"/>
                <wp:positionH relativeFrom="column">
                  <wp:posOffset>3657600</wp:posOffset>
                </wp:positionH>
                <wp:positionV relativeFrom="paragraph">
                  <wp:posOffset>41274</wp:posOffset>
                </wp:positionV>
                <wp:extent cx="63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BB528"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in,3.25pt" to="288.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" strokeweight=".7pt"/>
            </w:pict>
          </mc:Fallback>
        </mc:AlternateContent>
      </w:r>
      <w:r w:rsidRPr="00F2058B">
        <w:rPr>
          <w:noProof/>
          <w:lang w:val="es-419"/>
        </w:rPr>
        <mc:AlternateContent>
          <mc:Choice Requires="wps">
            <w:drawing>
              <wp:anchor distT="4294967295" distB="4294967295" distL="114300" distR="114300" simplePos="0" relativeHeight="251658240" behindDoc="0" locked="0" layoutInCell="1" allowOverlap="1" wp14:anchorId="30037C88" wp14:editId="10CD4946">
                <wp:simplePos x="0" y="0"/>
                <wp:positionH relativeFrom="column">
                  <wp:posOffset>1943100</wp:posOffset>
                </wp:positionH>
                <wp:positionV relativeFrom="paragraph">
                  <wp:posOffset>345439</wp:posOffset>
                </wp:positionV>
                <wp:extent cx="63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F8081"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27.2pt" to="153.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" strokeweight=".7pt"/>
            </w:pict>
          </mc:Fallback>
        </mc:AlternateContent>
      </w:r>
      <w:r w:rsidR="008E777D" w:rsidRPr="00F2058B">
        <w:rPr>
          <w:lang w:val="es-419"/>
        </w:rPr>
        <w:t>B.</w:t>
      </w:r>
      <w:r w:rsidR="008E777D" w:rsidRPr="00F2058B">
        <w:rPr>
          <w:lang w:val="es-419"/>
        </w:rPr>
        <w:tab/>
      </w:r>
      <w:bookmarkEnd w:id="8"/>
      <w:r w:rsidR="008F0868" w:rsidRPr="00F2058B">
        <w:rPr>
          <w:lang w:val="es-419"/>
        </w:rPr>
        <w:t>Estado</w:t>
      </w:r>
      <w:bookmarkEnd w:id="9"/>
    </w:p>
    <w:p w14:paraId="174BB105" w14:textId="77777777" w:rsidR="003261AB" w:rsidRPr="00F2058B" w:rsidRDefault="003261AB" w:rsidP="003261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highlight w:val="lightGray"/>
          <w:lang w:val="es-419"/>
        </w:rPr>
      </w:pPr>
    </w:p>
    <w:p w14:paraId="6FCA491A" w14:textId="5180E8AC" w:rsidR="00187719" w:rsidRPr="00F2058B" w:rsidRDefault="00187719" w:rsidP="00F06940">
      <w:pPr>
        <w:pStyle w:val="parrafos"/>
        <w:numPr>
          <w:ilvl w:val="0"/>
          <w:numId w:val="58"/>
        </w:numPr>
        <w:ind w:left="0" w:firstLine="0"/>
        <w:rPr>
          <w:rFonts w:ascii="Cambria" w:hAnsi="Cambria"/>
          <w:lang w:val="es-419"/>
        </w:rPr>
      </w:pPr>
      <w:r w:rsidRPr="00F2058B">
        <w:rPr>
          <w:rFonts w:ascii="Cambria" w:hAnsi="Cambria"/>
          <w:lang w:val="es-419"/>
        </w:rPr>
        <w:t xml:space="preserve">El Estado argumenta que tomó una serie de medidas para combatir la violencia que existía en la zona en que ocurrieron los hechos del presente caso. En particular expresa que se crearon dos estrategias paralelas y permanentes: la primera </w:t>
      </w:r>
      <w:r w:rsidR="00654471" w:rsidRPr="00F2058B">
        <w:rPr>
          <w:rFonts w:ascii="Cambria" w:hAnsi="Cambria"/>
          <w:lang w:val="es-419"/>
        </w:rPr>
        <w:t>tenía</w:t>
      </w:r>
      <w:r w:rsidRPr="00F2058B">
        <w:rPr>
          <w:rFonts w:ascii="Cambria" w:hAnsi="Cambria"/>
          <w:lang w:val="es-419"/>
        </w:rPr>
        <w:t xml:space="preserve"> que ver con combatir a los grupos de autodefensa ileg</w:t>
      </w:r>
      <w:r w:rsidR="002C2D3A" w:rsidRPr="00F2058B">
        <w:rPr>
          <w:rFonts w:ascii="Cambria" w:hAnsi="Cambria"/>
          <w:lang w:val="es-419"/>
        </w:rPr>
        <w:t xml:space="preserve">ales que operaban en la zona, decomisar sus armas, apartarlos de la población civil y ponerlos a disposición de las autoridades competentes, y la segunda se relacionaba con labores de vigilancia interna a fin de identificar militares que pudieran estar apoyando las actividades de dichos grupos, contando para ello con la cooperación de las autoridades disciplinarias y penales. </w:t>
      </w:r>
    </w:p>
    <w:p w14:paraId="6B2A3290" w14:textId="5FF2D092" w:rsidR="00187719" w:rsidRPr="00F2058B" w:rsidRDefault="00187719" w:rsidP="00187719">
      <w:pPr>
        <w:pStyle w:val="parrafos"/>
        <w:rPr>
          <w:rFonts w:ascii="Cambria" w:hAnsi="Cambria"/>
          <w:lang w:val="es-419"/>
        </w:rPr>
      </w:pPr>
    </w:p>
    <w:p w14:paraId="51C77272" w14:textId="77777777" w:rsidR="00187719" w:rsidRPr="00F2058B" w:rsidRDefault="00FF04F9" w:rsidP="00F06940">
      <w:pPr>
        <w:pStyle w:val="parrafos"/>
        <w:numPr>
          <w:ilvl w:val="0"/>
          <w:numId w:val="58"/>
        </w:numPr>
        <w:ind w:left="0" w:firstLine="0"/>
        <w:rPr>
          <w:rFonts w:ascii="Cambria" w:hAnsi="Cambria"/>
          <w:lang w:val="es-419"/>
        </w:rPr>
      </w:pPr>
      <w:r w:rsidRPr="00F2058B">
        <w:rPr>
          <w:rFonts w:ascii="Cambria" w:hAnsi="Cambria"/>
          <w:lang w:val="es-419"/>
        </w:rPr>
        <w:t>Afirma</w:t>
      </w:r>
      <w:r w:rsidR="008710AF" w:rsidRPr="00F2058B">
        <w:rPr>
          <w:rFonts w:ascii="Cambria" w:hAnsi="Cambria"/>
          <w:lang w:val="es-419"/>
        </w:rPr>
        <w:t xml:space="preserve"> el Estado </w:t>
      </w:r>
      <w:r w:rsidR="00292DE8" w:rsidRPr="00F2058B">
        <w:rPr>
          <w:rFonts w:ascii="Cambria" w:hAnsi="Cambria"/>
          <w:lang w:val="es-419"/>
        </w:rPr>
        <w:t>que,</w:t>
      </w:r>
      <w:r w:rsidR="008710AF" w:rsidRPr="00F2058B">
        <w:rPr>
          <w:rFonts w:ascii="Cambria" w:hAnsi="Cambria"/>
          <w:lang w:val="es-419"/>
        </w:rPr>
        <w:t xml:space="preserve"> en estricto acatamiento de l</w:t>
      </w:r>
      <w:r w:rsidR="00292DE8" w:rsidRPr="00F2058B">
        <w:rPr>
          <w:rFonts w:ascii="Cambria" w:hAnsi="Cambria"/>
          <w:lang w:val="es-419"/>
        </w:rPr>
        <w:t>os preceptos constitucionales, l</w:t>
      </w:r>
      <w:r w:rsidR="008710AF" w:rsidRPr="00F2058B">
        <w:rPr>
          <w:rFonts w:ascii="Cambria" w:hAnsi="Cambria"/>
          <w:lang w:val="es-419"/>
        </w:rPr>
        <w:t>as Fuerzas Militares aunaron esfuerzos con la Policía Nacional, Departamento Administrativo de Seguridad y la Fiscalía General de la Nación y crearon una serie de estrategias encaminadas a capturarlos, prevenir sus ataques terroristas, desarticular sus células, luchar contra el narcotráfico y la extorsión</w:t>
      </w:r>
      <w:r w:rsidR="0021149D" w:rsidRPr="00F2058B">
        <w:rPr>
          <w:rFonts w:ascii="Cambria" w:hAnsi="Cambria"/>
          <w:lang w:val="es-419"/>
        </w:rPr>
        <w:t xml:space="preserve">. </w:t>
      </w:r>
      <w:r w:rsidR="0045711F" w:rsidRPr="00F2058B">
        <w:rPr>
          <w:rFonts w:ascii="Cambria" w:hAnsi="Cambria"/>
          <w:lang w:val="es-419"/>
        </w:rPr>
        <w:t xml:space="preserve">En el caso particular, </w:t>
      </w:r>
      <w:r w:rsidRPr="00F2058B">
        <w:rPr>
          <w:rFonts w:ascii="Cambria" w:hAnsi="Cambria"/>
          <w:lang w:val="es-419"/>
        </w:rPr>
        <w:t>manifiesta</w:t>
      </w:r>
      <w:r w:rsidR="00AB41A9" w:rsidRPr="00F2058B">
        <w:rPr>
          <w:rFonts w:ascii="Cambria" w:hAnsi="Cambria"/>
          <w:lang w:val="es-419"/>
        </w:rPr>
        <w:t xml:space="preserve"> que los acuerdos</w:t>
      </w:r>
      <w:r w:rsidR="00D51794" w:rsidRPr="00F2058B">
        <w:rPr>
          <w:rFonts w:ascii="Cambria" w:hAnsi="Cambria"/>
          <w:lang w:val="es-419"/>
        </w:rPr>
        <w:t xml:space="preserve"> del éxodo campesino del Sur de Bolívar y el Valle de Cimitarra</w:t>
      </w:r>
      <w:r w:rsidR="00AB41A9" w:rsidRPr="00F2058B">
        <w:rPr>
          <w:rFonts w:ascii="Cambria" w:hAnsi="Cambria"/>
          <w:lang w:val="es-419"/>
        </w:rPr>
        <w:t xml:space="preserve"> celebrados en 1998 </w:t>
      </w:r>
      <w:r w:rsidR="00D51794" w:rsidRPr="00F2058B">
        <w:rPr>
          <w:rFonts w:ascii="Cambria" w:hAnsi="Cambria"/>
          <w:lang w:val="es-419"/>
        </w:rPr>
        <w:t>tenían co</w:t>
      </w:r>
      <w:r w:rsidR="00ED7AA5" w:rsidRPr="00F2058B">
        <w:rPr>
          <w:rFonts w:ascii="Cambria" w:hAnsi="Cambria"/>
          <w:lang w:val="es-419"/>
        </w:rPr>
        <w:t>m</w:t>
      </w:r>
      <w:r w:rsidR="00D51794" w:rsidRPr="00F2058B">
        <w:rPr>
          <w:rFonts w:ascii="Cambria" w:hAnsi="Cambria"/>
          <w:lang w:val="es-419"/>
        </w:rPr>
        <w:t>o finalidad la defensa y protección de los derechos humanos en esta área</w:t>
      </w:r>
      <w:r w:rsidR="00D308CD" w:rsidRPr="00F2058B">
        <w:rPr>
          <w:rFonts w:ascii="Cambria" w:hAnsi="Cambria"/>
          <w:lang w:val="es-419"/>
        </w:rPr>
        <w:t xml:space="preserve"> y</w:t>
      </w:r>
      <w:r w:rsidR="00D51794" w:rsidRPr="00F2058B">
        <w:rPr>
          <w:rFonts w:ascii="Cambria" w:hAnsi="Cambria"/>
          <w:lang w:val="es-419"/>
        </w:rPr>
        <w:t xml:space="preserve"> demuestra</w:t>
      </w:r>
      <w:r w:rsidR="00C51144" w:rsidRPr="00F2058B">
        <w:rPr>
          <w:rFonts w:ascii="Cambria" w:hAnsi="Cambria"/>
          <w:lang w:val="es-419"/>
        </w:rPr>
        <w:t>n</w:t>
      </w:r>
      <w:r w:rsidR="00D51794" w:rsidRPr="00F2058B">
        <w:rPr>
          <w:rFonts w:ascii="Cambria" w:hAnsi="Cambria"/>
          <w:lang w:val="es-419"/>
        </w:rPr>
        <w:t xml:space="preserve"> la voluntad política institucional de combatir estos grupos ilegales y de trabajar conjuntamente con la población en aras de lograr condiciones de seguridad y reconstrucción del tejido social y económico de la región del Magdalena Medio.</w:t>
      </w:r>
      <w:r w:rsidR="00D308CD" w:rsidRPr="00F2058B">
        <w:rPr>
          <w:rFonts w:ascii="Cambria" w:hAnsi="Cambria"/>
          <w:lang w:val="es-419"/>
        </w:rPr>
        <w:t xml:space="preserve"> </w:t>
      </w:r>
    </w:p>
    <w:p w14:paraId="0CE08FAE" w14:textId="77777777" w:rsidR="00187719" w:rsidRPr="00F2058B" w:rsidRDefault="00187719" w:rsidP="00187719">
      <w:pPr>
        <w:pStyle w:val="ListParagraph"/>
        <w:rPr>
          <w:rFonts w:ascii="Cambria" w:hAnsi="Cambria"/>
          <w:lang w:val="es-419"/>
        </w:rPr>
      </w:pPr>
    </w:p>
    <w:p w14:paraId="158F9745" w14:textId="0100F883" w:rsidR="008F0868" w:rsidRPr="00F2058B" w:rsidRDefault="00DF3648" w:rsidP="00F06940">
      <w:pPr>
        <w:pStyle w:val="parrafos"/>
        <w:numPr>
          <w:ilvl w:val="0"/>
          <w:numId w:val="58"/>
        </w:numPr>
        <w:ind w:left="0" w:firstLine="0"/>
        <w:rPr>
          <w:rFonts w:ascii="Cambria" w:hAnsi="Cambria"/>
          <w:lang w:val="es-419"/>
        </w:rPr>
      </w:pPr>
      <w:r w:rsidRPr="00F2058B">
        <w:rPr>
          <w:rFonts w:ascii="Cambria" w:hAnsi="Cambria"/>
          <w:lang w:val="es-419"/>
        </w:rPr>
        <w:t>Agreg</w:t>
      </w:r>
      <w:r w:rsidR="000E26E4" w:rsidRPr="00F2058B">
        <w:rPr>
          <w:rFonts w:ascii="Cambria" w:hAnsi="Cambria"/>
          <w:lang w:val="es-419"/>
        </w:rPr>
        <w:t xml:space="preserve">a </w:t>
      </w:r>
      <w:r w:rsidR="001E443F" w:rsidRPr="00F2058B">
        <w:rPr>
          <w:rFonts w:ascii="Cambria" w:hAnsi="Cambria"/>
          <w:lang w:val="es-419"/>
        </w:rPr>
        <w:t>que</w:t>
      </w:r>
      <w:r w:rsidR="001C4F0E" w:rsidRPr="00F2058B">
        <w:rPr>
          <w:rFonts w:ascii="Cambria" w:hAnsi="Cambria"/>
          <w:lang w:val="es-419"/>
        </w:rPr>
        <w:t>,</w:t>
      </w:r>
      <w:r w:rsidR="001E443F" w:rsidRPr="00F2058B">
        <w:rPr>
          <w:rFonts w:ascii="Cambria" w:hAnsi="Cambria"/>
          <w:lang w:val="es-419"/>
        </w:rPr>
        <w:t xml:space="preserve"> </w:t>
      </w:r>
      <w:r w:rsidR="00765DC7" w:rsidRPr="00F2058B">
        <w:rPr>
          <w:rFonts w:ascii="Cambria" w:hAnsi="Cambria"/>
          <w:lang w:val="es-419"/>
        </w:rPr>
        <w:t xml:space="preserve">a pesar de </w:t>
      </w:r>
      <w:r w:rsidR="00462A8A" w:rsidRPr="00F2058B">
        <w:rPr>
          <w:rFonts w:ascii="Cambria" w:hAnsi="Cambria"/>
          <w:lang w:val="es-419"/>
        </w:rPr>
        <w:t>que</w:t>
      </w:r>
      <w:r w:rsidR="000E26E4" w:rsidRPr="00F2058B">
        <w:rPr>
          <w:rFonts w:ascii="Cambria" w:hAnsi="Cambria"/>
          <w:lang w:val="es-419"/>
        </w:rPr>
        <w:t xml:space="preserve"> en el caso</w:t>
      </w:r>
      <w:r w:rsidR="00694CAA" w:rsidRPr="00F2058B">
        <w:rPr>
          <w:rFonts w:ascii="Cambria" w:hAnsi="Cambria"/>
          <w:lang w:val="es-419"/>
        </w:rPr>
        <w:t xml:space="preserve"> de </w:t>
      </w:r>
      <w:r w:rsidR="00166059" w:rsidRPr="00F2058B">
        <w:rPr>
          <w:rFonts w:ascii="Cambria" w:hAnsi="Cambria"/>
          <w:lang w:val="es-419"/>
        </w:rPr>
        <w:t>Édgar Quiroga y Gildardo Fuentes</w:t>
      </w:r>
      <w:r w:rsidR="00462A8A" w:rsidRPr="00F2058B">
        <w:rPr>
          <w:rFonts w:ascii="Cambria" w:hAnsi="Cambria"/>
          <w:lang w:val="es-419"/>
        </w:rPr>
        <w:t xml:space="preserve"> se </w:t>
      </w:r>
      <w:r w:rsidR="0021149D" w:rsidRPr="00F2058B">
        <w:rPr>
          <w:rFonts w:ascii="Cambria" w:hAnsi="Cambria"/>
          <w:lang w:val="es-419"/>
        </w:rPr>
        <w:t xml:space="preserve">hizo compleja la investigación tomando en cuenta que el sur de Bolívar se encontraba sitiado por grupos armados ilegales entre los años sesenta a ochenta, se </w:t>
      </w:r>
      <w:r w:rsidR="00071626" w:rsidRPr="00F2058B">
        <w:rPr>
          <w:rFonts w:ascii="Cambria" w:hAnsi="Cambria"/>
          <w:lang w:val="es-419"/>
        </w:rPr>
        <w:t>inició una investigación por el</w:t>
      </w:r>
      <w:r w:rsidR="0021149D" w:rsidRPr="00F2058B">
        <w:rPr>
          <w:rFonts w:ascii="Cambria" w:hAnsi="Cambria"/>
          <w:lang w:val="es-419"/>
        </w:rPr>
        <w:t xml:space="preserve"> delito de desaparición forzada de Édgar Quiroga y Gildardo Fuentes. Refiere que en el marco de dicho proceso algunos sindicados fueron condenados y otros se encu</w:t>
      </w:r>
      <w:r w:rsidR="00A96035" w:rsidRPr="00F2058B">
        <w:rPr>
          <w:rFonts w:ascii="Cambria" w:hAnsi="Cambria"/>
          <w:lang w:val="es-419"/>
        </w:rPr>
        <w:t xml:space="preserve">entran aún bajo investigación. </w:t>
      </w:r>
      <w:r w:rsidR="0021149D" w:rsidRPr="00F2058B">
        <w:rPr>
          <w:rFonts w:ascii="Cambria" w:hAnsi="Cambria"/>
          <w:lang w:val="es-419"/>
        </w:rPr>
        <w:t>En particular expresa que en el marco de</w:t>
      </w:r>
      <w:r w:rsidR="00071626" w:rsidRPr="00F2058B">
        <w:rPr>
          <w:rFonts w:ascii="Cambria" w:hAnsi="Cambria"/>
          <w:lang w:val="es-419"/>
        </w:rPr>
        <w:t>l proceso contra Rodrigo Pérez A</w:t>
      </w:r>
      <w:r w:rsidR="0021149D" w:rsidRPr="00F2058B">
        <w:rPr>
          <w:rFonts w:ascii="Cambria" w:hAnsi="Cambria"/>
          <w:lang w:val="es-419"/>
        </w:rPr>
        <w:t xml:space="preserve">lzate este dio detalles de su actuación criminal. El Estado sostiene que la parte peticionaria no comprobó que en la desaparición de Édgar Quiroga y Gildardo Fuentes intervinieron agentes estatales. </w:t>
      </w:r>
      <w:r w:rsidR="00187719" w:rsidRPr="00F2058B">
        <w:rPr>
          <w:rFonts w:ascii="Cambria" w:hAnsi="Cambria"/>
          <w:lang w:val="es-419"/>
        </w:rPr>
        <w:t xml:space="preserve">De igual forma, en el caso de Victoria Delgado, el Estado niega tanto la participación de agentes estatales en los hechos, como que las autoridades </w:t>
      </w:r>
      <w:r w:rsidR="00531A24" w:rsidRPr="00F2058B">
        <w:rPr>
          <w:rFonts w:ascii="Cambria" w:hAnsi="Cambria"/>
          <w:lang w:val="es-419"/>
        </w:rPr>
        <w:t>hubieran tenido conocimiento de la existencia de riesgo real, inminente e individual de la señora Delgado</w:t>
      </w:r>
      <w:r w:rsidR="00127EA1" w:rsidRPr="00F2058B">
        <w:rPr>
          <w:rFonts w:ascii="Cambria" w:hAnsi="Cambria"/>
          <w:lang w:val="es-419"/>
        </w:rPr>
        <w:t xml:space="preserve">. </w:t>
      </w:r>
    </w:p>
    <w:p w14:paraId="65BE41A7" w14:textId="77777777" w:rsidR="00FA38A5" w:rsidRPr="00F2058B" w:rsidRDefault="00FA38A5" w:rsidP="00FA38A5">
      <w:pPr>
        <w:pStyle w:val="parrafos"/>
        <w:rPr>
          <w:rFonts w:ascii="Cambria" w:hAnsi="Cambria"/>
          <w:lang w:val="es-419"/>
        </w:rPr>
      </w:pPr>
    </w:p>
    <w:p w14:paraId="048B4E3E" w14:textId="5094BCDE" w:rsidR="0037562A" w:rsidRPr="00F2058B" w:rsidRDefault="00FA38A5" w:rsidP="00F06940">
      <w:pPr>
        <w:pStyle w:val="parrafos"/>
        <w:numPr>
          <w:ilvl w:val="0"/>
          <w:numId w:val="58"/>
        </w:numPr>
        <w:ind w:left="0" w:firstLine="0"/>
        <w:rPr>
          <w:rFonts w:ascii="Cambria" w:hAnsi="Cambria"/>
          <w:lang w:val="es-419"/>
        </w:rPr>
      </w:pPr>
      <w:r w:rsidRPr="00F2058B">
        <w:rPr>
          <w:rFonts w:ascii="Cambria" w:hAnsi="Cambria"/>
          <w:lang w:val="es-419"/>
        </w:rPr>
        <w:t xml:space="preserve">En cuanto a las investigaciones realizadas </w:t>
      </w:r>
      <w:r w:rsidR="007343FF" w:rsidRPr="00F2058B">
        <w:rPr>
          <w:rFonts w:ascii="Cambria" w:hAnsi="Cambria"/>
          <w:lang w:val="es-419"/>
        </w:rPr>
        <w:t>a fin</w:t>
      </w:r>
      <w:r w:rsidRPr="00F2058B">
        <w:rPr>
          <w:rFonts w:ascii="Cambria" w:hAnsi="Cambria"/>
          <w:lang w:val="es-419"/>
        </w:rPr>
        <w:t xml:space="preserve"> de </w:t>
      </w:r>
      <w:r w:rsidR="00481788" w:rsidRPr="00F2058B">
        <w:rPr>
          <w:rFonts w:ascii="Cambria" w:hAnsi="Cambria"/>
          <w:lang w:val="es-419"/>
        </w:rPr>
        <w:t>individualizar y sancionar los responsables de</w:t>
      </w:r>
      <w:r w:rsidRPr="00F2058B">
        <w:rPr>
          <w:rFonts w:ascii="Cambria" w:hAnsi="Cambria"/>
          <w:lang w:val="es-419"/>
        </w:rPr>
        <w:t xml:space="preserve"> la desaparición forzada de Édgar Quiroga y Gildardo Fuentes, el Estado refiere que el </w:t>
      </w:r>
      <w:r w:rsidR="00481788" w:rsidRPr="00F2058B">
        <w:rPr>
          <w:rFonts w:ascii="Cambria" w:hAnsi="Cambria"/>
          <w:lang w:val="es-419"/>
        </w:rPr>
        <w:t>2 de diciembre de 1999</w:t>
      </w:r>
      <w:r w:rsidRPr="00F2058B">
        <w:rPr>
          <w:rFonts w:ascii="Cambria" w:hAnsi="Cambria"/>
          <w:lang w:val="es-419"/>
        </w:rPr>
        <w:t>, la Fiscalía</w:t>
      </w:r>
      <w:r w:rsidR="00DC61FE" w:rsidRPr="00F2058B">
        <w:rPr>
          <w:rFonts w:ascii="Cambria" w:hAnsi="Cambria"/>
          <w:lang w:val="es-419"/>
        </w:rPr>
        <w:t xml:space="preserve"> 44 de la Unidad Nacional de Derechos Humanos y DIH</w:t>
      </w:r>
      <w:r w:rsidRPr="00F2058B">
        <w:rPr>
          <w:rFonts w:ascii="Cambria" w:hAnsi="Cambria"/>
          <w:lang w:val="es-419"/>
        </w:rPr>
        <w:t xml:space="preserve"> </w:t>
      </w:r>
      <w:r w:rsidR="007343FF" w:rsidRPr="00F2058B">
        <w:rPr>
          <w:rFonts w:ascii="Cambria" w:hAnsi="Cambria"/>
          <w:lang w:val="es-419"/>
        </w:rPr>
        <w:t xml:space="preserve">abrió la </w:t>
      </w:r>
      <w:r w:rsidRPr="00F2058B">
        <w:rPr>
          <w:rFonts w:ascii="Cambria" w:hAnsi="Cambria"/>
          <w:lang w:val="es-419"/>
        </w:rPr>
        <w:t xml:space="preserve">investigación </w:t>
      </w:r>
      <w:r w:rsidR="00DC61FE" w:rsidRPr="00F2058B">
        <w:rPr>
          <w:rFonts w:ascii="Cambria" w:hAnsi="Cambria"/>
          <w:lang w:val="es-419"/>
        </w:rPr>
        <w:t>No. 650</w:t>
      </w:r>
      <w:r w:rsidR="00A96035" w:rsidRPr="00F2058B">
        <w:rPr>
          <w:rFonts w:ascii="Cambria" w:hAnsi="Cambria"/>
          <w:lang w:val="es-419"/>
        </w:rPr>
        <w:t xml:space="preserve">, </w:t>
      </w:r>
      <w:r w:rsidR="00481788" w:rsidRPr="00F2058B">
        <w:rPr>
          <w:rFonts w:ascii="Cambria" w:hAnsi="Cambria"/>
          <w:lang w:val="es-419"/>
        </w:rPr>
        <w:t>bajo</w:t>
      </w:r>
      <w:r w:rsidRPr="00F2058B">
        <w:rPr>
          <w:rFonts w:ascii="Cambria" w:hAnsi="Cambria"/>
          <w:lang w:val="es-419"/>
        </w:rPr>
        <w:t xml:space="preserve"> la cual </w:t>
      </w:r>
      <w:r w:rsidR="008961CE" w:rsidRPr="00F2058B">
        <w:rPr>
          <w:rFonts w:ascii="Cambria" w:hAnsi="Cambria"/>
          <w:lang w:val="es-419"/>
        </w:rPr>
        <w:t xml:space="preserve">el 22 de </w:t>
      </w:r>
      <w:r w:rsidR="001E197E" w:rsidRPr="00F2058B">
        <w:rPr>
          <w:rFonts w:ascii="Cambria" w:hAnsi="Cambria"/>
          <w:lang w:val="es-419"/>
        </w:rPr>
        <w:t>o</w:t>
      </w:r>
      <w:r w:rsidR="008961CE" w:rsidRPr="00F2058B">
        <w:rPr>
          <w:rFonts w:ascii="Cambria" w:hAnsi="Cambria"/>
          <w:lang w:val="es-419"/>
        </w:rPr>
        <w:t>c</w:t>
      </w:r>
      <w:r w:rsidR="001E197E" w:rsidRPr="00F2058B">
        <w:rPr>
          <w:rFonts w:ascii="Cambria" w:hAnsi="Cambria"/>
          <w:lang w:val="es-419"/>
        </w:rPr>
        <w:t xml:space="preserve">tubre de 2007 se le impuso medida de detención preventiva </w:t>
      </w:r>
      <w:r w:rsidR="00412792" w:rsidRPr="00F2058B">
        <w:rPr>
          <w:rFonts w:ascii="Cambria" w:hAnsi="Cambria"/>
          <w:lang w:val="es-419"/>
        </w:rPr>
        <w:t xml:space="preserve">a Rodrigo Pérez Alzate (Comandante del Bloque Central Bolívar de las AUC) </w:t>
      </w:r>
      <w:r w:rsidR="001E197E" w:rsidRPr="00F2058B">
        <w:rPr>
          <w:rFonts w:ascii="Cambria" w:hAnsi="Cambria"/>
          <w:lang w:val="es-419"/>
        </w:rPr>
        <w:t>por el delito de desaparición forzada</w:t>
      </w:r>
      <w:r w:rsidRPr="00F2058B">
        <w:rPr>
          <w:rFonts w:ascii="Cambria" w:hAnsi="Cambria"/>
          <w:lang w:val="es-419"/>
        </w:rPr>
        <w:t>.</w:t>
      </w:r>
      <w:r w:rsidR="008961CE" w:rsidRPr="00F2058B">
        <w:rPr>
          <w:rFonts w:ascii="Cambria" w:hAnsi="Cambria"/>
          <w:lang w:val="es-419"/>
        </w:rPr>
        <w:t xml:space="preserve"> </w:t>
      </w:r>
      <w:r w:rsidR="00412792" w:rsidRPr="00F2058B">
        <w:rPr>
          <w:rFonts w:ascii="Cambria" w:hAnsi="Cambria"/>
          <w:lang w:val="es-419"/>
        </w:rPr>
        <w:t>Posteriormente,</w:t>
      </w:r>
      <w:r w:rsidR="001A7DC5" w:rsidRPr="00F2058B">
        <w:rPr>
          <w:rFonts w:ascii="Cambria" w:hAnsi="Cambria"/>
          <w:lang w:val="es-419"/>
        </w:rPr>
        <w:t xml:space="preserve"> </w:t>
      </w:r>
      <w:r w:rsidR="00412792" w:rsidRPr="00F2058B">
        <w:rPr>
          <w:rFonts w:ascii="Cambria" w:hAnsi="Cambria"/>
          <w:lang w:val="es-419"/>
        </w:rPr>
        <w:t>el 24 de marzo de 2010</w:t>
      </w:r>
      <w:r w:rsidR="008961CE" w:rsidRPr="00F2058B">
        <w:rPr>
          <w:rFonts w:ascii="Cambria" w:hAnsi="Cambria"/>
          <w:lang w:val="es-419"/>
        </w:rPr>
        <w:t xml:space="preserve"> el Juzgado 19 Penal del Circuito de Cartagena condenó </w:t>
      </w:r>
      <w:r w:rsidR="00412792" w:rsidRPr="00F2058B">
        <w:rPr>
          <w:rFonts w:ascii="Cambria" w:hAnsi="Cambria"/>
          <w:lang w:val="es-419"/>
        </w:rPr>
        <w:t xml:space="preserve">a Rodrigo Pérez Alzate </w:t>
      </w:r>
      <w:r w:rsidR="001A7DC5" w:rsidRPr="00F2058B">
        <w:rPr>
          <w:rFonts w:ascii="Cambria" w:hAnsi="Cambria"/>
          <w:lang w:val="es-419"/>
        </w:rPr>
        <w:t>por el delito de Desaparición Forzada a la pena principal de 380 mese</w:t>
      </w:r>
      <w:r w:rsidR="00A96035" w:rsidRPr="00F2058B">
        <w:rPr>
          <w:rFonts w:ascii="Cambria" w:hAnsi="Cambria"/>
          <w:lang w:val="es-419"/>
        </w:rPr>
        <w:t xml:space="preserve">s de prisión y multa por 1.920 </w:t>
      </w:r>
      <w:r w:rsidR="001A7DC5" w:rsidRPr="00F2058B">
        <w:rPr>
          <w:rFonts w:ascii="Cambria" w:hAnsi="Cambria"/>
          <w:lang w:val="es-419"/>
        </w:rPr>
        <w:t>salarios mínimos legales mensuales vigentes.</w:t>
      </w:r>
      <w:r w:rsidR="0037562A" w:rsidRPr="00F2058B">
        <w:rPr>
          <w:rFonts w:ascii="Cambria" w:hAnsi="Cambria"/>
          <w:lang w:val="es-419"/>
        </w:rPr>
        <w:t xml:space="preserve"> </w:t>
      </w:r>
    </w:p>
    <w:p w14:paraId="4EC6176D" w14:textId="77777777" w:rsidR="0037562A" w:rsidRPr="00F2058B" w:rsidRDefault="0037562A" w:rsidP="0037562A">
      <w:pPr>
        <w:pStyle w:val="parrafos"/>
        <w:rPr>
          <w:rFonts w:ascii="Cambria" w:hAnsi="Cambria"/>
          <w:lang w:val="es-419"/>
        </w:rPr>
      </w:pPr>
    </w:p>
    <w:p w14:paraId="1B15BB89" w14:textId="2377D159" w:rsidR="00AF3E62" w:rsidRPr="00F2058B" w:rsidRDefault="0037562A" w:rsidP="00F06940">
      <w:pPr>
        <w:pStyle w:val="parrafos"/>
        <w:numPr>
          <w:ilvl w:val="0"/>
          <w:numId w:val="58"/>
        </w:numPr>
        <w:ind w:left="0" w:firstLine="0"/>
        <w:rPr>
          <w:rFonts w:ascii="Cambria" w:hAnsi="Cambria"/>
          <w:lang w:val="es-419"/>
        </w:rPr>
      </w:pPr>
      <w:r w:rsidRPr="00F2058B">
        <w:rPr>
          <w:rFonts w:ascii="Cambria" w:hAnsi="Cambria"/>
          <w:lang w:val="es-419"/>
        </w:rPr>
        <w:t>De i</w:t>
      </w:r>
      <w:r w:rsidR="00A96035" w:rsidRPr="00F2058B">
        <w:rPr>
          <w:rFonts w:ascii="Cambria" w:hAnsi="Cambria"/>
          <w:lang w:val="es-419"/>
        </w:rPr>
        <w:t>gual manera, indica</w:t>
      </w:r>
      <w:r w:rsidRPr="00F2058B">
        <w:rPr>
          <w:rFonts w:ascii="Cambria" w:hAnsi="Cambria"/>
          <w:lang w:val="es-419"/>
        </w:rPr>
        <w:t xml:space="preserve"> que el 19 de marzo de 2010 el Juzgado 19 Penal del Circuito de Cartagena condenó a la pena principal de 226 meses y 24 días de prisión y multa de 1.920 salarios míni</w:t>
      </w:r>
      <w:r w:rsidR="00A96035" w:rsidRPr="00F2058B">
        <w:rPr>
          <w:rFonts w:ascii="Cambria" w:hAnsi="Cambria"/>
          <w:lang w:val="es-419"/>
        </w:rPr>
        <w:t xml:space="preserve">mos legales mensuales vigentes </w:t>
      </w:r>
      <w:r w:rsidRPr="00F2058B">
        <w:rPr>
          <w:rFonts w:ascii="Cambria" w:hAnsi="Cambria"/>
          <w:lang w:val="es-419"/>
        </w:rPr>
        <w:t>a Leocadio Bohorquez Jaramillo, alias Leo, miembro de las AUC, por el delito de desaparición forzada.</w:t>
      </w:r>
      <w:r w:rsidR="00412792" w:rsidRPr="00F2058B">
        <w:rPr>
          <w:rFonts w:ascii="Cambria" w:hAnsi="Cambria"/>
          <w:lang w:val="es-419"/>
        </w:rPr>
        <w:t xml:space="preserve"> </w:t>
      </w:r>
    </w:p>
    <w:p w14:paraId="39799F84" w14:textId="77777777" w:rsidR="00AF3E62" w:rsidRPr="00F2058B" w:rsidRDefault="00AF3E62" w:rsidP="00AF3E62">
      <w:pPr>
        <w:pStyle w:val="parrafos"/>
        <w:rPr>
          <w:rFonts w:ascii="Cambria" w:hAnsi="Cambria"/>
          <w:lang w:val="es-419"/>
        </w:rPr>
      </w:pPr>
    </w:p>
    <w:p w14:paraId="3DD5524F" w14:textId="5871AE4A" w:rsidR="00412792" w:rsidRPr="00F2058B" w:rsidRDefault="00AF3E62" w:rsidP="00F06940">
      <w:pPr>
        <w:pStyle w:val="parrafos"/>
        <w:numPr>
          <w:ilvl w:val="0"/>
          <w:numId w:val="58"/>
        </w:numPr>
        <w:ind w:left="0" w:firstLine="0"/>
        <w:rPr>
          <w:rFonts w:ascii="Cambria" w:hAnsi="Cambria"/>
          <w:lang w:val="es-419"/>
        </w:rPr>
      </w:pPr>
      <w:r w:rsidRPr="00F2058B">
        <w:rPr>
          <w:rFonts w:ascii="Cambria" w:hAnsi="Cambria"/>
          <w:lang w:val="es-419"/>
        </w:rPr>
        <w:t xml:space="preserve">En cuanto a los procesos pendientes de sentencia condenatoria dentro de las diligencias adelantadas por la desaparición forzada de Edgar Quiroga y Gildardo Fuentes, el Estado precisó que </w:t>
      </w:r>
      <w:r w:rsidR="00436743" w:rsidRPr="00F2058B">
        <w:rPr>
          <w:rFonts w:ascii="Cambria" w:hAnsi="Cambria"/>
          <w:lang w:val="es-419"/>
        </w:rPr>
        <w:t>e</w:t>
      </w:r>
      <w:r w:rsidR="00412792" w:rsidRPr="00F2058B">
        <w:rPr>
          <w:rFonts w:ascii="Cambria" w:hAnsi="Cambria"/>
          <w:lang w:val="es-419"/>
        </w:rPr>
        <w:t xml:space="preserve">l señor Ancízar Pareja, alias Mono Pareja, </w:t>
      </w:r>
      <w:r w:rsidR="002A3E58" w:rsidRPr="00F2058B">
        <w:rPr>
          <w:rFonts w:ascii="Cambria" w:hAnsi="Cambria"/>
          <w:lang w:val="es-419"/>
        </w:rPr>
        <w:t xml:space="preserve">perteneciente a las AUC, se encontraba detenido </w:t>
      </w:r>
      <w:r w:rsidR="00DD318B" w:rsidRPr="00F2058B">
        <w:rPr>
          <w:rFonts w:ascii="Cambria" w:hAnsi="Cambria"/>
          <w:lang w:val="es-419"/>
        </w:rPr>
        <w:t>en la peninteciaría de Tumaco, Nariño</w:t>
      </w:r>
      <w:r w:rsidR="00897780" w:rsidRPr="00F2058B">
        <w:rPr>
          <w:rFonts w:ascii="Cambria" w:hAnsi="Cambria"/>
          <w:lang w:val="es-419"/>
        </w:rPr>
        <w:t xml:space="preserve"> </w:t>
      </w:r>
      <w:r w:rsidRPr="00F2058B">
        <w:rPr>
          <w:rFonts w:ascii="Cambria" w:hAnsi="Cambria"/>
          <w:lang w:val="es-419"/>
        </w:rPr>
        <w:t xml:space="preserve">y el </w:t>
      </w:r>
      <w:r w:rsidR="00897780" w:rsidRPr="00F2058B">
        <w:rPr>
          <w:rFonts w:ascii="Cambria" w:hAnsi="Cambria"/>
          <w:lang w:val="es-419"/>
        </w:rPr>
        <w:t>el 31 de marzo de 2010 se profirió</w:t>
      </w:r>
      <w:r w:rsidRPr="00F2058B">
        <w:rPr>
          <w:rFonts w:ascii="Cambria" w:hAnsi="Cambria"/>
          <w:lang w:val="es-419"/>
        </w:rPr>
        <w:t xml:space="preserve"> </w:t>
      </w:r>
      <w:r w:rsidR="00897780" w:rsidRPr="00F2058B">
        <w:rPr>
          <w:rFonts w:ascii="Cambria" w:hAnsi="Cambria"/>
          <w:lang w:val="es-419"/>
        </w:rPr>
        <w:t>escrito de acusación</w:t>
      </w:r>
      <w:r w:rsidRPr="00F2058B">
        <w:rPr>
          <w:rFonts w:ascii="Cambria" w:hAnsi="Cambria"/>
          <w:lang w:val="es-419"/>
        </w:rPr>
        <w:t xml:space="preserve"> en su contra</w:t>
      </w:r>
      <w:r w:rsidR="00897780" w:rsidRPr="00F2058B">
        <w:rPr>
          <w:rFonts w:ascii="Cambria" w:hAnsi="Cambria"/>
          <w:lang w:val="es-419"/>
        </w:rPr>
        <w:t xml:space="preserve"> por los delitos de desaparición forzada y concierto para delinquir, </w:t>
      </w:r>
      <w:r w:rsidRPr="00F2058B">
        <w:rPr>
          <w:rFonts w:ascii="Cambria" w:hAnsi="Cambria"/>
          <w:lang w:val="es-419"/>
        </w:rPr>
        <w:t>etapa en la cual acep</w:t>
      </w:r>
      <w:r w:rsidR="00A96035" w:rsidRPr="00F2058B">
        <w:rPr>
          <w:rFonts w:ascii="Cambria" w:hAnsi="Cambria"/>
          <w:lang w:val="es-419"/>
        </w:rPr>
        <w:t>tó los cargos formulados. Señala</w:t>
      </w:r>
      <w:r w:rsidRPr="00F2058B">
        <w:rPr>
          <w:rFonts w:ascii="Cambria" w:hAnsi="Cambria"/>
          <w:lang w:val="es-419"/>
        </w:rPr>
        <w:t xml:space="preserve"> el Estado que</w:t>
      </w:r>
      <w:r w:rsidR="00A96035" w:rsidRPr="00F2058B">
        <w:rPr>
          <w:rFonts w:ascii="Cambria" w:hAnsi="Cambria"/>
          <w:lang w:val="es-419"/>
        </w:rPr>
        <w:t>,</w:t>
      </w:r>
      <w:r w:rsidRPr="00F2058B">
        <w:rPr>
          <w:rFonts w:ascii="Cambria" w:hAnsi="Cambria"/>
          <w:lang w:val="es-419"/>
        </w:rPr>
        <w:t xml:space="preserve"> al 24 de agosto de 2012, este proceso aún estaba a espera de sentencia condenat</w:t>
      </w:r>
      <w:r w:rsidR="00A96035" w:rsidRPr="00F2058B">
        <w:rPr>
          <w:rFonts w:ascii="Cambria" w:hAnsi="Cambria"/>
          <w:lang w:val="es-419"/>
        </w:rPr>
        <w:t>oria. En el mismo sentido, aduce</w:t>
      </w:r>
      <w:r w:rsidRPr="00F2058B">
        <w:rPr>
          <w:rFonts w:ascii="Cambria" w:hAnsi="Cambria"/>
          <w:lang w:val="es-419"/>
        </w:rPr>
        <w:t xml:space="preserve"> que</w:t>
      </w:r>
      <w:r w:rsidR="0022792C" w:rsidRPr="00F2058B">
        <w:rPr>
          <w:rFonts w:ascii="Cambria" w:hAnsi="Cambria"/>
          <w:lang w:val="es-419"/>
        </w:rPr>
        <w:t>, en</w:t>
      </w:r>
      <w:r w:rsidRPr="00F2058B">
        <w:rPr>
          <w:rFonts w:ascii="Cambria" w:hAnsi="Cambria"/>
          <w:lang w:val="es-419"/>
        </w:rPr>
        <w:t xml:space="preserve"> el proceso adelantado en contra de Arturo Torres Pineda</w:t>
      </w:r>
      <w:r w:rsidR="00595D7C" w:rsidRPr="00F2058B">
        <w:rPr>
          <w:rFonts w:ascii="Cambria" w:hAnsi="Cambria"/>
          <w:lang w:val="es-419"/>
        </w:rPr>
        <w:t>, alias don Carlos,</w:t>
      </w:r>
      <w:r w:rsidRPr="00F2058B">
        <w:rPr>
          <w:rFonts w:ascii="Cambria" w:hAnsi="Cambria"/>
          <w:lang w:val="es-419"/>
        </w:rPr>
        <w:t xml:space="preserve"> </w:t>
      </w:r>
      <w:r w:rsidR="00595D7C" w:rsidRPr="00F2058B">
        <w:rPr>
          <w:rFonts w:ascii="Cambria" w:hAnsi="Cambria"/>
          <w:lang w:val="es-419"/>
        </w:rPr>
        <w:t>el 29 de abril de 2010</w:t>
      </w:r>
      <w:r w:rsidR="00F9784D" w:rsidRPr="00F2058B">
        <w:rPr>
          <w:rFonts w:ascii="Cambria" w:hAnsi="Cambria"/>
          <w:lang w:val="es-419"/>
        </w:rPr>
        <w:t xml:space="preserve"> mediante acta de formulación de cargos para </w:t>
      </w:r>
      <w:r w:rsidR="00F9784D" w:rsidRPr="00F2058B">
        <w:rPr>
          <w:rFonts w:ascii="Cambria" w:hAnsi="Cambria"/>
          <w:lang w:val="es-419"/>
        </w:rPr>
        <w:lastRenderedPageBreak/>
        <w:t xml:space="preserve">sentencia anticipada, aceptó los cargos de </w:t>
      </w:r>
      <w:r w:rsidR="005E0D94" w:rsidRPr="00F2058B">
        <w:rPr>
          <w:rFonts w:ascii="Cambria" w:hAnsi="Cambria"/>
          <w:lang w:val="es-419"/>
        </w:rPr>
        <w:t>desaparición forzada y concierto para delinquir agravado y a la fecha 24 de</w:t>
      </w:r>
      <w:r w:rsidR="0022792C" w:rsidRPr="00F2058B">
        <w:rPr>
          <w:rFonts w:ascii="Cambria" w:hAnsi="Cambria"/>
          <w:lang w:val="es-419"/>
        </w:rPr>
        <w:t xml:space="preserve"> agosto de 2012, se encontraba en</w:t>
      </w:r>
      <w:r w:rsidR="005E0D94" w:rsidRPr="00F2058B">
        <w:rPr>
          <w:rFonts w:ascii="Cambria" w:hAnsi="Cambria"/>
          <w:lang w:val="es-419"/>
        </w:rPr>
        <w:t xml:space="preserve"> espera de sentencia.</w:t>
      </w:r>
    </w:p>
    <w:p w14:paraId="709CF338" w14:textId="77777777" w:rsidR="00744B54" w:rsidRPr="00F2058B" w:rsidRDefault="00744B54" w:rsidP="00744B54">
      <w:pPr>
        <w:pStyle w:val="parrafos"/>
        <w:rPr>
          <w:rFonts w:ascii="Cambria" w:hAnsi="Cambria"/>
          <w:lang w:val="es-419"/>
        </w:rPr>
      </w:pPr>
    </w:p>
    <w:p w14:paraId="5F6E0356" w14:textId="78F6E8F6" w:rsidR="0017771F" w:rsidRPr="00F2058B" w:rsidRDefault="0022792C" w:rsidP="00F06940">
      <w:pPr>
        <w:pStyle w:val="parrafos"/>
        <w:numPr>
          <w:ilvl w:val="0"/>
          <w:numId w:val="58"/>
        </w:numPr>
        <w:ind w:left="0" w:firstLine="0"/>
        <w:rPr>
          <w:rFonts w:ascii="Cambria" w:hAnsi="Cambria"/>
          <w:lang w:val="es-419"/>
        </w:rPr>
      </w:pPr>
      <w:r w:rsidRPr="00F2058B">
        <w:rPr>
          <w:rFonts w:ascii="Cambria" w:hAnsi="Cambria"/>
          <w:lang w:val="es-419"/>
        </w:rPr>
        <w:t>Por último, indica</w:t>
      </w:r>
      <w:r w:rsidR="0006088A" w:rsidRPr="00F2058B">
        <w:rPr>
          <w:rFonts w:ascii="Cambria" w:hAnsi="Cambria"/>
          <w:lang w:val="es-419"/>
        </w:rPr>
        <w:t xml:space="preserve"> que Alexander Gutiérrez, alias Picua, miembro de las AUC, el 12 de abril de 2010 mediante acta de de formulación de cargos para sentencia anticipada, aceptó los delitos de desaparición forzada y concierto para delinquir agravada. A la fecha 24 de agosto de 2012, se encontraba pendiente de</w:t>
      </w:r>
      <w:r w:rsidRPr="00F2058B">
        <w:rPr>
          <w:rFonts w:ascii="Cambria" w:hAnsi="Cambria"/>
          <w:lang w:val="es-419"/>
        </w:rPr>
        <w:t xml:space="preserve"> sentencia. Indica que,</w:t>
      </w:r>
      <w:r w:rsidR="0006088A" w:rsidRPr="00F2058B">
        <w:rPr>
          <w:rFonts w:ascii="Cambria" w:hAnsi="Cambria"/>
          <w:lang w:val="es-419"/>
        </w:rPr>
        <w:t xml:space="preserve"> </w:t>
      </w:r>
      <w:r w:rsidR="002F5DFA" w:rsidRPr="00F2058B">
        <w:rPr>
          <w:rFonts w:ascii="Cambria" w:hAnsi="Cambria"/>
          <w:lang w:val="es-419"/>
        </w:rPr>
        <w:t>respecto de</w:t>
      </w:r>
      <w:r w:rsidR="0006088A" w:rsidRPr="00F2058B">
        <w:rPr>
          <w:rFonts w:ascii="Cambria" w:hAnsi="Cambria"/>
          <w:lang w:val="es-419"/>
        </w:rPr>
        <w:t xml:space="preserve"> Carlos Castaño Gil, </w:t>
      </w:r>
      <w:r w:rsidR="00916192" w:rsidRPr="00F2058B">
        <w:rPr>
          <w:rFonts w:ascii="Cambria" w:hAnsi="Cambria"/>
          <w:lang w:val="es-419"/>
        </w:rPr>
        <w:t>jefe máximo de las AUC, el 29 de febrero de 2008</w:t>
      </w:r>
      <w:r w:rsidR="003A0BB9" w:rsidRPr="00F2058B">
        <w:rPr>
          <w:rFonts w:ascii="Cambria" w:hAnsi="Cambria"/>
          <w:lang w:val="es-419"/>
        </w:rPr>
        <w:t xml:space="preserve"> se cesó el proceso por causa de muerte.</w:t>
      </w:r>
    </w:p>
    <w:p w14:paraId="47A6BEEF" w14:textId="77777777" w:rsidR="00FA38A5" w:rsidRPr="00F2058B" w:rsidRDefault="00FA38A5" w:rsidP="00FA38A5">
      <w:pPr>
        <w:pStyle w:val="parrafos"/>
        <w:rPr>
          <w:rFonts w:ascii="Cambria" w:hAnsi="Cambria"/>
          <w:lang w:val="es-419"/>
        </w:rPr>
      </w:pPr>
    </w:p>
    <w:p w14:paraId="0FBDB716" w14:textId="4C8582EF" w:rsidR="00FA38A5" w:rsidRPr="00F2058B" w:rsidRDefault="00FA38A5" w:rsidP="00F06940">
      <w:pPr>
        <w:pStyle w:val="parrafos"/>
        <w:numPr>
          <w:ilvl w:val="0"/>
          <w:numId w:val="58"/>
        </w:numPr>
        <w:ind w:left="0" w:firstLine="0"/>
        <w:rPr>
          <w:rFonts w:ascii="Cambria" w:hAnsi="Cambria"/>
          <w:lang w:val="es-419"/>
        </w:rPr>
      </w:pPr>
      <w:r w:rsidRPr="00F2058B">
        <w:rPr>
          <w:rFonts w:ascii="Cambria" w:hAnsi="Cambria"/>
          <w:lang w:val="es-419"/>
        </w:rPr>
        <w:t xml:space="preserve">Por otro lado, en lo que tiene que ver con la investigación del secuestro </w:t>
      </w:r>
      <w:r w:rsidR="00A96035" w:rsidRPr="00F2058B">
        <w:rPr>
          <w:rFonts w:ascii="Cambria" w:hAnsi="Cambria"/>
          <w:lang w:val="es-419"/>
        </w:rPr>
        <w:t xml:space="preserve">de </w:t>
      </w:r>
      <w:r w:rsidRPr="00F2058B">
        <w:rPr>
          <w:rFonts w:ascii="Cambria" w:hAnsi="Cambria"/>
          <w:lang w:val="es-419"/>
        </w:rPr>
        <w:t>Victoria Delgado Anaya</w:t>
      </w:r>
      <w:r w:rsidR="00C356BA" w:rsidRPr="00F2058B">
        <w:rPr>
          <w:rFonts w:ascii="Cambria" w:hAnsi="Cambria"/>
          <w:lang w:val="es-419"/>
        </w:rPr>
        <w:t xml:space="preserve"> ocurrido el 23 de diciembre de 2001</w:t>
      </w:r>
      <w:r w:rsidR="00701D61" w:rsidRPr="00F2058B">
        <w:rPr>
          <w:rFonts w:ascii="Cambria" w:hAnsi="Cambria"/>
          <w:lang w:val="es-419"/>
        </w:rPr>
        <w:t xml:space="preserve"> y el asesinato del 24 de diciembre de 2001</w:t>
      </w:r>
      <w:r w:rsidR="00A96035" w:rsidRPr="00F2058B">
        <w:rPr>
          <w:rFonts w:ascii="Cambria" w:hAnsi="Cambria"/>
          <w:lang w:val="es-419"/>
        </w:rPr>
        <w:t>, el Estado indica</w:t>
      </w:r>
      <w:r w:rsidRPr="00F2058B">
        <w:rPr>
          <w:rFonts w:ascii="Cambria" w:hAnsi="Cambria"/>
          <w:lang w:val="es-419"/>
        </w:rPr>
        <w:t xml:space="preserve"> q</w:t>
      </w:r>
      <w:r w:rsidR="00C356BA" w:rsidRPr="00F2058B">
        <w:rPr>
          <w:rFonts w:ascii="Cambria" w:hAnsi="Cambria"/>
          <w:lang w:val="es-419"/>
        </w:rPr>
        <w:t>ue una vez tomó conocimiento de</w:t>
      </w:r>
      <w:r w:rsidR="00701D61" w:rsidRPr="00F2058B">
        <w:rPr>
          <w:rFonts w:ascii="Cambria" w:hAnsi="Cambria"/>
          <w:lang w:val="es-419"/>
        </w:rPr>
        <w:t xml:space="preserve"> </w:t>
      </w:r>
      <w:r w:rsidRPr="00F2058B">
        <w:rPr>
          <w:rFonts w:ascii="Cambria" w:hAnsi="Cambria"/>
          <w:lang w:val="es-419"/>
        </w:rPr>
        <w:t>l</w:t>
      </w:r>
      <w:r w:rsidR="00701D61" w:rsidRPr="00F2058B">
        <w:rPr>
          <w:rFonts w:ascii="Cambria" w:hAnsi="Cambria"/>
          <w:lang w:val="es-419"/>
        </w:rPr>
        <w:t>os</w:t>
      </w:r>
      <w:r w:rsidRPr="00F2058B">
        <w:rPr>
          <w:rFonts w:ascii="Cambria" w:hAnsi="Cambria"/>
          <w:lang w:val="es-419"/>
        </w:rPr>
        <w:t xml:space="preserve"> hecho</w:t>
      </w:r>
      <w:r w:rsidR="00701D61" w:rsidRPr="00F2058B">
        <w:rPr>
          <w:rFonts w:ascii="Cambria" w:hAnsi="Cambria"/>
          <w:lang w:val="es-419"/>
        </w:rPr>
        <w:t>s</w:t>
      </w:r>
      <w:r w:rsidR="00C356BA" w:rsidRPr="00F2058B">
        <w:rPr>
          <w:rFonts w:ascii="Cambria" w:hAnsi="Cambria"/>
          <w:lang w:val="es-419"/>
        </w:rPr>
        <w:t>, la Ficalía 54 de la Unidad Nacional de Derechos Humanos y Derecho Internacional Humanitario de la Fiscalía General de la Nación abrió la investigación 1160</w:t>
      </w:r>
      <w:r w:rsidR="00A96035" w:rsidRPr="00F2058B">
        <w:rPr>
          <w:rFonts w:ascii="Cambria" w:hAnsi="Cambria"/>
          <w:lang w:val="es-419"/>
        </w:rPr>
        <w:t>.</w:t>
      </w:r>
      <w:r w:rsidR="00C356BA" w:rsidRPr="00F2058B">
        <w:rPr>
          <w:rFonts w:ascii="Cambria" w:hAnsi="Cambria"/>
          <w:lang w:val="es-419"/>
        </w:rPr>
        <w:t xml:space="preserve"> </w:t>
      </w:r>
      <w:r w:rsidR="00A96035" w:rsidRPr="00F2058B">
        <w:rPr>
          <w:rFonts w:ascii="Cambria" w:hAnsi="Cambria"/>
          <w:lang w:val="es-419"/>
        </w:rPr>
        <w:t>Indica</w:t>
      </w:r>
      <w:r w:rsidR="00C356BA" w:rsidRPr="00F2058B">
        <w:rPr>
          <w:rFonts w:ascii="Cambria" w:hAnsi="Cambria"/>
          <w:lang w:val="es-419"/>
        </w:rPr>
        <w:t xml:space="preserve"> que al 19 de febrero de 2010 bajo esta investigación no habían condenados, sin embargo, se h</w:t>
      </w:r>
      <w:r w:rsidR="00A96035" w:rsidRPr="00F2058B">
        <w:rPr>
          <w:rFonts w:ascii="Cambria" w:hAnsi="Cambria"/>
          <w:lang w:val="es-419"/>
        </w:rPr>
        <w:t>abía</w:t>
      </w:r>
      <w:r w:rsidR="00C356BA" w:rsidRPr="00F2058B">
        <w:rPr>
          <w:rFonts w:ascii="Cambria" w:hAnsi="Cambria"/>
          <w:lang w:val="es-419"/>
        </w:rPr>
        <w:t xml:space="preserve"> vinculado formalmente a</w:t>
      </w:r>
      <w:r w:rsidR="00A96035" w:rsidRPr="00F2058B">
        <w:rPr>
          <w:rFonts w:ascii="Cambria" w:hAnsi="Cambria"/>
          <w:lang w:val="es-419"/>
        </w:rPr>
        <w:t>l proceso a dos personas</w:t>
      </w:r>
      <w:r w:rsidRPr="00F2058B">
        <w:rPr>
          <w:rFonts w:ascii="Cambria" w:hAnsi="Cambria"/>
          <w:lang w:val="es-419"/>
        </w:rPr>
        <w:t>.</w:t>
      </w:r>
    </w:p>
    <w:p w14:paraId="78236C6E" w14:textId="77777777" w:rsidR="00443D1B" w:rsidRPr="00F2058B" w:rsidRDefault="00443D1B" w:rsidP="00443D1B">
      <w:pPr>
        <w:pStyle w:val="ListParagraph"/>
        <w:rPr>
          <w:rFonts w:ascii="Cambria" w:hAnsi="Cambria"/>
          <w:sz w:val="20"/>
          <w:szCs w:val="20"/>
          <w:highlight w:val="lightGray"/>
          <w:lang w:val="es-419"/>
        </w:rPr>
      </w:pPr>
    </w:p>
    <w:p w14:paraId="0203BAF1" w14:textId="77777777" w:rsidR="00443D1B" w:rsidRPr="00F2058B" w:rsidRDefault="008E777D" w:rsidP="00F06940">
      <w:pPr>
        <w:pStyle w:val="Heading1"/>
        <w:keepNext w:val="0"/>
        <w:numPr>
          <w:ilvl w:val="0"/>
          <w:numId w:val="60"/>
        </w:numPr>
        <w:pBdr>
          <w:top w:val="nil"/>
          <w:left w:val="nil"/>
          <w:bottom w:val="nil"/>
          <w:right w:val="nil"/>
          <w:between w:val="nil"/>
          <w:bar w:val="nil"/>
        </w:pBdr>
        <w:tabs>
          <w:tab w:val="left" w:pos="360"/>
        </w:tabs>
        <w:suppressAutoHyphens/>
        <w:ind w:left="0" w:right="360" w:firstLine="0"/>
        <w:jc w:val="both"/>
        <w:rPr>
          <w:lang w:val="es-419"/>
        </w:rPr>
      </w:pPr>
      <w:bookmarkStart w:id="10" w:name="_Toc26366347"/>
      <w:bookmarkStart w:id="11" w:name="_Toc216359310"/>
      <w:r w:rsidRPr="00F2058B">
        <w:rPr>
          <w:rFonts w:asciiTheme="majorHAnsi" w:eastAsia="Cambria" w:hAnsiTheme="majorHAnsi" w:cs="Cambria"/>
          <w:bCs w:val="0"/>
          <w:color w:val="000000"/>
          <w:u w:color="000000"/>
          <w:lang w:val="es-419" w:eastAsia="es-ES"/>
        </w:rPr>
        <w:t>DETERMINACIONES</w:t>
      </w:r>
      <w:r w:rsidRPr="00F2058B">
        <w:rPr>
          <w:lang w:val="es-419"/>
        </w:rPr>
        <w:t xml:space="preserve"> DE HE</w:t>
      </w:r>
      <w:r w:rsidR="004C4962" w:rsidRPr="00F2058B">
        <w:rPr>
          <w:lang w:val="es-419"/>
        </w:rPr>
        <w:t>C</w:t>
      </w:r>
      <w:r w:rsidRPr="00F2058B">
        <w:rPr>
          <w:lang w:val="es-419"/>
        </w:rPr>
        <w:t>HO</w:t>
      </w:r>
      <w:bookmarkEnd w:id="10"/>
      <w:bookmarkEnd w:id="11"/>
    </w:p>
    <w:p w14:paraId="64275025" w14:textId="77777777" w:rsidR="00375EF1" w:rsidRPr="00F2058B" w:rsidRDefault="00375EF1" w:rsidP="00375EF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highlight w:val="lightGray"/>
          <w:lang w:val="es-419"/>
        </w:rPr>
      </w:pPr>
    </w:p>
    <w:p w14:paraId="533A75CE" w14:textId="77777777" w:rsidR="00375EF1" w:rsidRPr="00F2058B" w:rsidRDefault="00375EF1" w:rsidP="00F06940">
      <w:pPr>
        <w:pStyle w:val="Heading2"/>
        <w:keepNext/>
        <w:numPr>
          <w:ilvl w:val="1"/>
          <w:numId w:val="59"/>
        </w:numPr>
        <w:tabs>
          <w:tab w:val="clear" w:pos="2520"/>
          <w:tab w:val="left" w:pos="360"/>
        </w:tabs>
        <w:ind w:left="0" w:firstLine="0"/>
        <w:jc w:val="left"/>
        <w:rPr>
          <w:lang w:val="es-419"/>
        </w:rPr>
      </w:pPr>
      <w:bookmarkStart w:id="12" w:name="_Toc26366349"/>
      <w:bookmarkStart w:id="13" w:name="_Toc216359311"/>
      <w:r w:rsidRPr="00F2058B">
        <w:rPr>
          <w:szCs w:val="28"/>
          <w:lang w:val="es-419"/>
        </w:rPr>
        <w:t>Sobre</w:t>
      </w:r>
      <w:r w:rsidRPr="00F2058B">
        <w:rPr>
          <w:lang w:val="es-419"/>
        </w:rPr>
        <w:t xml:space="preserve"> el fenómeno del paramilitarismo en Colombia.</w:t>
      </w:r>
      <w:bookmarkEnd w:id="12"/>
      <w:bookmarkEnd w:id="13"/>
    </w:p>
    <w:p w14:paraId="5657A1FA" w14:textId="09B814A6" w:rsidR="00F24E3F" w:rsidRPr="00F2058B" w:rsidRDefault="00F24E3F" w:rsidP="00F24E3F">
      <w:pPr>
        <w:pStyle w:val="parrafos"/>
        <w:rPr>
          <w:rFonts w:ascii="Cambria" w:hAnsi="Cambria"/>
          <w:lang w:val="es-419"/>
        </w:rPr>
      </w:pPr>
    </w:p>
    <w:p w14:paraId="28900358" w14:textId="77777777" w:rsidR="00F24E3F" w:rsidRPr="00F2058B" w:rsidRDefault="00375EF1" w:rsidP="00F06940">
      <w:pPr>
        <w:pStyle w:val="parrafos"/>
        <w:numPr>
          <w:ilvl w:val="0"/>
          <w:numId w:val="58"/>
        </w:numPr>
        <w:ind w:left="0" w:firstLine="0"/>
        <w:rPr>
          <w:rFonts w:ascii="Cambria" w:hAnsi="Cambria"/>
          <w:lang w:val="es-419"/>
        </w:rPr>
      </w:pPr>
      <w:r w:rsidRPr="00F2058B">
        <w:rPr>
          <w:rFonts w:ascii="Cambria" w:hAnsi="Cambria"/>
          <w:lang w:val="es-419"/>
        </w:rPr>
        <w:t>Las violaciones de derechos humanos en el contexto del conflicto armado interno en Colombia y, en particular, la actuación de grupos paramilitares ha sido objeto de seguimiento por los órganos del sistema interamericano.</w:t>
      </w:r>
      <w:r w:rsidR="003644C2" w:rsidRPr="00F2058B">
        <w:rPr>
          <w:rFonts w:ascii="Cambria" w:hAnsi="Cambria"/>
          <w:lang w:val="es-419"/>
        </w:rPr>
        <w:t xml:space="preserve"> </w:t>
      </w:r>
      <w:r w:rsidRPr="00F2058B">
        <w:rPr>
          <w:rFonts w:ascii="Cambria" w:hAnsi="Cambria"/>
          <w:lang w:val="es-419"/>
        </w:rPr>
        <w:t xml:space="preserve">Según </w:t>
      </w:r>
      <w:r w:rsidR="00E004A9" w:rsidRPr="00F2058B">
        <w:rPr>
          <w:rFonts w:ascii="Cambria" w:hAnsi="Cambria"/>
          <w:lang w:val="es-419"/>
        </w:rPr>
        <w:t xml:space="preserve">ha </w:t>
      </w:r>
      <w:r w:rsidRPr="00F2058B">
        <w:rPr>
          <w:rFonts w:ascii="Cambria" w:hAnsi="Cambria"/>
          <w:lang w:val="es-419"/>
        </w:rPr>
        <w:t>estableci</w:t>
      </w:r>
      <w:r w:rsidR="00E004A9" w:rsidRPr="00F2058B">
        <w:rPr>
          <w:rFonts w:ascii="Cambria" w:hAnsi="Cambria"/>
          <w:lang w:val="es-419"/>
        </w:rPr>
        <w:t>do la CIDH,</w:t>
      </w:r>
      <w:r w:rsidRPr="00F2058B">
        <w:rPr>
          <w:rFonts w:ascii="Cambria" w:hAnsi="Cambria"/>
          <w:lang w:val="es-419"/>
        </w:rPr>
        <w:t xml:space="preserve"> el Estado jug</w:t>
      </w:r>
      <w:r w:rsidR="003644C2" w:rsidRPr="00F2058B">
        <w:rPr>
          <w:rFonts w:ascii="Cambria" w:hAnsi="Cambria"/>
          <w:lang w:val="es-419"/>
        </w:rPr>
        <w:t>ó</w:t>
      </w:r>
      <w:r w:rsidRPr="00F2058B">
        <w:rPr>
          <w:rFonts w:ascii="Cambria" w:hAnsi="Cambria"/>
          <w:lang w:val="es-419"/>
        </w:rPr>
        <w:t xml:space="preserve"> un papel importante en el desarrollo de los llamados grupos paramilitares o de autodefensa a quienes permitió actuar con protección legal y legitimidad en las décadas de los setenta y ochenta</w:t>
      </w:r>
      <w:r w:rsidRPr="00F2058B">
        <w:rPr>
          <w:rFonts w:ascii="Cambria" w:hAnsi="Cambria"/>
          <w:vertAlign w:val="superscript"/>
          <w:lang w:val="es-419"/>
        </w:rPr>
        <w:footnoteReference w:id="7"/>
      </w:r>
      <w:r w:rsidRPr="00F2058B">
        <w:rPr>
          <w:rFonts w:ascii="Cambria" w:hAnsi="Cambria"/>
          <w:lang w:val="es-419"/>
        </w:rPr>
        <w:t xml:space="preserve"> y es responsable de manera general por su existencia y fortalecimiento</w:t>
      </w:r>
      <w:r w:rsidRPr="00F2058B">
        <w:rPr>
          <w:rFonts w:ascii="Cambria" w:hAnsi="Cambria"/>
          <w:vertAlign w:val="superscript"/>
          <w:lang w:val="es-419"/>
        </w:rPr>
        <w:footnoteReference w:id="8"/>
      </w:r>
      <w:r w:rsidRPr="00F2058B">
        <w:rPr>
          <w:rFonts w:ascii="Cambria" w:hAnsi="Cambria"/>
          <w:lang w:val="es-419"/>
        </w:rPr>
        <w:t>.</w:t>
      </w:r>
    </w:p>
    <w:p w14:paraId="3CD0C50F" w14:textId="77777777" w:rsidR="00F24E3F" w:rsidRPr="00F2058B" w:rsidRDefault="00F24E3F" w:rsidP="00F24E3F">
      <w:pPr>
        <w:pStyle w:val="parrafos"/>
        <w:rPr>
          <w:rFonts w:ascii="Cambria" w:hAnsi="Cambria"/>
          <w:lang w:val="es-419"/>
        </w:rPr>
      </w:pPr>
    </w:p>
    <w:p w14:paraId="6AABAE5F" w14:textId="77777777" w:rsidR="00F24E3F" w:rsidRPr="00F2058B" w:rsidRDefault="00782073" w:rsidP="00F06940">
      <w:pPr>
        <w:pStyle w:val="parrafos"/>
        <w:numPr>
          <w:ilvl w:val="0"/>
          <w:numId w:val="58"/>
        </w:numPr>
        <w:ind w:left="0" w:firstLine="0"/>
        <w:rPr>
          <w:rFonts w:ascii="Cambria" w:hAnsi="Cambria"/>
          <w:lang w:val="es-419"/>
        </w:rPr>
      </w:pPr>
      <w:r w:rsidRPr="00F2058B">
        <w:rPr>
          <w:rFonts w:ascii="Cambria" w:hAnsi="Cambria"/>
          <w:lang w:val="es-419"/>
        </w:rPr>
        <w:t xml:space="preserve">La Comisión observa que en un inicio fue el propio Estado quien propició la creación de grupos de autodefensas con fines </w:t>
      </w:r>
      <w:r w:rsidR="00292DE8" w:rsidRPr="00F2058B">
        <w:rPr>
          <w:rFonts w:ascii="Cambria" w:hAnsi="Cambria"/>
          <w:lang w:val="es-419"/>
        </w:rPr>
        <w:t>específicos,</w:t>
      </w:r>
      <w:r w:rsidRPr="00F2058B">
        <w:rPr>
          <w:rFonts w:ascii="Cambria" w:hAnsi="Cambria"/>
          <w:lang w:val="es-419"/>
        </w:rPr>
        <w:t xml:space="preserve"> pero éstos desbordaron y empezaron a actuar al margen de la ley, inclusive con colaboración o aquiescencia de agentes del Estado. La Corte ha observado que dichos “grupos paramilitares son respon</w:t>
      </w:r>
      <w:r w:rsidR="00A96035" w:rsidRPr="00F2058B">
        <w:rPr>
          <w:rFonts w:ascii="Cambria" w:hAnsi="Cambria"/>
          <w:lang w:val="es-419"/>
        </w:rPr>
        <w:t>sables de numerosos asesinatos (…)</w:t>
      </w:r>
      <w:r w:rsidRPr="00F2058B">
        <w:rPr>
          <w:rFonts w:ascii="Cambria" w:hAnsi="Cambria"/>
          <w:lang w:val="es-419"/>
        </w:rPr>
        <w:t xml:space="preserve"> y de una gran parte de las violaciones de derechos humanos en general” cometidas en Colombia</w:t>
      </w:r>
      <w:r w:rsidRPr="00F2058B">
        <w:rPr>
          <w:rStyle w:val="FootnoteReference"/>
          <w:rFonts w:ascii="Cambria" w:hAnsi="Cambria"/>
          <w:lang w:val="es-419"/>
        </w:rPr>
        <w:footnoteReference w:id="9"/>
      </w:r>
      <w:r w:rsidRPr="00F2058B">
        <w:rPr>
          <w:rFonts w:ascii="Cambria" w:hAnsi="Cambria"/>
          <w:lang w:val="es-419"/>
        </w:rPr>
        <w:t>.</w:t>
      </w:r>
    </w:p>
    <w:p w14:paraId="53427633" w14:textId="77777777" w:rsidR="00F24E3F" w:rsidRPr="00F2058B" w:rsidRDefault="00F24E3F" w:rsidP="00F24E3F">
      <w:pPr>
        <w:pStyle w:val="ListParagraph"/>
        <w:rPr>
          <w:rFonts w:ascii="Cambria" w:hAnsi="Cambria"/>
          <w:lang w:val="es-419"/>
        </w:rPr>
      </w:pPr>
    </w:p>
    <w:p w14:paraId="616DAE59" w14:textId="77777777" w:rsidR="00F24E3F" w:rsidRPr="00F2058B" w:rsidRDefault="00782073" w:rsidP="00F06940">
      <w:pPr>
        <w:pStyle w:val="parrafos"/>
        <w:numPr>
          <w:ilvl w:val="0"/>
          <w:numId w:val="58"/>
        </w:numPr>
        <w:ind w:left="0" w:firstLine="0"/>
        <w:rPr>
          <w:rFonts w:ascii="Cambria" w:hAnsi="Cambria"/>
          <w:lang w:val="es-419"/>
        </w:rPr>
      </w:pPr>
      <w:r w:rsidRPr="00F2058B">
        <w:rPr>
          <w:rFonts w:ascii="Cambria" w:hAnsi="Cambria"/>
          <w:lang w:val="es-419"/>
        </w:rPr>
        <w:t>Esta situación ha llevado a la Comisión a establecer, a efectos de la determinación de la responsabilidad internacional del Estado conforme a la Convención Americana, que en los casos en los cuales paramilitares y miembros del Ejército llevan a cabo operaciones conjuntas con el conocimiento de oficiales superiores, o cuando los paramilitares actúan gracias a la aquiescencia u colaboración de la Fuerza Pública, debe considerarse que los miembros de los grupos paramilitares actúan como agentes estatales</w:t>
      </w:r>
      <w:r w:rsidRPr="00F2058B">
        <w:rPr>
          <w:vertAlign w:val="superscript"/>
          <w:lang w:val="es-419"/>
        </w:rPr>
        <w:footnoteReference w:id="10"/>
      </w:r>
      <w:r w:rsidRPr="00F2058B">
        <w:rPr>
          <w:rFonts w:ascii="Cambria" w:hAnsi="Cambria"/>
          <w:lang w:val="es-419"/>
        </w:rPr>
        <w:t>.</w:t>
      </w:r>
    </w:p>
    <w:p w14:paraId="5572EE38" w14:textId="77777777" w:rsidR="00F24E3F" w:rsidRPr="00F2058B" w:rsidRDefault="00F24E3F" w:rsidP="00F24E3F">
      <w:pPr>
        <w:pStyle w:val="ListParagraph"/>
        <w:rPr>
          <w:rFonts w:ascii="Cambria" w:hAnsi="Cambria"/>
          <w:lang w:val="es-419"/>
        </w:rPr>
      </w:pPr>
    </w:p>
    <w:p w14:paraId="51A29124" w14:textId="64E2874E" w:rsidR="00375EF1" w:rsidRPr="00F2058B" w:rsidRDefault="00782073" w:rsidP="00F06940">
      <w:pPr>
        <w:pStyle w:val="parrafos"/>
        <w:numPr>
          <w:ilvl w:val="0"/>
          <w:numId w:val="58"/>
        </w:numPr>
        <w:ind w:left="0" w:firstLine="0"/>
        <w:rPr>
          <w:rFonts w:ascii="Cambria" w:hAnsi="Cambria"/>
          <w:lang w:val="es-419"/>
        </w:rPr>
      </w:pPr>
      <w:r w:rsidRPr="00F2058B">
        <w:rPr>
          <w:rFonts w:ascii="Cambria" w:hAnsi="Cambria"/>
          <w:lang w:val="es-419"/>
        </w:rPr>
        <w:t>Por su parte, la Corte Interamericana ha comprobado, en distintos períodos y contextos geográficos, la existencia de vínculos entre miembros de las Fuerzas Armadas de Colombia y grupos paramilitares. Un análisis conjunto de los casos decididos por la Comisión y posteriormente por la Corte Interamericana, indica la existencia de un vínculo entre los grupos paramilitares y miembros de la fuerza pública a través de</w:t>
      </w:r>
      <w:r w:rsidR="00253D33" w:rsidRPr="00F2058B">
        <w:rPr>
          <w:rFonts w:ascii="Cambria" w:hAnsi="Cambria"/>
          <w:lang w:val="es-419"/>
        </w:rPr>
        <w:t xml:space="preserve"> </w:t>
      </w:r>
      <w:r w:rsidRPr="00F2058B">
        <w:rPr>
          <w:rFonts w:ascii="Cambria" w:hAnsi="Cambria"/>
          <w:lang w:val="es-419"/>
        </w:rPr>
        <w:t xml:space="preserve">acciones directas de apoyo, colaboración y coordinación, o bien a través de omisiones de integrantes de la fuerza pública que han favorecido las acciones de grupos paramilitares. Dentro de tales casos se encuentran </w:t>
      </w:r>
      <w:r w:rsidRPr="00F2058B">
        <w:rPr>
          <w:rFonts w:ascii="Cambria" w:hAnsi="Cambria"/>
          <w:i/>
          <w:lang w:val="es-419"/>
        </w:rPr>
        <w:t>19 Comerciantes</w:t>
      </w:r>
      <w:r w:rsidRPr="00F2058B">
        <w:rPr>
          <w:rStyle w:val="FootnoteReference"/>
          <w:rFonts w:ascii="Cambria" w:hAnsi="Cambria" w:cs="Verdana"/>
          <w:lang w:val="es-419"/>
        </w:rPr>
        <w:footnoteReference w:id="11"/>
      </w:r>
      <w:r w:rsidRPr="00F2058B">
        <w:rPr>
          <w:rFonts w:ascii="Cambria" w:hAnsi="Cambria" w:cs="Verdana"/>
          <w:lang w:val="es-419"/>
        </w:rPr>
        <w:t xml:space="preserve">, </w:t>
      </w:r>
      <w:r w:rsidRPr="00F2058B">
        <w:rPr>
          <w:rFonts w:ascii="Cambria" w:hAnsi="Cambria" w:cs="Verdana"/>
          <w:i/>
          <w:lang w:val="es-419"/>
        </w:rPr>
        <w:t xml:space="preserve">Masacre de </w:t>
      </w:r>
      <w:r w:rsidRPr="00F2058B">
        <w:rPr>
          <w:rFonts w:ascii="Cambria" w:hAnsi="Cambria" w:cs="Verdana"/>
          <w:i/>
          <w:lang w:val="es-419"/>
        </w:rPr>
        <w:lastRenderedPageBreak/>
        <w:t>Mapiripán</w:t>
      </w:r>
      <w:r w:rsidRPr="00F2058B">
        <w:rPr>
          <w:rStyle w:val="FootnoteReference"/>
          <w:rFonts w:ascii="Cambria" w:hAnsi="Cambria" w:cs="Verdana"/>
          <w:lang w:val="es-419"/>
        </w:rPr>
        <w:footnoteReference w:id="12"/>
      </w:r>
      <w:r w:rsidRPr="00F2058B">
        <w:rPr>
          <w:rFonts w:ascii="Cambria" w:hAnsi="Cambria" w:cs="Verdana"/>
          <w:lang w:val="es-419"/>
        </w:rPr>
        <w:t xml:space="preserve">, </w:t>
      </w:r>
      <w:r w:rsidRPr="00F2058B">
        <w:rPr>
          <w:rFonts w:ascii="Cambria" w:hAnsi="Cambria"/>
          <w:i/>
          <w:lang w:val="es-419"/>
        </w:rPr>
        <w:t>Masacres de El Aro e Ituango</w:t>
      </w:r>
      <w:r w:rsidRPr="00F2058B">
        <w:rPr>
          <w:rStyle w:val="FootnoteReference"/>
          <w:rFonts w:ascii="Cambria" w:hAnsi="Cambria"/>
          <w:lang w:val="es-419"/>
        </w:rPr>
        <w:footnoteReference w:id="13"/>
      </w:r>
      <w:r w:rsidRPr="00F2058B">
        <w:rPr>
          <w:rFonts w:ascii="Cambria" w:hAnsi="Cambria"/>
          <w:lang w:val="es-419"/>
        </w:rPr>
        <w:t xml:space="preserve">, </w:t>
      </w:r>
      <w:r w:rsidRPr="00F2058B">
        <w:rPr>
          <w:rFonts w:ascii="Cambria" w:hAnsi="Cambria"/>
          <w:i/>
          <w:lang w:val="es-419"/>
        </w:rPr>
        <w:t>Cepeda Vargas</w:t>
      </w:r>
      <w:r w:rsidRPr="00F2058B">
        <w:rPr>
          <w:rStyle w:val="FootnoteReference"/>
          <w:rFonts w:ascii="Cambria" w:hAnsi="Cambria"/>
          <w:lang w:val="es-419"/>
        </w:rPr>
        <w:footnoteReference w:id="14"/>
      </w:r>
      <w:r w:rsidRPr="00F2058B">
        <w:rPr>
          <w:rFonts w:ascii="Cambria" w:hAnsi="Cambria"/>
          <w:i/>
          <w:lang w:val="es-419"/>
        </w:rPr>
        <w:t xml:space="preserve">, </w:t>
      </w:r>
      <w:r w:rsidRPr="00F2058B">
        <w:rPr>
          <w:rFonts w:ascii="Cambria" w:hAnsi="Cambria"/>
          <w:lang w:val="es-419"/>
        </w:rPr>
        <w:t xml:space="preserve">entre otros. </w:t>
      </w:r>
      <w:r w:rsidR="00253D33" w:rsidRPr="00F2058B">
        <w:rPr>
          <w:rFonts w:ascii="Cambria" w:hAnsi="Cambria"/>
          <w:lang w:val="es-419"/>
        </w:rPr>
        <w:t xml:space="preserve">En el </w:t>
      </w:r>
      <w:r w:rsidR="00253D33" w:rsidRPr="00F2058B">
        <w:rPr>
          <w:rFonts w:ascii="Cambria" w:hAnsi="Cambria"/>
          <w:i/>
          <w:lang w:val="es-419"/>
        </w:rPr>
        <w:t>cas</w:t>
      </w:r>
      <w:r w:rsidR="00A96035" w:rsidRPr="00F2058B">
        <w:rPr>
          <w:rFonts w:ascii="Cambria" w:hAnsi="Cambria"/>
          <w:i/>
          <w:lang w:val="es-419"/>
        </w:rPr>
        <w:t>o de las Comunidades Afrodescendient</w:t>
      </w:r>
      <w:r w:rsidR="00253D33" w:rsidRPr="00F2058B">
        <w:rPr>
          <w:rFonts w:ascii="Cambria" w:hAnsi="Cambria"/>
          <w:i/>
          <w:lang w:val="es-419"/>
        </w:rPr>
        <w:t>es desplazadas de la Cuenca del Río Cacarica (Operación Génesis)</w:t>
      </w:r>
      <w:r w:rsidR="00253D33" w:rsidRPr="00F2058B">
        <w:rPr>
          <w:rFonts w:ascii="Cambria" w:hAnsi="Cambria"/>
          <w:lang w:val="es-419"/>
        </w:rPr>
        <w:t>, la Corte Interamericana se refirió a varias decisiones de las altas Cortes colombianas</w:t>
      </w:r>
      <w:r w:rsidR="00E004A9" w:rsidRPr="00F2058B">
        <w:rPr>
          <w:rFonts w:ascii="Cambria" w:hAnsi="Cambria"/>
          <w:lang w:val="es-419"/>
        </w:rPr>
        <w:t xml:space="preserve"> y de la Defensoría del Pueblo</w:t>
      </w:r>
      <w:r w:rsidR="00253D33" w:rsidRPr="00F2058B">
        <w:rPr>
          <w:rFonts w:ascii="Cambria" w:hAnsi="Cambria"/>
          <w:lang w:val="es-419"/>
        </w:rPr>
        <w:t xml:space="preserve"> que </w:t>
      </w:r>
      <w:r w:rsidR="00E004A9" w:rsidRPr="00F2058B">
        <w:rPr>
          <w:rFonts w:ascii="Cambria" w:hAnsi="Cambria"/>
          <w:lang w:val="es-419"/>
        </w:rPr>
        <w:t xml:space="preserve">han detectado </w:t>
      </w:r>
      <w:r w:rsidR="00253D33" w:rsidRPr="00F2058B">
        <w:rPr>
          <w:rFonts w:ascii="Cambria" w:hAnsi="Cambria"/>
          <w:lang w:val="es-419"/>
        </w:rPr>
        <w:t>los vínculos existentes entre los grupos paramilitares e integrantes de la Fuerza Pública</w:t>
      </w:r>
      <w:r w:rsidR="004615C5" w:rsidRPr="00F2058B">
        <w:rPr>
          <w:rStyle w:val="FootnoteReference"/>
          <w:rFonts w:ascii="Cambria" w:hAnsi="Cambria"/>
          <w:lang w:val="es-419"/>
        </w:rPr>
        <w:footnoteReference w:id="15"/>
      </w:r>
      <w:r w:rsidR="004615C5" w:rsidRPr="00F2058B">
        <w:rPr>
          <w:rFonts w:ascii="Cambria" w:hAnsi="Cambria"/>
          <w:lang w:val="es-419"/>
        </w:rPr>
        <w:t xml:space="preserve">. </w:t>
      </w:r>
    </w:p>
    <w:p w14:paraId="5157E752" w14:textId="77777777" w:rsidR="000E058F" w:rsidRPr="00F2058B" w:rsidRDefault="000E058F" w:rsidP="000E058F">
      <w:pPr>
        <w:pStyle w:val="parrafos"/>
        <w:rPr>
          <w:rFonts w:ascii="Cambria" w:hAnsi="Cambria"/>
          <w:highlight w:val="lightGray"/>
          <w:lang w:val="es-419"/>
        </w:rPr>
      </w:pPr>
    </w:p>
    <w:p w14:paraId="64A6EBB1" w14:textId="77777777" w:rsidR="00375EF1" w:rsidRPr="00F2058B" w:rsidRDefault="00375EF1" w:rsidP="00F06940">
      <w:pPr>
        <w:pStyle w:val="Heading2"/>
        <w:keepNext/>
        <w:numPr>
          <w:ilvl w:val="1"/>
          <w:numId w:val="59"/>
        </w:numPr>
        <w:tabs>
          <w:tab w:val="clear" w:pos="2520"/>
          <w:tab w:val="left" w:pos="360"/>
        </w:tabs>
        <w:ind w:left="0" w:firstLine="0"/>
        <w:jc w:val="left"/>
        <w:rPr>
          <w:lang w:val="es-419"/>
        </w:rPr>
      </w:pPr>
      <w:bookmarkStart w:id="14" w:name="_Toc26366350"/>
      <w:bookmarkStart w:id="15" w:name="_Toc216359312"/>
      <w:r w:rsidRPr="00F2058B">
        <w:rPr>
          <w:lang w:val="es-419"/>
        </w:rPr>
        <w:t xml:space="preserve">La </w:t>
      </w:r>
      <w:r w:rsidRPr="00F2058B">
        <w:rPr>
          <w:szCs w:val="28"/>
          <w:lang w:val="es-419"/>
        </w:rPr>
        <w:t>situación</w:t>
      </w:r>
      <w:r w:rsidRPr="00F2058B">
        <w:rPr>
          <w:lang w:val="es-419"/>
        </w:rPr>
        <w:t xml:space="preserve"> en el Magdalena Medio.</w:t>
      </w:r>
      <w:bookmarkEnd w:id="14"/>
      <w:bookmarkEnd w:id="15"/>
      <w:r w:rsidRPr="00F2058B">
        <w:rPr>
          <w:lang w:val="es-419"/>
        </w:rPr>
        <w:t xml:space="preserve"> </w:t>
      </w:r>
    </w:p>
    <w:p w14:paraId="72ACC86E" w14:textId="77777777" w:rsidR="00375EF1" w:rsidRPr="00F2058B" w:rsidRDefault="00375EF1" w:rsidP="00375EF1">
      <w:pPr>
        <w:pStyle w:val="ListParagraph"/>
        <w:rPr>
          <w:rFonts w:asciiTheme="majorHAnsi" w:hAnsiTheme="majorHAnsi"/>
          <w:sz w:val="20"/>
          <w:szCs w:val="20"/>
          <w:highlight w:val="lightGray"/>
          <w:lang w:val="es-419"/>
        </w:rPr>
      </w:pPr>
    </w:p>
    <w:p w14:paraId="43D78EF7" w14:textId="0C7E5F6F" w:rsidR="00273002" w:rsidRPr="00F2058B" w:rsidRDefault="00722C42" w:rsidP="00F06940">
      <w:pPr>
        <w:pStyle w:val="parrafos"/>
        <w:numPr>
          <w:ilvl w:val="0"/>
          <w:numId w:val="58"/>
        </w:numPr>
        <w:ind w:left="0" w:firstLine="0"/>
        <w:rPr>
          <w:lang w:val="es-419"/>
        </w:rPr>
      </w:pPr>
      <w:r w:rsidRPr="00F2058B">
        <w:rPr>
          <w:lang w:val="es-419"/>
        </w:rPr>
        <w:t>La región del Magdalena medio es la denominación que se le da a la zona central del río magdalena, y que abarca territorios de 8 departamentos (Magdalena, Cesar, Bolívar, Santander, Boyacá, Cundinamarca, Caldas y Antioquia</w:t>
      </w:r>
      <w:r w:rsidRPr="00F2058B">
        <w:rPr>
          <w:rStyle w:val="FootnoteReference"/>
          <w:lang w:val="es-419"/>
        </w:rPr>
        <w:footnoteReference w:id="16"/>
      </w:r>
      <w:r w:rsidRPr="00F2058B">
        <w:rPr>
          <w:lang w:val="es-419"/>
        </w:rPr>
        <w:t xml:space="preserve">. </w:t>
      </w:r>
      <w:r w:rsidR="00273002" w:rsidRPr="00F2058B">
        <w:rPr>
          <w:lang w:val="es-419"/>
        </w:rPr>
        <w:t>A inicios de 1980 en la región del Magdalena Medio operaban distintos grupos armados. Es así como las fuerzas militares comenzaron a establecer ‘grupos de autodefensa’ a fin de contrarrestar su accionar. Uno de estos grupos fue el denominado Autodefensas del Magdalena Medio, liderado por Ramón María Isaza Arango y conformado por campesinos dueños de pequeñas y medianas extensiones de tierra. A fines de 1980, los grupos de autodefensa, incluyendo las Autodefensas del Magdalena Medio, “mutaron acelera</w:t>
      </w:r>
      <w:r w:rsidR="00B80F82" w:rsidRPr="00F2058B">
        <w:rPr>
          <w:lang w:val="es-419"/>
        </w:rPr>
        <w:t>damente en grupos paramilitares”</w:t>
      </w:r>
      <w:r w:rsidR="00273002" w:rsidRPr="00F2058B">
        <w:rPr>
          <w:lang w:val="es-419"/>
        </w:rPr>
        <w:t>. Dichos g</w:t>
      </w:r>
      <w:r w:rsidR="00826138" w:rsidRPr="00F2058B">
        <w:rPr>
          <w:lang w:val="es-419"/>
        </w:rPr>
        <w:t>ru</w:t>
      </w:r>
      <w:r w:rsidR="00273002" w:rsidRPr="00F2058B">
        <w:rPr>
          <w:lang w:val="es-419"/>
        </w:rPr>
        <w:t>pos fueron apoyados financieramente por grupos que tenían intereses económicos en las zonas donde operaban los grupos subversivos, tales como narcotraficantes, ganaderos, hacendados, transportadores y comerciantes</w:t>
      </w:r>
      <w:r w:rsidR="00826138" w:rsidRPr="00F2058B">
        <w:rPr>
          <w:rStyle w:val="FootnoteReference"/>
          <w:lang w:val="es-419"/>
        </w:rPr>
        <w:footnoteReference w:id="17"/>
      </w:r>
      <w:r w:rsidR="00273002" w:rsidRPr="00F2058B">
        <w:rPr>
          <w:lang w:val="es-419"/>
        </w:rPr>
        <w:t>.</w:t>
      </w:r>
    </w:p>
    <w:p w14:paraId="34A3929E" w14:textId="77777777" w:rsidR="002C7B3B" w:rsidRPr="00F2058B" w:rsidRDefault="002C7B3B" w:rsidP="002C7B3B">
      <w:pPr>
        <w:pStyle w:val="parrafos"/>
        <w:rPr>
          <w:lang w:val="es-419"/>
        </w:rPr>
      </w:pPr>
    </w:p>
    <w:p w14:paraId="4BAF7396" w14:textId="4DC74D5C" w:rsidR="00813CF5" w:rsidRPr="00F2058B" w:rsidRDefault="002C7B3B" w:rsidP="00813CF5">
      <w:pPr>
        <w:pStyle w:val="parrafos"/>
        <w:numPr>
          <w:ilvl w:val="0"/>
          <w:numId w:val="58"/>
        </w:numPr>
        <w:ind w:left="0" w:firstLine="0"/>
        <w:rPr>
          <w:lang w:val="es-419"/>
        </w:rPr>
      </w:pPr>
      <w:r w:rsidRPr="00F2058B">
        <w:rPr>
          <w:lang w:val="es-419"/>
        </w:rPr>
        <w:t>El proyecto paramilitar de las Autodefensas del Magdalena Medio abarcó un territorio de operación de más de 4000 kilómetros cuadrados. Sus miembros contaban con armas de corto y largo alcance, sistemas de comunicación y una gran infraestructura de transporte. Según informes de inteligencia, dicho grupo operaba bajo un mando jerarquizado y habría estado conformado por “ex soldados, ex policías, ex guerrilleros, mercenarios a sueldo y guías activos del Ejército Nacional”, quienes habrían recibido una remuneración en dinero “bonificando por cada guerrillero muerto”</w:t>
      </w:r>
      <w:r w:rsidRPr="00F2058B">
        <w:rPr>
          <w:rStyle w:val="FootnoteReference"/>
          <w:lang w:val="es-419"/>
        </w:rPr>
        <w:t xml:space="preserve"> </w:t>
      </w:r>
      <w:r w:rsidRPr="00F2058B">
        <w:rPr>
          <w:rStyle w:val="FootnoteReference"/>
          <w:lang w:val="es-419"/>
        </w:rPr>
        <w:footnoteReference w:id="18"/>
      </w:r>
      <w:r w:rsidR="00143DFB" w:rsidRPr="00F2058B">
        <w:rPr>
          <w:lang w:val="es-419"/>
        </w:rPr>
        <w:t>.</w:t>
      </w:r>
    </w:p>
    <w:p w14:paraId="71EFACBE" w14:textId="77777777" w:rsidR="00143DFB" w:rsidRPr="00F2058B" w:rsidRDefault="00143DFB" w:rsidP="00143DFB">
      <w:pPr>
        <w:pStyle w:val="parrafos"/>
        <w:rPr>
          <w:lang w:val="es-419"/>
        </w:rPr>
      </w:pPr>
    </w:p>
    <w:p w14:paraId="6DD64378" w14:textId="77777777" w:rsidR="00813CF5" w:rsidRPr="00F2058B" w:rsidRDefault="009B4913" w:rsidP="00F06940">
      <w:pPr>
        <w:pStyle w:val="parrafos"/>
        <w:numPr>
          <w:ilvl w:val="0"/>
          <w:numId w:val="58"/>
        </w:numPr>
        <w:ind w:left="0" w:firstLine="0"/>
        <w:rPr>
          <w:lang w:val="es-419"/>
        </w:rPr>
      </w:pPr>
      <w:r w:rsidRPr="00F2058B">
        <w:rPr>
          <w:rFonts w:ascii="Cambria" w:hAnsi="Cambria"/>
          <w:lang w:val="es-419"/>
        </w:rPr>
        <w:t>L</w:t>
      </w:r>
      <w:r w:rsidR="00782073" w:rsidRPr="00F2058B">
        <w:rPr>
          <w:rFonts w:ascii="Cambria" w:hAnsi="Cambria"/>
          <w:lang w:val="es-419"/>
        </w:rPr>
        <w:t>as AUC se consolidaron como Movimiento Político-Militar de carácter antisubversivo en el año 1997 y su misión se centró primordialmente en contrarrestar la democratización de las guerrillas y proteger los intereses económicos de algunos particulares amenazados por los grupos insurgentes</w:t>
      </w:r>
      <w:r w:rsidR="00782073" w:rsidRPr="00F2058B">
        <w:rPr>
          <w:rStyle w:val="FootnoteReference"/>
          <w:rFonts w:ascii="Cambria" w:hAnsi="Cambria"/>
          <w:lang w:val="es-419"/>
        </w:rPr>
        <w:footnoteReference w:id="19"/>
      </w:r>
      <w:r w:rsidR="00622DE2" w:rsidRPr="00F2058B">
        <w:rPr>
          <w:rFonts w:ascii="Cambria" w:hAnsi="Cambria"/>
          <w:lang w:val="es-419"/>
        </w:rPr>
        <w:t>.</w:t>
      </w:r>
      <w:r w:rsidR="00782073" w:rsidRPr="00F2058B">
        <w:rPr>
          <w:rFonts w:ascii="Cambria" w:hAnsi="Cambria"/>
          <w:lang w:val="es-419"/>
        </w:rPr>
        <w:t xml:space="preserve"> </w:t>
      </w:r>
      <w:r w:rsidR="00622DE2" w:rsidRPr="00F2058B">
        <w:rPr>
          <w:rFonts w:ascii="Cambria" w:hAnsi="Cambria"/>
          <w:lang w:val="es-419"/>
        </w:rPr>
        <w:t>E</w:t>
      </w:r>
      <w:r w:rsidR="00782073" w:rsidRPr="00F2058B">
        <w:rPr>
          <w:rFonts w:ascii="Cambria" w:hAnsi="Cambria"/>
          <w:lang w:val="es-419"/>
        </w:rPr>
        <w:t>n lugares donde el Estado no tenía capacidad de cobertura, como en e</w:t>
      </w:r>
      <w:r w:rsidR="00622DE2" w:rsidRPr="00F2058B">
        <w:rPr>
          <w:rFonts w:ascii="Cambria" w:hAnsi="Cambria"/>
          <w:lang w:val="es-419"/>
        </w:rPr>
        <w:t>l Magdalena Medio</w:t>
      </w:r>
      <w:r w:rsidR="00782073" w:rsidRPr="00F2058B">
        <w:rPr>
          <w:rFonts w:ascii="Cambria" w:hAnsi="Cambria"/>
          <w:lang w:val="es-419"/>
        </w:rPr>
        <w:t>, las AUC fue</w:t>
      </w:r>
      <w:r w:rsidR="002958FC" w:rsidRPr="00F2058B">
        <w:rPr>
          <w:rFonts w:ascii="Cambria" w:hAnsi="Cambria"/>
          <w:lang w:val="es-419"/>
        </w:rPr>
        <w:t>ron</w:t>
      </w:r>
      <w:r w:rsidR="00782073" w:rsidRPr="00F2058B">
        <w:rPr>
          <w:rFonts w:ascii="Cambria" w:hAnsi="Cambria"/>
          <w:lang w:val="es-419"/>
        </w:rPr>
        <w:t xml:space="preserve"> apoyada</w:t>
      </w:r>
      <w:r w:rsidR="002958FC" w:rsidRPr="00F2058B">
        <w:rPr>
          <w:rFonts w:ascii="Cambria" w:hAnsi="Cambria"/>
          <w:lang w:val="es-419"/>
        </w:rPr>
        <w:t>s</w:t>
      </w:r>
      <w:r w:rsidR="00782073" w:rsidRPr="00F2058B">
        <w:rPr>
          <w:rFonts w:ascii="Cambria" w:hAnsi="Cambria"/>
          <w:lang w:val="es-419"/>
        </w:rPr>
        <w:t xml:space="preserve"> económica, logística y políticamente por las élites del país y las Fuerzas Militares, para mantener su dominio económico y político</w:t>
      </w:r>
      <w:r w:rsidRPr="00F2058B">
        <w:rPr>
          <w:rStyle w:val="FootnoteReference"/>
          <w:rFonts w:ascii="Cambria" w:hAnsi="Cambria"/>
          <w:lang w:val="es-419"/>
        </w:rPr>
        <w:footnoteReference w:id="20"/>
      </w:r>
      <w:r w:rsidR="00782073" w:rsidRPr="00F2058B">
        <w:rPr>
          <w:rFonts w:ascii="Cambria" w:hAnsi="Cambria"/>
          <w:lang w:val="es-419"/>
        </w:rPr>
        <w:t>.</w:t>
      </w:r>
    </w:p>
    <w:p w14:paraId="21EBC532" w14:textId="77777777" w:rsidR="00813CF5" w:rsidRPr="00F2058B" w:rsidRDefault="00813CF5" w:rsidP="00813CF5">
      <w:pPr>
        <w:pStyle w:val="ListParagraph"/>
        <w:rPr>
          <w:rFonts w:ascii="Cambria" w:hAnsi="Cambria"/>
          <w:lang w:val="es-419"/>
        </w:rPr>
      </w:pPr>
    </w:p>
    <w:p w14:paraId="5E666817" w14:textId="0BA04822" w:rsidR="00813CF5" w:rsidRPr="00F2058B" w:rsidRDefault="00813CF5" w:rsidP="00F06940">
      <w:pPr>
        <w:pStyle w:val="parrafos"/>
        <w:numPr>
          <w:ilvl w:val="0"/>
          <w:numId w:val="58"/>
        </w:numPr>
        <w:ind w:left="0" w:firstLine="0"/>
        <w:rPr>
          <w:lang w:val="es-419"/>
        </w:rPr>
      </w:pPr>
      <w:r w:rsidRPr="00F2058B">
        <w:rPr>
          <w:rFonts w:ascii="Cambria" w:hAnsi="Cambria"/>
          <w:lang w:val="es-419"/>
        </w:rPr>
        <w:t xml:space="preserve">En el caso </w:t>
      </w:r>
      <w:r w:rsidRPr="00F2058B">
        <w:rPr>
          <w:rFonts w:ascii="Cambria" w:hAnsi="Cambria"/>
          <w:i/>
          <w:lang w:val="es-419"/>
        </w:rPr>
        <w:t>Vereda la Esperanza</w:t>
      </w:r>
      <w:r w:rsidR="00722C42" w:rsidRPr="00F2058B">
        <w:rPr>
          <w:rFonts w:ascii="Cambria" w:hAnsi="Cambria"/>
          <w:lang w:val="es-419"/>
        </w:rPr>
        <w:t xml:space="preserve"> </w:t>
      </w:r>
      <w:r w:rsidR="00722C42" w:rsidRPr="00F2058B">
        <w:rPr>
          <w:rFonts w:ascii="Cambria" w:hAnsi="Cambria"/>
          <w:i/>
          <w:lang w:val="es-419"/>
        </w:rPr>
        <w:t>vs Colombia</w:t>
      </w:r>
      <w:r w:rsidRPr="00F2058B">
        <w:rPr>
          <w:rFonts w:ascii="Cambria" w:hAnsi="Cambria"/>
          <w:lang w:val="es-419"/>
        </w:rPr>
        <w:t xml:space="preserve"> la Corte Interamericana recordó que distintas autoridades han reconocido</w:t>
      </w:r>
      <w:r w:rsidR="00782073" w:rsidRPr="00F2058B">
        <w:rPr>
          <w:rFonts w:ascii="Cambria" w:hAnsi="Cambria"/>
          <w:lang w:val="es-419"/>
        </w:rPr>
        <w:t xml:space="preserve"> </w:t>
      </w:r>
      <w:r w:rsidR="00722C42" w:rsidRPr="00F2058B">
        <w:rPr>
          <w:rFonts w:ascii="Cambria" w:hAnsi="Cambria"/>
          <w:lang w:val="es-419"/>
        </w:rPr>
        <w:t>vínculos entre las A</w:t>
      </w:r>
      <w:r w:rsidR="007427C2" w:rsidRPr="00F2058B">
        <w:rPr>
          <w:rFonts w:ascii="Cambria" w:hAnsi="Cambria"/>
          <w:lang w:val="es-419"/>
        </w:rPr>
        <w:t xml:space="preserve">utodefensas Campesinas del Magdalena Medio </w:t>
      </w:r>
      <w:r w:rsidR="00722C42" w:rsidRPr="00F2058B">
        <w:rPr>
          <w:rFonts w:ascii="Cambria" w:hAnsi="Cambria"/>
          <w:lang w:val="es-419"/>
        </w:rPr>
        <w:t>y la fuerza pública. Al respecto subrayó:</w:t>
      </w:r>
    </w:p>
    <w:p w14:paraId="168104AF" w14:textId="6B43C35E" w:rsidR="00145042" w:rsidRPr="00F2058B" w:rsidRDefault="00145042" w:rsidP="00145042">
      <w:pPr>
        <w:pStyle w:val="parrafos"/>
        <w:rPr>
          <w:rFonts w:ascii="Cambria" w:hAnsi="Cambria"/>
          <w:lang w:val="es-419"/>
        </w:rPr>
      </w:pPr>
    </w:p>
    <w:p w14:paraId="0AE5C53B" w14:textId="23CF20B7" w:rsidR="00145042" w:rsidRPr="00F2058B" w:rsidRDefault="00DD7241" w:rsidP="00C52633">
      <w:pPr>
        <w:pStyle w:val="parrafos"/>
        <w:ind w:left="360" w:right="360"/>
        <w:rPr>
          <w:sz w:val="18"/>
          <w:szCs w:val="18"/>
          <w:lang w:val="es-419"/>
        </w:rPr>
      </w:pPr>
      <w:r w:rsidRPr="00F2058B">
        <w:rPr>
          <w:sz w:val="18"/>
          <w:szCs w:val="18"/>
          <w:lang w:val="es-419"/>
        </w:rPr>
        <w:t>(…)</w:t>
      </w:r>
      <w:r w:rsidR="00B364DA" w:rsidRPr="00F2058B">
        <w:rPr>
          <w:sz w:val="18"/>
          <w:szCs w:val="18"/>
          <w:lang w:val="es-419"/>
        </w:rPr>
        <w:t xml:space="preserve"> </w:t>
      </w:r>
      <w:r w:rsidR="00722C42" w:rsidRPr="00F2058B">
        <w:rPr>
          <w:sz w:val="18"/>
          <w:szCs w:val="18"/>
          <w:lang w:val="es-419"/>
        </w:rPr>
        <w:t>según se</w:t>
      </w:r>
      <w:r w:rsidR="007427C2" w:rsidRPr="00F2058B">
        <w:rPr>
          <w:sz w:val="18"/>
          <w:szCs w:val="18"/>
          <w:lang w:val="es-419"/>
        </w:rPr>
        <w:t>ñaló</w:t>
      </w:r>
      <w:r w:rsidR="00722C42" w:rsidRPr="00F2058B">
        <w:rPr>
          <w:sz w:val="18"/>
          <w:szCs w:val="18"/>
          <w:lang w:val="es-419"/>
        </w:rPr>
        <w:t xml:space="preserve"> la Sala de Justicia y Paz (…)</w:t>
      </w:r>
      <w:r w:rsidR="00B364DA" w:rsidRPr="00F2058B">
        <w:rPr>
          <w:sz w:val="18"/>
          <w:szCs w:val="18"/>
          <w:lang w:val="es-419"/>
        </w:rPr>
        <w:t xml:space="preserve">la relación de las ACMM con entidades públicas encargadas de la seguridad, protección e investigación de delitos estuvo marcada por: a) una razón funcional de acuerdo a la cual la Fuerza Pública y los paramilitares eran sustitutos, esto significa que los paramilitares “hacían lo que la Fuerza Pública no podía hacer”, y esa era la razón profunda detrás de sus relaciones de cooperación, y b) un aspecto “positivo” el cual implicaba una división del trabajo que se traducía en tareas de colaboración con miembros de la policía, incluyendo acciones conjuntas e intercambio de información. Lo anterior, también implicaba que muy frecuentemente algunos miembros de la policía o del Ejército pasaban listas de sospechosos a las autodefensas para que las asesinaran. Además, también se caracterizaba esta relación por omisiones estratégicas que implicaban que la policía podía simplemente no proveer </w:t>
      </w:r>
      <w:r w:rsidR="00B364DA" w:rsidRPr="00F2058B">
        <w:rPr>
          <w:sz w:val="18"/>
          <w:szCs w:val="18"/>
          <w:lang w:val="es-419"/>
        </w:rPr>
        <w:lastRenderedPageBreak/>
        <w:t>seguridad a los opositores de las autodefensas o el amplio margen de maniobra del que disfrutaron las autodefensas para desplegar su acción violenta sin ser “vistas” por el Estado</w:t>
      </w:r>
      <w:r w:rsidR="00FF0B2A" w:rsidRPr="00F2058B">
        <w:rPr>
          <w:sz w:val="18"/>
          <w:szCs w:val="18"/>
          <w:vertAlign w:val="superscript"/>
          <w:lang w:val="es-419"/>
        </w:rPr>
        <w:footnoteReference w:id="21"/>
      </w:r>
      <w:r w:rsidR="004615C5" w:rsidRPr="00F2058B">
        <w:rPr>
          <w:sz w:val="18"/>
          <w:szCs w:val="18"/>
          <w:lang w:val="es-419"/>
        </w:rPr>
        <w:t>.</w:t>
      </w:r>
      <w:r w:rsidR="00D8043C" w:rsidRPr="00F2058B">
        <w:rPr>
          <w:sz w:val="18"/>
          <w:szCs w:val="18"/>
          <w:lang w:val="es-419"/>
        </w:rPr>
        <w:t xml:space="preserve"> </w:t>
      </w:r>
    </w:p>
    <w:p w14:paraId="6EC12C16" w14:textId="4642CE07" w:rsidR="00F54107" w:rsidRPr="00F2058B" w:rsidRDefault="00F54107" w:rsidP="00F54107">
      <w:pPr>
        <w:pStyle w:val="parrafos"/>
        <w:rPr>
          <w:rFonts w:ascii="Cambria" w:hAnsi="Cambria"/>
          <w:highlight w:val="yellow"/>
          <w:lang w:val="es-419"/>
        </w:rPr>
      </w:pPr>
    </w:p>
    <w:p w14:paraId="1B2B37CC" w14:textId="3A009EF4" w:rsidR="007427C2" w:rsidRPr="00F2058B" w:rsidRDefault="00F54107" w:rsidP="007427C2">
      <w:pPr>
        <w:pStyle w:val="parrafos"/>
        <w:ind w:left="360" w:right="360"/>
        <w:rPr>
          <w:sz w:val="18"/>
          <w:szCs w:val="18"/>
          <w:lang w:val="es-419"/>
        </w:rPr>
      </w:pPr>
      <w:r w:rsidRPr="00F2058B">
        <w:rPr>
          <w:sz w:val="18"/>
          <w:szCs w:val="18"/>
          <w:lang w:val="es-419"/>
        </w:rPr>
        <w:t xml:space="preserve">(…) de acuerdo a información de la FGN, las operaciones de las ACMM eran favorecidas por el apoyo de integrantes de la Fuerza </w:t>
      </w:r>
      <w:r w:rsidR="00654471" w:rsidRPr="00F2058B">
        <w:rPr>
          <w:sz w:val="18"/>
          <w:szCs w:val="18"/>
          <w:lang w:val="es-419"/>
        </w:rPr>
        <w:t>Pública</w:t>
      </w:r>
      <w:r w:rsidRPr="00F2058B">
        <w:rPr>
          <w:sz w:val="18"/>
          <w:szCs w:val="18"/>
          <w:lang w:val="es-419"/>
        </w:rPr>
        <w:t xml:space="preserve">. Esa entidad </w:t>
      </w:r>
      <w:r w:rsidR="00654471" w:rsidRPr="00F2058B">
        <w:rPr>
          <w:sz w:val="18"/>
          <w:szCs w:val="18"/>
          <w:lang w:val="es-419"/>
        </w:rPr>
        <w:t>también</w:t>
      </w:r>
      <w:r w:rsidRPr="00F2058B">
        <w:rPr>
          <w:sz w:val="18"/>
          <w:szCs w:val="18"/>
          <w:lang w:val="es-419"/>
        </w:rPr>
        <w:t xml:space="preserve"> afirmó que los grupos paramilitares del Magdalena Medio “reciben apoyo </w:t>
      </w:r>
      <w:r w:rsidR="00654471" w:rsidRPr="00F2058B">
        <w:rPr>
          <w:sz w:val="18"/>
          <w:szCs w:val="18"/>
          <w:lang w:val="es-419"/>
        </w:rPr>
        <w:t>logístico</w:t>
      </w:r>
      <w:r w:rsidRPr="00F2058B">
        <w:rPr>
          <w:sz w:val="18"/>
          <w:szCs w:val="18"/>
          <w:lang w:val="es-419"/>
        </w:rPr>
        <w:t xml:space="preserve"> y anuencia para sus acciones por parte de algunos miembros del </w:t>
      </w:r>
      <w:r w:rsidR="00654471" w:rsidRPr="00F2058B">
        <w:rPr>
          <w:sz w:val="18"/>
          <w:szCs w:val="18"/>
          <w:lang w:val="es-419"/>
        </w:rPr>
        <w:t>Ejército</w:t>
      </w:r>
      <w:r w:rsidRPr="00F2058B">
        <w:rPr>
          <w:sz w:val="18"/>
          <w:szCs w:val="18"/>
          <w:lang w:val="es-419"/>
        </w:rPr>
        <w:t xml:space="preserve"> Nacional, </w:t>
      </w:r>
      <w:r w:rsidR="00654471" w:rsidRPr="00F2058B">
        <w:rPr>
          <w:sz w:val="18"/>
          <w:szCs w:val="18"/>
          <w:lang w:val="es-419"/>
        </w:rPr>
        <w:t>Policía</w:t>
      </w:r>
      <w:r w:rsidRPr="00F2058B">
        <w:rPr>
          <w:sz w:val="18"/>
          <w:szCs w:val="18"/>
          <w:lang w:val="es-419"/>
        </w:rPr>
        <w:t xml:space="preserve"> Nacional y en algunos casos del D.A.S”. </w:t>
      </w:r>
      <w:r w:rsidR="00654471" w:rsidRPr="00F2058B">
        <w:rPr>
          <w:sz w:val="18"/>
          <w:szCs w:val="18"/>
          <w:lang w:val="es-419"/>
        </w:rPr>
        <w:t>Además</w:t>
      </w:r>
      <w:r w:rsidRPr="00F2058B">
        <w:rPr>
          <w:sz w:val="18"/>
          <w:szCs w:val="18"/>
          <w:lang w:val="es-419"/>
        </w:rPr>
        <w:t xml:space="preserve"> la FGN indica que miembros de la Fuerza </w:t>
      </w:r>
      <w:r w:rsidR="00654471" w:rsidRPr="00F2058B">
        <w:rPr>
          <w:sz w:val="18"/>
          <w:szCs w:val="18"/>
          <w:lang w:val="es-419"/>
        </w:rPr>
        <w:t>Pública</w:t>
      </w:r>
      <w:r w:rsidRPr="00F2058B">
        <w:rPr>
          <w:sz w:val="18"/>
          <w:szCs w:val="18"/>
          <w:lang w:val="es-419"/>
        </w:rPr>
        <w:t xml:space="preserve"> “en algunos casos participan directamente con los paramilitares para cometer atrocidades y en otros, sirven como </w:t>
      </w:r>
      <w:r w:rsidR="00654471" w:rsidRPr="00F2058B">
        <w:rPr>
          <w:sz w:val="18"/>
          <w:szCs w:val="18"/>
          <w:lang w:val="es-419"/>
        </w:rPr>
        <w:t>cómplices</w:t>
      </w:r>
      <w:r w:rsidRPr="00F2058B">
        <w:rPr>
          <w:sz w:val="18"/>
          <w:szCs w:val="18"/>
          <w:lang w:val="es-419"/>
        </w:rPr>
        <w:t xml:space="preserve"> o encubridores de las mismas. </w:t>
      </w:r>
      <w:r w:rsidR="007427C2" w:rsidRPr="00F2058B">
        <w:rPr>
          <w:sz w:val="18"/>
          <w:szCs w:val="18"/>
          <w:lang w:val="es-419"/>
        </w:rPr>
        <w:t xml:space="preserve">Es así como para el </w:t>
      </w:r>
      <w:r w:rsidR="00654471" w:rsidRPr="00F2058B">
        <w:rPr>
          <w:sz w:val="18"/>
          <w:szCs w:val="18"/>
          <w:lang w:val="es-419"/>
        </w:rPr>
        <w:t>año</w:t>
      </w:r>
      <w:r w:rsidR="007427C2" w:rsidRPr="00F2058B">
        <w:rPr>
          <w:sz w:val="18"/>
          <w:szCs w:val="18"/>
          <w:lang w:val="es-419"/>
        </w:rPr>
        <w:t xml:space="preserve"> 1996 las ACMM “circula[ban] libremente” por la carretera Medellín-Bogotá y zonas rurales </w:t>
      </w:r>
      <w:r w:rsidR="00654471" w:rsidRPr="00F2058B">
        <w:rPr>
          <w:sz w:val="18"/>
          <w:szCs w:val="18"/>
          <w:lang w:val="es-419"/>
        </w:rPr>
        <w:t>aledañas</w:t>
      </w:r>
      <w:r w:rsidR="007427C2" w:rsidRPr="00F2058B">
        <w:rPr>
          <w:sz w:val="18"/>
          <w:szCs w:val="18"/>
          <w:lang w:val="es-419"/>
        </w:rPr>
        <w:t xml:space="preserve"> “donde es permanente y notoria la presencia de fuerzas militares y de los cuerpos policivos”. Dicho grupo se transportaba mediante el uso de camionetas junto con militares, ostentando sus armas frente a la </w:t>
      </w:r>
      <w:r w:rsidR="00654471" w:rsidRPr="00F2058B">
        <w:rPr>
          <w:sz w:val="18"/>
          <w:szCs w:val="18"/>
          <w:lang w:val="es-419"/>
        </w:rPr>
        <w:t>población</w:t>
      </w:r>
      <w:r w:rsidR="00143DFB" w:rsidRPr="00F2058B">
        <w:rPr>
          <w:sz w:val="18"/>
          <w:szCs w:val="18"/>
          <w:lang w:val="es-419"/>
        </w:rPr>
        <w:t xml:space="preserve">. </w:t>
      </w:r>
      <w:r w:rsidR="007427C2" w:rsidRPr="00F2058B">
        <w:rPr>
          <w:sz w:val="18"/>
          <w:szCs w:val="18"/>
          <w:lang w:val="es-419"/>
        </w:rPr>
        <w:t xml:space="preserve">107. El Comandante de las ACMM para la </w:t>
      </w:r>
      <w:r w:rsidR="00654471" w:rsidRPr="00F2058B">
        <w:rPr>
          <w:sz w:val="18"/>
          <w:szCs w:val="18"/>
          <w:lang w:val="es-419"/>
        </w:rPr>
        <w:t>época</w:t>
      </w:r>
      <w:r w:rsidR="007427C2" w:rsidRPr="00F2058B">
        <w:rPr>
          <w:sz w:val="18"/>
          <w:szCs w:val="18"/>
          <w:lang w:val="es-419"/>
        </w:rPr>
        <w:t xml:space="preserve"> de los hechos, </w:t>
      </w:r>
      <w:r w:rsidR="00772A60" w:rsidRPr="00F2058B">
        <w:rPr>
          <w:sz w:val="18"/>
          <w:szCs w:val="18"/>
          <w:lang w:val="es-419"/>
        </w:rPr>
        <w:t>señaló</w:t>
      </w:r>
      <w:r w:rsidR="007427C2" w:rsidRPr="00F2058B">
        <w:rPr>
          <w:sz w:val="18"/>
          <w:szCs w:val="18"/>
          <w:lang w:val="es-419"/>
        </w:rPr>
        <w:t xml:space="preserve"> que miembros de las ACMM “andaban la </w:t>
      </w:r>
      <w:r w:rsidR="00654471" w:rsidRPr="00F2058B">
        <w:rPr>
          <w:sz w:val="18"/>
          <w:szCs w:val="18"/>
          <w:lang w:val="es-419"/>
        </w:rPr>
        <w:t>mayoría</w:t>
      </w:r>
      <w:r w:rsidR="007427C2" w:rsidRPr="00F2058B">
        <w:rPr>
          <w:sz w:val="18"/>
          <w:szCs w:val="18"/>
          <w:lang w:val="es-419"/>
        </w:rPr>
        <w:t xml:space="preserve"> de las veces [...] siempre </w:t>
      </w:r>
      <w:r w:rsidR="00654471" w:rsidRPr="00F2058B">
        <w:rPr>
          <w:sz w:val="18"/>
          <w:szCs w:val="18"/>
          <w:lang w:val="es-419"/>
        </w:rPr>
        <w:t>acompañados</w:t>
      </w:r>
      <w:r w:rsidR="007427C2" w:rsidRPr="00F2058B">
        <w:rPr>
          <w:sz w:val="18"/>
          <w:szCs w:val="18"/>
          <w:lang w:val="es-419"/>
        </w:rPr>
        <w:t xml:space="preserve"> del </w:t>
      </w:r>
      <w:r w:rsidR="00654471" w:rsidRPr="00F2058B">
        <w:rPr>
          <w:sz w:val="18"/>
          <w:szCs w:val="18"/>
          <w:lang w:val="es-419"/>
        </w:rPr>
        <w:t>Ejército</w:t>
      </w:r>
      <w:r w:rsidR="007427C2" w:rsidRPr="00F2058B">
        <w:rPr>
          <w:sz w:val="18"/>
          <w:szCs w:val="18"/>
          <w:lang w:val="es-419"/>
        </w:rPr>
        <w:t xml:space="preserve">” 108. Sin perjuicio de lo anterior, la Sala de Justicia y Paz </w:t>
      </w:r>
      <w:r w:rsidR="00654471" w:rsidRPr="00F2058B">
        <w:rPr>
          <w:sz w:val="18"/>
          <w:szCs w:val="18"/>
          <w:lang w:val="es-419"/>
        </w:rPr>
        <w:t>también</w:t>
      </w:r>
      <w:r w:rsidR="007427C2" w:rsidRPr="00F2058B">
        <w:rPr>
          <w:sz w:val="18"/>
          <w:szCs w:val="18"/>
          <w:lang w:val="es-419"/>
        </w:rPr>
        <w:t xml:space="preserve"> mencionó que esas relaciones tuvieron un aspecto “negativo” que implicaba que la </w:t>
      </w:r>
      <w:r w:rsidR="00654471" w:rsidRPr="00F2058B">
        <w:rPr>
          <w:sz w:val="18"/>
          <w:szCs w:val="18"/>
          <w:lang w:val="es-419"/>
        </w:rPr>
        <w:t>policía</w:t>
      </w:r>
      <w:r w:rsidR="007427C2" w:rsidRPr="00F2058B">
        <w:rPr>
          <w:sz w:val="18"/>
          <w:szCs w:val="18"/>
          <w:lang w:val="es-419"/>
        </w:rPr>
        <w:t xml:space="preserve"> y las ACMM estuvieron </w:t>
      </w:r>
      <w:r w:rsidR="00654471" w:rsidRPr="00F2058B">
        <w:rPr>
          <w:sz w:val="18"/>
          <w:szCs w:val="18"/>
          <w:lang w:val="es-419"/>
        </w:rPr>
        <w:t>también</w:t>
      </w:r>
      <w:r w:rsidR="007427C2" w:rsidRPr="00F2058B">
        <w:rPr>
          <w:sz w:val="18"/>
          <w:szCs w:val="18"/>
          <w:lang w:val="es-419"/>
        </w:rPr>
        <w:t xml:space="preserve"> enfrentados por intereses y </w:t>
      </w:r>
      <w:r w:rsidR="00654471" w:rsidRPr="00F2058B">
        <w:rPr>
          <w:sz w:val="18"/>
          <w:szCs w:val="18"/>
          <w:lang w:val="es-419"/>
        </w:rPr>
        <w:t>prácticas</w:t>
      </w:r>
      <w:r w:rsidR="007427C2" w:rsidRPr="00F2058B">
        <w:rPr>
          <w:sz w:val="18"/>
          <w:szCs w:val="18"/>
          <w:lang w:val="es-419"/>
        </w:rPr>
        <w:t xml:space="preserve"> contradictorias y que esas tensiones implicaron “desenlaces fatales” que influyeron sobre los patrones de violencia que caracterizaron a las ACMM</w:t>
      </w:r>
      <w:r w:rsidR="007427C2" w:rsidRPr="00F2058B">
        <w:rPr>
          <w:sz w:val="18"/>
          <w:szCs w:val="18"/>
          <w:vertAlign w:val="superscript"/>
          <w:lang w:val="es-419"/>
        </w:rPr>
        <w:footnoteReference w:id="22"/>
      </w:r>
      <w:r w:rsidR="007427C2" w:rsidRPr="00F2058B">
        <w:rPr>
          <w:sz w:val="18"/>
          <w:szCs w:val="18"/>
          <w:lang w:val="es-419"/>
        </w:rPr>
        <w:t>.</w:t>
      </w:r>
    </w:p>
    <w:p w14:paraId="30FE6C31" w14:textId="7A3CCD4B" w:rsidR="00AA4E4E" w:rsidRPr="00F2058B" w:rsidRDefault="00AA4E4E" w:rsidP="00AA4E4E">
      <w:pPr>
        <w:pStyle w:val="parrafos"/>
        <w:rPr>
          <w:rFonts w:ascii="Cambria" w:hAnsi="Cambria"/>
          <w:lang w:val="es-419"/>
        </w:rPr>
      </w:pPr>
    </w:p>
    <w:p w14:paraId="615105CC" w14:textId="3BECE66A" w:rsidR="0097040E" w:rsidRPr="00F2058B" w:rsidRDefault="002839CE" w:rsidP="00F06940">
      <w:pPr>
        <w:pStyle w:val="Heading2"/>
        <w:keepNext/>
        <w:numPr>
          <w:ilvl w:val="1"/>
          <w:numId w:val="59"/>
        </w:numPr>
        <w:tabs>
          <w:tab w:val="clear" w:pos="2520"/>
          <w:tab w:val="left" w:pos="360"/>
        </w:tabs>
        <w:ind w:left="0" w:firstLine="0"/>
        <w:jc w:val="left"/>
        <w:rPr>
          <w:lang w:val="es-419"/>
        </w:rPr>
      </w:pPr>
      <w:bookmarkStart w:id="16" w:name="_Toc216359313"/>
      <w:r w:rsidRPr="00F2058B">
        <w:rPr>
          <w:lang w:val="es-419"/>
        </w:rPr>
        <w:t>Antecedentes y</w:t>
      </w:r>
      <w:r w:rsidR="001A1770" w:rsidRPr="00F2058B">
        <w:rPr>
          <w:lang w:val="es-419"/>
        </w:rPr>
        <w:t xml:space="preserve"> </w:t>
      </w:r>
      <w:r w:rsidR="002F0A3C" w:rsidRPr="00F2058B">
        <w:rPr>
          <w:lang w:val="es-419"/>
        </w:rPr>
        <w:t>desapariciones</w:t>
      </w:r>
      <w:r w:rsidR="001A1770" w:rsidRPr="00F2058B">
        <w:rPr>
          <w:lang w:val="es-419"/>
        </w:rPr>
        <w:t xml:space="preserve"> de G</w:t>
      </w:r>
      <w:r w:rsidR="00366030" w:rsidRPr="00F2058B">
        <w:rPr>
          <w:lang w:val="es-419"/>
        </w:rPr>
        <w:t>ildardo Fuentes y Edgar Quiroga</w:t>
      </w:r>
      <w:bookmarkEnd w:id="16"/>
    </w:p>
    <w:p w14:paraId="0A5040D6" w14:textId="77777777" w:rsidR="0097040E" w:rsidRPr="00F2058B" w:rsidRDefault="0097040E" w:rsidP="0097040E">
      <w:pPr>
        <w:rPr>
          <w:lang w:val="es-419"/>
        </w:rPr>
      </w:pPr>
    </w:p>
    <w:p w14:paraId="085BDEDB" w14:textId="67A1FEF9" w:rsidR="0097040E" w:rsidRPr="00F2058B" w:rsidRDefault="0097040E" w:rsidP="00F06940">
      <w:pPr>
        <w:pStyle w:val="parrafos"/>
        <w:numPr>
          <w:ilvl w:val="0"/>
          <w:numId w:val="58"/>
        </w:numPr>
        <w:ind w:left="0" w:firstLine="0"/>
        <w:rPr>
          <w:rFonts w:ascii="Cambria" w:hAnsi="Cambria"/>
          <w:lang w:val="es-419"/>
        </w:rPr>
      </w:pPr>
      <w:r w:rsidRPr="00F2058B">
        <w:rPr>
          <w:rFonts w:ascii="Cambria" w:hAnsi="Cambria"/>
          <w:lang w:val="es-419"/>
        </w:rPr>
        <w:t>Según información disponible Édgar Quiroga, era un líder campesino y uno de los voceros del éxodo campesino que tuvo lugar durante el segundo semestre del año 1998 en el Magdalena Medio. En este éxodo participaron alrededor de 10.000 campesinos y el mismo culminó con la suscripción de un acuerdo con el presidente de la época Andrés Pastrana Arango, en la cual se com</w:t>
      </w:r>
      <w:r w:rsidR="00570A5A" w:rsidRPr="00F2058B">
        <w:rPr>
          <w:rFonts w:ascii="Cambria" w:hAnsi="Cambria"/>
          <w:lang w:val="es-419"/>
        </w:rPr>
        <w:t xml:space="preserve">prometió a garantizar la </w:t>
      </w:r>
      <w:r w:rsidRPr="00F2058B">
        <w:rPr>
          <w:rFonts w:ascii="Cambria" w:hAnsi="Cambria"/>
          <w:lang w:val="es-419"/>
        </w:rPr>
        <w:t>vida e integridad personal de los campesinos y en especial de los voceros participantes</w:t>
      </w:r>
      <w:r w:rsidRPr="00F2058B">
        <w:rPr>
          <w:rStyle w:val="FootnoteReference"/>
          <w:rFonts w:ascii="Cambria" w:hAnsi="Cambria"/>
          <w:lang w:val="es-419"/>
        </w:rPr>
        <w:footnoteReference w:id="23"/>
      </w:r>
      <w:r w:rsidR="008A1E97" w:rsidRPr="00F2058B">
        <w:rPr>
          <w:rFonts w:ascii="Cambria" w:hAnsi="Cambria"/>
          <w:lang w:val="es-419"/>
        </w:rPr>
        <w:t>.</w:t>
      </w:r>
      <w:r w:rsidRPr="00F2058B">
        <w:rPr>
          <w:rFonts w:ascii="Cambria" w:hAnsi="Cambria"/>
          <w:lang w:val="es-419"/>
        </w:rPr>
        <w:t xml:space="preserve"> Sus familiares son: su compañera permanente Luz Marina Vallejo</w:t>
      </w:r>
      <w:r w:rsidR="00B30C8B" w:rsidRPr="00F2058B">
        <w:rPr>
          <w:rStyle w:val="FootnoteReference"/>
          <w:rFonts w:ascii="Cambria" w:hAnsi="Cambria"/>
          <w:lang w:val="es-419"/>
        </w:rPr>
        <w:footnoteReference w:id="24"/>
      </w:r>
      <w:r w:rsidRPr="00F2058B">
        <w:rPr>
          <w:rFonts w:ascii="Cambria" w:hAnsi="Cambria"/>
          <w:lang w:val="es-419"/>
        </w:rPr>
        <w:t>, su hija</w:t>
      </w:r>
      <w:r w:rsidRPr="00F2058B">
        <w:rPr>
          <w:rStyle w:val="FootnoteReference"/>
          <w:rFonts w:ascii="Cambria" w:hAnsi="Cambria"/>
          <w:lang w:val="es-419"/>
        </w:rPr>
        <w:footnoteReference w:id="25"/>
      </w:r>
      <w:r w:rsidRPr="00F2058B">
        <w:rPr>
          <w:rFonts w:ascii="Cambria" w:hAnsi="Cambria"/>
          <w:lang w:val="es-419"/>
        </w:rPr>
        <w:t>, su madre Ana Eugenia Rojas de Moreno</w:t>
      </w:r>
      <w:r w:rsidR="00616F3E" w:rsidRPr="00F2058B">
        <w:rPr>
          <w:rStyle w:val="FootnoteReference"/>
          <w:sz w:val="18"/>
          <w:szCs w:val="18"/>
          <w:lang w:val="es-419"/>
        </w:rPr>
        <w:footnoteReference w:id="26"/>
      </w:r>
      <w:r w:rsidRPr="00F2058B">
        <w:rPr>
          <w:rFonts w:ascii="Cambria" w:hAnsi="Cambria"/>
          <w:lang w:val="es-419"/>
        </w:rPr>
        <w:t>, y su hermana Noraida Quiroga.</w:t>
      </w:r>
      <w:r w:rsidR="00570A5A" w:rsidRPr="00F2058B">
        <w:rPr>
          <w:rStyle w:val="FootnoteReference"/>
          <w:rFonts w:ascii="Cambria" w:hAnsi="Cambria"/>
          <w:lang w:val="es-419"/>
        </w:rPr>
        <w:footnoteReference w:id="27"/>
      </w:r>
      <w:r w:rsidR="00570A5A" w:rsidRPr="00F2058B">
        <w:rPr>
          <w:rFonts w:ascii="Cambria" w:hAnsi="Cambria"/>
          <w:lang w:val="es-419"/>
        </w:rPr>
        <w:t xml:space="preserve"> </w:t>
      </w:r>
      <w:r w:rsidRPr="00F2058B">
        <w:rPr>
          <w:rFonts w:ascii="Cambria" w:hAnsi="Cambria"/>
          <w:lang w:val="es-419"/>
        </w:rPr>
        <w:t xml:space="preserve"> </w:t>
      </w:r>
    </w:p>
    <w:p w14:paraId="47812142" w14:textId="77777777" w:rsidR="0097040E" w:rsidRPr="00F2058B" w:rsidRDefault="0097040E" w:rsidP="0097040E">
      <w:pPr>
        <w:pStyle w:val="parrafos"/>
        <w:rPr>
          <w:rFonts w:ascii="Cambria" w:hAnsi="Cambria"/>
          <w:lang w:val="es-419"/>
        </w:rPr>
      </w:pPr>
    </w:p>
    <w:p w14:paraId="3FE5AAD2" w14:textId="77777777" w:rsidR="0097040E" w:rsidRPr="00F2058B" w:rsidRDefault="0097040E" w:rsidP="00F06940">
      <w:pPr>
        <w:pStyle w:val="parrafos"/>
        <w:numPr>
          <w:ilvl w:val="0"/>
          <w:numId w:val="58"/>
        </w:numPr>
        <w:ind w:left="0" w:firstLine="0"/>
        <w:rPr>
          <w:rFonts w:ascii="Cambria" w:hAnsi="Cambria"/>
          <w:lang w:val="es-419"/>
        </w:rPr>
      </w:pPr>
      <w:r w:rsidRPr="00F2058B">
        <w:rPr>
          <w:rFonts w:ascii="Cambria" w:eastAsia="Times New Roman" w:hAnsi="Cambria"/>
          <w:color w:val="000000"/>
          <w:u w:color="000000"/>
          <w:lang w:val="es-419" w:eastAsia="es-ES"/>
        </w:rPr>
        <w:t>Por su parte Gildardo Fuentes, para la época de los hechos contaba con 19 años de edad. Su oficio era comerciante de víveres. Al momento de los hechos residía en la vereda Aguas Lindas del Corregimiento Cerro Azul, municipio de San Pablo</w:t>
      </w:r>
      <w:r w:rsidRPr="00F2058B">
        <w:rPr>
          <w:rStyle w:val="FootnoteReference"/>
          <w:rFonts w:ascii="Cambria" w:eastAsia="Times New Roman" w:hAnsi="Cambria"/>
          <w:color w:val="000000"/>
          <w:u w:color="000000"/>
          <w:lang w:val="es-419" w:eastAsia="es-ES"/>
        </w:rPr>
        <w:footnoteReference w:id="28"/>
      </w:r>
      <w:r w:rsidRPr="00F2058B">
        <w:rPr>
          <w:rFonts w:ascii="Cambria" w:eastAsia="Times New Roman" w:hAnsi="Cambria"/>
          <w:color w:val="000000"/>
          <w:u w:color="000000"/>
          <w:lang w:val="es-419" w:eastAsia="es-ES"/>
        </w:rPr>
        <w:t>. Sus familiares son: su padre Vicente Fuentes y su madre Victoria Delgado Anaya</w:t>
      </w:r>
      <w:r w:rsidRPr="00F2058B">
        <w:rPr>
          <w:rStyle w:val="FootnoteReference"/>
          <w:rFonts w:ascii="Cambria" w:eastAsia="Times New Roman" w:hAnsi="Cambria"/>
          <w:color w:val="000000"/>
          <w:u w:color="000000"/>
          <w:lang w:val="es-419" w:eastAsia="es-ES"/>
        </w:rPr>
        <w:footnoteReference w:id="29"/>
      </w:r>
      <w:r w:rsidRPr="00F2058B">
        <w:rPr>
          <w:rFonts w:ascii="Cambria" w:eastAsia="Times New Roman" w:hAnsi="Cambria"/>
          <w:color w:val="000000"/>
          <w:u w:color="000000"/>
          <w:lang w:val="es-419" w:eastAsia="es-ES"/>
        </w:rPr>
        <w:t>. Esta última, como se indica a continuación, realizó distintas denuncias sobre la desaparición de su hijo, hasta su muerte en diciembre de 2001.</w:t>
      </w:r>
    </w:p>
    <w:p w14:paraId="6CF25D66" w14:textId="13DF4C02" w:rsidR="0097040E" w:rsidRPr="00F2058B" w:rsidRDefault="0097040E" w:rsidP="00A51316">
      <w:pPr>
        <w:rPr>
          <w:rFonts w:ascii="Cambria" w:hAnsi="Cambria"/>
          <w:lang w:val="es-419"/>
        </w:rPr>
      </w:pPr>
    </w:p>
    <w:p w14:paraId="3D54A6FD" w14:textId="1F7D9628" w:rsidR="002839CE" w:rsidRPr="00F2058B" w:rsidRDefault="008E2630" w:rsidP="00F06940">
      <w:pPr>
        <w:pStyle w:val="parrafos"/>
        <w:numPr>
          <w:ilvl w:val="0"/>
          <w:numId w:val="58"/>
        </w:numPr>
        <w:ind w:left="0" w:firstLine="0"/>
        <w:rPr>
          <w:rFonts w:ascii="Cambria" w:hAnsi="Cambria"/>
          <w:lang w:val="es-419"/>
        </w:rPr>
      </w:pPr>
      <w:r w:rsidRPr="00F2058B">
        <w:rPr>
          <w:rFonts w:ascii="Cambria" w:hAnsi="Cambria"/>
          <w:lang w:val="es-419"/>
        </w:rPr>
        <w:t>Según información disponible el 8 de octubre de 1999 Gild</w:t>
      </w:r>
      <w:r w:rsidR="00973210" w:rsidRPr="00F2058B">
        <w:rPr>
          <w:rFonts w:ascii="Cambria" w:hAnsi="Cambria"/>
          <w:lang w:val="es-419"/>
        </w:rPr>
        <w:t>ardo Fuentes fue secuestrado y s</w:t>
      </w:r>
      <w:r w:rsidRPr="00F2058B">
        <w:rPr>
          <w:rFonts w:ascii="Cambria" w:hAnsi="Cambria"/>
          <w:lang w:val="es-419"/>
        </w:rPr>
        <w:t>o</w:t>
      </w:r>
      <w:r w:rsidR="00973210" w:rsidRPr="00F2058B">
        <w:rPr>
          <w:rFonts w:ascii="Cambria" w:hAnsi="Cambria"/>
          <w:lang w:val="es-419"/>
        </w:rPr>
        <w:t>metido a diversos golpes y maltratos</w:t>
      </w:r>
      <w:r w:rsidRPr="00F2058B">
        <w:rPr>
          <w:rFonts w:ascii="Cambria" w:hAnsi="Cambria"/>
          <w:lang w:val="es-419"/>
        </w:rPr>
        <w:t xml:space="preserve">, sin embargo, logró escapar. En particular, consta que en tal fecha cuando se dirigía con otra persona </w:t>
      </w:r>
      <w:r w:rsidR="00973B63" w:rsidRPr="00F2058B">
        <w:rPr>
          <w:rFonts w:ascii="Cambria" w:hAnsi="Cambria"/>
          <w:lang w:val="es-419"/>
        </w:rPr>
        <w:t>a dejar un mercado a</w:t>
      </w:r>
      <w:r w:rsidRPr="00F2058B">
        <w:rPr>
          <w:rFonts w:ascii="Cambria" w:hAnsi="Cambria"/>
          <w:lang w:val="es-419"/>
        </w:rPr>
        <w:t>l negocio de su</w:t>
      </w:r>
      <w:r w:rsidR="00CF676F" w:rsidRPr="00F2058B">
        <w:rPr>
          <w:rFonts w:ascii="Cambria" w:hAnsi="Cambria"/>
          <w:lang w:val="es-419"/>
        </w:rPr>
        <w:t xml:space="preserve"> madre</w:t>
      </w:r>
      <w:r w:rsidR="00973B63" w:rsidRPr="00F2058B">
        <w:rPr>
          <w:rFonts w:ascii="Cambria" w:hAnsi="Cambria"/>
          <w:lang w:val="es-419"/>
        </w:rPr>
        <w:t>, fueron detenidos</w:t>
      </w:r>
      <w:r w:rsidR="002839CE" w:rsidRPr="00F2058B">
        <w:rPr>
          <w:rFonts w:ascii="Cambria" w:hAnsi="Cambria"/>
          <w:lang w:val="es-419"/>
        </w:rPr>
        <w:t xml:space="preserve"> </w:t>
      </w:r>
      <w:r w:rsidR="00973B63" w:rsidRPr="00F2058B">
        <w:rPr>
          <w:rFonts w:ascii="Cambria" w:hAnsi="Cambria"/>
          <w:lang w:val="es-419"/>
        </w:rPr>
        <w:t>por</w:t>
      </w:r>
      <w:r w:rsidR="002839CE" w:rsidRPr="00F2058B">
        <w:rPr>
          <w:rFonts w:ascii="Cambria" w:hAnsi="Cambria"/>
          <w:lang w:val="es-419"/>
        </w:rPr>
        <w:t xml:space="preserve"> miembros del Ejército Nacional quienes después de solicitarles la exhibición de sus documentos les permitieron continuar el paso. </w:t>
      </w:r>
      <w:r w:rsidR="00973B63" w:rsidRPr="00F2058B">
        <w:rPr>
          <w:rFonts w:ascii="Cambria" w:hAnsi="Cambria"/>
          <w:lang w:val="es-419"/>
        </w:rPr>
        <w:t xml:space="preserve">Consta que más adelante </w:t>
      </w:r>
      <w:r w:rsidR="002839CE" w:rsidRPr="00F2058B">
        <w:rPr>
          <w:rFonts w:ascii="Cambria" w:hAnsi="Cambria"/>
          <w:lang w:val="es-419"/>
        </w:rPr>
        <w:t>del retén militar estaba el retén de los paramilitares quienes les preguntaron para quién y dónde iba ese mercado, después de responder el señor Gildardo Fuentes que eran para el establecimiento de su madre, los paramilitares le dijeron que esa era la remesa que esperaban y lo forzaron a subirse en una de sus camionetas</w:t>
      </w:r>
      <w:r w:rsidR="002839CE" w:rsidRPr="00F2058B">
        <w:rPr>
          <w:rStyle w:val="FootnoteReference"/>
          <w:rFonts w:ascii="Cambria" w:hAnsi="Cambria"/>
          <w:lang w:val="es-419"/>
        </w:rPr>
        <w:footnoteReference w:id="30"/>
      </w:r>
      <w:r w:rsidR="002839CE" w:rsidRPr="00F2058B">
        <w:rPr>
          <w:rFonts w:ascii="Cambria" w:hAnsi="Cambria"/>
          <w:lang w:val="es-419"/>
        </w:rPr>
        <w:t xml:space="preserve">. </w:t>
      </w:r>
    </w:p>
    <w:p w14:paraId="734FB383" w14:textId="3D1E41A3" w:rsidR="002839CE" w:rsidRPr="00F2058B" w:rsidRDefault="002839CE" w:rsidP="002839CE">
      <w:pPr>
        <w:pStyle w:val="parrafos"/>
        <w:rPr>
          <w:rFonts w:ascii="Cambria" w:hAnsi="Cambria"/>
          <w:lang w:val="es-419"/>
        </w:rPr>
      </w:pPr>
    </w:p>
    <w:p w14:paraId="03F5EAED" w14:textId="3AFC2CD5" w:rsidR="00973B63" w:rsidRPr="00F2058B" w:rsidRDefault="00973B63" w:rsidP="00F06940">
      <w:pPr>
        <w:pStyle w:val="parrafos"/>
        <w:numPr>
          <w:ilvl w:val="0"/>
          <w:numId w:val="58"/>
        </w:numPr>
        <w:ind w:left="0" w:firstLine="0"/>
        <w:rPr>
          <w:rFonts w:ascii="Cambria" w:hAnsi="Cambria"/>
          <w:lang w:val="es-419"/>
        </w:rPr>
      </w:pPr>
      <w:r w:rsidRPr="00F2058B">
        <w:rPr>
          <w:rFonts w:ascii="Cambria" w:hAnsi="Cambria"/>
          <w:lang w:val="es-419"/>
        </w:rPr>
        <w:lastRenderedPageBreak/>
        <w:t>Conforme denuncia formulada por la presunta víctima, los paramilitares lo retuvieron por 48 horas, lapso en que estuvo ama</w:t>
      </w:r>
      <w:r w:rsidR="0066706C" w:rsidRPr="00F2058B">
        <w:rPr>
          <w:rFonts w:ascii="Cambria" w:hAnsi="Cambria"/>
          <w:lang w:val="es-419"/>
        </w:rPr>
        <w:t>rrado en una casa en San Pablo, Bolívar</w:t>
      </w:r>
      <w:r w:rsidRPr="00F2058B">
        <w:rPr>
          <w:rFonts w:ascii="Cambria" w:hAnsi="Cambria"/>
          <w:lang w:val="es-419"/>
        </w:rPr>
        <w:t xml:space="preserve"> en la cual lo interrogaron y le acusaron de ser guerrillero. Indicó que pasado un día completo sin alimentación, a la media noche lo llevaron a el y otra persona hacia el río La Sierra donde los tiraron boca abajo y les propinaron machetazos en la nuca. Según indicó la presunta víctima, logró pararse y reclamar que lo mataran con un tiro, y forcejear en el río con su agresor, do</w:t>
      </w:r>
      <w:r w:rsidR="00E674E4" w:rsidRPr="00F2058B">
        <w:rPr>
          <w:rFonts w:ascii="Cambria" w:hAnsi="Cambria"/>
          <w:lang w:val="es-419"/>
        </w:rPr>
        <w:t>n</w:t>
      </w:r>
      <w:r w:rsidRPr="00F2058B">
        <w:rPr>
          <w:rFonts w:ascii="Cambria" w:hAnsi="Cambria"/>
          <w:lang w:val="es-419"/>
        </w:rPr>
        <w:t>de se sumergió y logró escapar</w:t>
      </w:r>
      <w:r w:rsidR="00034CFE" w:rsidRPr="00F2058B">
        <w:rPr>
          <w:rStyle w:val="FootnoteReference"/>
          <w:rFonts w:ascii="Cambria" w:hAnsi="Cambria"/>
          <w:lang w:val="es-419"/>
        </w:rPr>
        <w:footnoteReference w:id="31"/>
      </w:r>
      <w:r w:rsidRPr="00F2058B">
        <w:rPr>
          <w:rFonts w:ascii="Cambria" w:hAnsi="Cambria"/>
          <w:lang w:val="es-419"/>
        </w:rPr>
        <w:t xml:space="preserve">. </w:t>
      </w:r>
      <w:r w:rsidR="007F48E7" w:rsidRPr="00F2058B">
        <w:rPr>
          <w:rFonts w:ascii="Cambria" w:hAnsi="Cambria"/>
          <w:lang w:val="es-419"/>
        </w:rPr>
        <w:t>En sus palabras indicó:</w:t>
      </w:r>
    </w:p>
    <w:p w14:paraId="20D60540" w14:textId="77777777" w:rsidR="007F48E7" w:rsidRPr="00F2058B" w:rsidRDefault="007F48E7" w:rsidP="007F48E7">
      <w:pPr>
        <w:pStyle w:val="parrafos"/>
        <w:rPr>
          <w:rFonts w:ascii="Cambria" w:hAnsi="Cambria"/>
          <w:lang w:val="es-419"/>
        </w:rPr>
      </w:pPr>
    </w:p>
    <w:p w14:paraId="610BE827" w14:textId="02C60ED9" w:rsidR="007F48E7" w:rsidRPr="00F2058B" w:rsidRDefault="007F48E7" w:rsidP="0060581A">
      <w:pPr>
        <w:pStyle w:val="parrafos"/>
        <w:ind w:left="360"/>
        <w:rPr>
          <w:rFonts w:ascii="Cambria" w:hAnsi="Cambria"/>
          <w:sz w:val="18"/>
          <w:szCs w:val="18"/>
          <w:lang w:val="es-419"/>
        </w:rPr>
      </w:pPr>
      <w:r w:rsidRPr="00F2058B">
        <w:rPr>
          <w:rFonts w:ascii="Cambria" w:hAnsi="Cambria"/>
          <w:sz w:val="18"/>
          <w:szCs w:val="18"/>
          <w:lang w:val="es-419"/>
        </w:rPr>
        <w:t xml:space="preserve">CONTESTO. Lo que paso fue que mi mamá me mandó a San Pablo (Bolívar) a buscar un surtido para la tienda que tenemos en Aguaslindas, eso fue el ocho de octubre del presente año, entonces </w:t>
      </w:r>
      <w:r w:rsidR="00844ACA" w:rsidRPr="00F2058B">
        <w:rPr>
          <w:rFonts w:ascii="Cambria" w:hAnsi="Cambria"/>
          <w:sz w:val="18"/>
          <w:szCs w:val="18"/>
          <w:lang w:val="es-419"/>
        </w:rPr>
        <w:t xml:space="preserve">yo bajé a San Pablo y busqué un carro para que me hiciera el favor del viaje, cargamos el surtido de viveres, arroz, panela, melaza y salvado en el carro, me ayudó el dueño del carro, que no lo conozco ni lo conocía, ese día era un viernes y a las tres de la tarde salíamos </w:t>
      </w:r>
      <w:r w:rsidR="005A0CA8" w:rsidRPr="00F2058B">
        <w:rPr>
          <w:rFonts w:ascii="Cambria" w:hAnsi="Cambria"/>
          <w:sz w:val="18"/>
          <w:szCs w:val="18"/>
          <w:lang w:val="es-419"/>
        </w:rPr>
        <w:t>p</w:t>
      </w:r>
      <w:r w:rsidR="00844ACA" w:rsidRPr="00F2058B">
        <w:rPr>
          <w:rFonts w:ascii="Cambria" w:hAnsi="Cambria"/>
          <w:sz w:val="18"/>
          <w:szCs w:val="18"/>
          <w:lang w:val="es-419"/>
        </w:rPr>
        <w:t>ara Aguaslindas y saliendo de San Pablo en la virgen estaba el retén del Ejército, nos requisó y nos pidió documentos y de ahí nos dijo que siguiéramos, más adelante estaba el retén de los paramilitares, antes de los cagüises, allí nos pararon, nos bajaron y nos requisar</w:t>
      </w:r>
      <w:r w:rsidR="00537AA9" w:rsidRPr="00F2058B">
        <w:rPr>
          <w:rFonts w:ascii="Cambria" w:hAnsi="Cambria"/>
          <w:sz w:val="18"/>
          <w:szCs w:val="18"/>
          <w:lang w:val="es-419"/>
        </w:rPr>
        <w:t>on, también nos pidi</w:t>
      </w:r>
      <w:r w:rsidR="00844ACA" w:rsidRPr="00F2058B">
        <w:rPr>
          <w:rFonts w:ascii="Cambria" w:hAnsi="Cambria"/>
          <w:sz w:val="18"/>
          <w:szCs w:val="18"/>
          <w:lang w:val="es-419"/>
        </w:rPr>
        <w:t>eron documentos, me dijeron que para quien era ese surtid</w:t>
      </w:r>
      <w:r w:rsidR="00E264D6" w:rsidRPr="00F2058B">
        <w:rPr>
          <w:rFonts w:ascii="Cambria" w:hAnsi="Cambria"/>
          <w:sz w:val="18"/>
          <w:szCs w:val="18"/>
          <w:lang w:val="es-419"/>
        </w:rPr>
        <w:t>o</w:t>
      </w:r>
      <w:r w:rsidR="00844ACA" w:rsidRPr="00F2058B">
        <w:rPr>
          <w:rFonts w:ascii="Cambria" w:hAnsi="Cambria"/>
          <w:sz w:val="18"/>
          <w:szCs w:val="18"/>
          <w:lang w:val="es-419"/>
        </w:rPr>
        <w:t>, yo le dije que era para mi mamá y me preguntaron que para donde iba y yo les dije que para Aguaslindas y ellos me dijeron que ese era el surtido que estaban esperando y que lo iban a decomisar, de ahí lo echaron a las camionetas de ellos y cuando terminaron de embarcar, me echaron a mi también en una camioneta de ellos de lo paramilitares y de ahí nos hicieron devolver a mi y al chofer del carro que me llevaba el surtido, nos hicieron devolver para San Pablo y pasamos otra vez por donde estaba el Ejército en la entrada de San Pablo y de ahí pasamos y me llevaron a mi para el barrio San Pablito, de allá me metieron en una casa abandonada y me amarraron, de allí me dejaron dos días amarrado, del surtido no se supo más nada, se lo robaron. De ahí el sábado como a las doce de la noche nos sacaron a mi y a otro much</w:t>
      </w:r>
      <w:r w:rsidR="002F5DFA" w:rsidRPr="00F2058B">
        <w:rPr>
          <w:rFonts w:ascii="Cambria" w:hAnsi="Cambria"/>
          <w:sz w:val="18"/>
          <w:szCs w:val="18"/>
          <w:lang w:val="es-419"/>
        </w:rPr>
        <w:t>acho que habían entrado también</w:t>
      </w:r>
      <w:r w:rsidR="00844ACA" w:rsidRPr="00F2058B">
        <w:rPr>
          <w:rFonts w:ascii="Cambria" w:hAnsi="Cambria"/>
          <w:sz w:val="18"/>
          <w:szCs w:val="18"/>
          <w:lang w:val="es-419"/>
        </w:rPr>
        <w:t xml:space="preserve"> por una moto que le robaron, el que l</w:t>
      </w:r>
      <w:r w:rsidR="00EF11B8" w:rsidRPr="00F2058B">
        <w:rPr>
          <w:rFonts w:ascii="Cambria" w:hAnsi="Cambria"/>
          <w:sz w:val="18"/>
          <w:szCs w:val="18"/>
          <w:lang w:val="es-419"/>
        </w:rPr>
        <w:t>l</w:t>
      </w:r>
      <w:r w:rsidR="00844ACA" w:rsidRPr="00F2058B">
        <w:rPr>
          <w:rFonts w:ascii="Cambria" w:hAnsi="Cambria"/>
          <w:sz w:val="18"/>
          <w:szCs w:val="18"/>
          <w:lang w:val="es-419"/>
        </w:rPr>
        <w:t xml:space="preserve">evaron el sábado por la mañana, o sea los paramilitares por robarle </w:t>
      </w:r>
      <w:r w:rsidR="005A0CA8" w:rsidRPr="00F2058B">
        <w:rPr>
          <w:rFonts w:ascii="Cambria" w:hAnsi="Cambria"/>
          <w:sz w:val="18"/>
          <w:szCs w:val="18"/>
          <w:lang w:val="es-419"/>
        </w:rPr>
        <w:t>l</w:t>
      </w:r>
      <w:r w:rsidR="00844ACA" w:rsidRPr="00F2058B">
        <w:rPr>
          <w:rFonts w:ascii="Cambria" w:hAnsi="Cambria"/>
          <w:sz w:val="18"/>
          <w:szCs w:val="18"/>
          <w:lang w:val="es-419"/>
        </w:rPr>
        <w:t>a moto se lo llevaron para allá y también lo amarraron</w:t>
      </w:r>
      <w:r w:rsidR="005A0CA8" w:rsidRPr="00F2058B">
        <w:rPr>
          <w:rFonts w:ascii="Cambria" w:hAnsi="Cambria"/>
          <w:sz w:val="18"/>
          <w:szCs w:val="18"/>
          <w:lang w:val="es-419"/>
        </w:rPr>
        <w:t xml:space="preserve">. </w:t>
      </w:r>
      <w:r w:rsidR="009F447F" w:rsidRPr="00F2058B">
        <w:rPr>
          <w:rFonts w:ascii="Cambria" w:hAnsi="Cambria"/>
          <w:sz w:val="18"/>
          <w:szCs w:val="18"/>
          <w:lang w:val="es-419"/>
        </w:rPr>
        <w:t xml:space="preserve">El sábado como a las doce </w:t>
      </w:r>
      <w:r w:rsidR="00EF11B8" w:rsidRPr="00F2058B">
        <w:rPr>
          <w:rFonts w:ascii="Cambria" w:hAnsi="Cambria"/>
          <w:sz w:val="18"/>
          <w:szCs w:val="18"/>
          <w:lang w:val="es-419"/>
        </w:rPr>
        <w:t>de la noche nos sacaron para la sierra, nos bajaron de la camioneta, a mi me echaron para atrás de la camioneta y al otro se lo llevaron</w:t>
      </w:r>
      <w:r w:rsidR="00E264D6" w:rsidRPr="00F2058B">
        <w:rPr>
          <w:rFonts w:ascii="Cambria" w:hAnsi="Cambria"/>
          <w:sz w:val="18"/>
          <w:szCs w:val="18"/>
          <w:lang w:val="es-419"/>
        </w:rPr>
        <w:t xml:space="preserve"> </w:t>
      </w:r>
      <w:r w:rsidR="00EF11B8" w:rsidRPr="00F2058B">
        <w:rPr>
          <w:rFonts w:ascii="Cambria" w:hAnsi="Cambria"/>
          <w:sz w:val="18"/>
          <w:szCs w:val="18"/>
          <w:lang w:val="es-419"/>
        </w:rPr>
        <w:t>para la orilla del río, a mi me dijeron que cuidado intentara algo que me mataban y al otro le pegaron tres machetazos en la nuca, después me llevaron a</w:t>
      </w:r>
      <w:r w:rsidR="00E264D6" w:rsidRPr="00F2058B">
        <w:rPr>
          <w:rFonts w:ascii="Cambria" w:hAnsi="Cambria"/>
          <w:sz w:val="18"/>
          <w:szCs w:val="18"/>
          <w:lang w:val="es-419"/>
        </w:rPr>
        <w:t xml:space="preserve"> </w:t>
      </w:r>
      <w:r w:rsidR="00EF11B8" w:rsidRPr="00F2058B">
        <w:rPr>
          <w:rFonts w:ascii="Cambria" w:hAnsi="Cambria"/>
          <w:sz w:val="18"/>
          <w:szCs w:val="18"/>
          <w:lang w:val="es-419"/>
        </w:rPr>
        <w:t>mi para alla mismo a la orilla donde estaba el otro y me pegaron también un machetazo en la nuca, después que me pegaron</w:t>
      </w:r>
      <w:r w:rsidR="009F447F" w:rsidRPr="00F2058B">
        <w:rPr>
          <w:rFonts w:ascii="Cambria" w:hAnsi="Cambria"/>
          <w:sz w:val="18"/>
          <w:szCs w:val="18"/>
          <w:lang w:val="es-419"/>
        </w:rPr>
        <w:t xml:space="preserve"> el machetazo </w:t>
      </w:r>
      <w:r w:rsidR="00EF11B8" w:rsidRPr="00F2058B">
        <w:rPr>
          <w:rFonts w:ascii="Cambria" w:hAnsi="Cambria"/>
          <w:sz w:val="18"/>
          <w:szCs w:val="18"/>
          <w:lang w:val="es-419"/>
        </w:rPr>
        <w:t xml:space="preserve">me paré y les dije que yo así no quería morir y que más bien me pegaran un tiro, uno de ellos le dio la orden a otro para que me degollara y </w:t>
      </w:r>
      <w:r w:rsidR="00E264D6" w:rsidRPr="00F2058B">
        <w:rPr>
          <w:rFonts w:ascii="Cambria" w:hAnsi="Cambria"/>
          <w:sz w:val="18"/>
          <w:szCs w:val="18"/>
          <w:lang w:val="es-419"/>
        </w:rPr>
        <w:t xml:space="preserve">él me agarró por detrás </w:t>
      </w:r>
      <w:r w:rsidR="00EF11B8" w:rsidRPr="00F2058B">
        <w:rPr>
          <w:rFonts w:ascii="Cambria" w:hAnsi="Cambria"/>
          <w:sz w:val="18"/>
          <w:szCs w:val="18"/>
          <w:lang w:val="es-419"/>
        </w:rPr>
        <w:t>y saco el puñal a degollarme</w:t>
      </w:r>
      <w:r w:rsidR="00D40631" w:rsidRPr="00F2058B">
        <w:rPr>
          <w:rFonts w:ascii="Cambria" w:hAnsi="Cambria"/>
          <w:sz w:val="18"/>
          <w:szCs w:val="18"/>
          <w:lang w:val="es-419"/>
        </w:rPr>
        <w:t>,</w:t>
      </w:r>
      <w:r w:rsidR="00EF11B8" w:rsidRPr="00F2058B">
        <w:rPr>
          <w:rFonts w:ascii="Cambria" w:hAnsi="Cambria"/>
          <w:sz w:val="18"/>
          <w:szCs w:val="18"/>
          <w:lang w:val="es-419"/>
        </w:rPr>
        <w:t xml:space="preserve"> como me habían hecho quitar la camisa </w:t>
      </w:r>
      <w:r w:rsidR="00D40631" w:rsidRPr="00F2058B">
        <w:rPr>
          <w:rFonts w:ascii="Cambria" w:hAnsi="Cambria"/>
          <w:sz w:val="18"/>
          <w:szCs w:val="18"/>
          <w:lang w:val="es-419"/>
        </w:rPr>
        <w:t>para poderme matar a machete, yo tenía la camisa enredada en la amarradura de las manos entonces yo le agarré el puñal para no dejarme degollar</w:t>
      </w:r>
      <w:r w:rsidR="00CB2255" w:rsidRPr="00F2058B">
        <w:rPr>
          <w:rFonts w:ascii="Cambria" w:hAnsi="Cambria"/>
          <w:sz w:val="18"/>
          <w:szCs w:val="18"/>
          <w:lang w:val="es-419"/>
        </w:rPr>
        <w:t xml:space="preserve"> </w:t>
      </w:r>
      <w:r w:rsidR="00D40631" w:rsidRPr="00F2058B">
        <w:rPr>
          <w:rFonts w:ascii="Cambria" w:hAnsi="Cambria"/>
          <w:sz w:val="18"/>
          <w:szCs w:val="18"/>
          <w:lang w:val="es-419"/>
        </w:rPr>
        <w:t xml:space="preserve">y nos fuimos a la lucha y caimos al agua y de ahí uno que estaba afuera, un paramilitar sacó un revólver que tenía y me apuntó y entonces el que me tenía agarrado le dijo que no disparara todavía, mientras eso el otro que tenía los tres machetazos salió corriendo y entonces </w:t>
      </w:r>
      <w:r w:rsidR="00E264D6" w:rsidRPr="00F2058B">
        <w:rPr>
          <w:rFonts w:ascii="Cambria" w:hAnsi="Cambria"/>
          <w:sz w:val="18"/>
          <w:szCs w:val="18"/>
          <w:lang w:val="es-419"/>
        </w:rPr>
        <w:t xml:space="preserve">los que estaban </w:t>
      </w:r>
      <w:r w:rsidR="00D40631" w:rsidRPr="00F2058B">
        <w:rPr>
          <w:rFonts w:ascii="Cambria" w:hAnsi="Cambria"/>
          <w:sz w:val="18"/>
          <w:szCs w:val="18"/>
          <w:lang w:val="es-419"/>
        </w:rPr>
        <w:t>afuera los para</w:t>
      </w:r>
      <w:r w:rsidR="00E264D6" w:rsidRPr="00F2058B">
        <w:rPr>
          <w:rFonts w:ascii="Cambria" w:hAnsi="Cambria"/>
          <w:sz w:val="18"/>
          <w:szCs w:val="18"/>
          <w:lang w:val="es-419"/>
        </w:rPr>
        <w:t>m</w:t>
      </w:r>
      <w:r w:rsidR="00D40631" w:rsidRPr="00F2058B">
        <w:rPr>
          <w:rFonts w:ascii="Cambria" w:hAnsi="Cambria"/>
          <w:sz w:val="18"/>
          <w:szCs w:val="18"/>
          <w:lang w:val="es-419"/>
        </w:rPr>
        <w:t xml:space="preserve">ilitares lo fueron a perseguir al que había salido corriendo, entonces ahí fue </w:t>
      </w:r>
      <w:r w:rsidR="00E264D6" w:rsidRPr="00F2058B">
        <w:rPr>
          <w:rFonts w:ascii="Cambria" w:hAnsi="Cambria"/>
          <w:sz w:val="18"/>
          <w:szCs w:val="18"/>
          <w:lang w:val="es-419"/>
        </w:rPr>
        <w:t xml:space="preserve">donde me dieron la oportunidad </w:t>
      </w:r>
      <w:r w:rsidR="00D40631" w:rsidRPr="00F2058B">
        <w:rPr>
          <w:rFonts w:ascii="Cambria" w:hAnsi="Cambria"/>
          <w:sz w:val="18"/>
          <w:szCs w:val="18"/>
          <w:lang w:val="es-419"/>
        </w:rPr>
        <w:t>de librarme de donde me tenían  agarrado, en el forcejeo se cayó el puñal entre el agua y me logré zafar de él y me escapé, más adelante cuando yo salí y cuando ya no aguantaba más respiración yo salí y vi a los paramilitares que iban en la camioneta, de ahí dejé que el agua me llevara y salí al Magdalena y cruce por el frente del puerto de San Pablo nadando y de ahí</w:t>
      </w:r>
      <w:r w:rsidR="00E264D6" w:rsidRPr="00F2058B">
        <w:rPr>
          <w:rFonts w:ascii="Cambria" w:hAnsi="Cambria"/>
          <w:sz w:val="18"/>
          <w:szCs w:val="18"/>
          <w:lang w:val="es-419"/>
        </w:rPr>
        <w:t xml:space="preserve"> </w:t>
      </w:r>
      <w:r w:rsidR="00D40631" w:rsidRPr="00F2058B">
        <w:rPr>
          <w:rFonts w:ascii="Cambria" w:hAnsi="Cambria"/>
          <w:sz w:val="18"/>
          <w:szCs w:val="18"/>
          <w:lang w:val="es-419"/>
        </w:rPr>
        <w:t>salí entre el medio de San Pablo (…) de ahí caminé todo el día para llegar a Aguaslindas, después de estar allá me encontré con mi familia</w:t>
      </w:r>
      <w:r w:rsidR="00CB2255" w:rsidRPr="00F2058B">
        <w:rPr>
          <w:rStyle w:val="FootnoteReference"/>
          <w:rFonts w:ascii="Cambria" w:hAnsi="Cambria"/>
          <w:lang w:val="es-419"/>
        </w:rPr>
        <w:footnoteReference w:id="32"/>
      </w:r>
      <w:r w:rsidR="00EA0F5E" w:rsidRPr="00F2058B">
        <w:rPr>
          <w:rFonts w:ascii="Cambria" w:hAnsi="Cambria"/>
          <w:sz w:val="18"/>
          <w:szCs w:val="18"/>
          <w:lang w:val="es-419"/>
        </w:rPr>
        <w:t xml:space="preserve"> </w:t>
      </w:r>
      <w:r w:rsidR="00CB2255" w:rsidRPr="00F2058B">
        <w:rPr>
          <w:rFonts w:ascii="Cambria" w:hAnsi="Cambria"/>
          <w:sz w:val="18"/>
          <w:szCs w:val="18"/>
          <w:lang w:val="es-419"/>
        </w:rPr>
        <w:t>(…).</w:t>
      </w:r>
    </w:p>
    <w:p w14:paraId="5E0767E8" w14:textId="5E7A62AD" w:rsidR="0066706C" w:rsidRPr="00F2058B" w:rsidRDefault="0066706C" w:rsidP="0066706C">
      <w:pPr>
        <w:pStyle w:val="parrafos"/>
        <w:rPr>
          <w:rFonts w:ascii="Cambria" w:hAnsi="Cambria"/>
          <w:lang w:val="es-419"/>
        </w:rPr>
      </w:pPr>
    </w:p>
    <w:p w14:paraId="59F5F429" w14:textId="23E1671B" w:rsidR="00A51316" w:rsidRPr="00F2058B" w:rsidRDefault="00252A6A" w:rsidP="00F06940">
      <w:pPr>
        <w:pStyle w:val="parrafos"/>
        <w:numPr>
          <w:ilvl w:val="0"/>
          <w:numId w:val="58"/>
        </w:numPr>
        <w:ind w:left="0" w:firstLine="0"/>
        <w:rPr>
          <w:rFonts w:ascii="Cambria" w:hAnsi="Cambria"/>
          <w:lang w:val="es-419"/>
        </w:rPr>
      </w:pPr>
      <w:r w:rsidRPr="00F2058B">
        <w:rPr>
          <w:rFonts w:ascii="Cambria" w:hAnsi="Cambria"/>
          <w:lang w:val="es-419"/>
        </w:rPr>
        <w:t>En la misma declaración, Gildardo Fuentes solicitó medidas de protección para el y su familia</w:t>
      </w:r>
      <w:r w:rsidRPr="00F2058B">
        <w:rPr>
          <w:rStyle w:val="FootnoteReference"/>
          <w:rFonts w:ascii="Cambria" w:hAnsi="Cambria"/>
          <w:lang w:val="es-419"/>
        </w:rPr>
        <w:footnoteReference w:id="33"/>
      </w:r>
      <w:r w:rsidRPr="00F2058B">
        <w:rPr>
          <w:rFonts w:ascii="Cambria" w:hAnsi="Cambria"/>
          <w:lang w:val="es-419"/>
        </w:rPr>
        <w:t xml:space="preserve">. El 26 de noviembre presentó una denuncia </w:t>
      </w:r>
      <w:r w:rsidR="00973B63" w:rsidRPr="00F2058B">
        <w:rPr>
          <w:rFonts w:ascii="Cambria" w:hAnsi="Cambria"/>
          <w:lang w:val="es-419"/>
        </w:rPr>
        <w:t>ante la Dirección Nacional de Investigaciones Especiales de la Unidad de Derechos Humanos</w:t>
      </w:r>
      <w:r w:rsidR="009E10C5" w:rsidRPr="00F2058B">
        <w:rPr>
          <w:rStyle w:val="FootnoteReference"/>
          <w:rFonts w:ascii="Cambria" w:hAnsi="Cambria"/>
          <w:lang w:val="es-419"/>
        </w:rPr>
        <w:footnoteReference w:id="34"/>
      </w:r>
      <w:r w:rsidR="00973B63" w:rsidRPr="00F2058B">
        <w:rPr>
          <w:rFonts w:ascii="Cambria" w:hAnsi="Cambria"/>
          <w:lang w:val="es-419"/>
        </w:rPr>
        <w:t xml:space="preserve"> </w:t>
      </w:r>
      <w:r w:rsidRPr="00F2058B">
        <w:rPr>
          <w:rFonts w:ascii="Cambria" w:hAnsi="Cambria"/>
          <w:lang w:val="es-419"/>
        </w:rPr>
        <w:t xml:space="preserve">así como </w:t>
      </w:r>
      <w:r w:rsidR="00973B63" w:rsidRPr="00F2058B">
        <w:rPr>
          <w:rFonts w:ascii="Cambria" w:hAnsi="Cambria"/>
          <w:lang w:val="es-419"/>
        </w:rPr>
        <w:t xml:space="preserve">una </w:t>
      </w:r>
      <w:r w:rsidR="00A51316" w:rsidRPr="00F2058B">
        <w:rPr>
          <w:rFonts w:ascii="Cambria" w:hAnsi="Cambria"/>
          <w:lang w:val="es-419"/>
        </w:rPr>
        <w:t>declaración escrita ante la P</w:t>
      </w:r>
      <w:r w:rsidR="002F0A3C" w:rsidRPr="00F2058B">
        <w:rPr>
          <w:rFonts w:ascii="Cambria" w:hAnsi="Cambria"/>
          <w:lang w:val="es-419"/>
        </w:rPr>
        <w:t>rocuraduría General de la Nación</w:t>
      </w:r>
      <w:r w:rsidR="00A51316" w:rsidRPr="00F2058B">
        <w:rPr>
          <w:rFonts w:ascii="Cambria" w:hAnsi="Cambria"/>
          <w:lang w:val="es-419"/>
        </w:rPr>
        <w:t>, informando sobre la estrecha relación que existía entre paramilitares y la Fuerza Pública</w:t>
      </w:r>
      <w:r w:rsidR="00A51316" w:rsidRPr="00F2058B">
        <w:rPr>
          <w:rStyle w:val="FootnoteReference"/>
          <w:rFonts w:ascii="Cambria" w:hAnsi="Cambria"/>
          <w:lang w:val="es-419"/>
        </w:rPr>
        <w:footnoteReference w:id="35"/>
      </w:r>
      <w:r w:rsidR="00A51316" w:rsidRPr="00F2058B">
        <w:rPr>
          <w:rFonts w:ascii="Cambria" w:hAnsi="Cambria"/>
          <w:lang w:val="es-419"/>
        </w:rPr>
        <w:t>. Igualmente, manifestó que los acuerdos entre el gobierno nacional y el Magdalena Medio no habían sido cumplidos y que se había recrudecido la violencia en el área, agregando que entre el 1 y 22 de noviembre de 1998 fueron masacradas al menos 100 personas, que fueron decapitadas y/o desmembradas alrededor de los 38 municipios que hacen parte del compromiso</w:t>
      </w:r>
      <w:r w:rsidR="00A51316" w:rsidRPr="00F2058B">
        <w:rPr>
          <w:rStyle w:val="FootnoteReference"/>
          <w:rFonts w:ascii="Cambria" w:hAnsi="Cambria"/>
          <w:lang w:val="es-419"/>
        </w:rPr>
        <w:footnoteReference w:id="36"/>
      </w:r>
      <w:r w:rsidR="00A51316" w:rsidRPr="00F2058B">
        <w:rPr>
          <w:rFonts w:ascii="Cambria" w:hAnsi="Cambria"/>
          <w:lang w:val="es-419"/>
        </w:rPr>
        <w:t>.</w:t>
      </w:r>
    </w:p>
    <w:p w14:paraId="7DBB6E3D" w14:textId="757940F9" w:rsidR="002F0A3C" w:rsidRPr="00F2058B" w:rsidRDefault="002F0A3C" w:rsidP="002F0A3C">
      <w:pPr>
        <w:pStyle w:val="parrafos"/>
        <w:rPr>
          <w:rFonts w:ascii="Cambria" w:hAnsi="Cambria"/>
          <w:lang w:val="es-419"/>
        </w:rPr>
      </w:pPr>
    </w:p>
    <w:p w14:paraId="3C84E3D4" w14:textId="42F7C061" w:rsidR="00456950" w:rsidRPr="00F2058B" w:rsidRDefault="002F0A3C" w:rsidP="00E0758D">
      <w:pPr>
        <w:pStyle w:val="parrafos"/>
        <w:numPr>
          <w:ilvl w:val="0"/>
          <w:numId w:val="58"/>
        </w:numPr>
        <w:ind w:left="0" w:firstLine="0"/>
        <w:rPr>
          <w:rFonts w:ascii="Cambria" w:hAnsi="Cambria"/>
          <w:lang w:val="es-419"/>
        </w:rPr>
      </w:pPr>
      <w:r w:rsidRPr="00F2058B">
        <w:rPr>
          <w:rFonts w:ascii="Cambria" w:hAnsi="Cambria"/>
          <w:lang w:val="es-419"/>
        </w:rPr>
        <w:lastRenderedPageBreak/>
        <w:t xml:space="preserve">El 26 de noviembre de 1999 Edgar Quiroga realizó una denuncia ante la </w:t>
      </w:r>
      <w:r w:rsidR="002B408C" w:rsidRPr="00F2058B">
        <w:rPr>
          <w:rFonts w:ascii="Cambria" w:hAnsi="Cambria"/>
          <w:lang w:val="es-419"/>
        </w:rPr>
        <w:t>Procuraduría General de la Nació</w:t>
      </w:r>
      <w:r w:rsidRPr="00F2058B">
        <w:rPr>
          <w:rFonts w:ascii="Cambria" w:hAnsi="Cambria"/>
          <w:lang w:val="es-419"/>
        </w:rPr>
        <w:t>n, Direcció</w:t>
      </w:r>
      <w:r w:rsidR="004E2484" w:rsidRPr="00F2058B">
        <w:rPr>
          <w:rFonts w:ascii="Cambria" w:hAnsi="Cambria"/>
          <w:lang w:val="es-419"/>
        </w:rPr>
        <w:t xml:space="preserve">n Nacional de Investigaciones, </w:t>
      </w:r>
      <w:r w:rsidRPr="00F2058B">
        <w:rPr>
          <w:rFonts w:ascii="Cambria" w:hAnsi="Cambria"/>
          <w:lang w:val="es-419"/>
        </w:rPr>
        <w:t>por actos de tortura padecidos por Gildardo Fuentes el 8 de octubre de 1999</w:t>
      </w:r>
      <w:r w:rsidRPr="00F2058B">
        <w:rPr>
          <w:sz w:val="18"/>
          <w:szCs w:val="18"/>
          <w:vertAlign w:val="superscript"/>
          <w:lang w:val="es-419"/>
        </w:rPr>
        <w:footnoteReference w:id="37"/>
      </w:r>
      <w:r w:rsidR="002F5DFA" w:rsidRPr="00F2058B">
        <w:rPr>
          <w:rFonts w:ascii="Cambria" w:hAnsi="Cambria"/>
          <w:lang w:val="es-419"/>
        </w:rPr>
        <w:t xml:space="preserve"> .</w:t>
      </w:r>
      <w:r w:rsidRPr="00F2058B">
        <w:rPr>
          <w:rFonts w:ascii="Cambria" w:hAnsi="Cambria"/>
          <w:lang w:val="es-419"/>
        </w:rPr>
        <w:t xml:space="preserve">Asimismo, consta que también en noviembre de 1999 Edgar Quiroga denunció irregularidades cometidas </w:t>
      </w:r>
      <w:r w:rsidR="00456950" w:rsidRPr="00F2058B">
        <w:rPr>
          <w:rFonts w:ascii="Cambria" w:hAnsi="Cambria"/>
          <w:lang w:val="es-419"/>
        </w:rPr>
        <w:t>por militares en el marco del operat</w:t>
      </w:r>
      <w:r w:rsidR="009330E0" w:rsidRPr="00F2058B">
        <w:rPr>
          <w:rFonts w:ascii="Cambria" w:hAnsi="Cambria"/>
          <w:lang w:val="es-419"/>
        </w:rPr>
        <w:t>ivo Anaconda que se desarrolló</w:t>
      </w:r>
      <w:r w:rsidR="00456950" w:rsidRPr="00F2058B">
        <w:rPr>
          <w:rFonts w:ascii="Cambria" w:hAnsi="Cambria"/>
          <w:lang w:val="es-419"/>
        </w:rPr>
        <w:t xml:space="preserve"> </w:t>
      </w:r>
      <w:r w:rsidR="009330E0" w:rsidRPr="00F2058B">
        <w:rPr>
          <w:rFonts w:ascii="Cambria" w:hAnsi="Cambria"/>
          <w:lang w:val="es-419"/>
        </w:rPr>
        <w:t>entre abril y junio de 1999</w:t>
      </w:r>
      <w:r w:rsidR="00456950" w:rsidRPr="00F2058B">
        <w:rPr>
          <w:rFonts w:ascii="Cambria" w:hAnsi="Cambria"/>
          <w:lang w:val="es-419"/>
        </w:rPr>
        <w:t xml:space="preserve"> y que tenía por </w:t>
      </w:r>
      <w:r w:rsidR="006165B7" w:rsidRPr="00F2058B">
        <w:rPr>
          <w:rFonts w:ascii="Cambria" w:hAnsi="Cambria"/>
          <w:lang w:val="es-419"/>
        </w:rPr>
        <w:t xml:space="preserve">objeto detener a presuntos integrantes de la guerrilla. En particular, </w:t>
      </w:r>
      <w:r w:rsidR="00872D12" w:rsidRPr="00F2058B">
        <w:rPr>
          <w:rFonts w:ascii="Cambria" w:hAnsi="Cambria"/>
          <w:lang w:val="es-419"/>
        </w:rPr>
        <w:t>indicó que:</w:t>
      </w:r>
      <w:r w:rsidR="00456950" w:rsidRPr="00F2058B">
        <w:rPr>
          <w:rFonts w:ascii="Cambria" w:hAnsi="Cambria"/>
          <w:lang w:val="es-419"/>
        </w:rPr>
        <w:t xml:space="preserve"> </w:t>
      </w:r>
    </w:p>
    <w:p w14:paraId="51251E3F" w14:textId="77777777" w:rsidR="00456950" w:rsidRPr="00F2058B" w:rsidRDefault="00456950" w:rsidP="00456950">
      <w:pPr>
        <w:pStyle w:val="parrafos"/>
        <w:rPr>
          <w:rFonts w:ascii="Cambria" w:hAnsi="Cambria"/>
          <w:sz w:val="18"/>
          <w:szCs w:val="18"/>
          <w:lang w:val="es-419"/>
        </w:rPr>
      </w:pPr>
    </w:p>
    <w:p w14:paraId="5F9DE591" w14:textId="01E76F46" w:rsidR="00BB6AE7" w:rsidRPr="00F2058B" w:rsidRDefault="00BB6AE7" w:rsidP="00456950">
      <w:pPr>
        <w:pStyle w:val="parrafos"/>
        <w:ind w:left="360" w:right="360"/>
        <w:rPr>
          <w:rFonts w:ascii="Cambria" w:hAnsi="Cambria"/>
          <w:sz w:val="18"/>
          <w:szCs w:val="18"/>
          <w:lang w:val="es-419"/>
        </w:rPr>
      </w:pPr>
      <w:r w:rsidRPr="00F2058B">
        <w:rPr>
          <w:rFonts w:ascii="Cambria" w:hAnsi="Cambria"/>
          <w:sz w:val="18"/>
          <w:szCs w:val="18"/>
          <w:lang w:val="es-419"/>
        </w:rPr>
        <w:t>Los hechos que presentamos a continuación, están relacionados con la llamada “Operación Anaconda” realizada de abril a junio de 1999 en la zona sur de Bolí</w:t>
      </w:r>
      <w:r w:rsidR="009F447F" w:rsidRPr="00F2058B">
        <w:rPr>
          <w:rFonts w:ascii="Cambria" w:hAnsi="Cambria"/>
          <w:sz w:val="18"/>
          <w:szCs w:val="18"/>
          <w:lang w:val="es-419"/>
        </w:rPr>
        <w:t>v</w:t>
      </w:r>
      <w:r w:rsidRPr="00F2058B">
        <w:rPr>
          <w:rFonts w:ascii="Cambria" w:hAnsi="Cambria"/>
          <w:sz w:val="18"/>
          <w:szCs w:val="18"/>
          <w:lang w:val="es-419"/>
        </w:rPr>
        <w:t>ar (municipios de San Pablo y Simití) por los Comandos de Contra Guerrilla y Compañías Adscritas a la V Brigada del Ejército Nacional, con sede e</w:t>
      </w:r>
      <w:r w:rsidR="002B408C" w:rsidRPr="00F2058B">
        <w:rPr>
          <w:rFonts w:ascii="Cambria" w:hAnsi="Cambria"/>
          <w:sz w:val="18"/>
          <w:szCs w:val="18"/>
          <w:lang w:val="es-419"/>
        </w:rPr>
        <w:t>n la ciudad de Bucaramanga. Así</w:t>
      </w:r>
      <w:r w:rsidRPr="00F2058B">
        <w:rPr>
          <w:rFonts w:ascii="Cambria" w:hAnsi="Cambria"/>
          <w:sz w:val="18"/>
          <w:szCs w:val="18"/>
          <w:lang w:val="es-419"/>
        </w:rPr>
        <w:t>mismo se recogen algunos testimonios de los afectados por las graves violaciones de derechos humanos desde el inicio de la citada operación militar, hasta la fecha.</w:t>
      </w:r>
    </w:p>
    <w:p w14:paraId="186D3D6B" w14:textId="77777777" w:rsidR="00BB6AE7" w:rsidRPr="00F2058B" w:rsidRDefault="00BB6AE7" w:rsidP="00456950">
      <w:pPr>
        <w:pStyle w:val="parrafos"/>
        <w:ind w:left="360" w:right="360"/>
        <w:rPr>
          <w:rFonts w:ascii="Cambria" w:hAnsi="Cambria"/>
          <w:sz w:val="18"/>
          <w:szCs w:val="18"/>
          <w:lang w:val="es-419"/>
        </w:rPr>
      </w:pPr>
    </w:p>
    <w:p w14:paraId="11E3DA9E" w14:textId="65BFC9A8" w:rsidR="00BB6AE7" w:rsidRPr="00F2058B" w:rsidRDefault="00BB6AE7" w:rsidP="00456950">
      <w:pPr>
        <w:pStyle w:val="parrafos"/>
        <w:ind w:left="360" w:right="360"/>
        <w:rPr>
          <w:rFonts w:ascii="Cambria" w:hAnsi="Cambria"/>
          <w:sz w:val="18"/>
          <w:szCs w:val="18"/>
          <w:lang w:val="es-419"/>
        </w:rPr>
      </w:pPr>
      <w:r w:rsidRPr="00F2058B">
        <w:rPr>
          <w:rFonts w:ascii="Cambria" w:hAnsi="Cambria"/>
          <w:sz w:val="18"/>
          <w:szCs w:val="18"/>
          <w:lang w:val="es-419"/>
        </w:rPr>
        <w:t>Según la población del Corregimiento de Pozo Azul, el día 14 de abril de 1999 llegó a esta localidad el Batallón los Guanes y el Batallón Héroes de Majagual, mezclados con paramilitares que han sido vistos permanentemente en el corregimiento de Monterrey, municipio de Simití desde el mes de marzo de 1999.</w:t>
      </w:r>
    </w:p>
    <w:p w14:paraId="5534CD96" w14:textId="77777777" w:rsidR="00BB6AE7" w:rsidRPr="00F2058B" w:rsidRDefault="00BB6AE7" w:rsidP="00456950">
      <w:pPr>
        <w:pStyle w:val="parrafos"/>
        <w:ind w:left="360" w:right="360"/>
        <w:rPr>
          <w:rFonts w:ascii="Cambria" w:hAnsi="Cambria"/>
          <w:sz w:val="18"/>
          <w:szCs w:val="18"/>
          <w:lang w:val="es-419"/>
        </w:rPr>
      </w:pPr>
    </w:p>
    <w:p w14:paraId="09A82DE4" w14:textId="16EDF2FC" w:rsidR="00BB6AE7" w:rsidRPr="00F2058B" w:rsidRDefault="00BB6AE7" w:rsidP="00456950">
      <w:pPr>
        <w:pStyle w:val="parrafos"/>
        <w:ind w:left="360" w:right="360"/>
        <w:rPr>
          <w:rFonts w:ascii="Cambria" w:hAnsi="Cambria"/>
          <w:sz w:val="18"/>
          <w:szCs w:val="18"/>
          <w:lang w:val="es-419"/>
        </w:rPr>
      </w:pPr>
      <w:r w:rsidRPr="00F2058B">
        <w:rPr>
          <w:rFonts w:ascii="Cambria" w:hAnsi="Cambria"/>
          <w:sz w:val="18"/>
          <w:szCs w:val="18"/>
          <w:lang w:val="es-419"/>
        </w:rPr>
        <w:t>Los testimonios afirman que el comando del Ejército Nacional ingresó a la zona acompañado por varios miembros del grupo paramilitar, entre los cuales la población reconoció a: ANCIZAR PAREJA apodado “EL MONO PAREJA” de 33 años aproximadamente y quien trabajaba</w:t>
      </w:r>
      <w:r w:rsidR="000725A9" w:rsidRPr="00F2058B">
        <w:rPr>
          <w:rFonts w:ascii="Cambria" w:hAnsi="Cambria"/>
          <w:sz w:val="18"/>
          <w:szCs w:val="18"/>
          <w:lang w:val="es-419"/>
        </w:rPr>
        <w:t xml:space="preserve"> como arriero en la vereda “La Culebra ” </w:t>
      </w:r>
      <w:r w:rsidRPr="00F2058B">
        <w:rPr>
          <w:rFonts w:ascii="Cambria" w:hAnsi="Cambria"/>
          <w:sz w:val="18"/>
          <w:szCs w:val="18"/>
          <w:lang w:val="es-419"/>
        </w:rPr>
        <w:t>jurisdicción del corregimiento de Monterrey, quienes trabajaban como raspadores de coca; y otra persona de nombre JIMY, dueño de unos cultivos de coca en el Corregimiento “El Paraíso”.</w:t>
      </w:r>
    </w:p>
    <w:p w14:paraId="06E1A069" w14:textId="77777777" w:rsidR="00BB6AE7" w:rsidRPr="00F2058B" w:rsidRDefault="00BB6AE7" w:rsidP="00456950">
      <w:pPr>
        <w:pStyle w:val="parrafos"/>
        <w:ind w:left="360" w:right="360"/>
        <w:rPr>
          <w:rFonts w:ascii="Cambria" w:hAnsi="Cambria"/>
          <w:sz w:val="18"/>
          <w:szCs w:val="18"/>
          <w:lang w:val="es-419"/>
        </w:rPr>
      </w:pPr>
    </w:p>
    <w:p w14:paraId="477CE0CA" w14:textId="502CD2A7" w:rsidR="00BB6AE7" w:rsidRPr="00F2058B" w:rsidRDefault="00BB6AE7" w:rsidP="000725A9">
      <w:pPr>
        <w:pStyle w:val="parrafos"/>
        <w:ind w:left="360" w:right="360"/>
        <w:rPr>
          <w:rFonts w:ascii="Cambria" w:hAnsi="Cambria"/>
          <w:sz w:val="18"/>
          <w:szCs w:val="18"/>
          <w:lang w:val="es-419"/>
        </w:rPr>
      </w:pPr>
      <w:r w:rsidRPr="00F2058B">
        <w:rPr>
          <w:rFonts w:ascii="Cambria" w:hAnsi="Cambria"/>
          <w:sz w:val="18"/>
          <w:szCs w:val="18"/>
          <w:lang w:val="es-419"/>
        </w:rPr>
        <w:t xml:space="preserve">El día 14 de abril se presentó un combate entre efectivos militares y paramilitares contra las FARC y el ELN, hecho que provocó el desplazamiento de varias familias de este </w:t>
      </w:r>
      <w:r w:rsidR="009F447F" w:rsidRPr="00F2058B">
        <w:rPr>
          <w:rFonts w:ascii="Cambria" w:hAnsi="Cambria"/>
          <w:sz w:val="18"/>
          <w:szCs w:val="18"/>
          <w:lang w:val="es-419"/>
        </w:rPr>
        <w:t>c</w:t>
      </w:r>
      <w:r w:rsidRPr="00F2058B">
        <w:rPr>
          <w:rFonts w:ascii="Cambria" w:hAnsi="Cambria"/>
          <w:sz w:val="18"/>
          <w:szCs w:val="18"/>
          <w:lang w:val="es-419"/>
        </w:rPr>
        <w:t xml:space="preserve">orregimiento hacia </w:t>
      </w:r>
      <w:r w:rsidR="000725A9" w:rsidRPr="00F2058B">
        <w:rPr>
          <w:rFonts w:ascii="Cambria" w:hAnsi="Cambria"/>
          <w:sz w:val="18"/>
          <w:szCs w:val="18"/>
          <w:lang w:val="es-419"/>
        </w:rPr>
        <w:t>veredas y poblaciones cercanas.</w:t>
      </w:r>
      <w:r w:rsidRPr="00F2058B">
        <w:rPr>
          <w:rFonts w:ascii="Cambria" w:hAnsi="Cambria"/>
          <w:sz w:val="18"/>
          <w:szCs w:val="18"/>
          <w:lang w:val="es-419"/>
        </w:rPr>
        <w:t>(…)</w:t>
      </w:r>
      <w:r w:rsidR="000725A9" w:rsidRPr="00F2058B">
        <w:rPr>
          <w:rFonts w:ascii="Cambria" w:hAnsi="Cambria"/>
          <w:sz w:val="18"/>
          <w:szCs w:val="18"/>
          <w:lang w:val="es-419"/>
        </w:rPr>
        <w:t xml:space="preserve"> </w:t>
      </w:r>
      <w:r w:rsidRPr="00F2058B">
        <w:rPr>
          <w:rFonts w:ascii="Cambria" w:hAnsi="Cambria"/>
          <w:sz w:val="18"/>
          <w:szCs w:val="18"/>
          <w:lang w:val="es-419"/>
        </w:rPr>
        <w:t>En el casco urbano de San Pablo, los compradores de base de coca fueron obligados a asistir a una reunión</w:t>
      </w:r>
      <w:r w:rsidR="00870AF1" w:rsidRPr="00F2058B">
        <w:rPr>
          <w:rFonts w:ascii="Cambria" w:hAnsi="Cambria"/>
          <w:sz w:val="18"/>
          <w:szCs w:val="18"/>
          <w:lang w:val="es-419"/>
        </w:rPr>
        <w:t xml:space="preserve"> presidida por alias Tayson, jefe paramilitar en este municipio, allí se les exigió centralizar sus transacciones de compra y venta en los corregimientos de Monterrey y Pozo Azul. El Ejército abandonó el caserío en los primeros días de junio y los paramilitares se retiraron a Monterrey.</w:t>
      </w:r>
      <w:r w:rsidR="000725A9" w:rsidRPr="00F2058B">
        <w:rPr>
          <w:rFonts w:ascii="Cambria" w:hAnsi="Cambria"/>
          <w:sz w:val="18"/>
          <w:szCs w:val="18"/>
          <w:lang w:val="es-419"/>
        </w:rPr>
        <w:t xml:space="preserve"> </w:t>
      </w:r>
      <w:r w:rsidR="00870AF1" w:rsidRPr="00F2058B">
        <w:rPr>
          <w:rFonts w:ascii="Cambria" w:hAnsi="Cambria"/>
          <w:sz w:val="18"/>
          <w:szCs w:val="18"/>
          <w:lang w:val="es-419"/>
        </w:rPr>
        <w:t>(…)</w:t>
      </w:r>
      <w:r w:rsidR="000725A9" w:rsidRPr="00F2058B">
        <w:rPr>
          <w:rFonts w:ascii="Cambria" w:hAnsi="Cambria"/>
          <w:sz w:val="18"/>
          <w:szCs w:val="18"/>
          <w:lang w:val="es-419"/>
        </w:rPr>
        <w:t xml:space="preserve"> </w:t>
      </w:r>
      <w:r w:rsidR="00870AF1" w:rsidRPr="00F2058B">
        <w:rPr>
          <w:rFonts w:ascii="Cambria" w:hAnsi="Cambria"/>
          <w:sz w:val="18"/>
          <w:szCs w:val="18"/>
          <w:lang w:val="es-419"/>
        </w:rPr>
        <w:t>Igualmente los miembros del Ejército amenazaron a los pobladores diciéndoles que “los paramilitares se portaban bien mientras ellos estuvieran por ahí, pero que ellos no respondían por lo que pasara luego que se fueran”. El ejército hizo presencia oficial dur</w:t>
      </w:r>
      <w:r w:rsidR="000725A9" w:rsidRPr="00F2058B">
        <w:rPr>
          <w:rFonts w:ascii="Cambria" w:hAnsi="Cambria"/>
          <w:sz w:val="18"/>
          <w:szCs w:val="18"/>
          <w:lang w:val="es-419"/>
        </w:rPr>
        <w:t xml:space="preserve">ante cuatro días en el caserío. </w:t>
      </w:r>
      <w:r w:rsidR="00870AF1" w:rsidRPr="00F2058B">
        <w:rPr>
          <w:rFonts w:ascii="Cambria" w:hAnsi="Cambria"/>
          <w:sz w:val="18"/>
          <w:szCs w:val="18"/>
          <w:lang w:val="es-419"/>
        </w:rPr>
        <w:t>(…)</w:t>
      </w:r>
    </w:p>
    <w:p w14:paraId="5E1896BC" w14:textId="77777777" w:rsidR="000725A9" w:rsidRPr="00F2058B" w:rsidRDefault="000725A9" w:rsidP="000725A9">
      <w:pPr>
        <w:pStyle w:val="parrafos"/>
        <w:ind w:left="360" w:right="360"/>
        <w:rPr>
          <w:rFonts w:ascii="Cambria" w:hAnsi="Cambria"/>
          <w:sz w:val="18"/>
          <w:szCs w:val="18"/>
          <w:lang w:val="es-419"/>
        </w:rPr>
      </w:pPr>
    </w:p>
    <w:p w14:paraId="180635C0" w14:textId="46FD2BA6" w:rsidR="00456950" w:rsidRPr="00F2058B" w:rsidRDefault="00456950" w:rsidP="000725A9">
      <w:pPr>
        <w:pStyle w:val="parrafos"/>
        <w:ind w:left="360" w:right="360"/>
        <w:rPr>
          <w:lang w:val="es-419"/>
        </w:rPr>
      </w:pPr>
      <w:r w:rsidRPr="00F2058B">
        <w:rPr>
          <w:rFonts w:ascii="Cambria" w:hAnsi="Cambria"/>
          <w:sz w:val="18"/>
          <w:szCs w:val="18"/>
          <w:lang w:val="es-419"/>
        </w:rPr>
        <w:t>Según los testimonios de varios pobladores, desde el día 13 de abril, fecha en que se inició la llamada “Operación Anaconda” los pobladores del sector rural de los municipios de Simití y San Pablo quedaron totalmente incomunicados. Las vías de acceso a los cascos urbanos fueron bloqueadas por retenes Militares ubicados en Pozo Azul, Cañabraval y Patio Bonito, los efectivos el Ejército no dejaban pasar ninguna clase de alimento. Varias personas que pararon en los retenes fueron obligados a acostarse boca abajo, les hacían disparos cerca de la cabeza y los oídos y a otras les cogían las orejas con tenazas y los dedos se los doblaban para que declararan que eran guerrilleros</w:t>
      </w:r>
      <w:r w:rsidRPr="00F2058B">
        <w:rPr>
          <w:rStyle w:val="FootnoteReference"/>
          <w:rFonts w:ascii="Cambria" w:hAnsi="Cambria"/>
          <w:sz w:val="18"/>
          <w:szCs w:val="18"/>
          <w:lang w:val="es-419"/>
        </w:rPr>
        <w:footnoteReference w:id="38"/>
      </w:r>
      <w:r w:rsidRPr="00F2058B">
        <w:rPr>
          <w:rFonts w:ascii="Cambria" w:hAnsi="Cambria"/>
          <w:sz w:val="18"/>
          <w:szCs w:val="18"/>
          <w:lang w:val="es-419"/>
        </w:rPr>
        <w:t>.</w:t>
      </w:r>
    </w:p>
    <w:p w14:paraId="5423F8BF" w14:textId="6AD9CFA3" w:rsidR="000725A9" w:rsidRPr="00F2058B" w:rsidRDefault="000725A9" w:rsidP="00456950">
      <w:pPr>
        <w:pStyle w:val="parrafos"/>
        <w:rPr>
          <w:rFonts w:ascii="Cambria" w:hAnsi="Cambria"/>
          <w:lang w:val="es-419"/>
        </w:rPr>
      </w:pPr>
    </w:p>
    <w:p w14:paraId="28F5998C" w14:textId="7F10322F" w:rsidR="006165B7" w:rsidRPr="00F2058B" w:rsidRDefault="00456950" w:rsidP="00F06940">
      <w:pPr>
        <w:pStyle w:val="parrafos"/>
        <w:numPr>
          <w:ilvl w:val="0"/>
          <w:numId w:val="58"/>
        </w:numPr>
        <w:ind w:left="0" w:firstLine="0"/>
        <w:rPr>
          <w:lang w:val="es-419"/>
        </w:rPr>
      </w:pPr>
      <w:r w:rsidRPr="00F2058B">
        <w:rPr>
          <w:rFonts w:ascii="Cambria" w:hAnsi="Cambria"/>
          <w:lang w:val="es-419"/>
        </w:rPr>
        <w:t xml:space="preserve">En cuanto a los hechos de la desaparición de las presuntas víctimas, consta que </w:t>
      </w:r>
      <w:r w:rsidR="006165B7" w:rsidRPr="00F2058B">
        <w:rPr>
          <w:lang w:val="es-419"/>
        </w:rPr>
        <w:t xml:space="preserve">el </w:t>
      </w:r>
      <w:r w:rsidR="00235321" w:rsidRPr="00F2058B">
        <w:rPr>
          <w:lang w:val="es-419"/>
        </w:rPr>
        <w:t>28</w:t>
      </w:r>
      <w:r w:rsidR="006165B7" w:rsidRPr="00F2058B">
        <w:rPr>
          <w:lang w:val="es-419"/>
        </w:rPr>
        <w:t xml:space="preserve"> de</w:t>
      </w:r>
      <w:r w:rsidR="008B54D0" w:rsidRPr="00F2058B">
        <w:rPr>
          <w:lang w:val="es-419"/>
        </w:rPr>
        <w:t xml:space="preserve"> noviembre de 1999</w:t>
      </w:r>
      <w:r w:rsidR="006165B7" w:rsidRPr="00F2058B">
        <w:rPr>
          <w:lang w:val="es-419"/>
        </w:rPr>
        <w:t xml:space="preserve"> mientras Edgar Quiroga y Gildardo Fuentes se encontraban en </w:t>
      </w:r>
      <w:r w:rsidR="00235321" w:rsidRPr="00F2058B">
        <w:rPr>
          <w:lang w:val="es-419"/>
        </w:rPr>
        <w:t>Cerro Azul jurisdicción de San Pablo, Sur de Bolívar</w:t>
      </w:r>
      <w:r w:rsidR="006165B7" w:rsidRPr="00F2058B">
        <w:rPr>
          <w:lang w:val="es-419"/>
        </w:rPr>
        <w:t xml:space="preserve">, el primero fue reconocido por un integrante de las </w:t>
      </w:r>
      <w:r w:rsidR="00235321" w:rsidRPr="00F2058B">
        <w:rPr>
          <w:lang w:val="es-419"/>
        </w:rPr>
        <w:t>Autodefensas Unidas de Colombia</w:t>
      </w:r>
      <w:r w:rsidR="006165B7" w:rsidRPr="00F2058B">
        <w:rPr>
          <w:lang w:val="es-419"/>
        </w:rPr>
        <w:t>, alias</w:t>
      </w:r>
      <w:r w:rsidR="008B54D0" w:rsidRPr="00F2058B">
        <w:rPr>
          <w:lang w:val="es-419"/>
        </w:rPr>
        <w:t xml:space="preserve"> “Pareja”</w:t>
      </w:r>
      <w:r w:rsidR="006165B7" w:rsidRPr="00F2058B">
        <w:rPr>
          <w:lang w:val="es-419"/>
        </w:rPr>
        <w:t xml:space="preserve">. Con ocasión de ello fueron detenidos y llevados a </w:t>
      </w:r>
      <w:r w:rsidR="008F3F5A" w:rsidRPr="00F2058B">
        <w:rPr>
          <w:lang w:val="es-419"/>
        </w:rPr>
        <w:t>un establecimiento denominado “Ricarena”</w:t>
      </w:r>
      <w:r w:rsidR="006165B7" w:rsidRPr="00F2058B">
        <w:rPr>
          <w:rFonts w:ascii="Cambria" w:hAnsi="Cambria"/>
          <w:lang w:val="es-419"/>
        </w:rPr>
        <w:t xml:space="preserve"> donde fueron interrogados sobre su pro</w:t>
      </w:r>
      <w:r w:rsidR="008B54D0" w:rsidRPr="00F2058B">
        <w:rPr>
          <w:rFonts w:ascii="Cambria" w:hAnsi="Cambria"/>
          <w:lang w:val="es-419"/>
        </w:rPr>
        <w:t>cedencia y actividades en el área</w:t>
      </w:r>
      <w:r w:rsidR="002A287B" w:rsidRPr="00F2058B">
        <w:rPr>
          <w:sz w:val="18"/>
          <w:szCs w:val="18"/>
          <w:vertAlign w:val="superscript"/>
          <w:lang w:val="es-419"/>
        </w:rPr>
        <w:t xml:space="preserve"> </w:t>
      </w:r>
      <w:r w:rsidR="002A287B" w:rsidRPr="00F2058B">
        <w:rPr>
          <w:sz w:val="18"/>
          <w:szCs w:val="18"/>
          <w:vertAlign w:val="superscript"/>
          <w:lang w:val="es-419"/>
        </w:rPr>
        <w:footnoteReference w:id="39"/>
      </w:r>
      <w:r w:rsidR="008B54D0" w:rsidRPr="00F2058B">
        <w:rPr>
          <w:rFonts w:ascii="Cambria" w:hAnsi="Cambria"/>
          <w:lang w:val="es-419"/>
        </w:rPr>
        <w:t>.</w:t>
      </w:r>
    </w:p>
    <w:p w14:paraId="2AC04DBB" w14:textId="77777777" w:rsidR="008B54D0" w:rsidRPr="00F2058B" w:rsidRDefault="008B54D0" w:rsidP="008B54D0">
      <w:pPr>
        <w:pStyle w:val="parrafos"/>
        <w:rPr>
          <w:lang w:val="es-419"/>
        </w:rPr>
      </w:pPr>
    </w:p>
    <w:p w14:paraId="71104EB9" w14:textId="003C0B97" w:rsidR="006165B7" w:rsidRPr="00F2058B" w:rsidRDefault="006165B7" w:rsidP="00F06940">
      <w:pPr>
        <w:pStyle w:val="parrafos"/>
        <w:numPr>
          <w:ilvl w:val="0"/>
          <w:numId w:val="58"/>
        </w:numPr>
        <w:ind w:left="0" w:firstLine="0"/>
        <w:rPr>
          <w:rFonts w:ascii="Cambria" w:hAnsi="Cambria"/>
          <w:lang w:val="es-419"/>
        </w:rPr>
      </w:pPr>
      <w:r w:rsidRPr="00F2058B">
        <w:rPr>
          <w:lang w:val="es-419"/>
        </w:rPr>
        <w:t>El 4</w:t>
      </w:r>
      <w:r w:rsidR="004E2484" w:rsidRPr="00F2058B">
        <w:rPr>
          <w:lang w:val="es-419"/>
        </w:rPr>
        <w:t xml:space="preserve"> de diciembre de 1999 las Auto</w:t>
      </w:r>
      <w:r w:rsidRPr="00F2058B">
        <w:rPr>
          <w:lang w:val="es-419"/>
        </w:rPr>
        <w:t xml:space="preserve">defensas Unidas de Colombia remitieron una comunicación al </w:t>
      </w:r>
      <w:r w:rsidRPr="00F2058B">
        <w:rPr>
          <w:rFonts w:ascii="Cambria" w:hAnsi="Cambria"/>
          <w:lang w:val="es-419"/>
        </w:rPr>
        <w:t>sacerdote Francisco José de Roux, en donde indicaron que en avanzada militar realizada el 28 de noviembre, capturaron a varios “guerrilleros”, entre ellos, alias Tomás, a quien luego identificarían como Édgar Quiroga</w:t>
      </w:r>
      <w:r w:rsidRPr="00F2058B">
        <w:rPr>
          <w:rStyle w:val="FootnoteReference"/>
          <w:rFonts w:ascii="Cambria" w:hAnsi="Cambria"/>
          <w:lang w:val="es-419"/>
        </w:rPr>
        <w:footnoteReference w:id="40"/>
      </w:r>
      <w:r w:rsidRPr="00F2058B">
        <w:rPr>
          <w:rFonts w:ascii="Cambria" w:hAnsi="Cambria"/>
          <w:lang w:val="es-419"/>
        </w:rPr>
        <w:t xml:space="preserve">. </w:t>
      </w:r>
      <w:r w:rsidR="00F92015" w:rsidRPr="00F2058B">
        <w:rPr>
          <w:rFonts w:ascii="Cambria" w:hAnsi="Cambria"/>
          <w:lang w:val="es-419"/>
        </w:rPr>
        <w:t>El comunicado indica lo siguiente:</w:t>
      </w:r>
    </w:p>
    <w:p w14:paraId="44B019E3" w14:textId="77777777" w:rsidR="00F92015" w:rsidRPr="00F2058B" w:rsidRDefault="00F92015" w:rsidP="00F92015">
      <w:pPr>
        <w:pStyle w:val="parrafos"/>
        <w:rPr>
          <w:rFonts w:ascii="Cambria" w:hAnsi="Cambria"/>
          <w:lang w:val="es-419"/>
        </w:rPr>
      </w:pPr>
    </w:p>
    <w:p w14:paraId="7491DE36" w14:textId="2B545C93" w:rsidR="006D1724" w:rsidRPr="00F2058B" w:rsidRDefault="004E2484" w:rsidP="008B54D0">
      <w:pPr>
        <w:pStyle w:val="parrafos"/>
        <w:ind w:left="360"/>
        <w:rPr>
          <w:rFonts w:ascii="Cambria" w:hAnsi="Cambria"/>
          <w:sz w:val="18"/>
          <w:szCs w:val="18"/>
          <w:lang w:val="es-419"/>
        </w:rPr>
      </w:pPr>
      <w:r w:rsidRPr="00F2058B">
        <w:rPr>
          <w:rFonts w:ascii="Cambria" w:hAnsi="Cambria"/>
          <w:sz w:val="18"/>
          <w:szCs w:val="18"/>
          <w:lang w:val="es-419"/>
        </w:rPr>
        <w:t>(…) e</w:t>
      </w:r>
      <w:r w:rsidR="008B54D0" w:rsidRPr="00F2058B">
        <w:rPr>
          <w:rFonts w:ascii="Cambria" w:hAnsi="Cambria"/>
          <w:sz w:val="18"/>
          <w:szCs w:val="18"/>
          <w:lang w:val="es-419"/>
        </w:rPr>
        <w:t>l día 28 de n</w:t>
      </w:r>
      <w:r w:rsidR="00707382" w:rsidRPr="00F2058B">
        <w:rPr>
          <w:rFonts w:ascii="Cambria" w:hAnsi="Cambria"/>
          <w:sz w:val="18"/>
          <w:szCs w:val="18"/>
          <w:lang w:val="es-419"/>
        </w:rPr>
        <w:t xml:space="preserve">oviembre fueron capturados por una avanzada militar </w:t>
      </w:r>
      <w:r w:rsidR="00C83191" w:rsidRPr="00F2058B">
        <w:rPr>
          <w:rFonts w:ascii="Cambria" w:hAnsi="Cambria"/>
          <w:sz w:val="18"/>
          <w:szCs w:val="18"/>
          <w:lang w:val="es-419"/>
        </w:rPr>
        <w:t>del Comando Superior de las AUC; los guerrilleros Manuel Pacheco Salem a</w:t>
      </w:r>
      <w:r w:rsidR="009F447F" w:rsidRPr="00F2058B">
        <w:rPr>
          <w:rFonts w:ascii="Cambria" w:hAnsi="Cambria"/>
          <w:sz w:val="18"/>
          <w:szCs w:val="18"/>
          <w:lang w:val="es-419"/>
        </w:rPr>
        <w:t xml:space="preserve">lias Timoleón, Jairo Paternina </w:t>
      </w:r>
      <w:r w:rsidR="00C83191" w:rsidRPr="00F2058B">
        <w:rPr>
          <w:rFonts w:ascii="Cambria" w:hAnsi="Cambria"/>
          <w:sz w:val="18"/>
          <w:szCs w:val="18"/>
          <w:lang w:val="es-419"/>
        </w:rPr>
        <w:t xml:space="preserve">Méndez alias Jeremías, Pablo Manuel Arteaga alias Otoniel, NN alias </w:t>
      </w:r>
      <w:r w:rsidR="00C83191" w:rsidRPr="00F2058B">
        <w:rPr>
          <w:rFonts w:ascii="Cambria" w:hAnsi="Cambria"/>
          <w:sz w:val="18"/>
          <w:szCs w:val="18"/>
          <w:lang w:val="es-419"/>
        </w:rPr>
        <w:lastRenderedPageBreak/>
        <w:t>Tomás, NN alias Ermindo</w:t>
      </w:r>
      <w:r w:rsidR="006D1724" w:rsidRPr="00F2058B">
        <w:rPr>
          <w:rFonts w:ascii="Cambria" w:hAnsi="Cambria"/>
          <w:sz w:val="18"/>
          <w:szCs w:val="18"/>
          <w:lang w:val="es-419"/>
        </w:rPr>
        <w:t>.</w:t>
      </w:r>
      <w:r w:rsidR="008B54D0" w:rsidRPr="00F2058B">
        <w:rPr>
          <w:rFonts w:ascii="Cambria" w:hAnsi="Cambria"/>
          <w:sz w:val="18"/>
          <w:szCs w:val="18"/>
          <w:lang w:val="es-419"/>
        </w:rPr>
        <w:t xml:space="preserve"> </w:t>
      </w:r>
      <w:r w:rsidR="006D1724" w:rsidRPr="00F2058B">
        <w:rPr>
          <w:rFonts w:ascii="Cambria" w:hAnsi="Cambria"/>
          <w:sz w:val="18"/>
          <w:szCs w:val="18"/>
          <w:lang w:val="es-419"/>
        </w:rPr>
        <w:t>A estos guerrilleros se les decomisó abundante material de guerra, explosivos y papelería con calumniosas denuncias en contra de las Autodefensas del Sur de Bolívar (…)</w:t>
      </w:r>
    </w:p>
    <w:p w14:paraId="6A8ACB9B" w14:textId="77777777" w:rsidR="006D1724" w:rsidRPr="00F2058B" w:rsidRDefault="006D1724" w:rsidP="008B54D0">
      <w:pPr>
        <w:pStyle w:val="parrafos"/>
        <w:ind w:left="360"/>
        <w:rPr>
          <w:rFonts w:ascii="Cambria" w:hAnsi="Cambria"/>
          <w:sz w:val="18"/>
          <w:szCs w:val="18"/>
          <w:lang w:val="es-419"/>
        </w:rPr>
      </w:pPr>
    </w:p>
    <w:p w14:paraId="4E22BD55" w14:textId="3D407891" w:rsidR="0061095F" w:rsidRPr="00F2058B" w:rsidRDefault="006D1724" w:rsidP="008B54D0">
      <w:pPr>
        <w:pStyle w:val="parrafos"/>
        <w:ind w:left="360"/>
        <w:rPr>
          <w:rFonts w:ascii="Cambria" w:hAnsi="Cambria"/>
          <w:sz w:val="18"/>
          <w:szCs w:val="18"/>
          <w:lang w:val="es-419"/>
        </w:rPr>
      </w:pPr>
      <w:r w:rsidRPr="00F2058B">
        <w:rPr>
          <w:rFonts w:ascii="Cambria" w:hAnsi="Cambria"/>
          <w:sz w:val="18"/>
          <w:szCs w:val="18"/>
          <w:lang w:val="es-419"/>
        </w:rPr>
        <w:t>El Comandante de las Autodefensas del Sur de Bolívar, por petición suy</w:t>
      </w:r>
      <w:r w:rsidR="008B54D0" w:rsidRPr="00F2058B">
        <w:rPr>
          <w:rFonts w:ascii="Cambria" w:hAnsi="Cambria"/>
          <w:sz w:val="18"/>
          <w:szCs w:val="18"/>
          <w:lang w:val="es-419"/>
        </w:rPr>
        <w:t xml:space="preserve">a, indagó ante nosotros </w:t>
      </w:r>
      <w:r w:rsidRPr="00F2058B">
        <w:rPr>
          <w:rFonts w:ascii="Cambria" w:hAnsi="Cambria"/>
          <w:sz w:val="18"/>
          <w:szCs w:val="18"/>
          <w:lang w:val="es-419"/>
        </w:rPr>
        <w:t xml:space="preserve">el día 30 de noviembre por un individuo </w:t>
      </w:r>
      <w:r w:rsidR="0061095F" w:rsidRPr="00F2058B">
        <w:rPr>
          <w:rFonts w:ascii="Cambria" w:hAnsi="Cambria"/>
          <w:sz w:val="18"/>
          <w:szCs w:val="18"/>
          <w:lang w:val="es-419"/>
        </w:rPr>
        <w:t>de nombre Edgar Quiroga, a lo que respondimos negativamente, pues ninguno de los terroristas capturados se había identifi</w:t>
      </w:r>
      <w:r w:rsidR="008B54D0" w:rsidRPr="00F2058B">
        <w:rPr>
          <w:rFonts w:ascii="Cambria" w:hAnsi="Cambria"/>
          <w:sz w:val="18"/>
          <w:szCs w:val="18"/>
          <w:lang w:val="es-419"/>
        </w:rPr>
        <w:t xml:space="preserve">cado con ese nombre. </w:t>
      </w:r>
      <w:r w:rsidR="0061095F" w:rsidRPr="00F2058B">
        <w:rPr>
          <w:rFonts w:ascii="Cambria" w:hAnsi="Cambria"/>
          <w:sz w:val="18"/>
          <w:szCs w:val="18"/>
          <w:lang w:val="es-419"/>
        </w:rPr>
        <w:t>Uno de los cinco guerrilleros detenidos que inicialmente se identificó como Tomás, resultó ser Édgar Quiroga.</w:t>
      </w:r>
    </w:p>
    <w:p w14:paraId="42871C01" w14:textId="77777777" w:rsidR="0061095F" w:rsidRPr="00F2058B" w:rsidRDefault="0061095F" w:rsidP="008B54D0">
      <w:pPr>
        <w:pStyle w:val="parrafos"/>
        <w:ind w:left="360"/>
        <w:rPr>
          <w:rFonts w:ascii="Cambria" w:hAnsi="Cambria"/>
          <w:sz w:val="18"/>
          <w:szCs w:val="18"/>
          <w:lang w:val="es-419"/>
        </w:rPr>
      </w:pPr>
    </w:p>
    <w:p w14:paraId="19A8F842" w14:textId="2814DB0B" w:rsidR="006165B7" w:rsidRPr="00F2058B" w:rsidRDefault="0061095F" w:rsidP="008B54D0">
      <w:pPr>
        <w:pStyle w:val="parrafos"/>
        <w:ind w:left="360"/>
        <w:rPr>
          <w:rFonts w:ascii="Cambria" w:hAnsi="Cambria"/>
          <w:sz w:val="18"/>
          <w:szCs w:val="18"/>
          <w:lang w:val="es-419"/>
        </w:rPr>
      </w:pPr>
      <w:r w:rsidRPr="00F2058B">
        <w:rPr>
          <w:rFonts w:ascii="Cambria" w:hAnsi="Cambria"/>
          <w:sz w:val="18"/>
          <w:szCs w:val="18"/>
          <w:lang w:val="es-419"/>
        </w:rPr>
        <w:t xml:space="preserve">Usted respetado padre, </w:t>
      </w:r>
      <w:r w:rsidR="00031BBC" w:rsidRPr="00F2058B">
        <w:rPr>
          <w:rFonts w:ascii="Cambria" w:hAnsi="Cambria"/>
          <w:sz w:val="18"/>
          <w:szCs w:val="18"/>
          <w:lang w:val="es-419"/>
        </w:rPr>
        <w:t>averiguaba ante nosotros por el paradero de un líder campesino, lo que nos pareció normal e intentamos ayudarle, pero nunca imaginamos que a quien realmente estaba buscando era a un terrorista del Eln. Por esta razón en ningún momento relacionamos a quien Usted buscaba con los guerril</w:t>
      </w:r>
      <w:r w:rsidR="008B54D0" w:rsidRPr="00F2058B">
        <w:rPr>
          <w:rFonts w:ascii="Cambria" w:hAnsi="Cambria"/>
          <w:sz w:val="18"/>
          <w:szCs w:val="18"/>
          <w:lang w:val="es-419"/>
        </w:rPr>
        <w:t>leros capturados en flagrancia.</w:t>
      </w:r>
      <w:r w:rsidR="00031BBC" w:rsidRPr="00F2058B">
        <w:rPr>
          <w:rFonts w:ascii="Cambria" w:hAnsi="Cambria"/>
          <w:sz w:val="18"/>
          <w:szCs w:val="18"/>
          <w:lang w:val="es-419"/>
        </w:rPr>
        <w:t>No estamos dispuestos a suministrar a nadie, ningún tipo de información adicional al respecto, pues el Eln tiene sus leyes, nosotros las nuestras</w:t>
      </w:r>
      <w:r w:rsidR="00031BBC" w:rsidRPr="00F2058B">
        <w:rPr>
          <w:rStyle w:val="FootnoteReference"/>
          <w:rFonts w:ascii="Cambria" w:hAnsi="Cambria"/>
          <w:sz w:val="18"/>
          <w:szCs w:val="18"/>
          <w:lang w:val="es-419"/>
        </w:rPr>
        <w:footnoteReference w:id="41"/>
      </w:r>
      <w:r w:rsidR="00031BBC" w:rsidRPr="00F2058B">
        <w:rPr>
          <w:rFonts w:ascii="Cambria" w:hAnsi="Cambria"/>
          <w:sz w:val="18"/>
          <w:szCs w:val="18"/>
          <w:lang w:val="es-419"/>
        </w:rPr>
        <w:t>.</w:t>
      </w:r>
      <w:r w:rsidR="00F92015" w:rsidRPr="00F2058B">
        <w:rPr>
          <w:rFonts w:ascii="Cambria" w:hAnsi="Cambria"/>
          <w:sz w:val="18"/>
          <w:szCs w:val="18"/>
          <w:lang w:val="es-419"/>
        </w:rPr>
        <w:t>”</w:t>
      </w:r>
    </w:p>
    <w:p w14:paraId="4323EFAA" w14:textId="77777777" w:rsidR="008B54D0" w:rsidRPr="00F2058B" w:rsidRDefault="008B54D0" w:rsidP="008B54D0">
      <w:pPr>
        <w:pStyle w:val="parrafos"/>
        <w:rPr>
          <w:rFonts w:ascii="Cambria" w:hAnsi="Cambria"/>
          <w:sz w:val="18"/>
          <w:szCs w:val="18"/>
          <w:lang w:val="es-419"/>
        </w:rPr>
      </w:pPr>
    </w:p>
    <w:p w14:paraId="0248C8EF" w14:textId="4B27B0A6" w:rsidR="006165B7" w:rsidRPr="00F2058B" w:rsidRDefault="006165B7" w:rsidP="00F06940">
      <w:pPr>
        <w:pStyle w:val="parrafos"/>
        <w:numPr>
          <w:ilvl w:val="0"/>
          <w:numId w:val="58"/>
        </w:numPr>
        <w:ind w:left="0" w:firstLine="0"/>
        <w:rPr>
          <w:lang w:val="es-419"/>
        </w:rPr>
      </w:pPr>
      <w:r w:rsidRPr="00F2058B">
        <w:rPr>
          <w:rFonts w:ascii="Cambria" w:hAnsi="Cambria"/>
          <w:lang w:val="es-419"/>
        </w:rPr>
        <w:t>El 5 de mayo de 2000 la Defensoría del Pueblo se reunió con Carlos Castaño, líder de las AUC, quien declaró que a Édgar Quiroga le habían hecho un juicio con testigos por ser guerrillero, que estaba muerto y que su cadáver se encontraba en algún lugar de la Gabarra en la región del Catatumbo, en Norte de Santander</w:t>
      </w:r>
      <w:r w:rsidRPr="00F2058B">
        <w:rPr>
          <w:rStyle w:val="FootnoteReference"/>
          <w:rFonts w:ascii="Cambria" w:hAnsi="Cambria"/>
          <w:lang w:val="es-419"/>
        </w:rPr>
        <w:footnoteReference w:id="42"/>
      </w:r>
      <w:r w:rsidRPr="00F2058B">
        <w:rPr>
          <w:rFonts w:ascii="Cambria" w:hAnsi="Cambria"/>
          <w:lang w:val="es-419"/>
        </w:rPr>
        <w:t xml:space="preserve">. </w:t>
      </w:r>
    </w:p>
    <w:p w14:paraId="3D511AD8" w14:textId="77777777" w:rsidR="006165B7" w:rsidRPr="00F2058B" w:rsidRDefault="006165B7" w:rsidP="006165B7">
      <w:pPr>
        <w:pStyle w:val="ListParagraph"/>
        <w:rPr>
          <w:rFonts w:ascii="Cambria" w:hAnsi="Cambria"/>
          <w:lang w:val="es-419"/>
        </w:rPr>
      </w:pPr>
    </w:p>
    <w:p w14:paraId="0716A1D0" w14:textId="42C3E865" w:rsidR="008B54D0" w:rsidRPr="00F2058B" w:rsidRDefault="006165B7" w:rsidP="002F5DFA">
      <w:pPr>
        <w:pStyle w:val="parrafos"/>
        <w:numPr>
          <w:ilvl w:val="0"/>
          <w:numId w:val="58"/>
        </w:numPr>
        <w:ind w:left="0" w:firstLine="0"/>
        <w:rPr>
          <w:lang w:val="es-419"/>
        </w:rPr>
      </w:pPr>
      <w:r w:rsidRPr="00F2058B">
        <w:rPr>
          <w:rFonts w:ascii="Cambria" w:hAnsi="Cambria"/>
          <w:lang w:val="es-419"/>
        </w:rPr>
        <w:t>El 4 de junio de 2000, el diario El Espectador publicó un artículo informando que el cadáver de Édgar Quiroga habría sido abandonado en La Gabarra, Norte de Santander</w:t>
      </w:r>
      <w:r w:rsidR="00FF6F7F" w:rsidRPr="00F2058B">
        <w:rPr>
          <w:rStyle w:val="FootnoteReference"/>
          <w:rFonts w:ascii="Cambria" w:hAnsi="Cambria"/>
          <w:lang w:val="es-419"/>
        </w:rPr>
        <w:footnoteReference w:id="43"/>
      </w:r>
      <w:r w:rsidRPr="00F2058B">
        <w:rPr>
          <w:rFonts w:ascii="Cambria" w:hAnsi="Cambria"/>
          <w:lang w:val="es-419"/>
        </w:rPr>
        <w:t>. El Estado pudo comprobar, a través de las autoridades locales de Simití que dicho cuerpo no pertenecía a Édgar Quiroga</w:t>
      </w:r>
      <w:r w:rsidRPr="00F2058B">
        <w:rPr>
          <w:rStyle w:val="FootnoteReference"/>
          <w:rFonts w:ascii="Cambria" w:hAnsi="Cambria"/>
          <w:lang w:val="es-419"/>
        </w:rPr>
        <w:footnoteReference w:id="44"/>
      </w:r>
      <w:r w:rsidRPr="00F2058B">
        <w:rPr>
          <w:rFonts w:ascii="Cambria" w:hAnsi="Cambria"/>
          <w:lang w:val="es-419"/>
        </w:rPr>
        <w:t xml:space="preserve">; a la fecha, </w:t>
      </w:r>
      <w:r w:rsidR="008B54D0" w:rsidRPr="00F2058B">
        <w:rPr>
          <w:rFonts w:ascii="Cambria" w:hAnsi="Cambria"/>
          <w:lang w:val="es-419"/>
        </w:rPr>
        <w:t>se desconoce su paradero.</w:t>
      </w:r>
    </w:p>
    <w:p w14:paraId="70B73278" w14:textId="59862014" w:rsidR="002F5DFA" w:rsidRPr="00F2058B" w:rsidRDefault="002F5DFA" w:rsidP="002F5DFA">
      <w:pPr>
        <w:pStyle w:val="parrafos"/>
        <w:rPr>
          <w:lang w:val="es-419"/>
        </w:rPr>
      </w:pPr>
    </w:p>
    <w:p w14:paraId="2AD68CA3" w14:textId="44E1635F" w:rsidR="00820FFD" w:rsidRPr="00F2058B" w:rsidRDefault="008B54D0" w:rsidP="00F06940">
      <w:pPr>
        <w:pStyle w:val="parrafos"/>
        <w:numPr>
          <w:ilvl w:val="0"/>
          <w:numId w:val="58"/>
        </w:numPr>
        <w:ind w:left="0" w:firstLine="0"/>
        <w:rPr>
          <w:lang w:val="es-419"/>
        </w:rPr>
      </w:pPr>
      <w:r w:rsidRPr="00F2058B">
        <w:rPr>
          <w:lang w:val="es-419"/>
        </w:rPr>
        <w:t>En cuanto a Gildardo Fuentes, de conformidad con la Comisión de Búsqueda establecida par</w:t>
      </w:r>
      <w:r w:rsidR="008C07FF" w:rsidRPr="00F2058B">
        <w:rPr>
          <w:lang w:val="es-419"/>
        </w:rPr>
        <w:t>a</w:t>
      </w:r>
      <w:r w:rsidRPr="00F2058B">
        <w:rPr>
          <w:lang w:val="es-419"/>
        </w:rPr>
        <w:t xml:space="preserve"> ambas presuntas victimas se obtuvo la siguiente información: </w:t>
      </w:r>
    </w:p>
    <w:p w14:paraId="6BAB727F" w14:textId="77777777" w:rsidR="008C07FF" w:rsidRPr="00F2058B" w:rsidRDefault="008C07FF" w:rsidP="00AA4E4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ight="540"/>
        <w:jc w:val="both"/>
        <w:rPr>
          <w:rFonts w:ascii="Cambria" w:eastAsia="Times New Roman" w:hAnsi="Cambria"/>
          <w:color w:val="000000"/>
          <w:sz w:val="18"/>
          <w:szCs w:val="18"/>
          <w:u w:color="000000"/>
          <w:lang w:val="es-419" w:eastAsia="es-ES"/>
        </w:rPr>
      </w:pPr>
    </w:p>
    <w:p w14:paraId="6F2F836C" w14:textId="5F64A09A" w:rsidR="00BC68C1" w:rsidRPr="00F2058B" w:rsidRDefault="00820FFD" w:rsidP="002B408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ight="720"/>
        <w:jc w:val="both"/>
        <w:rPr>
          <w:rFonts w:ascii="Arial" w:hAnsi="Arial" w:cs="Arial"/>
          <w:color w:val="222222"/>
          <w:sz w:val="18"/>
          <w:szCs w:val="18"/>
          <w:shd w:val="clear" w:color="auto" w:fill="FFFFFF"/>
          <w:lang w:val="es-419"/>
        </w:rPr>
      </w:pPr>
      <w:r w:rsidRPr="00F2058B">
        <w:rPr>
          <w:rFonts w:ascii="Cambria" w:eastAsia="Times New Roman" w:hAnsi="Cambria"/>
          <w:color w:val="000000"/>
          <w:sz w:val="18"/>
          <w:szCs w:val="18"/>
          <w:u w:color="000000"/>
          <w:lang w:val="es-419" w:eastAsia="es-ES"/>
        </w:rPr>
        <w:t>(…)En relación con la suerte del señor Gildardo Fuentes, aseguraron que lo matarían inmediatamente, pues él se había salvado anteriormente, es decir, el pasado 8 de octubre cuando fue agredido por miembros del mismo grupo armado, en momentos en que se encontraba en la cabecera de San Pablo. En esa ocasión fue herido en varias partes de su cuerpo con machete. “ El paramilitar Niche “[sic]</w:t>
      </w:r>
      <w:r w:rsidRPr="00F2058B">
        <w:rPr>
          <w:rFonts w:asciiTheme="majorHAnsi" w:hAnsiTheme="majorHAnsi" w:cs="Arial"/>
          <w:color w:val="222222"/>
          <w:sz w:val="18"/>
          <w:szCs w:val="18"/>
          <w:shd w:val="clear" w:color="auto" w:fill="FFFFFF"/>
          <w:lang w:val="es-419"/>
        </w:rPr>
        <w:t>expresó que lo mas</w:t>
      </w:r>
      <w:r w:rsidR="001C368F" w:rsidRPr="00F2058B">
        <w:rPr>
          <w:rFonts w:ascii="Arial" w:hAnsi="Arial" w:cs="Arial"/>
          <w:color w:val="222222"/>
          <w:sz w:val="21"/>
          <w:szCs w:val="21"/>
          <w:shd w:val="clear" w:color="auto" w:fill="FFFFFF"/>
          <w:lang w:val="es-419"/>
        </w:rPr>
        <w:t xml:space="preserve"> </w:t>
      </w:r>
      <w:r w:rsidR="001C368F" w:rsidRPr="00F2058B">
        <w:rPr>
          <w:rFonts w:asciiTheme="majorHAnsi" w:hAnsiTheme="majorHAnsi" w:cs="Arial"/>
          <w:color w:val="222222"/>
          <w:sz w:val="18"/>
          <w:szCs w:val="18"/>
          <w:shd w:val="clear" w:color="auto" w:fill="FFFFFF"/>
          <w:lang w:val="es-419"/>
        </w:rPr>
        <w:t>seguro era que lo lanzaran desde el helicóptero</w:t>
      </w:r>
      <w:r w:rsidR="001C368F" w:rsidRPr="00F2058B">
        <w:rPr>
          <w:rStyle w:val="FootnoteReference"/>
          <w:rFonts w:asciiTheme="majorHAnsi" w:hAnsiTheme="majorHAnsi" w:cs="Arial"/>
          <w:color w:val="222222"/>
          <w:sz w:val="18"/>
          <w:szCs w:val="18"/>
          <w:shd w:val="clear" w:color="auto" w:fill="FFFFFF"/>
          <w:lang w:val="es-419"/>
        </w:rPr>
        <w:footnoteReference w:id="45"/>
      </w:r>
      <w:r w:rsidR="001C368F" w:rsidRPr="00F2058B">
        <w:rPr>
          <w:rFonts w:asciiTheme="majorHAnsi" w:hAnsiTheme="majorHAnsi" w:cs="Arial"/>
          <w:color w:val="222222"/>
          <w:sz w:val="18"/>
          <w:szCs w:val="18"/>
          <w:shd w:val="clear" w:color="auto" w:fill="FFFFFF"/>
          <w:lang w:val="es-419"/>
        </w:rPr>
        <w:t xml:space="preserve">. </w:t>
      </w:r>
      <w:bookmarkStart w:id="17" w:name="_Toc26366353"/>
    </w:p>
    <w:p w14:paraId="6CB2B7B7" w14:textId="77777777" w:rsidR="00AA4E4E" w:rsidRPr="00F2058B" w:rsidRDefault="00AA4E4E" w:rsidP="00AA4E4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ight="540"/>
        <w:jc w:val="both"/>
        <w:rPr>
          <w:rFonts w:ascii="Cambria" w:hAnsi="Cambria"/>
          <w:sz w:val="18"/>
          <w:szCs w:val="18"/>
          <w:highlight w:val="yellow"/>
          <w:lang w:val="es-419"/>
        </w:rPr>
      </w:pPr>
    </w:p>
    <w:p w14:paraId="01CFB067" w14:textId="77777777" w:rsidR="007D6511" w:rsidRPr="00F2058B" w:rsidRDefault="007D6511" w:rsidP="00F06940">
      <w:pPr>
        <w:pStyle w:val="Heading2"/>
        <w:keepNext/>
        <w:numPr>
          <w:ilvl w:val="1"/>
          <w:numId w:val="59"/>
        </w:numPr>
        <w:tabs>
          <w:tab w:val="clear" w:pos="2520"/>
          <w:tab w:val="left" w:pos="360"/>
        </w:tabs>
        <w:ind w:left="0" w:firstLine="0"/>
        <w:jc w:val="left"/>
        <w:rPr>
          <w:lang w:val="es-419"/>
        </w:rPr>
      </w:pPr>
      <w:bookmarkStart w:id="18" w:name="_Toc26366354"/>
      <w:bookmarkStart w:id="19" w:name="_Toc216359314"/>
      <w:r w:rsidRPr="00F2058B">
        <w:rPr>
          <w:lang w:val="es-419"/>
        </w:rPr>
        <w:t>P</w:t>
      </w:r>
      <w:bookmarkEnd w:id="18"/>
      <w:r w:rsidRPr="00F2058B">
        <w:rPr>
          <w:lang w:val="es-419"/>
        </w:rPr>
        <w:t>rocesos internos en relación con las desapariciones de Edgar Quiroga y Gildardo Fuentes</w:t>
      </w:r>
      <w:bookmarkEnd w:id="19"/>
    </w:p>
    <w:p w14:paraId="17AF0183" w14:textId="77777777" w:rsidR="007D6511" w:rsidRPr="00F2058B" w:rsidRDefault="007D6511" w:rsidP="007D6511">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s-419"/>
        </w:rPr>
      </w:pPr>
    </w:p>
    <w:p w14:paraId="2FD9CADF" w14:textId="77777777" w:rsidR="007D6511" w:rsidRPr="00F2058B" w:rsidRDefault="007D6511" w:rsidP="00F06940">
      <w:pPr>
        <w:pStyle w:val="Heading3"/>
        <w:numPr>
          <w:ilvl w:val="2"/>
          <w:numId w:val="59"/>
        </w:numPr>
        <w:ind w:left="360"/>
        <w:rPr>
          <w:rStyle w:val="Heading3Char"/>
          <w:lang w:val="es-419"/>
        </w:rPr>
      </w:pPr>
      <w:bookmarkStart w:id="20" w:name="_Toc216359315"/>
      <w:r w:rsidRPr="00F2058B">
        <w:rPr>
          <w:lang w:val="es-419"/>
        </w:rPr>
        <w:t>Hábeas Corpus</w:t>
      </w:r>
      <w:bookmarkEnd w:id="20"/>
      <w:r w:rsidRPr="00F2058B">
        <w:rPr>
          <w:lang w:val="es-419"/>
        </w:rPr>
        <w:tab/>
      </w:r>
    </w:p>
    <w:p w14:paraId="5148940B" w14:textId="77777777" w:rsidR="007D6511" w:rsidRPr="00F2058B" w:rsidRDefault="007D6511" w:rsidP="007D6511">
      <w:pPr>
        <w:pStyle w:val="parrafos"/>
        <w:rPr>
          <w:rFonts w:ascii="Cambria" w:hAnsi="Cambria"/>
          <w:highlight w:val="yellow"/>
          <w:lang w:val="es-419"/>
        </w:rPr>
      </w:pPr>
    </w:p>
    <w:p w14:paraId="68644B53" w14:textId="77777777" w:rsidR="007D6511" w:rsidRPr="00F2058B" w:rsidRDefault="007D6511" w:rsidP="00F06940">
      <w:pPr>
        <w:pStyle w:val="parrafos"/>
        <w:numPr>
          <w:ilvl w:val="0"/>
          <w:numId w:val="58"/>
        </w:numPr>
        <w:ind w:left="0" w:firstLine="0"/>
        <w:rPr>
          <w:rFonts w:ascii="Cambria" w:hAnsi="Cambria"/>
          <w:lang w:val="es-419"/>
        </w:rPr>
      </w:pPr>
      <w:r w:rsidRPr="00F2058B">
        <w:rPr>
          <w:rFonts w:ascii="Cambria" w:hAnsi="Cambria"/>
          <w:lang w:val="es-419"/>
        </w:rPr>
        <w:t xml:space="preserve">El 29 de noviembre de 1999 Noraida Quiroga Medina, hermana de Édgar Quiroga, presentó acción pública de hábeas corpus ante la Jurisdicción ordinaria manifestando “me permito invocar ante usted el Derecho de Habeas </w:t>
      </w:r>
      <w:r w:rsidRPr="00F2058B">
        <w:rPr>
          <w:lang w:val="es-419"/>
        </w:rPr>
        <w:t>Corpus</w:t>
      </w:r>
      <w:r w:rsidRPr="00F2058B">
        <w:rPr>
          <w:rFonts w:ascii="Cambria" w:hAnsi="Cambria"/>
          <w:lang w:val="es-419"/>
        </w:rPr>
        <w:t xml:space="preserve">, a favor de mi hermano EDGAR QUIROGA y su acompañante GILDARDO FUENTE </w:t>
      </w:r>
      <w:r w:rsidRPr="00F2058B">
        <w:rPr>
          <w:rFonts w:cs="Arial"/>
          <w:shd w:val="clear" w:color="auto" w:fill="FFFFFF"/>
          <w:lang w:val="es-419"/>
        </w:rPr>
        <w:t>[sic] quien fue detenido por miembros del Batallón No. 45 Héroes de Majagual, el día 28 de noviembre a las 10 a.m. en la vereda la Placita del corregimiento de Cerro Azul</w:t>
      </w:r>
      <w:r w:rsidRPr="00F2058B">
        <w:rPr>
          <w:rStyle w:val="FootnoteReference"/>
          <w:rFonts w:ascii="Cambria" w:hAnsi="Cambria"/>
          <w:lang w:val="es-419"/>
        </w:rPr>
        <w:footnoteReference w:id="46"/>
      </w:r>
      <w:r w:rsidRPr="00F2058B">
        <w:rPr>
          <w:rFonts w:cs="Arial"/>
          <w:shd w:val="clear" w:color="auto" w:fill="FFFFFF"/>
          <w:lang w:val="es-419"/>
        </w:rPr>
        <w:t>”.</w:t>
      </w:r>
    </w:p>
    <w:p w14:paraId="6AAAAD7B" w14:textId="77777777" w:rsidR="007D6511" w:rsidRPr="00F2058B" w:rsidRDefault="007D6511" w:rsidP="007D6511">
      <w:pPr>
        <w:rPr>
          <w:rFonts w:ascii="Cambria" w:hAnsi="Cambria"/>
          <w:lang w:val="es-419"/>
        </w:rPr>
      </w:pPr>
    </w:p>
    <w:p w14:paraId="30CE2AF7" w14:textId="77777777" w:rsidR="007D6511" w:rsidRPr="00F2058B" w:rsidRDefault="007D6511" w:rsidP="00F06940">
      <w:pPr>
        <w:pStyle w:val="parrafos"/>
        <w:numPr>
          <w:ilvl w:val="0"/>
          <w:numId w:val="58"/>
        </w:numPr>
        <w:ind w:left="0" w:firstLine="0"/>
        <w:rPr>
          <w:rFonts w:ascii="Cambria" w:hAnsi="Cambria"/>
          <w:lang w:val="es-419"/>
        </w:rPr>
      </w:pPr>
      <w:r w:rsidRPr="00F2058B">
        <w:rPr>
          <w:rFonts w:ascii="Cambria" w:hAnsi="Cambria"/>
          <w:lang w:val="es-419"/>
        </w:rPr>
        <w:t>El 30 de noviembre de 1999 el Juzgado Primero Penal del Circuito de la ciudad de Barrancabermeja emitió auto interlocutorio en el cual decidió negar por improcedente el derecho de hábeas corpus bajo las siguientes consideraciones</w:t>
      </w:r>
      <w:r w:rsidRPr="00F2058B">
        <w:rPr>
          <w:rStyle w:val="FootnoteReference"/>
          <w:rFonts w:ascii="Cambria" w:hAnsi="Cambria"/>
          <w:lang w:val="es-419"/>
        </w:rPr>
        <w:footnoteReference w:id="47"/>
      </w:r>
      <w:r w:rsidRPr="00F2058B">
        <w:rPr>
          <w:rFonts w:ascii="Cambria" w:hAnsi="Cambria"/>
          <w:lang w:val="es-419"/>
        </w:rPr>
        <w:t xml:space="preserve"> :</w:t>
      </w:r>
    </w:p>
    <w:p w14:paraId="7053130E" w14:textId="77777777" w:rsidR="007D6511" w:rsidRPr="00F2058B" w:rsidRDefault="007D6511" w:rsidP="007D6511">
      <w:pPr>
        <w:jc w:val="both"/>
        <w:rPr>
          <w:rFonts w:ascii="Cambria" w:hAnsi="Cambria"/>
          <w:sz w:val="18"/>
          <w:szCs w:val="18"/>
          <w:lang w:val="es-419"/>
        </w:rPr>
      </w:pPr>
    </w:p>
    <w:p w14:paraId="3E0EEB4F" w14:textId="77777777" w:rsidR="007D6511" w:rsidRPr="00F2058B" w:rsidRDefault="007D6511" w:rsidP="002B408C">
      <w:pPr>
        <w:pStyle w:val="ListParagraph"/>
        <w:ind w:left="360" w:right="720"/>
        <w:jc w:val="both"/>
        <w:rPr>
          <w:rFonts w:ascii="Cambria" w:hAnsi="Cambria"/>
          <w:sz w:val="18"/>
          <w:szCs w:val="18"/>
          <w:lang w:val="es-419"/>
        </w:rPr>
      </w:pPr>
      <w:r w:rsidRPr="00F2058B">
        <w:rPr>
          <w:rFonts w:ascii="Cambria" w:hAnsi="Cambria"/>
          <w:sz w:val="18"/>
          <w:szCs w:val="18"/>
          <w:lang w:val="es-419"/>
        </w:rPr>
        <w:t>CONSIDERANDOS</w:t>
      </w:r>
    </w:p>
    <w:p w14:paraId="5D660CD7" w14:textId="77777777" w:rsidR="007D6511" w:rsidRPr="00F2058B" w:rsidRDefault="007D6511" w:rsidP="002B408C">
      <w:pPr>
        <w:pStyle w:val="ListParagraph"/>
        <w:ind w:left="360" w:right="720"/>
        <w:jc w:val="both"/>
        <w:rPr>
          <w:rFonts w:ascii="Cambria" w:hAnsi="Cambria"/>
          <w:sz w:val="18"/>
          <w:szCs w:val="18"/>
          <w:lang w:val="es-419"/>
        </w:rPr>
      </w:pPr>
      <w:r w:rsidRPr="00F2058B">
        <w:rPr>
          <w:rFonts w:ascii="Cambria" w:hAnsi="Cambria"/>
          <w:sz w:val="18"/>
          <w:szCs w:val="18"/>
          <w:lang w:val="es-419"/>
        </w:rPr>
        <w:lastRenderedPageBreak/>
        <w:t>Entrando en el meollo del asunto y de acuerdo con el caudal probatorio, se establece con claridad meridiana que los ciudadanos EDGAR QUIROGA y GILDARDO FUENTES; no han sido retenidos en forma legal o ilegal por ninguna autoridad legítima de este municipio, ni de San Pablo o simití (Bol.)</w:t>
      </w:r>
    </w:p>
    <w:p w14:paraId="2F077776" w14:textId="77777777" w:rsidR="007D6511" w:rsidRPr="00F2058B" w:rsidRDefault="007D6511" w:rsidP="002B408C">
      <w:pPr>
        <w:pStyle w:val="ListParagraph"/>
        <w:ind w:left="360" w:right="720"/>
        <w:jc w:val="both"/>
        <w:rPr>
          <w:rFonts w:ascii="Cambria" w:hAnsi="Cambria"/>
          <w:sz w:val="18"/>
          <w:szCs w:val="18"/>
          <w:lang w:val="es-419"/>
        </w:rPr>
      </w:pPr>
    </w:p>
    <w:p w14:paraId="4C7EBE29" w14:textId="77777777" w:rsidR="007D6511" w:rsidRPr="00F2058B" w:rsidRDefault="007D6511" w:rsidP="002B408C">
      <w:pPr>
        <w:pStyle w:val="ListParagraph"/>
        <w:ind w:left="360" w:right="720"/>
        <w:jc w:val="both"/>
        <w:rPr>
          <w:rFonts w:ascii="Cambria" w:hAnsi="Cambria"/>
          <w:sz w:val="18"/>
          <w:szCs w:val="18"/>
          <w:lang w:val="es-419"/>
        </w:rPr>
      </w:pPr>
      <w:r w:rsidRPr="00F2058B">
        <w:rPr>
          <w:rFonts w:ascii="Cambria" w:hAnsi="Cambria"/>
          <w:sz w:val="18"/>
          <w:szCs w:val="18"/>
          <w:lang w:val="es-419"/>
        </w:rPr>
        <w:t>Pero se torna como falaz y calumniosa, la afirmación que hizo la peticionaria del HABEAS CORPUS, Señora NORAIDA QUIROGA MEDINA , hermana del presunto desaparecido, en el sentido de que a éstos ciudadanos dizque los detuvo las tropas del Batallón No. 45 “Héroes de Majagual”, acantonados en el Municipio de San Pablo (Bol); si se advierte que tal afirmación no tiene ningún respaldo probatorio y más aún cuando el accionante; no se atrevió a señalar los medios, ni qué personas le suministraron tal información, sino que contestó en forma anónima, con evasivas y sin ningún fundamento, aduciendo que telefónicamente un campesino que no sabe su nombre, ni dónde se ubica pero sí esté [sic] su número telefónico, le informó que quienes lo habían retenido habían sido miembros del Batallón No. 45 “Héroes Majagual”.</w:t>
      </w:r>
    </w:p>
    <w:p w14:paraId="355211FF" w14:textId="77777777" w:rsidR="007D6511" w:rsidRPr="00F2058B" w:rsidRDefault="007D6511" w:rsidP="002B408C">
      <w:pPr>
        <w:pStyle w:val="ListParagraph"/>
        <w:ind w:left="360" w:right="720"/>
        <w:jc w:val="both"/>
        <w:rPr>
          <w:rFonts w:ascii="Cambria" w:hAnsi="Cambria"/>
          <w:sz w:val="18"/>
          <w:szCs w:val="18"/>
          <w:lang w:val="es-419"/>
        </w:rPr>
      </w:pPr>
    </w:p>
    <w:p w14:paraId="28893B14" w14:textId="77777777" w:rsidR="007D6511" w:rsidRPr="00F2058B" w:rsidRDefault="007D6511" w:rsidP="002B408C">
      <w:pPr>
        <w:pStyle w:val="ListParagraph"/>
        <w:ind w:left="360" w:right="720"/>
        <w:jc w:val="both"/>
        <w:rPr>
          <w:rFonts w:ascii="Cambria" w:hAnsi="Cambria"/>
          <w:sz w:val="18"/>
          <w:szCs w:val="18"/>
          <w:lang w:val="es-419"/>
        </w:rPr>
      </w:pPr>
      <w:r w:rsidRPr="00F2058B">
        <w:rPr>
          <w:rFonts w:ascii="Cambria" w:hAnsi="Cambria"/>
          <w:sz w:val="18"/>
          <w:szCs w:val="18"/>
          <w:lang w:val="es-419"/>
        </w:rPr>
        <w:t>Por tanto, ha de tenerse por cierto lo afirmado por el Mayor JESUS HERRERA GARCIA –Comandante y Segundo Ejecutivo- de dicha unidad táctica; en el sentido de que ellos no los han retenido y menos aún cuando ese día no realizaron labores de patrullaje en el sitio donde se efectuó la retención de los desaparecidos o sea en la Vereda “La Placita” del Corregimiento “Cerro Azul”, de La comprensión mnicipal de San Pablo (Bol).</w:t>
      </w:r>
    </w:p>
    <w:p w14:paraId="33AC4722" w14:textId="77777777" w:rsidR="007D6511" w:rsidRPr="00F2058B" w:rsidRDefault="007D6511" w:rsidP="002B408C">
      <w:pPr>
        <w:pStyle w:val="ListParagraph"/>
        <w:ind w:left="360" w:right="720"/>
        <w:jc w:val="both"/>
        <w:rPr>
          <w:rFonts w:ascii="Cambria" w:hAnsi="Cambria"/>
          <w:sz w:val="18"/>
          <w:szCs w:val="18"/>
          <w:lang w:val="es-419"/>
        </w:rPr>
      </w:pPr>
    </w:p>
    <w:p w14:paraId="7331A729" w14:textId="77777777" w:rsidR="007D6511" w:rsidRPr="00F2058B" w:rsidRDefault="007D6511" w:rsidP="002B408C">
      <w:pPr>
        <w:pStyle w:val="ListParagraph"/>
        <w:ind w:left="360" w:right="720"/>
        <w:jc w:val="both"/>
        <w:rPr>
          <w:rFonts w:ascii="Cambria" w:hAnsi="Cambria"/>
          <w:sz w:val="18"/>
          <w:szCs w:val="18"/>
          <w:lang w:val="es-419"/>
        </w:rPr>
      </w:pPr>
      <w:r w:rsidRPr="00F2058B">
        <w:rPr>
          <w:rFonts w:ascii="Cambria" w:hAnsi="Cambria"/>
          <w:sz w:val="18"/>
          <w:szCs w:val="18"/>
          <w:lang w:val="es-419"/>
        </w:rPr>
        <w:t>Lo que sí se pudo establecer según averiguaciones de la Defensoría del Pueblo, es que a éstos líderes campesinos, al parecer fueron retenidos por grupos paramilitares de esa zona, sin saber nombres concretos. Así las cosas y por sustracción de materia, esta acción pública de HABEAS CORPUS no prospera por cuanto no los tiene retenido ninguna autoridad.</w:t>
      </w:r>
    </w:p>
    <w:p w14:paraId="52E6B87E" w14:textId="77777777" w:rsidR="007D6511" w:rsidRPr="00F2058B" w:rsidRDefault="007D6511" w:rsidP="002B408C">
      <w:pPr>
        <w:pStyle w:val="ListParagraph"/>
        <w:ind w:left="360" w:right="720"/>
        <w:jc w:val="both"/>
        <w:rPr>
          <w:rFonts w:ascii="Cambria" w:hAnsi="Cambria"/>
          <w:sz w:val="18"/>
          <w:szCs w:val="18"/>
          <w:lang w:val="es-419"/>
        </w:rPr>
      </w:pPr>
    </w:p>
    <w:p w14:paraId="7840A97D" w14:textId="77777777" w:rsidR="007D6511" w:rsidRPr="00F2058B" w:rsidRDefault="007D6511" w:rsidP="002B408C">
      <w:pPr>
        <w:pStyle w:val="ListParagraph"/>
        <w:ind w:left="360" w:right="720"/>
        <w:jc w:val="both"/>
        <w:rPr>
          <w:rFonts w:ascii="Cambria" w:hAnsi="Cambria"/>
          <w:sz w:val="18"/>
          <w:szCs w:val="18"/>
          <w:lang w:val="es-419"/>
        </w:rPr>
      </w:pPr>
      <w:r w:rsidRPr="00F2058B">
        <w:rPr>
          <w:rFonts w:ascii="Cambria" w:hAnsi="Cambria"/>
          <w:sz w:val="18"/>
          <w:szCs w:val="18"/>
          <w:lang w:val="es-419"/>
        </w:rPr>
        <w:t>RESUELVE:</w:t>
      </w:r>
    </w:p>
    <w:p w14:paraId="63B319F1" w14:textId="5A9C1C70" w:rsidR="007D6511" w:rsidRPr="00F2058B" w:rsidRDefault="007D6511" w:rsidP="002B408C">
      <w:pPr>
        <w:pStyle w:val="ListParagraph"/>
        <w:ind w:left="360" w:right="720"/>
        <w:jc w:val="both"/>
        <w:rPr>
          <w:rFonts w:ascii="Cambria" w:hAnsi="Cambria"/>
          <w:sz w:val="18"/>
          <w:szCs w:val="18"/>
          <w:lang w:val="es-419"/>
        </w:rPr>
      </w:pPr>
      <w:r w:rsidRPr="00F2058B">
        <w:rPr>
          <w:rFonts w:ascii="Cambria" w:hAnsi="Cambria"/>
          <w:sz w:val="18"/>
          <w:szCs w:val="18"/>
          <w:lang w:val="es-419"/>
        </w:rPr>
        <w:t>PRIMERO: N E G A R por improcedente el derecho de HABEAS CORPUS que a favor de los Señores EDGAR QUIROGA y GILDARDO FUENTES, impetrara</w:t>
      </w:r>
      <w:r w:rsidR="00C352F8" w:rsidRPr="00F2058B">
        <w:rPr>
          <w:rFonts w:ascii="Cambria" w:hAnsi="Cambria"/>
          <w:sz w:val="18"/>
          <w:szCs w:val="18"/>
          <w:lang w:val="es-419"/>
        </w:rPr>
        <w:t xml:space="preserve"> </w:t>
      </w:r>
      <w:r w:rsidRPr="00F2058B">
        <w:rPr>
          <w:rFonts w:ascii="Cambria" w:hAnsi="Cambria"/>
          <w:sz w:val="18"/>
          <w:szCs w:val="18"/>
          <w:lang w:val="es-419"/>
        </w:rPr>
        <w:t>la Señora NORAIDA QUIROGA MEDINA, por las razones expuestas en a parte motiva de esta providencia.-</w:t>
      </w:r>
    </w:p>
    <w:p w14:paraId="68F7245D" w14:textId="77777777" w:rsidR="007D6511" w:rsidRPr="00F2058B" w:rsidRDefault="007D6511" w:rsidP="002B408C">
      <w:pPr>
        <w:pStyle w:val="ListParagraph"/>
        <w:ind w:left="360" w:right="720"/>
        <w:jc w:val="both"/>
        <w:rPr>
          <w:rFonts w:ascii="Cambria" w:hAnsi="Cambria"/>
          <w:sz w:val="18"/>
          <w:szCs w:val="18"/>
          <w:lang w:val="es-419"/>
        </w:rPr>
      </w:pPr>
      <w:r w:rsidRPr="00F2058B">
        <w:rPr>
          <w:rFonts w:ascii="Cambria" w:hAnsi="Cambria"/>
          <w:sz w:val="18"/>
          <w:szCs w:val="18"/>
          <w:lang w:val="es-419"/>
        </w:rPr>
        <w:t>SEGUNDO: Como se advierte que probablemente algún grupo paramilitar al margen de la ley los retuvo; se ordena enviar copia auténtica de esta ACCION PUBLICA DE HABEAS CORPUS, con destino a la Defensoría del Pueblo y Procuraduría Provincial de la localidad, para que hagan las averiguaciones del caso, sobre el paradero o destinos de éstos ciudadanos; quienes fueron retenidos en forma arbitraria e ilegal por desconocidos (…) si se avisora alguna comisión de punible por ésta presunta desaparición, ordenan compulsar  las correspondientes copias ante la Fiscalía Regional o Delegada</w:t>
      </w:r>
      <w:r w:rsidRPr="00F2058B">
        <w:rPr>
          <w:rStyle w:val="FootnoteReference"/>
          <w:rFonts w:ascii="Cambria" w:hAnsi="Cambria"/>
          <w:sz w:val="18"/>
          <w:szCs w:val="18"/>
          <w:lang w:val="es-419"/>
        </w:rPr>
        <w:footnoteReference w:id="48"/>
      </w:r>
      <w:r w:rsidRPr="00F2058B">
        <w:rPr>
          <w:rFonts w:ascii="Cambria" w:hAnsi="Cambria"/>
          <w:sz w:val="18"/>
          <w:szCs w:val="18"/>
          <w:lang w:val="es-419"/>
        </w:rPr>
        <w:t xml:space="preserve">.  </w:t>
      </w:r>
    </w:p>
    <w:p w14:paraId="6C3B009D" w14:textId="77777777" w:rsidR="007D6511" w:rsidRPr="00F2058B" w:rsidRDefault="007D6511" w:rsidP="007D651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highlight w:val="lightGray"/>
          <w:lang w:val="es-419"/>
        </w:rPr>
      </w:pPr>
    </w:p>
    <w:p w14:paraId="2E937867" w14:textId="77777777" w:rsidR="007D6511" w:rsidRPr="00F2058B" w:rsidRDefault="007D6511" w:rsidP="00F06940">
      <w:pPr>
        <w:pStyle w:val="Heading3"/>
        <w:numPr>
          <w:ilvl w:val="2"/>
          <w:numId w:val="59"/>
        </w:numPr>
        <w:ind w:left="360"/>
        <w:rPr>
          <w:lang w:val="es-419"/>
        </w:rPr>
      </w:pPr>
      <w:bookmarkStart w:id="21" w:name="_Toc216359316"/>
      <w:r w:rsidRPr="00F2058B">
        <w:rPr>
          <w:lang w:val="es-419"/>
        </w:rPr>
        <w:t>Comisiones de búsqueda</w:t>
      </w:r>
      <w:bookmarkEnd w:id="21"/>
    </w:p>
    <w:p w14:paraId="6A7EDA83" w14:textId="77777777" w:rsidR="007D6511" w:rsidRPr="00F2058B" w:rsidRDefault="007D6511" w:rsidP="007D651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highlight w:val="lightGray"/>
          <w:lang w:val="es-419"/>
        </w:rPr>
      </w:pPr>
    </w:p>
    <w:p w14:paraId="1F91BE4A" w14:textId="77777777" w:rsidR="007D6511" w:rsidRPr="00F2058B" w:rsidRDefault="007D6511" w:rsidP="00F06940">
      <w:pPr>
        <w:pStyle w:val="parrafos"/>
        <w:numPr>
          <w:ilvl w:val="0"/>
          <w:numId w:val="58"/>
        </w:numPr>
        <w:ind w:left="0" w:firstLine="0"/>
        <w:rPr>
          <w:rFonts w:ascii="Cambria" w:hAnsi="Cambria"/>
          <w:lang w:val="es-419"/>
        </w:rPr>
      </w:pPr>
      <w:r w:rsidRPr="00F2058B">
        <w:rPr>
          <w:rFonts w:ascii="Cambria" w:hAnsi="Cambria"/>
          <w:lang w:val="es-419"/>
        </w:rPr>
        <w:t>El 29 de noviembre de 1999 en las Instalaciones de Ministerio del Interior, Dirección de Derechos Humanos, se determinó crear dos grupos de búsqueda para dar con el paradero de Edgar Quiroga y Gildardo Perez por lo que se conformaron grupos mixtos de personas, compuestos por particulares y agentes estatales con el objeto de desplegarse a la zona del sur de Bolívar y “verificar las circunstancias en las que fueron secuestradas las personas aludidas”</w:t>
      </w:r>
      <w:r w:rsidRPr="00F2058B">
        <w:rPr>
          <w:rStyle w:val="FootnoteReference"/>
          <w:rFonts w:ascii="Cambria" w:hAnsi="Cambria"/>
          <w:lang w:val="es-419"/>
        </w:rPr>
        <w:footnoteReference w:id="49"/>
      </w:r>
      <w:r w:rsidRPr="00F2058B">
        <w:rPr>
          <w:rFonts w:ascii="Cambria" w:hAnsi="Cambria"/>
          <w:lang w:val="es-419"/>
        </w:rPr>
        <w:t>”. Según consta un grupo viajó a San Blas el 1 de diciembre de 1999 a fin de dar con el paradero de Édgar Quiroga y Gildardo Fuentes y otro a Cerro Azul entre los días 1 y 2 de diciembre de 1999 a fin de verificar las versiones sobre los hechos ocurridos el 28 de noviembre de 1999</w:t>
      </w:r>
      <w:r w:rsidRPr="00F2058B">
        <w:rPr>
          <w:rStyle w:val="FootnoteReference"/>
          <w:rFonts w:ascii="Cambria" w:hAnsi="Cambria"/>
          <w:lang w:val="es-419"/>
        </w:rPr>
        <w:footnoteReference w:id="50"/>
      </w:r>
      <w:r w:rsidRPr="00F2058B">
        <w:rPr>
          <w:rFonts w:ascii="Cambria" w:hAnsi="Cambria"/>
          <w:lang w:val="es-419"/>
        </w:rPr>
        <w:t xml:space="preserve">. El documento que contiene la información recaudada por la Comisión de San Blas hizo constar lo siguiente: </w:t>
      </w:r>
    </w:p>
    <w:p w14:paraId="353DE989" w14:textId="77777777" w:rsidR="007D6511" w:rsidRPr="00F2058B" w:rsidRDefault="007D6511" w:rsidP="007D6511">
      <w:pPr>
        <w:pStyle w:val="parrafos"/>
        <w:rPr>
          <w:rFonts w:ascii="Cambria" w:hAnsi="Cambria"/>
          <w:lang w:val="es-419"/>
        </w:rPr>
      </w:pPr>
    </w:p>
    <w:p w14:paraId="2334FFA4" w14:textId="77777777" w:rsidR="007D6511" w:rsidRPr="00F2058B" w:rsidRDefault="007D6511" w:rsidP="00C352F8">
      <w:pPr>
        <w:pStyle w:val="parrafos"/>
        <w:ind w:left="360" w:right="720"/>
        <w:rPr>
          <w:rFonts w:ascii="Cambria" w:hAnsi="Cambria"/>
          <w:sz w:val="18"/>
          <w:szCs w:val="18"/>
          <w:lang w:val="es-419"/>
        </w:rPr>
      </w:pPr>
      <w:r w:rsidRPr="00F2058B">
        <w:rPr>
          <w:rFonts w:ascii="Cambria" w:hAnsi="Cambria"/>
          <w:sz w:val="18"/>
          <w:szCs w:val="18"/>
          <w:lang w:val="es-419"/>
        </w:rPr>
        <w:t xml:space="preserve">(…)Integrantes: </w:t>
      </w:r>
    </w:p>
    <w:p w14:paraId="43400C5F" w14:textId="77777777" w:rsidR="007D6511" w:rsidRPr="00F2058B" w:rsidRDefault="007D6511" w:rsidP="00C352F8">
      <w:pPr>
        <w:pStyle w:val="parrafos"/>
        <w:ind w:left="360" w:right="720"/>
        <w:rPr>
          <w:rFonts w:ascii="Cambria" w:hAnsi="Cambria"/>
          <w:sz w:val="18"/>
          <w:szCs w:val="18"/>
          <w:lang w:val="es-419"/>
        </w:rPr>
      </w:pPr>
      <w:r w:rsidRPr="00F2058B">
        <w:rPr>
          <w:rFonts w:ascii="Cambria" w:hAnsi="Cambria"/>
          <w:sz w:val="18"/>
          <w:szCs w:val="18"/>
          <w:lang w:val="es-419"/>
        </w:rPr>
        <w:t>Prog. Por la Paz y Desarrollo del MM.</w:t>
      </w:r>
    </w:p>
    <w:p w14:paraId="0B277188" w14:textId="77777777" w:rsidR="007D6511" w:rsidRPr="00F2058B" w:rsidRDefault="007D6511" w:rsidP="00C352F8">
      <w:pPr>
        <w:pStyle w:val="parrafos"/>
        <w:ind w:left="360" w:right="720"/>
        <w:rPr>
          <w:rFonts w:ascii="Cambria" w:hAnsi="Cambria"/>
          <w:sz w:val="18"/>
          <w:szCs w:val="18"/>
          <w:lang w:val="es-419"/>
        </w:rPr>
      </w:pPr>
      <w:r w:rsidRPr="00F2058B">
        <w:rPr>
          <w:rFonts w:ascii="Cambria" w:hAnsi="Cambria"/>
          <w:sz w:val="18"/>
          <w:szCs w:val="18"/>
          <w:lang w:val="es-419"/>
        </w:rPr>
        <w:t>Servicio Jesuita a Refugiados</w:t>
      </w:r>
    </w:p>
    <w:p w14:paraId="033B19CB" w14:textId="77777777" w:rsidR="007D6511" w:rsidRPr="00F2058B" w:rsidRDefault="007D6511" w:rsidP="00C352F8">
      <w:pPr>
        <w:pStyle w:val="parrafos"/>
        <w:ind w:left="360" w:right="720"/>
        <w:rPr>
          <w:rFonts w:ascii="Cambria" w:hAnsi="Cambria"/>
          <w:sz w:val="18"/>
          <w:szCs w:val="18"/>
          <w:lang w:val="es-419"/>
        </w:rPr>
      </w:pPr>
      <w:r w:rsidRPr="00F2058B">
        <w:rPr>
          <w:rFonts w:ascii="Cambria" w:hAnsi="Cambria"/>
          <w:sz w:val="18"/>
          <w:szCs w:val="18"/>
          <w:lang w:val="es-419"/>
        </w:rPr>
        <w:t>Ministerio del Interior</w:t>
      </w:r>
    </w:p>
    <w:p w14:paraId="0D593ABE" w14:textId="77777777" w:rsidR="007D6511" w:rsidRPr="00F2058B" w:rsidRDefault="007D6511" w:rsidP="00C352F8">
      <w:pPr>
        <w:pStyle w:val="parrafos"/>
        <w:ind w:left="360" w:right="720"/>
        <w:rPr>
          <w:rFonts w:ascii="Cambria" w:hAnsi="Cambria"/>
          <w:sz w:val="18"/>
          <w:szCs w:val="18"/>
          <w:lang w:val="es-419"/>
        </w:rPr>
      </w:pPr>
      <w:r w:rsidRPr="00F2058B">
        <w:rPr>
          <w:rFonts w:ascii="Cambria" w:hAnsi="Cambria"/>
          <w:sz w:val="18"/>
          <w:szCs w:val="18"/>
          <w:lang w:val="es-419"/>
        </w:rPr>
        <w:t>Defensoría del Pueblo</w:t>
      </w:r>
    </w:p>
    <w:p w14:paraId="332F5522" w14:textId="77777777" w:rsidR="007D6511" w:rsidRPr="00F2058B" w:rsidRDefault="007D6511" w:rsidP="00C352F8">
      <w:pPr>
        <w:pStyle w:val="parrafos"/>
        <w:ind w:left="360" w:right="720"/>
        <w:rPr>
          <w:rFonts w:ascii="Cambria" w:hAnsi="Cambria"/>
          <w:sz w:val="18"/>
          <w:szCs w:val="18"/>
          <w:lang w:val="es-419"/>
        </w:rPr>
      </w:pPr>
      <w:r w:rsidRPr="00F2058B">
        <w:rPr>
          <w:rFonts w:ascii="Cambria" w:hAnsi="Cambria"/>
          <w:sz w:val="18"/>
          <w:szCs w:val="18"/>
          <w:lang w:val="es-419"/>
        </w:rPr>
        <w:t>Iglesia.</w:t>
      </w:r>
    </w:p>
    <w:p w14:paraId="39E1B61E" w14:textId="77777777" w:rsidR="007D6511" w:rsidRPr="00F2058B" w:rsidRDefault="007D6511" w:rsidP="00C352F8">
      <w:pPr>
        <w:pStyle w:val="parrafos"/>
        <w:ind w:left="360" w:right="720"/>
        <w:rPr>
          <w:rFonts w:ascii="Cambria" w:hAnsi="Cambria"/>
          <w:sz w:val="18"/>
          <w:szCs w:val="18"/>
          <w:lang w:val="es-419"/>
        </w:rPr>
      </w:pPr>
    </w:p>
    <w:p w14:paraId="231482A7" w14:textId="05D55865" w:rsidR="007D6511" w:rsidRPr="00F2058B" w:rsidRDefault="007D6511" w:rsidP="00C352F8">
      <w:pPr>
        <w:pStyle w:val="parrafos"/>
        <w:ind w:left="360" w:right="720"/>
        <w:rPr>
          <w:rFonts w:ascii="Cambria" w:hAnsi="Cambria"/>
          <w:sz w:val="18"/>
          <w:szCs w:val="18"/>
          <w:lang w:val="es-419"/>
        </w:rPr>
      </w:pPr>
      <w:r w:rsidRPr="00F2058B">
        <w:rPr>
          <w:rFonts w:ascii="Cambria" w:hAnsi="Cambria"/>
          <w:sz w:val="18"/>
          <w:szCs w:val="18"/>
          <w:lang w:val="es-419"/>
        </w:rPr>
        <w:lastRenderedPageBreak/>
        <w:t>Esta Comisión se dirigió el miércoles 1 de diciembre hacia Santa Rosa, allí se tuvo una pequeña reunión con el capitán Pérez, del Ejército, V Brigada, que se encuentra en el puesto ubicado en el aeropuerto de Santa Rosa. El capitán Pérez expresó que tenía muy pocas noticias de los sucesos, puesto que el sitio donde se habría dado la retención se encuentra bastante lejos de su jurisdicción, pero que, en cualquier caso, si se hubiese trasladado a Édgar Quiroga en helicóptero, hacia Santa Rosa se habría detectado fácilmente, cosa que no ocurrió. Advirtió, además, que si el traslado en helicóptero hub</w:t>
      </w:r>
      <w:r w:rsidR="00CB092C" w:rsidRPr="00F2058B">
        <w:rPr>
          <w:rFonts w:ascii="Cambria" w:hAnsi="Cambria"/>
          <w:sz w:val="18"/>
          <w:szCs w:val="18"/>
          <w:lang w:val="es-419"/>
        </w:rPr>
        <w:t>i</w:t>
      </w:r>
      <w:r w:rsidRPr="00F2058B">
        <w:rPr>
          <w:rFonts w:ascii="Cambria" w:hAnsi="Cambria"/>
          <w:sz w:val="18"/>
          <w:szCs w:val="18"/>
          <w:lang w:val="es-419"/>
        </w:rPr>
        <w:t>era sido en línea recta de Cerro Azul a San Blas, ellos no tendrían la posibilidad para registrar el movimiento desde la base.</w:t>
      </w:r>
    </w:p>
    <w:p w14:paraId="64E50DC4" w14:textId="77777777" w:rsidR="007D6511" w:rsidRPr="00F2058B" w:rsidRDefault="007D6511" w:rsidP="00C352F8">
      <w:pPr>
        <w:pStyle w:val="parrafos"/>
        <w:ind w:left="360" w:right="720"/>
        <w:rPr>
          <w:rFonts w:ascii="Cambria" w:hAnsi="Cambria"/>
          <w:sz w:val="18"/>
          <w:szCs w:val="18"/>
          <w:lang w:val="es-419"/>
        </w:rPr>
      </w:pPr>
    </w:p>
    <w:p w14:paraId="424E14E2" w14:textId="77777777" w:rsidR="007D6511" w:rsidRPr="00F2058B" w:rsidRDefault="007D6511" w:rsidP="00C352F8">
      <w:pPr>
        <w:pStyle w:val="parrafos"/>
        <w:ind w:left="360" w:right="720"/>
        <w:rPr>
          <w:rFonts w:ascii="Cambria" w:hAnsi="Cambria"/>
          <w:sz w:val="18"/>
          <w:szCs w:val="18"/>
          <w:lang w:val="es-419"/>
        </w:rPr>
      </w:pPr>
      <w:r w:rsidRPr="00F2058B">
        <w:rPr>
          <w:rFonts w:ascii="Cambria" w:hAnsi="Cambria"/>
          <w:sz w:val="18"/>
          <w:szCs w:val="18"/>
          <w:lang w:val="es-419"/>
        </w:rPr>
        <w:t>Posteriormente se estableció contacto con el Comandante de las AUC del Sur de Bolívar, que se encontraba en la zona. Se planteo al Comandante de las AUC que la Comisión se encontraba allí en una labor humanitaria, en respuesta al supuesto mensaje que ellos habrían enviado a través de familiares de Edgar Quiroga. El comandante aseveró que no han hecho ninguna llamada en tal sentido, que para tal manejo existen otros canales de comunicación. Aseguró que el día de los acontecimientos ellos estuvieron en Cerro Azul, que no habían combatido, además, que sus tropas no retuvieron a Edgar Quiroga y a Gildardo Fuentes.</w:t>
      </w:r>
    </w:p>
    <w:p w14:paraId="48840588" w14:textId="77777777" w:rsidR="007D6511" w:rsidRPr="00F2058B" w:rsidRDefault="007D6511" w:rsidP="00C352F8">
      <w:pPr>
        <w:pStyle w:val="parrafos"/>
        <w:ind w:left="360" w:right="720"/>
        <w:rPr>
          <w:rFonts w:ascii="Cambria" w:hAnsi="Cambria"/>
          <w:sz w:val="18"/>
          <w:szCs w:val="18"/>
          <w:lang w:val="es-419"/>
        </w:rPr>
      </w:pPr>
    </w:p>
    <w:p w14:paraId="0BD50DAC" w14:textId="34D7D6E2" w:rsidR="007D6511" w:rsidRPr="00F2058B" w:rsidRDefault="007D6511" w:rsidP="00C352F8">
      <w:pPr>
        <w:pStyle w:val="parrafos"/>
        <w:ind w:left="360" w:right="720"/>
        <w:rPr>
          <w:rFonts w:ascii="Cambria" w:hAnsi="Cambria"/>
          <w:sz w:val="18"/>
          <w:szCs w:val="18"/>
          <w:lang w:val="es-419"/>
        </w:rPr>
      </w:pPr>
      <w:r w:rsidRPr="00F2058B">
        <w:rPr>
          <w:rFonts w:ascii="Cambria" w:hAnsi="Cambria"/>
          <w:sz w:val="18"/>
          <w:szCs w:val="18"/>
          <w:lang w:val="es-419"/>
        </w:rPr>
        <w:t xml:space="preserve">Afirmó que Carlos Castaño, quien se encontraría en el Sur de Bolívar, lo llamó para preguntarle si sus tropas habían detenido a estas dos personas. Ante la negativa de este comandante, habría dicho que contactaría a sus otras tropas para conocer si otros comandantes pudieran tenerlo. Aunque improbable la retención por parte de las AUC, según él, se establecería con certeza la situación. Ya que el Comandante de las AUC en el Sur de Bolívar insistió en que no lo tenían, la Comisión le planteo que hiciera un reconocimiento público sobre la no responsabilidad en el hecho, y además que </w:t>
      </w:r>
      <w:r w:rsidR="00CB092C" w:rsidRPr="00F2058B">
        <w:rPr>
          <w:rFonts w:ascii="Cambria" w:hAnsi="Cambria"/>
          <w:sz w:val="18"/>
          <w:szCs w:val="18"/>
          <w:lang w:val="es-419"/>
        </w:rPr>
        <w:t>se comprometieran al esclarecim</w:t>
      </w:r>
      <w:r w:rsidRPr="00F2058B">
        <w:rPr>
          <w:rFonts w:ascii="Cambria" w:hAnsi="Cambria"/>
          <w:sz w:val="18"/>
          <w:szCs w:val="18"/>
          <w:lang w:val="es-419"/>
        </w:rPr>
        <w:t>i</w:t>
      </w:r>
      <w:r w:rsidR="00CB092C" w:rsidRPr="00F2058B">
        <w:rPr>
          <w:rFonts w:ascii="Cambria" w:hAnsi="Cambria"/>
          <w:sz w:val="18"/>
          <w:szCs w:val="18"/>
          <w:lang w:val="es-419"/>
        </w:rPr>
        <w:t>e</w:t>
      </w:r>
      <w:r w:rsidRPr="00F2058B">
        <w:rPr>
          <w:rFonts w:ascii="Cambria" w:hAnsi="Cambria"/>
          <w:sz w:val="18"/>
          <w:szCs w:val="18"/>
          <w:lang w:val="es-419"/>
        </w:rPr>
        <w:t>nto de lo ocurrido, presentando pruebas convincentes. El comandante aseveró que así lo harían (…)</w:t>
      </w:r>
      <w:r w:rsidRPr="00F2058B">
        <w:rPr>
          <w:sz w:val="18"/>
          <w:szCs w:val="18"/>
          <w:vertAlign w:val="superscript"/>
          <w:lang w:val="es-419"/>
        </w:rPr>
        <w:footnoteReference w:id="51"/>
      </w:r>
      <w:r w:rsidRPr="00F2058B">
        <w:rPr>
          <w:rFonts w:ascii="Cambria" w:hAnsi="Cambria"/>
          <w:sz w:val="18"/>
          <w:szCs w:val="18"/>
          <w:vertAlign w:val="superscript"/>
          <w:lang w:val="es-419"/>
        </w:rPr>
        <w:t>.</w:t>
      </w:r>
      <w:r w:rsidRPr="00F2058B">
        <w:rPr>
          <w:rFonts w:ascii="Cambria" w:hAnsi="Cambria"/>
          <w:sz w:val="18"/>
          <w:szCs w:val="18"/>
          <w:lang w:val="es-419"/>
        </w:rPr>
        <w:t xml:space="preserve"> </w:t>
      </w:r>
    </w:p>
    <w:p w14:paraId="077A3C1B" w14:textId="77777777" w:rsidR="007D6511" w:rsidRPr="00F2058B" w:rsidRDefault="007D6511" w:rsidP="007D6511">
      <w:pPr>
        <w:pStyle w:val="parrafos"/>
        <w:rPr>
          <w:rFonts w:ascii="Cambria" w:hAnsi="Cambria"/>
          <w:sz w:val="18"/>
          <w:szCs w:val="18"/>
          <w:lang w:val="es-419"/>
        </w:rPr>
      </w:pPr>
    </w:p>
    <w:p w14:paraId="77608942" w14:textId="77777777" w:rsidR="007D6511" w:rsidRPr="00F2058B" w:rsidRDefault="007D6511" w:rsidP="00F06940">
      <w:pPr>
        <w:pStyle w:val="parrafos"/>
        <w:numPr>
          <w:ilvl w:val="0"/>
          <w:numId w:val="58"/>
        </w:numPr>
        <w:ind w:left="0" w:firstLine="0"/>
        <w:rPr>
          <w:rFonts w:ascii="Cambria" w:hAnsi="Cambria"/>
          <w:lang w:val="es-419"/>
        </w:rPr>
      </w:pPr>
      <w:r w:rsidRPr="00F2058B">
        <w:rPr>
          <w:rFonts w:ascii="Cambria" w:hAnsi="Cambria"/>
          <w:lang w:val="es-419"/>
        </w:rPr>
        <w:t>Por otra parte, la Comisión de Búsqueda que se dirigió a Cerro Azul, indicó:</w:t>
      </w:r>
    </w:p>
    <w:p w14:paraId="4D7EA4AF" w14:textId="77777777" w:rsidR="007D6511" w:rsidRPr="00F2058B" w:rsidRDefault="007D6511" w:rsidP="007D6511">
      <w:pPr>
        <w:pStyle w:val="parrafos"/>
        <w:rPr>
          <w:rFonts w:ascii="Cambria" w:hAnsi="Cambria"/>
          <w:sz w:val="18"/>
          <w:szCs w:val="18"/>
          <w:lang w:val="es-419"/>
        </w:rPr>
      </w:pPr>
    </w:p>
    <w:p w14:paraId="0E80A338" w14:textId="77777777" w:rsidR="007D6511" w:rsidRPr="00F2058B" w:rsidRDefault="007D6511" w:rsidP="0076381D">
      <w:pPr>
        <w:pStyle w:val="parrafos"/>
        <w:ind w:left="360" w:right="720"/>
        <w:rPr>
          <w:rFonts w:ascii="Cambria" w:hAnsi="Cambria"/>
          <w:sz w:val="18"/>
          <w:szCs w:val="18"/>
          <w:lang w:val="es-419"/>
        </w:rPr>
      </w:pPr>
      <w:r w:rsidRPr="00F2058B">
        <w:rPr>
          <w:rFonts w:ascii="Cambria" w:hAnsi="Cambria"/>
          <w:sz w:val="18"/>
          <w:szCs w:val="18"/>
          <w:lang w:val="es-419"/>
        </w:rPr>
        <w:t>DEFENSORIA DEL PUEBLO</w:t>
      </w:r>
    </w:p>
    <w:p w14:paraId="7802666B" w14:textId="77777777" w:rsidR="007D6511" w:rsidRPr="00F2058B" w:rsidRDefault="007D6511" w:rsidP="0076381D">
      <w:pPr>
        <w:pStyle w:val="parrafos"/>
        <w:ind w:left="360" w:right="720"/>
        <w:rPr>
          <w:rFonts w:ascii="Cambria" w:hAnsi="Cambria"/>
          <w:sz w:val="18"/>
          <w:szCs w:val="18"/>
          <w:lang w:val="es-419"/>
        </w:rPr>
      </w:pPr>
      <w:r w:rsidRPr="00F2058B">
        <w:rPr>
          <w:rFonts w:ascii="Cambria" w:hAnsi="Cambria"/>
          <w:sz w:val="18"/>
          <w:szCs w:val="18"/>
          <w:lang w:val="es-419"/>
        </w:rPr>
        <w:t>RED DE SOLIDARIDAD SOCIAL</w:t>
      </w:r>
    </w:p>
    <w:p w14:paraId="0F20173A" w14:textId="77777777" w:rsidR="007D6511" w:rsidRPr="00F2058B" w:rsidRDefault="007D6511" w:rsidP="0076381D">
      <w:pPr>
        <w:pStyle w:val="parrafos"/>
        <w:ind w:left="360" w:right="720"/>
        <w:rPr>
          <w:rFonts w:ascii="Cambria" w:hAnsi="Cambria"/>
          <w:sz w:val="18"/>
          <w:szCs w:val="18"/>
          <w:lang w:val="es-419"/>
        </w:rPr>
      </w:pPr>
      <w:r w:rsidRPr="00F2058B">
        <w:rPr>
          <w:rFonts w:ascii="Cambria" w:hAnsi="Cambria"/>
          <w:sz w:val="18"/>
          <w:szCs w:val="18"/>
          <w:lang w:val="es-419"/>
        </w:rPr>
        <w:t>PROGRAMA DE DESARROLLO Y PAZ DEL MM</w:t>
      </w:r>
    </w:p>
    <w:p w14:paraId="5D27C564" w14:textId="77777777" w:rsidR="007D6511" w:rsidRPr="009666A7" w:rsidRDefault="007D6511" w:rsidP="0076381D">
      <w:pPr>
        <w:pStyle w:val="parrafos"/>
        <w:ind w:left="360" w:right="720"/>
        <w:rPr>
          <w:rFonts w:ascii="Cambria" w:hAnsi="Cambria"/>
          <w:sz w:val="18"/>
          <w:szCs w:val="18"/>
          <w:lang w:val="pt-BR"/>
        </w:rPr>
      </w:pPr>
      <w:r w:rsidRPr="009666A7">
        <w:rPr>
          <w:rFonts w:ascii="Cambria" w:hAnsi="Cambria"/>
          <w:sz w:val="18"/>
          <w:szCs w:val="18"/>
          <w:lang w:val="pt-BR"/>
        </w:rPr>
        <w:t>CREDHOS</w:t>
      </w:r>
    </w:p>
    <w:p w14:paraId="59CC6571" w14:textId="77777777" w:rsidR="007D6511" w:rsidRPr="009666A7" w:rsidRDefault="007D6511" w:rsidP="0076381D">
      <w:pPr>
        <w:pStyle w:val="parrafos"/>
        <w:ind w:left="360" w:right="720"/>
        <w:rPr>
          <w:rFonts w:ascii="Cambria" w:hAnsi="Cambria"/>
          <w:sz w:val="18"/>
          <w:szCs w:val="18"/>
          <w:lang w:val="pt-BR"/>
        </w:rPr>
      </w:pPr>
      <w:r w:rsidRPr="009666A7">
        <w:rPr>
          <w:rFonts w:ascii="Cambria" w:hAnsi="Cambria"/>
          <w:sz w:val="18"/>
          <w:szCs w:val="18"/>
          <w:lang w:val="pt-BR"/>
        </w:rPr>
        <w:t>ORG. FEMENINA POPULAR</w:t>
      </w:r>
    </w:p>
    <w:p w14:paraId="115C9145" w14:textId="77777777" w:rsidR="007D6511" w:rsidRPr="00F2058B" w:rsidRDefault="007D6511" w:rsidP="0076381D">
      <w:pPr>
        <w:pStyle w:val="parrafos"/>
        <w:ind w:left="360" w:right="720"/>
        <w:rPr>
          <w:rFonts w:ascii="Cambria" w:hAnsi="Cambria"/>
          <w:sz w:val="18"/>
          <w:szCs w:val="18"/>
          <w:lang w:val="es-419"/>
        </w:rPr>
      </w:pPr>
      <w:r w:rsidRPr="009666A7">
        <w:rPr>
          <w:rFonts w:ascii="Cambria" w:hAnsi="Cambria"/>
          <w:sz w:val="18"/>
          <w:szCs w:val="18"/>
          <w:lang w:val="pt-BR"/>
        </w:rPr>
        <w:t xml:space="preserve">CTE. SOL. </w:t>
      </w:r>
      <w:r w:rsidRPr="00F2058B">
        <w:rPr>
          <w:rFonts w:ascii="Cambria" w:hAnsi="Cambria"/>
          <w:sz w:val="18"/>
          <w:szCs w:val="18"/>
          <w:lang w:val="es-419"/>
        </w:rPr>
        <w:t xml:space="preserve">CON LOS PRESOS POLITICOS </w:t>
      </w:r>
    </w:p>
    <w:p w14:paraId="273DC927" w14:textId="77777777" w:rsidR="007D6511" w:rsidRPr="00F2058B" w:rsidRDefault="007D6511" w:rsidP="0076381D">
      <w:pPr>
        <w:pStyle w:val="parrafos"/>
        <w:ind w:left="360" w:right="720"/>
        <w:rPr>
          <w:rFonts w:ascii="Cambria" w:hAnsi="Cambria"/>
          <w:sz w:val="18"/>
          <w:szCs w:val="18"/>
          <w:lang w:val="es-419"/>
        </w:rPr>
      </w:pPr>
      <w:r w:rsidRPr="00F2058B">
        <w:rPr>
          <w:rFonts w:ascii="Cambria" w:hAnsi="Cambria"/>
          <w:sz w:val="18"/>
          <w:szCs w:val="18"/>
          <w:lang w:val="es-419"/>
        </w:rPr>
        <w:t>MINGA</w:t>
      </w:r>
    </w:p>
    <w:p w14:paraId="085AA2C8" w14:textId="77777777" w:rsidR="007D6511" w:rsidRPr="00F2058B" w:rsidRDefault="007D6511" w:rsidP="0076381D">
      <w:pPr>
        <w:pStyle w:val="parrafos"/>
        <w:ind w:left="360" w:right="720"/>
        <w:rPr>
          <w:rFonts w:ascii="Cambria" w:hAnsi="Cambria"/>
          <w:sz w:val="18"/>
          <w:szCs w:val="18"/>
          <w:lang w:val="es-419"/>
        </w:rPr>
      </w:pPr>
      <w:r w:rsidRPr="00F2058B">
        <w:rPr>
          <w:rFonts w:ascii="Cambria" w:hAnsi="Cambria"/>
          <w:sz w:val="18"/>
          <w:szCs w:val="18"/>
          <w:lang w:val="es-419"/>
        </w:rPr>
        <w:t>ALTO COMISIONADO PARA LA PAZ</w:t>
      </w:r>
    </w:p>
    <w:p w14:paraId="18237C52" w14:textId="77777777" w:rsidR="007D6511" w:rsidRPr="009666A7" w:rsidRDefault="007D6511" w:rsidP="0076381D">
      <w:pPr>
        <w:pStyle w:val="parrafos"/>
        <w:ind w:left="360" w:right="720"/>
        <w:rPr>
          <w:rFonts w:ascii="Cambria" w:hAnsi="Cambria"/>
          <w:sz w:val="18"/>
          <w:szCs w:val="18"/>
          <w:lang w:val="pt-BR"/>
        </w:rPr>
      </w:pPr>
      <w:r w:rsidRPr="009666A7">
        <w:rPr>
          <w:rFonts w:ascii="Cambria" w:hAnsi="Cambria"/>
          <w:sz w:val="18"/>
          <w:szCs w:val="18"/>
          <w:lang w:val="pt-BR"/>
        </w:rPr>
        <w:t>BRIGADAS INTERNAC. DE PAZ</w:t>
      </w:r>
    </w:p>
    <w:p w14:paraId="246508F8" w14:textId="77777777" w:rsidR="007D6511" w:rsidRPr="00F2058B" w:rsidRDefault="007D6511" w:rsidP="0076381D">
      <w:pPr>
        <w:pStyle w:val="parrafos"/>
        <w:ind w:left="360" w:right="720"/>
        <w:rPr>
          <w:rFonts w:ascii="Cambria" w:hAnsi="Cambria"/>
          <w:sz w:val="18"/>
          <w:szCs w:val="18"/>
          <w:lang w:val="es-419"/>
        </w:rPr>
      </w:pPr>
      <w:r w:rsidRPr="005A6989">
        <w:rPr>
          <w:rFonts w:ascii="Cambria" w:hAnsi="Cambria"/>
          <w:sz w:val="18"/>
          <w:szCs w:val="18"/>
          <w:lang w:val="pt-BR"/>
        </w:rPr>
        <w:t xml:space="preserve">DIREC. </w:t>
      </w:r>
      <w:r w:rsidRPr="00F2058B">
        <w:rPr>
          <w:rFonts w:ascii="Cambria" w:hAnsi="Cambria"/>
          <w:sz w:val="18"/>
          <w:szCs w:val="18"/>
          <w:lang w:val="es-419"/>
        </w:rPr>
        <w:t>DD.HH. / MINISTERIO DEL INTERIOR</w:t>
      </w:r>
    </w:p>
    <w:p w14:paraId="5315C7E4" w14:textId="77777777" w:rsidR="007D6511" w:rsidRPr="00F2058B" w:rsidRDefault="007D6511" w:rsidP="0076381D">
      <w:pPr>
        <w:pStyle w:val="parrafos"/>
        <w:ind w:left="360" w:right="720"/>
        <w:rPr>
          <w:rFonts w:ascii="Cambria" w:hAnsi="Cambria"/>
          <w:sz w:val="18"/>
          <w:szCs w:val="18"/>
          <w:lang w:val="es-419"/>
        </w:rPr>
      </w:pPr>
    </w:p>
    <w:p w14:paraId="05A25FB5" w14:textId="77777777" w:rsidR="007D6511" w:rsidRPr="00F2058B" w:rsidRDefault="007D6511" w:rsidP="0076381D">
      <w:pPr>
        <w:pStyle w:val="parrafos"/>
        <w:ind w:left="360" w:right="720"/>
        <w:rPr>
          <w:rFonts w:ascii="Cambria" w:hAnsi="Cambria"/>
          <w:sz w:val="18"/>
          <w:szCs w:val="18"/>
          <w:lang w:val="es-419"/>
        </w:rPr>
      </w:pPr>
      <w:r w:rsidRPr="00F2058B">
        <w:rPr>
          <w:rFonts w:ascii="Cambria" w:hAnsi="Cambria"/>
          <w:sz w:val="18"/>
          <w:szCs w:val="18"/>
          <w:lang w:val="es-419"/>
        </w:rPr>
        <w:t xml:space="preserve">La Comisión se movilizó a la cabecera municipal de San Pablo en donde se recopilaron las primeras versiones. El día jueves los comisionados marcharon hacia el corregimiento de Cerro Azul, lugar donde se adelantaron múltiples entrevistas con la población civil que allí vive, de cuyas narraciones se puede reportar lo siguiente: </w:t>
      </w:r>
    </w:p>
    <w:p w14:paraId="413E491E" w14:textId="77777777" w:rsidR="007D6511" w:rsidRPr="00F2058B" w:rsidRDefault="007D6511" w:rsidP="0076381D">
      <w:pPr>
        <w:pStyle w:val="parrafos"/>
        <w:ind w:left="360" w:right="720"/>
        <w:rPr>
          <w:rFonts w:ascii="Cambria" w:hAnsi="Cambria"/>
          <w:sz w:val="18"/>
          <w:szCs w:val="18"/>
          <w:lang w:val="es-419"/>
        </w:rPr>
      </w:pPr>
    </w:p>
    <w:p w14:paraId="0D87DDBE" w14:textId="77777777" w:rsidR="007D6511" w:rsidRPr="00F2058B" w:rsidRDefault="007D6511" w:rsidP="0076381D">
      <w:pPr>
        <w:pStyle w:val="parrafos"/>
        <w:ind w:left="360" w:right="720"/>
        <w:rPr>
          <w:rFonts w:ascii="Cambria" w:hAnsi="Cambria"/>
          <w:sz w:val="18"/>
          <w:szCs w:val="18"/>
          <w:lang w:val="es-419"/>
        </w:rPr>
      </w:pPr>
      <w:r w:rsidRPr="00F2058B">
        <w:rPr>
          <w:rFonts w:ascii="Cambria" w:hAnsi="Cambria"/>
          <w:sz w:val="18"/>
          <w:szCs w:val="18"/>
          <w:lang w:val="es-419"/>
        </w:rPr>
        <w:t>El día viernes 26 de noviembre en horas de la mañana, los campesinos debieron interrumpir sus labores habituales debido a la ocurrencia de repetidos sobrevuelos de un helicóptero de color blanco con líneas rojas y verdes en la cola, que lanzaba bombas y ametrallaba el área de los cerros colindantes con el caserío, y en proximidades del caserío de Villanueva. El día sábado, se escucharon repetidos disparos en el sitio Altos de Berlín, ubicado en los alrededores del caserío Cerro Azul, poco después ingresó al área urbana un grupo de hombres portando armas de todo tipo, uniformados con traje camuflado. En la espalda llevaban un distintivo con las letras AUC en color blanco sobre fondo negro. La mayoría tenían porte militar, y se desempeñaban como personas expertas en el manejo de la situación. Los armados llegaron en vehículos y transportando un herido, quien minutos después fue retirado de la zona en un helicóptero. En horas de la tarde llegaron más miembros del grupo, al parecer procedentes de la cabecera de San Pablo. En total estuvieron unos 300. Entre ellos hacían chanzas sobre el significado de las letras AUC, pues varios desconocían el mismo.</w:t>
      </w:r>
    </w:p>
    <w:p w14:paraId="30526D55" w14:textId="77777777" w:rsidR="007D6511" w:rsidRPr="00F2058B" w:rsidRDefault="007D6511" w:rsidP="0076381D">
      <w:pPr>
        <w:pStyle w:val="parrafos"/>
        <w:ind w:left="360" w:right="720"/>
        <w:rPr>
          <w:rFonts w:ascii="Cambria" w:hAnsi="Cambria"/>
          <w:sz w:val="18"/>
          <w:szCs w:val="18"/>
          <w:lang w:val="es-419"/>
        </w:rPr>
      </w:pPr>
    </w:p>
    <w:p w14:paraId="65392F44" w14:textId="77777777" w:rsidR="007D6511" w:rsidRPr="00F2058B" w:rsidRDefault="007D6511" w:rsidP="0076381D">
      <w:pPr>
        <w:pStyle w:val="parrafos"/>
        <w:tabs>
          <w:tab w:val="left" w:pos="9000"/>
        </w:tabs>
        <w:ind w:left="360" w:right="720"/>
        <w:rPr>
          <w:rFonts w:ascii="Cambria" w:hAnsi="Cambria"/>
          <w:sz w:val="18"/>
          <w:szCs w:val="18"/>
          <w:lang w:val="es-419"/>
        </w:rPr>
      </w:pPr>
      <w:r w:rsidRPr="00F2058B">
        <w:rPr>
          <w:rFonts w:ascii="Cambria" w:hAnsi="Cambria"/>
          <w:sz w:val="18"/>
          <w:szCs w:val="18"/>
          <w:lang w:val="es-419"/>
        </w:rPr>
        <w:t xml:space="preserve">Hacia las 11 de la mañana reunieron por la fuerza a la población, sacándola de sus casas con palabras soeces. Quien se identificó como “Comandante Carlos” Y dijo estar al mando del operativo, le aseguró que no llegaban a matar a nadie, solo en caso que estuviera entre ellos algún miliciano (…) Los hombres armados comentaron que eran parte de un grupo de 500 reservistas que las autodefensas habían pedido como refuerzo a la Quinta Brigada del Ejército. </w:t>
      </w:r>
      <w:r w:rsidRPr="00F2058B">
        <w:rPr>
          <w:rFonts w:ascii="Cambria" w:hAnsi="Cambria"/>
          <w:sz w:val="18"/>
          <w:szCs w:val="18"/>
          <w:lang w:val="es-419"/>
        </w:rPr>
        <w:lastRenderedPageBreak/>
        <w:t>Al mando de estas personas estaba un hombre que se hacía llamar “El Zorro” y a quien sus subordinados se referían como “El cabo”</w:t>
      </w:r>
      <w:r w:rsidRPr="00F2058B">
        <w:rPr>
          <w:sz w:val="18"/>
          <w:szCs w:val="18"/>
          <w:vertAlign w:val="superscript"/>
          <w:lang w:val="es-419"/>
        </w:rPr>
        <w:t xml:space="preserve"> </w:t>
      </w:r>
      <w:r w:rsidRPr="00F2058B">
        <w:rPr>
          <w:sz w:val="18"/>
          <w:szCs w:val="18"/>
          <w:vertAlign w:val="superscript"/>
          <w:lang w:val="es-419"/>
        </w:rPr>
        <w:footnoteReference w:id="52"/>
      </w:r>
      <w:r w:rsidRPr="00F2058B">
        <w:rPr>
          <w:rFonts w:ascii="Cambria" w:hAnsi="Cambria"/>
          <w:sz w:val="18"/>
          <w:szCs w:val="18"/>
          <w:lang w:val="es-419"/>
        </w:rPr>
        <w:t>. (…)</w:t>
      </w:r>
    </w:p>
    <w:p w14:paraId="5DD7384A" w14:textId="77777777" w:rsidR="007D6511" w:rsidRPr="00F2058B" w:rsidRDefault="007D6511" w:rsidP="0076381D">
      <w:pPr>
        <w:pStyle w:val="parrafos"/>
        <w:tabs>
          <w:tab w:val="left" w:pos="9000"/>
        </w:tabs>
        <w:ind w:left="360" w:right="720"/>
        <w:rPr>
          <w:rFonts w:ascii="Cambria" w:hAnsi="Cambria"/>
          <w:sz w:val="18"/>
          <w:szCs w:val="18"/>
          <w:lang w:val="es-419"/>
        </w:rPr>
      </w:pPr>
    </w:p>
    <w:p w14:paraId="24976100" w14:textId="77777777" w:rsidR="007D6511" w:rsidRPr="00F2058B" w:rsidRDefault="007D6511" w:rsidP="0076381D">
      <w:pPr>
        <w:pStyle w:val="parrafos"/>
        <w:tabs>
          <w:tab w:val="left" w:pos="9000"/>
        </w:tabs>
        <w:ind w:left="360" w:right="720"/>
        <w:rPr>
          <w:rFonts w:ascii="Cambria" w:hAnsi="Cambria"/>
          <w:sz w:val="18"/>
          <w:szCs w:val="18"/>
          <w:lang w:val="es-419"/>
        </w:rPr>
      </w:pPr>
      <w:r w:rsidRPr="00F2058B">
        <w:rPr>
          <w:rFonts w:ascii="Cambria" w:hAnsi="Cambria"/>
          <w:sz w:val="18"/>
          <w:szCs w:val="18"/>
          <w:lang w:val="es-419"/>
        </w:rPr>
        <w:t>Antes del medio día domingo 28 de noviembre, ingresaron al caserío, por la vía que va a Yanacué, los señores Edgar Quiroga y Gildardo Fuentes. Al pasar por el retén que tenían instalado los miembros de las AUC, el señor Quiroga fue reconocido por un joven de apellido Pareja, quien se encontraba entre el grupo armado. Unos cinco minutos después, Quiroga y Fuentes fueron detenidos y llevados a la discoteca del señor Tello, donde fueron interrogados. En el camino le fue arrebatado al señor Quiroga un morral y su contenido vaceado en el suelo, por lo cual se pudo ver que llevaba dentro un teléfono celular, una máquina fotográfica, varios papeles y los guindos para hamaca.</w:t>
      </w:r>
    </w:p>
    <w:p w14:paraId="5E7108FA" w14:textId="77777777" w:rsidR="007D6511" w:rsidRPr="00F2058B" w:rsidRDefault="007D6511" w:rsidP="0076381D">
      <w:pPr>
        <w:pStyle w:val="parrafos"/>
        <w:tabs>
          <w:tab w:val="left" w:pos="9000"/>
        </w:tabs>
        <w:ind w:left="360" w:right="720"/>
        <w:rPr>
          <w:rFonts w:ascii="Cambria" w:hAnsi="Cambria"/>
          <w:sz w:val="18"/>
          <w:szCs w:val="18"/>
          <w:lang w:val="es-419"/>
        </w:rPr>
      </w:pPr>
    </w:p>
    <w:p w14:paraId="31723FB4" w14:textId="77777777" w:rsidR="007D6511" w:rsidRPr="00F2058B" w:rsidRDefault="007D6511" w:rsidP="0076381D">
      <w:pPr>
        <w:pStyle w:val="parrafos"/>
        <w:tabs>
          <w:tab w:val="left" w:pos="9000"/>
        </w:tabs>
        <w:ind w:left="360" w:right="720"/>
        <w:rPr>
          <w:rFonts w:ascii="Cambria" w:hAnsi="Cambria"/>
          <w:sz w:val="18"/>
          <w:szCs w:val="18"/>
          <w:lang w:val="es-419"/>
        </w:rPr>
      </w:pPr>
      <w:r w:rsidRPr="00F2058B">
        <w:rPr>
          <w:rFonts w:ascii="Cambria" w:hAnsi="Cambria"/>
          <w:sz w:val="18"/>
          <w:szCs w:val="18"/>
          <w:lang w:val="es-419"/>
        </w:rPr>
        <w:t xml:space="preserve">Al ser preguntado sobre el objeto de su presencia en el lugar, el señor Quiroga aseguró que estaba visitando a los campesinos para organizar una marcha. Se sabe que en el decursar de las horas al señor Quiroga le fueron amarradas las manos y en algún momento le dieron comida y agua. Durante la conversación con el “Comandante Carlos”, el señor Quiroga explicó la legitimidad de su labor y aseguró que la misma contaba con el respaldo del Gobierno Nacional, incluso proporcionó una tarjeta donde se encontraban los teléfonos del Ministerio del Interior. A sus argumentos, los armados respondían con burlas y empujones y aseguraban que ni el Gobierno lo iba a salvar. </w:t>
      </w:r>
    </w:p>
    <w:p w14:paraId="0702B0EA" w14:textId="77777777" w:rsidR="007D6511" w:rsidRPr="00F2058B" w:rsidRDefault="007D6511" w:rsidP="0076381D">
      <w:pPr>
        <w:pStyle w:val="parrafos"/>
        <w:tabs>
          <w:tab w:val="left" w:pos="9000"/>
        </w:tabs>
        <w:ind w:left="360" w:right="720"/>
        <w:rPr>
          <w:rFonts w:ascii="Cambria" w:hAnsi="Cambria"/>
          <w:sz w:val="18"/>
          <w:szCs w:val="18"/>
          <w:lang w:val="es-419"/>
        </w:rPr>
      </w:pPr>
    </w:p>
    <w:p w14:paraId="0D49B04A" w14:textId="77777777" w:rsidR="007D6511" w:rsidRPr="00F2058B" w:rsidRDefault="007D6511" w:rsidP="0076381D">
      <w:pPr>
        <w:pStyle w:val="parrafos"/>
        <w:tabs>
          <w:tab w:val="left" w:pos="9000"/>
        </w:tabs>
        <w:ind w:left="360" w:right="720"/>
        <w:rPr>
          <w:rFonts w:ascii="Cambria" w:hAnsi="Cambria"/>
          <w:sz w:val="18"/>
          <w:szCs w:val="18"/>
          <w:lang w:val="es-419"/>
        </w:rPr>
      </w:pPr>
      <w:r w:rsidRPr="00F2058B">
        <w:rPr>
          <w:rFonts w:ascii="Cambria" w:hAnsi="Cambria"/>
          <w:sz w:val="18"/>
          <w:szCs w:val="18"/>
          <w:lang w:val="es-419"/>
        </w:rPr>
        <w:t>En horas de la tarde el grupo estableció una comunicación de radio, a través del cual manifestaron que tenían al más importante jefe guerrillero del Magdalena Medio, Edgar Quiroga, conocido como Cuco, y que esperan instrucciones. Hacia las 4 de la tarde, un helicóptero blanco con rayas rojas y verdes en su cola, aterrizó frente a la gasolinera del pueblo, hasta allí fueron conducidos los señores Quiroga y Fuentes. Antes de subirlos al aparato fueron amarrados de pies y manos y fueron golpeadas con patadas y culatazos de fusil. El señor Quiroga recibió un golpe en la cara que le reventó la boca, la nariz y le rompió las gafas. El sitio estaba cubierto por dos trincheras.</w:t>
      </w:r>
    </w:p>
    <w:p w14:paraId="5EFCD1F6" w14:textId="77777777" w:rsidR="007D6511" w:rsidRPr="00F2058B" w:rsidRDefault="007D6511" w:rsidP="0076381D">
      <w:pPr>
        <w:pStyle w:val="parrafos"/>
        <w:tabs>
          <w:tab w:val="left" w:pos="9000"/>
        </w:tabs>
        <w:ind w:left="360" w:right="720"/>
        <w:rPr>
          <w:rFonts w:ascii="Cambria" w:hAnsi="Cambria"/>
          <w:sz w:val="18"/>
          <w:szCs w:val="18"/>
          <w:lang w:val="es-419"/>
        </w:rPr>
      </w:pPr>
    </w:p>
    <w:p w14:paraId="240FA45C" w14:textId="77777777" w:rsidR="007D6511" w:rsidRPr="00F2058B" w:rsidRDefault="007D6511" w:rsidP="0076381D">
      <w:pPr>
        <w:pStyle w:val="parrafos"/>
        <w:tabs>
          <w:tab w:val="left" w:pos="9000"/>
        </w:tabs>
        <w:ind w:left="360" w:right="720"/>
        <w:rPr>
          <w:rFonts w:ascii="Cambria" w:hAnsi="Cambria"/>
          <w:sz w:val="18"/>
          <w:szCs w:val="18"/>
          <w:lang w:val="es-419"/>
        </w:rPr>
      </w:pPr>
      <w:r w:rsidRPr="00F2058B">
        <w:rPr>
          <w:rFonts w:ascii="Cambria" w:hAnsi="Cambria"/>
          <w:sz w:val="18"/>
          <w:szCs w:val="18"/>
          <w:lang w:val="es-419"/>
        </w:rPr>
        <w:t>Antes de partir el helicóptero, quien se hace llamar “el paramilitar Niche”, le manifestó a la población que se llevaban a Quiroga a la población de San Blas, porque los jefes lo necesitaban para hablar con él. En relación con la suerte del señor Gildardo Fuentes, aseguraron que lo matarían inmediatamente, pues él se había salvado anteriormente, es decir, el pasado 8 de octubre cuando fue agredido por miembros del mismo grupo armado, en momentos en que se encontraba en la cabecera de San Pablo. En esa ocasión fue herido en varias partes de su cuerpo con machete. “El paramilitar Niche” expresó que lo más seguro era que lo lanzaran desde el helicóptero.</w:t>
      </w:r>
    </w:p>
    <w:p w14:paraId="072116AC" w14:textId="77777777" w:rsidR="007D6511" w:rsidRPr="00F2058B" w:rsidRDefault="007D6511" w:rsidP="0076381D">
      <w:pPr>
        <w:pStyle w:val="parrafos"/>
        <w:tabs>
          <w:tab w:val="left" w:pos="9000"/>
        </w:tabs>
        <w:ind w:left="360" w:right="720"/>
        <w:rPr>
          <w:rFonts w:ascii="Cambria" w:hAnsi="Cambria"/>
          <w:sz w:val="18"/>
          <w:szCs w:val="18"/>
          <w:lang w:val="es-419"/>
        </w:rPr>
      </w:pPr>
    </w:p>
    <w:p w14:paraId="1B6F6F45" w14:textId="3C7EFFBD" w:rsidR="007D6511" w:rsidRPr="00F2058B" w:rsidRDefault="007D6511" w:rsidP="0076381D">
      <w:pPr>
        <w:pStyle w:val="parrafos"/>
        <w:tabs>
          <w:tab w:val="left" w:pos="9000"/>
        </w:tabs>
        <w:ind w:left="360" w:right="720"/>
        <w:rPr>
          <w:rFonts w:ascii="Cambria" w:hAnsi="Cambria"/>
          <w:sz w:val="18"/>
          <w:szCs w:val="18"/>
          <w:lang w:val="es-419"/>
        </w:rPr>
      </w:pPr>
      <w:r w:rsidRPr="00F2058B">
        <w:rPr>
          <w:rFonts w:ascii="Cambria" w:hAnsi="Cambria"/>
          <w:sz w:val="18"/>
          <w:szCs w:val="18"/>
          <w:lang w:val="es-419"/>
        </w:rPr>
        <w:t>El grupo armado permaneció en Cerro Azul h</w:t>
      </w:r>
      <w:r w:rsidR="002F5DFA" w:rsidRPr="00F2058B">
        <w:rPr>
          <w:rFonts w:ascii="Cambria" w:hAnsi="Cambria"/>
          <w:sz w:val="18"/>
          <w:szCs w:val="18"/>
          <w:lang w:val="es-419"/>
        </w:rPr>
        <w:t>asta la noche del l</w:t>
      </w:r>
      <w:r w:rsidRPr="00F2058B">
        <w:rPr>
          <w:rFonts w:ascii="Cambria" w:hAnsi="Cambria"/>
          <w:sz w:val="18"/>
          <w:szCs w:val="18"/>
          <w:lang w:val="es-419"/>
        </w:rPr>
        <w:t>unes. Al partir manifestaron que se iban porque había salido en la televisión la noticia de la detención de Edgar Quiroga y seguro que a</w:t>
      </w:r>
      <w:r w:rsidR="00CB092C" w:rsidRPr="00F2058B">
        <w:rPr>
          <w:rFonts w:ascii="Cambria" w:hAnsi="Cambria"/>
          <w:sz w:val="18"/>
          <w:szCs w:val="18"/>
          <w:lang w:val="es-419"/>
        </w:rPr>
        <w:t>hora vendrían la Fiscalía. Sin e</w:t>
      </w:r>
      <w:r w:rsidRPr="00F2058B">
        <w:rPr>
          <w:rFonts w:ascii="Cambria" w:hAnsi="Cambria"/>
          <w:sz w:val="18"/>
          <w:szCs w:val="18"/>
          <w:lang w:val="es-419"/>
        </w:rPr>
        <w:t>mbargo, le notificaron a la población que deberían acostumbrarse a su presencia pues ellos regresarían muy pronto ya que tenían la orden de ubicar una base en ese lugar.</w:t>
      </w:r>
    </w:p>
    <w:p w14:paraId="1D0C790B" w14:textId="77777777" w:rsidR="007D6511" w:rsidRPr="00F2058B" w:rsidRDefault="007D6511" w:rsidP="0076381D">
      <w:pPr>
        <w:pStyle w:val="parrafos"/>
        <w:tabs>
          <w:tab w:val="left" w:pos="9000"/>
        </w:tabs>
        <w:ind w:left="360" w:right="720"/>
        <w:rPr>
          <w:rFonts w:ascii="Cambria" w:hAnsi="Cambria"/>
          <w:sz w:val="18"/>
          <w:szCs w:val="18"/>
          <w:lang w:val="es-419"/>
        </w:rPr>
      </w:pPr>
    </w:p>
    <w:p w14:paraId="028C5FB6" w14:textId="77777777" w:rsidR="007D6511" w:rsidRPr="00F2058B" w:rsidRDefault="007D6511" w:rsidP="0076381D">
      <w:pPr>
        <w:pStyle w:val="parrafos"/>
        <w:tabs>
          <w:tab w:val="left" w:pos="9000"/>
        </w:tabs>
        <w:ind w:left="360" w:right="720"/>
        <w:rPr>
          <w:rFonts w:ascii="Cambria" w:hAnsi="Cambria"/>
          <w:sz w:val="18"/>
          <w:szCs w:val="18"/>
          <w:lang w:val="es-419"/>
        </w:rPr>
      </w:pPr>
      <w:r w:rsidRPr="00F2058B">
        <w:rPr>
          <w:rFonts w:ascii="Cambria" w:hAnsi="Cambria"/>
          <w:sz w:val="18"/>
          <w:szCs w:val="18"/>
          <w:lang w:val="es-419"/>
        </w:rPr>
        <w:t>(…)CONCLUSIONES</w:t>
      </w:r>
    </w:p>
    <w:p w14:paraId="5E406BE2" w14:textId="77777777" w:rsidR="007D6511" w:rsidRPr="00F2058B" w:rsidRDefault="007D6511" w:rsidP="0076381D">
      <w:pPr>
        <w:pStyle w:val="parrafos"/>
        <w:tabs>
          <w:tab w:val="left" w:pos="9000"/>
        </w:tabs>
        <w:ind w:left="360" w:right="720"/>
        <w:rPr>
          <w:rFonts w:ascii="Cambria" w:hAnsi="Cambria"/>
          <w:sz w:val="18"/>
          <w:szCs w:val="18"/>
          <w:lang w:val="es-419"/>
        </w:rPr>
      </w:pPr>
    </w:p>
    <w:p w14:paraId="6877A1BB" w14:textId="1A144D09" w:rsidR="007D6511" w:rsidRPr="00F2058B" w:rsidRDefault="007D6511" w:rsidP="0076381D">
      <w:pPr>
        <w:pStyle w:val="parrafos"/>
        <w:numPr>
          <w:ilvl w:val="0"/>
          <w:numId w:val="61"/>
        </w:numPr>
        <w:tabs>
          <w:tab w:val="left" w:pos="9000"/>
        </w:tabs>
        <w:ind w:right="720"/>
        <w:rPr>
          <w:rFonts w:ascii="Cambria" w:hAnsi="Cambria"/>
          <w:sz w:val="18"/>
          <w:szCs w:val="18"/>
          <w:lang w:val="es-419"/>
        </w:rPr>
      </w:pPr>
      <w:r w:rsidRPr="00F2058B">
        <w:rPr>
          <w:rFonts w:ascii="Cambria" w:hAnsi="Cambria"/>
          <w:sz w:val="18"/>
          <w:szCs w:val="18"/>
          <w:lang w:val="es-419"/>
        </w:rPr>
        <w:t>Los coincidentes testimonios, permiten afirmar que el caserío de Cerro Azul, municipio de San Pablo, Sur de Bolívar, fue objeto de una incursión de las Autodefensas Unidas d</w:t>
      </w:r>
      <w:r w:rsidR="002F5DFA" w:rsidRPr="00F2058B">
        <w:rPr>
          <w:rFonts w:ascii="Cambria" w:hAnsi="Cambria"/>
          <w:sz w:val="18"/>
          <w:szCs w:val="18"/>
          <w:lang w:val="es-419"/>
        </w:rPr>
        <w:t>e Colombia, los días sábado 28,</w:t>
      </w:r>
      <w:r w:rsidRPr="00F2058B">
        <w:rPr>
          <w:rFonts w:ascii="Cambria" w:hAnsi="Cambria"/>
          <w:sz w:val="18"/>
          <w:szCs w:val="18"/>
          <w:lang w:val="es-419"/>
        </w:rPr>
        <w:t xml:space="preserve"> domingo 29 y lunes 30 de noviembre de 1999, durante la cu</w:t>
      </w:r>
      <w:r w:rsidR="002F5DFA" w:rsidRPr="00F2058B">
        <w:rPr>
          <w:rFonts w:ascii="Cambria" w:hAnsi="Cambria"/>
          <w:sz w:val="18"/>
          <w:szCs w:val="18"/>
          <w:lang w:val="es-419"/>
        </w:rPr>
        <w:t xml:space="preserve">al fueron ocupados y saqueados </w:t>
      </w:r>
      <w:r w:rsidRPr="00F2058B">
        <w:rPr>
          <w:rFonts w:ascii="Cambria" w:hAnsi="Cambria"/>
          <w:sz w:val="18"/>
          <w:szCs w:val="18"/>
          <w:lang w:val="es-419"/>
        </w:rPr>
        <w:t>bienes civiles y comunitarios.</w:t>
      </w:r>
    </w:p>
    <w:p w14:paraId="5084719A" w14:textId="2C8EF25F" w:rsidR="007D6511" w:rsidRPr="00F2058B" w:rsidRDefault="002F5DFA" w:rsidP="0076381D">
      <w:pPr>
        <w:pStyle w:val="parrafos"/>
        <w:numPr>
          <w:ilvl w:val="0"/>
          <w:numId w:val="61"/>
        </w:numPr>
        <w:tabs>
          <w:tab w:val="left" w:pos="9000"/>
        </w:tabs>
        <w:ind w:right="720"/>
        <w:rPr>
          <w:rFonts w:ascii="Cambria" w:hAnsi="Cambria"/>
          <w:sz w:val="18"/>
          <w:szCs w:val="18"/>
          <w:lang w:val="es-419"/>
        </w:rPr>
      </w:pPr>
      <w:r w:rsidRPr="00F2058B">
        <w:rPr>
          <w:rFonts w:ascii="Cambria" w:hAnsi="Cambria"/>
          <w:sz w:val="18"/>
          <w:szCs w:val="18"/>
          <w:lang w:val="es-419"/>
        </w:rPr>
        <w:t>En</w:t>
      </w:r>
      <w:r w:rsidR="007D6511" w:rsidRPr="00F2058B">
        <w:rPr>
          <w:rFonts w:ascii="Cambria" w:hAnsi="Cambria"/>
          <w:sz w:val="18"/>
          <w:szCs w:val="18"/>
          <w:lang w:val="es-419"/>
        </w:rPr>
        <w:t xml:space="preserve"> desarrollo de la incursión, la población fue amenazada, especialmente algunos de sus miembros.</w:t>
      </w:r>
    </w:p>
    <w:p w14:paraId="040705A7" w14:textId="77777777" w:rsidR="007D6511" w:rsidRPr="00F2058B" w:rsidRDefault="007D6511" w:rsidP="0076381D">
      <w:pPr>
        <w:pStyle w:val="parrafos"/>
        <w:numPr>
          <w:ilvl w:val="0"/>
          <w:numId w:val="61"/>
        </w:numPr>
        <w:tabs>
          <w:tab w:val="left" w:pos="9000"/>
        </w:tabs>
        <w:ind w:right="720"/>
        <w:rPr>
          <w:rFonts w:ascii="Cambria" w:hAnsi="Cambria"/>
          <w:sz w:val="18"/>
          <w:szCs w:val="18"/>
          <w:lang w:val="es-419"/>
        </w:rPr>
      </w:pPr>
      <w:r w:rsidRPr="00F2058B">
        <w:rPr>
          <w:rFonts w:ascii="Cambria" w:hAnsi="Cambria"/>
          <w:sz w:val="18"/>
          <w:szCs w:val="18"/>
          <w:lang w:val="es-419"/>
        </w:rPr>
        <w:t>Los señores Edgar Quiroga y Gildardo Fuentes, fueron retenidos por los miembros de las AUC que ocuparon el caserío. Durante su retención fueron insultados y torturados.</w:t>
      </w:r>
    </w:p>
    <w:p w14:paraId="1C708FF1" w14:textId="77777777" w:rsidR="007D6511" w:rsidRPr="00F2058B" w:rsidRDefault="007D6511" w:rsidP="0076381D">
      <w:pPr>
        <w:pStyle w:val="parrafos"/>
        <w:numPr>
          <w:ilvl w:val="0"/>
          <w:numId w:val="61"/>
        </w:numPr>
        <w:tabs>
          <w:tab w:val="left" w:pos="9000"/>
        </w:tabs>
        <w:ind w:right="720"/>
        <w:rPr>
          <w:rFonts w:ascii="Cambria" w:hAnsi="Cambria"/>
          <w:sz w:val="18"/>
          <w:szCs w:val="18"/>
          <w:lang w:val="es-419"/>
        </w:rPr>
      </w:pPr>
      <w:r w:rsidRPr="00F2058B">
        <w:rPr>
          <w:rFonts w:ascii="Cambria" w:hAnsi="Cambria"/>
          <w:sz w:val="18"/>
          <w:szCs w:val="18"/>
          <w:lang w:val="es-419"/>
        </w:rPr>
        <w:t>Los señores Quiroga y Fuentes fueron sacados con vida del caserío Cerro Azul y transportados en un helicóptero, al parecer hacia corregimiento de San Blas (…)</w:t>
      </w:r>
    </w:p>
    <w:p w14:paraId="254ED3D7" w14:textId="77777777" w:rsidR="007D6511" w:rsidRPr="00F2058B" w:rsidRDefault="007D6511" w:rsidP="0076381D">
      <w:pPr>
        <w:pStyle w:val="parrafos"/>
        <w:tabs>
          <w:tab w:val="left" w:pos="9000"/>
        </w:tabs>
        <w:ind w:left="360" w:right="720"/>
        <w:rPr>
          <w:rFonts w:ascii="Cambria" w:hAnsi="Cambria"/>
          <w:sz w:val="18"/>
          <w:szCs w:val="18"/>
          <w:lang w:val="es-419"/>
        </w:rPr>
      </w:pPr>
    </w:p>
    <w:p w14:paraId="5C2196ED" w14:textId="77777777" w:rsidR="007D6511" w:rsidRPr="00F2058B" w:rsidRDefault="007D6511" w:rsidP="0076381D">
      <w:pPr>
        <w:pStyle w:val="parrafos"/>
        <w:tabs>
          <w:tab w:val="left" w:pos="9000"/>
        </w:tabs>
        <w:ind w:left="360" w:right="720"/>
        <w:rPr>
          <w:rFonts w:ascii="Cambria" w:hAnsi="Cambria"/>
          <w:sz w:val="18"/>
          <w:szCs w:val="18"/>
          <w:lang w:val="es-419"/>
        </w:rPr>
      </w:pPr>
      <w:r w:rsidRPr="00F2058B">
        <w:rPr>
          <w:rFonts w:ascii="Cambria" w:hAnsi="Cambria"/>
          <w:sz w:val="18"/>
          <w:szCs w:val="18"/>
          <w:lang w:val="es-419"/>
        </w:rPr>
        <w:t>RECOMENDACIONES</w:t>
      </w:r>
    </w:p>
    <w:p w14:paraId="0FA7E84E" w14:textId="77777777" w:rsidR="007D6511" w:rsidRPr="00F2058B" w:rsidRDefault="007D6511" w:rsidP="0076381D">
      <w:pPr>
        <w:pStyle w:val="parrafos"/>
        <w:numPr>
          <w:ilvl w:val="0"/>
          <w:numId w:val="62"/>
        </w:numPr>
        <w:tabs>
          <w:tab w:val="left" w:pos="9000"/>
        </w:tabs>
        <w:ind w:right="720"/>
        <w:rPr>
          <w:rFonts w:ascii="Cambria" w:hAnsi="Cambria"/>
          <w:sz w:val="18"/>
          <w:szCs w:val="18"/>
          <w:lang w:val="es-419"/>
        </w:rPr>
      </w:pPr>
      <w:r w:rsidRPr="00F2058B">
        <w:rPr>
          <w:rFonts w:ascii="Cambria" w:hAnsi="Cambria"/>
          <w:sz w:val="18"/>
          <w:szCs w:val="18"/>
          <w:lang w:val="es-419"/>
        </w:rPr>
        <w:t>Continuar las acciones conjuntas en procura de localizar el paradero de los señores Edgar Quiroga y Gildardo Fuentes y restablecer sus derechos a la vida, la libertad y la seguridad personales.</w:t>
      </w:r>
    </w:p>
    <w:p w14:paraId="3787A285" w14:textId="77777777" w:rsidR="007D6511" w:rsidRPr="00F2058B" w:rsidRDefault="007D6511" w:rsidP="0076381D">
      <w:pPr>
        <w:pStyle w:val="parrafos"/>
        <w:numPr>
          <w:ilvl w:val="0"/>
          <w:numId w:val="62"/>
        </w:numPr>
        <w:tabs>
          <w:tab w:val="left" w:pos="9000"/>
        </w:tabs>
        <w:ind w:right="720"/>
        <w:rPr>
          <w:rFonts w:ascii="Cambria" w:hAnsi="Cambria"/>
          <w:sz w:val="18"/>
          <w:szCs w:val="18"/>
          <w:lang w:val="es-419"/>
        </w:rPr>
      </w:pPr>
      <w:r w:rsidRPr="00F2058B">
        <w:rPr>
          <w:rFonts w:ascii="Cambria" w:hAnsi="Cambria"/>
          <w:sz w:val="18"/>
          <w:szCs w:val="18"/>
          <w:lang w:val="es-419"/>
        </w:rPr>
        <w:t>Exigir a las Autodefensas Unidas de Colombia la liberación inmediata e incondicional de los señores Edgar Quiroga y Gildardo Fuentes.</w:t>
      </w:r>
    </w:p>
    <w:p w14:paraId="6972AC45" w14:textId="77777777" w:rsidR="007D6511" w:rsidRPr="00F2058B" w:rsidRDefault="007D6511" w:rsidP="0076381D">
      <w:pPr>
        <w:pStyle w:val="parrafos"/>
        <w:numPr>
          <w:ilvl w:val="0"/>
          <w:numId w:val="62"/>
        </w:numPr>
        <w:tabs>
          <w:tab w:val="left" w:pos="9000"/>
        </w:tabs>
        <w:ind w:right="720"/>
        <w:rPr>
          <w:rFonts w:ascii="Cambria" w:hAnsi="Cambria"/>
          <w:sz w:val="18"/>
          <w:szCs w:val="18"/>
          <w:lang w:val="es-419"/>
        </w:rPr>
      </w:pPr>
      <w:r w:rsidRPr="00F2058B">
        <w:rPr>
          <w:rFonts w:ascii="Cambria" w:hAnsi="Cambria"/>
          <w:sz w:val="18"/>
          <w:szCs w:val="18"/>
          <w:lang w:val="es-419"/>
        </w:rPr>
        <w:t xml:space="preserve">Adelantar los procesos penales y disciplinarios pertinentes por los hechos ocurridos en la incursión contra el corregimiento de Cerro Azul y la retención ilegal de los señores Edgar Quiroga y Gildardo Fuentes </w:t>
      </w:r>
      <w:r w:rsidRPr="00F2058B">
        <w:rPr>
          <w:sz w:val="18"/>
          <w:szCs w:val="18"/>
          <w:vertAlign w:val="superscript"/>
          <w:lang w:val="es-419"/>
        </w:rPr>
        <w:footnoteReference w:id="53"/>
      </w:r>
      <w:r w:rsidRPr="00F2058B">
        <w:rPr>
          <w:rFonts w:ascii="Cambria" w:hAnsi="Cambria"/>
          <w:sz w:val="18"/>
          <w:szCs w:val="18"/>
          <w:lang w:val="es-419"/>
        </w:rPr>
        <w:t>”.</w:t>
      </w:r>
    </w:p>
    <w:p w14:paraId="6F47B8BE" w14:textId="77777777" w:rsidR="007D6511" w:rsidRPr="00F2058B" w:rsidRDefault="007D6511" w:rsidP="0076381D">
      <w:pPr>
        <w:pStyle w:val="parrafos"/>
        <w:ind w:right="720"/>
        <w:rPr>
          <w:rFonts w:ascii="Cambria" w:hAnsi="Cambria"/>
          <w:highlight w:val="lightGray"/>
          <w:lang w:val="es-419"/>
        </w:rPr>
      </w:pPr>
      <w:r w:rsidRPr="00F2058B">
        <w:rPr>
          <w:rFonts w:ascii="Cambria" w:hAnsi="Cambria"/>
          <w:lang w:val="es-419"/>
        </w:rPr>
        <w:t xml:space="preserve"> </w:t>
      </w:r>
    </w:p>
    <w:p w14:paraId="2D873D85" w14:textId="77777777" w:rsidR="007D6511" w:rsidRPr="00F2058B" w:rsidRDefault="007D6511" w:rsidP="00F06940">
      <w:pPr>
        <w:pStyle w:val="Heading3"/>
        <w:numPr>
          <w:ilvl w:val="2"/>
          <w:numId w:val="59"/>
        </w:numPr>
        <w:ind w:left="360"/>
        <w:rPr>
          <w:lang w:val="es-419"/>
        </w:rPr>
      </w:pPr>
      <w:bookmarkStart w:id="22" w:name="_Toc216359317"/>
      <w:r w:rsidRPr="00F2058B">
        <w:rPr>
          <w:lang w:val="es-419"/>
        </w:rPr>
        <w:lastRenderedPageBreak/>
        <w:t>Investigación penal ante la Unidad Nacional de Derechos Humanos y Derecho Internacional Humanitario.</w:t>
      </w:r>
      <w:bookmarkEnd w:id="22"/>
    </w:p>
    <w:p w14:paraId="384FF1C1" w14:textId="77777777" w:rsidR="007D6511" w:rsidRPr="00F2058B" w:rsidRDefault="007D6511" w:rsidP="007D6511">
      <w:pPr>
        <w:pStyle w:val="ListParagraph"/>
        <w:rPr>
          <w:rFonts w:ascii="Cambria" w:hAnsi="Cambria"/>
          <w:sz w:val="20"/>
          <w:szCs w:val="20"/>
          <w:highlight w:val="lightGray"/>
          <w:lang w:val="es-419"/>
        </w:rPr>
      </w:pPr>
    </w:p>
    <w:p w14:paraId="6DFA5C2A" w14:textId="77777777" w:rsidR="007D6511" w:rsidRPr="00F2058B" w:rsidRDefault="007D6511" w:rsidP="00F06940">
      <w:pPr>
        <w:pStyle w:val="parrafos"/>
        <w:numPr>
          <w:ilvl w:val="0"/>
          <w:numId w:val="58"/>
        </w:numPr>
        <w:ind w:left="0" w:firstLine="0"/>
        <w:rPr>
          <w:lang w:val="es-419"/>
        </w:rPr>
      </w:pPr>
      <w:r w:rsidRPr="00F2058B">
        <w:rPr>
          <w:lang w:val="es-419"/>
        </w:rPr>
        <w:t xml:space="preserve">Según información disponible, </w:t>
      </w:r>
      <w:r w:rsidRPr="00F2058B">
        <w:rPr>
          <w:rFonts w:ascii="Cambria" w:hAnsi="Cambria"/>
          <w:lang w:val="es-419"/>
        </w:rPr>
        <w:t xml:space="preserve">la Fiscalía </w:t>
      </w:r>
      <w:r w:rsidRPr="00F2058B">
        <w:rPr>
          <w:lang w:val="es-419"/>
        </w:rPr>
        <w:t>44 de la Unidad Nacional de Derechos Humanos y Derecho Internacional Humanitario de la FGN, abrió investigación por el delito de desaparición forzada de Édgar Quiroga y Gildardo Fuentes</w:t>
      </w:r>
      <w:r w:rsidRPr="00F2058B">
        <w:rPr>
          <w:rStyle w:val="FootnoteReference"/>
          <w:rFonts w:ascii="Cambria" w:hAnsi="Cambria"/>
          <w:sz w:val="18"/>
          <w:szCs w:val="18"/>
          <w:lang w:val="es-419"/>
        </w:rPr>
        <w:t xml:space="preserve"> </w:t>
      </w:r>
      <w:r w:rsidRPr="00F2058B">
        <w:rPr>
          <w:rStyle w:val="FootnoteReference"/>
          <w:rFonts w:ascii="Cambria" w:hAnsi="Cambria"/>
          <w:sz w:val="18"/>
          <w:szCs w:val="18"/>
          <w:lang w:val="es-419"/>
        </w:rPr>
        <w:footnoteReference w:id="54"/>
      </w:r>
      <w:r w:rsidRPr="00F2058B">
        <w:rPr>
          <w:lang w:val="es-419"/>
        </w:rPr>
        <w:t>. Dentro de la referida se recepcionaron distintas declaraciones a fin de esclarecer los hechos.</w:t>
      </w:r>
    </w:p>
    <w:p w14:paraId="38AEBC68" w14:textId="77777777" w:rsidR="007D6511" w:rsidRPr="00F2058B" w:rsidRDefault="007D6511" w:rsidP="007D6511">
      <w:pPr>
        <w:pStyle w:val="parrafos"/>
        <w:rPr>
          <w:lang w:val="es-419"/>
        </w:rPr>
      </w:pPr>
    </w:p>
    <w:p w14:paraId="227EB315" w14:textId="251691F0" w:rsidR="007D6511" w:rsidRPr="00F2058B" w:rsidRDefault="007D6511" w:rsidP="00F06940">
      <w:pPr>
        <w:pStyle w:val="parrafos"/>
        <w:numPr>
          <w:ilvl w:val="0"/>
          <w:numId w:val="58"/>
        </w:numPr>
        <w:ind w:left="0" w:firstLine="0"/>
        <w:rPr>
          <w:lang w:val="es-419"/>
        </w:rPr>
      </w:pPr>
      <w:r w:rsidRPr="00F2058B">
        <w:rPr>
          <w:lang w:val="es-419"/>
        </w:rPr>
        <w:t>En particular, Noraida Quiroga Medina, hermana de Edgar Quiroga declaró que recibió una llamada de un supuesto campesino de la zona de cerro azul que le indicó que a su hermano lo habían retenido hombres armados y uniformados que pertenecían a la tropa de los héroes de Majagual. Asimismo añadió que su hermano le había comentado que recibia amenazas en forma continua y que sufrió un atentado “que le hicieron en cuatro bocas que queda cerca de Yanacue, que había sido un hostigamiento que le había hecho el Ejército él dijo que era un grupo de hombres armados, que las p</w:t>
      </w:r>
      <w:r w:rsidR="0076381D" w:rsidRPr="00F2058B">
        <w:rPr>
          <w:lang w:val="es-419"/>
        </w:rPr>
        <w:t>rendas que portaban eran del Ejé</w:t>
      </w:r>
      <w:r w:rsidRPr="00F2058B">
        <w:rPr>
          <w:lang w:val="es-419"/>
        </w:rPr>
        <w:t>rcito no me dijo más nada (…)</w:t>
      </w:r>
      <w:r w:rsidRPr="00F2058B">
        <w:rPr>
          <w:rStyle w:val="FootnoteReference"/>
          <w:lang w:val="es-419"/>
        </w:rPr>
        <w:footnoteReference w:id="55"/>
      </w:r>
      <w:r w:rsidRPr="00F2058B">
        <w:rPr>
          <w:lang w:val="es-419"/>
        </w:rPr>
        <w:t xml:space="preserve"> ”</w:t>
      </w:r>
    </w:p>
    <w:p w14:paraId="71A8E32D" w14:textId="77777777" w:rsidR="007D6511" w:rsidRPr="00F2058B" w:rsidRDefault="007D6511" w:rsidP="007D6511">
      <w:pPr>
        <w:pStyle w:val="parrafos"/>
        <w:rPr>
          <w:lang w:val="es-419"/>
        </w:rPr>
      </w:pPr>
    </w:p>
    <w:p w14:paraId="7720182D" w14:textId="387F2232" w:rsidR="007D6511" w:rsidRPr="00F2058B" w:rsidRDefault="007D6511" w:rsidP="00F06940">
      <w:pPr>
        <w:pStyle w:val="parrafos"/>
        <w:numPr>
          <w:ilvl w:val="0"/>
          <w:numId w:val="58"/>
        </w:numPr>
        <w:ind w:left="0" w:firstLine="0"/>
        <w:rPr>
          <w:lang w:val="es-419"/>
        </w:rPr>
      </w:pPr>
      <w:r w:rsidRPr="00F2058B">
        <w:rPr>
          <w:lang w:val="es-419"/>
        </w:rPr>
        <w:t>Por su parte, Amparo Escobar Gonima indicó que la última vez que vio a Edgar Quiroga fue el 26 de noviembre de 1999, en su oficina, cuando se discutían las actividades de denuncias de las violaciones de los derechos humanos en el sur de Bolívar, por parte de la fuerza pública en asocio de los paramilitares. Añadió que tenia conocimiento de amenazas que recibía la presunta víctima “por parte de la fuerza pública, toda vez que lo sindican de ser ausiliador [sic] de la guerrilla, y por parte de los paramilitares de San Pablo, en especial de</w:t>
      </w:r>
      <w:r w:rsidR="00CB02DF" w:rsidRPr="00F2058B">
        <w:rPr>
          <w:lang w:val="es-419"/>
        </w:rPr>
        <w:t xml:space="preserve"> uno alias TAISON, quien intentó</w:t>
      </w:r>
      <w:r w:rsidRPr="00F2058B">
        <w:rPr>
          <w:lang w:val="es-419"/>
        </w:rPr>
        <w:t xml:space="preserve"> secuestrarlo durante audiencia que realizó la comisión de derechos humanos cuando vino </w:t>
      </w:r>
      <w:r w:rsidR="0076381D" w:rsidRPr="00F2058B">
        <w:rPr>
          <w:lang w:val="es-419"/>
        </w:rPr>
        <w:t xml:space="preserve">la doctora PIEDAD CORDOBA (…). </w:t>
      </w:r>
      <w:r w:rsidRPr="00F2058B">
        <w:rPr>
          <w:lang w:val="es-419"/>
        </w:rPr>
        <w:t>Refirió que se enteró de su desaparición porque recibió una llamada de un campesino de la región que le informó que Edgar Quiroga “había sido detenido por la compañía 45 Heroes de Majagual y posteriormente había sido entregado a los paramilitares quienes lo tuv</w:t>
      </w:r>
      <w:r w:rsidR="0076381D" w:rsidRPr="00F2058B">
        <w:rPr>
          <w:lang w:val="es-419"/>
        </w:rPr>
        <w:t>ieron todo el día en la Plasita”</w:t>
      </w:r>
      <w:r w:rsidRPr="00F2058B">
        <w:rPr>
          <w:lang w:val="es-419"/>
        </w:rPr>
        <w:t xml:space="preserve"> (…). Agregó que el lunes siguiente recibió otra información adicional de la región de la placit</w:t>
      </w:r>
      <w:r w:rsidR="0076381D" w:rsidRPr="00F2058B">
        <w:rPr>
          <w:lang w:val="es-419"/>
        </w:rPr>
        <w:t>a en la que se les informó que “</w:t>
      </w:r>
      <w:r w:rsidRPr="00F2058B">
        <w:rPr>
          <w:lang w:val="es-419"/>
        </w:rPr>
        <w:t>a GILDARDO FUENTES persona que acompañaba a EDGAR los subieron a un helicóptero color blanco que al parecer por el rumbo que tomo se dirigió a Santa Rosa, Simití o San Blas, es de anotar que antes de los hechos se narran el mismo helicóptero estuvo bombardeando y ametrallando la zona y hubo combates entre ejército y la guerrilla en la zona de Vila Nueva que queda a dos horas de la Placita. (…)</w:t>
      </w:r>
      <w:r w:rsidRPr="00F2058B">
        <w:rPr>
          <w:rStyle w:val="FootnoteReference"/>
          <w:lang w:val="es-419"/>
        </w:rPr>
        <w:footnoteReference w:id="56"/>
      </w:r>
      <w:r w:rsidRPr="00F2058B">
        <w:rPr>
          <w:lang w:val="es-419"/>
        </w:rPr>
        <w:t>”.</w:t>
      </w:r>
    </w:p>
    <w:p w14:paraId="254C66AB" w14:textId="77777777" w:rsidR="007D6511" w:rsidRPr="00F2058B" w:rsidRDefault="007D6511" w:rsidP="007D6511">
      <w:pPr>
        <w:pStyle w:val="parrafos"/>
        <w:rPr>
          <w:sz w:val="18"/>
          <w:szCs w:val="18"/>
          <w:lang w:val="es-419"/>
        </w:rPr>
      </w:pPr>
    </w:p>
    <w:p w14:paraId="7F0B6C62" w14:textId="658C7F7D" w:rsidR="007D6511" w:rsidRPr="00F2058B" w:rsidRDefault="007D6511" w:rsidP="00F06940">
      <w:pPr>
        <w:pStyle w:val="parrafos"/>
        <w:numPr>
          <w:ilvl w:val="0"/>
          <w:numId w:val="58"/>
        </w:numPr>
        <w:ind w:left="0" w:firstLine="0"/>
        <w:rPr>
          <w:lang w:val="es-419"/>
        </w:rPr>
      </w:pPr>
      <w:r w:rsidRPr="00F2058B">
        <w:rPr>
          <w:lang w:val="es-419"/>
        </w:rPr>
        <w:t xml:space="preserve">Asimismo, el Teniente Coronel Jesús Maria Clavijo, </w:t>
      </w:r>
      <w:r w:rsidR="00370FDE" w:rsidRPr="00F2058B">
        <w:rPr>
          <w:lang w:val="es-419"/>
        </w:rPr>
        <w:t>Comandante del Batalló</w:t>
      </w:r>
      <w:r w:rsidRPr="00F2058B">
        <w:rPr>
          <w:lang w:val="es-419"/>
        </w:rPr>
        <w:t>n de Contraguerrillas no. 45 Heroes de Majagual, con sede en Barrancabermeja declaró que:</w:t>
      </w:r>
    </w:p>
    <w:p w14:paraId="7449E9A1" w14:textId="77777777" w:rsidR="007D6511" w:rsidRPr="00F2058B" w:rsidRDefault="007D6511" w:rsidP="007D6511">
      <w:pPr>
        <w:pStyle w:val="parrafos"/>
        <w:rPr>
          <w:lang w:val="es-419"/>
        </w:rPr>
      </w:pPr>
    </w:p>
    <w:p w14:paraId="5294B368" w14:textId="2D31B75F" w:rsidR="007D6511" w:rsidRPr="00F2058B" w:rsidRDefault="007D6511" w:rsidP="0076381D">
      <w:pPr>
        <w:pStyle w:val="parrafos"/>
        <w:ind w:left="360" w:right="720"/>
        <w:rPr>
          <w:sz w:val="18"/>
          <w:szCs w:val="18"/>
          <w:lang w:val="es-419"/>
        </w:rPr>
      </w:pPr>
      <w:r w:rsidRPr="00F2058B">
        <w:rPr>
          <w:sz w:val="18"/>
          <w:szCs w:val="18"/>
          <w:lang w:val="es-419"/>
        </w:rPr>
        <w:t>El día 29 de noviembre lunes, me encontraba con un pelotón de la compañía E al mando del Teniente BRAVO y una sección del pelotón que se encuentra en Puente Sogamoso llevando a cabo un recorrido por la jurisdicción de Puerto Wilches (…) cuando me llamó el mayor HERRERA para informarme que me requería de carácter urgente el Comando de la Brigada y para decirme que me estaban llamando al celular diferentes organismos no gubernamentales indagando por la captura que presuntamente efectivos de mi unidad, habían realizado en el corregimiento de la placita del municipio de San Pablo.  (…) una vez terminé el recorrido a eso de las siete de la noche tomé contacto con el Comandante de la Brigada por vía celular (…) le expliqué a mi General que en San Pablo se encuentran acantonados solamente dos pelotones desde que yo recibí el batallón (…) de igual manera que estos no habían llevado a cabo ninguna operación en ese sector por cuanto su responsabilidad primaria era preservar la integridad del personal civil (…) PREGUNTADO Sírvase manifestar qué aeronaves tiene a disposición el batallón contraguerrilla Héroes de Majagual para el desempeño de sus actividades especificando características (color capacidad, matrícula, modelo, armas) y a quien pertenecen CONTESTO: Con un helicóptero pago por Ecopetrol que se utiliza para aspectos administrativos, transporte de personal cuando salen a licencia o en casos requeridos de evacuación de h</w:t>
      </w:r>
      <w:r w:rsidR="00CB02DF" w:rsidRPr="00F2058B">
        <w:rPr>
          <w:sz w:val="18"/>
          <w:szCs w:val="18"/>
          <w:lang w:val="es-419"/>
        </w:rPr>
        <w:t xml:space="preserve">eridos (…) la única manera de </w:t>
      </w:r>
      <w:r w:rsidRPr="00F2058B">
        <w:rPr>
          <w:sz w:val="18"/>
          <w:szCs w:val="18"/>
          <w:lang w:val="es-419"/>
        </w:rPr>
        <w:t xml:space="preserve">detectar si alguna aeronave sobrevuela el sector es oyéndola o viéndola, no contamos con radares para ello ni con el reporte de la Aeronáutica Civil (…) el helicóptero a nuestro servicio es azul con blanco es un BELL 212 (…) los únicos helicópteros que tienen esta capacidad son las aeronaves de las Fuerzas Militares a no ser que los agentes generadores de violencia ya haya acondicionado naves civiles para este fin (…)PREGUNTADO Sírvase informarnos qué antecedentes tiene usted de los señores GILDARDO FUENTES Y EDGAR QUIROGA ROJAS CONTESTO Se que son dos dirigentes y voceros del éxodo </w:t>
      </w:r>
      <w:r w:rsidRPr="00F2058B">
        <w:rPr>
          <w:sz w:val="18"/>
          <w:szCs w:val="18"/>
          <w:lang w:val="es-419"/>
        </w:rPr>
        <w:lastRenderedPageBreak/>
        <w:t>campesino llevado a cabo en Barrancabermeja el año pasado, por indicios de inteligencia se tiene conocimiento (ilegible) que esta marcha campesina tenía como objeto por parte de la guerrilla oxigenar la situación que se esta presentando actualmente en la región igualmente dándole una connotación política con el apoyo de las ONG, MINGAS y CREDHOS de igualemnte [sic] están incitando a la población civil a unirse a la marcha,</w:t>
      </w:r>
      <w:r w:rsidR="00370FDE" w:rsidRPr="00F2058B">
        <w:rPr>
          <w:sz w:val="18"/>
          <w:szCs w:val="18"/>
          <w:lang w:val="es-419"/>
        </w:rPr>
        <w:t xml:space="preserve"> </w:t>
      </w:r>
      <w:r w:rsidRPr="00F2058B">
        <w:rPr>
          <w:sz w:val="18"/>
          <w:szCs w:val="18"/>
          <w:lang w:val="es-419"/>
        </w:rPr>
        <w:t>supongo yo [sic]que el señor EDGAR QUIROGA y GILDARDO FUENTES, LIBARDO TRASLAVIÑA, TITO MUÑOZ y ANDRES GIL son los responsables de organizar e incitar a que se lleva [sic] a cabo esta marcha, desestabilizando al gobierno [sic] y creando un caos social, en lo que si quiero ser claro en que los acuerdos firmados por el gobierno el año pasado estos voceros solicitaron que el Estado colombiano protegiera su vida, si es así no entiendo que hacia el señor EDGAR QUIROGA y GILDARDO FUENTES en un área de tan alto riesgo como es cerro azul, sin antes haber solicitado de la Policía Nacional o del Ejército un informe de la situación actual de orden público o haber pedido la respectiva protección, que se que nunca han hecho, más sin embargo se movilizan por áreas de total control de la guerrilla</w:t>
      </w:r>
      <w:r w:rsidRPr="00F2058B">
        <w:rPr>
          <w:rStyle w:val="FootnoteReference"/>
          <w:sz w:val="18"/>
          <w:szCs w:val="18"/>
          <w:lang w:val="es-419"/>
        </w:rPr>
        <w:footnoteReference w:id="57"/>
      </w:r>
      <w:r w:rsidRPr="00F2058B">
        <w:rPr>
          <w:sz w:val="18"/>
          <w:szCs w:val="18"/>
          <w:lang w:val="es-419"/>
        </w:rPr>
        <w:t>.</w:t>
      </w:r>
    </w:p>
    <w:p w14:paraId="2DB3889B" w14:textId="77777777" w:rsidR="007D6511" w:rsidRPr="00F2058B" w:rsidRDefault="007D6511" w:rsidP="0076381D">
      <w:pPr>
        <w:pStyle w:val="parrafos"/>
        <w:ind w:right="720"/>
        <w:rPr>
          <w:lang w:val="es-419"/>
        </w:rPr>
      </w:pPr>
    </w:p>
    <w:p w14:paraId="5B8C6465" w14:textId="77777777" w:rsidR="007D6511" w:rsidRPr="00F2058B" w:rsidRDefault="007D6511" w:rsidP="00F06940">
      <w:pPr>
        <w:pStyle w:val="parrafos"/>
        <w:numPr>
          <w:ilvl w:val="0"/>
          <w:numId w:val="58"/>
        </w:numPr>
        <w:ind w:left="0" w:firstLine="0"/>
        <w:rPr>
          <w:lang w:val="es-419"/>
        </w:rPr>
      </w:pPr>
      <w:r w:rsidRPr="00F2058B">
        <w:rPr>
          <w:lang w:val="es-419"/>
        </w:rPr>
        <w:t xml:space="preserve">El 17 de febrero de 2006 el Fiscal Especializado de la Unidad Nacional de Derechos Humanos y Derecho Internacional Humanitario formuló acusación contra Carlos Castaño Gil por el delito de secuestro extorsivo agravado. Al respecto hizo notar que: </w:t>
      </w:r>
    </w:p>
    <w:p w14:paraId="33F45879" w14:textId="77777777" w:rsidR="007D6511" w:rsidRPr="00F2058B" w:rsidRDefault="007D6511" w:rsidP="007D6511">
      <w:pPr>
        <w:pStyle w:val="parrafos"/>
        <w:rPr>
          <w:rFonts w:ascii="Cambria" w:hAnsi="Cambria"/>
          <w:sz w:val="18"/>
          <w:szCs w:val="18"/>
          <w:lang w:val="es-419"/>
        </w:rPr>
      </w:pPr>
    </w:p>
    <w:p w14:paraId="3FF2F55F" w14:textId="62C87B97" w:rsidR="007D6511" w:rsidRPr="00F2058B" w:rsidRDefault="007D6511" w:rsidP="00370FDE">
      <w:pPr>
        <w:pStyle w:val="parrafos"/>
        <w:ind w:left="360" w:right="720"/>
        <w:rPr>
          <w:rFonts w:ascii="Cambria" w:hAnsi="Cambria"/>
          <w:sz w:val="18"/>
          <w:szCs w:val="18"/>
          <w:lang w:val="es-419"/>
        </w:rPr>
      </w:pPr>
      <w:r w:rsidRPr="00F2058B">
        <w:rPr>
          <w:rFonts w:ascii="Cambria" w:hAnsi="Cambria"/>
          <w:sz w:val="18"/>
          <w:szCs w:val="18"/>
          <w:lang w:val="es-419"/>
        </w:rPr>
        <w:t xml:space="preserve"> El 28 de noviembre de 1.999, en la zona rural Cerro Azul, jurisdicción de San Pablo, Sur de Bolívar, fueron secuestrados por un grupo armado de autodefensas, los señores GILDARDO FUENTES y EDGAR QUIROGA ROJAS, líderes campesinos de la zona de San Pablo, sur de Bolívar siendo éste vocero en la desmovilización campesina que se llevó a cabo en Barrancabermeja, Santander, a mediados del año 98 y miembro de la mesa de negociación que desde entonces estaba buscando acuerdos con el Gobierno Nacional, en benef</w:t>
      </w:r>
      <w:r w:rsidR="00370FDE" w:rsidRPr="00F2058B">
        <w:rPr>
          <w:rFonts w:ascii="Cambria" w:hAnsi="Cambria"/>
          <w:sz w:val="18"/>
          <w:szCs w:val="18"/>
          <w:lang w:val="es-419"/>
        </w:rPr>
        <w:t>icio de la población desplazada</w:t>
      </w:r>
      <w:r w:rsidRPr="00F2058B">
        <w:rPr>
          <w:rFonts w:ascii="Cambria" w:hAnsi="Cambria"/>
          <w:sz w:val="18"/>
          <w:szCs w:val="18"/>
          <w:lang w:val="es-419"/>
        </w:rPr>
        <w:t>(…) En la presente actuación, agotadas diversas diligencias, se obtuvo noticia que el responsable del secuestro fue directamente el Estado Mayor Conjunto de las Autodefensas Unidas de Colombia AUC, en cabeza de CARLOS CASTAÑO GIL.</w:t>
      </w:r>
    </w:p>
    <w:p w14:paraId="66BC0810" w14:textId="77777777" w:rsidR="007D6511" w:rsidRPr="00F2058B" w:rsidRDefault="007D6511" w:rsidP="00370FDE">
      <w:pPr>
        <w:pStyle w:val="parrafos"/>
        <w:ind w:left="360" w:right="720"/>
        <w:rPr>
          <w:rFonts w:ascii="Cambria" w:hAnsi="Cambria"/>
          <w:sz w:val="18"/>
          <w:szCs w:val="18"/>
          <w:lang w:val="es-419"/>
        </w:rPr>
      </w:pPr>
    </w:p>
    <w:p w14:paraId="568E43C0" w14:textId="77777777" w:rsidR="007D6511" w:rsidRPr="00F2058B" w:rsidRDefault="007D6511" w:rsidP="00370FDE">
      <w:pPr>
        <w:pStyle w:val="parrafos"/>
        <w:ind w:left="360" w:right="720"/>
        <w:rPr>
          <w:rFonts w:ascii="Cambria" w:hAnsi="Cambria"/>
          <w:sz w:val="18"/>
          <w:szCs w:val="18"/>
          <w:lang w:val="es-419"/>
        </w:rPr>
      </w:pPr>
      <w:r w:rsidRPr="00F2058B">
        <w:rPr>
          <w:rFonts w:ascii="Cambria" w:hAnsi="Cambria"/>
          <w:sz w:val="18"/>
          <w:szCs w:val="18"/>
          <w:lang w:val="es-419"/>
        </w:rPr>
        <w:t>Al proceso también se ordenó vincular – con resolución de agosto de 2001 – al ex soldado, YESID FERNANDO LEMUS GUZMÁN – quien estaba detenido en la Quinta Brigada, sindicado de hurto -, luego de haber admitido en inicial diligencia de declaración, que él hizo parte del grupo de contraguerrilla de las AUC que ejecutó el secuestro de GILDARDO FUENTES Y EDGAR QUIROGA (Fol 70-9). Al escuchársele en indagatoria, negó tal versión y en marzo 21 de 2002 se le resolvió la situación jurídica, absteniéndose de imponerle medida de aseguramiento (folios 206-9 y 18-10)</w:t>
      </w:r>
      <w:r w:rsidRPr="00F2058B">
        <w:rPr>
          <w:rStyle w:val="FootnoteReference"/>
          <w:rFonts w:ascii="Cambria" w:hAnsi="Cambria"/>
          <w:sz w:val="18"/>
          <w:szCs w:val="18"/>
          <w:lang w:val="es-419"/>
        </w:rPr>
        <w:t xml:space="preserve"> </w:t>
      </w:r>
      <w:r w:rsidRPr="00F2058B">
        <w:rPr>
          <w:rStyle w:val="FootnoteReference"/>
          <w:rFonts w:ascii="Cambria" w:hAnsi="Cambria"/>
          <w:sz w:val="18"/>
          <w:szCs w:val="18"/>
          <w:lang w:val="es-419"/>
        </w:rPr>
        <w:footnoteReference w:id="58"/>
      </w:r>
      <w:r w:rsidRPr="00F2058B">
        <w:rPr>
          <w:rFonts w:ascii="Cambria" w:hAnsi="Cambria"/>
          <w:sz w:val="18"/>
          <w:szCs w:val="18"/>
          <w:lang w:val="es-419"/>
        </w:rPr>
        <w:t>.</w:t>
      </w:r>
    </w:p>
    <w:p w14:paraId="2AC9F2D8" w14:textId="77777777" w:rsidR="007D6511" w:rsidRPr="00F2058B" w:rsidRDefault="007D6511" w:rsidP="007D6511">
      <w:pPr>
        <w:pStyle w:val="parrafos"/>
        <w:rPr>
          <w:lang w:val="es-419"/>
        </w:rPr>
      </w:pPr>
    </w:p>
    <w:p w14:paraId="207616FF" w14:textId="77777777" w:rsidR="007D6511" w:rsidRPr="00F2058B" w:rsidRDefault="007D6511" w:rsidP="00F06940">
      <w:pPr>
        <w:pStyle w:val="parrafos"/>
        <w:numPr>
          <w:ilvl w:val="0"/>
          <w:numId w:val="58"/>
        </w:numPr>
        <w:ind w:left="0" w:firstLine="0"/>
        <w:rPr>
          <w:lang w:val="es-419"/>
        </w:rPr>
      </w:pPr>
      <w:r w:rsidRPr="00F2058B">
        <w:rPr>
          <w:lang w:val="es-419"/>
        </w:rPr>
        <w:t>El 29 de febrero de 2008 se dio cesación del procedimiento por muerte del sindicado Carlos Castaño Gil</w:t>
      </w:r>
      <w:r w:rsidRPr="00F2058B">
        <w:rPr>
          <w:rStyle w:val="FootnoteReference"/>
          <w:lang w:val="es-419"/>
        </w:rPr>
        <w:footnoteReference w:id="59"/>
      </w:r>
      <w:r w:rsidRPr="00F2058B">
        <w:rPr>
          <w:lang w:val="es-419"/>
        </w:rPr>
        <w:t xml:space="preserve">. </w:t>
      </w:r>
      <w:r w:rsidRPr="00F2058B">
        <w:rPr>
          <w:rFonts w:ascii="Cambria" w:hAnsi="Cambria"/>
          <w:lang w:val="es-419"/>
        </w:rPr>
        <w:t xml:space="preserve">El 26 de marzo de 2010 </w:t>
      </w:r>
      <w:r w:rsidRPr="00F2058B">
        <w:rPr>
          <w:lang w:val="es-419"/>
        </w:rPr>
        <w:t>el</w:t>
      </w:r>
      <w:r w:rsidRPr="00F2058B">
        <w:rPr>
          <w:rFonts w:ascii="Cambria" w:hAnsi="Cambria"/>
          <w:lang w:val="es-419"/>
        </w:rPr>
        <w:t xml:space="preserve"> Juzgado Penal del Circuito Especializado de Cartagena condenó a Rodrigo Pérez Alzate</w:t>
      </w:r>
      <w:r w:rsidRPr="00F2058B">
        <w:rPr>
          <w:rStyle w:val="FootnoteReference"/>
          <w:rFonts w:ascii="Cambria" w:hAnsi="Cambria"/>
          <w:lang w:val="es-419"/>
        </w:rPr>
        <w:footnoteReference w:id="60"/>
      </w:r>
      <w:r w:rsidRPr="00F2058B">
        <w:rPr>
          <w:rFonts w:ascii="Cambria" w:hAnsi="Cambria"/>
          <w:lang w:val="es-419"/>
        </w:rPr>
        <w:t xml:space="preserve"> en calidad de coautor por el delito de desaparición forzada agravada en concurso homogéneo y sucesivo en contra de Édgar Quiroga y Gildardo Fuentes, a la pena principal de 380 meses de prisión, decisión confirmada por el Tribunal Superior del Distrito Judicial de Cartagena</w:t>
      </w:r>
      <w:r w:rsidRPr="00F2058B">
        <w:rPr>
          <w:rStyle w:val="FootnoteReference"/>
          <w:rFonts w:ascii="Cambria" w:hAnsi="Cambria"/>
          <w:lang w:val="es-419"/>
        </w:rPr>
        <w:footnoteReference w:id="61"/>
      </w:r>
      <w:r w:rsidRPr="00F2058B">
        <w:rPr>
          <w:rFonts w:ascii="Cambria" w:hAnsi="Cambria"/>
          <w:lang w:val="es-419"/>
        </w:rPr>
        <w:t>. El 30 de agosto de 2013 el Tribunal Superior de Bogotá, Sala de Justicia y Paz, acumuló el proceso detallado en el párrafo anterior y condenó a Rodrigo Pérez Alzate a la pena de 480 meses de prisión, multa de 29.430 SMLMV e inhabilitación para el ejercicio de derechos y funciones públicas por espacio de 240 meses. Asimismo, ordenó la suspensión de la ejecución de la pena impuesta y de conformidad con el artículo 20 y 29 de la Ley 975 de 2005, le concedió la pena alternativa de prisión equivalente a 8 años de prisión</w:t>
      </w:r>
      <w:r w:rsidRPr="00F2058B">
        <w:rPr>
          <w:rStyle w:val="FootnoteReference"/>
          <w:rFonts w:ascii="Cambria" w:hAnsi="Cambria"/>
          <w:lang w:val="es-419"/>
        </w:rPr>
        <w:footnoteReference w:id="62"/>
      </w:r>
      <w:r w:rsidRPr="00F2058B">
        <w:rPr>
          <w:rFonts w:ascii="Cambria" w:hAnsi="Cambria"/>
          <w:lang w:val="es-419"/>
        </w:rPr>
        <w:t>. En la sentencia se indica:</w:t>
      </w:r>
    </w:p>
    <w:p w14:paraId="6D5CF5E6" w14:textId="77777777" w:rsidR="007D6511" w:rsidRPr="00F2058B" w:rsidRDefault="007D6511" w:rsidP="007D6511">
      <w:pPr>
        <w:pStyle w:val="parrafos"/>
        <w:rPr>
          <w:rFonts w:ascii="Cambria" w:hAnsi="Cambria"/>
          <w:highlight w:val="lightGray"/>
          <w:lang w:val="es-419"/>
        </w:rPr>
      </w:pPr>
    </w:p>
    <w:p w14:paraId="22525A6A" w14:textId="77777777" w:rsidR="007D6511" w:rsidRPr="00F2058B" w:rsidRDefault="007D6511" w:rsidP="00370FDE">
      <w:pPr>
        <w:pStyle w:val="parrafos"/>
        <w:ind w:left="360" w:right="720"/>
        <w:rPr>
          <w:rFonts w:ascii="Cambria" w:hAnsi="Cambria"/>
          <w:sz w:val="18"/>
          <w:szCs w:val="18"/>
          <w:lang w:val="es-419"/>
        </w:rPr>
      </w:pPr>
      <w:r w:rsidRPr="00F2058B">
        <w:rPr>
          <w:rFonts w:ascii="Cambria" w:hAnsi="Cambria"/>
          <w:sz w:val="18"/>
          <w:szCs w:val="18"/>
          <w:lang w:val="es-419"/>
        </w:rPr>
        <w:t xml:space="preserve"> (…) El 28 de noviembre de 1999, en el corregimiento de Cerro Azul, Jurisdicción del Municipio de San Pablo Bolívar, integrantes del Bloque Central Bolívar de las Autodefensas Unidas de Colombia, comandado por RODRIGO PEREZ ALZATE, retuvieron a los ciudadanos Edgar Quiroga y Gildardo Fuentes Delgado, desconociéndose hasta la fecha su paradero.</w:t>
      </w:r>
    </w:p>
    <w:p w14:paraId="4C6350AD" w14:textId="77777777" w:rsidR="007D6511" w:rsidRPr="00F2058B" w:rsidRDefault="007D6511" w:rsidP="00370FDE">
      <w:pPr>
        <w:pStyle w:val="parrafos"/>
        <w:ind w:left="360" w:right="720"/>
        <w:rPr>
          <w:rFonts w:ascii="Cambria" w:hAnsi="Cambria"/>
          <w:sz w:val="18"/>
          <w:szCs w:val="18"/>
          <w:lang w:val="es-419"/>
        </w:rPr>
      </w:pPr>
      <w:r w:rsidRPr="00F2058B">
        <w:rPr>
          <w:rFonts w:ascii="Cambria" w:hAnsi="Cambria"/>
          <w:sz w:val="18"/>
          <w:szCs w:val="18"/>
          <w:lang w:val="es-419"/>
        </w:rPr>
        <w:lastRenderedPageBreak/>
        <w:t>El 26 de marzo de 2010, RODRIGO PEREZ ALZATE fue condenado por el Juzgado Penal del Circuito Especializado adjunto de Cartagena a la pena principal de 380 meses de prisión, como coautor responsable del delito de desaparición forzada agravada en concurso homogéneo y sucesivo, cometido en los señores Edgar Quiroga y Gildardo Fuentes Delgado, decisión que fue confirmada el 9 de febrero de 2011, por la Sala Penal del Tribunal Superior del Distrito Judicial de Cartagena. (…) RESUELVE.</w:t>
      </w:r>
    </w:p>
    <w:p w14:paraId="191AD138" w14:textId="48A95088" w:rsidR="007D6511" w:rsidRPr="00F2058B" w:rsidRDefault="007D6511" w:rsidP="00370FDE">
      <w:pPr>
        <w:pStyle w:val="parrafos"/>
        <w:ind w:left="360" w:right="720"/>
        <w:rPr>
          <w:rFonts w:ascii="Cambria" w:hAnsi="Cambria"/>
          <w:sz w:val="18"/>
          <w:szCs w:val="18"/>
          <w:lang w:val="es-419"/>
        </w:rPr>
      </w:pPr>
      <w:r w:rsidRPr="00F2058B">
        <w:rPr>
          <w:rFonts w:ascii="Cambria" w:hAnsi="Cambria"/>
          <w:sz w:val="18"/>
          <w:szCs w:val="18"/>
          <w:lang w:val="es-419"/>
        </w:rPr>
        <w:t>SEXTO: Condenar a RODRIGO PEREZ ALZATE, conocido con los alias “Julián Bolívar y Pérez” (…) a la pena de CUATROCIENTOS OCHENTA (480) MESES DE PRISION, MULTA DE VEINTINUEVE MIL CUATROSCIENTOS TREINTA (29430) SALARIOS MINIMOS LEGALES MENSUALES VIGENTES, INHABILITACI´ON PARA EL EJERCICIO DE DERECHOS Y FUNCIONES PUBLICAS POR EL TERMINO DE DOSCIENTOS CUA</w:t>
      </w:r>
      <w:r w:rsidR="00680962" w:rsidRPr="00F2058B">
        <w:rPr>
          <w:rFonts w:ascii="Cambria" w:hAnsi="Cambria"/>
          <w:sz w:val="18"/>
          <w:szCs w:val="18"/>
          <w:lang w:val="es-419"/>
        </w:rPr>
        <w:t>RENTA (240) MESES, E INTERDICCI</w:t>
      </w:r>
      <w:r w:rsidRPr="00F2058B">
        <w:rPr>
          <w:rFonts w:ascii="Cambria" w:hAnsi="Cambria"/>
          <w:sz w:val="18"/>
          <w:szCs w:val="18"/>
          <w:lang w:val="es-419"/>
        </w:rPr>
        <w:t>ON DE DERECHOS Y FUNCIONES PUBLICAS POR UN TERMINO DE DOSCIENTOS VEINTE (220) MESES (…)</w:t>
      </w:r>
    </w:p>
    <w:p w14:paraId="34D9190D" w14:textId="77777777" w:rsidR="007D6511" w:rsidRPr="00F2058B" w:rsidRDefault="007D6511" w:rsidP="00370FDE">
      <w:pPr>
        <w:pStyle w:val="parrafos"/>
        <w:ind w:left="360" w:right="720"/>
        <w:rPr>
          <w:rFonts w:ascii="Cambria" w:hAnsi="Cambria"/>
          <w:sz w:val="18"/>
          <w:szCs w:val="18"/>
          <w:lang w:val="es-419"/>
        </w:rPr>
      </w:pPr>
      <w:r w:rsidRPr="00F2058B">
        <w:rPr>
          <w:rFonts w:ascii="Cambria" w:hAnsi="Cambria"/>
          <w:sz w:val="18"/>
          <w:szCs w:val="18"/>
          <w:lang w:val="es-419"/>
        </w:rPr>
        <w:t>VIGESIMO NOVENO: Exhortar a la Fiscalía para que compulse las copias pertinentes y de esta forma se investigue a los demás partícipes, especialmente a los miembros de las diferentes entidades del Estado que colaboraron con las autodefensas, tanto en su conformación, expansión y desde luego en la comisión de los diferentes delitos.</w:t>
      </w:r>
    </w:p>
    <w:p w14:paraId="07A2DB0C" w14:textId="1E095A19" w:rsidR="007D6511" w:rsidRPr="00F2058B" w:rsidRDefault="007D6511" w:rsidP="00370FDE">
      <w:pPr>
        <w:pStyle w:val="parrafos"/>
        <w:ind w:left="360" w:right="720"/>
        <w:rPr>
          <w:rFonts w:ascii="Cambria" w:hAnsi="Cambria"/>
          <w:sz w:val="18"/>
          <w:szCs w:val="18"/>
          <w:lang w:val="es-419"/>
        </w:rPr>
      </w:pPr>
      <w:r w:rsidRPr="00F2058B">
        <w:rPr>
          <w:rFonts w:ascii="Cambria" w:hAnsi="Cambria"/>
          <w:sz w:val="18"/>
          <w:szCs w:val="18"/>
          <w:lang w:val="es-419"/>
        </w:rPr>
        <w:t>TRIGESIMO: Exhortar a la Fiscalía para que en aquellos casos en donde miembros de las Fuerzas Armadas, del Ejército o de la Policía, vinculados a investigaciones penale</w:t>
      </w:r>
      <w:r w:rsidR="00680962" w:rsidRPr="00F2058B">
        <w:rPr>
          <w:rFonts w:ascii="Cambria" w:hAnsi="Cambria"/>
          <w:sz w:val="18"/>
          <w:szCs w:val="18"/>
          <w:lang w:val="es-419"/>
        </w:rPr>
        <w:t>s</w:t>
      </w:r>
      <w:r w:rsidRPr="00F2058B">
        <w:rPr>
          <w:rFonts w:ascii="Cambria" w:hAnsi="Cambria"/>
          <w:sz w:val="18"/>
          <w:szCs w:val="18"/>
          <w:lang w:val="es-419"/>
        </w:rPr>
        <w:t xml:space="preserve"> o disciplinarias, que aún se encuentren en servicio activo, solicite su traslado provisional mientras las mismas finalizan.</w:t>
      </w:r>
    </w:p>
    <w:p w14:paraId="0DBA0E3D" w14:textId="77777777" w:rsidR="007D6511" w:rsidRPr="00F2058B" w:rsidRDefault="007D6511" w:rsidP="00370FDE">
      <w:pPr>
        <w:pStyle w:val="parrafos"/>
        <w:ind w:right="720"/>
        <w:rPr>
          <w:rFonts w:ascii="Cambria" w:hAnsi="Cambria"/>
          <w:lang w:val="es-419"/>
        </w:rPr>
      </w:pPr>
    </w:p>
    <w:p w14:paraId="35C0FA73" w14:textId="77777777" w:rsidR="007D6511" w:rsidRPr="00F2058B" w:rsidRDefault="007D6511" w:rsidP="00F06940">
      <w:pPr>
        <w:pStyle w:val="parrafos"/>
        <w:numPr>
          <w:ilvl w:val="0"/>
          <w:numId w:val="58"/>
        </w:numPr>
        <w:ind w:left="0" w:firstLine="0"/>
        <w:rPr>
          <w:rFonts w:ascii="Cambria" w:hAnsi="Cambria"/>
          <w:lang w:val="es-419"/>
        </w:rPr>
      </w:pPr>
      <w:r w:rsidRPr="00F2058B">
        <w:rPr>
          <w:rFonts w:ascii="Cambria" w:hAnsi="Cambria"/>
          <w:lang w:val="es-419"/>
        </w:rPr>
        <w:t>El Estado también informó de otra serie de procesos adelantados con respecto a la desaparición de Edgar Quiroga y Gildardo Fuentes. Específicamente refirió que: 1) Alexander Gutierrez, alias Picúa, miembro de las AUC, aceptó los delitos de desaparición forzada y concierto para delinquir y se encuentra a la espera de una sentencia; 2) Arturo Torres Pienda, Alias Don Carlos, miembro de las AUC, aceptó los delitos de desaparición forzada y concierto para delinquir agravado y se espera a la espera de sentencia; 3) Ancizar Pareja Ramirez, alias mono pareja, miembro de las AUC, aceptó su responsabilidad en las desapariciones forzadas y se encuentara a la espera de sentencia; 4) Leocadio Bohórquez Jaramillo, alias Leo, miembro de las AUC, fue condenado a la pena principal de 226 meses y 24 días de prisión y, multa por 1920 salarios mínimos legales mensuales vigentes, por el delito de desaparición forzada</w:t>
      </w:r>
      <w:r w:rsidRPr="00F2058B">
        <w:rPr>
          <w:rStyle w:val="FootnoteReference"/>
          <w:rFonts w:ascii="Cambria" w:hAnsi="Cambria"/>
          <w:lang w:val="es-419"/>
        </w:rPr>
        <w:footnoteReference w:id="63"/>
      </w:r>
      <w:r w:rsidRPr="00F2058B">
        <w:rPr>
          <w:rFonts w:ascii="Cambria" w:hAnsi="Cambria"/>
          <w:lang w:val="es-419"/>
        </w:rPr>
        <w:t>. “</w:t>
      </w:r>
    </w:p>
    <w:p w14:paraId="4754E1C6" w14:textId="77777777" w:rsidR="007D6511" w:rsidRPr="00F2058B" w:rsidRDefault="007D6511" w:rsidP="007D6511">
      <w:pPr>
        <w:pStyle w:val="parrafos"/>
        <w:rPr>
          <w:rFonts w:ascii="Cambria" w:hAnsi="Cambria"/>
          <w:highlight w:val="lightGray"/>
          <w:lang w:val="es-419"/>
        </w:rPr>
      </w:pPr>
    </w:p>
    <w:p w14:paraId="5E4AFEF9" w14:textId="696E70FA" w:rsidR="001A1770" w:rsidRPr="00F2058B" w:rsidRDefault="008B54D0" w:rsidP="00F06940">
      <w:pPr>
        <w:pStyle w:val="Heading2"/>
        <w:keepNext/>
        <w:numPr>
          <w:ilvl w:val="1"/>
          <w:numId w:val="59"/>
        </w:numPr>
        <w:tabs>
          <w:tab w:val="clear" w:pos="2520"/>
          <w:tab w:val="left" w:pos="360"/>
        </w:tabs>
        <w:ind w:left="0" w:firstLine="0"/>
        <w:jc w:val="left"/>
        <w:rPr>
          <w:lang w:val="es-419"/>
        </w:rPr>
      </w:pPr>
      <w:bookmarkStart w:id="23" w:name="_Toc216359318"/>
      <w:r w:rsidRPr="00F2058B">
        <w:rPr>
          <w:lang w:val="es-419"/>
        </w:rPr>
        <w:t>Hechos en relación con</w:t>
      </w:r>
      <w:r w:rsidR="001A1770" w:rsidRPr="00F2058B">
        <w:rPr>
          <w:lang w:val="es-419"/>
        </w:rPr>
        <w:t xml:space="preserve"> Victoria Delgado Anaya.</w:t>
      </w:r>
      <w:bookmarkEnd w:id="17"/>
      <w:bookmarkEnd w:id="23"/>
    </w:p>
    <w:p w14:paraId="7E248AAB" w14:textId="77777777" w:rsidR="001A1770" w:rsidRPr="00F2058B" w:rsidRDefault="001A1770" w:rsidP="001A177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419"/>
        </w:rPr>
      </w:pPr>
    </w:p>
    <w:p w14:paraId="34F78AEB" w14:textId="29E5812A" w:rsidR="00C6655C" w:rsidRPr="00F2058B" w:rsidRDefault="00824B43" w:rsidP="00F06940">
      <w:pPr>
        <w:pStyle w:val="parrafos"/>
        <w:numPr>
          <w:ilvl w:val="0"/>
          <w:numId w:val="58"/>
        </w:numPr>
        <w:ind w:left="0" w:firstLine="0"/>
        <w:rPr>
          <w:rFonts w:ascii="Cambria" w:hAnsi="Cambria"/>
          <w:lang w:val="es-419"/>
        </w:rPr>
      </w:pPr>
      <w:r w:rsidRPr="00F2058B">
        <w:rPr>
          <w:rFonts w:ascii="Cambria" w:hAnsi="Cambria"/>
          <w:lang w:val="es-419"/>
        </w:rPr>
        <w:t xml:space="preserve">Según información disponible, </w:t>
      </w:r>
      <w:r w:rsidR="00AA4E4E" w:rsidRPr="00F2058B">
        <w:rPr>
          <w:rFonts w:ascii="Cambria" w:hAnsi="Cambria"/>
          <w:lang w:val="es-419"/>
        </w:rPr>
        <w:t xml:space="preserve">Victoria Delgado Anaya realizó </w:t>
      </w:r>
      <w:r w:rsidR="008B54D0" w:rsidRPr="00F2058B">
        <w:rPr>
          <w:rFonts w:ascii="Cambria" w:hAnsi="Cambria"/>
          <w:lang w:val="es-419"/>
        </w:rPr>
        <w:t xml:space="preserve">diversas </w:t>
      </w:r>
      <w:r w:rsidR="00AA4E4E" w:rsidRPr="00F2058B">
        <w:rPr>
          <w:rFonts w:ascii="Cambria" w:hAnsi="Cambria"/>
          <w:lang w:val="es-419"/>
        </w:rPr>
        <w:t xml:space="preserve">denuncias por la desaparición de su hijo Gildardo Fuentes, a fin de dar con su paradero. </w:t>
      </w:r>
      <w:r w:rsidR="00C6655C" w:rsidRPr="00F2058B">
        <w:rPr>
          <w:rFonts w:ascii="Cambria" w:hAnsi="Cambria"/>
          <w:lang w:val="es-419"/>
        </w:rPr>
        <w:t xml:space="preserve">La </w:t>
      </w:r>
      <w:r w:rsidR="00C6655C" w:rsidRPr="00F2058B">
        <w:rPr>
          <w:lang w:val="es-419"/>
        </w:rPr>
        <w:t>parte peticionaria indicó que e</w:t>
      </w:r>
      <w:r w:rsidR="00AA4E4E" w:rsidRPr="00F2058B">
        <w:rPr>
          <w:lang w:val="es-419"/>
        </w:rPr>
        <w:t>l 16 de mayo de 2001</w:t>
      </w:r>
      <w:r w:rsidR="00F62A5C" w:rsidRPr="00F2058B">
        <w:rPr>
          <w:lang w:val="es-419"/>
        </w:rPr>
        <w:t xml:space="preserve"> en Aguas Lindas, </w:t>
      </w:r>
      <w:r w:rsidR="00C6655C" w:rsidRPr="00F2058B">
        <w:rPr>
          <w:lang w:val="es-419"/>
        </w:rPr>
        <w:t xml:space="preserve">Bolivar, </w:t>
      </w:r>
      <w:r w:rsidR="00F62A5C" w:rsidRPr="00F2058B">
        <w:rPr>
          <w:lang w:val="es-419"/>
        </w:rPr>
        <w:t>Victoria Delgado Anaya fue secuestrada</w:t>
      </w:r>
      <w:r w:rsidR="00B34B60" w:rsidRPr="00F2058B">
        <w:rPr>
          <w:lang w:val="es-419"/>
        </w:rPr>
        <w:t xml:space="preserve"> por </w:t>
      </w:r>
      <w:r w:rsidR="00B71110" w:rsidRPr="00F2058B">
        <w:rPr>
          <w:lang w:val="es-419"/>
        </w:rPr>
        <w:t>miembros de las AUC</w:t>
      </w:r>
      <w:r w:rsidR="00C6655C" w:rsidRPr="00F2058B">
        <w:rPr>
          <w:lang w:val="es-419"/>
        </w:rPr>
        <w:t xml:space="preserve"> y posteriormente dejada en libertad. Al respecto, refirió que, </w:t>
      </w:r>
      <w:r w:rsidR="00B34B60" w:rsidRPr="00F2058B">
        <w:rPr>
          <w:lang w:val="es-419"/>
        </w:rPr>
        <w:t>en una nueva incursión, los paramilitares secuestraron por varias horas a VICTORIA DELGADO, llevándosela junto con otros pobladores rumbo al corregimiento Pozo Azul. Gracias a la oportuna movilización de los pobladores de Aguas Lindas, los captores la dejaron libre</w:t>
      </w:r>
      <w:r w:rsidR="00F62A5C" w:rsidRPr="00F2058B">
        <w:rPr>
          <w:rStyle w:val="FootnoteReference"/>
          <w:lang w:val="es-419"/>
        </w:rPr>
        <w:footnoteReference w:id="64"/>
      </w:r>
      <w:r w:rsidR="00C6655C" w:rsidRPr="00F2058B">
        <w:rPr>
          <w:lang w:val="es-419"/>
        </w:rPr>
        <w:t>.</w:t>
      </w:r>
    </w:p>
    <w:p w14:paraId="01A1A05C" w14:textId="77777777" w:rsidR="006E177C" w:rsidRPr="00F2058B" w:rsidRDefault="006E177C" w:rsidP="006E177C">
      <w:pPr>
        <w:pStyle w:val="parrafos"/>
        <w:tabs>
          <w:tab w:val="clear" w:pos="360"/>
        </w:tabs>
        <w:rPr>
          <w:rFonts w:ascii="Cambria" w:hAnsi="Cambria"/>
          <w:lang w:val="es-419"/>
        </w:rPr>
      </w:pPr>
    </w:p>
    <w:p w14:paraId="4B2434FC" w14:textId="4847B2C2" w:rsidR="00C6655C" w:rsidRPr="00F2058B" w:rsidRDefault="00C6655C" w:rsidP="00F06940">
      <w:pPr>
        <w:pStyle w:val="parrafos"/>
        <w:numPr>
          <w:ilvl w:val="0"/>
          <w:numId w:val="58"/>
        </w:numPr>
        <w:ind w:left="0" w:firstLine="0"/>
        <w:rPr>
          <w:rFonts w:ascii="Cambria" w:hAnsi="Cambria"/>
          <w:lang w:val="es-419"/>
        </w:rPr>
      </w:pPr>
      <w:r w:rsidRPr="00F2058B">
        <w:rPr>
          <w:rFonts w:ascii="Cambria" w:hAnsi="Cambria"/>
          <w:lang w:val="es-419"/>
        </w:rPr>
        <w:t xml:space="preserve">La parte peticionaria indicó que el 23 de diciembre de 2001 Victoria Delgado Anaya fue nuevamente secuestrada por miembros de las AUC </w:t>
      </w:r>
      <w:r w:rsidR="00B71110" w:rsidRPr="00F2058B">
        <w:rPr>
          <w:rFonts w:ascii="Cambria" w:hAnsi="Cambria"/>
          <w:lang w:val="es-419"/>
        </w:rPr>
        <w:t>en el corregimiento de Aguas Lindas y el 24 de diciembre de 2001 su cuerpo fue hallado sin vida</w:t>
      </w:r>
      <w:r w:rsidR="00B71110" w:rsidRPr="00F2058B">
        <w:rPr>
          <w:rStyle w:val="FootnoteReference"/>
          <w:rFonts w:ascii="Cambria" w:hAnsi="Cambria"/>
          <w:lang w:val="es-419"/>
        </w:rPr>
        <w:footnoteReference w:id="65"/>
      </w:r>
      <w:r w:rsidR="0047263F" w:rsidRPr="00F2058B">
        <w:rPr>
          <w:rFonts w:ascii="Cambria" w:hAnsi="Cambria"/>
          <w:lang w:val="es-419"/>
        </w:rPr>
        <w:t>.</w:t>
      </w:r>
      <w:r w:rsidR="00F57C99" w:rsidRPr="00F2058B">
        <w:rPr>
          <w:rFonts w:ascii="Cambria" w:hAnsi="Cambria"/>
          <w:lang w:val="es-419"/>
        </w:rPr>
        <w:t xml:space="preserve"> </w:t>
      </w:r>
      <w:r w:rsidRPr="00F2058B">
        <w:rPr>
          <w:rFonts w:ascii="Cambria" w:hAnsi="Cambria"/>
          <w:lang w:val="es-419"/>
        </w:rPr>
        <w:t>En cuanto a las circunstancias en que ocurrieron los hechos, la parte peticionaria subrayó que:</w:t>
      </w:r>
    </w:p>
    <w:p w14:paraId="4B7EB843" w14:textId="77777777" w:rsidR="00C6655C" w:rsidRPr="00F2058B" w:rsidRDefault="00C6655C" w:rsidP="00C6655C">
      <w:pPr>
        <w:pStyle w:val="ListParagraph"/>
        <w:rPr>
          <w:rFonts w:ascii="Cambria" w:hAnsi="Cambria"/>
          <w:sz w:val="18"/>
          <w:szCs w:val="18"/>
          <w:lang w:val="es-419"/>
        </w:rPr>
      </w:pPr>
    </w:p>
    <w:p w14:paraId="56789174" w14:textId="16CC9722" w:rsidR="00F57C99" w:rsidRPr="00F2058B" w:rsidRDefault="00F57C99" w:rsidP="00AB3538">
      <w:pPr>
        <w:pStyle w:val="parrafos"/>
        <w:ind w:left="360" w:right="720"/>
        <w:rPr>
          <w:rFonts w:ascii="Cambria" w:hAnsi="Cambria"/>
          <w:lang w:val="es-419"/>
        </w:rPr>
      </w:pPr>
      <w:r w:rsidRPr="00F2058B">
        <w:rPr>
          <w:rFonts w:ascii="Cambria" w:hAnsi="Cambria"/>
          <w:sz w:val="18"/>
          <w:szCs w:val="18"/>
          <w:lang w:val="es-419"/>
        </w:rPr>
        <w:t xml:space="preserve">El 23 de diciembre de 2001, un grupo de aproximadamente 30 paramilitares incursionaron en Aguas Lindas, zona rural del municipio de San Pablo – Bolívar, hacia las 11:30 de la noche sacaron de sus viviendas a 7 pobladores, entre ellos a la señora VICTORIA DELGADO.El grupo armado se dirigió por la carretera que conduce hacia el casco urbano de </w:t>
      </w:r>
      <w:r w:rsidR="008C07FF" w:rsidRPr="00F2058B">
        <w:rPr>
          <w:rFonts w:ascii="Cambria" w:hAnsi="Cambria"/>
          <w:sz w:val="18"/>
          <w:szCs w:val="18"/>
          <w:lang w:val="es-419"/>
        </w:rPr>
        <w:t>S</w:t>
      </w:r>
      <w:r w:rsidRPr="00F2058B">
        <w:rPr>
          <w:rFonts w:ascii="Cambria" w:hAnsi="Cambria"/>
          <w:sz w:val="18"/>
          <w:szCs w:val="18"/>
          <w:lang w:val="es-419"/>
        </w:rPr>
        <w:t>an Pablo, los hijos de doña Victoria sali</w:t>
      </w:r>
      <w:r w:rsidR="008C07FF" w:rsidRPr="00F2058B">
        <w:rPr>
          <w:rFonts w:ascii="Cambria" w:hAnsi="Cambria"/>
          <w:sz w:val="18"/>
          <w:szCs w:val="18"/>
          <w:lang w:val="es-419"/>
        </w:rPr>
        <w:t xml:space="preserve">eron </w:t>
      </w:r>
      <w:r w:rsidRPr="00F2058B">
        <w:rPr>
          <w:rFonts w:ascii="Cambria" w:hAnsi="Cambria"/>
          <w:sz w:val="18"/>
          <w:szCs w:val="18"/>
          <w:lang w:val="es-419"/>
        </w:rPr>
        <w:t>detrás del grupo armado, hasta que uno de los paramilitares les dijo que se devolvieran que a ella no le iba a pasar nada, que solo la llevaban para que les explicara claramente todo lo que había hecho por la desaparición de Gildardo. Al día siguiente salie</w:t>
      </w:r>
      <w:r w:rsidR="00E54B8E" w:rsidRPr="00F2058B">
        <w:rPr>
          <w:rFonts w:ascii="Cambria" w:hAnsi="Cambria"/>
          <w:sz w:val="18"/>
          <w:szCs w:val="18"/>
          <w:lang w:val="es-419"/>
        </w:rPr>
        <w:t>r</w:t>
      </w:r>
      <w:r w:rsidRPr="00F2058B">
        <w:rPr>
          <w:rFonts w:ascii="Cambria" w:hAnsi="Cambria"/>
          <w:sz w:val="18"/>
          <w:szCs w:val="18"/>
          <w:lang w:val="es-419"/>
        </w:rPr>
        <w:t>on a buscar a su madre y en plena carretera encontraron el cadáver, que s</w:t>
      </w:r>
      <w:r w:rsidR="008C07FF" w:rsidRPr="00F2058B">
        <w:rPr>
          <w:rFonts w:ascii="Cambria" w:hAnsi="Cambria"/>
          <w:sz w:val="18"/>
          <w:szCs w:val="18"/>
          <w:lang w:val="es-419"/>
        </w:rPr>
        <w:t>egún ellos se mantenían aún cal</w:t>
      </w:r>
      <w:r w:rsidRPr="00F2058B">
        <w:rPr>
          <w:rFonts w:ascii="Cambria" w:hAnsi="Cambria"/>
          <w:sz w:val="18"/>
          <w:szCs w:val="18"/>
          <w:lang w:val="es-419"/>
        </w:rPr>
        <w:t>iente, señal de que había sido asesinada pocos minutos antes</w:t>
      </w:r>
      <w:r w:rsidR="00E54B8E" w:rsidRPr="00F2058B">
        <w:rPr>
          <w:rStyle w:val="FootnoteReference"/>
          <w:rFonts w:ascii="Cambria" w:hAnsi="Cambria"/>
          <w:sz w:val="18"/>
          <w:szCs w:val="18"/>
          <w:lang w:val="es-419"/>
        </w:rPr>
        <w:footnoteReference w:id="66"/>
      </w:r>
      <w:r w:rsidR="00AB3538" w:rsidRPr="00F2058B">
        <w:rPr>
          <w:rFonts w:ascii="Cambria" w:hAnsi="Cambria"/>
          <w:sz w:val="18"/>
          <w:szCs w:val="18"/>
          <w:lang w:val="es-419"/>
        </w:rPr>
        <w:t>.</w:t>
      </w:r>
    </w:p>
    <w:p w14:paraId="74E7A72B" w14:textId="2C240E6E" w:rsidR="00C6655C" w:rsidRPr="00F2058B" w:rsidRDefault="00C6655C" w:rsidP="00AA4E4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lang w:val="es-419"/>
        </w:rPr>
      </w:pPr>
    </w:p>
    <w:p w14:paraId="29F2D7D2" w14:textId="4D6D55CB" w:rsidR="005A5A72" w:rsidRPr="00F2058B" w:rsidRDefault="005A5A72" w:rsidP="00F06940">
      <w:pPr>
        <w:pStyle w:val="parrafos"/>
        <w:numPr>
          <w:ilvl w:val="0"/>
          <w:numId w:val="58"/>
        </w:numPr>
        <w:ind w:left="0" w:firstLine="0"/>
        <w:rPr>
          <w:rFonts w:ascii="Cambria" w:hAnsi="Cambria"/>
          <w:lang w:val="es-419"/>
        </w:rPr>
      </w:pPr>
      <w:r w:rsidRPr="00F2058B">
        <w:rPr>
          <w:rFonts w:ascii="Cambria" w:hAnsi="Cambria"/>
          <w:lang w:val="es-419"/>
        </w:rPr>
        <w:t xml:space="preserve">Un testimonio del hijo de presunta víctima transcrito por la parte peticionaria se refiere a las circunstancias de la muerte de Victoria Delgado del siguiente modo: </w:t>
      </w:r>
    </w:p>
    <w:p w14:paraId="29EF9140" w14:textId="77777777" w:rsidR="005A5A72" w:rsidRPr="00F2058B" w:rsidRDefault="005A5A72" w:rsidP="005A5A72">
      <w:pPr>
        <w:pStyle w:val="parrafos"/>
        <w:rPr>
          <w:rFonts w:ascii="Cambria" w:hAnsi="Cambria"/>
          <w:lang w:val="es-419"/>
        </w:rPr>
      </w:pPr>
    </w:p>
    <w:p w14:paraId="2518A8B4" w14:textId="4F5F0DB6" w:rsidR="00D846F9" w:rsidRPr="00F2058B" w:rsidRDefault="00DA6FF9" w:rsidP="00AB3538">
      <w:pPr>
        <w:pStyle w:val="parrafos"/>
        <w:ind w:left="360" w:right="720"/>
        <w:rPr>
          <w:rFonts w:ascii="Cambria" w:hAnsi="Cambria"/>
          <w:sz w:val="18"/>
          <w:szCs w:val="18"/>
          <w:lang w:val="es-419"/>
        </w:rPr>
      </w:pPr>
      <w:r w:rsidRPr="00F2058B">
        <w:rPr>
          <w:rFonts w:ascii="Cambria" w:hAnsi="Cambria"/>
          <w:sz w:val="18"/>
          <w:szCs w:val="18"/>
          <w:lang w:val="es-419"/>
        </w:rPr>
        <w:t>Era el 23 de diciembre, horas de 11:00, 11:30 de la noche, hubo una avanzada paramilitar en el pueblo, sacaron a todo el mundo, (…) se llevaron a m</w:t>
      </w:r>
      <w:r w:rsidR="005A5A72" w:rsidRPr="00F2058B">
        <w:rPr>
          <w:rFonts w:ascii="Cambria" w:hAnsi="Cambria"/>
          <w:sz w:val="18"/>
          <w:szCs w:val="18"/>
          <w:lang w:val="es-419"/>
        </w:rPr>
        <w:t>i mamá, la señora ANA VICTORIA.</w:t>
      </w:r>
      <w:r w:rsidR="00AB3538" w:rsidRPr="00F2058B">
        <w:rPr>
          <w:rFonts w:ascii="Cambria" w:hAnsi="Cambria"/>
          <w:sz w:val="18"/>
          <w:szCs w:val="18"/>
          <w:lang w:val="es-419"/>
        </w:rPr>
        <w:t xml:space="preserve"> </w:t>
      </w:r>
      <w:r w:rsidRPr="00F2058B">
        <w:rPr>
          <w:rFonts w:ascii="Cambria" w:hAnsi="Cambria"/>
          <w:sz w:val="18"/>
          <w:szCs w:val="18"/>
          <w:lang w:val="es-419"/>
        </w:rPr>
        <w:t>A los re</w:t>
      </w:r>
      <w:r w:rsidR="008C07FF" w:rsidRPr="00F2058B">
        <w:rPr>
          <w:rFonts w:ascii="Cambria" w:hAnsi="Cambria"/>
          <w:sz w:val="18"/>
          <w:szCs w:val="18"/>
          <w:lang w:val="es-419"/>
        </w:rPr>
        <w:t xml:space="preserve">tenidos se los llevaron por la </w:t>
      </w:r>
      <w:r w:rsidRPr="00F2058B">
        <w:rPr>
          <w:rFonts w:ascii="Cambria" w:hAnsi="Cambria"/>
          <w:sz w:val="18"/>
          <w:szCs w:val="18"/>
          <w:lang w:val="es-419"/>
        </w:rPr>
        <w:t xml:space="preserve">carretera que conduce a San Pablo, se la llevaron como por ahí media hora subiendo por la carretera hasta una cierta parte, ahí pasaron la noche… yo les decía que me llevaran a mi también, que vieran que ella no tenía nada que ver – bueno entonces </w:t>
      </w:r>
      <w:r w:rsidR="00D846F9" w:rsidRPr="00F2058B">
        <w:rPr>
          <w:rFonts w:ascii="Cambria" w:hAnsi="Cambria"/>
          <w:sz w:val="18"/>
          <w:szCs w:val="18"/>
          <w:lang w:val="es-419"/>
        </w:rPr>
        <w:t>–</w:t>
      </w:r>
      <w:r w:rsidRPr="00F2058B">
        <w:rPr>
          <w:rFonts w:ascii="Cambria" w:hAnsi="Cambria"/>
          <w:sz w:val="18"/>
          <w:szCs w:val="18"/>
          <w:lang w:val="es-419"/>
        </w:rPr>
        <w:t xml:space="preserve"> </w:t>
      </w:r>
      <w:r w:rsidR="00D846F9" w:rsidRPr="00F2058B">
        <w:rPr>
          <w:rFonts w:ascii="Cambria" w:hAnsi="Cambria"/>
          <w:sz w:val="18"/>
          <w:szCs w:val="18"/>
          <w:lang w:val="es-419"/>
        </w:rPr>
        <w:t xml:space="preserve">a lo último, ya llegando a donde ellos se iba a sitiar me dijeron que me devolviera porque o sino me mataban, y un man me dijo a mi; vea chino, a ella la llevan únicamente pa investigarla nada más porque es que ella tiene, tiene unos cuentos largos desde que desaparecieron a, desde el cuento ese de Gildardo y de Edgar, ella tiene mucho por contarnos y por decirnos entonces devuélvase, mejor dicho devuélvase </w:t>
      </w:r>
      <w:r w:rsidR="008C07FF" w:rsidRPr="00F2058B">
        <w:rPr>
          <w:rFonts w:ascii="Cambria" w:hAnsi="Cambria"/>
          <w:sz w:val="18"/>
          <w:szCs w:val="18"/>
          <w:lang w:val="es-419"/>
        </w:rPr>
        <w:t xml:space="preserve">porque ella, a ella no le va a </w:t>
      </w:r>
      <w:r w:rsidR="00D846F9" w:rsidRPr="00F2058B">
        <w:rPr>
          <w:rFonts w:ascii="Cambria" w:hAnsi="Cambria"/>
          <w:sz w:val="18"/>
          <w:szCs w:val="18"/>
          <w:lang w:val="es-419"/>
        </w:rPr>
        <w:t>pasar nada, ella la llevamos únicamente para averiguar, que es lo que pasa –entonces bueno pues- me tranquilicé un poco y me devolví de esa parte, ya era 24, como a la 1:00 de la mañana. Al otro día madrugamos</w:t>
      </w:r>
      <w:r w:rsidR="005A5A72" w:rsidRPr="00F2058B">
        <w:rPr>
          <w:rFonts w:ascii="Cambria" w:hAnsi="Cambria"/>
          <w:sz w:val="18"/>
          <w:szCs w:val="18"/>
          <w:lang w:val="es-419"/>
        </w:rPr>
        <w:t xml:space="preserve"> </w:t>
      </w:r>
      <w:r w:rsidR="00D846F9" w:rsidRPr="00F2058B">
        <w:rPr>
          <w:rFonts w:ascii="Cambria" w:hAnsi="Cambria"/>
          <w:sz w:val="18"/>
          <w:szCs w:val="18"/>
          <w:lang w:val="es-419"/>
        </w:rPr>
        <w:t>a reclamarla pero nos encontramos con el fracaso de que la habían matado, habían matado a mi madre ahí donde ellos estaban la encontramos, estaba recién muerta, estaba todavía caliente, tenía señas de que hacia por hay unos veint</w:t>
      </w:r>
      <w:r w:rsidR="005A5A72" w:rsidRPr="00F2058B">
        <w:rPr>
          <w:rFonts w:ascii="Cambria" w:hAnsi="Cambria"/>
          <w:sz w:val="18"/>
          <w:szCs w:val="18"/>
          <w:lang w:val="es-419"/>
        </w:rPr>
        <w:t xml:space="preserve">e minutos que la habían matado. </w:t>
      </w:r>
      <w:r w:rsidR="00D846F9" w:rsidRPr="00F2058B">
        <w:rPr>
          <w:rFonts w:ascii="Cambria" w:hAnsi="Cambria"/>
          <w:sz w:val="18"/>
          <w:szCs w:val="18"/>
          <w:lang w:val="es-419"/>
        </w:rPr>
        <w:t>(…)</w:t>
      </w:r>
    </w:p>
    <w:p w14:paraId="0C08B218" w14:textId="77777777" w:rsidR="005A5A72" w:rsidRPr="00F2058B" w:rsidRDefault="005A5A72" w:rsidP="00AB3538">
      <w:pPr>
        <w:pStyle w:val="parrafos"/>
        <w:ind w:left="360" w:right="720"/>
        <w:rPr>
          <w:rFonts w:ascii="Cambria" w:hAnsi="Cambria"/>
          <w:sz w:val="18"/>
          <w:szCs w:val="18"/>
          <w:lang w:val="es-419"/>
        </w:rPr>
      </w:pPr>
    </w:p>
    <w:p w14:paraId="3CC4C058" w14:textId="418E52AF" w:rsidR="00D846F9" w:rsidRPr="00F2058B" w:rsidRDefault="005A5A72" w:rsidP="00AB3538">
      <w:pPr>
        <w:pStyle w:val="parrafos"/>
        <w:ind w:left="360" w:right="720"/>
        <w:rPr>
          <w:rFonts w:ascii="Cambria" w:hAnsi="Cambria"/>
          <w:sz w:val="18"/>
          <w:szCs w:val="18"/>
          <w:lang w:val="es-419"/>
        </w:rPr>
      </w:pPr>
      <w:r w:rsidRPr="00F2058B">
        <w:rPr>
          <w:rFonts w:ascii="Cambria" w:hAnsi="Cambria"/>
          <w:sz w:val="18"/>
          <w:szCs w:val="18"/>
          <w:lang w:val="es-419"/>
        </w:rPr>
        <w:t xml:space="preserve">(…) </w:t>
      </w:r>
      <w:r w:rsidR="00D846F9" w:rsidRPr="00F2058B">
        <w:rPr>
          <w:rFonts w:ascii="Cambria" w:hAnsi="Cambria"/>
          <w:sz w:val="18"/>
          <w:szCs w:val="18"/>
          <w:lang w:val="es-419"/>
        </w:rPr>
        <w:t>en San Pablo hicimos el velorio, allá llegaban muchos tipos, llegaban en motos, inclusive con armas y cuanta cosa, y al final nunca se me identificaron y siempre mis hermanos, con todo el cuidado, porque yo les recomendé que tuvieran cuidado, me los mandaban era para donde mí, y ellos comenzaban a tratarme que quien había matado a la señora, que como había sido, que adonde había sido, cosas parecidas, talvez buscando, esperando que uno que dijera o de pronto en el momento del dolor y de la ira reprochar o a maldecir, o cualquier cosa para ver que determinación tomaba</w:t>
      </w:r>
      <w:r w:rsidRPr="00F2058B">
        <w:rPr>
          <w:rFonts w:ascii="Cambria" w:hAnsi="Cambria"/>
          <w:sz w:val="18"/>
          <w:szCs w:val="18"/>
          <w:lang w:val="es-419"/>
        </w:rPr>
        <w:t>…</w:t>
      </w:r>
      <w:r w:rsidR="00E4555F" w:rsidRPr="00F2058B">
        <w:rPr>
          <w:rFonts w:ascii="Cambria" w:hAnsi="Cambria"/>
          <w:sz w:val="18"/>
          <w:szCs w:val="18"/>
          <w:lang w:val="es-419"/>
        </w:rPr>
        <w:t>(…)</w:t>
      </w:r>
      <w:r w:rsidR="0057052C" w:rsidRPr="00F2058B">
        <w:rPr>
          <w:rFonts w:ascii="Cambria" w:hAnsi="Cambria"/>
          <w:sz w:val="18"/>
          <w:szCs w:val="18"/>
          <w:lang w:val="es-419"/>
        </w:rPr>
        <w:t>Estos hechos los cometieron por ahí unos 30 paramilitares, entre ellos iban dos, un muchacho llamado Luis y e</w:t>
      </w:r>
      <w:r w:rsidR="008C07FF" w:rsidRPr="00F2058B">
        <w:rPr>
          <w:rFonts w:ascii="Cambria" w:hAnsi="Cambria"/>
          <w:sz w:val="18"/>
          <w:szCs w:val="18"/>
          <w:lang w:val="es-419"/>
        </w:rPr>
        <w:t>l</w:t>
      </w:r>
      <w:r w:rsidR="0057052C" w:rsidRPr="00F2058B">
        <w:rPr>
          <w:rFonts w:ascii="Cambria" w:hAnsi="Cambria"/>
          <w:sz w:val="18"/>
          <w:szCs w:val="18"/>
          <w:lang w:val="es-419"/>
        </w:rPr>
        <w:t xml:space="preserve"> otro que el apodo es Machuca, ahora se encuentran en Monterrey los dos, a Luis le dicen El Alemán y al tal Machuca le dicen Ben Laden</w:t>
      </w:r>
      <w:r w:rsidRPr="00F2058B">
        <w:rPr>
          <w:rFonts w:ascii="Cambria" w:hAnsi="Cambria"/>
          <w:sz w:val="18"/>
          <w:szCs w:val="18"/>
          <w:lang w:val="es-419"/>
        </w:rPr>
        <w:t xml:space="preserve"> (…)</w:t>
      </w:r>
      <w:r w:rsidR="00E4555F" w:rsidRPr="00F2058B">
        <w:rPr>
          <w:rStyle w:val="FootnoteReference"/>
          <w:rFonts w:ascii="Cambria" w:hAnsi="Cambria"/>
          <w:sz w:val="18"/>
          <w:szCs w:val="18"/>
          <w:lang w:val="es-419"/>
        </w:rPr>
        <w:footnoteReference w:id="67"/>
      </w:r>
      <w:r w:rsidR="006E177C" w:rsidRPr="00F2058B">
        <w:rPr>
          <w:rFonts w:ascii="Cambria" w:hAnsi="Cambria"/>
          <w:sz w:val="18"/>
          <w:szCs w:val="18"/>
          <w:lang w:val="es-419"/>
        </w:rPr>
        <w:t>.</w:t>
      </w:r>
    </w:p>
    <w:p w14:paraId="43121733" w14:textId="77777777" w:rsidR="0017771F" w:rsidRPr="00F2058B" w:rsidRDefault="0017771F" w:rsidP="004E2484">
      <w:pPr>
        <w:pStyle w:val="parrafos"/>
        <w:ind w:left="360"/>
        <w:rPr>
          <w:rFonts w:ascii="Cambria" w:hAnsi="Cambria"/>
          <w:sz w:val="18"/>
          <w:szCs w:val="18"/>
          <w:lang w:val="es-419"/>
        </w:rPr>
      </w:pPr>
    </w:p>
    <w:p w14:paraId="5F02A1B3" w14:textId="4AC759B3" w:rsidR="00AA4E4E" w:rsidRPr="00F2058B" w:rsidRDefault="00AA4E4E" w:rsidP="00F06940">
      <w:pPr>
        <w:pStyle w:val="parrafos"/>
        <w:numPr>
          <w:ilvl w:val="0"/>
          <w:numId w:val="58"/>
        </w:numPr>
        <w:ind w:left="0" w:firstLine="0"/>
        <w:rPr>
          <w:rFonts w:ascii="Cambria" w:hAnsi="Cambria"/>
          <w:lang w:val="es-419"/>
        </w:rPr>
      </w:pPr>
      <w:r w:rsidRPr="00F2058B">
        <w:rPr>
          <w:lang w:val="es-419"/>
        </w:rPr>
        <w:t>Sobre</w:t>
      </w:r>
      <w:r w:rsidRPr="00F2058B">
        <w:rPr>
          <w:rFonts w:ascii="Cambria" w:hAnsi="Cambria"/>
          <w:lang w:val="es-419"/>
        </w:rPr>
        <w:t xml:space="preserve"> este segundo secuestro, Rodrigo Pérez Alzate</w:t>
      </w:r>
      <w:r w:rsidR="005A5A72" w:rsidRPr="00F2058B">
        <w:rPr>
          <w:rFonts w:ascii="Cambria" w:hAnsi="Cambria"/>
          <w:lang w:val="es-419"/>
        </w:rPr>
        <w:t>, Comandante de las AUC del Sur de Bolivar</w:t>
      </w:r>
      <w:r w:rsidRPr="00F2058B">
        <w:rPr>
          <w:rFonts w:ascii="Cambria" w:hAnsi="Cambria"/>
          <w:lang w:val="es-419"/>
        </w:rPr>
        <w:t xml:space="preserve"> manifestó </w:t>
      </w:r>
      <w:r w:rsidR="005A5A72" w:rsidRPr="00F2058B">
        <w:rPr>
          <w:rFonts w:ascii="Cambria" w:hAnsi="Cambria"/>
          <w:lang w:val="es-419"/>
        </w:rPr>
        <w:t xml:space="preserve">en una declaración </w:t>
      </w:r>
      <w:r w:rsidRPr="00F2058B">
        <w:rPr>
          <w:rFonts w:ascii="Cambria" w:hAnsi="Cambria"/>
          <w:lang w:val="es-419"/>
        </w:rPr>
        <w:t>que para la época de los hechos ya no estaba a cargo de la zona del Sur de Bolívar, pero que</w:t>
      </w:r>
      <w:r w:rsidR="00AB3538" w:rsidRPr="00F2058B">
        <w:rPr>
          <w:rFonts w:ascii="Cambria" w:hAnsi="Cambria"/>
          <w:lang w:val="es-419"/>
        </w:rPr>
        <w:t>,</w:t>
      </w:r>
      <w:r w:rsidRPr="00F2058B">
        <w:rPr>
          <w:rFonts w:ascii="Cambria" w:hAnsi="Cambria"/>
          <w:lang w:val="es-419"/>
        </w:rPr>
        <w:t xml:space="preserve"> en aras de colaborar con la verdad, sus abogados se entrevistaron con los desmovilizados Alonso Pabón Correa, alias alemán, y Arturo Torres Pineda, alias “Don Carlos”, situación que según dijo, le permitió recabar la siguiente información: </w:t>
      </w:r>
    </w:p>
    <w:p w14:paraId="03023915" w14:textId="77777777" w:rsidR="00AA4E4E" w:rsidRPr="00F2058B" w:rsidRDefault="00AA4E4E" w:rsidP="00AA4E4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18"/>
          <w:szCs w:val="18"/>
          <w:lang w:val="es-419"/>
        </w:rPr>
      </w:pPr>
    </w:p>
    <w:p w14:paraId="07548112" w14:textId="77777777" w:rsidR="00AA4E4E" w:rsidRPr="00F2058B" w:rsidRDefault="00AA4E4E" w:rsidP="00AB353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lang w:val="es-419"/>
        </w:rPr>
      </w:pPr>
      <w:r w:rsidRPr="00F2058B">
        <w:rPr>
          <w:rFonts w:ascii="Cambria" w:hAnsi="Cambria"/>
          <w:sz w:val="18"/>
          <w:szCs w:val="18"/>
          <w:lang w:val="es-419"/>
        </w:rPr>
        <w:t xml:space="preserve">Durante una operación de registro llevado a cabo el primero de diciembre del año 2001, cerca al corregimiento del Paraíso, tropas del BCB bajo el mando alias Cóndor, capturaron dos guerrilleros del ELN, conocidos con los alias de “Luís y Machuca”, quienes fueron sorprendidos mientras dormían. Acto seguido se les condujo ante los comandantes superiores para el respectivo interrogatorio […]. Fue allí donde voluntariamente formalizaron su vinculación a las Autodefensas. En consecuencia y por disposición del comandante Carlos, quedaron bajo su mando adscritos al frente LIBERTADORES DEL RIO MAGDALENA. (…) En el mismo mes de diciembre, pocos días después de retornar del operativo llevado a cabo contra el campamento de CAMPO FRIO, mientras la tropa descansaba, se recibió información sobre el permanente arribo de la guerrilla a los corregimientos conocidos como Aguas Lindas y La Virgencita, de los municipios de Simití y San Pablo, respectivamente. Según datos allegados por unidades de inteligencia, a estos dos pequeños caseríos, divididos por el río Santo Domingo, llegaban los fines de semana, miembros de la guerrilla para proveerse de víveres y en no pocas ocasiones, consumir licor en expendios públicos, actividad que hacían grupos pequeños conformados entre 2 y 5 hombres, con el fin de evitar ser sorprendidos por tropas de las Autodefensas. </w:t>
      </w:r>
    </w:p>
    <w:p w14:paraId="4FE849FC" w14:textId="77777777" w:rsidR="00AA4E4E" w:rsidRPr="00F2058B" w:rsidRDefault="00AA4E4E" w:rsidP="00AB353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lang w:val="es-419"/>
        </w:rPr>
      </w:pPr>
    </w:p>
    <w:p w14:paraId="1D6B2D18" w14:textId="77777777" w:rsidR="00AA4E4E" w:rsidRPr="00F2058B" w:rsidRDefault="00AA4E4E" w:rsidP="00AB353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lang w:val="es-419"/>
        </w:rPr>
      </w:pPr>
      <w:r w:rsidRPr="00F2058B">
        <w:rPr>
          <w:rFonts w:ascii="Cambria" w:hAnsi="Cambria"/>
          <w:sz w:val="18"/>
          <w:szCs w:val="18"/>
          <w:lang w:val="es-419"/>
        </w:rPr>
        <w:t xml:space="preserve">Recibida la información, el comandante “Carlos” planeó una operación con el objetivo de darle captura a los guerrilleros que se encontraban en el sitio señalado por los informantes. La operación estuvo a cargo del comandante alias “Cóndor”, quien preparó cien hombres, y buscando despejar cualquier duda sobre la identidad de los guerrilleros, incorporó dentro del grupo a “Luís” y a “Machuca”, que ahora dentro de la organización respondían a los alias de “Alemán” y “el Paisa”. El contingente partió entonces, el 23 de diciembre en horas de la tarde, con la idea de arribar al objetivo llegando al amanecer. </w:t>
      </w:r>
    </w:p>
    <w:p w14:paraId="33ADB322" w14:textId="77777777" w:rsidR="00AA4E4E" w:rsidRPr="00F2058B" w:rsidRDefault="00AA4E4E" w:rsidP="00AB353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lang w:val="es-419"/>
        </w:rPr>
      </w:pPr>
    </w:p>
    <w:p w14:paraId="29BDE8C8" w14:textId="77777777" w:rsidR="00AA4E4E" w:rsidRPr="00F2058B" w:rsidRDefault="00AA4E4E" w:rsidP="00AB353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lang w:val="es-419"/>
        </w:rPr>
      </w:pPr>
      <w:r w:rsidRPr="00F2058B">
        <w:rPr>
          <w:rFonts w:ascii="Cambria" w:hAnsi="Cambria"/>
          <w:sz w:val="18"/>
          <w:szCs w:val="18"/>
          <w:lang w:val="es-419"/>
        </w:rPr>
        <w:t>[…] Finalmente, fue retenida por alias el Rolo (subcomandante de contraguerrilla), la señora ANA VICTORIA DELGADO, dueña de un depósito de abarrotes en el corregimiento de la Virgencita. Esta señora fue señalada por “el paisa (machuca)” de ser colaboradora de la guerrilla del ELN, concretamente del Frente Héroes de Santa Rosa. Además afirmaba, que él mismo cuando se desempeñaba como arriero al servicio de la guerrilla, recogió en repetidas ocasiones víveres, botas y otros artículos en el negocio de la citada señora, con destino al mencionado frente que en ese entonces era comandado por alias “Robert”.</w:t>
      </w:r>
    </w:p>
    <w:p w14:paraId="75981ACB" w14:textId="77777777" w:rsidR="00AA4E4E" w:rsidRPr="00F2058B" w:rsidRDefault="00AA4E4E" w:rsidP="00AA4E4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360"/>
        <w:jc w:val="both"/>
        <w:rPr>
          <w:rFonts w:ascii="Cambria" w:hAnsi="Cambria"/>
          <w:sz w:val="18"/>
          <w:szCs w:val="18"/>
          <w:lang w:val="es-419"/>
        </w:rPr>
      </w:pPr>
    </w:p>
    <w:p w14:paraId="6748CB4A" w14:textId="77777777" w:rsidR="00AA4E4E" w:rsidRPr="00F2058B" w:rsidRDefault="00AA4E4E" w:rsidP="00AB353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lang w:val="es-419"/>
        </w:rPr>
      </w:pPr>
      <w:r w:rsidRPr="00F2058B">
        <w:rPr>
          <w:rFonts w:ascii="Cambria" w:hAnsi="Cambria"/>
          <w:sz w:val="18"/>
          <w:szCs w:val="18"/>
          <w:lang w:val="es-419"/>
        </w:rPr>
        <w:lastRenderedPageBreak/>
        <w:t>Los señalamientos de alias “el paisa (machuca)” en contra de la señora Victoria fueron desconocidos por “el alemán (Luís)”, quien inclusive llegó a manifestar: “que distinguía a la señora pero que no tenía referencia alguna de la información que la implicaba como colaboradora de la guerrilla”.  Después […] el propio comandante “Carlos”, quien enterado, ordenó que los retenidos fueran conducidos hasta el campamento de Monterrey para interrogarlos […].</w:t>
      </w:r>
    </w:p>
    <w:p w14:paraId="6EABC54C" w14:textId="77777777" w:rsidR="00AA4E4E" w:rsidRPr="00F2058B" w:rsidRDefault="00AA4E4E" w:rsidP="00AB353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lang w:val="es-419"/>
        </w:rPr>
      </w:pPr>
    </w:p>
    <w:p w14:paraId="4EBCF8A2" w14:textId="17F5FCB0" w:rsidR="00AA4E4E" w:rsidRPr="00F2058B" w:rsidRDefault="00AA4E4E" w:rsidP="00AB353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lang w:val="es-419"/>
        </w:rPr>
      </w:pPr>
      <w:r w:rsidRPr="00F2058B">
        <w:rPr>
          <w:rFonts w:ascii="Cambria" w:hAnsi="Cambria"/>
          <w:sz w:val="18"/>
          <w:szCs w:val="18"/>
          <w:lang w:val="es-419"/>
        </w:rPr>
        <w:t>En actitud de evidente desacato, alias “El Rolo” en el sitio conocido como “La Base” de La Virgencita, a orillas de la carretera que conduce hacia el municipio de San Pablo, ignoró la orden de conducción que le habían impartido y argumentando textualmente: “… Yo no voy a llevar sapos de la guerrilla…”optó por dispararles a los retenidos por la espalda, asesinando a la Señora Victoria Delgado Anaya y al hombre de piel morena. […]Este hecho ocurrió el día 24 de diciembre a las 6 de la mañana,</w:t>
      </w:r>
      <w:r w:rsidR="002F0A3C" w:rsidRPr="00F2058B">
        <w:rPr>
          <w:rFonts w:ascii="Cambria" w:hAnsi="Cambria"/>
          <w:sz w:val="18"/>
          <w:szCs w:val="18"/>
          <w:lang w:val="es-419"/>
        </w:rPr>
        <w:t xml:space="preserve"> aproximadamente </w:t>
      </w:r>
      <w:r w:rsidR="002F0A3C" w:rsidRPr="00F2058B">
        <w:rPr>
          <w:rStyle w:val="FootnoteReference"/>
          <w:rFonts w:ascii="Cambria" w:hAnsi="Cambria"/>
          <w:sz w:val="18"/>
          <w:szCs w:val="18"/>
          <w:lang w:val="es-419"/>
        </w:rPr>
        <w:footnoteReference w:id="68"/>
      </w:r>
      <w:r w:rsidRPr="00F2058B">
        <w:rPr>
          <w:rFonts w:ascii="Cambria" w:hAnsi="Cambria"/>
          <w:sz w:val="18"/>
          <w:szCs w:val="18"/>
          <w:lang w:val="es-419"/>
        </w:rPr>
        <w:t xml:space="preserve"> </w:t>
      </w:r>
    </w:p>
    <w:p w14:paraId="7C85217E" w14:textId="77777777" w:rsidR="00F46A05" w:rsidRPr="00F2058B" w:rsidRDefault="00F46A05" w:rsidP="00F46A05">
      <w:pPr>
        <w:pStyle w:val="parrafos"/>
        <w:rPr>
          <w:rFonts w:ascii="Cambria" w:hAnsi="Cambria"/>
          <w:highlight w:val="yellow"/>
          <w:lang w:val="es-419"/>
        </w:rPr>
      </w:pPr>
    </w:p>
    <w:p w14:paraId="6C36D433" w14:textId="49932E62" w:rsidR="00110AA4" w:rsidRPr="00F2058B" w:rsidRDefault="00D547B3" w:rsidP="00F06940">
      <w:pPr>
        <w:pStyle w:val="parrafos"/>
        <w:numPr>
          <w:ilvl w:val="0"/>
          <w:numId w:val="58"/>
        </w:numPr>
        <w:ind w:left="0" w:firstLine="0"/>
        <w:rPr>
          <w:rFonts w:ascii="Cambria" w:hAnsi="Cambria"/>
          <w:lang w:val="es-419"/>
        </w:rPr>
      </w:pPr>
      <w:r w:rsidRPr="00F2058B">
        <w:rPr>
          <w:rFonts w:ascii="Cambria" w:hAnsi="Cambria"/>
          <w:lang w:val="es-419"/>
        </w:rPr>
        <w:t>La parte peticionaria</w:t>
      </w:r>
      <w:r w:rsidR="00F46A05" w:rsidRPr="00F2058B">
        <w:rPr>
          <w:rFonts w:ascii="Cambria" w:hAnsi="Cambria"/>
          <w:lang w:val="es-419"/>
        </w:rPr>
        <w:t xml:space="preserve"> también indicó que el </w:t>
      </w:r>
      <w:r w:rsidR="001F756B" w:rsidRPr="00F2058B">
        <w:rPr>
          <w:rFonts w:ascii="Cambria" w:hAnsi="Cambria"/>
          <w:lang w:val="es-419"/>
        </w:rPr>
        <w:t>29</w:t>
      </w:r>
      <w:r w:rsidR="00F46A05" w:rsidRPr="00F2058B">
        <w:rPr>
          <w:rFonts w:ascii="Cambria" w:hAnsi="Cambria"/>
          <w:lang w:val="es-419"/>
        </w:rPr>
        <w:t xml:space="preserve"> de </w:t>
      </w:r>
      <w:r w:rsidR="001F756B" w:rsidRPr="00F2058B">
        <w:rPr>
          <w:rFonts w:ascii="Cambria" w:hAnsi="Cambria"/>
          <w:lang w:val="es-419"/>
        </w:rPr>
        <w:t>octubre del 2000</w:t>
      </w:r>
      <w:r w:rsidR="00F46A05" w:rsidRPr="00F2058B">
        <w:rPr>
          <w:rFonts w:ascii="Cambria" w:hAnsi="Cambria"/>
          <w:lang w:val="es-419"/>
        </w:rPr>
        <w:t xml:space="preserve"> el</w:t>
      </w:r>
      <w:r w:rsidR="005E3470" w:rsidRPr="00F2058B">
        <w:rPr>
          <w:rFonts w:ascii="Cambria" w:hAnsi="Cambria"/>
          <w:lang w:val="es-419"/>
        </w:rPr>
        <w:t xml:space="preserve"> compañero de Victoria Delgado Anaya y padra</w:t>
      </w:r>
      <w:r w:rsidRPr="00F2058B">
        <w:rPr>
          <w:rFonts w:ascii="Cambria" w:hAnsi="Cambria"/>
          <w:lang w:val="es-419"/>
        </w:rPr>
        <w:t xml:space="preserve">stro de Gildardo Fuentes, </w:t>
      </w:r>
      <w:r w:rsidR="005E3470" w:rsidRPr="00F2058B">
        <w:rPr>
          <w:rFonts w:ascii="Cambria" w:hAnsi="Cambria"/>
          <w:lang w:val="es-419"/>
        </w:rPr>
        <w:t>Naysir Benítez, fue asesinado</w:t>
      </w:r>
      <w:r w:rsidR="001F756B" w:rsidRPr="00F2058B">
        <w:rPr>
          <w:rFonts w:ascii="Cambria" w:hAnsi="Cambria"/>
          <w:lang w:val="es-419"/>
        </w:rPr>
        <w:t xml:space="preserve"> por paramilitares</w:t>
      </w:r>
      <w:r w:rsidR="005E3470" w:rsidRPr="00F2058B">
        <w:rPr>
          <w:rStyle w:val="FootnoteReference"/>
          <w:rFonts w:ascii="Cambria" w:hAnsi="Cambria"/>
          <w:lang w:val="es-419"/>
        </w:rPr>
        <w:footnoteReference w:id="69"/>
      </w:r>
      <w:r w:rsidR="005E3470" w:rsidRPr="00F2058B">
        <w:rPr>
          <w:rFonts w:ascii="Cambria" w:hAnsi="Cambria"/>
          <w:lang w:val="es-419"/>
        </w:rPr>
        <w:t xml:space="preserve">. </w:t>
      </w:r>
    </w:p>
    <w:p w14:paraId="76550682" w14:textId="1B93E2F4" w:rsidR="00F6126E" w:rsidRPr="00F2058B" w:rsidRDefault="00F6126E" w:rsidP="00F6126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highlight w:val="lightGray"/>
          <w:lang w:val="es-419"/>
        </w:rPr>
      </w:pPr>
    </w:p>
    <w:p w14:paraId="493510DC" w14:textId="71C693D5" w:rsidR="003E3592" w:rsidRPr="00F2058B" w:rsidRDefault="003E3592" w:rsidP="00F06940">
      <w:pPr>
        <w:pStyle w:val="Heading2"/>
        <w:keepNext/>
        <w:numPr>
          <w:ilvl w:val="1"/>
          <w:numId w:val="59"/>
        </w:numPr>
        <w:tabs>
          <w:tab w:val="clear" w:pos="2520"/>
          <w:tab w:val="left" w:pos="360"/>
        </w:tabs>
        <w:ind w:left="0" w:firstLine="0"/>
        <w:jc w:val="left"/>
        <w:rPr>
          <w:lang w:val="es-419"/>
        </w:rPr>
      </w:pPr>
      <w:bookmarkStart w:id="24" w:name="_Toc216359319"/>
      <w:r w:rsidRPr="00F2058B">
        <w:rPr>
          <w:lang w:val="es-419"/>
        </w:rPr>
        <w:t>Investigaciones por la muerte de Victoria Delgado Anaya</w:t>
      </w:r>
      <w:bookmarkEnd w:id="24"/>
      <w:r w:rsidRPr="00F2058B">
        <w:rPr>
          <w:lang w:val="es-419"/>
        </w:rPr>
        <w:t xml:space="preserve"> </w:t>
      </w:r>
    </w:p>
    <w:p w14:paraId="04E2A3EA" w14:textId="268C6CB3" w:rsidR="00FA5469" w:rsidRPr="00F2058B" w:rsidRDefault="00FA5469" w:rsidP="00E13ED5">
      <w:pPr>
        <w:pStyle w:val="parrafos"/>
        <w:rPr>
          <w:rFonts w:ascii="Cambria" w:hAnsi="Cambria"/>
          <w:lang w:val="es-419"/>
        </w:rPr>
      </w:pPr>
    </w:p>
    <w:p w14:paraId="357CF76B" w14:textId="44A224D9" w:rsidR="00E13ED5" w:rsidRPr="00F2058B" w:rsidRDefault="003E3592" w:rsidP="00F06940">
      <w:pPr>
        <w:pStyle w:val="parrafos"/>
        <w:numPr>
          <w:ilvl w:val="0"/>
          <w:numId w:val="58"/>
        </w:numPr>
        <w:ind w:left="0" w:firstLine="0"/>
        <w:rPr>
          <w:rFonts w:ascii="Cambria" w:hAnsi="Cambria"/>
          <w:lang w:val="es-419"/>
        </w:rPr>
      </w:pPr>
      <w:r w:rsidRPr="00F2058B">
        <w:rPr>
          <w:rFonts w:ascii="Cambria" w:hAnsi="Cambria"/>
          <w:lang w:val="es-419"/>
        </w:rPr>
        <w:t>En cuanto</w:t>
      </w:r>
      <w:r w:rsidR="00E13ED5" w:rsidRPr="00F2058B">
        <w:rPr>
          <w:rFonts w:ascii="Cambria" w:hAnsi="Cambria"/>
          <w:lang w:val="es-419"/>
        </w:rPr>
        <w:t xml:space="preserve"> a las investigaciones que se llevaron a cabo para esclarecer los hechos que rodearon la muerte de la señora Victoria Delgado Anaya, se</w:t>
      </w:r>
      <w:r w:rsidRPr="00F2058B">
        <w:rPr>
          <w:rFonts w:ascii="Cambria" w:hAnsi="Cambria"/>
          <w:lang w:val="es-419"/>
        </w:rPr>
        <w:t xml:space="preserve">gún información disponible </w:t>
      </w:r>
      <w:r w:rsidR="00E13ED5" w:rsidRPr="00F2058B">
        <w:rPr>
          <w:rFonts w:ascii="Cambria" w:hAnsi="Cambria"/>
          <w:lang w:val="es-419"/>
        </w:rPr>
        <w:t>se abrió la investigación 1160 llevada a cabo por la Ficalía 54 de la Unidad Nacional de Derechos Humanos y Derecho Internacional Humanitario de la Fisc</w:t>
      </w:r>
      <w:r w:rsidRPr="00F2058B">
        <w:rPr>
          <w:rFonts w:ascii="Cambria" w:hAnsi="Cambria"/>
          <w:lang w:val="es-419"/>
        </w:rPr>
        <w:t xml:space="preserve">alía General de la Nación por el delito de secuestro. El Estado informó que en el marco de dicho proceso se han realizado una serie de diligencias, en particular: </w:t>
      </w:r>
    </w:p>
    <w:p w14:paraId="3A7D880E" w14:textId="3DDC62A0" w:rsidR="003C4BF0" w:rsidRPr="00F2058B" w:rsidRDefault="003C4BF0" w:rsidP="003E3592">
      <w:pPr>
        <w:pStyle w:val="parrafos"/>
        <w:rPr>
          <w:rFonts w:ascii="Cambria" w:hAnsi="Cambria"/>
          <w:sz w:val="18"/>
          <w:szCs w:val="18"/>
          <w:lang w:val="es-419"/>
        </w:rPr>
      </w:pPr>
    </w:p>
    <w:p w14:paraId="04FC5AD7" w14:textId="4DF2DAEF" w:rsidR="00493243" w:rsidRPr="00F2058B" w:rsidRDefault="003E3592" w:rsidP="00AB3538">
      <w:pPr>
        <w:pStyle w:val="parrafos"/>
        <w:ind w:left="360" w:right="720"/>
        <w:rPr>
          <w:rFonts w:ascii="Cambria" w:hAnsi="Cambria"/>
          <w:sz w:val="18"/>
          <w:szCs w:val="18"/>
          <w:lang w:val="es-419"/>
        </w:rPr>
      </w:pPr>
      <w:r w:rsidRPr="00F2058B">
        <w:rPr>
          <w:rFonts w:ascii="Cambria" w:hAnsi="Cambria"/>
          <w:sz w:val="18"/>
          <w:szCs w:val="18"/>
          <w:lang w:val="es-419"/>
        </w:rPr>
        <w:t xml:space="preserve"> (…)</w:t>
      </w:r>
      <w:r w:rsidR="00493243" w:rsidRPr="00F2058B">
        <w:rPr>
          <w:rFonts w:ascii="Cambria" w:hAnsi="Cambria"/>
          <w:sz w:val="18"/>
          <w:szCs w:val="18"/>
          <w:lang w:val="es-419"/>
        </w:rPr>
        <w:t>27 de febrero de 2009. Se vinculó formalmente a la investigación a Arturo Torres Pineda mediante declaratoria de persona ausente, por los delitos de homicidio en concurso material heterogéneo de los punibles de concierto para delinquir y secuestro</w:t>
      </w:r>
      <w:r w:rsidR="002F6A14" w:rsidRPr="00F2058B">
        <w:rPr>
          <w:rFonts w:ascii="Cambria" w:hAnsi="Cambria"/>
          <w:sz w:val="18"/>
          <w:szCs w:val="18"/>
          <w:lang w:val="es-419"/>
        </w:rPr>
        <w:t>.</w:t>
      </w:r>
    </w:p>
    <w:p w14:paraId="287006B1" w14:textId="50C2CF0A" w:rsidR="002F6A14" w:rsidRPr="00F2058B" w:rsidRDefault="003E3592" w:rsidP="00AB3538">
      <w:pPr>
        <w:pStyle w:val="parrafos"/>
        <w:ind w:left="360" w:right="720"/>
        <w:rPr>
          <w:rFonts w:ascii="Cambria" w:hAnsi="Cambria"/>
          <w:sz w:val="18"/>
          <w:szCs w:val="18"/>
          <w:lang w:val="es-419"/>
        </w:rPr>
      </w:pPr>
      <w:r w:rsidRPr="00F2058B">
        <w:rPr>
          <w:rFonts w:ascii="Cambria" w:hAnsi="Cambria"/>
          <w:sz w:val="18"/>
          <w:szCs w:val="18"/>
          <w:lang w:val="es-419"/>
        </w:rPr>
        <w:t>(…)</w:t>
      </w:r>
      <w:r w:rsidR="002F6A14" w:rsidRPr="00F2058B">
        <w:rPr>
          <w:rFonts w:ascii="Cambria" w:hAnsi="Cambria"/>
          <w:sz w:val="18"/>
          <w:szCs w:val="18"/>
          <w:lang w:val="es-419"/>
        </w:rPr>
        <w:t>26 de junio de 2009. Se definió situación jurídica del procesado Arturo Torres Pineda (alias “don Carlos”) con medida de aseguramiento, consiste</w:t>
      </w:r>
      <w:r w:rsidRPr="00F2058B">
        <w:rPr>
          <w:rFonts w:ascii="Cambria" w:hAnsi="Cambria"/>
          <w:sz w:val="18"/>
          <w:szCs w:val="18"/>
          <w:lang w:val="es-419"/>
        </w:rPr>
        <w:t>n</w:t>
      </w:r>
      <w:r w:rsidR="002F6A14" w:rsidRPr="00F2058B">
        <w:rPr>
          <w:rFonts w:ascii="Cambria" w:hAnsi="Cambria"/>
          <w:sz w:val="18"/>
          <w:szCs w:val="18"/>
          <w:lang w:val="es-419"/>
        </w:rPr>
        <w:t>te en detención preventiva sin beneficio de excarcelación por los delitos de homicidio en concurso material heterogéneo de los punibles de concierto para delinquir y secuestro.</w:t>
      </w:r>
    </w:p>
    <w:p w14:paraId="2883A961" w14:textId="076F443D" w:rsidR="003C4BF0" w:rsidRPr="00F2058B" w:rsidRDefault="003E3592" w:rsidP="00AB3538">
      <w:pPr>
        <w:pStyle w:val="parrafos"/>
        <w:ind w:left="360" w:right="720"/>
        <w:rPr>
          <w:rFonts w:ascii="Cambria" w:hAnsi="Cambria"/>
          <w:sz w:val="18"/>
          <w:szCs w:val="18"/>
          <w:lang w:val="es-419"/>
        </w:rPr>
      </w:pPr>
      <w:r w:rsidRPr="00F2058B">
        <w:rPr>
          <w:rFonts w:ascii="Cambria" w:hAnsi="Cambria"/>
          <w:sz w:val="18"/>
          <w:szCs w:val="18"/>
          <w:lang w:val="es-419"/>
        </w:rPr>
        <w:t>(…)</w:t>
      </w:r>
      <w:r w:rsidR="002F6A14" w:rsidRPr="00F2058B">
        <w:rPr>
          <w:rFonts w:ascii="Cambria" w:hAnsi="Cambria"/>
          <w:sz w:val="18"/>
          <w:szCs w:val="18"/>
          <w:lang w:val="es-419"/>
        </w:rPr>
        <w:t>9 de noviembre de 2009. Se vinculó formalmente a la investigación a Alonso Pabón Correa (alias El Alemán) mediante declaratoria de persona ausente. De acuerdo con el informe de la Fiscalía General de la Nación en el mes de noviembre se adelantaban</w:t>
      </w:r>
      <w:r w:rsidR="00D2547A" w:rsidRPr="00F2058B">
        <w:rPr>
          <w:rFonts w:ascii="Cambria" w:hAnsi="Cambria"/>
          <w:sz w:val="18"/>
          <w:szCs w:val="18"/>
          <w:lang w:val="es-419"/>
        </w:rPr>
        <w:t xml:space="preserve"> gestiones para resolver la situación jurídica a este procesado</w:t>
      </w:r>
      <w:r w:rsidR="00D2547A" w:rsidRPr="00F2058B">
        <w:rPr>
          <w:sz w:val="18"/>
          <w:szCs w:val="18"/>
          <w:vertAlign w:val="superscript"/>
          <w:lang w:val="es-419"/>
        </w:rPr>
        <w:footnoteReference w:id="70"/>
      </w:r>
      <w:r w:rsidR="00D2547A" w:rsidRPr="00F2058B">
        <w:rPr>
          <w:rFonts w:ascii="Cambria" w:hAnsi="Cambria"/>
          <w:sz w:val="18"/>
          <w:szCs w:val="18"/>
          <w:lang w:val="es-419"/>
        </w:rPr>
        <w:t>.</w:t>
      </w:r>
    </w:p>
    <w:p w14:paraId="477914E8" w14:textId="5B4E30C8" w:rsidR="003E3592" w:rsidRPr="00F2058B" w:rsidRDefault="003E3592" w:rsidP="00AB3538">
      <w:pPr>
        <w:pStyle w:val="parrafos"/>
        <w:ind w:left="360" w:right="720"/>
        <w:rPr>
          <w:rFonts w:ascii="Cambria" w:hAnsi="Cambria"/>
          <w:sz w:val="18"/>
          <w:szCs w:val="18"/>
          <w:lang w:val="es-419"/>
        </w:rPr>
      </w:pPr>
      <w:r w:rsidRPr="00F2058B">
        <w:rPr>
          <w:rFonts w:ascii="Cambria" w:hAnsi="Cambria"/>
          <w:sz w:val="18"/>
          <w:szCs w:val="18"/>
          <w:lang w:val="es-419"/>
        </w:rPr>
        <w:t xml:space="preserve"> (…) </w:t>
      </w:r>
      <w:r w:rsidR="00EA362B" w:rsidRPr="00F2058B">
        <w:rPr>
          <w:rFonts w:ascii="Cambria" w:hAnsi="Cambria"/>
          <w:sz w:val="18"/>
          <w:szCs w:val="18"/>
          <w:lang w:val="es-419"/>
        </w:rPr>
        <w:t xml:space="preserve">10 de noviembre de 2009. Mediante providencia se adicionó la decisión de medida de aseguramiento adoptada el 26 de junio de 2009 en contra de Arturo Torres Pineda (alias “don Carlos”), consistente en detención preventiva sin beneficio de excarcelación, haciéndola extensiva por </w:t>
      </w:r>
      <w:r w:rsidRPr="00F2058B">
        <w:rPr>
          <w:rFonts w:ascii="Cambria" w:hAnsi="Cambria"/>
          <w:sz w:val="18"/>
          <w:szCs w:val="18"/>
          <w:lang w:val="es-419"/>
        </w:rPr>
        <w:t>el delito de homicidio agravado (…)</w:t>
      </w:r>
    </w:p>
    <w:p w14:paraId="2B273573" w14:textId="33038D97" w:rsidR="00EA362B" w:rsidRPr="00F2058B" w:rsidRDefault="003E3592" w:rsidP="00AB3538">
      <w:pPr>
        <w:pStyle w:val="parrafos"/>
        <w:ind w:left="360" w:right="720"/>
        <w:rPr>
          <w:rFonts w:ascii="Cambria" w:hAnsi="Cambria"/>
          <w:sz w:val="18"/>
          <w:szCs w:val="18"/>
          <w:lang w:val="es-419"/>
        </w:rPr>
      </w:pPr>
      <w:r w:rsidRPr="00F2058B">
        <w:rPr>
          <w:rFonts w:ascii="Cambria" w:hAnsi="Cambria"/>
          <w:sz w:val="18"/>
          <w:szCs w:val="18"/>
          <w:lang w:val="es-419"/>
        </w:rPr>
        <w:t xml:space="preserve">(…) </w:t>
      </w:r>
      <w:r w:rsidR="00EA362B" w:rsidRPr="00F2058B">
        <w:rPr>
          <w:rFonts w:ascii="Cambria" w:hAnsi="Cambria"/>
          <w:sz w:val="18"/>
          <w:szCs w:val="18"/>
          <w:lang w:val="es-419"/>
        </w:rPr>
        <w:t>11 de noviembre de 2009. Se ordenó la preclusión de la investigación respecto de Manuel Antonio Serna López (alias “cóndor o Rubén”), por la extinción de la acc</w:t>
      </w:r>
      <w:r w:rsidRPr="00F2058B">
        <w:rPr>
          <w:rFonts w:ascii="Cambria" w:hAnsi="Cambria"/>
          <w:sz w:val="18"/>
          <w:szCs w:val="18"/>
          <w:lang w:val="es-419"/>
        </w:rPr>
        <w:t>ión penal a causa de su muerte.</w:t>
      </w:r>
    </w:p>
    <w:p w14:paraId="39AE69C9" w14:textId="02697345" w:rsidR="00393379" w:rsidRPr="00F2058B" w:rsidRDefault="003E3592" w:rsidP="00AB3538">
      <w:pPr>
        <w:pStyle w:val="parrafos"/>
        <w:ind w:left="360" w:right="720"/>
        <w:rPr>
          <w:rFonts w:ascii="Cambria" w:hAnsi="Cambria"/>
          <w:sz w:val="18"/>
          <w:szCs w:val="18"/>
          <w:lang w:val="es-419"/>
        </w:rPr>
      </w:pPr>
      <w:r w:rsidRPr="00F2058B">
        <w:rPr>
          <w:rFonts w:ascii="Cambria" w:hAnsi="Cambria"/>
          <w:sz w:val="18"/>
          <w:szCs w:val="18"/>
          <w:lang w:val="es-419"/>
        </w:rPr>
        <w:t xml:space="preserve">(…) </w:t>
      </w:r>
      <w:r w:rsidR="00EA362B" w:rsidRPr="00F2058B">
        <w:rPr>
          <w:rFonts w:ascii="Cambria" w:hAnsi="Cambria"/>
          <w:sz w:val="18"/>
          <w:szCs w:val="18"/>
          <w:lang w:val="es-419"/>
        </w:rPr>
        <w:t xml:space="preserve">30 de noviembre de 2009. El capturado Alonso Pabón Correa (alias “el alemán”) fue puesto a disposición de la Fiscalía 54 de la Unidad Nacional de Derechos Humanos, y recluido en el establecimiento penitenciaria y carcelario de Puero Berrío (Departamento de Antioquia), con el fin de cumplir </w:t>
      </w:r>
      <w:r w:rsidRPr="00F2058B">
        <w:rPr>
          <w:rFonts w:ascii="Cambria" w:hAnsi="Cambria"/>
          <w:sz w:val="18"/>
          <w:szCs w:val="18"/>
          <w:lang w:val="es-419"/>
        </w:rPr>
        <w:t>con la medida de aseguramiento.</w:t>
      </w:r>
    </w:p>
    <w:p w14:paraId="5E8EE995" w14:textId="4F951D7D" w:rsidR="00925C49" w:rsidRPr="00F2058B" w:rsidRDefault="003E3592" w:rsidP="00AB3538">
      <w:pPr>
        <w:pStyle w:val="parrafos"/>
        <w:ind w:left="360" w:right="720"/>
        <w:rPr>
          <w:rFonts w:ascii="Cambria" w:hAnsi="Cambria"/>
          <w:sz w:val="18"/>
          <w:szCs w:val="18"/>
          <w:lang w:val="es-419"/>
        </w:rPr>
      </w:pPr>
      <w:r w:rsidRPr="00F2058B">
        <w:rPr>
          <w:rFonts w:ascii="Cambria" w:hAnsi="Cambria"/>
          <w:sz w:val="18"/>
          <w:szCs w:val="18"/>
          <w:lang w:val="es-419"/>
        </w:rPr>
        <w:t>(…)</w:t>
      </w:r>
      <w:r w:rsidR="00393379" w:rsidRPr="00F2058B">
        <w:rPr>
          <w:rFonts w:ascii="Cambria" w:hAnsi="Cambria"/>
          <w:sz w:val="18"/>
          <w:szCs w:val="18"/>
          <w:lang w:val="es-419"/>
        </w:rPr>
        <w:t>16 de diciembre de 2009. Es capturado Arturo Torres Pineda (alias “don Carlos”)</w:t>
      </w:r>
      <w:r w:rsidR="00393379" w:rsidRPr="00F2058B">
        <w:rPr>
          <w:sz w:val="18"/>
          <w:szCs w:val="18"/>
          <w:vertAlign w:val="superscript"/>
          <w:lang w:val="es-419"/>
        </w:rPr>
        <w:footnoteReference w:id="71"/>
      </w:r>
      <w:r w:rsidR="00BD7DDD" w:rsidRPr="00F2058B">
        <w:rPr>
          <w:rFonts w:ascii="Cambria" w:hAnsi="Cambria"/>
          <w:sz w:val="18"/>
          <w:szCs w:val="18"/>
          <w:lang w:val="es-419"/>
        </w:rPr>
        <w:t>.</w:t>
      </w:r>
    </w:p>
    <w:p w14:paraId="2A63F505" w14:textId="7BDF1E1B" w:rsidR="00211914" w:rsidRPr="00F2058B" w:rsidRDefault="00211914" w:rsidP="00453BAE">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lang w:val="es-419"/>
        </w:rPr>
      </w:pPr>
    </w:p>
    <w:p w14:paraId="3992F070" w14:textId="0B0953D2" w:rsidR="00AB3538" w:rsidRPr="00F2058B" w:rsidRDefault="00AB3538" w:rsidP="00453BAE">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lang w:val="es-419"/>
        </w:rPr>
      </w:pPr>
    </w:p>
    <w:p w14:paraId="7FE14B6B" w14:textId="098A93B7" w:rsidR="00AB3538" w:rsidRPr="00F2058B" w:rsidRDefault="00AB3538" w:rsidP="00453BAE">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lang w:val="es-419"/>
        </w:rPr>
      </w:pPr>
    </w:p>
    <w:p w14:paraId="2451986B" w14:textId="308AB706" w:rsidR="00AB3538" w:rsidRPr="00F2058B" w:rsidRDefault="00AB3538" w:rsidP="00453BAE">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lang w:val="es-419"/>
        </w:rPr>
      </w:pPr>
    </w:p>
    <w:p w14:paraId="549C2A3C" w14:textId="50F2FCD2" w:rsidR="00AB3538" w:rsidRDefault="00AB3538" w:rsidP="00453BAE">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lang w:val="es-419"/>
        </w:rPr>
      </w:pPr>
    </w:p>
    <w:p w14:paraId="65C7DC2B" w14:textId="77777777" w:rsidR="00DD5B71" w:rsidRPr="00F2058B" w:rsidRDefault="00DD5B71" w:rsidP="00453BAE">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lang w:val="es-419"/>
        </w:rPr>
      </w:pPr>
    </w:p>
    <w:p w14:paraId="14D9DF08" w14:textId="6A67F86E" w:rsidR="00AB3538" w:rsidRPr="00F2058B" w:rsidRDefault="00AB3538" w:rsidP="00453BAE">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lang w:val="es-419"/>
        </w:rPr>
      </w:pPr>
    </w:p>
    <w:p w14:paraId="31B28B53" w14:textId="03E720EE" w:rsidR="00AB3538" w:rsidRPr="00F2058B" w:rsidRDefault="00AB3538" w:rsidP="00453BAE">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lang w:val="es-419"/>
        </w:rPr>
      </w:pPr>
    </w:p>
    <w:p w14:paraId="54E70E1F" w14:textId="3919BFFC" w:rsidR="00AB3538" w:rsidRPr="00F2058B" w:rsidRDefault="00AB3538" w:rsidP="00453BAE">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lang w:val="es-419"/>
        </w:rPr>
      </w:pPr>
    </w:p>
    <w:p w14:paraId="2BE6F60C" w14:textId="05A9F392" w:rsidR="00AB3538" w:rsidRPr="00F2058B" w:rsidRDefault="00AB3538" w:rsidP="00453BAE">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lang w:val="es-419"/>
        </w:rPr>
      </w:pPr>
    </w:p>
    <w:p w14:paraId="63F1EC99" w14:textId="0B1AA0CC" w:rsidR="00AB3538" w:rsidRPr="00F2058B" w:rsidRDefault="00AB3538" w:rsidP="00453BAE">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lang w:val="es-419"/>
        </w:rPr>
      </w:pPr>
    </w:p>
    <w:p w14:paraId="17977985" w14:textId="77777777" w:rsidR="00AB3538" w:rsidRPr="00F2058B" w:rsidRDefault="00AB3538" w:rsidP="00453BAE">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lang w:val="es-419"/>
        </w:rPr>
      </w:pPr>
    </w:p>
    <w:p w14:paraId="42813466" w14:textId="77777777" w:rsidR="00453BAE" w:rsidRPr="00F2058B" w:rsidRDefault="00453BAE" w:rsidP="00F06940">
      <w:pPr>
        <w:pStyle w:val="Heading1"/>
        <w:keepNext w:val="0"/>
        <w:numPr>
          <w:ilvl w:val="0"/>
          <w:numId w:val="60"/>
        </w:numPr>
        <w:pBdr>
          <w:top w:val="nil"/>
          <w:left w:val="nil"/>
          <w:bottom w:val="nil"/>
          <w:right w:val="nil"/>
          <w:between w:val="nil"/>
          <w:bar w:val="nil"/>
        </w:pBdr>
        <w:tabs>
          <w:tab w:val="left" w:pos="360"/>
        </w:tabs>
        <w:suppressAutoHyphens/>
        <w:ind w:left="0" w:right="360" w:firstLine="0"/>
        <w:jc w:val="both"/>
        <w:rPr>
          <w:lang w:val="es-419"/>
        </w:rPr>
      </w:pPr>
      <w:bookmarkStart w:id="25" w:name="_Toc519601824"/>
      <w:bookmarkStart w:id="26" w:name="_Toc1985287"/>
      <w:bookmarkStart w:id="27" w:name="_Toc216359320"/>
      <w:r w:rsidRPr="00F2058B">
        <w:rPr>
          <w:rFonts w:asciiTheme="majorHAnsi" w:eastAsia="Cambria" w:hAnsiTheme="majorHAnsi" w:cs="Cambria"/>
          <w:bCs w:val="0"/>
          <w:color w:val="000000"/>
          <w:u w:color="000000"/>
          <w:lang w:val="es-419" w:eastAsia="es-ES"/>
        </w:rPr>
        <w:lastRenderedPageBreak/>
        <w:t>ANÁLISIS DE DERECHO</w:t>
      </w:r>
      <w:bookmarkEnd w:id="25"/>
      <w:bookmarkEnd w:id="26"/>
      <w:bookmarkEnd w:id="27"/>
    </w:p>
    <w:p w14:paraId="17B1802D" w14:textId="60A64BD3" w:rsidR="00846826" w:rsidRPr="00F2058B" w:rsidRDefault="00846826" w:rsidP="00846826">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highlight w:val="yellow"/>
          <w:lang w:val="es-419"/>
        </w:rPr>
      </w:pPr>
      <w:bookmarkStart w:id="28" w:name="_Toc1985289"/>
    </w:p>
    <w:p w14:paraId="04559EB6" w14:textId="2804A324" w:rsidR="00B61179" w:rsidRPr="00F2058B" w:rsidRDefault="00846826" w:rsidP="00B61179">
      <w:pPr>
        <w:pStyle w:val="Heading2"/>
        <w:numPr>
          <w:ilvl w:val="0"/>
          <w:numId w:val="63"/>
        </w:numPr>
        <w:pBdr>
          <w:top w:val="nil"/>
          <w:left w:val="nil"/>
          <w:bottom w:val="nil"/>
          <w:right w:val="nil"/>
          <w:between w:val="nil"/>
          <w:bar w:val="nil"/>
        </w:pBdr>
        <w:tabs>
          <w:tab w:val="left" w:pos="360"/>
        </w:tabs>
        <w:ind w:left="0" w:firstLine="0"/>
        <w:rPr>
          <w:lang w:val="es-419"/>
        </w:rPr>
      </w:pPr>
      <w:r w:rsidRPr="00F2058B">
        <w:rPr>
          <w:lang w:val="es-419"/>
        </w:rPr>
        <w:t xml:space="preserve"> </w:t>
      </w:r>
      <w:bookmarkStart w:id="29" w:name="_Toc216359321"/>
      <w:r w:rsidRPr="00F2058B">
        <w:rPr>
          <w:lang w:val="es-419"/>
        </w:rPr>
        <w:t>El derecho a la vida</w:t>
      </w:r>
      <w:r w:rsidRPr="00F2058B">
        <w:rPr>
          <w:rStyle w:val="FootnoteReference"/>
          <w:lang w:val="es-419"/>
        </w:rPr>
        <w:footnoteReference w:id="72"/>
      </w:r>
      <w:r w:rsidRPr="00F2058B">
        <w:rPr>
          <w:lang w:val="es-419"/>
        </w:rPr>
        <w:t xml:space="preserve"> , integridad personal</w:t>
      </w:r>
      <w:r w:rsidRPr="00F2058B">
        <w:rPr>
          <w:rStyle w:val="FootnoteReference"/>
          <w:lang w:val="es-419"/>
        </w:rPr>
        <w:footnoteReference w:id="73"/>
      </w:r>
      <w:r w:rsidRPr="00F2058B">
        <w:rPr>
          <w:lang w:val="es-419"/>
        </w:rPr>
        <w:t xml:space="preserve"> y libertad personal</w:t>
      </w:r>
      <w:r w:rsidRPr="00F2058B">
        <w:rPr>
          <w:rStyle w:val="FootnoteReference"/>
          <w:lang w:val="es-419"/>
        </w:rPr>
        <w:footnoteReference w:id="74"/>
      </w:r>
      <w:r w:rsidRPr="00F2058B">
        <w:rPr>
          <w:lang w:val="es-419"/>
        </w:rPr>
        <w:t xml:space="preserve"> </w:t>
      </w:r>
      <w:r w:rsidR="00B61179" w:rsidRPr="00F2058B">
        <w:rPr>
          <w:lang w:val="es-419"/>
        </w:rPr>
        <w:t>y disposiciones relevantes de la CIPST</w:t>
      </w:r>
      <w:bookmarkStart w:id="30" w:name="_Toc495479559"/>
      <w:r w:rsidR="00C2360D" w:rsidRPr="00F2058B">
        <w:rPr>
          <w:rStyle w:val="FootnoteReference"/>
          <w:lang w:val="es-419"/>
        </w:rPr>
        <w:footnoteReference w:id="75"/>
      </w:r>
      <w:r w:rsidR="00B61179" w:rsidRPr="00F2058B">
        <w:rPr>
          <w:lang w:val="es-419"/>
        </w:rPr>
        <w:t xml:space="preserve"> respecto de las alegadas torturas</w:t>
      </w:r>
      <w:bookmarkEnd w:id="30"/>
      <w:r w:rsidR="00B61179" w:rsidRPr="00F2058B">
        <w:rPr>
          <w:lang w:val="es-419"/>
        </w:rPr>
        <w:t xml:space="preserve"> e intento de asesinato de Gildardo Fuentes</w:t>
      </w:r>
      <w:bookmarkEnd w:id="29"/>
      <w:r w:rsidR="00B61179" w:rsidRPr="00F2058B">
        <w:rPr>
          <w:lang w:val="es-419"/>
        </w:rPr>
        <w:t xml:space="preserve"> </w:t>
      </w:r>
    </w:p>
    <w:p w14:paraId="64F44776" w14:textId="3FCB23C0" w:rsidR="00B61179" w:rsidRPr="00F2058B" w:rsidRDefault="00B61179" w:rsidP="00E24209">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highlight w:val="yellow"/>
          <w:lang w:val="es-419"/>
        </w:rPr>
      </w:pPr>
    </w:p>
    <w:p w14:paraId="6D4FD4E9" w14:textId="77777777" w:rsidR="00E24209" w:rsidRPr="00F2058B" w:rsidRDefault="00E24209" w:rsidP="00E24209">
      <w:pPr>
        <w:pStyle w:val="parrafos"/>
        <w:numPr>
          <w:ilvl w:val="0"/>
          <w:numId w:val="58"/>
        </w:numPr>
        <w:ind w:left="0" w:firstLine="0"/>
        <w:rPr>
          <w:lang w:val="es-419"/>
        </w:rPr>
      </w:pPr>
      <w:r w:rsidRPr="00F2058B">
        <w:rPr>
          <w:lang w:val="es-419"/>
        </w:rPr>
        <w:t>La CIDH ha enfatizado que la Convención Americana prohíbe la imposición de la tortura o de un trato o castigo cruel, inhumano o degradante contra las personas en cualquier circunstancia.</w:t>
      </w:r>
      <w:r w:rsidRPr="00F2058B">
        <w:rPr>
          <w:vertAlign w:val="superscript"/>
          <w:lang w:val="es-419"/>
        </w:rPr>
        <w:t xml:space="preserve"> </w:t>
      </w:r>
      <w:r w:rsidRPr="00F2058B">
        <w:rPr>
          <w:lang w:val="es-419"/>
        </w:rPr>
        <w:t xml:space="preserve">La Comisión ha indicado que "un aspecto esencial del derecho a la seguridad personal es la absoluta prohibición de la tortura, norma perentoria del derecho </w:t>
      </w:r>
      <w:r w:rsidRPr="00F2058B">
        <w:rPr>
          <w:rFonts w:eastAsia="Times New Roman"/>
          <w:lang w:val="es-419"/>
        </w:rPr>
        <w:t>internacional</w:t>
      </w:r>
      <w:r w:rsidRPr="00F2058B">
        <w:rPr>
          <w:lang w:val="es-419"/>
        </w:rPr>
        <w:t xml:space="preserve"> que crea obligaciones </w:t>
      </w:r>
      <w:r w:rsidRPr="00F2058B">
        <w:rPr>
          <w:i/>
          <w:lang w:val="es-419"/>
        </w:rPr>
        <w:t>erga omnes</w:t>
      </w:r>
      <w:r w:rsidRPr="00F2058B">
        <w:rPr>
          <w:lang w:val="es-419"/>
        </w:rPr>
        <w:t>"</w:t>
      </w:r>
      <w:r w:rsidRPr="00F2058B">
        <w:rPr>
          <w:rStyle w:val="FootnoteReference"/>
          <w:lang w:val="es-419"/>
        </w:rPr>
        <w:footnoteReference w:id="76"/>
      </w:r>
      <w:r w:rsidRPr="00F2058B">
        <w:rPr>
          <w:lang w:val="es-419"/>
        </w:rPr>
        <w:t xml:space="preserve">. Asimismo, la CIDH ha calificado la prohibición de la tortura como una norma de </w:t>
      </w:r>
      <w:r w:rsidRPr="00F2058B">
        <w:rPr>
          <w:i/>
          <w:lang w:val="es-419"/>
        </w:rPr>
        <w:t>jus cogens</w:t>
      </w:r>
      <w:r w:rsidRPr="00F2058B">
        <w:rPr>
          <w:rStyle w:val="FootnoteReference"/>
          <w:lang w:val="es-419"/>
        </w:rPr>
        <w:footnoteReference w:id="77"/>
      </w:r>
      <w:r w:rsidRPr="00F2058B">
        <w:rPr>
          <w:lang w:val="es-419"/>
        </w:rPr>
        <w:t>.</w:t>
      </w:r>
    </w:p>
    <w:p w14:paraId="2AA7EF99" w14:textId="77777777" w:rsidR="00E24209" w:rsidRPr="00F2058B" w:rsidRDefault="00E24209" w:rsidP="00E24209">
      <w:pPr>
        <w:pStyle w:val="parrafos"/>
        <w:rPr>
          <w:lang w:val="es-419"/>
        </w:rPr>
      </w:pPr>
    </w:p>
    <w:p w14:paraId="7153308D" w14:textId="1A46A9E3" w:rsidR="00F512B3" w:rsidRPr="00F2058B" w:rsidRDefault="00E24209" w:rsidP="00F512B3">
      <w:pPr>
        <w:pStyle w:val="parrafos"/>
        <w:numPr>
          <w:ilvl w:val="0"/>
          <w:numId w:val="58"/>
        </w:numPr>
        <w:ind w:left="0" w:firstLine="0"/>
        <w:rPr>
          <w:lang w:val="es-419"/>
        </w:rPr>
      </w:pPr>
      <w:r w:rsidRPr="00F2058B">
        <w:rPr>
          <w:rFonts w:cs="Arial"/>
          <w:lang w:val="es-419"/>
        </w:rPr>
        <w:t xml:space="preserve">Por su parte, la Corte ha señalado reiteradamente que </w:t>
      </w:r>
      <w:r w:rsidRPr="00F2058B">
        <w:rPr>
          <w:lang w:val="es-419"/>
        </w:rPr>
        <w:t xml:space="preserve">"la tortura y las penas o tratos crueles, inhumanos o degradantes están estrictamente prohibidos por el Derecho Internacional de los Derechos Humanos. La prohibición absoluta de la tortura, tanto física como psicológica, pertenece hoy día al dominio del </w:t>
      </w:r>
      <w:r w:rsidRPr="00F2058B">
        <w:rPr>
          <w:i/>
          <w:lang w:val="es-419"/>
        </w:rPr>
        <w:t xml:space="preserve">jus cogens </w:t>
      </w:r>
      <w:r w:rsidRPr="00F2058B">
        <w:rPr>
          <w:rFonts w:cs="Arial"/>
          <w:lang w:val="es-419"/>
        </w:rPr>
        <w:t>internacional</w:t>
      </w:r>
      <w:r w:rsidRPr="00F2058B">
        <w:rPr>
          <w:lang w:val="es-419"/>
        </w:rPr>
        <w:t>"</w:t>
      </w:r>
      <w:r w:rsidRPr="00F2058B">
        <w:rPr>
          <w:rStyle w:val="FootnoteReference"/>
          <w:lang w:val="es-419"/>
        </w:rPr>
        <w:footnoteReference w:id="78"/>
      </w:r>
      <w:r w:rsidRPr="00F2058B">
        <w:rPr>
          <w:lang w:val="es-419"/>
        </w:rPr>
        <w:t>. Dicha prohibición subsiste aún en las circunstancias más difíciles, tales como guerra, amenaza de guerra, lucha contra el terrorismo y cualesquiera otros delitos, estado de sitio o de emergencia, conmoción o conflicto interno, suspensión de garantías constitucionales, inestabilidad política interna u otras emergencias o calamidades públicas”</w:t>
      </w:r>
      <w:r w:rsidRPr="00F2058B">
        <w:rPr>
          <w:rStyle w:val="FootnoteReference"/>
          <w:lang w:val="es-419"/>
        </w:rPr>
        <w:footnoteReference w:id="79"/>
      </w:r>
      <w:r w:rsidRPr="00F2058B">
        <w:rPr>
          <w:lang w:val="es-419"/>
        </w:rPr>
        <w:t xml:space="preserve">. Asimismo, la </w:t>
      </w:r>
      <w:r w:rsidRPr="00F2058B">
        <w:rPr>
          <w:rFonts w:cs="Arial"/>
          <w:lang w:val="es-419"/>
        </w:rPr>
        <w:t>Corte</w:t>
      </w:r>
      <w:r w:rsidRPr="00F2058B">
        <w:rPr>
          <w:lang w:val="es-419"/>
        </w:rPr>
        <w:t xml:space="preserve"> ha indicado que los tratados de alcance universal y regional consagran tal prohibición y el derecho inderogable a no ser torturado. Igualmente, numerosos instrumentos internacionales consagran ese derecho y reiteran la misma prohibición, incluso bajo el derecho internacional humanitario</w:t>
      </w:r>
      <w:r w:rsidRPr="00F2058B">
        <w:rPr>
          <w:rStyle w:val="FootnoteReference"/>
          <w:lang w:val="es-419"/>
        </w:rPr>
        <w:footnoteReference w:id="80"/>
      </w:r>
      <w:r w:rsidRPr="00F2058B">
        <w:rPr>
          <w:lang w:val="es-419"/>
        </w:rPr>
        <w:t>.</w:t>
      </w:r>
    </w:p>
    <w:p w14:paraId="23F03286" w14:textId="6A90DE9C" w:rsidR="00C2360D" w:rsidRPr="00F2058B" w:rsidRDefault="00C2360D" w:rsidP="00C2360D">
      <w:pPr>
        <w:pStyle w:val="parrafos"/>
        <w:rPr>
          <w:lang w:val="es-419"/>
        </w:rPr>
      </w:pPr>
    </w:p>
    <w:p w14:paraId="0EAF4D09" w14:textId="77777777" w:rsidR="00E24209" w:rsidRPr="00F2058B" w:rsidRDefault="00E24209" w:rsidP="00E24209">
      <w:pPr>
        <w:pStyle w:val="parrafos"/>
        <w:numPr>
          <w:ilvl w:val="0"/>
          <w:numId w:val="58"/>
        </w:numPr>
        <w:ind w:left="0" w:firstLine="0"/>
        <w:rPr>
          <w:lang w:val="es-419"/>
        </w:rPr>
      </w:pPr>
      <w:r w:rsidRPr="00F2058B">
        <w:rPr>
          <w:lang w:val="es-419"/>
        </w:rPr>
        <w:t xml:space="preserve">Según la </w:t>
      </w:r>
      <w:r w:rsidRPr="00F2058B">
        <w:rPr>
          <w:rFonts w:cs="Arial"/>
          <w:lang w:val="es-419"/>
        </w:rPr>
        <w:t>jurisprudencia</w:t>
      </w:r>
      <w:r w:rsidRPr="00F2058B">
        <w:rPr>
          <w:lang w:val="es-419"/>
        </w:rPr>
        <w:t xml:space="preserve"> del sistema interamericano, para que una conducta sea calificada como tortura deben concurrir los siguientes elementos: i) que sea un acto intencional cometido por un agente del Estado o con su autorización o aquiescencia; ii) que cause intenso sufrimiento físico o mental; y iii) que se cometa con determinado fin o propósito</w:t>
      </w:r>
      <w:r w:rsidRPr="00F2058B">
        <w:rPr>
          <w:rStyle w:val="FootnoteReference"/>
          <w:lang w:val="es-419"/>
        </w:rPr>
        <w:footnoteReference w:id="81"/>
      </w:r>
      <w:r w:rsidRPr="00F2058B">
        <w:rPr>
          <w:lang w:val="es-419"/>
        </w:rPr>
        <w:t xml:space="preserve">. </w:t>
      </w:r>
    </w:p>
    <w:p w14:paraId="762AF9C1" w14:textId="77777777" w:rsidR="00E24209" w:rsidRPr="00F2058B" w:rsidRDefault="00E24209" w:rsidP="00E24209">
      <w:pPr>
        <w:pStyle w:val="parrafos"/>
        <w:rPr>
          <w:lang w:val="es-419"/>
        </w:rPr>
      </w:pPr>
    </w:p>
    <w:p w14:paraId="25884927" w14:textId="354F31DF" w:rsidR="00B61179" w:rsidRPr="00F2058B" w:rsidRDefault="00E24209" w:rsidP="00B61179">
      <w:pPr>
        <w:pStyle w:val="parrafos"/>
        <w:numPr>
          <w:ilvl w:val="0"/>
          <w:numId w:val="58"/>
        </w:numPr>
        <w:ind w:left="0" w:firstLine="0"/>
        <w:rPr>
          <w:lang w:val="es-419"/>
        </w:rPr>
      </w:pPr>
      <w:r w:rsidRPr="00F2058B">
        <w:rPr>
          <w:lang w:val="es-419"/>
        </w:rPr>
        <w:t>Por otra parte, en relación con el derecho a la vida</w:t>
      </w:r>
      <w:r w:rsidR="004F31FF" w:rsidRPr="00F2058B">
        <w:rPr>
          <w:lang w:val="es-419"/>
        </w:rPr>
        <w:t>,</w:t>
      </w:r>
      <w:r w:rsidRPr="00F2058B">
        <w:rPr>
          <w:lang w:val="es-419"/>
        </w:rPr>
        <w:t xml:space="preserve"> la Comisión recuerda que tanto la Comisión como la Corte Interamericana han declarado la violación de este derecho respecto de personas que no fallecieron como </w:t>
      </w:r>
      <w:r w:rsidRPr="00F2058B">
        <w:rPr>
          <w:lang w:val="es-419"/>
        </w:rPr>
        <w:lastRenderedPageBreak/>
        <w:t>consecuencia de los hechos violatorios sino que sobrevivieron exclusivamente como consecuencia de un hecho fortuito</w:t>
      </w:r>
      <w:r w:rsidRPr="00F2058B">
        <w:rPr>
          <w:rStyle w:val="FootnoteReference"/>
          <w:lang w:val="es-419"/>
        </w:rPr>
        <w:footnoteReference w:id="82"/>
      </w:r>
      <w:r w:rsidRPr="00F2058B">
        <w:rPr>
          <w:lang w:val="es-419"/>
        </w:rPr>
        <w:t>. Dicha jurisprudencia es consistente con la de la Corte Europea de Derechos Humanos en el caso Acar and Others v. Turkey, en el cual guardias municipales armados detuvieron a dos vehículos, sacaron a sus 15 ocupantes, les ordenaron formarse en fila en la carretera, y les dispararon. Seis de ellos murieron y nueve fueron heridos. La Corte Europea estableció que fueron víctimas de una conducta que, por su naturaleza, representó un grave riesgo para sus vidas a pesar de que sobrevivieron al ataque</w:t>
      </w:r>
      <w:r w:rsidRPr="00F2058B">
        <w:rPr>
          <w:rStyle w:val="FootnoteReference"/>
          <w:lang w:val="es-419"/>
        </w:rPr>
        <w:footnoteReference w:id="83"/>
      </w:r>
      <w:r w:rsidRPr="00F2058B">
        <w:rPr>
          <w:lang w:val="es-419"/>
        </w:rPr>
        <w:t xml:space="preserve">. </w:t>
      </w:r>
    </w:p>
    <w:p w14:paraId="778A0EEA" w14:textId="77777777" w:rsidR="00B61179" w:rsidRPr="00F2058B" w:rsidRDefault="00B61179" w:rsidP="00B61179">
      <w:pPr>
        <w:pStyle w:val="ListParagraph"/>
        <w:rPr>
          <w:rFonts w:ascii="Cambria" w:hAnsi="Cambria"/>
          <w:lang w:val="es-419"/>
        </w:rPr>
      </w:pPr>
    </w:p>
    <w:p w14:paraId="0FC441DD" w14:textId="1606DF26" w:rsidR="00B61179" w:rsidRPr="00F2058B" w:rsidRDefault="00B61179" w:rsidP="00B61179">
      <w:pPr>
        <w:pStyle w:val="parrafos"/>
        <w:numPr>
          <w:ilvl w:val="0"/>
          <w:numId w:val="58"/>
        </w:numPr>
        <w:ind w:left="0" w:firstLine="0"/>
        <w:rPr>
          <w:lang w:val="es-419"/>
        </w:rPr>
      </w:pPr>
      <w:r w:rsidRPr="00F2058B">
        <w:rPr>
          <w:rFonts w:ascii="Cambria" w:hAnsi="Cambria"/>
          <w:lang w:val="es-419"/>
        </w:rPr>
        <w:t>En relaci</w:t>
      </w:r>
      <w:r w:rsidR="00CE10EC" w:rsidRPr="00F2058B">
        <w:rPr>
          <w:rFonts w:ascii="Cambria" w:hAnsi="Cambria"/>
          <w:lang w:val="es-419"/>
        </w:rPr>
        <w:t>ón con el deber de investigar actos de tortura, l</w:t>
      </w:r>
      <w:r w:rsidRPr="00F2058B">
        <w:rPr>
          <w:rFonts w:ascii="Cambria" w:hAnsi="Cambria"/>
          <w:lang w:val="es-419"/>
        </w:rPr>
        <w:t>a Corte Interamericana ha señalado que</w:t>
      </w:r>
      <w:r w:rsidRPr="00F2058B">
        <w:rPr>
          <w:rFonts w:ascii="Cambria" w:eastAsia="Times New Roman" w:hAnsi="Cambria"/>
          <w:lang w:val="es-419"/>
        </w:rPr>
        <w:t xml:space="preserve"> cuando existe una denuncia o razón fundada para creer que se ha cometido un acto de tortura, existe una obligación estatal de iniciar de oficio e inmediatamente una investigación efectiva que permita identificar, juzgar y sancionar a los responsables, conforme a la obligación general de garantizar a toda persona bajo su jurisdicción los derechos humanos consagrados en la Convención, establecida en el artículo 1.1. de la misma en conjunto con el derecho a la integridad personal</w:t>
      </w:r>
      <w:r w:rsidRPr="00F2058B">
        <w:rPr>
          <w:rFonts w:ascii="Cambria" w:eastAsia="Times New Roman" w:hAnsi="Cambria"/>
          <w:vertAlign w:val="superscript"/>
          <w:lang w:val="es-419"/>
        </w:rPr>
        <w:footnoteReference w:id="84"/>
      </w:r>
      <w:r w:rsidRPr="00F2058B">
        <w:rPr>
          <w:rFonts w:ascii="Cambria" w:eastAsia="Times New Roman" w:hAnsi="Cambria"/>
          <w:lang w:val="es-419"/>
        </w:rPr>
        <w:t>. Esta investigación debe ser realizada por todos los medios legales disponibles y orientados a la determinación de la verdad y la investigación, persecución, captura, enjuiciamiento y castigo de todos los responsables de los hechos</w:t>
      </w:r>
      <w:r w:rsidRPr="00F2058B">
        <w:rPr>
          <w:rStyle w:val="FootnoteReference"/>
          <w:rFonts w:ascii="Cambria" w:hAnsi="Cambria"/>
          <w:lang w:val="es-419"/>
        </w:rPr>
        <w:footnoteReference w:id="85"/>
      </w:r>
      <w:r w:rsidRPr="00F2058B">
        <w:rPr>
          <w:rFonts w:ascii="Cambria" w:eastAsia="Times New Roman" w:hAnsi="Cambria"/>
          <w:lang w:val="es-419"/>
        </w:rPr>
        <w:t>. La obligación de investigar exhaustivamente hechos de tortura adquiere mayor importancia si éstos se produjeron mientras la víctima se encontraba bajo custodia estatal</w:t>
      </w:r>
      <w:r w:rsidRPr="00F2058B">
        <w:rPr>
          <w:rStyle w:val="FootnoteReference"/>
          <w:rFonts w:ascii="Cambria" w:hAnsi="Cambria"/>
          <w:lang w:val="es-419"/>
        </w:rPr>
        <w:footnoteReference w:id="86"/>
      </w:r>
      <w:r w:rsidRPr="00F2058B">
        <w:rPr>
          <w:rFonts w:ascii="Cambria" w:eastAsia="Times New Roman" w:hAnsi="Cambria"/>
          <w:lang w:val="es-419"/>
        </w:rPr>
        <w:t>.</w:t>
      </w:r>
    </w:p>
    <w:p w14:paraId="46AA2960" w14:textId="026BC746" w:rsidR="00B61179" w:rsidRPr="00F2058B" w:rsidRDefault="00B61179" w:rsidP="00B61179">
      <w:pPr>
        <w:rPr>
          <w:lang w:val="es-419"/>
        </w:rPr>
      </w:pPr>
    </w:p>
    <w:p w14:paraId="62422FA1" w14:textId="77777777" w:rsidR="00E24209" w:rsidRPr="00F2058B" w:rsidRDefault="00E24209" w:rsidP="00E24209">
      <w:pPr>
        <w:pStyle w:val="parrafos"/>
        <w:numPr>
          <w:ilvl w:val="0"/>
          <w:numId w:val="58"/>
        </w:numPr>
        <w:ind w:left="0" w:firstLine="0"/>
        <w:rPr>
          <w:lang w:val="es-419"/>
        </w:rPr>
      </w:pPr>
      <w:r w:rsidRPr="00F2058B">
        <w:rPr>
          <w:lang w:val="es-419"/>
        </w:rPr>
        <w:t xml:space="preserve">En el presente caso, la Comisión recuerda que el 8 de octubre de 1999 Gildardo Fuentes fue secuestrado y sometido a malos tratos por paramilitares, acusado de ser guerrillero, sin embargo, logró escapar por una circunstancia fortuita luego de 48 horas. La Comisión analizará a continuación si los hechos pueden ser calificados como tortura a la luz de los elementos indicados con anterioridad. </w:t>
      </w:r>
    </w:p>
    <w:p w14:paraId="202A1187" w14:textId="77777777" w:rsidR="00E24209" w:rsidRPr="00F2058B" w:rsidRDefault="00E24209" w:rsidP="00E24209">
      <w:pPr>
        <w:pStyle w:val="ListParagraph"/>
        <w:rPr>
          <w:lang w:val="es-419"/>
        </w:rPr>
      </w:pPr>
    </w:p>
    <w:p w14:paraId="37D50506" w14:textId="49F010AC" w:rsidR="00E24209" w:rsidRPr="00F2058B" w:rsidRDefault="00E24209" w:rsidP="003820C8">
      <w:pPr>
        <w:pStyle w:val="parrafos"/>
        <w:numPr>
          <w:ilvl w:val="0"/>
          <w:numId w:val="58"/>
        </w:numPr>
        <w:ind w:left="0" w:firstLine="0"/>
        <w:rPr>
          <w:lang w:val="es-419"/>
        </w:rPr>
      </w:pPr>
      <w:r w:rsidRPr="00F2058B">
        <w:rPr>
          <w:lang w:val="es-419"/>
        </w:rPr>
        <w:t xml:space="preserve">En cuanto al primero elemento, la Comisión observa que no existe controversia respecto a que no fueron agentes estatales quienes detuvieron e infligieron malos tratos a la presunta víctima, sino miembros de grupos paramilitares, por lo que corresponde analizar si dichos grupos al margen de </w:t>
      </w:r>
      <w:r w:rsidR="000D2DCD" w:rsidRPr="00F2058B">
        <w:rPr>
          <w:lang w:val="es-419"/>
        </w:rPr>
        <w:t>la ley ac</w:t>
      </w:r>
      <w:r w:rsidRPr="00F2058B">
        <w:rPr>
          <w:lang w:val="es-419"/>
        </w:rPr>
        <w:t>t</w:t>
      </w:r>
      <w:r w:rsidR="000D2DCD" w:rsidRPr="00F2058B">
        <w:rPr>
          <w:lang w:val="es-419"/>
        </w:rPr>
        <w:t>u</w:t>
      </w:r>
      <w:r w:rsidRPr="00F2058B">
        <w:rPr>
          <w:lang w:val="es-419"/>
        </w:rPr>
        <w:t>aban con la autorización o aquiescencia de agentes estatales. Sobre el particular, la Comisión destaca en particular el contexto general de paramilitarismo ya acreditado en Colombia</w:t>
      </w:r>
      <w:r w:rsidR="002A7B81" w:rsidRPr="00F2058B">
        <w:rPr>
          <w:lang w:val="es-419"/>
        </w:rPr>
        <w:t>,</w:t>
      </w:r>
      <w:r w:rsidRPr="00F2058B">
        <w:rPr>
          <w:lang w:val="es-419"/>
        </w:rPr>
        <w:t xml:space="preserve"> </w:t>
      </w:r>
      <w:r w:rsidRPr="00F2058B">
        <w:rPr>
          <w:rFonts w:ascii="Cambria" w:hAnsi="Cambria"/>
          <w:lang w:val="es-419"/>
        </w:rPr>
        <w:t>según el cual en distintos momentos históricos han existido vínculos entre grupos paramilitares y miembros de la fuerza pública a través de acciones de apoyo, colaboración y coordinación, o a través de omisiones directas de la fuerza pública. Por otra parte, la CIDH subraya que específicamente la Corte Interamericana ya se ha referido a la relación entre paramilitarismo y las fuerzas públicas en la región del Magdalena Medio, donde ocurrieron los hechos del presente caso. En particular, ha acreditado que, en dicha zona, la relación de las autodefensas con la fuerza pública ha estado marcada por una razón funcional de acuerdo a la cual los paramilitares hacían lo que la fuerza pública no podía hacer, y una división del trabajo que se traduc</w:t>
      </w:r>
      <w:r w:rsidR="003B174F">
        <w:rPr>
          <w:rFonts w:ascii="Cambria" w:hAnsi="Cambria"/>
          <w:lang w:val="es-419"/>
        </w:rPr>
        <w:t>í</w:t>
      </w:r>
      <w:r w:rsidRPr="00F2058B">
        <w:rPr>
          <w:rFonts w:ascii="Cambria" w:hAnsi="Cambria"/>
          <w:lang w:val="es-419"/>
        </w:rPr>
        <w:t xml:space="preserve">a en colaboración con miembros de la policía incluyendo acciones conjuntas e intercambio de información. </w:t>
      </w:r>
    </w:p>
    <w:p w14:paraId="2F3CF41F" w14:textId="77777777" w:rsidR="00F53F51" w:rsidRPr="00F2058B" w:rsidRDefault="00F53F51" w:rsidP="00F53F51">
      <w:pPr>
        <w:pStyle w:val="ListParagraph"/>
        <w:rPr>
          <w:lang w:val="es-419"/>
        </w:rPr>
      </w:pPr>
    </w:p>
    <w:p w14:paraId="33182A3E" w14:textId="6C143E7F" w:rsidR="000D2DCD" w:rsidRPr="00F2058B" w:rsidRDefault="00F53F51" w:rsidP="00F512B3">
      <w:pPr>
        <w:pStyle w:val="parrafos"/>
        <w:numPr>
          <w:ilvl w:val="0"/>
          <w:numId w:val="58"/>
        </w:numPr>
        <w:ind w:left="0" w:firstLine="0"/>
        <w:rPr>
          <w:lang w:val="es-419"/>
        </w:rPr>
      </w:pPr>
      <w:r w:rsidRPr="00F2058B">
        <w:rPr>
          <w:lang w:val="es-419"/>
        </w:rPr>
        <w:t>Además de dicho contexto general</w:t>
      </w:r>
      <w:r w:rsidR="00B71FA6" w:rsidRPr="00F2058B">
        <w:rPr>
          <w:lang w:val="es-419"/>
        </w:rPr>
        <w:t>,</w:t>
      </w:r>
      <w:r w:rsidRPr="00F2058B">
        <w:rPr>
          <w:lang w:val="es-419"/>
        </w:rPr>
        <w:t xml:space="preserve"> la Comisi</w:t>
      </w:r>
      <w:r w:rsidR="00B71FA6" w:rsidRPr="00F2058B">
        <w:rPr>
          <w:lang w:val="es-419"/>
        </w:rPr>
        <w:t xml:space="preserve">ón subraya que el </w:t>
      </w:r>
      <w:r w:rsidR="003B174F" w:rsidRPr="00F2058B">
        <w:rPr>
          <w:lang w:val="es-419"/>
        </w:rPr>
        <w:t>día</w:t>
      </w:r>
      <w:r w:rsidR="00B71FA6" w:rsidRPr="00F2058B">
        <w:rPr>
          <w:lang w:val="es-419"/>
        </w:rPr>
        <w:t xml:space="preserve"> de los hechos, la presunta víctima fue primero detenida en </w:t>
      </w:r>
      <w:r w:rsidR="00F512B3" w:rsidRPr="00F2058B">
        <w:rPr>
          <w:lang w:val="es-419"/>
        </w:rPr>
        <w:t xml:space="preserve">un </w:t>
      </w:r>
      <w:r w:rsidR="00B71FA6" w:rsidRPr="00F2058B">
        <w:rPr>
          <w:lang w:val="es-419"/>
        </w:rPr>
        <w:t xml:space="preserve">retén del Ejército Nacional, </w:t>
      </w:r>
      <w:r w:rsidR="00F512B3" w:rsidRPr="00F2058B">
        <w:rPr>
          <w:lang w:val="es-419"/>
        </w:rPr>
        <w:t>“</w:t>
      </w:r>
      <w:r w:rsidR="00B71FA6" w:rsidRPr="00F2058B">
        <w:rPr>
          <w:lang w:val="es-419"/>
        </w:rPr>
        <w:t xml:space="preserve">saliendo de San Pablo, </w:t>
      </w:r>
      <w:r w:rsidR="00F512B3" w:rsidRPr="00F2058B">
        <w:rPr>
          <w:lang w:val="es-419"/>
        </w:rPr>
        <w:t>en la virgen”</w:t>
      </w:r>
      <w:r w:rsidR="00F512B3" w:rsidRPr="00F2058B">
        <w:rPr>
          <w:rStyle w:val="FootnoteReference"/>
          <w:rFonts w:ascii="Cambria" w:hAnsi="Cambria"/>
          <w:lang w:val="es-419"/>
        </w:rPr>
        <w:t xml:space="preserve"> </w:t>
      </w:r>
      <w:r w:rsidR="00F512B3" w:rsidRPr="00F2058B">
        <w:rPr>
          <w:rStyle w:val="FootnoteReference"/>
          <w:rFonts w:ascii="Cambria" w:hAnsi="Cambria"/>
          <w:lang w:val="es-419"/>
        </w:rPr>
        <w:footnoteReference w:id="87"/>
      </w:r>
      <w:r w:rsidR="00F512B3" w:rsidRPr="00F2058B">
        <w:rPr>
          <w:lang w:val="es-419"/>
        </w:rPr>
        <w:t xml:space="preserve">, </w:t>
      </w:r>
      <w:r w:rsidR="00B71FA6" w:rsidRPr="00F2058B">
        <w:rPr>
          <w:lang w:val="es-419"/>
        </w:rPr>
        <w:t xml:space="preserve">donde le fueron solicitados documentos y después de exhibirlos le permitieron continuar el paso. </w:t>
      </w:r>
      <w:r w:rsidR="002F5DFA" w:rsidRPr="00F2058B">
        <w:rPr>
          <w:lang w:val="es-419"/>
        </w:rPr>
        <w:t>M</w:t>
      </w:r>
      <w:r w:rsidR="00F512B3" w:rsidRPr="00F2058B">
        <w:rPr>
          <w:lang w:val="es-419"/>
        </w:rPr>
        <w:t>ás adelante, “antes de los caguises”</w:t>
      </w:r>
      <w:r w:rsidR="00F512B3" w:rsidRPr="00F2058B">
        <w:rPr>
          <w:rStyle w:val="FootnoteReference"/>
          <w:rFonts w:ascii="Cambria" w:hAnsi="Cambria"/>
          <w:lang w:val="es-419"/>
        </w:rPr>
        <w:t xml:space="preserve"> </w:t>
      </w:r>
      <w:r w:rsidR="00F512B3" w:rsidRPr="00F2058B">
        <w:rPr>
          <w:rStyle w:val="FootnoteReference"/>
          <w:rFonts w:ascii="Cambria" w:hAnsi="Cambria"/>
          <w:lang w:val="es-419"/>
        </w:rPr>
        <w:footnoteReference w:id="88"/>
      </w:r>
      <w:r w:rsidR="00F512B3" w:rsidRPr="00F2058B">
        <w:rPr>
          <w:lang w:val="es-419"/>
        </w:rPr>
        <w:t xml:space="preserve"> fue detenida en un retén de paramilitares donde lo subieron a una camioneta y volvieron por la ruta </w:t>
      </w:r>
      <w:r w:rsidR="00F512B3" w:rsidRPr="00F2058B">
        <w:rPr>
          <w:lang w:val="es-419"/>
        </w:rPr>
        <w:lastRenderedPageBreak/>
        <w:t>que habían recorrido, pasando de nuevo enfrente del retén del ejército</w:t>
      </w:r>
      <w:r w:rsidR="000D2DCD" w:rsidRPr="00F2058B">
        <w:rPr>
          <w:lang w:val="es-419"/>
        </w:rPr>
        <w:t xml:space="preserve"> y conduciendo luego a la presunta víctima a una casa abandonada y luego a la orilla de un rio donde fue atacada a machetazos.   </w:t>
      </w:r>
    </w:p>
    <w:p w14:paraId="283667E6" w14:textId="77777777" w:rsidR="000D2DCD" w:rsidRPr="00F2058B" w:rsidRDefault="000D2DCD" w:rsidP="000D2DCD">
      <w:pPr>
        <w:pStyle w:val="ListParagraph"/>
        <w:rPr>
          <w:lang w:val="es-419"/>
        </w:rPr>
      </w:pPr>
    </w:p>
    <w:p w14:paraId="63052822" w14:textId="21E5A5A5" w:rsidR="000D2DCD" w:rsidRPr="00F2058B" w:rsidRDefault="00F512B3" w:rsidP="000D2DCD">
      <w:pPr>
        <w:pStyle w:val="parrafos"/>
        <w:numPr>
          <w:ilvl w:val="0"/>
          <w:numId w:val="58"/>
        </w:numPr>
        <w:ind w:left="0" w:firstLine="0"/>
        <w:rPr>
          <w:lang w:val="es-419"/>
        </w:rPr>
      </w:pPr>
      <w:r w:rsidRPr="00F2058B">
        <w:rPr>
          <w:lang w:val="es-419"/>
        </w:rPr>
        <w:t xml:space="preserve">La Comisión estima que la cercanía geográfica entre los dos retenes, </w:t>
      </w:r>
      <w:r w:rsidR="004F31FF" w:rsidRPr="00F2058B">
        <w:rPr>
          <w:lang w:val="es-419"/>
        </w:rPr>
        <w:t>así como la posibilidad de movilización de los</w:t>
      </w:r>
      <w:r w:rsidRPr="00F2058B">
        <w:rPr>
          <w:lang w:val="es-419"/>
        </w:rPr>
        <w:t xml:space="preserve"> grupos paramilitares en un vehículo a la vista del ejército, con la presunta víctima a bordo, comprueba al menos que existía un contexto de </w:t>
      </w:r>
      <w:r w:rsidR="00925C49" w:rsidRPr="00F2058B">
        <w:rPr>
          <w:lang w:val="es-419"/>
        </w:rPr>
        <w:t>aquiescencia</w:t>
      </w:r>
      <w:r w:rsidRPr="00F2058B">
        <w:rPr>
          <w:lang w:val="es-419"/>
        </w:rPr>
        <w:t xml:space="preserve"> entre grupos paramilitares y ejército</w:t>
      </w:r>
      <w:r w:rsidR="000D2DCD" w:rsidRPr="00F2058B">
        <w:rPr>
          <w:lang w:val="es-419"/>
        </w:rPr>
        <w:t>,</w:t>
      </w:r>
      <w:r w:rsidRPr="00F2058B">
        <w:rPr>
          <w:lang w:val="es-419"/>
        </w:rPr>
        <w:t xml:space="preserve"> y que tuvo aplicación en el pre</w:t>
      </w:r>
      <w:r w:rsidR="00925C49" w:rsidRPr="00F2058B">
        <w:rPr>
          <w:lang w:val="es-419"/>
        </w:rPr>
        <w:t>sente caso</w:t>
      </w:r>
      <w:r w:rsidR="000D2DCD" w:rsidRPr="00F2058B">
        <w:rPr>
          <w:lang w:val="es-419"/>
        </w:rPr>
        <w:t xml:space="preserve">. </w:t>
      </w:r>
    </w:p>
    <w:p w14:paraId="1AE445D5" w14:textId="77777777" w:rsidR="000D2DCD" w:rsidRPr="00F2058B" w:rsidRDefault="000D2DCD" w:rsidP="000D2DCD">
      <w:pPr>
        <w:pStyle w:val="ListParagraph"/>
        <w:rPr>
          <w:lang w:val="es-419"/>
        </w:rPr>
      </w:pPr>
    </w:p>
    <w:p w14:paraId="09C26B8C" w14:textId="5C2FA61E" w:rsidR="00DB4103" w:rsidRPr="00F2058B" w:rsidRDefault="000D2DCD" w:rsidP="00B13BC8">
      <w:pPr>
        <w:pStyle w:val="parrafos"/>
        <w:numPr>
          <w:ilvl w:val="0"/>
          <w:numId w:val="58"/>
        </w:numPr>
        <w:ind w:left="0" w:firstLine="0"/>
        <w:rPr>
          <w:lang w:val="es-419"/>
        </w:rPr>
      </w:pPr>
      <w:r w:rsidRPr="00F2058B">
        <w:rPr>
          <w:lang w:val="es-419"/>
        </w:rPr>
        <w:t xml:space="preserve">Por otra parte, en cuanto a la intensidad de los malos tratos </w:t>
      </w:r>
      <w:r w:rsidR="003B174F" w:rsidRPr="00F2058B">
        <w:rPr>
          <w:lang w:val="es-419"/>
        </w:rPr>
        <w:t>infligidos</w:t>
      </w:r>
      <w:r w:rsidRPr="00F2058B">
        <w:rPr>
          <w:lang w:val="es-419"/>
        </w:rPr>
        <w:t>, la Comisión recuerda que</w:t>
      </w:r>
      <w:r w:rsidR="00DB4103" w:rsidRPr="00F2058B">
        <w:rPr>
          <w:lang w:val="es-419"/>
        </w:rPr>
        <w:t>,</w:t>
      </w:r>
      <w:r w:rsidRPr="00F2058B">
        <w:rPr>
          <w:lang w:val="es-419"/>
        </w:rPr>
        <w:t xml:space="preserve"> según el propio relato de la presunta víctima, luego de ser </w:t>
      </w:r>
      <w:r w:rsidR="00442035" w:rsidRPr="00F2058B">
        <w:rPr>
          <w:lang w:val="es-419"/>
        </w:rPr>
        <w:t>llevado a la orilla de un rio</w:t>
      </w:r>
      <w:r w:rsidR="002F5DFA" w:rsidRPr="00F2058B">
        <w:rPr>
          <w:lang w:val="es-419"/>
        </w:rPr>
        <w:t xml:space="preserve"> l</w:t>
      </w:r>
      <w:r w:rsidRPr="00F2058B">
        <w:rPr>
          <w:lang w:val="es-419"/>
        </w:rPr>
        <w:t>e</w:t>
      </w:r>
      <w:r w:rsidR="002F5DFA" w:rsidRPr="00F2058B">
        <w:rPr>
          <w:lang w:val="es-419"/>
        </w:rPr>
        <w:t xml:space="preserve"> </w:t>
      </w:r>
      <w:r w:rsidRPr="00F2058B">
        <w:rPr>
          <w:lang w:val="es-419"/>
        </w:rPr>
        <w:t>pegaron un machet</w:t>
      </w:r>
      <w:r w:rsidR="002F5DFA" w:rsidRPr="00F2058B">
        <w:rPr>
          <w:lang w:val="es-419"/>
        </w:rPr>
        <w:t>az</w:t>
      </w:r>
      <w:r w:rsidRPr="00F2058B">
        <w:rPr>
          <w:lang w:val="es-419"/>
        </w:rPr>
        <w:t xml:space="preserve">o en la nuca, pero logró pararse y pedir que no quería morir </w:t>
      </w:r>
      <w:r w:rsidR="003B174F" w:rsidRPr="00F2058B">
        <w:rPr>
          <w:lang w:val="es-419"/>
        </w:rPr>
        <w:t>así</w:t>
      </w:r>
      <w:r w:rsidRPr="00F2058B">
        <w:rPr>
          <w:lang w:val="es-419"/>
        </w:rPr>
        <w:t xml:space="preserve"> y que mejor le dispararan. Sin embargo, uno de los paramilitares dio la orden que lo degollaran, pero logró forcejear con </w:t>
      </w:r>
      <w:r w:rsidR="003B174F" w:rsidRPr="00F2058B">
        <w:rPr>
          <w:lang w:val="es-419"/>
        </w:rPr>
        <w:t>él</w:t>
      </w:r>
      <w:r w:rsidRPr="00F2058B">
        <w:rPr>
          <w:lang w:val="es-419"/>
        </w:rPr>
        <w:t xml:space="preserve">, y finalmente escapar al lanzarse al río. La Comisión estima que un ataque a machetazos </w:t>
      </w:r>
      <w:r w:rsidR="00DB4103" w:rsidRPr="00F2058B">
        <w:rPr>
          <w:lang w:val="es-419"/>
        </w:rPr>
        <w:t xml:space="preserve">causa intenso sufrimiento físico y mental, y de allí que la presunta víctima pidiera ser asesinada con una bala, en lugar de seguir siendo atacada con el machete. Finalmente, en cuanto al tercer elemento de la tortura, según se desprende del testimonio de la presunta víctima, esta fue interrogada y acusada de ser guerrillera, </w:t>
      </w:r>
      <w:r w:rsidR="00482F02" w:rsidRPr="00F2058B">
        <w:rPr>
          <w:lang w:val="es-419"/>
        </w:rPr>
        <w:t>lo cual</w:t>
      </w:r>
      <w:r w:rsidR="00DB4103" w:rsidRPr="00F2058B">
        <w:rPr>
          <w:lang w:val="es-419"/>
        </w:rPr>
        <w:t xml:space="preserve"> demuestra que el fin o propósito de las torturas se relacionaba con tal </w:t>
      </w:r>
      <w:r w:rsidR="00482F02" w:rsidRPr="00F2058B">
        <w:rPr>
          <w:lang w:val="es-419"/>
        </w:rPr>
        <w:t>aspecto.</w:t>
      </w:r>
      <w:r w:rsidR="00DB4103" w:rsidRPr="00F2058B">
        <w:rPr>
          <w:lang w:val="es-419"/>
        </w:rPr>
        <w:t xml:space="preserve">  </w:t>
      </w:r>
    </w:p>
    <w:p w14:paraId="6ED6E916" w14:textId="77777777" w:rsidR="00DB4103" w:rsidRPr="00F2058B" w:rsidRDefault="00DB4103" w:rsidP="00DB4103">
      <w:pPr>
        <w:pStyle w:val="ListParagraph"/>
        <w:rPr>
          <w:lang w:val="es-419"/>
        </w:rPr>
      </w:pPr>
    </w:p>
    <w:p w14:paraId="7A0EDAF6" w14:textId="7E242864" w:rsidR="003820C8" w:rsidRPr="00F2058B" w:rsidRDefault="00DB4103" w:rsidP="003820C8">
      <w:pPr>
        <w:pStyle w:val="parrafos"/>
        <w:numPr>
          <w:ilvl w:val="0"/>
          <w:numId w:val="58"/>
        </w:numPr>
        <w:ind w:left="0" w:firstLine="0"/>
        <w:rPr>
          <w:rFonts w:ascii="Cambria" w:hAnsi="Cambria"/>
          <w:lang w:val="es-419"/>
        </w:rPr>
      </w:pPr>
      <w:r w:rsidRPr="00F2058B">
        <w:rPr>
          <w:lang w:val="es-419"/>
        </w:rPr>
        <w:t xml:space="preserve">En vista de las anteriores consideraciones, </w:t>
      </w:r>
      <w:r w:rsidR="00482F02" w:rsidRPr="00F2058B">
        <w:rPr>
          <w:lang w:val="es-419"/>
        </w:rPr>
        <w:t xml:space="preserve">la Comisión estima que </w:t>
      </w:r>
      <w:r w:rsidR="003820C8" w:rsidRPr="00F2058B">
        <w:rPr>
          <w:lang w:val="es-419"/>
        </w:rPr>
        <w:t>Gildardo Fuentes fue víctima de tortura por parte de grupos al margen de la ley con la aquiescencia de agentes estatales. En consecuencia, la Comisión considera que el Estado colombiano es responsable por la violación de los art</w:t>
      </w:r>
      <w:r w:rsidR="00B13BC8" w:rsidRPr="00F2058B">
        <w:rPr>
          <w:lang w:val="es-419"/>
        </w:rPr>
        <w:t>ículos 5.1,</w:t>
      </w:r>
      <w:r w:rsidR="003820C8" w:rsidRPr="00F2058B">
        <w:rPr>
          <w:lang w:val="es-419"/>
        </w:rPr>
        <w:t xml:space="preserve"> 5.2</w:t>
      </w:r>
      <w:r w:rsidR="00B13BC8" w:rsidRPr="00F2058B">
        <w:rPr>
          <w:lang w:val="es-419"/>
        </w:rPr>
        <w:t>, 7.1</w:t>
      </w:r>
      <w:r w:rsidR="003820C8" w:rsidRPr="00F2058B">
        <w:rPr>
          <w:lang w:val="es-419"/>
        </w:rPr>
        <w:t xml:space="preserve"> de la Convención Americana en relación con el artículo 1.1 del mismo instrumento y los artículos </w:t>
      </w:r>
      <w:r w:rsidR="003820C8" w:rsidRPr="00F2058B">
        <w:rPr>
          <w:rFonts w:ascii="Cambria" w:hAnsi="Cambria"/>
          <w:lang w:val="es-419"/>
        </w:rPr>
        <w:t>1 y 6 de la CIPST. Igualmente, tomando en cuenta que la supervivencia de la presunta víctima de dichas torturas fue meramente fortuita, la Comisión estima que el Estado también vulneró el derecho a la vida previsto en el artículo 4.1 de la Convención Americana.</w:t>
      </w:r>
    </w:p>
    <w:p w14:paraId="166DA32F" w14:textId="77777777" w:rsidR="003820C8" w:rsidRPr="00F2058B" w:rsidRDefault="003820C8" w:rsidP="003820C8">
      <w:pPr>
        <w:pStyle w:val="ListParagraph"/>
        <w:rPr>
          <w:rFonts w:ascii="Cambria" w:hAnsi="Cambria"/>
          <w:lang w:val="es-419"/>
        </w:rPr>
      </w:pPr>
    </w:p>
    <w:p w14:paraId="2B488BD6" w14:textId="754A32D3" w:rsidR="00910A5C" w:rsidRPr="00F2058B" w:rsidRDefault="003820C8" w:rsidP="00E24209">
      <w:pPr>
        <w:pStyle w:val="parrafos"/>
        <w:numPr>
          <w:ilvl w:val="0"/>
          <w:numId w:val="58"/>
        </w:numPr>
        <w:ind w:left="0" w:firstLine="0"/>
        <w:rPr>
          <w:rFonts w:ascii="Cambria" w:hAnsi="Cambria"/>
          <w:lang w:val="es-419"/>
        </w:rPr>
      </w:pPr>
      <w:r w:rsidRPr="00F2058B">
        <w:rPr>
          <w:rFonts w:ascii="Cambria" w:hAnsi="Cambria"/>
          <w:lang w:val="es-419"/>
        </w:rPr>
        <w:t xml:space="preserve">Por otra parte, </w:t>
      </w:r>
      <w:r w:rsidR="00B13BC8" w:rsidRPr="00F2058B">
        <w:rPr>
          <w:rFonts w:ascii="Cambria" w:hAnsi="Cambria"/>
          <w:lang w:val="es-419"/>
        </w:rPr>
        <w:t>la Comisión observa que, tras ocurridos los hechos, la presunta víctima presentó una denuncia y solicitó medidas de protección, sin embargo, no consta que este haya iniciado y concluido una investigación sobre los mismos, pese a que</w:t>
      </w:r>
      <w:r w:rsidR="00910A5C" w:rsidRPr="00F2058B">
        <w:rPr>
          <w:rFonts w:ascii="Cambria" w:hAnsi="Cambria"/>
          <w:lang w:val="es-419"/>
        </w:rPr>
        <w:t xml:space="preserve">, tratándose de alegatos de tortura, </w:t>
      </w:r>
      <w:r w:rsidR="00B13BC8" w:rsidRPr="00F2058B">
        <w:rPr>
          <w:rFonts w:ascii="Cambria" w:hAnsi="Cambria"/>
          <w:lang w:val="es-419"/>
        </w:rPr>
        <w:t xml:space="preserve">tras tomar conocimiento debía iniciar una investigación de oficio. En consecuencia, la CIDH concluye que </w:t>
      </w:r>
      <w:r w:rsidR="00B13BC8" w:rsidRPr="00F2058B">
        <w:rPr>
          <w:rFonts w:ascii="Cambria" w:eastAsia="Times New Roman" w:hAnsi="Cambria"/>
          <w:lang w:val="es-419"/>
        </w:rPr>
        <w:t xml:space="preserve">el Estado colombiano violó los derechos consagrados en los artículos 8.1 y 25.1 de la Convención Americana en relación con las obligaciones establecidas en el artículo 1.1 del mismo instrumento, en perjuicio de </w:t>
      </w:r>
      <w:r w:rsidR="00B13BC8" w:rsidRPr="00F2058B">
        <w:rPr>
          <w:rFonts w:ascii="Cambria" w:hAnsi="Cambria"/>
          <w:lang w:val="es-419"/>
        </w:rPr>
        <w:t>Gildardo Fuentes</w:t>
      </w:r>
      <w:r w:rsidR="00B13BC8" w:rsidRPr="00F2058B">
        <w:rPr>
          <w:rFonts w:ascii="Cambria" w:eastAsia="Times New Roman" w:hAnsi="Cambria"/>
          <w:lang w:val="es-419"/>
        </w:rPr>
        <w:t>. Asimismo, la CIDH concluye que el Estado incumplió las obligaciones establecidas en los artículos 1, 6, 8 y 10 de la CIPST.</w:t>
      </w:r>
    </w:p>
    <w:p w14:paraId="1A0DBDAD" w14:textId="448DF455" w:rsidR="00910A5C" w:rsidRPr="00F2058B" w:rsidRDefault="00910A5C" w:rsidP="00E24209">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highlight w:val="yellow"/>
          <w:lang w:val="es-419"/>
        </w:rPr>
      </w:pPr>
    </w:p>
    <w:p w14:paraId="4E706AFC" w14:textId="4C0973D8" w:rsidR="00453BAE" w:rsidRPr="00F2058B" w:rsidRDefault="00453BAE" w:rsidP="00F06940">
      <w:pPr>
        <w:pStyle w:val="Heading2"/>
        <w:numPr>
          <w:ilvl w:val="0"/>
          <w:numId w:val="63"/>
        </w:numPr>
        <w:pBdr>
          <w:top w:val="nil"/>
          <w:left w:val="nil"/>
          <w:bottom w:val="nil"/>
          <w:right w:val="nil"/>
          <w:between w:val="nil"/>
          <w:bar w:val="nil"/>
        </w:pBdr>
        <w:tabs>
          <w:tab w:val="left" w:pos="360"/>
        </w:tabs>
        <w:ind w:left="0" w:firstLine="0"/>
        <w:rPr>
          <w:i/>
          <w:lang w:val="es-419"/>
        </w:rPr>
      </w:pPr>
      <w:bookmarkStart w:id="31" w:name="_Toc216359322"/>
      <w:r w:rsidRPr="00F2058B">
        <w:rPr>
          <w:lang w:val="es-419"/>
        </w:rPr>
        <w:t>Derechos al reconocimiento de la personalidad jurídica, a la libertad personal, a la integridad personal y a la vida en relación con la obligación de respet</w:t>
      </w:r>
      <w:r w:rsidR="00401324" w:rsidRPr="00F2058B">
        <w:rPr>
          <w:lang w:val="es-419"/>
        </w:rPr>
        <w:t xml:space="preserve">ar y garantizar los derechos </w:t>
      </w:r>
      <w:r w:rsidRPr="00F2058B">
        <w:rPr>
          <w:rStyle w:val="FootnoteReference"/>
          <w:lang w:val="es-419"/>
        </w:rPr>
        <w:footnoteReference w:id="89"/>
      </w:r>
      <w:r w:rsidRPr="00F2058B">
        <w:rPr>
          <w:lang w:val="es-419"/>
        </w:rPr>
        <w:t xml:space="preserve"> y </w:t>
      </w:r>
      <w:r w:rsidR="00401324" w:rsidRPr="00F2058B">
        <w:rPr>
          <w:lang w:val="es-419"/>
        </w:rPr>
        <w:t xml:space="preserve">el </w:t>
      </w:r>
      <w:r w:rsidRPr="00F2058B">
        <w:rPr>
          <w:lang w:val="es-419"/>
        </w:rPr>
        <w:t xml:space="preserve">artículo I a) </w:t>
      </w:r>
      <w:r w:rsidRPr="00F2058B">
        <w:rPr>
          <w:rStyle w:val="FootnoteReference"/>
          <w:lang w:val="es-419"/>
        </w:rPr>
        <w:footnoteReference w:id="90"/>
      </w:r>
      <w:r w:rsidRPr="00F2058B">
        <w:rPr>
          <w:lang w:val="es-419"/>
        </w:rPr>
        <w:t xml:space="preserve"> de la CIDFP</w:t>
      </w:r>
      <w:bookmarkEnd w:id="28"/>
      <w:r w:rsidR="00401324" w:rsidRPr="00F2058B">
        <w:rPr>
          <w:lang w:val="es-419"/>
        </w:rPr>
        <w:t xml:space="preserve"> respecto a las desapariciones de Edgar Quiroga y Gildardo Fuentes</w:t>
      </w:r>
      <w:bookmarkEnd w:id="31"/>
      <w:r w:rsidR="00401324" w:rsidRPr="00F2058B">
        <w:rPr>
          <w:lang w:val="es-419"/>
        </w:rPr>
        <w:t xml:space="preserve"> </w:t>
      </w:r>
    </w:p>
    <w:p w14:paraId="49C517BE" w14:textId="77777777" w:rsidR="00453BAE" w:rsidRPr="00F2058B" w:rsidRDefault="00453BAE" w:rsidP="00453BAE">
      <w:pPr>
        <w:rPr>
          <w:lang w:val="es-419"/>
        </w:rPr>
      </w:pPr>
    </w:p>
    <w:p w14:paraId="11BA280B" w14:textId="77777777" w:rsidR="00453BAE" w:rsidRPr="00F2058B" w:rsidRDefault="00453BAE" w:rsidP="00F06940">
      <w:pPr>
        <w:pStyle w:val="parrafos"/>
        <w:numPr>
          <w:ilvl w:val="0"/>
          <w:numId w:val="58"/>
        </w:numPr>
        <w:ind w:left="0" w:firstLine="0"/>
        <w:rPr>
          <w:rFonts w:ascii="Cambria" w:hAnsi="Cambria"/>
          <w:lang w:val="es-419"/>
        </w:rPr>
      </w:pPr>
      <w:r w:rsidRPr="00F2058B">
        <w:rPr>
          <w:rFonts w:ascii="Cambria" w:hAnsi="Cambria"/>
          <w:lang w:val="es-419"/>
        </w:rPr>
        <w:t xml:space="preserve">La jurisprudencia constante del Sistema Interamericano en casos de desaparición forzada de personas, ha indicado que constituye un hecho ilícito que genera una violación múltiple y continuada de varios derechos </w:t>
      </w:r>
      <w:r w:rsidRPr="00F2058B">
        <w:rPr>
          <w:rFonts w:ascii="Cambria" w:hAnsi="Cambria" w:cs="Calibri"/>
          <w:color w:val="000000"/>
          <w:lang w:val="es-419"/>
        </w:rPr>
        <w:t>protegidos</w:t>
      </w:r>
      <w:r w:rsidRPr="00F2058B">
        <w:rPr>
          <w:rFonts w:ascii="Cambria" w:hAnsi="Cambria"/>
          <w:lang w:val="es-419"/>
        </w:rPr>
        <w:t xml:space="preserve"> por la Convención Americana y coloca a las víctimas en un estado de completa indefensión, acarreando otras violaciones conexas</w:t>
      </w:r>
      <w:r w:rsidRPr="00F2058B">
        <w:rPr>
          <w:rFonts w:ascii="Cambria" w:hAnsi="Cambria"/>
          <w:vertAlign w:val="superscript"/>
          <w:lang w:val="es-419"/>
        </w:rPr>
        <w:footnoteReference w:id="91"/>
      </w:r>
      <w:r w:rsidRPr="00F2058B">
        <w:rPr>
          <w:rFonts w:ascii="Cambria" w:hAnsi="Cambria"/>
          <w:lang w:val="es-419"/>
        </w:rPr>
        <w:t xml:space="preserve">. </w:t>
      </w:r>
    </w:p>
    <w:p w14:paraId="008D550F" w14:textId="77777777" w:rsidR="00453BAE" w:rsidRPr="00F2058B" w:rsidRDefault="00453BAE" w:rsidP="00453BAE">
      <w:pPr>
        <w:pStyle w:val="parrafos"/>
        <w:rPr>
          <w:rFonts w:ascii="Cambria" w:hAnsi="Cambria"/>
          <w:lang w:val="es-419"/>
        </w:rPr>
      </w:pPr>
    </w:p>
    <w:p w14:paraId="1805EF38" w14:textId="40F53338" w:rsidR="00453BAE" w:rsidRPr="00F2058B" w:rsidRDefault="00453BAE" w:rsidP="00F06940">
      <w:pPr>
        <w:pStyle w:val="parrafos"/>
        <w:numPr>
          <w:ilvl w:val="0"/>
          <w:numId w:val="58"/>
        </w:numPr>
        <w:ind w:left="0" w:firstLine="0"/>
        <w:rPr>
          <w:rFonts w:ascii="Cambria" w:hAnsi="Cambria"/>
          <w:lang w:val="es-419"/>
        </w:rPr>
      </w:pPr>
      <w:r w:rsidRPr="00F2058B">
        <w:rPr>
          <w:rFonts w:ascii="Cambria" w:hAnsi="Cambria"/>
          <w:lang w:val="es-419"/>
        </w:rPr>
        <w:t xml:space="preserve">De acuerdo con su jurisprudencia consolidada, la Comisión considera que la desaparición forzada es una violación de derechos humanos compleja que continúa en el tiempo hasta tanto el paradero de la víctima o de </w:t>
      </w:r>
      <w:r w:rsidRPr="00F2058B">
        <w:rPr>
          <w:rFonts w:ascii="Cambria" w:eastAsia="Times New Roman" w:hAnsi="Cambria"/>
          <w:spacing w:val="-3"/>
          <w:lang w:val="es-419"/>
        </w:rPr>
        <w:t>sus</w:t>
      </w:r>
      <w:r w:rsidRPr="00F2058B">
        <w:rPr>
          <w:rFonts w:ascii="Cambria" w:hAnsi="Cambria"/>
          <w:lang w:val="es-419"/>
        </w:rPr>
        <w:t xml:space="preserve"> restos continúa desconocido. La desaparición como tal sólo cesa cuando aparece la víctima o sus restos son ubicados</w:t>
      </w:r>
      <w:r w:rsidRPr="00F2058B">
        <w:rPr>
          <w:rStyle w:val="FootnoteReference"/>
          <w:rFonts w:ascii="Cambria" w:hAnsi="Cambria"/>
          <w:lang w:val="es-419"/>
        </w:rPr>
        <w:footnoteReference w:id="92"/>
      </w:r>
      <w:r w:rsidRPr="00F2058B">
        <w:rPr>
          <w:rFonts w:ascii="Cambria" w:hAnsi="Cambria"/>
          <w:lang w:val="es-419"/>
        </w:rPr>
        <w:t xml:space="preserve">, </w:t>
      </w:r>
      <w:r w:rsidRPr="00F2058B">
        <w:rPr>
          <w:rFonts w:ascii="Cambria" w:hAnsi="Cambria" w:cs="Times"/>
          <w:lang w:val="es-419" w:eastAsia="es-CR"/>
        </w:rPr>
        <w:t>de modo que se determine con certeza su identidad</w:t>
      </w:r>
      <w:r w:rsidRPr="00F2058B">
        <w:rPr>
          <w:rFonts w:ascii="Cambria" w:hAnsi="Cambria"/>
          <w:spacing w:val="-2"/>
          <w:vertAlign w:val="superscript"/>
          <w:lang w:val="es-419" w:eastAsia="es-CR"/>
        </w:rPr>
        <w:footnoteReference w:id="93"/>
      </w:r>
      <w:r w:rsidRPr="00F2058B">
        <w:rPr>
          <w:rFonts w:ascii="Cambria" w:hAnsi="Cambria"/>
          <w:lang w:val="es-419" w:eastAsia="es-CR"/>
        </w:rPr>
        <w:t>.</w:t>
      </w:r>
    </w:p>
    <w:p w14:paraId="19BABA65" w14:textId="2B631E03" w:rsidR="00C971FD" w:rsidRPr="00F2058B" w:rsidRDefault="00C971FD" w:rsidP="00C971FD">
      <w:pPr>
        <w:pStyle w:val="parrafos"/>
        <w:rPr>
          <w:rFonts w:ascii="Cambria" w:hAnsi="Cambria"/>
          <w:lang w:val="es-419"/>
        </w:rPr>
      </w:pPr>
    </w:p>
    <w:p w14:paraId="0B720F47" w14:textId="0A9E8C43" w:rsidR="00453BAE" w:rsidRPr="00F2058B" w:rsidRDefault="00453BAE" w:rsidP="00F06940">
      <w:pPr>
        <w:pStyle w:val="parrafos"/>
        <w:numPr>
          <w:ilvl w:val="0"/>
          <w:numId w:val="58"/>
        </w:numPr>
        <w:ind w:left="0" w:firstLine="0"/>
        <w:rPr>
          <w:rFonts w:ascii="Cambria" w:hAnsi="Cambria"/>
          <w:lang w:val="es-419"/>
        </w:rPr>
      </w:pPr>
      <w:r w:rsidRPr="00F2058B">
        <w:rPr>
          <w:rFonts w:ascii="Cambria" w:eastAsia="Times New Roman" w:hAnsi="Cambria"/>
          <w:lang w:val="es-419"/>
        </w:rPr>
        <w:t xml:space="preserve">Respecto a los derechos vulnerados, la desaparición forzada vulnera el derecho a la libertad personal y </w:t>
      </w:r>
      <w:r w:rsidRPr="00F2058B">
        <w:rPr>
          <w:rFonts w:ascii="Cambria" w:hAnsi="Cambria"/>
          <w:lang w:val="es-419"/>
        </w:rPr>
        <w:t>coloca</w:t>
      </w:r>
      <w:r w:rsidRPr="00F2058B">
        <w:rPr>
          <w:rFonts w:ascii="Cambria" w:eastAsia="Times New Roman" w:hAnsi="Cambria"/>
          <w:lang w:val="es-419"/>
        </w:rPr>
        <w:t xml:space="preserve"> a la víctima en una grave situación de riesgo de sufrir daños irreparables a sus derechos a la integridad personal y a la vida. La Corte ha indicado que la desaparición forzada viola el derecho a la integridad personal puesto que “el solo hecho del aislamiento prolongado y de la incomunicación coactiva, representa un tratamiento cruel e inhumano”</w:t>
      </w:r>
      <w:r w:rsidRPr="00F2058B">
        <w:rPr>
          <w:rFonts w:ascii="Cambria" w:hAnsi="Cambria"/>
          <w:vertAlign w:val="superscript"/>
          <w:lang w:val="es-419"/>
        </w:rPr>
        <w:footnoteReference w:id="94"/>
      </w:r>
      <w:r w:rsidRPr="00F2058B">
        <w:rPr>
          <w:rFonts w:ascii="Cambria" w:eastAsia="Times New Roman" w:hAnsi="Cambria"/>
          <w:lang w:val="es-419"/>
        </w:rPr>
        <w:t xml:space="preserve">. La Comisión y la Corte </w:t>
      </w:r>
      <w:r w:rsidRPr="00F2058B">
        <w:rPr>
          <w:rFonts w:ascii="Cambria" w:hAnsi="Cambria"/>
          <w:lang w:val="es-419"/>
        </w:rPr>
        <w:t>han establecido que resulta evidente que las víctimas de esta práctica se ven vulneradas en su integridad personal en todas sus dimensiones</w:t>
      </w:r>
      <w:r w:rsidRPr="00F2058B">
        <w:rPr>
          <w:rStyle w:val="FootnoteReference"/>
          <w:rFonts w:ascii="Cambria" w:hAnsi="Cambria"/>
          <w:lang w:val="es-419"/>
        </w:rPr>
        <w:footnoteReference w:id="95"/>
      </w:r>
      <w:r w:rsidRPr="00F2058B">
        <w:rPr>
          <w:rFonts w:ascii="Cambria" w:hAnsi="Cambria"/>
          <w:lang w:val="es-419"/>
        </w:rPr>
        <w:t xml:space="preserve">. </w:t>
      </w:r>
      <w:r w:rsidRPr="00F2058B">
        <w:rPr>
          <w:rFonts w:ascii="Cambria" w:eastAsia="Times New Roman" w:hAnsi="Cambria"/>
          <w:lang w:val="es-419"/>
        </w:rPr>
        <w:t>Asimismo, la Corte ha manifestado que aún en el supuesto de que no puedan demostrarse los hechos de torturas o de privación de la vida de la persona víctima de desaparición en un caso concreto, el sometimiento de detenidos a agentes estatales o particulares que actúen con su aquiescencia o tolerancia que impunemente practiquen la tortura y el asesinato representa, por sí mismo, una infracción a los derechos a la integridad personal y a la vida</w:t>
      </w:r>
      <w:r w:rsidRPr="00F2058B">
        <w:rPr>
          <w:rFonts w:ascii="Cambria" w:hAnsi="Cambria"/>
          <w:vertAlign w:val="superscript"/>
          <w:lang w:val="es-419"/>
        </w:rPr>
        <w:footnoteReference w:id="96"/>
      </w:r>
      <w:r w:rsidRPr="00F2058B">
        <w:rPr>
          <w:rFonts w:ascii="Cambria" w:eastAsia="Times New Roman" w:hAnsi="Cambria"/>
          <w:lang w:val="es-419"/>
        </w:rPr>
        <w:t>.</w:t>
      </w:r>
    </w:p>
    <w:p w14:paraId="31C0D91B" w14:textId="77777777" w:rsidR="00453BAE" w:rsidRPr="00F2058B" w:rsidRDefault="00453BAE" w:rsidP="00453BAE">
      <w:pPr>
        <w:pStyle w:val="ListParagraph"/>
        <w:ind w:left="0"/>
        <w:rPr>
          <w:rFonts w:cs="Univers"/>
          <w:sz w:val="20"/>
          <w:szCs w:val="20"/>
          <w:lang w:val="es-419"/>
        </w:rPr>
      </w:pPr>
    </w:p>
    <w:p w14:paraId="28C8025B" w14:textId="77777777" w:rsidR="00453BAE" w:rsidRPr="00F2058B" w:rsidRDefault="00453BAE" w:rsidP="00F06940">
      <w:pPr>
        <w:pStyle w:val="parrafos"/>
        <w:numPr>
          <w:ilvl w:val="0"/>
          <w:numId w:val="58"/>
        </w:numPr>
        <w:ind w:left="0" w:firstLine="0"/>
        <w:rPr>
          <w:rFonts w:ascii="Cambria" w:hAnsi="Cambria"/>
          <w:lang w:val="es-419"/>
        </w:rPr>
      </w:pPr>
      <w:r w:rsidRPr="00F2058B">
        <w:rPr>
          <w:rFonts w:ascii="Cambria" w:hAnsi="Cambria" w:cs="Univers"/>
          <w:lang w:val="es-419"/>
        </w:rPr>
        <w:t>De acuerdo a la jurisprudencia de ambos órganos del sistema interamericano, la</w:t>
      </w:r>
      <w:r w:rsidRPr="00F2058B">
        <w:rPr>
          <w:rFonts w:ascii="Cambria" w:hAnsi="Cambria"/>
          <w:lang w:val="es-419"/>
        </w:rPr>
        <w:t xml:space="preserve"> práctica de desapariciones ha implicado con frecuencia la ejecución de los detenidos, en secreto y sin fórmula de juicio, seguida del ocultamiento del </w:t>
      </w:r>
      <w:r w:rsidRPr="00F2058B">
        <w:rPr>
          <w:rFonts w:ascii="Cambria" w:hAnsi="Cambria" w:cs="Univers"/>
          <w:lang w:val="es-419"/>
        </w:rPr>
        <w:t>cadáver</w:t>
      </w:r>
      <w:r w:rsidRPr="00F2058B">
        <w:rPr>
          <w:rFonts w:ascii="Cambria" w:hAnsi="Cambria"/>
          <w:lang w:val="es-419"/>
        </w:rPr>
        <w:t xml:space="preserve"> con el objeto de borrar toda huella material del crimen y de procurar la impunidad absoluta, lo que significa una brutal violación del derecho a la vida, reconocido en el artículo 4 de la Convención</w:t>
      </w:r>
      <w:r w:rsidRPr="00F2058B">
        <w:rPr>
          <w:rStyle w:val="FootnoteReference"/>
          <w:rFonts w:ascii="Cambria" w:hAnsi="Cambria"/>
          <w:lang w:val="es-419"/>
        </w:rPr>
        <w:footnoteReference w:id="97"/>
      </w:r>
      <w:r w:rsidRPr="00F2058B">
        <w:rPr>
          <w:rFonts w:ascii="Cambria" w:hAnsi="Cambria"/>
          <w:lang w:val="es-419"/>
        </w:rPr>
        <w:t>. La jurisprudencia también ha establecido que el hecho de que una persona esté desaparecida durante un largo lapso de tiempo y en un contexto de violencia es un indicio suficiente para concluir que la persona fue privada de su vida</w:t>
      </w:r>
      <w:r w:rsidRPr="00F2058B">
        <w:rPr>
          <w:rStyle w:val="FootnoteReference"/>
          <w:rFonts w:ascii="Cambria" w:hAnsi="Cambria"/>
          <w:spacing w:val="-3"/>
          <w:lang w:val="es-419"/>
        </w:rPr>
        <w:footnoteReference w:id="98"/>
      </w:r>
      <w:r w:rsidRPr="00F2058B">
        <w:rPr>
          <w:rFonts w:ascii="Cambria" w:hAnsi="Cambria"/>
          <w:lang w:val="es-419"/>
        </w:rPr>
        <w:t xml:space="preserve">. </w:t>
      </w:r>
    </w:p>
    <w:p w14:paraId="21989A86" w14:textId="77777777" w:rsidR="00453BAE" w:rsidRPr="00F2058B" w:rsidRDefault="00453BAE" w:rsidP="00453BAE">
      <w:pPr>
        <w:pStyle w:val="ListParagraph"/>
        <w:rPr>
          <w:rFonts w:ascii="Cambria" w:hAnsi="Cambria"/>
          <w:lang w:val="es-419"/>
        </w:rPr>
      </w:pPr>
    </w:p>
    <w:p w14:paraId="4703887A" w14:textId="77777777" w:rsidR="00453BAE" w:rsidRPr="00F2058B" w:rsidRDefault="00453BAE" w:rsidP="00F06940">
      <w:pPr>
        <w:pStyle w:val="parrafos"/>
        <w:numPr>
          <w:ilvl w:val="0"/>
          <w:numId w:val="58"/>
        </w:numPr>
        <w:ind w:left="0" w:firstLine="0"/>
        <w:rPr>
          <w:rFonts w:ascii="Cambria" w:hAnsi="Cambria"/>
          <w:lang w:val="es-419"/>
        </w:rPr>
      </w:pPr>
      <w:r w:rsidRPr="00F2058B">
        <w:rPr>
          <w:rFonts w:ascii="Cambria" w:hAnsi="Cambria"/>
          <w:lang w:val="es-419"/>
        </w:rPr>
        <w:t xml:space="preserve">Adicionalmente, la Comisión ha señalado de manera consistente que en casos de desaparición </w:t>
      </w:r>
      <w:r w:rsidRPr="00F2058B">
        <w:rPr>
          <w:rFonts w:ascii="Cambria" w:hAnsi="Cambria" w:cs="Univers"/>
          <w:lang w:val="es-419"/>
        </w:rPr>
        <w:t>forzada</w:t>
      </w:r>
      <w:r w:rsidRPr="00F2058B">
        <w:rPr>
          <w:rFonts w:ascii="Cambria" w:hAnsi="Cambria"/>
          <w:lang w:val="es-419"/>
        </w:rPr>
        <w:t>, atendiendo al carácter múltiple y complejo de esta grave violación de derechos humanos, su ejecución genera la vulneración específica del derecho al reconocimiento de la personalidad jurídica</w:t>
      </w:r>
      <w:r w:rsidRPr="00F2058B">
        <w:rPr>
          <w:rStyle w:val="FootnoteReference"/>
          <w:rFonts w:ascii="Cambria" w:hAnsi="Cambria"/>
          <w:lang w:val="es-419" w:bidi="te-IN"/>
        </w:rPr>
        <w:footnoteReference w:id="99"/>
      </w:r>
      <w:r w:rsidRPr="00F2058B">
        <w:rPr>
          <w:rFonts w:ascii="Cambria" w:hAnsi="Cambria"/>
          <w:lang w:val="es-419"/>
        </w:rPr>
        <w:t>. Así lo ha reconocido también la Corte Interamericana</w:t>
      </w:r>
      <w:r w:rsidRPr="00F2058B">
        <w:rPr>
          <w:rFonts w:ascii="Cambria" w:eastAsia="Times New Roman" w:hAnsi="Cambria"/>
          <w:vertAlign w:val="superscript"/>
          <w:lang w:val="es-419"/>
        </w:rPr>
        <w:footnoteReference w:id="100"/>
      </w:r>
      <w:r w:rsidRPr="00F2058B">
        <w:rPr>
          <w:rFonts w:ascii="Cambria" w:hAnsi="Cambria"/>
          <w:lang w:val="es-419"/>
        </w:rPr>
        <w:t xml:space="preserve">. </w:t>
      </w:r>
      <w:r w:rsidRPr="00F2058B">
        <w:rPr>
          <w:rFonts w:ascii="Cambria" w:eastAsia="Times New Roman" w:hAnsi="Cambria"/>
          <w:lang w:val="es-419"/>
        </w:rPr>
        <w:t xml:space="preserve">Ello se debe a que además de que la persona desaparecida no puede continuar gozando y ejerciendo los derechos de los cuales es titular, la desaparición forzada busca “no sólo una de las más graves formas de sustracción de una persona de todo ámbito del ordenamiento jurídico, sino también negar </w:t>
      </w:r>
      <w:r w:rsidRPr="00F2058B">
        <w:rPr>
          <w:rFonts w:ascii="Cambria" w:eastAsia="Times New Roman" w:hAnsi="Cambria" w:cs="Verdana"/>
          <w:lang w:val="es-419"/>
        </w:rPr>
        <w:t xml:space="preserve">su existencia misma </w:t>
      </w:r>
      <w:r w:rsidRPr="00F2058B">
        <w:rPr>
          <w:rFonts w:ascii="Cambria" w:eastAsia="Times New Roman" w:hAnsi="Cambria" w:cs="Verdana"/>
          <w:lang w:val="es-419"/>
        </w:rPr>
        <w:lastRenderedPageBreak/>
        <w:t>y dejarla en una suerte de limbo o situación de indeterminación jurídica ante la sociedad y el Estado”</w:t>
      </w:r>
      <w:r w:rsidRPr="00F2058B">
        <w:rPr>
          <w:rFonts w:ascii="Cambria" w:eastAsia="Times New Roman" w:hAnsi="Cambria" w:cs="Verdana"/>
          <w:vertAlign w:val="superscript"/>
          <w:lang w:val="es-419"/>
        </w:rPr>
        <w:footnoteReference w:id="101"/>
      </w:r>
      <w:r w:rsidRPr="00F2058B">
        <w:rPr>
          <w:rFonts w:ascii="Cambria" w:eastAsia="Times New Roman" w:hAnsi="Cambria" w:cs="Verdana"/>
          <w:lang w:val="es-419"/>
        </w:rPr>
        <w:t xml:space="preserve">. La Comisión considera que la desaparición forzada también implica una violación de los derechos a las garantías judiciales y protección judicial respecto de la víctima desaparecida, en cuanto a la falta de acciones de búsqueda de su paradero mediante investigaciones eficientes y a la imposibilidad de que se interpongan recursos en su favor ante la negativa del Estado del hecho de que se encuentra bajo su custodia. </w:t>
      </w:r>
    </w:p>
    <w:p w14:paraId="516D624F" w14:textId="77777777" w:rsidR="00453BAE" w:rsidRPr="00F2058B" w:rsidRDefault="00453BAE" w:rsidP="00453BAE">
      <w:pPr>
        <w:pStyle w:val="parrafos"/>
        <w:rPr>
          <w:rFonts w:ascii="Cambria" w:hAnsi="Cambria"/>
          <w:lang w:val="es-419"/>
        </w:rPr>
      </w:pPr>
    </w:p>
    <w:p w14:paraId="2CD7A812" w14:textId="77777777" w:rsidR="00453BAE" w:rsidRPr="00F2058B" w:rsidRDefault="00453BAE" w:rsidP="00F06940">
      <w:pPr>
        <w:pStyle w:val="parrafos"/>
        <w:numPr>
          <w:ilvl w:val="0"/>
          <w:numId w:val="58"/>
        </w:numPr>
        <w:ind w:left="0" w:firstLine="0"/>
        <w:rPr>
          <w:rFonts w:ascii="Cambria" w:hAnsi="Cambria"/>
          <w:lang w:val="es-419"/>
        </w:rPr>
      </w:pPr>
      <w:r w:rsidRPr="00F2058B">
        <w:rPr>
          <w:rFonts w:ascii="Cambria" w:eastAsia="Times New Roman" w:hAnsi="Cambria"/>
          <w:lang w:val="es-419" w:eastAsia="es-ES"/>
        </w:rPr>
        <w:t>Los elementos concurrentes y constitutivos para determinar que en un caso ocurrió una desaparición forzada son:</w:t>
      </w:r>
      <w:r w:rsidRPr="00F2058B">
        <w:rPr>
          <w:rFonts w:ascii="Cambria" w:eastAsia="Times New Roman" w:hAnsi="Cambria"/>
          <w:lang w:val="es-419"/>
        </w:rPr>
        <w:t xml:space="preserve"> i) la</w:t>
      </w:r>
      <w:r w:rsidRPr="00F2058B">
        <w:rPr>
          <w:rFonts w:ascii="Cambria" w:eastAsia="Times New Roman" w:hAnsi="Cambria"/>
          <w:b/>
          <w:lang w:val="es-419"/>
        </w:rPr>
        <w:t xml:space="preserve"> </w:t>
      </w:r>
      <w:r w:rsidRPr="00F2058B">
        <w:rPr>
          <w:rFonts w:ascii="Cambria" w:eastAsia="Times New Roman" w:hAnsi="Cambria"/>
          <w:lang w:val="es-419"/>
        </w:rPr>
        <w:t>privación de la libertad; ii) la intervención directa de agentes estatales o la autorización, apoyo o aquiescencia de éstos; y iii) la negativa de reconocer la detención o de revelar la suerte o paradero de la persona desaparecida</w:t>
      </w:r>
      <w:r w:rsidRPr="00F2058B">
        <w:rPr>
          <w:rFonts w:eastAsia="Times New Roman"/>
          <w:vertAlign w:val="superscript"/>
          <w:lang w:val="es-419"/>
        </w:rPr>
        <w:footnoteReference w:id="102"/>
      </w:r>
      <w:r w:rsidRPr="00F2058B">
        <w:rPr>
          <w:rFonts w:ascii="Cambria" w:eastAsia="Times New Roman" w:hAnsi="Cambria"/>
          <w:lang w:val="es-419"/>
        </w:rPr>
        <w:t>.</w:t>
      </w:r>
    </w:p>
    <w:p w14:paraId="275DAAAE" w14:textId="77777777" w:rsidR="00453BAE" w:rsidRPr="00F2058B" w:rsidRDefault="00453BAE" w:rsidP="00453BAE">
      <w:pPr>
        <w:pStyle w:val="ListParagraph"/>
        <w:rPr>
          <w:rFonts w:ascii="Cambria" w:eastAsia="Times New Roman" w:hAnsi="Cambria"/>
          <w:lang w:val="es-419" w:eastAsia="es-ES"/>
        </w:rPr>
      </w:pPr>
    </w:p>
    <w:p w14:paraId="16315A5C" w14:textId="75C97498" w:rsidR="00737D2D" w:rsidRPr="00F2058B" w:rsidRDefault="00453BAE" w:rsidP="00F06940">
      <w:pPr>
        <w:pStyle w:val="parrafos"/>
        <w:numPr>
          <w:ilvl w:val="0"/>
          <w:numId w:val="58"/>
        </w:numPr>
        <w:ind w:left="0" w:firstLine="0"/>
        <w:rPr>
          <w:rFonts w:ascii="Cambria" w:hAnsi="Cambria"/>
          <w:lang w:val="es-419"/>
        </w:rPr>
      </w:pPr>
      <w:r w:rsidRPr="00F2058B">
        <w:rPr>
          <w:rFonts w:ascii="Cambria" w:eastAsia="Times New Roman" w:hAnsi="Cambria"/>
          <w:lang w:val="es-419" w:eastAsia="es-ES"/>
        </w:rPr>
        <w:t>A continuación, la Comisión determinará si lo sucedido a Edgar Quiroga y Gildardo Fuentes constituyó una desaparición forzada.</w:t>
      </w:r>
      <w:r w:rsidR="00F24E3F" w:rsidRPr="00F2058B">
        <w:rPr>
          <w:rFonts w:ascii="Cambria" w:hAnsi="Cambria"/>
          <w:lang w:val="es-419"/>
        </w:rPr>
        <w:t xml:space="preserve"> </w:t>
      </w:r>
      <w:r w:rsidRPr="00F2058B">
        <w:rPr>
          <w:rFonts w:ascii="Cambria" w:hAnsi="Cambria"/>
          <w:lang w:val="es-419"/>
        </w:rPr>
        <w:t xml:space="preserve">En cuanto al primer elemento, referido a la privación de libertad, </w:t>
      </w:r>
      <w:r w:rsidR="008265EE" w:rsidRPr="00F2058B">
        <w:rPr>
          <w:rFonts w:ascii="Cambria" w:hAnsi="Cambria"/>
          <w:lang w:val="es-419"/>
        </w:rPr>
        <w:t>según información disponible el 28 de noviembre de 1999 mientras Edgar Quiroga y Gildardo Fuent</w:t>
      </w:r>
      <w:r w:rsidR="00737D2D" w:rsidRPr="00F2058B">
        <w:rPr>
          <w:rFonts w:ascii="Cambria" w:hAnsi="Cambria"/>
          <w:lang w:val="es-419"/>
        </w:rPr>
        <w:t>es se encontraban en cerro azul</w:t>
      </w:r>
      <w:r w:rsidR="008265EE" w:rsidRPr="00F2058B">
        <w:rPr>
          <w:rFonts w:ascii="Cambria" w:hAnsi="Cambria"/>
          <w:lang w:val="es-419"/>
        </w:rPr>
        <w:t xml:space="preserve">, San Pablo, fueron detenidos </w:t>
      </w:r>
      <w:r w:rsidR="00737D2D" w:rsidRPr="00F2058B">
        <w:rPr>
          <w:rFonts w:ascii="Cambria" w:hAnsi="Cambria"/>
          <w:lang w:val="es-419"/>
        </w:rPr>
        <w:t xml:space="preserve">por la Autodefensas Unidas de Colombia </w:t>
      </w:r>
      <w:r w:rsidR="008265EE" w:rsidRPr="00F2058B">
        <w:rPr>
          <w:rFonts w:ascii="Cambria" w:hAnsi="Cambria"/>
          <w:lang w:val="es-419"/>
        </w:rPr>
        <w:t>y lle</w:t>
      </w:r>
      <w:r w:rsidR="00737D2D" w:rsidRPr="00F2058B">
        <w:rPr>
          <w:rFonts w:ascii="Cambria" w:hAnsi="Cambria"/>
          <w:lang w:val="es-419"/>
        </w:rPr>
        <w:t>vados a un establecim</w:t>
      </w:r>
      <w:r w:rsidR="008265EE" w:rsidRPr="00F2058B">
        <w:rPr>
          <w:rFonts w:ascii="Cambria" w:hAnsi="Cambria"/>
          <w:lang w:val="es-419"/>
        </w:rPr>
        <w:t>i</w:t>
      </w:r>
      <w:r w:rsidR="00737D2D" w:rsidRPr="00F2058B">
        <w:rPr>
          <w:rFonts w:ascii="Cambria" w:hAnsi="Cambria"/>
          <w:lang w:val="es-419"/>
        </w:rPr>
        <w:t>e</w:t>
      </w:r>
      <w:r w:rsidR="008265EE" w:rsidRPr="00F2058B">
        <w:rPr>
          <w:rFonts w:ascii="Cambria" w:hAnsi="Cambria"/>
          <w:lang w:val="es-419"/>
        </w:rPr>
        <w:t>nto denominado R</w:t>
      </w:r>
      <w:r w:rsidR="00737D2D" w:rsidRPr="00F2058B">
        <w:rPr>
          <w:rFonts w:ascii="Cambria" w:hAnsi="Cambria"/>
          <w:lang w:val="es-419"/>
        </w:rPr>
        <w:t>icarena donde fueron interrogad</w:t>
      </w:r>
      <w:r w:rsidR="008265EE" w:rsidRPr="00F2058B">
        <w:rPr>
          <w:rFonts w:ascii="Cambria" w:hAnsi="Cambria"/>
          <w:lang w:val="es-419"/>
        </w:rPr>
        <w:t>o</w:t>
      </w:r>
      <w:r w:rsidR="00737D2D" w:rsidRPr="00F2058B">
        <w:rPr>
          <w:rFonts w:ascii="Cambria" w:hAnsi="Cambria"/>
          <w:lang w:val="es-419"/>
        </w:rPr>
        <w:t>s</w:t>
      </w:r>
      <w:r w:rsidR="008265EE" w:rsidRPr="00F2058B">
        <w:rPr>
          <w:rFonts w:ascii="Cambria" w:hAnsi="Cambria"/>
          <w:lang w:val="es-419"/>
        </w:rPr>
        <w:t xml:space="preserve"> sobre sus actividades en el area, y desde entonces se desconoce su paradero.</w:t>
      </w:r>
      <w:r w:rsidRPr="00F2058B">
        <w:rPr>
          <w:rFonts w:ascii="Cambria" w:hAnsi="Cambria"/>
          <w:lang w:val="es-419"/>
        </w:rPr>
        <w:t xml:space="preserve"> Sobre este hecho, ni el Estado ante la CIDH ni en el marco de las investigaciones y procesos internos, ha surgido información distinta sobre e</w:t>
      </w:r>
      <w:r w:rsidR="00737D2D" w:rsidRPr="00F2058B">
        <w:rPr>
          <w:rFonts w:ascii="Cambria" w:hAnsi="Cambria"/>
          <w:lang w:val="es-419"/>
        </w:rPr>
        <w:t>l inicio de la desaparición de las presuntas víctimas, por lo que la Comisión estima que este elemento se encuentra acreditado.</w:t>
      </w:r>
      <w:r w:rsidRPr="00F2058B">
        <w:rPr>
          <w:rFonts w:ascii="Cambria" w:hAnsi="Cambria"/>
          <w:lang w:val="es-419"/>
        </w:rPr>
        <w:t xml:space="preserve"> </w:t>
      </w:r>
    </w:p>
    <w:p w14:paraId="082921FF" w14:textId="77777777" w:rsidR="00737D2D" w:rsidRPr="00F2058B" w:rsidRDefault="00737D2D" w:rsidP="00737D2D">
      <w:pPr>
        <w:pStyle w:val="ListParagraph"/>
        <w:rPr>
          <w:rFonts w:ascii="Cambria" w:hAnsi="Cambria"/>
          <w:lang w:val="es-419"/>
        </w:rPr>
      </w:pPr>
    </w:p>
    <w:p w14:paraId="453B19B7" w14:textId="60D56F46" w:rsidR="00A022EA" w:rsidRPr="00F2058B" w:rsidRDefault="00453BAE" w:rsidP="00F06940">
      <w:pPr>
        <w:pStyle w:val="parrafos"/>
        <w:numPr>
          <w:ilvl w:val="0"/>
          <w:numId w:val="58"/>
        </w:numPr>
        <w:ind w:left="0" w:firstLine="0"/>
        <w:rPr>
          <w:rFonts w:ascii="Cambria" w:hAnsi="Cambria"/>
          <w:lang w:val="es-419"/>
        </w:rPr>
      </w:pPr>
      <w:r w:rsidRPr="00F2058B">
        <w:rPr>
          <w:rFonts w:ascii="Cambria" w:hAnsi="Cambria"/>
          <w:lang w:val="es-419"/>
        </w:rPr>
        <w:t>Con respecto al segundo elemento, referido a la intervención directa de agentes estatales o la aquiescencia de estos, la Comisión hace notar que existen una serie de elementos que comprueban que la</w:t>
      </w:r>
      <w:r w:rsidR="00737D2D" w:rsidRPr="00F2058B">
        <w:rPr>
          <w:rFonts w:ascii="Cambria" w:hAnsi="Cambria"/>
          <w:lang w:val="es-419"/>
        </w:rPr>
        <w:t>s</w:t>
      </w:r>
      <w:r w:rsidRPr="00F2058B">
        <w:rPr>
          <w:rFonts w:ascii="Cambria" w:hAnsi="Cambria"/>
          <w:lang w:val="es-419"/>
        </w:rPr>
        <w:t xml:space="preserve"> presunta</w:t>
      </w:r>
      <w:r w:rsidR="00737D2D" w:rsidRPr="00F2058B">
        <w:rPr>
          <w:rFonts w:ascii="Cambria" w:hAnsi="Cambria"/>
          <w:lang w:val="es-419"/>
        </w:rPr>
        <w:t>s</w:t>
      </w:r>
      <w:r w:rsidRPr="00F2058B">
        <w:rPr>
          <w:rFonts w:ascii="Cambria" w:hAnsi="Cambria"/>
          <w:lang w:val="es-419"/>
        </w:rPr>
        <w:t xml:space="preserve"> víctima</w:t>
      </w:r>
      <w:r w:rsidR="00737D2D" w:rsidRPr="00F2058B">
        <w:rPr>
          <w:rFonts w:ascii="Cambria" w:hAnsi="Cambria"/>
          <w:lang w:val="es-419"/>
        </w:rPr>
        <w:t>s</w:t>
      </w:r>
      <w:r w:rsidRPr="00F2058B">
        <w:rPr>
          <w:rFonts w:ascii="Cambria" w:hAnsi="Cambria"/>
          <w:lang w:val="es-419"/>
        </w:rPr>
        <w:t xml:space="preserve"> fue</w:t>
      </w:r>
      <w:r w:rsidR="00737D2D" w:rsidRPr="00F2058B">
        <w:rPr>
          <w:rFonts w:ascii="Cambria" w:hAnsi="Cambria"/>
          <w:lang w:val="es-419"/>
        </w:rPr>
        <w:t>ron</w:t>
      </w:r>
      <w:r w:rsidRPr="00F2058B">
        <w:rPr>
          <w:rFonts w:ascii="Cambria" w:hAnsi="Cambria"/>
          <w:lang w:val="es-419"/>
        </w:rPr>
        <w:t xml:space="preserve"> desaparecida</w:t>
      </w:r>
      <w:r w:rsidR="00737D2D" w:rsidRPr="00F2058B">
        <w:rPr>
          <w:rFonts w:ascii="Cambria" w:hAnsi="Cambria"/>
          <w:lang w:val="es-419"/>
        </w:rPr>
        <w:t>s</w:t>
      </w:r>
      <w:r w:rsidRPr="00F2058B">
        <w:rPr>
          <w:rFonts w:ascii="Cambria" w:hAnsi="Cambria"/>
          <w:lang w:val="es-419"/>
        </w:rPr>
        <w:t xml:space="preserve"> por miembros de grupos paramilitare</w:t>
      </w:r>
      <w:r w:rsidR="00737D2D" w:rsidRPr="00F2058B">
        <w:rPr>
          <w:rFonts w:ascii="Cambria" w:hAnsi="Cambria"/>
          <w:lang w:val="es-419"/>
        </w:rPr>
        <w:t xml:space="preserve">s y </w:t>
      </w:r>
      <w:r w:rsidR="00B46A83" w:rsidRPr="00F2058B">
        <w:rPr>
          <w:rFonts w:ascii="Cambria" w:hAnsi="Cambria"/>
          <w:lang w:val="es-419"/>
        </w:rPr>
        <w:t>que estos actuaron con el apoyo</w:t>
      </w:r>
      <w:r w:rsidR="00925C49" w:rsidRPr="00F2058B">
        <w:rPr>
          <w:rFonts w:ascii="Cambria" w:hAnsi="Cambria"/>
          <w:lang w:val="es-419"/>
        </w:rPr>
        <w:t xml:space="preserve"> o aquiescencia</w:t>
      </w:r>
      <w:r w:rsidR="00B46A83" w:rsidRPr="00F2058B">
        <w:rPr>
          <w:rFonts w:ascii="Cambria" w:hAnsi="Cambria"/>
          <w:lang w:val="es-419"/>
        </w:rPr>
        <w:t xml:space="preserve"> de agentes estatales. </w:t>
      </w:r>
    </w:p>
    <w:p w14:paraId="39940F95" w14:textId="5691278D" w:rsidR="00910A5C" w:rsidRPr="00F2058B" w:rsidRDefault="00910A5C" w:rsidP="00910A5C">
      <w:pPr>
        <w:pStyle w:val="parrafos"/>
        <w:rPr>
          <w:rFonts w:ascii="Cambria" w:hAnsi="Cambria"/>
          <w:lang w:val="es-419"/>
        </w:rPr>
      </w:pPr>
    </w:p>
    <w:p w14:paraId="6238DE8E" w14:textId="5132D654" w:rsidR="007F2603" w:rsidRPr="00F2058B" w:rsidRDefault="00D443E8" w:rsidP="005F1EA4">
      <w:pPr>
        <w:pStyle w:val="parrafos"/>
        <w:numPr>
          <w:ilvl w:val="0"/>
          <w:numId w:val="58"/>
        </w:numPr>
        <w:ind w:left="0" w:firstLine="0"/>
        <w:rPr>
          <w:rFonts w:ascii="Cambria" w:hAnsi="Cambria"/>
          <w:lang w:val="es-419"/>
        </w:rPr>
      </w:pPr>
      <w:r w:rsidRPr="00F2058B">
        <w:rPr>
          <w:rFonts w:ascii="Cambria" w:hAnsi="Cambria"/>
          <w:lang w:val="es-419"/>
        </w:rPr>
        <w:t xml:space="preserve">En primer lugar, la Comisión </w:t>
      </w:r>
      <w:r w:rsidR="005F1EA4" w:rsidRPr="00F2058B">
        <w:rPr>
          <w:rFonts w:ascii="Cambria" w:hAnsi="Cambria"/>
          <w:lang w:val="es-419"/>
        </w:rPr>
        <w:t>reitera el contexto que fue indicado en la se</w:t>
      </w:r>
      <w:r w:rsidR="00925C49" w:rsidRPr="00F2058B">
        <w:rPr>
          <w:rFonts w:ascii="Cambria" w:hAnsi="Cambria"/>
          <w:lang w:val="es-419"/>
        </w:rPr>
        <w:t>cción anterior sobre los víncul</w:t>
      </w:r>
      <w:r w:rsidR="005F1EA4" w:rsidRPr="00F2058B">
        <w:rPr>
          <w:rFonts w:ascii="Cambria" w:hAnsi="Cambria"/>
          <w:lang w:val="es-419"/>
        </w:rPr>
        <w:t>o</w:t>
      </w:r>
      <w:r w:rsidR="00925C49" w:rsidRPr="00F2058B">
        <w:rPr>
          <w:rFonts w:ascii="Cambria" w:hAnsi="Cambria"/>
          <w:lang w:val="es-419"/>
        </w:rPr>
        <w:t>s</w:t>
      </w:r>
      <w:r w:rsidR="005F1EA4" w:rsidRPr="00F2058B">
        <w:rPr>
          <w:rFonts w:ascii="Cambria" w:hAnsi="Cambria"/>
          <w:lang w:val="es-419"/>
        </w:rPr>
        <w:t xml:space="preserve"> entre </w:t>
      </w:r>
      <w:r w:rsidRPr="00F2058B">
        <w:rPr>
          <w:rFonts w:ascii="Cambria" w:hAnsi="Cambria"/>
          <w:lang w:val="es-419"/>
        </w:rPr>
        <w:t xml:space="preserve">grupos paramilitares </w:t>
      </w:r>
      <w:r w:rsidR="005F1EA4" w:rsidRPr="00F2058B">
        <w:rPr>
          <w:rFonts w:ascii="Cambria" w:hAnsi="Cambria"/>
          <w:lang w:val="es-419"/>
        </w:rPr>
        <w:t xml:space="preserve">y miembros de la fuerza pública en Colombia, y específicamente la relación estrecha de colaboración </w:t>
      </w:r>
      <w:r w:rsidR="00161AF3" w:rsidRPr="00F2058B">
        <w:rPr>
          <w:rFonts w:ascii="Cambria" w:hAnsi="Cambria"/>
          <w:lang w:val="es-419"/>
        </w:rPr>
        <w:t xml:space="preserve">en la región del Magdalena Medio, donde ocurrieron los hechos del presente caso. </w:t>
      </w:r>
      <w:r w:rsidR="008015AC" w:rsidRPr="00F2058B">
        <w:rPr>
          <w:rFonts w:ascii="Cambria" w:hAnsi="Cambria"/>
          <w:lang w:val="es-419"/>
        </w:rPr>
        <w:t xml:space="preserve">Por otra parte, </w:t>
      </w:r>
      <w:r w:rsidR="00B46A83" w:rsidRPr="00F2058B">
        <w:rPr>
          <w:rFonts w:ascii="Cambria" w:hAnsi="Cambria"/>
          <w:lang w:val="es-419"/>
        </w:rPr>
        <w:t>la Comisión cuenta con una serie de indicios qu</w:t>
      </w:r>
      <w:r w:rsidR="00925C49" w:rsidRPr="00F2058B">
        <w:rPr>
          <w:rFonts w:ascii="Cambria" w:hAnsi="Cambria"/>
          <w:lang w:val="es-419"/>
        </w:rPr>
        <w:t>e tomados en su conjunto permite</w:t>
      </w:r>
      <w:r w:rsidR="00B46A83" w:rsidRPr="00F2058B">
        <w:rPr>
          <w:rFonts w:ascii="Cambria" w:hAnsi="Cambria"/>
          <w:lang w:val="es-419"/>
        </w:rPr>
        <w:t xml:space="preserve">n acreditar la </w:t>
      </w:r>
      <w:r w:rsidR="00925C49" w:rsidRPr="00F2058B">
        <w:rPr>
          <w:rFonts w:ascii="Cambria" w:hAnsi="Cambria"/>
          <w:lang w:val="es-419"/>
        </w:rPr>
        <w:t>aquiescencia o apoyo</w:t>
      </w:r>
      <w:r w:rsidR="00B46A83" w:rsidRPr="00F2058B">
        <w:rPr>
          <w:rFonts w:ascii="Cambria" w:hAnsi="Cambria"/>
          <w:lang w:val="es-419"/>
        </w:rPr>
        <w:t xml:space="preserve"> de agentes estatales en los hechos del caso: </w:t>
      </w:r>
    </w:p>
    <w:p w14:paraId="04A0FFDC" w14:textId="278EA862" w:rsidR="00626E7D" w:rsidRPr="00F2058B" w:rsidRDefault="00626E7D" w:rsidP="00AE5B5B">
      <w:pPr>
        <w:jc w:val="both"/>
        <w:rPr>
          <w:rFonts w:ascii="Cambria" w:hAnsi="Cambria"/>
          <w:color w:val="000000" w:themeColor="text1"/>
          <w:sz w:val="18"/>
          <w:szCs w:val="18"/>
          <w:lang w:val="es-419"/>
        </w:rPr>
      </w:pPr>
    </w:p>
    <w:p w14:paraId="6AC5D98F" w14:textId="11C8CCB8" w:rsidR="00161AF3" w:rsidRPr="00F2058B" w:rsidRDefault="00AE5B5B" w:rsidP="00442035">
      <w:pPr>
        <w:pStyle w:val="ListParagraph"/>
        <w:ind w:left="360" w:right="720"/>
        <w:jc w:val="both"/>
        <w:rPr>
          <w:rFonts w:ascii="Cambria" w:hAnsi="Cambria"/>
          <w:color w:val="000000" w:themeColor="text1"/>
          <w:sz w:val="18"/>
          <w:szCs w:val="18"/>
          <w:lang w:val="es-419"/>
        </w:rPr>
      </w:pPr>
      <w:r w:rsidRPr="00F2058B">
        <w:rPr>
          <w:rFonts w:ascii="Cambria" w:hAnsi="Cambria"/>
          <w:color w:val="000000" w:themeColor="text1"/>
          <w:sz w:val="18"/>
          <w:szCs w:val="18"/>
          <w:lang w:val="es-419"/>
        </w:rPr>
        <w:t>-</w:t>
      </w:r>
      <w:r w:rsidR="00B46A83" w:rsidRPr="00F2058B">
        <w:rPr>
          <w:rFonts w:ascii="Cambria" w:hAnsi="Cambria"/>
          <w:color w:val="000000" w:themeColor="text1"/>
          <w:sz w:val="18"/>
          <w:szCs w:val="18"/>
          <w:lang w:val="es-419"/>
        </w:rPr>
        <w:t>La Comisión recuerda que en la víspera de sus desapariciones las presuntas víctimas habían denunciado actos de colaboraci</w:t>
      </w:r>
      <w:r w:rsidR="00545B4E" w:rsidRPr="00F2058B">
        <w:rPr>
          <w:rFonts w:ascii="Cambria" w:hAnsi="Cambria"/>
          <w:color w:val="000000" w:themeColor="text1"/>
          <w:sz w:val="18"/>
          <w:szCs w:val="18"/>
          <w:lang w:val="es-419"/>
        </w:rPr>
        <w:t>ón entre paramilitares y ejé</w:t>
      </w:r>
      <w:r w:rsidR="00B46A83" w:rsidRPr="00F2058B">
        <w:rPr>
          <w:rFonts w:ascii="Cambria" w:hAnsi="Cambria"/>
          <w:color w:val="000000" w:themeColor="text1"/>
          <w:sz w:val="18"/>
          <w:szCs w:val="18"/>
          <w:lang w:val="es-419"/>
        </w:rPr>
        <w:t xml:space="preserve">rcito para cometer violaciones de derechos humanos. En particular en noviembre de 1999 </w:t>
      </w:r>
      <w:r w:rsidR="00545B4E" w:rsidRPr="00F2058B">
        <w:rPr>
          <w:rFonts w:ascii="Cambria" w:hAnsi="Cambria"/>
          <w:color w:val="000000" w:themeColor="text1"/>
          <w:sz w:val="18"/>
          <w:szCs w:val="18"/>
          <w:lang w:val="es-419"/>
        </w:rPr>
        <w:t>Gildardo Fuentes</w:t>
      </w:r>
      <w:r w:rsidR="00B46A83" w:rsidRPr="00F2058B">
        <w:rPr>
          <w:rFonts w:ascii="Cambria" w:hAnsi="Cambria"/>
          <w:color w:val="000000" w:themeColor="text1"/>
          <w:sz w:val="18"/>
          <w:szCs w:val="18"/>
          <w:lang w:val="es-419"/>
        </w:rPr>
        <w:t xml:space="preserve"> había denunciado</w:t>
      </w:r>
      <w:r w:rsidR="00545B4E" w:rsidRPr="00F2058B">
        <w:rPr>
          <w:rFonts w:ascii="Cambria" w:hAnsi="Cambria"/>
          <w:color w:val="000000" w:themeColor="text1"/>
          <w:sz w:val="18"/>
          <w:szCs w:val="18"/>
          <w:lang w:val="es-419"/>
        </w:rPr>
        <w:t xml:space="preserve"> la estrecha relación que existía entre paramilitares y la fuerza pública y que entre el 1 y 22 de noviembre de 1998 fueron masacradas al menos 100 personas en una región que el Estado se había comprometido especialmente a proteger. </w:t>
      </w:r>
      <w:r w:rsidRPr="00F2058B">
        <w:rPr>
          <w:rFonts w:ascii="Cambria" w:hAnsi="Cambria"/>
          <w:color w:val="000000" w:themeColor="text1"/>
          <w:sz w:val="18"/>
          <w:szCs w:val="18"/>
          <w:lang w:val="es-419"/>
        </w:rPr>
        <w:t>Igualmente, había solicitado medidas de protección tras haber sufrido un intento de asesinato y actos de tortura, sin embargo, no consta que el Estado haya adoptado ninguna medida para protegerlo.</w:t>
      </w:r>
      <w:r w:rsidR="00545B4E" w:rsidRPr="00F2058B">
        <w:rPr>
          <w:rFonts w:ascii="Cambria" w:hAnsi="Cambria"/>
          <w:sz w:val="18"/>
          <w:szCs w:val="18"/>
          <w:lang w:val="es-419"/>
        </w:rPr>
        <w:t xml:space="preserve">Por su parte, </w:t>
      </w:r>
      <w:r w:rsidR="00502DCE" w:rsidRPr="00F2058B">
        <w:rPr>
          <w:rFonts w:ascii="Cambria" w:hAnsi="Cambria"/>
          <w:sz w:val="18"/>
          <w:szCs w:val="18"/>
          <w:lang w:val="es-419"/>
        </w:rPr>
        <w:t xml:space="preserve">el 26 de noviembre de 1999 dos días antes de su desaparición, </w:t>
      </w:r>
      <w:r w:rsidR="002E3648" w:rsidRPr="00F2058B">
        <w:rPr>
          <w:rFonts w:ascii="Cambria" w:hAnsi="Cambria"/>
          <w:sz w:val="18"/>
          <w:szCs w:val="18"/>
          <w:lang w:val="es-419"/>
        </w:rPr>
        <w:t>Edgar Quiroga había denunciado ante la Procuraduría actos de tortura padecidos por Gildardo Fuentes, así como irregularidades cometid</w:t>
      </w:r>
      <w:r w:rsidR="00A033A4" w:rsidRPr="00F2058B">
        <w:rPr>
          <w:rFonts w:ascii="Cambria" w:hAnsi="Cambria"/>
          <w:sz w:val="18"/>
          <w:szCs w:val="18"/>
          <w:lang w:val="es-419"/>
        </w:rPr>
        <w:t>a</w:t>
      </w:r>
      <w:r w:rsidR="002E3648" w:rsidRPr="00F2058B">
        <w:rPr>
          <w:rFonts w:ascii="Cambria" w:hAnsi="Cambria"/>
          <w:sz w:val="18"/>
          <w:szCs w:val="18"/>
          <w:lang w:val="es-419"/>
        </w:rPr>
        <w:t>s por militares en el marco del Operativo Anaconda que se desarrolló entre abril y junio de 1999 y que tenía por objeto detener a presunt</w:t>
      </w:r>
      <w:r w:rsidR="00211914" w:rsidRPr="00F2058B">
        <w:rPr>
          <w:rFonts w:ascii="Cambria" w:hAnsi="Cambria"/>
          <w:sz w:val="18"/>
          <w:szCs w:val="18"/>
          <w:lang w:val="es-419"/>
        </w:rPr>
        <w:t>os integrantes de la guerrilla.</w:t>
      </w:r>
    </w:p>
    <w:p w14:paraId="425E12CF" w14:textId="671B3EAF" w:rsidR="002E3648" w:rsidRPr="00F2058B" w:rsidRDefault="002E3648" w:rsidP="00442035">
      <w:pPr>
        <w:pStyle w:val="ListParagraph"/>
        <w:ind w:left="360" w:right="720"/>
        <w:jc w:val="both"/>
        <w:rPr>
          <w:rFonts w:ascii="Cambria" w:hAnsi="Cambria"/>
          <w:sz w:val="18"/>
          <w:szCs w:val="18"/>
          <w:lang w:val="es-419"/>
        </w:rPr>
      </w:pPr>
    </w:p>
    <w:p w14:paraId="1B40A76D" w14:textId="435F8456" w:rsidR="00660A34" w:rsidRPr="00F2058B" w:rsidRDefault="00660A34" w:rsidP="00442035">
      <w:pPr>
        <w:pStyle w:val="ListParagraph"/>
        <w:ind w:left="360" w:right="720"/>
        <w:jc w:val="both"/>
        <w:rPr>
          <w:rFonts w:ascii="Cambria" w:hAnsi="Cambria"/>
          <w:sz w:val="18"/>
          <w:szCs w:val="18"/>
          <w:lang w:val="es-419"/>
        </w:rPr>
      </w:pPr>
      <w:r w:rsidRPr="00F2058B">
        <w:rPr>
          <w:rFonts w:ascii="Cambria" w:hAnsi="Cambria"/>
          <w:sz w:val="18"/>
          <w:szCs w:val="18"/>
          <w:lang w:val="es-419"/>
        </w:rPr>
        <w:t xml:space="preserve">-Igualmente, si bien los hechos ocurrieron el 28 de noviembre de 1999, consta que </w:t>
      </w:r>
      <w:r w:rsidR="007D7607" w:rsidRPr="00F2058B">
        <w:rPr>
          <w:rFonts w:ascii="Cambria" w:hAnsi="Cambria"/>
          <w:sz w:val="18"/>
          <w:szCs w:val="18"/>
          <w:lang w:val="es-419"/>
        </w:rPr>
        <w:t xml:space="preserve">el 26 de noviembre de 1999 por la manaña hubo una incursión de hombres armados en los alredores de Cerro Azul, quienes sobrevolaban en un helicóptero con líneas rojas y verdes en la cola, y que afirmaron que “eran parte de un grupo de 500 reservistas que las autodefensas habían pedido como refuerzo a la Quinta Brigada del Ejército”. </w:t>
      </w:r>
    </w:p>
    <w:p w14:paraId="29AEDA1D" w14:textId="38EF8144" w:rsidR="00660A34" w:rsidRPr="00F2058B" w:rsidRDefault="00660A34" w:rsidP="00442035">
      <w:pPr>
        <w:ind w:left="360" w:right="720"/>
        <w:jc w:val="both"/>
        <w:rPr>
          <w:rFonts w:ascii="Cambria" w:hAnsi="Cambria"/>
          <w:sz w:val="18"/>
          <w:szCs w:val="18"/>
          <w:lang w:val="es-419"/>
        </w:rPr>
      </w:pPr>
    </w:p>
    <w:p w14:paraId="33FC6DED" w14:textId="64841E13" w:rsidR="00850D11" w:rsidRPr="00F2058B" w:rsidRDefault="00850D11" w:rsidP="00442035">
      <w:pPr>
        <w:pStyle w:val="ListParagraph"/>
        <w:ind w:left="360" w:right="720"/>
        <w:jc w:val="both"/>
        <w:rPr>
          <w:rFonts w:ascii="Cambria" w:hAnsi="Cambria"/>
          <w:sz w:val="18"/>
          <w:szCs w:val="18"/>
          <w:lang w:val="es-419"/>
        </w:rPr>
      </w:pPr>
      <w:r w:rsidRPr="00F2058B">
        <w:rPr>
          <w:rFonts w:ascii="Cambria" w:hAnsi="Cambria"/>
          <w:sz w:val="18"/>
          <w:szCs w:val="18"/>
          <w:lang w:val="es-419"/>
        </w:rPr>
        <w:t>-</w:t>
      </w:r>
      <w:r w:rsidR="007D7607" w:rsidRPr="00F2058B">
        <w:rPr>
          <w:rFonts w:ascii="Cambria" w:hAnsi="Cambria"/>
          <w:sz w:val="18"/>
          <w:szCs w:val="18"/>
          <w:lang w:val="es-419"/>
        </w:rPr>
        <w:t xml:space="preserve">Por su parte, </w:t>
      </w:r>
      <w:r w:rsidRPr="00F2058B">
        <w:rPr>
          <w:rFonts w:ascii="Cambria" w:hAnsi="Cambria"/>
          <w:sz w:val="18"/>
          <w:szCs w:val="18"/>
          <w:lang w:val="es-419"/>
        </w:rPr>
        <w:t>Noraida Quiroga Medina, hermana de Edgar Quiroga denunció que, según escuchó de un campesino, las presuntas víctimas fueron detenidas por miembros del Batallón 45 Héroes de Ma</w:t>
      </w:r>
      <w:r w:rsidR="00A033A4" w:rsidRPr="00F2058B">
        <w:rPr>
          <w:rFonts w:ascii="Cambria" w:hAnsi="Cambria"/>
          <w:sz w:val="18"/>
          <w:szCs w:val="18"/>
          <w:lang w:val="es-419"/>
        </w:rPr>
        <w:t xml:space="preserve">jagual y que este le había indicado que el atentado previo que sufrió y del que se salvó había sido por parte de hombres armados con prendas del ejército. Por su parte, Amparo Escobar Gonima declaró que Edgar Quiroga le había indicado que </w:t>
      </w:r>
      <w:r w:rsidR="00A033A4" w:rsidRPr="00F2058B">
        <w:rPr>
          <w:rFonts w:ascii="Cambria" w:hAnsi="Cambria"/>
          <w:sz w:val="18"/>
          <w:szCs w:val="18"/>
          <w:lang w:val="es-419"/>
        </w:rPr>
        <w:lastRenderedPageBreak/>
        <w:t xml:space="preserve">recibía amenazas por parte de la fuerza pública quien lo sindicaba de ser auxiliador de la guerrilla, así como de paramilitares de San Pablo. Subrayó que un campesino le indicó que Edgar Quiroga había sido detenido por </w:t>
      </w:r>
      <w:r w:rsidR="00584456" w:rsidRPr="00F2058B">
        <w:rPr>
          <w:rFonts w:ascii="Cambria" w:hAnsi="Cambria"/>
          <w:sz w:val="18"/>
          <w:szCs w:val="18"/>
          <w:lang w:val="es-419"/>
        </w:rPr>
        <w:t xml:space="preserve">el Batallón 45 y luego entregado a paramilitares. </w:t>
      </w:r>
    </w:p>
    <w:p w14:paraId="7ACB9330" w14:textId="1AE9772D" w:rsidR="00850D11" w:rsidRPr="00F2058B" w:rsidRDefault="00850D11" w:rsidP="00442035">
      <w:pPr>
        <w:ind w:left="360" w:right="720"/>
        <w:jc w:val="both"/>
        <w:rPr>
          <w:rFonts w:ascii="Cambria" w:hAnsi="Cambria"/>
          <w:sz w:val="18"/>
          <w:szCs w:val="18"/>
          <w:lang w:val="es-419"/>
        </w:rPr>
      </w:pPr>
    </w:p>
    <w:p w14:paraId="3B7A19D4" w14:textId="6F93EEC4" w:rsidR="00B23C17" w:rsidRPr="00F2058B" w:rsidRDefault="00B23C17" w:rsidP="00442035">
      <w:pPr>
        <w:pStyle w:val="ListParagraph"/>
        <w:ind w:left="360" w:right="720"/>
        <w:jc w:val="both"/>
        <w:rPr>
          <w:rFonts w:ascii="Cambria" w:hAnsi="Cambria"/>
          <w:sz w:val="18"/>
          <w:szCs w:val="18"/>
          <w:lang w:val="es-419"/>
        </w:rPr>
      </w:pPr>
      <w:r w:rsidRPr="00F2058B">
        <w:rPr>
          <w:rFonts w:ascii="Cambria" w:hAnsi="Cambria"/>
          <w:sz w:val="18"/>
          <w:szCs w:val="18"/>
          <w:lang w:val="es-419"/>
        </w:rPr>
        <w:t>-Asimismo, una de las comisiones de búsqueda de las presuntas víctimas, concluyó tras recabar testimonios de campesinos que, tras su detenci</w:t>
      </w:r>
      <w:r w:rsidR="00850D11" w:rsidRPr="00F2058B">
        <w:rPr>
          <w:rFonts w:ascii="Cambria" w:hAnsi="Cambria"/>
          <w:sz w:val="18"/>
          <w:szCs w:val="18"/>
          <w:lang w:val="es-419"/>
        </w:rPr>
        <w:t xml:space="preserve">ón e interrogatorio </w:t>
      </w:r>
      <w:r w:rsidRPr="00F2058B">
        <w:rPr>
          <w:rFonts w:ascii="Cambria" w:hAnsi="Cambria"/>
          <w:sz w:val="18"/>
          <w:szCs w:val="18"/>
          <w:lang w:val="es-419"/>
        </w:rPr>
        <w:t>por las autodefensas unidas de Colombia</w:t>
      </w:r>
      <w:r w:rsidR="00850D11" w:rsidRPr="00F2058B">
        <w:rPr>
          <w:rFonts w:ascii="Cambria" w:hAnsi="Cambria"/>
          <w:sz w:val="18"/>
          <w:szCs w:val="18"/>
          <w:lang w:val="es-419"/>
        </w:rPr>
        <w:t xml:space="preserve">, las presuntas </w:t>
      </w:r>
      <w:r w:rsidR="003B174F" w:rsidRPr="00F2058B">
        <w:rPr>
          <w:rFonts w:ascii="Cambria" w:hAnsi="Cambria"/>
          <w:sz w:val="18"/>
          <w:szCs w:val="18"/>
          <w:lang w:val="es-419"/>
        </w:rPr>
        <w:t>víctimas</w:t>
      </w:r>
      <w:r w:rsidR="00850D11" w:rsidRPr="00F2058B">
        <w:rPr>
          <w:rFonts w:ascii="Cambria" w:hAnsi="Cambria"/>
          <w:sz w:val="18"/>
          <w:szCs w:val="18"/>
          <w:lang w:val="es-419"/>
        </w:rPr>
        <w:t xml:space="preserve"> fueron conducidas a la gasolinera del pueblo donde aterrizó un helicóptero blanco con rayas rojas y verdes el cual transportó, amarradas, a las presuntas víctimas fuera del caserío Cerro Azul. </w:t>
      </w:r>
    </w:p>
    <w:p w14:paraId="238B5B42" w14:textId="2769ECA9" w:rsidR="00584456" w:rsidRPr="00F2058B" w:rsidRDefault="00584456" w:rsidP="00442035">
      <w:pPr>
        <w:pStyle w:val="ListParagraph"/>
        <w:ind w:left="360" w:right="720"/>
        <w:jc w:val="both"/>
        <w:rPr>
          <w:rFonts w:ascii="Cambria" w:hAnsi="Cambria"/>
          <w:sz w:val="18"/>
          <w:szCs w:val="18"/>
          <w:lang w:val="es-419"/>
        </w:rPr>
      </w:pPr>
    </w:p>
    <w:p w14:paraId="25A8D9A7" w14:textId="445F9DB3" w:rsidR="00584456" w:rsidRPr="00F2058B" w:rsidRDefault="00584456" w:rsidP="00442035">
      <w:pPr>
        <w:pStyle w:val="ListParagraph"/>
        <w:ind w:left="360" w:right="720"/>
        <w:jc w:val="both"/>
        <w:rPr>
          <w:rFonts w:ascii="Cambria" w:hAnsi="Cambria"/>
          <w:sz w:val="18"/>
          <w:szCs w:val="18"/>
          <w:lang w:val="es-419"/>
        </w:rPr>
      </w:pPr>
      <w:r w:rsidRPr="00F2058B">
        <w:rPr>
          <w:rFonts w:ascii="Cambria" w:hAnsi="Cambria"/>
          <w:sz w:val="18"/>
          <w:szCs w:val="18"/>
          <w:lang w:val="es-419"/>
        </w:rPr>
        <w:t xml:space="preserve">-El teniente Coronel Jesús Maria Clavijo del Batallón 45 </w:t>
      </w:r>
      <w:r w:rsidR="003B174F" w:rsidRPr="00F2058B">
        <w:rPr>
          <w:rFonts w:ascii="Cambria" w:hAnsi="Cambria"/>
          <w:sz w:val="18"/>
          <w:szCs w:val="18"/>
          <w:lang w:val="es-419"/>
        </w:rPr>
        <w:t>Héroes</w:t>
      </w:r>
      <w:r w:rsidRPr="00F2058B">
        <w:rPr>
          <w:rFonts w:ascii="Cambria" w:hAnsi="Cambria"/>
          <w:sz w:val="18"/>
          <w:szCs w:val="18"/>
          <w:lang w:val="es-419"/>
        </w:rPr>
        <w:t xml:space="preserve"> de Majagual subrayó que ellos no detuvieron a las presuntas víctimas, sin embargo, refirió que cuentan con un helicóptero azul con blanco y que “los agentes generadores de violencia” no cuentan con helicópteros. Agregó que las presuntas víctimas al dirigir la “marcha campesina” han desestabilizado al gobierno y creado caos social, y que no entiende que hacían Edgar Quiroga y Gildardo Fuentes en un área de tan alto riesgo como es cerro azul. </w:t>
      </w:r>
    </w:p>
    <w:p w14:paraId="2B519E73" w14:textId="5E640BA2" w:rsidR="000016EC" w:rsidRPr="00F2058B" w:rsidRDefault="000016EC" w:rsidP="00442035">
      <w:pPr>
        <w:pStyle w:val="ListParagraph"/>
        <w:ind w:left="360" w:right="720"/>
        <w:jc w:val="both"/>
        <w:rPr>
          <w:rFonts w:ascii="Cambria" w:hAnsi="Cambria"/>
          <w:sz w:val="18"/>
          <w:szCs w:val="18"/>
          <w:lang w:val="es-419"/>
        </w:rPr>
      </w:pPr>
    </w:p>
    <w:p w14:paraId="34BA767B" w14:textId="161CEFC4" w:rsidR="00453BAE" w:rsidRPr="00F2058B" w:rsidRDefault="000016EC" w:rsidP="00442035">
      <w:pPr>
        <w:pStyle w:val="ListParagraph"/>
        <w:ind w:left="360" w:right="720"/>
        <w:jc w:val="both"/>
        <w:rPr>
          <w:rFonts w:ascii="Cambria" w:hAnsi="Cambria"/>
          <w:sz w:val="18"/>
          <w:szCs w:val="18"/>
          <w:lang w:val="es-419"/>
        </w:rPr>
      </w:pPr>
      <w:r w:rsidRPr="00F2058B">
        <w:rPr>
          <w:rFonts w:ascii="Cambria" w:hAnsi="Cambria"/>
          <w:sz w:val="18"/>
          <w:szCs w:val="18"/>
          <w:lang w:val="es-419"/>
        </w:rPr>
        <w:t xml:space="preserve">-Finalmente la Comisión nota que en la misma condena a Rodrigo Pérez Alzate se exhortó a la </w:t>
      </w:r>
      <w:r w:rsidR="003B174F" w:rsidRPr="00F2058B">
        <w:rPr>
          <w:rFonts w:ascii="Cambria" w:hAnsi="Cambria"/>
          <w:sz w:val="18"/>
          <w:szCs w:val="18"/>
          <w:lang w:val="es-419"/>
        </w:rPr>
        <w:t>Fiscalía</w:t>
      </w:r>
      <w:r w:rsidRPr="00F2058B">
        <w:rPr>
          <w:rFonts w:ascii="Cambria" w:hAnsi="Cambria"/>
          <w:sz w:val="18"/>
          <w:szCs w:val="18"/>
          <w:lang w:val="es-419"/>
        </w:rPr>
        <w:t xml:space="preserve"> a investigar </w:t>
      </w:r>
      <w:r w:rsidR="00241C97" w:rsidRPr="00F2058B">
        <w:rPr>
          <w:rFonts w:ascii="Cambria" w:hAnsi="Cambria"/>
          <w:sz w:val="18"/>
          <w:szCs w:val="18"/>
          <w:lang w:val="es-419"/>
        </w:rPr>
        <w:t xml:space="preserve">a las diferentes entidades del Estado que colaboraron con las autodefensas en la comisión de los distintos delitos. </w:t>
      </w:r>
    </w:p>
    <w:p w14:paraId="7B875000" w14:textId="77777777" w:rsidR="00C971FD" w:rsidRPr="00F2058B" w:rsidRDefault="00C971FD" w:rsidP="00C971FD">
      <w:pPr>
        <w:pStyle w:val="parrafos"/>
        <w:tabs>
          <w:tab w:val="clear" w:pos="360"/>
        </w:tabs>
        <w:rPr>
          <w:rFonts w:ascii="Cambria" w:hAnsi="Cambria"/>
          <w:lang w:val="es-419"/>
        </w:rPr>
      </w:pPr>
    </w:p>
    <w:p w14:paraId="5DB111BA" w14:textId="2F69597D" w:rsidR="00AE5B5B" w:rsidRPr="00F2058B" w:rsidRDefault="00453BAE" w:rsidP="00F06940">
      <w:pPr>
        <w:pStyle w:val="parrafos"/>
        <w:numPr>
          <w:ilvl w:val="0"/>
          <w:numId w:val="58"/>
        </w:numPr>
        <w:ind w:left="0" w:firstLine="0"/>
        <w:rPr>
          <w:rFonts w:ascii="Cambria" w:hAnsi="Cambria"/>
          <w:lang w:val="es-419"/>
        </w:rPr>
      </w:pPr>
      <w:r w:rsidRPr="00F2058B">
        <w:rPr>
          <w:rFonts w:ascii="Cambria" w:hAnsi="Cambria"/>
          <w:lang w:val="es-419"/>
        </w:rPr>
        <w:t>La Comisión estima que todos los elementos indicados</w:t>
      </w:r>
      <w:r w:rsidR="002F5DFA" w:rsidRPr="00F2058B">
        <w:rPr>
          <w:rFonts w:ascii="Cambria" w:hAnsi="Cambria"/>
          <w:lang w:val="es-419"/>
        </w:rPr>
        <w:t>,</w:t>
      </w:r>
      <w:r w:rsidRPr="00F2058B">
        <w:rPr>
          <w:rFonts w:ascii="Cambria" w:hAnsi="Cambria"/>
          <w:lang w:val="es-419"/>
        </w:rPr>
        <w:t xml:space="preserve"> en su conjunto</w:t>
      </w:r>
      <w:r w:rsidR="002F5DFA" w:rsidRPr="00F2058B">
        <w:rPr>
          <w:rFonts w:ascii="Cambria" w:hAnsi="Cambria"/>
          <w:lang w:val="es-419"/>
        </w:rPr>
        <w:t>,</w:t>
      </w:r>
      <w:r w:rsidRPr="00F2058B">
        <w:rPr>
          <w:rFonts w:ascii="Cambria" w:hAnsi="Cambria"/>
          <w:lang w:val="es-419"/>
        </w:rPr>
        <w:t xml:space="preserve"> permiten comprobar que</w:t>
      </w:r>
      <w:r w:rsidR="00241C97" w:rsidRPr="00F2058B">
        <w:rPr>
          <w:rFonts w:ascii="Cambria" w:hAnsi="Cambria"/>
          <w:lang w:val="es-419"/>
        </w:rPr>
        <w:t xml:space="preserve"> la desaparición de las presuntas víctimas fue realizada por miembros de grupos paramilitares con la colaboración </w:t>
      </w:r>
      <w:r w:rsidR="00925C49" w:rsidRPr="00F2058B">
        <w:rPr>
          <w:rFonts w:ascii="Cambria" w:hAnsi="Cambria"/>
          <w:lang w:val="es-419"/>
        </w:rPr>
        <w:t xml:space="preserve">o aquiescencia </w:t>
      </w:r>
      <w:r w:rsidR="00241C97" w:rsidRPr="00F2058B">
        <w:rPr>
          <w:rFonts w:ascii="Cambria" w:hAnsi="Cambria"/>
          <w:lang w:val="es-419"/>
        </w:rPr>
        <w:t>de agentes estatales. Los indicios de participación estatal no han sido desvirtuado</w:t>
      </w:r>
      <w:r w:rsidR="007F2603" w:rsidRPr="00F2058B">
        <w:rPr>
          <w:rFonts w:ascii="Cambria" w:hAnsi="Cambria"/>
          <w:lang w:val="es-419"/>
        </w:rPr>
        <w:t xml:space="preserve">s </w:t>
      </w:r>
      <w:r w:rsidR="00241C97" w:rsidRPr="00F2058B">
        <w:rPr>
          <w:rFonts w:ascii="Cambria" w:hAnsi="Cambria"/>
          <w:lang w:val="es-419"/>
        </w:rPr>
        <w:t>por el Estado, ni como se indicará mas</w:t>
      </w:r>
      <w:r w:rsidR="007F2603" w:rsidRPr="00F2058B">
        <w:rPr>
          <w:rFonts w:ascii="Cambria" w:hAnsi="Cambria"/>
          <w:lang w:val="es-419"/>
        </w:rPr>
        <w:t xml:space="preserve"> ad</w:t>
      </w:r>
      <w:r w:rsidR="00241C97" w:rsidRPr="00F2058B">
        <w:rPr>
          <w:rFonts w:ascii="Cambria" w:hAnsi="Cambria"/>
          <w:lang w:val="es-419"/>
        </w:rPr>
        <w:t>e</w:t>
      </w:r>
      <w:r w:rsidR="007F2603" w:rsidRPr="00F2058B">
        <w:rPr>
          <w:rFonts w:ascii="Cambria" w:hAnsi="Cambria"/>
          <w:lang w:val="es-419"/>
        </w:rPr>
        <w:t>l</w:t>
      </w:r>
      <w:r w:rsidR="00241C97" w:rsidRPr="00F2058B">
        <w:rPr>
          <w:rFonts w:ascii="Cambria" w:hAnsi="Cambria"/>
          <w:lang w:val="es-419"/>
        </w:rPr>
        <w:t>ante, el Estado ha agotado dicha hipótesis en el marco de investigaciones y procesos penales efectivos. En c</w:t>
      </w:r>
      <w:r w:rsidR="007F2603" w:rsidRPr="00F2058B">
        <w:rPr>
          <w:rFonts w:ascii="Cambria" w:hAnsi="Cambria"/>
          <w:lang w:val="es-419"/>
        </w:rPr>
        <w:t xml:space="preserve">onclusión, </w:t>
      </w:r>
      <w:r w:rsidRPr="00F2058B">
        <w:rPr>
          <w:rFonts w:ascii="Cambria" w:hAnsi="Cambria"/>
          <w:lang w:val="es-419"/>
        </w:rPr>
        <w:t xml:space="preserve">la Comisión considera que se encuentra acreditado el segundo elemento de la desaparición forzada. </w:t>
      </w:r>
    </w:p>
    <w:p w14:paraId="1A0426DB" w14:textId="77777777" w:rsidR="00AE5B5B" w:rsidRPr="00F2058B" w:rsidRDefault="00AE5B5B" w:rsidP="00AE5B5B">
      <w:pPr>
        <w:pStyle w:val="parrafos"/>
        <w:rPr>
          <w:rFonts w:ascii="Cambria" w:hAnsi="Cambria"/>
          <w:lang w:val="es-419"/>
        </w:rPr>
      </w:pPr>
    </w:p>
    <w:p w14:paraId="3B640277" w14:textId="28028FA6" w:rsidR="00F053F8" w:rsidRPr="00F2058B" w:rsidRDefault="00453BAE" w:rsidP="00F06940">
      <w:pPr>
        <w:pStyle w:val="parrafos"/>
        <w:numPr>
          <w:ilvl w:val="0"/>
          <w:numId w:val="58"/>
        </w:numPr>
        <w:ind w:left="0" w:firstLine="0"/>
        <w:rPr>
          <w:rFonts w:ascii="Cambria" w:hAnsi="Cambria"/>
          <w:lang w:val="es-419"/>
        </w:rPr>
      </w:pPr>
      <w:r w:rsidRPr="00F2058B">
        <w:rPr>
          <w:rFonts w:ascii="Cambria" w:hAnsi="Cambria"/>
          <w:lang w:val="es-419"/>
        </w:rPr>
        <w:t xml:space="preserve">En cuanto al tercer elemento, relacionado con la negativa </w:t>
      </w:r>
      <w:r w:rsidRPr="00F2058B">
        <w:rPr>
          <w:rFonts w:ascii="Cambria" w:eastAsia="Times New Roman" w:hAnsi="Cambria"/>
          <w:lang w:val="es-419"/>
        </w:rPr>
        <w:t>de reconocer la detención o de revelar la suerte o paradero de la persona desaparecida</w:t>
      </w:r>
      <w:r w:rsidRPr="00F2058B">
        <w:rPr>
          <w:rFonts w:ascii="Cambria" w:hAnsi="Cambria"/>
          <w:lang w:val="es-419"/>
        </w:rPr>
        <w:t xml:space="preserve">, la Comisión observa que </w:t>
      </w:r>
      <w:r w:rsidR="0046679C" w:rsidRPr="00F2058B">
        <w:rPr>
          <w:rFonts w:ascii="Cambria" w:hAnsi="Cambria"/>
          <w:lang w:val="es-419"/>
        </w:rPr>
        <w:t xml:space="preserve">el 29 de noviembre de 1999 la hermana de Édgar Quiroga presentó una acción de hábeas corpus indicando que las presuntas víctimas fueron detenidas por miembros del Batallón no. 45 Héroes de Majagual, sin </w:t>
      </w:r>
      <w:r w:rsidR="003B174F" w:rsidRPr="00F2058B">
        <w:rPr>
          <w:rFonts w:ascii="Cambria" w:hAnsi="Cambria"/>
          <w:lang w:val="es-419"/>
        </w:rPr>
        <w:t>embargo,</w:t>
      </w:r>
      <w:r w:rsidR="0046679C" w:rsidRPr="00F2058B">
        <w:rPr>
          <w:rFonts w:ascii="Cambria" w:hAnsi="Cambria"/>
          <w:lang w:val="es-419"/>
        </w:rPr>
        <w:t xml:space="preserve"> fue denegada el 30 de noviembre de 1999 por el Juzgado Primero Penal del Circuito de la ciudad de Barrancabermeja, al argumentarse que no tiene ningún respaldo probatorio el alegato de que las presuntas víctimas fueron retenidas por una autoridad pública y que mas bien se logró establecer que fueron retenidos por grupos paramilitares. </w:t>
      </w:r>
    </w:p>
    <w:p w14:paraId="407FF72D" w14:textId="078B7E4B" w:rsidR="00EA3E55" w:rsidRPr="00F2058B" w:rsidRDefault="00EA3E55" w:rsidP="00EA3E55">
      <w:pPr>
        <w:rPr>
          <w:rFonts w:ascii="Cambria" w:hAnsi="Cambria"/>
          <w:lang w:val="es-419"/>
        </w:rPr>
      </w:pPr>
    </w:p>
    <w:p w14:paraId="4A27A456" w14:textId="6813D476" w:rsidR="0002024A" w:rsidRPr="00F2058B" w:rsidRDefault="00F053F8" w:rsidP="00F06940">
      <w:pPr>
        <w:pStyle w:val="parrafos"/>
        <w:numPr>
          <w:ilvl w:val="0"/>
          <w:numId w:val="58"/>
        </w:numPr>
        <w:ind w:left="0" w:firstLine="0"/>
        <w:rPr>
          <w:rFonts w:ascii="Cambria" w:hAnsi="Cambria"/>
          <w:lang w:val="es-419"/>
        </w:rPr>
      </w:pPr>
      <w:r w:rsidRPr="00F2058B">
        <w:rPr>
          <w:rFonts w:ascii="Cambria" w:hAnsi="Cambria"/>
          <w:lang w:val="es-419"/>
        </w:rPr>
        <w:t xml:space="preserve">La CIDH </w:t>
      </w:r>
      <w:r w:rsidRPr="00F2058B">
        <w:rPr>
          <w:rFonts w:ascii="Cambria" w:hAnsi="Cambria"/>
          <w:color w:val="auto"/>
          <w:lang w:val="es-419"/>
        </w:rPr>
        <w:t xml:space="preserve">observa que el Juzgado Primero </w:t>
      </w:r>
      <w:r w:rsidR="0045157A" w:rsidRPr="00F2058B">
        <w:rPr>
          <w:rFonts w:ascii="Cambria" w:hAnsi="Cambria"/>
          <w:color w:val="auto"/>
          <w:lang w:val="es-419"/>
        </w:rPr>
        <w:t>calificó como “falaz y calumniosa”</w:t>
      </w:r>
      <w:r w:rsidR="003B174F">
        <w:rPr>
          <w:rFonts w:ascii="Cambria" w:hAnsi="Cambria"/>
          <w:color w:val="auto"/>
          <w:lang w:val="es-419"/>
        </w:rPr>
        <w:t xml:space="preserve"> </w:t>
      </w:r>
      <w:r w:rsidR="0045157A" w:rsidRPr="00F2058B">
        <w:rPr>
          <w:rFonts w:ascii="Cambria" w:hAnsi="Cambria"/>
          <w:color w:val="auto"/>
          <w:lang w:val="es-419"/>
        </w:rPr>
        <w:t>la afirmación de la hermana de Edgar Quiroga quien indicó que recibió información de un campesino respecto a que las presuntas víctimas fueron detenidas por miembros del Batallón 45, y como “cierto” lo afirmado por un mayor de dicho batallón, quien se limitó a indicar que no retuvieron a ninguna persona y no realizaron labores de patrullaje donde ocurrieron los he</w:t>
      </w:r>
      <w:r w:rsidR="00EA3E55" w:rsidRPr="00F2058B">
        <w:rPr>
          <w:rFonts w:ascii="Cambria" w:hAnsi="Cambria"/>
          <w:color w:val="auto"/>
          <w:lang w:val="es-419"/>
        </w:rPr>
        <w:t>chos sin embargo no presentó</w:t>
      </w:r>
      <w:r w:rsidR="0045157A" w:rsidRPr="00F2058B">
        <w:rPr>
          <w:rFonts w:ascii="Cambria" w:hAnsi="Cambria"/>
          <w:color w:val="auto"/>
          <w:lang w:val="es-419"/>
        </w:rPr>
        <w:t xml:space="preserve"> razones </w:t>
      </w:r>
      <w:r w:rsidR="003B174F" w:rsidRPr="00F2058B">
        <w:rPr>
          <w:rFonts w:ascii="Cambria" w:hAnsi="Cambria"/>
          <w:color w:val="auto"/>
          <w:lang w:val="es-419"/>
        </w:rPr>
        <w:t>convincentes</w:t>
      </w:r>
      <w:r w:rsidR="0045157A" w:rsidRPr="00F2058B">
        <w:rPr>
          <w:rFonts w:ascii="Cambria" w:hAnsi="Cambria"/>
          <w:color w:val="auto"/>
          <w:lang w:val="es-419"/>
        </w:rPr>
        <w:t xml:space="preserve"> </w:t>
      </w:r>
      <w:r w:rsidR="00EA3E55" w:rsidRPr="00F2058B">
        <w:rPr>
          <w:rFonts w:ascii="Cambria" w:hAnsi="Cambria"/>
          <w:color w:val="auto"/>
          <w:lang w:val="es-419"/>
        </w:rPr>
        <w:t xml:space="preserve">por las que procedía declarar la versión de un campesino y dar por probada, sin mayores diligencias, la versión del mayor del Batallón 45. </w:t>
      </w:r>
      <w:r w:rsidR="0046679C" w:rsidRPr="00F2058B">
        <w:rPr>
          <w:rFonts w:ascii="Cambria" w:hAnsi="Cambria"/>
          <w:color w:val="auto"/>
          <w:lang w:val="es-419"/>
        </w:rPr>
        <w:t>Al denegar la acción de habeas corpus,</w:t>
      </w:r>
      <w:r w:rsidR="00D639F7" w:rsidRPr="00F2058B">
        <w:rPr>
          <w:rFonts w:ascii="Cambria" w:hAnsi="Cambria"/>
          <w:color w:val="auto"/>
          <w:lang w:val="es-419"/>
        </w:rPr>
        <w:t xml:space="preserve"> el Juzgado Primero se limitó a enviar copia auténtica a la Defensoría del Pueblo y Procuraduría Provincial para que hagan las averiguaciones del caso, sin embargo, no ordenó adoptar diigencia alguna para determinar el paradero de las presun</w:t>
      </w:r>
      <w:r w:rsidR="003B174F">
        <w:rPr>
          <w:rFonts w:ascii="Cambria" w:hAnsi="Cambria"/>
          <w:color w:val="auto"/>
          <w:lang w:val="es-419"/>
        </w:rPr>
        <w:t>t</w:t>
      </w:r>
      <w:r w:rsidR="00D639F7" w:rsidRPr="00F2058B">
        <w:rPr>
          <w:rFonts w:ascii="Cambria" w:hAnsi="Cambria"/>
          <w:color w:val="auto"/>
          <w:lang w:val="es-419"/>
        </w:rPr>
        <w:t>as víctimas.</w:t>
      </w:r>
      <w:r w:rsidR="00EA3E55" w:rsidRPr="00F2058B">
        <w:rPr>
          <w:rFonts w:ascii="Cambria" w:hAnsi="Cambria"/>
          <w:color w:val="auto"/>
          <w:lang w:val="es-419"/>
        </w:rPr>
        <w:t xml:space="preserve"> </w:t>
      </w:r>
    </w:p>
    <w:p w14:paraId="1BCBED5E" w14:textId="77777777" w:rsidR="0002024A" w:rsidRPr="00F2058B" w:rsidRDefault="0002024A" w:rsidP="0002024A">
      <w:pPr>
        <w:pStyle w:val="ListParagraph"/>
        <w:rPr>
          <w:rFonts w:ascii="Cambria" w:hAnsi="Cambria"/>
          <w:lang w:val="es-419"/>
        </w:rPr>
      </w:pPr>
    </w:p>
    <w:p w14:paraId="73A26F34" w14:textId="01713A97" w:rsidR="00EA3E55" w:rsidRPr="00F2058B" w:rsidRDefault="0002024A" w:rsidP="00F06940">
      <w:pPr>
        <w:pStyle w:val="parrafos"/>
        <w:numPr>
          <w:ilvl w:val="0"/>
          <w:numId w:val="58"/>
        </w:numPr>
        <w:ind w:left="0" w:firstLine="0"/>
        <w:rPr>
          <w:rFonts w:ascii="Cambria" w:hAnsi="Cambria"/>
          <w:lang w:val="es-419"/>
        </w:rPr>
      </w:pPr>
      <w:r w:rsidRPr="00F2058B">
        <w:rPr>
          <w:rFonts w:ascii="Cambria" w:hAnsi="Cambria"/>
          <w:lang w:val="es-419"/>
        </w:rPr>
        <w:t xml:space="preserve">Además de lo anterior, la Comisión recuerda que Victoria Delgado Anaya fue secuestrada en dos ocasiones y finalmente asesinada por miembros de grupos paramilitares tras haber realizado diversas denuncias por la </w:t>
      </w:r>
      <w:r w:rsidR="003B174F" w:rsidRPr="00F2058B">
        <w:rPr>
          <w:rFonts w:ascii="Cambria" w:hAnsi="Cambria"/>
          <w:lang w:val="es-419"/>
        </w:rPr>
        <w:t>desaparición</w:t>
      </w:r>
      <w:r w:rsidRPr="00F2058B">
        <w:rPr>
          <w:rFonts w:ascii="Cambria" w:hAnsi="Cambria"/>
          <w:lang w:val="es-419"/>
        </w:rPr>
        <w:t xml:space="preserve"> de su hijo Gildardo Fuentes</w:t>
      </w:r>
      <w:r w:rsidR="008C14AF" w:rsidRPr="00F2058B">
        <w:rPr>
          <w:rFonts w:ascii="Cambria" w:hAnsi="Cambria"/>
          <w:lang w:val="es-419"/>
        </w:rPr>
        <w:t>,</w:t>
      </w:r>
      <w:r w:rsidRPr="00F2058B">
        <w:rPr>
          <w:rFonts w:ascii="Cambria" w:hAnsi="Cambria"/>
          <w:lang w:val="es-419"/>
        </w:rPr>
        <w:t xml:space="preserve"> y con el objeto de encubrir las desapariciones. La CIDH no cuenta con información sobre las acciones que tomó el Estado para</w:t>
      </w:r>
      <w:r w:rsidR="008C14AF" w:rsidRPr="00F2058B">
        <w:rPr>
          <w:rFonts w:ascii="Cambria" w:hAnsi="Cambria"/>
          <w:lang w:val="es-419"/>
        </w:rPr>
        <w:t xml:space="preserve"> investigar tales denuncias de forma efectiva,</w:t>
      </w:r>
      <w:r w:rsidRPr="00F2058B">
        <w:rPr>
          <w:rFonts w:ascii="Cambria" w:hAnsi="Cambria"/>
          <w:lang w:val="es-419"/>
        </w:rPr>
        <w:t xml:space="preserve"> proteger a Victoria Delgado pese a tener conocimiento de la situación en el territorio donde ocurrieron los hechos y tras haber sido víctima de un primer secuestro. Todo esto, se dio en el contexto de colaboración </w:t>
      </w:r>
      <w:r w:rsidR="00925C49" w:rsidRPr="00F2058B">
        <w:rPr>
          <w:rFonts w:ascii="Cambria" w:hAnsi="Cambria"/>
          <w:lang w:val="es-419"/>
        </w:rPr>
        <w:t>o aquiescencia de</w:t>
      </w:r>
      <w:r w:rsidRPr="00F2058B">
        <w:rPr>
          <w:rFonts w:ascii="Cambria" w:hAnsi="Cambria"/>
          <w:lang w:val="es-419"/>
        </w:rPr>
        <w:t xml:space="preserve"> g</w:t>
      </w:r>
      <w:r w:rsidR="00925C49" w:rsidRPr="00F2058B">
        <w:rPr>
          <w:rFonts w:ascii="Cambria" w:hAnsi="Cambria"/>
          <w:lang w:val="es-419"/>
        </w:rPr>
        <w:t xml:space="preserve">rupos paramilitares por parte de </w:t>
      </w:r>
      <w:r w:rsidR="00E301C0" w:rsidRPr="00F2058B">
        <w:rPr>
          <w:rFonts w:ascii="Cambria" w:hAnsi="Cambria"/>
          <w:lang w:val="es-419"/>
        </w:rPr>
        <w:t>ag</w:t>
      </w:r>
      <w:r w:rsidR="008C14AF" w:rsidRPr="00F2058B">
        <w:rPr>
          <w:rFonts w:ascii="Cambria" w:hAnsi="Cambria"/>
          <w:lang w:val="es-419"/>
        </w:rPr>
        <w:t xml:space="preserve">entes estatales. </w:t>
      </w:r>
      <w:r w:rsidRPr="00F2058B">
        <w:rPr>
          <w:rFonts w:ascii="Cambria" w:hAnsi="Cambria"/>
          <w:lang w:val="es-419"/>
        </w:rPr>
        <w:t xml:space="preserve">En suma, la Comisión </w:t>
      </w:r>
      <w:r w:rsidR="00EA3E55" w:rsidRPr="00F2058B">
        <w:rPr>
          <w:rFonts w:ascii="Cambria" w:hAnsi="Cambria"/>
          <w:color w:val="auto"/>
          <w:lang w:val="es-419"/>
        </w:rPr>
        <w:t xml:space="preserve">considera que </w:t>
      </w:r>
      <w:r w:rsidRPr="00F2058B">
        <w:rPr>
          <w:rFonts w:ascii="Cambria" w:hAnsi="Cambria"/>
          <w:color w:val="auto"/>
          <w:lang w:val="es-419"/>
        </w:rPr>
        <w:t>los</w:t>
      </w:r>
      <w:r w:rsidR="00EA3E55" w:rsidRPr="00F2058B">
        <w:rPr>
          <w:rFonts w:ascii="Cambria" w:hAnsi="Cambria"/>
          <w:color w:val="auto"/>
          <w:lang w:val="es-419"/>
        </w:rPr>
        <w:t xml:space="preserve"> elementos </w:t>
      </w:r>
      <w:r w:rsidRPr="00F2058B">
        <w:rPr>
          <w:rFonts w:ascii="Cambria" w:hAnsi="Cambria"/>
          <w:color w:val="auto"/>
          <w:lang w:val="es-419"/>
        </w:rPr>
        <w:t xml:space="preserve">indicados </w:t>
      </w:r>
      <w:r w:rsidR="00EA3E55" w:rsidRPr="00F2058B">
        <w:rPr>
          <w:rFonts w:ascii="Cambria" w:hAnsi="Cambria"/>
          <w:color w:val="auto"/>
          <w:lang w:val="es-419"/>
        </w:rPr>
        <w:t xml:space="preserve">permiten dar por cumplido el tercer elemento para calificar los hechos como desapariciones forzadas. </w:t>
      </w:r>
    </w:p>
    <w:p w14:paraId="02A1AF26" w14:textId="68E42E2B" w:rsidR="0002024A" w:rsidRPr="00F2058B" w:rsidRDefault="0002024A" w:rsidP="0002024A">
      <w:pPr>
        <w:rPr>
          <w:rFonts w:ascii="Cambria" w:hAnsi="Cambria"/>
          <w:lang w:val="es-419"/>
        </w:rPr>
      </w:pPr>
    </w:p>
    <w:p w14:paraId="7B86A490" w14:textId="4DC9772A" w:rsidR="00453BAE" w:rsidRPr="00F2058B" w:rsidRDefault="00453BAE" w:rsidP="00F06940">
      <w:pPr>
        <w:pStyle w:val="parrafos"/>
        <w:numPr>
          <w:ilvl w:val="0"/>
          <w:numId w:val="58"/>
        </w:numPr>
        <w:ind w:left="0" w:firstLine="0"/>
        <w:rPr>
          <w:rFonts w:ascii="Cambria" w:hAnsi="Cambria"/>
          <w:lang w:val="es-419"/>
        </w:rPr>
      </w:pPr>
      <w:r w:rsidRPr="00F2058B">
        <w:rPr>
          <w:rFonts w:ascii="Cambria" w:hAnsi="Cambria"/>
          <w:lang w:val="es-419"/>
        </w:rPr>
        <w:t xml:space="preserve">Conforme a lo expuesto, la Comisión concluye que </w:t>
      </w:r>
      <w:r w:rsidR="00EA3E55" w:rsidRPr="00F2058B">
        <w:rPr>
          <w:rFonts w:ascii="Cambria" w:hAnsi="Cambria"/>
          <w:lang w:val="es-419"/>
        </w:rPr>
        <w:t xml:space="preserve">Edgar Quiroga y Gildardo Fuentes fueron víctimas de desaparición forzada a partir del 28 de noviembre de 1999, </w:t>
      </w:r>
      <w:r w:rsidRPr="00F2058B">
        <w:rPr>
          <w:rFonts w:ascii="Cambria" w:hAnsi="Cambria"/>
          <w:lang w:val="es-419"/>
        </w:rPr>
        <w:t xml:space="preserve">por lo que el Estado colombiano, violó, en su perjuicio, los derechos establecidos en los artículos 3, 4.1, 5.1, 5.2 y 7 de la Convención Americana, en relación con el artículo </w:t>
      </w:r>
      <w:r w:rsidRPr="00F2058B">
        <w:rPr>
          <w:rFonts w:ascii="Cambria" w:hAnsi="Cambria"/>
          <w:lang w:val="es-419"/>
        </w:rPr>
        <w:lastRenderedPageBreak/>
        <w:t>1.1 del mismo instrumento. Igualmente, el Estado violó el artículo 1.a) de la Convención Interamericana sobre Desaparición Forzada de Personas.</w:t>
      </w:r>
    </w:p>
    <w:p w14:paraId="7354050C" w14:textId="1868993A" w:rsidR="00D41929" w:rsidRPr="00F2058B" w:rsidRDefault="00D41929" w:rsidP="00D41929">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highlight w:val="yellow"/>
          <w:lang w:val="es-419"/>
        </w:rPr>
      </w:pPr>
    </w:p>
    <w:p w14:paraId="70E0D594" w14:textId="571B8889" w:rsidR="00D41929" w:rsidRPr="00F2058B" w:rsidRDefault="00D41929" w:rsidP="00F06940">
      <w:pPr>
        <w:pStyle w:val="Heading2"/>
        <w:numPr>
          <w:ilvl w:val="0"/>
          <w:numId w:val="63"/>
        </w:numPr>
        <w:pBdr>
          <w:top w:val="nil"/>
          <w:left w:val="nil"/>
          <w:bottom w:val="nil"/>
          <w:right w:val="nil"/>
          <w:between w:val="nil"/>
          <w:bar w:val="nil"/>
        </w:pBdr>
        <w:ind w:left="360"/>
        <w:rPr>
          <w:lang w:val="es-419"/>
        </w:rPr>
      </w:pPr>
      <w:bookmarkStart w:id="32" w:name="_Toc519601827"/>
      <w:bookmarkStart w:id="33" w:name="_Toc1985290"/>
      <w:bookmarkStart w:id="34" w:name="_Toc216359323"/>
      <w:r w:rsidRPr="00F2058B">
        <w:rPr>
          <w:lang w:val="es-419"/>
        </w:rPr>
        <w:t>Derecho a las garantías</w:t>
      </w:r>
      <w:r w:rsidR="00401324" w:rsidRPr="00F2058B">
        <w:rPr>
          <w:lang w:val="es-419"/>
        </w:rPr>
        <w:t xml:space="preserve"> judiciales</w:t>
      </w:r>
      <w:r w:rsidRPr="00F2058B">
        <w:rPr>
          <w:lang w:val="es-419"/>
        </w:rPr>
        <w:t xml:space="preserve"> y la protección judicial en relación con la obligación de respetar los derechos humanos y el deber de adoptar disposiciones de derecho interno</w:t>
      </w:r>
      <w:r w:rsidRPr="00F2058B">
        <w:rPr>
          <w:rStyle w:val="FootnoteReference"/>
          <w:lang w:val="es-419"/>
        </w:rPr>
        <w:footnoteReference w:id="103"/>
      </w:r>
      <w:r w:rsidRPr="00F2058B">
        <w:rPr>
          <w:lang w:val="es-419"/>
        </w:rPr>
        <w:t>) y el artículo</w:t>
      </w:r>
      <w:r w:rsidR="00C971FD" w:rsidRPr="00F2058B">
        <w:rPr>
          <w:lang w:val="es-419"/>
        </w:rPr>
        <w:t xml:space="preserve"> I.b</w:t>
      </w:r>
      <w:r w:rsidRPr="00F2058B">
        <w:rPr>
          <w:lang w:val="es-419"/>
        </w:rPr>
        <w:t xml:space="preserve"> de la CIDFP</w:t>
      </w:r>
      <w:bookmarkEnd w:id="32"/>
      <w:bookmarkEnd w:id="33"/>
      <w:r w:rsidRPr="00F2058B">
        <w:rPr>
          <w:rStyle w:val="FootnoteReference"/>
          <w:lang w:val="es-419"/>
        </w:rPr>
        <w:footnoteReference w:id="104"/>
      </w:r>
      <w:bookmarkEnd w:id="34"/>
      <w:r w:rsidRPr="00F2058B">
        <w:rPr>
          <w:lang w:val="es-419"/>
        </w:rPr>
        <w:t xml:space="preserve"> </w:t>
      </w:r>
    </w:p>
    <w:p w14:paraId="3D476BE1" w14:textId="77777777" w:rsidR="00C971FD" w:rsidRPr="00F2058B" w:rsidRDefault="00C971FD" w:rsidP="00C971FD">
      <w:pPr>
        <w:rPr>
          <w:lang w:val="es-419"/>
        </w:rPr>
      </w:pPr>
    </w:p>
    <w:p w14:paraId="4496223E" w14:textId="77777777" w:rsidR="00D41929" w:rsidRPr="00F2058B" w:rsidRDefault="00D41929" w:rsidP="00F06940">
      <w:pPr>
        <w:pStyle w:val="parrafos"/>
        <w:numPr>
          <w:ilvl w:val="0"/>
          <w:numId w:val="58"/>
        </w:numPr>
        <w:ind w:left="0" w:firstLine="0"/>
        <w:rPr>
          <w:rFonts w:ascii="Cambria" w:hAnsi="Cambria"/>
          <w:lang w:val="es-419"/>
        </w:rPr>
      </w:pPr>
      <w:r w:rsidRPr="00F2058B">
        <w:rPr>
          <w:rFonts w:ascii="Cambria" w:eastAsia="Times New Roman" w:hAnsi="Cambria"/>
          <w:lang w:val="es-419" w:eastAsia="es-ES"/>
        </w:rPr>
        <w:t xml:space="preserve">De la jurisprudencia interamericana resulta que, cuando se trata de la denuncia de la desaparición de una persona, existe un vínculo inescindible entre la respuesta estatal y la protección de la vida e integridad de la persona que se denuncia desaparecida. La naturaleza inmediata y exhaustiva de la respuesta </w:t>
      </w:r>
      <w:r w:rsidRPr="00F2058B">
        <w:rPr>
          <w:rFonts w:ascii="Cambria" w:hAnsi="Cambria"/>
          <w:lang w:val="es-419"/>
        </w:rPr>
        <w:t>estatal</w:t>
      </w:r>
      <w:r w:rsidRPr="00F2058B">
        <w:rPr>
          <w:rFonts w:ascii="Cambria" w:eastAsia="Times New Roman" w:hAnsi="Cambria"/>
          <w:lang w:val="es-419" w:eastAsia="es-ES"/>
        </w:rPr>
        <w:t xml:space="preserve"> es </w:t>
      </w:r>
      <w:r w:rsidRPr="00F2058B">
        <w:rPr>
          <w:rFonts w:ascii="Cambria" w:hAnsi="Cambria"/>
          <w:lang w:val="es-419"/>
        </w:rPr>
        <w:t>independiente</w:t>
      </w:r>
      <w:r w:rsidRPr="00F2058B">
        <w:rPr>
          <w:rFonts w:ascii="Cambria" w:eastAsia="Times New Roman" w:hAnsi="Cambria"/>
          <w:lang w:val="es-419" w:eastAsia="es-ES"/>
        </w:rPr>
        <w:t xml:space="preserve"> de si se trata de una posible desaparición a manos de particulares o a manos de agentes estatales. La Comisión reitera que cuando haya motivos razonables para sospechar que una persona ha sido sometida a desaparición, es imprescindible la actuación pronta e inmediata de las autoridades fiscales y judiciales ordenando medidas oportunas y necesarias dirigidas a la determinación del paradero de la víctima o el lugar donde pueda encontrarse privada de libertad</w:t>
      </w:r>
      <w:bookmarkStart w:id="35" w:name="_Ref280106061"/>
      <w:r w:rsidRPr="00F2058B">
        <w:rPr>
          <w:rFonts w:ascii="Cambria" w:eastAsia="Times New Roman" w:hAnsi="Cambria"/>
          <w:vertAlign w:val="superscript"/>
          <w:lang w:val="es-419" w:eastAsia="es-ES"/>
        </w:rPr>
        <w:footnoteReference w:id="105"/>
      </w:r>
      <w:bookmarkEnd w:id="35"/>
      <w:r w:rsidRPr="00F2058B">
        <w:rPr>
          <w:rFonts w:ascii="Cambria" w:eastAsia="Times New Roman" w:hAnsi="Cambria"/>
          <w:lang w:val="es-419" w:eastAsia="es-ES"/>
        </w:rPr>
        <w:t xml:space="preserve">. </w:t>
      </w:r>
    </w:p>
    <w:p w14:paraId="1FB9A5BE" w14:textId="77777777" w:rsidR="00D41929" w:rsidRPr="00F2058B" w:rsidRDefault="00D41929" w:rsidP="00D41929">
      <w:pPr>
        <w:pStyle w:val="parrafos"/>
        <w:rPr>
          <w:rFonts w:ascii="Cambria" w:hAnsi="Cambria"/>
          <w:lang w:val="es-419"/>
        </w:rPr>
      </w:pPr>
    </w:p>
    <w:p w14:paraId="3D555C7B" w14:textId="77777777" w:rsidR="00D41929" w:rsidRPr="00F2058B" w:rsidRDefault="00D41929" w:rsidP="00F06940">
      <w:pPr>
        <w:pStyle w:val="parrafos"/>
        <w:numPr>
          <w:ilvl w:val="0"/>
          <w:numId w:val="58"/>
        </w:numPr>
        <w:ind w:left="0" w:firstLine="0"/>
        <w:rPr>
          <w:rFonts w:ascii="Cambria" w:hAnsi="Cambria"/>
          <w:lang w:val="es-419"/>
        </w:rPr>
      </w:pPr>
      <w:r w:rsidRPr="00F2058B">
        <w:rPr>
          <w:rFonts w:ascii="Cambria" w:hAnsi="Cambria"/>
          <w:spacing w:val="-2"/>
          <w:lang w:val="es-419"/>
        </w:rPr>
        <w:t xml:space="preserve">La Corte ha expresado que los Estados están obligados a proveer recursos judiciales efectivos a las víctimas de </w:t>
      </w:r>
      <w:r w:rsidRPr="00F2058B">
        <w:rPr>
          <w:rFonts w:ascii="Cambria" w:eastAsia="Times New Roman" w:hAnsi="Cambria"/>
          <w:lang w:val="es-419" w:eastAsia="es-ES"/>
        </w:rPr>
        <w:t>violaciones</w:t>
      </w:r>
      <w:r w:rsidRPr="00F2058B">
        <w:rPr>
          <w:rFonts w:ascii="Cambria" w:hAnsi="Cambria"/>
          <w:spacing w:val="-2"/>
          <w:lang w:val="es-419"/>
        </w:rPr>
        <w:t xml:space="preserve"> de derechos humanos (artículo 25), los cuales deben ser sustanciados de conformidad con las reglas del debido proceso legal (artículo 8.1) todo ello dentro de la obligación general, a cargo de los mismos Estados, de garantizar el libre y pleno ejercicio de los derechos reconocidos por la Convención a toda persona que se encuentre bajo su jurisdicción (artículo 1.1)</w:t>
      </w:r>
      <w:r w:rsidRPr="00F2058B">
        <w:rPr>
          <w:spacing w:val="-2"/>
          <w:vertAlign w:val="superscript"/>
          <w:lang w:val="es-419"/>
        </w:rPr>
        <w:footnoteReference w:id="106"/>
      </w:r>
      <w:r w:rsidRPr="00F2058B">
        <w:rPr>
          <w:rFonts w:ascii="Cambria" w:hAnsi="Cambria"/>
          <w:spacing w:val="-2"/>
          <w:lang w:val="es-419"/>
        </w:rPr>
        <w:t>.</w:t>
      </w:r>
    </w:p>
    <w:p w14:paraId="738C8526" w14:textId="77777777" w:rsidR="00D41929" w:rsidRPr="00F2058B" w:rsidRDefault="00D41929" w:rsidP="00D41929">
      <w:pPr>
        <w:pStyle w:val="ListParagraph"/>
        <w:rPr>
          <w:rFonts w:ascii="Cambria" w:hAnsi="Cambria"/>
          <w:spacing w:val="-2"/>
          <w:lang w:val="es-419"/>
        </w:rPr>
      </w:pPr>
    </w:p>
    <w:p w14:paraId="423B3349" w14:textId="77777777" w:rsidR="00D41929" w:rsidRPr="00F2058B" w:rsidRDefault="00D41929" w:rsidP="00F06940">
      <w:pPr>
        <w:pStyle w:val="parrafos"/>
        <w:numPr>
          <w:ilvl w:val="0"/>
          <w:numId w:val="58"/>
        </w:numPr>
        <w:ind w:left="0" w:firstLine="0"/>
        <w:rPr>
          <w:rFonts w:ascii="Cambria" w:hAnsi="Cambria"/>
          <w:lang w:val="es-419"/>
        </w:rPr>
      </w:pPr>
      <w:r w:rsidRPr="00F2058B">
        <w:rPr>
          <w:rFonts w:ascii="Cambria" w:hAnsi="Cambria"/>
          <w:spacing w:val="-2"/>
          <w:lang w:val="es-419"/>
        </w:rPr>
        <w:t xml:space="preserve">Así la Corte ha señalado que la obligación de investigar implica que una vez que las autoridades estatales tengan conocimiento del hecho, </w:t>
      </w:r>
      <w:r w:rsidRPr="00F2058B">
        <w:rPr>
          <w:rFonts w:ascii="Cambria" w:hAnsi="Cambria"/>
          <w:bCs/>
          <w:spacing w:val="-2"/>
          <w:lang w:val="es-419"/>
        </w:rPr>
        <w:t>deben</w:t>
      </w:r>
      <w:r w:rsidRPr="00F2058B">
        <w:rPr>
          <w:rFonts w:ascii="Cambria" w:hAnsi="Cambria"/>
          <w:spacing w:val="-2"/>
          <w:lang w:val="es-419"/>
        </w:rPr>
        <w:t xml:space="preserve"> iniciar</w:t>
      </w:r>
      <w:r w:rsidRPr="00F2058B">
        <w:rPr>
          <w:rFonts w:ascii="Cambria" w:hAnsi="Cambria"/>
          <w:i/>
          <w:spacing w:val="-2"/>
          <w:lang w:val="es-419"/>
        </w:rPr>
        <w:t xml:space="preserve"> ex officio</w:t>
      </w:r>
      <w:r w:rsidRPr="00F2058B">
        <w:rPr>
          <w:rFonts w:ascii="Cambria" w:hAnsi="Cambria"/>
          <w:spacing w:val="-2"/>
          <w:lang w:val="es-419"/>
        </w:rPr>
        <w:t xml:space="preserve"> y sin dilación, una investigación seria, imparcial y efectiva por todos los medios legales disponibles y orientada a la determinación de la verdad y a la persecución, captura, enjuiciamiento y eventual castigo de todos los autores de los hechos</w:t>
      </w:r>
      <w:r w:rsidRPr="00F2058B">
        <w:rPr>
          <w:spacing w:val="-2"/>
          <w:vertAlign w:val="superscript"/>
          <w:lang w:val="es-419"/>
        </w:rPr>
        <w:footnoteReference w:id="107"/>
      </w:r>
      <w:r w:rsidRPr="00F2058B">
        <w:rPr>
          <w:rFonts w:ascii="Cambria" w:hAnsi="Cambria"/>
          <w:spacing w:val="-2"/>
          <w:lang w:val="es-419"/>
        </w:rPr>
        <w:t>, especialmente cuando están o puedan estar involucrados agentes estatales</w:t>
      </w:r>
      <w:r w:rsidRPr="00F2058B">
        <w:rPr>
          <w:spacing w:val="-2"/>
          <w:vertAlign w:val="superscript"/>
          <w:lang w:val="es-419"/>
        </w:rPr>
        <w:footnoteReference w:id="108"/>
      </w:r>
      <w:r w:rsidRPr="00F2058B">
        <w:rPr>
          <w:rFonts w:ascii="Cambria" w:hAnsi="Cambria"/>
          <w:spacing w:val="-2"/>
          <w:lang w:val="es-419"/>
        </w:rPr>
        <w:t xml:space="preserve">. Este deber es una obligación de medio y no de resultado, que debe ser asumida por el Estado como un deber jurídico propio y no como una simple formalidad condenada de antemano a ser infructuosa, o como una mera gestión de intereses particulares, que dependa de la iniciativa procesal de las víctimas o de sus familiares o </w:t>
      </w:r>
      <w:r w:rsidRPr="00F2058B">
        <w:rPr>
          <w:rFonts w:ascii="Cambria" w:hAnsi="Cambria"/>
          <w:spacing w:val="-2"/>
          <w:lang w:val="es-419"/>
        </w:rPr>
        <w:lastRenderedPageBreak/>
        <w:t>de la aportación privada de elementos probatorios</w:t>
      </w:r>
      <w:r w:rsidRPr="00F2058B">
        <w:rPr>
          <w:spacing w:val="-2"/>
          <w:vertAlign w:val="superscript"/>
          <w:lang w:val="es-419"/>
        </w:rPr>
        <w:footnoteReference w:id="109"/>
      </w:r>
      <w:r w:rsidRPr="00F2058B">
        <w:rPr>
          <w:rFonts w:ascii="Cambria" w:hAnsi="Cambria"/>
          <w:spacing w:val="-2"/>
          <w:lang w:val="es-419"/>
        </w:rPr>
        <w:t>. La obligación del Estado de investigar debe cumplirse diligentemente para evitar la impunidad y que este tipo de hechos vuelvan a repetirse</w:t>
      </w:r>
      <w:r w:rsidRPr="00F2058B">
        <w:rPr>
          <w:spacing w:val="-2"/>
          <w:vertAlign w:val="superscript"/>
          <w:lang w:val="es-419"/>
        </w:rPr>
        <w:footnoteReference w:id="110"/>
      </w:r>
      <w:r w:rsidRPr="00F2058B">
        <w:rPr>
          <w:rFonts w:ascii="Cambria" w:hAnsi="Cambria"/>
          <w:spacing w:val="-2"/>
          <w:lang w:val="es-419"/>
        </w:rPr>
        <w:t xml:space="preserve">. </w:t>
      </w:r>
    </w:p>
    <w:p w14:paraId="34655DFC" w14:textId="77777777" w:rsidR="00D41929" w:rsidRPr="00F2058B" w:rsidRDefault="00D41929" w:rsidP="00D41929">
      <w:pPr>
        <w:pStyle w:val="ListParagraph"/>
        <w:rPr>
          <w:rFonts w:ascii="Cambria" w:hAnsi="Cambria" w:cs="Arial"/>
          <w:lang w:val="es-419"/>
        </w:rPr>
      </w:pPr>
    </w:p>
    <w:p w14:paraId="5D80F598" w14:textId="77777777" w:rsidR="00D41929" w:rsidRPr="00F2058B" w:rsidRDefault="00D41929" w:rsidP="00F06940">
      <w:pPr>
        <w:pStyle w:val="parrafos"/>
        <w:numPr>
          <w:ilvl w:val="0"/>
          <w:numId w:val="58"/>
        </w:numPr>
        <w:ind w:left="0" w:firstLine="0"/>
        <w:rPr>
          <w:rFonts w:ascii="Cambria" w:hAnsi="Cambria"/>
          <w:lang w:val="es-419"/>
        </w:rPr>
      </w:pPr>
      <w:r w:rsidRPr="00F2058B">
        <w:rPr>
          <w:rFonts w:ascii="Cambria" w:hAnsi="Cambria" w:cs="Arial"/>
          <w:lang w:val="es-419"/>
        </w:rPr>
        <w:t>Además, en cuanto a la debida diligencia durante el desarrollo de la investigación, la Corte Interamericana ha establecido que “cada acto estatal que conforma el proceso investigativo, así como la investigación en su totalidad, debe estar orientado hacia una finalidad específica, la determinación de la verdad y la investigación, persecución, captura, enjuiciamiento y, en su caso, la sanción de los responsables de los hechos”</w:t>
      </w:r>
      <w:r w:rsidRPr="00F2058B">
        <w:rPr>
          <w:rStyle w:val="FootnoteReference"/>
          <w:rFonts w:ascii="Cambria" w:hAnsi="Cambria"/>
          <w:lang w:val="es-419"/>
        </w:rPr>
        <w:footnoteReference w:id="111"/>
      </w:r>
      <w:r w:rsidRPr="00F2058B">
        <w:rPr>
          <w:rFonts w:ascii="Cambria" w:hAnsi="Cambria" w:cs="Arial"/>
          <w:lang w:val="es-419"/>
        </w:rPr>
        <w:t xml:space="preserve">. A </w:t>
      </w:r>
      <w:r w:rsidRPr="00F2058B">
        <w:rPr>
          <w:rFonts w:ascii="Cambria" w:hAnsi="Cambria"/>
          <w:lang w:val="es-419"/>
        </w:rPr>
        <w:t xml:space="preserve">ese respecto, el Estado tiene que </w:t>
      </w:r>
      <w:r w:rsidRPr="00F2058B">
        <w:rPr>
          <w:rFonts w:ascii="Cambria" w:hAnsi="Cambria"/>
          <w:spacing w:val="-2"/>
          <w:lang w:val="es-419"/>
        </w:rPr>
        <w:t>demostrar que ha realizado una investigación inmediata, exhaustiva, seria e imparcial</w:t>
      </w:r>
      <w:r w:rsidRPr="00F2058B">
        <w:rPr>
          <w:rStyle w:val="FootnoteReference"/>
          <w:rFonts w:ascii="Cambria" w:hAnsi="Cambria"/>
          <w:lang w:val="es-419"/>
        </w:rPr>
        <w:footnoteReference w:id="112"/>
      </w:r>
      <w:r w:rsidRPr="00F2058B">
        <w:rPr>
          <w:rFonts w:ascii="Cambria" w:hAnsi="Cambria"/>
          <w:spacing w:val="-2"/>
          <w:lang w:val="es-419"/>
        </w:rPr>
        <w:t>,</w:t>
      </w:r>
      <w:r w:rsidRPr="00F2058B">
        <w:rPr>
          <w:rFonts w:ascii="Cambria" w:hAnsi="Cambria"/>
          <w:lang w:val="es-419"/>
        </w:rPr>
        <w:t xml:space="preserve"> la cual debe estar orientada a explorar todas las líneas investigativas posibles</w:t>
      </w:r>
      <w:r w:rsidRPr="00F2058B">
        <w:rPr>
          <w:rStyle w:val="FootnoteReference"/>
          <w:rFonts w:ascii="Cambria" w:hAnsi="Cambria" w:cs="Arial"/>
          <w:lang w:val="es-419"/>
        </w:rPr>
        <w:footnoteReference w:id="113"/>
      </w:r>
      <w:r w:rsidRPr="00F2058B">
        <w:rPr>
          <w:rFonts w:ascii="Cambria" w:hAnsi="Cambria"/>
          <w:lang w:val="es-419"/>
        </w:rPr>
        <w:t>. El Estado puede ser responsable por no “ordenar, practicar o valorar pruebas” que pueden ser fundamentales para el debido esclarecimiento de los hechos</w:t>
      </w:r>
      <w:r w:rsidRPr="00F2058B">
        <w:rPr>
          <w:rStyle w:val="FootnoteReference"/>
          <w:rFonts w:ascii="Cambria" w:hAnsi="Cambria"/>
          <w:lang w:val="es-419"/>
        </w:rPr>
        <w:footnoteReference w:id="114"/>
      </w:r>
      <w:r w:rsidRPr="00F2058B">
        <w:rPr>
          <w:rFonts w:ascii="Cambria" w:hAnsi="Cambria"/>
          <w:lang w:val="es-419"/>
        </w:rPr>
        <w:t>.</w:t>
      </w:r>
    </w:p>
    <w:p w14:paraId="2BE84BC9" w14:textId="77777777" w:rsidR="00D41929" w:rsidRPr="00F2058B" w:rsidRDefault="00D41929" w:rsidP="00D41929">
      <w:pPr>
        <w:pStyle w:val="ListParagraph"/>
        <w:rPr>
          <w:rFonts w:ascii="Cambria" w:eastAsia="Times New Roman" w:hAnsi="Cambria"/>
          <w:lang w:val="es-419" w:eastAsia="es-ES"/>
        </w:rPr>
      </w:pPr>
    </w:p>
    <w:p w14:paraId="1DC0458A" w14:textId="313B8A40" w:rsidR="00D41929" w:rsidRPr="00F2058B" w:rsidRDefault="00D41929" w:rsidP="00F06940">
      <w:pPr>
        <w:pStyle w:val="parrafos"/>
        <w:numPr>
          <w:ilvl w:val="0"/>
          <w:numId w:val="58"/>
        </w:numPr>
        <w:ind w:left="0" w:firstLine="0"/>
        <w:rPr>
          <w:rFonts w:ascii="Cambria" w:hAnsi="Cambria"/>
          <w:lang w:val="es-419"/>
        </w:rPr>
      </w:pPr>
      <w:r w:rsidRPr="00F2058B">
        <w:rPr>
          <w:rFonts w:ascii="Cambria" w:eastAsia="Times New Roman" w:hAnsi="Cambria"/>
          <w:lang w:val="es-419" w:eastAsia="es-ES"/>
        </w:rPr>
        <w:t xml:space="preserve">Por otra parte, el artículo 8.1 de la Convención Americana establece, como uno de los elementos del debido </w:t>
      </w:r>
      <w:r w:rsidRPr="00F2058B">
        <w:rPr>
          <w:rFonts w:ascii="Cambria" w:hAnsi="Cambria" w:cs="Arial"/>
          <w:lang w:val="es-419"/>
        </w:rPr>
        <w:t>proceso</w:t>
      </w:r>
      <w:r w:rsidRPr="00F2058B">
        <w:rPr>
          <w:rFonts w:ascii="Cambria" w:eastAsia="Times New Roman" w:hAnsi="Cambria"/>
          <w:lang w:val="es-419" w:eastAsia="es-ES"/>
        </w:rPr>
        <w:t>, que los tribunales decidan los casos sometidos a su conocimiento en un plazo razonable. Según los términos de dicha norma, la Comisión tomará en consideración, a la luz de las circunstancias concretas del caso, los elementos que los órganos del sistema interamericano han tomado en cuenta, a saber: i) la complejidad del asunto; ii) la actividad procesal del interesado; y iii) la conducta de las autoridades judiciales; y iv) afectación generada en la situación jurídica de la persona involucrada en el proceso</w:t>
      </w:r>
      <w:r w:rsidRPr="00F2058B">
        <w:rPr>
          <w:rFonts w:ascii="Cambria" w:hAnsi="Cambria"/>
          <w:vertAlign w:val="superscript"/>
          <w:lang w:val="es-419" w:eastAsia="es-ES"/>
        </w:rPr>
        <w:footnoteReference w:id="115"/>
      </w:r>
      <w:r w:rsidRPr="00F2058B">
        <w:rPr>
          <w:rFonts w:ascii="Cambria" w:eastAsia="Times New Roman" w:hAnsi="Cambria"/>
          <w:lang w:val="es-419" w:eastAsia="es-ES"/>
        </w:rPr>
        <w:t>. La Corte Interamericana ha establecido que una demora prolongada puede llegar a constituir por sí misma una violación de las garantías judiciales</w:t>
      </w:r>
      <w:r w:rsidRPr="00F2058B">
        <w:rPr>
          <w:rFonts w:ascii="Cambria" w:hAnsi="Cambria"/>
          <w:vertAlign w:val="superscript"/>
          <w:lang w:val="es-419" w:eastAsia="es-ES"/>
        </w:rPr>
        <w:footnoteReference w:id="116"/>
      </w:r>
      <w:r w:rsidRPr="00F2058B">
        <w:rPr>
          <w:rFonts w:ascii="Cambria" w:eastAsia="Times New Roman" w:hAnsi="Cambria"/>
          <w:lang w:val="es-419" w:eastAsia="es-ES"/>
        </w:rPr>
        <w:t>, por lo cual, corresponde al Estado exponer y probar la razón por la cual se ha requerido más tiempo del razonable para dictar sentencia definitiva en un caso particular</w:t>
      </w:r>
      <w:r w:rsidRPr="00F2058B">
        <w:rPr>
          <w:rFonts w:ascii="Cambria" w:hAnsi="Cambria"/>
          <w:vertAlign w:val="superscript"/>
          <w:lang w:val="es-419" w:eastAsia="es-ES"/>
        </w:rPr>
        <w:footnoteReference w:id="117"/>
      </w:r>
      <w:r w:rsidRPr="00F2058B">
        <w:rPr>
          <w:rFonts w:ascii="Cambria" w:eastAsia="Times New Roman" w:hAnsi="Cambria"/>
          <w:lang w:val="es-419" w:eastAsia="es-ES"/>
        </w:rPr>
        <w:t>.</w:t>
      </w:r>
    </w:p>
    <w:p w14:paraId="30110F89" w14:textId="512B3CA1" w:rsidR="000B0C87" w:rsidRPr="00F2058B" w:rsidRDefault="000B0C87" w:rsidP="000B0C8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lang w:val="es-419"/>
        </w:rPr>
      </w:pPr>
    </w:p>
    <w:p w14:paraId="233146BE" w14:textId="7964860E" w:rsidR="000B0C87" w:rsidRPr="00F2058B" w:rsidRDefault="005C7172" w:rsidP="00F06940">
      <w:pPr>
        <w:pStyle w:val="parrafos"/>
        <w:numPr>
          <w:ilvl w:val="0"/>
          <w:numId w:val="58"/>
        </w:numPr>
        <w:ind w:left="0" w:firstLine="0"/>
        <w:rPr>
          <w:rFonts w:ascii="Cambria" w:eastAsia="Calibri" w:hAnsi="Cambria"/>
          <w:lang w:val="es-419"/>
        </w:rPr>
      </w:pPr>
      <w:r w:rsidRPr="00F2058B">
        <w:rPr>
          <w:rFonts w:ascii="Cambria" w:eastAsia="Calibri" w:hAnsi="Cambria"/>
          <w:lang w:val="es-419"/>
        </w:rPr>
        <w:t>En el presente caso, l</w:t>
      </w:r>
      <w:r w:rsidR="000B0C87" w:rsidRPr="00F2058B">
        <w:rPr>
          <w:rFonts w:ascii="Cambria" w:eastAsia="Calibri" w:hAnsi="Cambria"/>
          <w:lang w:val="es-419"/>
        </w:rPr>
        <w:t xml:space="preserve">a Comisión recuerda que </w:t>
      </w:r>
      <w:r w:rsidR="007D6511" w:rsidRPr="00F2058B">
        <w:rPr>
          <w:rFonts w:ascii="Cambria" w:eastAsia="Calibri" w:hAnsi="Cambria"/>
          <w:lang w:val="es-419"/>
        </w:rPr>
        <w:t xml:space="preserve">el Estado tuvo conocimiento de la desaparición de Edgar Quiroga y Gildardo Fuentes desde el 29 de noviembre de 1999 cuando Noraida Quiroga Medina presentó una acción de hábeas corpus ante la jurisdicción ordinaria. </w:t>
      </w:r>
    </w:p>
    <w:p w14:paraId="731F936E" w14:textId="77777777" w:rsidR="007D6511" w:rsidRPr="00F2058B" w:rsidRDefault="007D6511" w:rsidP="007D6511">
      <w:pPr>
        <w:pStyle w:val="parrafos"/>
        <w:rPr>
          <w:rFonts w:ascii="Cambria" w:eastAsia="Calibri" w:hAnsi="Cambria"/>
          <w:lang w:val="es-419"/>
        </w:rPr>
      </w:pPr>
    </w:p>
    <w:p w14:paraId="3117B98C" w14:textId="6973A2A4" w:rsidR="000B0C87" w:rsidRPr="00F2058B" w:rsidRDefault="007D6511" w:rsidP="00F06940">
      <w:pPr>
        <w:pStyle w:val="parrafos"/>
        <w:numPr>
          <w:ilvl w:val="0"/>
          <w:numId w:val="58"/>
        </w:numPr>
        <w:ind w:left="0" w:firstLine="0"/>
        <w:rPr>
          <w:rFonts w:ascii="Cambria" w:eastAsia="Calibri" w:hAnsi="Cambria"/>
          <w:lang w:val="es-419"/>
        </w:rPr>
      </w:pPr>
      <w:r w:rsidRPr="00F2058B">
        <w:rPr>
          <w:rFonts w:ascii="Cambria" w:eastAsia="Calibri" w:hAnsi="Cambria"/>
          <w:lang w:val="es-419"/>
        </w:rPr>
        <w:t xml:space="preserve">En la misma fecha, </w:t>
      </w:r>
      <w:r w:rsidR="005232D0" w:rsidRPr="00F2058B">
        <w:rPr>
          <w:rFonts w:ascii="Cambria" w:eastAsia="Calibri" w:hAnsi="Cambria"/>
          <w:lang w:val="es-419"/>
        </w:rPr>
        <w:t>en las instalaciones del Ministerio del Interior, Dirección de Derechos Humanos, se crearon grupos mixtos de búsqueda compuestos por particulares y agentes estatales con el objeto de “verificar las circunstancias en las</w:t>
      </w:r>
      <w:r w:rsidR="00E00A64" w:rsidRPr="00F2058B">
        <w:rPr>
          <w:rFonts w:ascii="Cambria" w:eastAsia="Calibri" w:hAnsi="Cambria"/>
          <w:lang w:val="es-419"/>
        </w:rPr>
        <w:t xml:space="preserve"> </w:t>
      </w:r>
      <w:r w:rsidR="005232D0" w:rsidRPr="00F2058B">
        <w:rPr>
          <w:rFonts w:ascii="Cambria" w:eastAsia="Calibri" w:hAnsi="Cambria"/>
          <w:lang w:val="es-419"/>
        </w:rPr>
        <w:t>que fueron secuestradas” las presuntas víctimas los cuales como se indicó con anterioridad obtuvieron testimonios que arrojaron indicios sobre la participación de grupos paramilitares y agentes estatales. Más allá de lo anterior, la Comisión no cuenta con ninguna información sobre diligencias de búsqueda inmediata activadas para dar con el paradero de las presuntas víctimas. Si bien, como se indicó, al rechazar la acción de h</w:t>
      </w:r>
      <w:r w:rsidR="0064743F" w:rsidRPr="00F2058B">
        <w:rPr>
          <w:rFonts w:ascii="Cambria" w:eastAsia="Calibri" w:hAnsi="Cambria"/>
          <w:lang w:val="es-419"/>
        </w:rPr>
        <w:t>ábeas corpus, el Juez Primero Penal ordenó enviar la acción a a la Defensoría del Pueblo y la Procuraduría Provincial de la localidad, para que hagan las averiguaciones del caso, no consta que esta remisión haya generado diligencias concretas de búsqueda de las presun</w:t>
      </w:r>
      <w:r w:rsidR="00E00A64" w:rsidRPr="00F2058B">
        <w:rPr>
          <w:rFonts w:ascii="Cambria" w:eastAsia="Calibri" w:hAnsi="Cambria"/>
          <w:lang w:val="es-419"/>
        </w:rPr>
        <w:t>ta</w:t>
      </w:r>
      <w:r w:rsidR="0064743F" w:rsidRPr="00F2058B">
        <w:rPr>
          <w:rFonts w:ascii="Cambria" w:eastAsia="Calibri" w:hAnsi="Cambria"/>
          <w:lang w:val="es-419"/>
        </w:rPr>
        <w:t xml:space="preserve">s víctimas. La CIDH recuerda que tratándose de una desaparición es </w:t>
      </w:r>
      <w:r w:rsidR="0064743F" w:rsidRPr="00F2058B">
        <w:rPr>
          <w:rFonts w:ascii="Cambria" w:eastAsia="Calibri" w:hAnsi="Cambria"/>
          <w:lang w:val="es-419"/>
        </w:rPr>
        <w:lastRenderedPageBreak/>
        <w:t xml:space="preserve">necesaria una respuesta </w:t>
      </w:r>
      <w:r w:rsidR="000B0C87" w:rsidRPr="00F2058B">
        <w:rPr>
          <w:rFonts w:ascii="Cambria" w:eastAsia="Calibri" w:hAnsi="Cambria"/>
          <w:lang w:val="es-419"/>
        </w:rPr>
        <w:t>expedita y exhaustiva en las primeras horas tras e</w:t>
      </w:r>
      <w:r w:rsidR="003A7722" w:rsidRPr="00F2058B">
        <w:rPr>
          <w:rFonts w:ascii="Cambria" w:eastAsia="Calibri" w:hAnsi="Cambria"/>
          <w:lang w:val="es-419"/>
        </w:rPr>
        <w:t>l conocimiento de la situación dirigida a la determinación del paradero de la víctima o el lugar donde pueda encontrarse privada de libertad.</w:t>
      </w:r>
    </w:p>
    <w:p w14:paraId="29B70496" w14:textId="2F7AF924" w:rsidR="003A7722" w:rsidRPr="00F2058B" w:rsidRDefault="003A7722" w:rsidP="003A7722">
      <w:pPr>
        <w:rPr>
          <w:rFonts w:ascii="Cambria" w:eastAsia="Calibri" w:hAnsi="Cambria"/>
          <w:lang w:val="es-419"/>
        </w:rPr>
      </w:pPr>
    </w:p>
    <w:p w14:paraId="403B3804" w14:textId="4B82664C" w:rsidR="0064743F" w:rsidRPr="00F2058B" w:rsidRDefault="0064743F" w:rsidP="00F06940">
      <w:pPr>
        <w:pStyle w:val="parrafos"/>
        <w:numPr>
          <w:ilvl w:val="0"/>
          <w:numId w:val="58"/>
        </w:numPr>
        <w:ind w:left="0" w:firstLine="0"/>
        <w:rPr>
          <w:rFonts w:ascii="Cambria" w:eastAsia="Calibri" w:hAnsi="Cambria"/>
          <w:lang w:val="es-419"/>
        </w:rPr>
      </w:pPr>
      <w:r w:rsidRPr="00F2058B">
        <w:rPr>
          <w:rFonts w:ascii="Cambria" w:eastAsia="Calibri" w:hAnsi="Cambria"/>
          <w:lang w:val="es-419"/>
        </w:rPr>
        <w:t>Por otra parte, la Comisión tiene conocimiento de una investigación penal in</w:t>
      </w:r>
      <w:r w:rsidR="00BF03C5" w:rsidRPr="00F2058B">
        <w:rPr>
          <w:rFonts w:ascii="Cambria" w:eastAsia="Calibri" w:hAnsi="Cambria"/>
          <w:lang w:val="es-419"/>
        </w:rPr>
        <w:t>i</w:t>
      </w:r>
      <w:r w:rsidRPr="00F2058B">
        <w:rPr>
          <w:rFonts w:ascii="Cambria" w:eastAsia="Calibri" w:hAnsi="Cambria"/>
          <w:lang w:val="es-419"/>
        </w:rPr>
        <w:t>ciada ante la Unidad Naciona</w:t>
      </w:r>
      <w:r w:rsidR="00BF03C5" w:rsidRPr="00F2058B">
        <w:rPr>
          <w:rFonts w:ascii="Cambria" w:eastAsia="Calibri" w:hAnsi="Cambria"/>
          <w:lang w:val="es-419"/>
        </w:rPr>
        <w:t>l</w:t>
      </w:r>
      <w:r w:rsidRPr="00F2058B">
        <w:rPr>
          <w:rFonts w:ascii="Cambria" w:eastAsia="Calibri" w:hAnsi="Cambria"/>
          <w:lang w:val="es-419"/>
        </w:rPr>
        <w:t xml:space="preserve"> de Derechos Humanos y Derecho Internacional Humanitario</w:t>
      </w:r>
      <w:r w:rsidR="00BF03C5" w:rsidRPr="00F2058B">
        <w:rPr>
          <w:rFonts w:ascii="Cambria" w:eastAsia="Calibri" w:hAnsi="Cambria"/>
          <w:lang w:val="es-419"/>
        </w:rPr>
        <w:t>,</w:t>
      </w:r>
      <w:r w:rsidRPr="00F2058B">
        <w:rPr>
          <w:rFonts w:ascii="Cambria" w:eastAsia="Calibri" w:hAnsi="Cambria"/>
          <w:lang w:val="es-419"/>
        </w:rPr>
        <w:t xml:space="preserve"> la cual</w:t>
      </w:r>
      <w:r w:rsidR="00BF03C5" w:rsidRPr="00F2058B">
        <w:rPr>
          <w:rFonts w:ascii="Cambria" w:eastAsia="Calibri" w:hAnsi="Cambria"/>
          <w:lang w:val="es-419"/>
        </w:rPr>
        <w:t xml:space="preserve"> el 26 de marzo de 2010</w:t>
      </w:r>
      <w:r w:rsidRPr="00F2058B">
        <w:rPr>
          <w:rFonts w:ascii="Cambria" w:eastAsia="Calibri" w:hAnsi="Cambria"/>
          <w:lang w:val="es-419"/>
        </w:rPr>
        <w:t xml:space="preserve"> habría generado la condena penal de </w:t>
      </w:r>
      <w:r w:rsidR="00BF03C5" w:rsidRPr="00F2058B">
        <w:rPr>
          <w:rFonts w:ascii="Cambria" w:eastAsia="Calibri" w:hAnsi="Cambria"/>
          <w:lang w:val="es-419"/>
        </w:rPr>
        <w:t>una persona en calidad de co</w:t>
      </w:r>
      <w:r w:rsidR="00AB2619" w:rsidRPr="00F2058B">
        <w:rPr>
          <w:rFonts w:ascii="Cambria" w:eastAsia="Calibri" w:hAnsi="Cambria"/>
          <w:lang w:val="es-419"/>
        </w:rPr>
        <w:t>-</w:t>
      </w:r>
      <w:r w:rsidR="00BF03C5" w:rsidRPr="00F2058B">
        <w:rPr>
          <w:rFonts w:ascii="Cambria" w:eastAsia="Calibri" w:hAnsi="Cambria"/>
          <w:lang w:val="es-419"/>
        </w:rPr>
        <w:t>autor por el delito de desaparición forzada de Édgar Quiroga y Gildardo F</w:t>
      </w:r>
      <w:r w:rsidR="00AB2619" w:rsidRPr="00F2058B">
        <w:rPr>
          <w:rFonts w:ascii="Cambria" w:eastAsia="Calibri" w:hAnsi="Cambria"/>
          <w:lang w:val="es-419"/>
        </w:rPr>
        <w:t>uentes. Asimismo, el Estado informó sobre otra serie de procesos contra personas involucradas en los hechos, sin embargo, la Comisión no cuenta con</w:t>
      </w:r>
      <w:r w:rsidR="00E97EBD" w:rsidRPr="00F2058B">
        <w:rPr>
          <w:rFonts w:ascii="Cambria" w:eastAsia="Calibri" w:hAnsi="Cambria"/>
          <w:lang w:val="es-419"/>
        </w:rPr>
        <w:t xml:space="preserve"> soporte probatorio o</w:t>
      </w:r>
      <w:r w:rsidR="00AB2619" w:rsidRPr="00F2058B">
        <w:rPr>
          <w:rFonts w:ascii="Cambria" w:eastAsia="Calibri" w:hAnsi="Cambria"/>
          <w:lang w:val="es-419"/>
        </w:rPr>
        <w:t xml:space="preserve"> información que permita acreditar el avance o resultados de los mismos</w:t>
      </w:r>
      <w:r w:rsidR="00E301C0" w:rsidRPr="00F2058B">
        <w:rPr>
          <w:rFonts w:ascii="Cambria" w:eastAsia="Calibri" w:hAnsi="Cambria"/>
          <w:lang w:val="es-419"/>
        </w:rPr>
        <w:t>, o bien si la condena informada en relación con otro miembro de la AUC fue por los hechos materia del presente caso</w:t>
      </w:r>
      <w:r w:rsidR="00AB2619" w:rsidRPr="00F2058B">
        <w:rPr>
          <w:rFonts w:ascii="Cambria" w:eastAsia="Calibri" w:hAnsi="Cambria"/>
          <w:lang w:val="es-419"/>
        </w:rPr>
        <w:t xml:space="preserve">. </w:t>
      </w:r>
    </w:p>
    <w:p w14:paraId="1E5A586C" w14:textId="098AB910" w:rsidR="00E97EBD" w:rsidRPr="00F2058B" w:rsidRDefault="00E97EBD" w:rsidP="00E301C0">
      <w:pPr>
        <w:rPr>
          <w:rFonts w:ascii="Cambria" w:eastAsia="Calibri" w:hAnsi="Cambria"/>
          <w:lang w:val="es-419"/>
        </w:rPr>
      </w:pPr>
    </w:p>
    <w:p w14:paraId="787B50A4" w14:textId="2103CE9D" w:rsidR="003E4E2A" w:rsidRPr="00F2058B" w:rsidRDefault="00E97EBD" w:rsidP="00F06940">
      <w:pPr>
        <w:pStyle w:val="parrafos"/>
        <w:numPr>
          <w:ilvl w:val="0"/>
          <w:numId w:val="58"/>
        </w:numPr>
        <w:ind w:left="0" w:firstLine="0"/>
        <w:rPr>
          <w:rFonts w:ascii="Cambria" w:hAnsi="Cambria"/>
          <w:lang w:val="es-419"/>
        </w:rPr>
      </w:pPr>
      <w:r w:rsidRPr="00F2058B">
        <w:rPr>
          <w:rFonts w:ascii="Cambria" w:eastAsia="Calibri" w:hAnsi="Cambria"/>
          <w:lang w:val="es-419"/>
        </w:rPr>
        <w:t xml:space="preserve">La CIDH recuerda que </w:t>
      </w:r>
      <w:r w:rsidR="003A7722" w:rsidRPr="00F2058B">
        <w:rPr>
          <w:rFonts w:ascii="Cambria" w:eastAsia="Calibri" w:hAnsi="Cambria"/>
          <w:lang w:val="es-419"/>
        </w:rPr>
        <w:t>las investigaciones deben ser exhaustivas y estar dirigidas a deducir la responsabilidad de todos los autores materiales e intelectuales y determinar el p</w:t>
      </w:r>
      <w:r w:rsidR="002F5DFA" w:rsidRPr="00F2058B">
        <w:rPr>
          <w:rFonts w:ascii="Cambria" w:eastAsia="Calibri" w:hAnsi="Cambria"/>
          <w:lang w:val="es-419"/>
        </w:rPr>
        <w:t>aradero de las presuntas víctim</w:t>
      </w:r>
      <w:r w:rsidR="003A7722" w:rsidRPr="00F2058B">
        <w:rPr>
          <w:rFonts w:ascii="Cambria" w:eastAsia="Calibri" w:hAnsi="Cambria"/>
          <w:lang w:val="es-419"/>
        </w:rPr>
        <w:t>as</w:t>
      </w:r>
      <w:r w:rsidR="002F5DFA" w:rsidRPr="00F2058B">
        <w:rPr>
          <w:rFonts w:ascii="Cambria" w:eastAsia="Calibri" w:hAnsi="Cambria"/>
          <w:lang w:val="es-419"/>
        </w:rPr>
        <w:t>,</w:t>
      </w:r>
      <w:r w:rsidR="003A7722" w:rsidRPr="00F2058B">
        <w:rPr>
          <w:rFonts w:ascii="Cambria" w:eastAsia="Calibri" w:hAnsi="Cambria"/>
          <w:lang w:val="es-419"/>
        </w:rPr>
        <w:t xml:space="preserve"> por lo que el Esta</w:t>
      </w:r>
      <w:r w:rsidR="00411783" w:rsidRPr="00F2058B">
        <w:rPr>
          <w:rFonts w:ascii="Cambria" w:eastAsia="Calibri" w:hAnsi="Cambria"/>
          <w:lang w:val="es-419"/>
        </w:rPr>
        <w:t>do debe explorar todas las líne</w:t>
      </w:r>
      <w:r w:rsidR="003A7722" w:rsidRPr="00F2058B">
        <w:rPr>
          <w:rFonts w:ascii="Cambria" w:eastAsia="Calibri" w:hAnsi="Cambria"/>
          <w:lang w:val="es-419"/>
        </w:rPr>
        <w:t>a</w:t>
      </w:r>
      <w:r w:rsidR="00411783" w:rsidRPr="00F2058B">
        <w:rPr>
          <w:rFonts w:ascii="Cambria" w:eastAsia="Calibri" w:hAnsi="Cambria"/>
          <w:lang w:val="es-419"/>
        </w:rPr>
        <w:t>s</w:t>
      </w:r>
      <w:r w:rsidR="003A7722" w:rsidRPr="00F2058B">
        <w:rPr>
          <w:rFonts w:ascii="Cambria" w:eastAsia="Calibri" w:hAnsi="Cambria"/>
          <w:lang w:val="es-419"/>
        </w:rPr>
        <w:t xml:space="preserve"> investigativas posibles. Sin embargo, en el presente caso, el Estado no acreditó que en e</w:t>
      </w:r>
      <w:r w:rsidR="00E00A64" w:rsidRPr="00F2058B">
        <w:rPr>
          <w:rFonts w:ascii="Cambria" w:eastAsia="Calibri" w:hAnsi="Cambria"/>
          <w:lang w:val="es-419"/>
        </w:rPr>
        <w:t>l marco de la investigación se hayan realizado</w:t>
      </w:r>
      <w:r w:rsidR="003A7722" w:rsidRPr="00F2058B">
        <w:rPr>
          <w:rFonts w:ascii="Cambria" w:eastAsia="Calibri" w:hAnsi="Cambria"/>
          <w:lang w:val="es-419"/>
        </w:rPr>
        <w:t xml:space="preserve"> investigaciones inmediatas o que se hayan ordenado diligencias de búsqueda para conocer el paradero de las presuntas víctimas. Por otra parte, la Comisión subraya que</w:t>
      </w:r>
      <w:r w:rsidR="003E4E2A" w:rsidRPr="00F2058B">
        <w:rPr>
          <w:rFonts w:ascii="Cambria" w:eastAsia="Calibri" w:hAnsi="Cambria"/>
          <w:lang w:val="es-419"/>
        </w:rPr>
        <w:t>,</w:t>
      </w:r>
      <w:r w:rsidR="003A7722" w:rsidRPr="00F2058B">
        <w:rPr>
          <w:rFonts w:ascii="Cambria" w:eastAsia="Calibri" w:hAnsi="Cambria"/>
          <w:lang w:val="es-419"/>
        </w:rPr>
        <w:t xml:space="preserve"> pese a los indicios disponibles sobre </w:t>
      </w:r>
      <w:r w:rsidR="003E4E2A" w:rsidRPr="00F2058B">
        <w:rPr>
          <w:rFonts w:ascii="Cambria" w:eastAsia="Calibri" w:hAnsi="Cambria"/>
          <w:lang w:val="es-419"/>
        </w:rPr>
        <w:t xml:space="preserve">colaboración de agentes estatales en los hechos del presente caso, el Estado no justificó que los mismos hayan sido analizados y desvirtuados en el marco de la investigación. </w:t>
      </w:r>
    </w:p>
    <w:p w14:paraId="4F96E3EB" w14:textId="77777777" w:rsidR="003E4E2A" w:rsidRPr="00F2058B" w:rsidRDefault="003E4E2A" w:rsidP="003E4E2A">
      <w:pPr>
        <w:pStyle w:val="ListParagraph"/>
        <w:rPr>
          <w:rFonts w:ascii="Cambria" w:eastAsia="Calibri" w:hAnsi="Cambria"/>
          <w:lang w:val="es-419"/>
        </w:rPr>
      </w:pPr>
    </w:p>
    <w:p w14:paraId="41D47005" w14:textId="4342A388" w:rsidR="000B0C87" w:rsidRPr="00F2058B" w:rsidRDefault="000B0C87" w:rsidP="00F06940">
      <w:pPr>
        <w:pStyle w:val="parrafos"/>
        <w:numPr>
          <w:ilvl w:val="0"/>
          <w:numId w:val="58"/>
        </w:numPr>
        <w:ind w:left="0" w:firstLine="0"/>
        <w:rPr>
          <w:rFonts w:ascii="Cambria" w:hAnsi="Cambria" w:cs="BookAntiqua"/>
          <w:lang w:val="es-419"/>
        </w:rPr>
      </w:pPr>
      <w:r w:rsidRPr="00F2058B">
        <w:rPr>
          <w:rFonts w:ascii="Cambria" w:eastAsia="Calibri" w:hAnsi="Cambria"/>
          <w:lang w:val="es-419"/>
        </w:rPr>
        <w:t xml:space="preserve">Todos los anteriores elementos, tomados en su conjunto, permiten concluir que el Estado no ha investigado los hechos del presente caso con la debida diligencia, en violación de los derechos establecidos en los artículos 8.1 y 25.1 de la Convención Americana en relación con el artículo 1.1 del mismo instrumento, así como el artículo I.b) de la Convención Interamericana sobre Desaparición Forzada de Personas, en perjuicio de </w:t>
      </w:r>
      <w:r w:rsidR="003E4E2A" w:rsidRPr="00F2058B">
        <w:rPr>
          <w:rFonts w:ascii="Cambria" w:eastAsia="Calibri" w:hAnsi="Cambria"/>
          <w:lang w:val="es-419"/>
        </w:rPr>
        <w:t xml:space="preserve">Edgar Quiroga y Gildardo Fuentes. </w:t>
      </w:r>
    </w:p>
    <w:p w14:paraId="6E11D4B6" w14:textId="77777777" w:rsidR="00B3453B" w:rsidRPr="00F2058B" w:rsidRDefault="00B3453B" w:rsidP="00B3453B">
      <w:pPr>
        <w:pStyle w:val="ListParagraph"/>
        <w:rPr>
          <w:rFonts w:ascii="Cambria" w:hAnsi="Cambria" w:cs="BookAntiqua"/>
          <w:lang w:val="es-419"/>
        </w:rPr>
      </w:pPr>
    </w:p>
    <w:p w14:paraId="703495B8" w14:textId="17082859" w:rsidR="00475221" w:rsidRPr="00F2058B" w:rsidRDefault="00B3453B" w:rsidP="00F06940">
      <w:pPr>
        <w:pStyle w:val="parrafos"/>
        <w:numPr>
          <w:ilvl w:val="0"/>
          <w:numId w:val="58"/>
        </w:numPr>
        <w:ind w:left="0" w:firstLine="0"/>
        <w:rPr>
          <w:lang w:val="es-419"/>
        </w:rPr>
      </w:pPr>
      <w:r w:rsidRPr="00F2058B">
        <w:rPr>
          <w:rFonts w:ascii="Cambria" w:hAnsi="Cambria" w:cs="BookAntiqua"/>
          <w:lang w:val="es-419"/>
        </w:rPr>
        <w:t>Por otra parte</w:t>
      </w:r>
      <w:r w:rsidR="0010358C" w:rsidRPr="00F2058B">
        <w:rPr>
          <w:rFonts w:ascii="Cambria" w:hAnsi="Cambria" w:cs="BookAntiqua"/>
          <w:lang w:val="es-419"/>
        </w:rPr>
        <w:t xml:space="preserve">, la Comisión toma nota que </w:t>
      </w:r>
      <w:r w:rsidR="005C7172" w:rsidRPr="00F2058B">
        <w:rPr>
          <w:rFonts w:ascii="Cambria" w:hAnsi="Cambria" w:cs="BookAntiqua"/>
          <w:lang w:val="es-419"/>
        </w:rPr>
        <w:t xml:space="preserve">desde que el Estado tomó conocimiento de los hechos han transcurrido más de 20 años, sin embargo, este no acreditó que las investigaciones hayan concluido mediante una investigación exhaustiva conforme a los estándares indicados con anterioridad, ni tampoco justificó las razones de la demora. </w:t>
      </w:r>
      <w:r w:rsidR="00475221" w:rsidRPr="00F2058B">
        <w:rPr>
          <w:rFonts w:ascii="Cambria" w:hAnsi="Cambria" w:cs="BookAntiqua"/>
          <w:lang w:val="es-419"/>
        </w:rPr>
        <w:t xml:space="preserve">La CIDH recuerda que la carga </w:t>
      </w:r>
      <w:r w:rsidR="00475221" w:rsidRPr="00F2058B">
        <w:rPr>
          <w:lang w:val="es-419"/>
        </w:rPr>
        <w:t>argumentativa y probatoria descansa sobre el Estado</w:t>
      </w:r>
      <w:r w:rsidR="00E00A64" w:rsidRPr="00F2058B">
        <w:rPr>
          <w:lang w:val="es-419"/>
        </w:rPr>
        <w:t>,</w:t>
      </w:r>
      <w:r w:rsidR="00475221" w:rsidRPr="00F2058B">
        <w:rPr>
          <w:lang w:val="es-419"/>
        </w:rPr>
        <w:t xml:space="preserve"> el cual debe exponer y probar la razón por la cual se ha requerido más tiempo del razonable para dictar sentencia definitiva en un caso particular</w:t>
      </w:r>
      <w:r w:rsidR="00475221" w:rsidRPr="00F2058B">
        <w:rPr>
          <w:vertAlign w:val="superscript"/>
          <w:lang w:val="es-419"/>
        </w:rPr>
        <w:footnoteReference w:id="118"/>
      </w:r>
      <w:r w:rsidR="00475221" w:rsidRPr="00F2058B">
        <w:rPr>
          <w:lang w:val="es-419"/>
        </w:rPr>
        <w:t xml:space="preserve">. </w:t>
      </w:r>
    </w:p>
    <w:p w14:paraId="6EF83822" w14:textId="77777777" w:rsidR="00475221" w:rsidRPr="00F2058B" w:rsidRDefault="00475221" w:rsidP="00475221">
      <w:pPr>
        <w:pStyle w:val="ListParagraph"/>
        <w:rPr>
          <w:rFonts w:ascii="Cambria" w:hAnsi="Cambria"/>
          <w:lang w:val="es-419"/>
        </w:rPr>
      </w:pPr>
    </w:p>
    <w:p w14:paraId="258250B6" w14:textId="5F9B9F21" w:rsidR="00475221" w:rsidRPr="00F2058B" w:rsidRDefault="00475221" w:rsidP="00F06940">
      <w:pPr>
        <w:pStyle w:val="parrafos"/>
        <w:numPr>
          <w:ilvl w:val="0"/>
          <w:numId w:val="58"/>
        </w:numPr>
        <w:ind w:left="0" w:firstLine="0"/>
        <w:rPr>
          <w:lang w:val="es-419"/>
        </w:rPr>
      </w:pPr>
      <w:r w:rsidRPr="00F2058B">
        <w:rPr>
          <w:rFonts w:ascii="Cambria" w:hAnsi="Cambria"/>
          <w:lang w:val="es-419"/>
        </w:rPr>
        <w:t xml:space="preserve">En virtud de lo anterior, la Comisión concluye que el Estado ha incumplido la garantía de plazo razonable en la investigación de los hechos del presente caso, en violación de los derechos establecidos en los artículos 8.1 y 25.1 de </w:t>
      </w:r>
      <w:r w:rsidRPr="00F2058B">
        <w:rPr>
          <w:rFonts w:ascii="Cambria" w:eastAsia="Times New Roman" w:hAnsi="Cambria"/>
          <w:lang w:val="es-419" w:eastAsia="es-ES"/>
        </w:rPr>
        <w:t>la</w:t>
      </w:r>
      <w:r w:rsidRPr="00F2058B">
        <w:rPr>
          <w:rFonts w:ascii="Cambria" w:hAnsi="Cambria"/>
          <w:lang w:val="es-419"/>
        </w:rPr>
        <w:t xml:space="preserve"> Convención Americana en relación con el artículo 1.1 del mismo instrumento, y el artículo I.b) de la </w:t>
      </w:r>
      <w:r w:rsidRPr="00F2058B">
        <w:rPr>
          <w:rFonts w:ascii="Cambria" w:eastAsia="Calibri" w:hAnsi="Cambria"/>
          <w:lang w:val="es-419"/>
        </w:rPr>
        <w:t xml:space="preserve">Convención Interamericana sobre Desaparición Forzada de Personas en perjuicio de Edgar Quiroga y Gildardo Fuentes y sus familiares. </w:t>
      </w:r>
    </w:p>
    <w:p w14:paraId="19BE5002" w14:textId="12693DF6" w:rsidR="00B76660" w:rsidRPr="00F2058B" w:rsidRDefault="00B76660" w:rsidP="00B76660">
      <w:pPr>
        <w:rPr>
          <w:highlight w:val="yellow"/>
          <w:lang w:val="es-419"/>
        </w:rPr>
      </w:pPr>
      <w:bookmarkStart w:id="36" w:name="_Toc491441654"/>
      <w:bookmarkStart w:id="37" w:name="_Toc423514427"/>
      <w:bookmarkStart w:id="38" w:name="_Toc441166739"/>
      <w:bookmarkStart w:id="39" w:name="_Toc477355363"/>
      <w:bookmarkStart w:id="40" w:name="_Toc519601831"/>
      <w:bookmarkStart w:id="41" w:name="_Toc1985293"/>
    </w:p>
    <w:p w14:paraId="2C9FE64D" w14:textId="20CF8A3B" w:rsidR="00D876F0" w:rsidRPr="00F2058B" w:rsidRDefault="00D876F0" w:rsidP="00F06940">
      <w:pPr>
        <w:pStyle w:val="Heading2"/>
        <w:numPr>
          <w:ilvl w:val="0"/>
          <w:numId w:val="63"/>
        </w:numPr>
        <w:pBdr>
          <w:top w:val="nil"/>
          <w:left w:val="nil"/>
          <w:bottom w:val="nil"/>
          <w:right w:val="nil"/>
          <w:between w:val="nil"/>
          <w:bar w:val="nil"/>
        </w:pBdr>
        <w:tabs>
          <w:tab w:val="left" w:pos="360"/>
        </w:tabs>
        <w:ind w:left="0" w:firstLine="0"/>
        <w:rPr>
          <w:i/>
          <w:lang w:val="es-419"/>
        </w:rPr>
      </w:pPr>
      <w:bookmarkStart w:id="42" w:name="_Toc216359324"/>
      <w:r w:rsidRPr="00F2058B">
        <w:rPr>
          <w:lang w:val="es-419"/>
        </w:rPr>
        <w:t>Derechos a la vida</w:t>
      </w:r>
      <w:r w:rsidRPr="00F2058B">
        <w:rPr>
          <w:vertAlign w:val="superscript"/>
          <w:lang w:val="es-419"/>
        </w:rPr>
        <w:footnoteReference w:id="119"/>
      </w:r>
      <w:r w:rsidRPr="00F2058B">
        <w:rPr>
          <w:lang w:val="es-419"/>
        </w:rPr>
        <w:t>, garantías judiciales</w:t>
      </w:r>
      <w:r w:rsidRPr="00F2058B">
        <w:rPr>
          <w:vertAlign w:val="superscript"/>
          <w:lang w:val="es-419"/>
        </w:rPr>
        <w:footnoteReference w:id="120"/>
      </w:r>
      <w:r w:rsidRPr="00F2058B">
        <w:rPr>
          <w:lang w:val="es-419"/>
        </w:rPr>
        <w:t xml:space="preserve"> y protección judicial</w:t>
      </w:r>
      <w:r w:rsidRPr="00F2058B">
        <w:rPr>
          <w:vertAlign w:val="superscript"/>
          <w:lang w:val="es-419"/>
        </w:rPr>
        <w:footnoteReference w:id="121"/>
      </w:r>
      <w:r w:rsidR="00BB1023" w:rsidRPr="00F2058B">
        <w:rPr>
          <w:lang w:val="es-419"/>
        </w:rPr>
        <w:t xml:space="preserve"> respecto del asesinato </w:t>
      </w:r>
      <w:r w:rsidRPr="00F2058B">
        <w:rPr>
          <w:lang w:val="es-419"/>
        </w:rPr>
        <w:t xml:space="preserve">de </w:t>
      </w:r>
      <w:bookmarkEnd w:id="36"/>
      <w:r w:rsidRPr="00F2058B">
        <w:rPr>
          <w:lang w:val="es-419"/>
        </w:rPr>
        <w:t>Victoria Delgado Anaya</w:t>
      </w:r>
      <w:bookmarkEnd w:id="42"/>
      <w:r w:rsidRPr="00F2058B">
        <w:rPr>
          <w:lang w:val="es-419"/>
        </w:rPr>
        <w:t xml:space="preserve"> </w:t>
      </w:r>
    </w:p>
    <w:p w14:paraId="49D8843D" w14:textId="09A3C6CC" w:rsidR="000E7F5C" w:rsidRPr="00F2058B" w:rsidRDefault="000E7F5C" w:rsidP="000E7F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20"/>
          <w:tab w:val="num" w:pos="1080"/>
          <w:tab w:val="left" w:pos="1440"/>
          <w:tab w:val="num" w:pos="2040"/>
        </w:tabs>
        <w:jc w:val="both"/>
        <w:rPr>
          <w:rFonts w:ascii="Cambria" w:hAnsi="Cambria"/>
          <w:b/>
          <w:sz w:val="20"/>
          <w:szCs w:val="20"/>
          <w:lang w:val="es-419"/>
        </w:rPr>
      </w:pPr>
    </w:p>
    <w:p w14:paraId="1255E9AF" w14:textId="6C75B767" w:rsidR="000E7F5C" w:rsidRPr="00F2058B" w:rsidRDefault="000E7F5C" w:rsidP="00F06940">
      <w:pPr>
        <w:pStyle w:val="parrafos"/>
        <w:numPr>
          <w:ilvl w:val="0"/>
          <w:numId w:val="58"/>
        </w:numPr>
        <w:ind w:left="0" w:firstLine="0"/>
        <w:rPr>
          <w:rFonts w:ascii="Cambria" w:hAnsi="Cambria"/>
          <w:lang w:val="es-419"/>
        </w:rPr>
      </w:pPr>
      <w:r w:rsidRPr="00F2058B">
        <w:rPr>
          <w:rFonts w:ascii="Cambria" w:hAnsi="Cambria"/>
          <w:lang w:val="es-419"/>
        </w:rPr>
        <w:t xml:space="preserve">La Comisión </w:t>
      </w:r>
      <w:r w:rsidR="000274CC" w:rsidRPr="00F2058B">
        <w:rPr>
          <w:rFonts w:ascii="Cambria" w:hAnsi="Cambria"/>
          <w:lang w:val="es-419"/>
        </w:rPr>
        <w:t xml:space="preserve">destaca </w:t>
      </w:r>
      <w:r w:rsidRPr="00F2058B">
        <w:rPr>
          <w:rFonts w:ascii="Cambria" w:hAnsi="Cambria"/>
          <w:lang w:val="es-419"/>
        </w:rPr>
        <w:t>que el derecho a la vida es prerrequisito del disfrute de todos los demás derechos humanos y sin cuyo respeto todos los demás carecen de sentido</w:t>
      </w:r>
      <w:r w:rsidRPr="00F2058B">
        <w:rPr>
          <w:rFonts w:ascii="Cambria" w:hAnsi="Cambria"/>
          <w:vertAlign w:val="superscript"/>
          <w:lang w:val="es-419"/>
        </w:rPr>
        <w:footnoteReference w:id="122"/>
      </w:r>
      <w:r w:rsidRPr="00F2058B">
        <w:rPr>
          <w:rFonts w:ascii="Cambria" w:hAnsi="Cambria"/>
          <w:lang w:val="es-419"/>
        </w:rPr>
        <w:t xml:space="preserve">. El cumplimiento del artículo 4 en relación con el artículo 1.1 de la Convención Americana no sólo presupone que ninguna persona sea privada de su vida arbitrariamente, sino que además requiere que los Estados tomen todas las medidas apropiadas para proteger y preservar el derecho a la vida, bajo su deber de garantizar el pleno y libre ejercicio de los derechos de todas las personas bajo su </w:t>
      </w:r>
      <w:r w:rsidRPr="00F2058B">
        <w:rPr>
          <w:rFonts w:ascii="Cambria" w:hAnsi="Cambria"/>
          <w:lang w:val="es-419"/>
        </w:rPr>
        <w:lastRenderedPageBreak/>
        <w:t>jurisdicción</w:t>
      </w:r>
      <w:r w:rsidRPr="00F2058B">
        <w:rPr>
          <w:rFonts w:ascii="Cambria" w:hAnsi="Cambria"/>
          <w:vertAlign w:val="superscript"/>
          <w:lang w:val="es-419"/>
        </w:rPr>
        <w:footnoteReference w:id="123"/>
      </w:r>
      <w:r w:rsidRPr="00F2058B">
        <w:rPr>
          <w:rFonts w:ascii="Cambria" w:hAnsi="Cambria"/>
          <w:lang w:val="es-419"/>
        </w:rPr>
        <w:t>. Por su parte, la Corte Europea ha señalado la importancia de que el derecho a la vida sea interpretado y aplicado de manera que sus salvaguardas sean prácticas y efectivas</w:t>
      </w:r>
      <w:r w:rsidRPr="00F2058B">
        <w:rPr>
          <w:rFonts w:ascii="Cambria" w:hAnsi="Cambria"/>
          <w:vertAlign w:val="superscript"/>
          <w:lang w:val="es-419"/>
        </w:rPr>
        <w:footnoteReference w:id="124"/>
      </w:r>
      <w:r w:rsidRPr="00F2058B">
        <w:rPr>
          <w:rFonts w:ascii="Cambria" w:hAnsi="Cambria"/>
          <w:lang w:val="es-419"/>
        </w:rPr>
        <w:t>.</w:t>
      </w:r>
    </w:p>
    <w:p w14:paraId="7B09D437" w14:textId="77777777" w:rsidR="0012454C" w:rsidRPr="00F2058B" w:rsidRDefault="0012454C" w:rsidP="0012454C">
      <w:pPr>
        <w:pStyle w:val="parrafos"/>
        <w:tabs>
          <w:tab w:val="clear" w:pos="360"/>
        </w:tabs>
        <w:rPr>
          <w:rFonts w:ascii="Cambria" w:hAnsi="Cambria"/>
          <w:lang w:val="es-419"/>
        </w:rPr>
      </w:pPr>
    </w:p>
    <w:p w14:paraId="6BBDC809" w14:textId="77777777" w:rsidR="00180E29" w:rsidRPr="00F2058B" w:rsidRDefault="00BB1023" w:rsidP="00180E29">
      <w:pPr>
        <w:pStyle w:val="parrafos"/>
        <w:numPr>
          <w:ilvl w:val="0"/>
          <w:numId w:val="58"/>
        </w:numPr>
        <w:ind w:left="0" w:firstLine="0"/>
        <w:rPr>
          <w:rFonts w:ascii="Cambria" w:hAnsi="Cambria"/>
          <w:lang w:val="es-419"/>
        </w:rPr>
      </w:pPr>
      <w:r w:rsidRPr="00F2058B">
        <w:rPr>
          <w:rFonts w:cs="Verdana"/>
          <w:lang w:val="es-419"/>
        </w:rPr>
        <w:t xml:space="preserve">La Comisión ha indicado que una violación de los derechos humanos </w:t>
      </w:r>
      <w:r w:rsidRPr="00F2058B">
        <w:rPr>
          <w:lang w:val="es-419"/>
        </w:rPr>
        <w:t>protegidos por la Convención puede comprometer la responsabilidad internacional de un Estado parte sea porque la violación es perpetrada por sus propios agentes o bien</w:t>
      </w:r>
      <w:r w:rsidRPr="00F2058B">
        <w:rPr>
          <w:b/>
          <w:lang w:val="es-419"/>
        </w:rPr>
        <w:t xml:space="preserve"> </w:t>
      </w:r>
      <w:r w:rsidRPr="00F2058B">
        <w:rPr>
          <w:lang w:val="es-419"/>
        </w:rPr>
        <w:t>-aunque al principio no sean directamente atribuibles al Estado por haber sido cometidas por un particular-, cuando no se haya podido determinar quién ha sido el autor de la misma debido a la falta de diligencia del Estado para prevenir razonablemente la violación o tratarla conforme a lo que establece la Convención. Lo importante es determinar si ese acto ilícito ha contado con la participación, el apoyo o la tolerancia de agentes estatales o ha resultado del incumplimiento, por parte del Estado, de su obligación de prevenir razonablemente las violaciones de los derechos humanos, de investigar seriamente a efecto de identificar y sancionar a los responsables y reparar adecuadamente a la víctima o sus familiares por los perjuicios causados</w:t>
      </w:r>
      <w:r w:rsidRPr="00F2058B">
        <w:rPr>
          <w:rStyle w:val="FootnoteReference"/>
          <w:lang w:val="es-419"/>
        </w:rPr>
        <w:footnoteReference w:id="125"/>
      </w:r>
      <w:r w:rsidRPr="00F2058B">
        <w:rPr>
          <w:lang w:val="es-419"/>
        </w:rPr>
        <w:t>.</w:t>
      </w:r>
    </w:p>
    <w:p w14:paraId="691FCB49" w14:textId="77777777" w:rsidR="00180E29" w:rsidRPr="00F2058B" w:rsidRDefault="00180E29" w:rsidP="00180E29">
      <w:pPr>
        <w:pStyle w:val="ListParagraph"/>
        <w:rPr>
          <w:rFonts w:cs="Verdana"/>
          <w:lang w:val="es-419"/>
        </w:rPr>
      </w:pPr>
    </w:p>
    <w:p w14:paraId="6846611F" w14:textId="1FAA8505" w:rsidR="00BB1023" w:rsidRPr="00F2058B" w:rsidRDefault="00BB1023" w:rsidP="00180E29">
      <w:pPr>
        <w:pStyle w:val="parrafos"/>
        <w:numPr>
          <w:ilvl w:val="0"/>
          <w:numId w:val="58"/>
        </w:numPr>
        <w:ind w:left="0" w:firstLine="0"/>
        <w:rPr>
          <w:rFonts w:ascii="Cambria" w:hAnsi="Cambria"/>
          <w:lang w:val="es-419"/>
        </w:rPr>
      </w:pPr>
      <w:r w:rsidRPr="00F2058B">
        <w:rPr>
          <w:rFonts w:cs="Verdana"/>
          <w:lang w:val="es-419"/>
        </w:rPr>
        <w:t xml:space="preserve">La Corte ha indicado lo siguiente respeto de la protección del derecho a la vida: </w:t>
      </w:r>
    </w:p>
    <w:p w14:paraId="6F08BE92" w14:textId="77777777" w:rsidR="00BB1023" w:rsidRPr="00F2058B" w:rsidRDefault="00BB1023" w:rsidP="00BB1023">
      <w:pPr>
        <w:ind w:left="720" w:right="720"/>
        <w:jc w:val="both"/>
        <w:rPr>
          <w:rFonts w:asciiTheme="majorHAnsi" w:hAnsiTheme="majorHAnsi" w:cs="Verdana"/>
          <w:sz w:val="20"/>
          <w:szCs w:val="20"/>
          <w:lang w:val="es-419"/>
        </w:rPr>
      </w:pPr>
    </w:p>
    <w:p w14:paraId="3D83DEDA" w14:textId="1553AE90" w:rsidR="00BB1023" w:rsidRPr="00F2058B" w:rsidRDefault="00BB1023" w:rsidP="00BB1023">
      <w:pPr>
        <w:ind w:left="360" w:right="720"/>
        <w:jc w:val="both"/>
        <w:rPr>
          <w:rFonts w:asciiTheme="majorHAnsi" w:hAnsiTheme="majorHAnsi"/>
          <w:sz w:val="18"/>
          <w:szCs w:val="18"/>
          <w:lang w:val="es-419"/>
        </w:rPr>
      </w:pPr>
      <w:r w:rsidRPr="00F2058B">
        <w:rPr>
          <w:rFonts w:asciiTheme="majorHAnsi" w:hAnsiTheme="majorHAnsi" w:cs="Verdana"/>
          <w:sz w:val="18"/>
          <w:szCs w:val="18"/>
          <w:lang w:val="es-419"/>
        </w:rPr>
        <w:t>(…) Esta protección activa del derecho a la vida por parte del Estado no sólo involucra a sus legisladores, sino a toda institución estatal y a quienes deben resguardar la seguridad, sean éstas sus fuerzas de policía o sus fuerzas armadas.  En razón de lo anterior, los Estados deben tomar las medidas necesarias, no sólo para prevenir y castigar la privación de la vida como consecuencia de actos criminales, sino también prevenir las ejecuciones arbitrarias por parte de sus propias fuerzas de seguridad (…)</w:t>
      </w:r>
      <w:r w:rsidRPr="00F2058B">
        <w:rPr>
          <w:rFonts w:asciiTheme="majorHAnsi" w:hAnsiTheme="majorHAnsi" w:cs="Verdana"/>
          <w:sz w:val="18"/>
          <w:szCs w:val="18"/>
          <w:vertAlign w:val="superscript"/>
          <w:lang w:val="es-419"/>
        </w:rPr>
        <w:footnoteReference w:id="126"/>
      </w:r>
      <w:r w:rsidRPr="00F2058B">
        <w:rPr>
          <w:rFonts w:asciiTheme="majorHAnsi" w:hAnsiTheme="majorHAnsi" w:cs="Verdana"/>
          <w:sz w:val="18"/>
          <w:szCs w:val="18"/>
          <w:lang w:val="es-419"/>
        </w:rPr>
        <w:t>.</w:t>
      </w:r>
    </w:p>
    <w:p w14:paraId="070915C2" w14:textId="77777777" w:rsidR="00BB1023" w:rsidRPr="00F2058B" w:rsidRDefault="00BB1023" w:rsidP="00BB1023">
      <w:pPr>
        <w:pStyle w:val="ListParagraph"/>
        <w:tabs>
          <w:tab w:val="left" w:pos="720"/>
          <w:tab w:val="left" w:pos="1440"/>
        </w:tabs>
        <w:jc w:val="both"/>
        <w:rPr>
          <w:rFonts w:asciiTheme="majorHAnsi" w:hAnsiTheme="majorHAnsi"/>
          <w:b/>
          <w:sz w:val="20"/>
          <w:szCs w:val="20"/>
          <w:lang w:val="es-419"/>
        </w:rPr>
      </w:pPr>
    </w:p>
    <w:p w14:paraId="02946EAD" w14:textId="60E21BBF" w:rsidR="00BB1023" w:rsidRPr="00F2058B" w:rsidRDefault="00BB1023" w:rsidP="00BB1023">
      <w:pPr>
        <w:pStyle w:val="parrafos"/>
        <w:numPr>
          <w:ilvl w:val="0"/>
          <w:numId w:val="58"/>
        </w:numPr>
        <w:ind w:left="0" w:firstLine="0"/>
        <w:rPr>
          <w:lang w:val="es-419"/>
        </w:rPr>
      </w:pPr>
      <w:r w:rsidRPr="00F2058B">
        <w:rPr>
          <w:lang w:val="es-419"/>
        </w:rPr>
        <w:t xml:space="preserve">Por su parte, la Comisión Interamericana ha expresado en ocasiones anteriores: </w:t>
      </w:r>
    </w:p>
    <w:p w14:paraId="136682FF" w14:textId="77777777" w:rsidR="00BB1023" w:rsidRPr="00F2058B" w:rsidRDefault="00BB1023" w:rsidP="00BB1023">
      <w:pPr>
        <w:ind w:left="720" w:right="720"/>
        <w:jc w:val="both"/>
        <w:rPr>
          <w:rFonts w:asciiTheme="majorHAnsi" w:hAnsiTheme="majorHAnsi"/>
          <w:sz w:val="20"/>
          <w:szCs w:val="20"/>
          <w:lang w:val="es-419"/>
        </w:rPr>
      </w:pPr>
    </w:p>
    <w:p w14:paraId="5EBC2131" w14:textId="47E20EE4" w:rsidR="00BB1023" w:rsidRPr="00F2058B" w:rsidRDefault="00BB1023" w:rsidP="00BB1023">
      <w:pPr>
        <w:ind w:left="360" w:right="720"/>
        <w:jc w:val="both"/>
        <w:rPr>
          <w:rFonts w:asciiTheme="majorHAnsi" w:hAnsiTheme="majorHAnsi"/>
          <w:sz w:val="18"/>
          <w:szCs w:val="18"/>
          <w:lang w:val="es-419"/>
        </w:rPr>
      </w:pPr>
      <w:r w:rsidRPr="00F2058B">
        <w:rPr>
          <w:rFonts w:asciiTheme="majorHAnsi" w:hAnsiTheme="majorHAnsi"/>
          <w:sz w:val="18"/>
          <w:szCs w:val="18"/>
          <w:lang w:val="es-419"/>
        </w:rPr>
        <w:t xml:space="preserve">(…) las ejecuciones extrajudiciales o sumarias se caracterizan por ser privaciones </w:t>
      </w:r>
      <w:r w:rsidRPr="00F2058B">
        <w:rPr>
          <w:rFonts w:asciiTheme="majorHAnsi" w:hAnsiTheme="majorHAnsi" w:cs="Verdana"/>
          <w:sz w:val="18"/>
          <w:szCs w:val="18"/>
          <w:lang w:val="es-419"/>
        </w:rPr>
        <w:t>deliberadas</w:t>
      </w:r>
      <w:r w:rsidRPr="00F2058B">
        <w:rPr>
          <w:rFonts w:asciiTheme="majorHAnsi" w:hAnsiTheme="majorHAnsi"/>
          <w:sz w:val="18"/>
          <w:szCs w:val="18"/>
          <w:lang w:val="es-419"/>
        </w:rPr>
        <w:t xml:space="preserve"> e ilegítimas de la vida por parte de agentes del Estado, actuando generalmente bajo órdenes o al menos con el consentimiento o aquiescencia de las autoridades.  Por lo tanto, las ejecuciones extrajudiciales son acciones ilícitas cometidas por quienes precisamente están investidos del poder originalmente concebido para proteger y garantizar la seguridad y la  vida de las personas</w:t>
      </w:r>
      <w:r w:rsidRPr="00F2058B">
        <w:rPr>
          <w:rStyle w:val="FootnoteReference"/>
          <w:rFonts w:asciiTheme="majorHAnsi" w:hAnsiTheme="majorHAnsi"/>
          <w:sz w:val="18"/>
          <w:szCs w:val="18"/>
          <w:lang w:val="es-419"/>
        </w:rPr>
        <w:footnoteReference w:id="127"/>
      </w:r>
      <w:r w:rsidRPr="00F2058B">
        <w:rPr>
          <w:rFonts w:asciiTheme="majorHAnsi" w:hAnsiTheme="majorHAnsi"/>
          <w:sz w:val="18"/>
          <w:szCs w:val="18"/>
          <w:lang w:val="es-419"/>
        </w:rPr>
        <w:t xml:space="preserve">.  </w:t>
      </w:r>
    </w:p>
    <w:p w14:paraId="2578F81A" w14:textId="584BE08E" w:rsidR="00BB1023" w:rsidRPr="00F2058B" w:rsidRDefault="00BB1023" w:rsidP="00E301C0">
      <w:pPr>
        <w:rPr>
          <w:lang w:val="es-419"/>
        </w:rPr>
      </w:pPr>
    </w:p>
    <w:p w14:paraId="1369C6D3" w14:textId="10CA6FD3" w:rsidR="00180E29" w:rsidRPr="003B174F" w:rsidRDefault="00BB1023" w:rsidP="00180E29">
      <w:pPr>
        <w:pStyle w:val="parrafos"/>
        <w:numPr>
          <w:ilvl w:val="0"/>
          <w:numId w:val="58"/>
        </w:numPr>
        <w:ind w:left="0" w:firstLine="0"/>
        <w:rPr>
          <w:rFonts w:ascii="Cambria" w:hAnsi="Cambria"/>
          <w:lang w:val="es-419"/>
        </w:rPr>
      </w:pPr>
      <w:r w:rsidRPr="00F2058B">
        <w:rPr>
          <w:lang w:val="es-419"/>
        </w:rPr>
        <w:t xml:space="preserve">Específicamente, sobre el deber de prevenir la Corte ha indicado que “un Estado no puede ser responsable por cualquier violación de derechos humanos cometida entre particulares dentro de su jurisdicción. En efecto, el carácter </w:t>
      </w:r>
      <w:r w:rsidRPr="00F2058B">
        <w:rPr>
          <w:i/>
          <w:lang w:val="es-419"/>
        </w:rPr>
        <w:t xml:space="preserve">erga omnes </w:t>
      </w:r>
      <w:r w:rsidRPr="00F2058B">
        <w:rPr>
          <w:rFonts w:cs="Arial"/>
          <w:lang w:val="es-419"/>
        </w:rPr>
        <w:t>de</w:t>
      </w:r>
      <w:r w:rsidRPr="00F2058B">
        <w:rPr>
          <w:lang w:val="es-419"/>
        </w:rPr>
        <w:t xml:space="preserve"> las obligaciones convencionales de garantía a cargo de los Estados no implica una responsabilidad ilimitada de los Estados frente a cualquier acto o hecho de particulares</w:t>
      </w:r>
      <w:r w:rsidRPr="00F2058B">
        <w:rPr>
          <w:rStyle w:val="FootnoteReference"/>
          <w:lang w:val="es-419"/>
        </w:rPr>
        <w:footnoteReference w:id="128"/>
      </w:r>
      <w:r w:rsidRPr="00F2058B">
        <w:rPr>
          <w:lang w:val="es-419"/>
        </w:rPr>
        <w:t>, pues sus deberes de adoptar medidas de prevención y protección en sus relaciones entre sí</w:t>
      </w:r>
      <w:r w:rsidRPr="00F2058B">
        <w:rPr>
          <w:b/>
          <w:lang w:val="es-419"/>
        </w:rPr>
        <w:t xml:space="preserve"> </w:t>
      </w:r>
      <w:r w:rsidRPr="00F2058B">
        <w:rPr>
          <w:lang w:val="es-419"/>
        </w:rPr>
        <w:t>se encuentran condicionados a i) si el Estado tenía o debía tener conocimiento de una situación de riesgo; ii) si dicho riesgo era real e inmediato;  y iii) si el Estado adoptó las medidas que razonablemente se esperaban para evitar que dicho riesgo se verificara</w:t>
      </w:r>
      <w:r w:rsidRPr="00F2058B">
        <w:rPr>
          <w:rStyle w:val="FootnoteReference"/>
          <w:rFonts w:ascii="Cambria" w:hAnsi="Cambria" w:cs="Arial"/>
          <w:lang w:val="es-419"/>
        </w:rPr>
        <w:footnoteReference w:id="129"/>
      </w:r>
      <w:r w:rsidR="00180E29" w:rsidRPr="00F2058B">
        <w:rPr>
          <w:lang w:val="es-419"/>
        </w:rPr>
        <w:t>.</w:t>
      </w:r>
    </w:p>
    <w:p w14:paraId="32765B34" w14:textId="77777777" w:rsidR="003B174F" w:rsidRPr="00F2058B" w:rsidRDefault="003B174F" w:rsidP="003B174F">
      <w:pPr>
        <w:pStyle w:val="parrafos"/>
        <w:rPr>
          <w:rFonts w:ascii="Cambria" w:hAnsi="Cambria"/>
          <w:lang w:val="es-419"/>
        </w:rPr>
      </w:pPr>
    </w:p>
    <w:p w14:paraId="3CA6486F" w14:textId="338784DE" w:rsidR="00BB1023" w:rsidRPr="00F2058B" w:rsidRDefault="00180E29" w:rsidP="00A022EA">
      <w:pPr>
        <w:pStyle w:val="parrafos"/>
        <w:numPr>
          <w:ilvl w:val="0"/>
          <w:numId w:val="58"/>
        </w:numPr>
        <w:ind w:left="0" w:firstLine="0"/>
        <w:rPr>
          <w:rFonts w:ascii="Cambria" w:hAnsi="Cambria"/>
          <w:lang w:val="es-419"/>
        </w:rPr>
      </w:pPr>
      <w:r w:rsidRPr="00F2058B">
        <w:rPr>
          <w:lang w:val="es-419"/>
        </w:rPr>
        <w:t>En cuanto a los hechos relacionados con la muerte de Victoria Delgado Anaya, la Comisi</w:t>
      </w:r>
      <w:r w:rsidR="00BC2CA6" w:rsidRPr="00F2058B">
        <w:rPr>
          <w:lang w:val="es-419"/>
        </w:rPr>
        <w:t>ón recuerda que el 23 de diciembre de 2001 fue secuestrada por miembros de las AUC</w:t>
      </w:r>
      <w:r w:rsidR="00BA177F" w:rsidRPr="00F2058B">
        <w:rPr>
          <w:lang w:val="es-419"/>
        </w:rPr>
        <w:t xml:space="preserve"> en el corregimi</w:t>
      </w:r>
      <w:r w:rsidR="00BC2CA6" w:rsidRPr="00F2058B">
        <w:rPr>
          <w:lang w:val="es-419"/>
        </w:rPr>
        <w:t>e</w:t>
      </w:r>
      <w:r w:rsidR="00BA177F" w:rsidRPr="00F2058B">
        <w:rPr>
          <w:lang w:val="es-419"/>
        </w:rPr>
        <w:t>n</w:t>
      </w:r>
      <w:r w:rsidR="00BC2CA6" w:rsidRPr="00F2058B">
        <w:rPr>
          <w:lang w:val="es-419"/>
        </w:rPr>
        <w:t xml:space="preserve">to de Aguas Lindas y el 24 de diciembre de 2001 su cuerpo fue hallado sin vida. Según indicó un hijo de la presunta víctima, una de las personas que se la llevó le indicó que la llevaban para interrogarla sobre </w:t>
      </w:r>
      <w:r w:rsidR="00BA177F" w:rsidRPr="00F2058B">
        <w:rPr>
          <w:lang w:val="es-419"/>
        </w:rPr>
        <w:t xml:space="preserve">lo que conocía de la desaparición de Edgar Quiroga y Gildardo Fuentes. </w:t>
      </w:r>
    </w:p>
    <w:p w14:paraId="5E27F2AD" w14:textId="77777777" w:rsidR="00BA177F" w:rsidRPr="00F2058B" w:rsidRDefault="00BA177F" w:rsidP="00BA177F">
      <w:pPr>
        <w:pStyle w:val="ListParagraph"/>
        <w:rPr>
          <w:rFonts w:ascii="Cambria" w:hAnsi="Cambria"/>
          <w:lang w:val="es-419"/>
        </w:rPr>
      </w:pPr>
    </w:p>
    <w:p w14:paraId="7B2A68A6" w14:textId="5571C352" w:rsidR="009D3F10" w:rsidRPr="00F2058B" w:rsidRDefault="00BA177F" w:rsidP="009D3F10">
      <w:pPr>
        <w:pStyle w:val="parrafos"/>
        <w:numPr>
          <w:ilvl w:val="0"/>
          <w:numId w:val="58"/>
        </w:numPr>
        <w:ind w:left="0" w:firstLine="0"/>
        <w:rPr>
          <w:rFonts w:ascii="Cambria" w:hAnsi="Cambria"/>
          <w:lang w:val="es-419"/>
        </w:rPr>
      </w:pPr>
      <w:r w:rsidRPr="00F2058B">
        <w:rPr>
          <w:rFonts w:ascii="Cambria" w:hAnsi="Cambria"/>
          <w:lang w:val="es-419"/>
        </w:rPr>
        <w:t xml:space="preserve">Sobre estos hechos, la CIDH subraya </w:t>
      </w:r>
      <w:r w:rsidR="009D3F10" w:rsidRPr="00F2058B">
        <w:rPr>
          <w:rFonts w:ascii="Cambria" w:hAnsi="Cambria"/>
          <w:lang w:val="es-419"/>
        </w:rPr>
        <w:t>que ocurrieron en el contexto ya acreditado de colaboración</w:t>
      </w:r>
      <w:r w:rsidR="008C14AF" w:rsidRPr="00F2058B">
        <w:rPr>
          <w:rFonts w:ascii="Cambria" w:hAnsi="Cambria"/>
          <w:lang w:val="es-419"/>
        </w:rPr>
        <w:t xml:space="preserve"> o al menos aquiescencia</w:t>
      </w:r>
      <w:r w:rsidR="009D3F10" w:rsidRPr="00F2058B">
        <w:rPr>
          <w:rFonts w:ascii="Cambria" w:hAnsi="Cambria"/>
          <w:lang w:val="es-419"/>
        </w:rPr>
        <w:t xml:space="preserve"> entre grupos paramilitares y miembros del </w:t>
      </w:r>
      <w:r w:rsidR="00AB76BF">
        <w:rPr>
          <w:rFonts w:ascii="Cambria" w:hAnsi="Cambria"/>
          <w:lang w:val="es-419"/>
        </w:rPr>
        <w:t>E</w:t>
      </w:r>
      <w:r w:rsidR="009D3F10" w:rsidRPr="00F2058B">
        <w:rPr>
          <w:rFonts w:ascii="Cambria" w:hAnsi="Cambria"/>
          <w:lang w:val="es-419"/>
        </w:rPr>
        <w:t>j</w:t>
      </w:r>
      <w:r w:rsidR="00AB76BF">
        <w:rPr>
          <w:rFonts w:ascii="Cambria" w:hAnsi="Cambria"/>
          <w:lang w:val="es-419"/>
        </w:rPr>
        <w:t>é</w:t>
      </w:r>
      <w:r w:rsidR="009D3F10" w:rsidRPr="00F2058B">
        <w:rPr>
          <w:rFonts w:ascii="Cambria" w:hAnsi="Cambria"/>
          <w:lang w:val="es-419"/>
        </w:rPr>
        <w:t xml:space="preserve">rcito. </w:t>
      </w:r>
      <w:r w:rsidRPr="00F2058B">
        <w:rPr>
          <w:rFonts w:ascii="Cambria" w:hAnsi="Cambria"/>
          <w:lang w:val="es-419"/>
        </w:rPr>
        <w:t xml:space="preserve">Por otra parte, la Comisión cuenta con distintos indicios que permiten acreditar que, pese a que el Estado conocía que Victoria Delgado Anaya se encontraba en una situación de riesgo, no tomó </w:t>
      </w:r>
      <w:r w:rsidR="00DE1F4E" w:rsidRPr="00F2058B">
        <w:rPr>
          <w:rFonts w:ascii="Cambria" w:hAnsi="Cambria"/>
          <w:lang w:val="es-419"/>
        </w:rPr>
        <w:t>medidas efectivas</w:t>
      </w:r>
      <w:r w:rsidRPr="00F2058B">
        <w:rPr>
          <w:rFonts w:ascii="Cambria" w:hAnsi="Cambria"/>
          <w:lang w:val="es-419"/>
        </w:rPr>
        <w:t xml:space="preserve"> para prevenirlo.</w:t>
      </w:r>
      <w:r w:rsidR="009D3F10" w:rsidRPr="00F2058B">
        <w:rPr>
          <w:rFonts w:ascii="Cambria" w:hAnsi="Cambria"/>
          <w:lang w:val="es-419"/>
        </w:rPr>
        <w:t xml:space="preserve"> En primer lugar, tras la desaparición de Gildardo Fuentes y Edgar Quiroga consta que el 29 de noviembre de 1999 la CIDH otorgó medidas cautelares y ordenó al Estado colom</w:t>
      </w:r>
      <w:r w:rsidR="008C14AF" w:rsidRPr="00F2058B">
        <w:rPr>
          <w:rFonts w:ascii="Cambria" w:hAnsi="Cambria"/>
          <w:lang w:val="es-419"/>
        </w:rPr>
        <w:t>bi</w:t>
      </w:r>
      <w:r w:rsidR="001D00FA" w:rsidRPr="00F2058B">
        <w:rPr>
          <w:rFonts w:ascii="Cambria" w:hAnsi="Cambria"/>
          <w:lang w:val="es-419"/>
        </w:rPr>
        <w:t>a</w:t>
      </w:r>
      <w:r w:rsidR="008C14AF" w:rsidRPr="00F2058B">
        <w:rPr>
          <w:rFonts w:ascii="Cambria" w:hAnsi="Cambria"/>
          <w:lang w:val="es-419"/>
        </w:rPr>
        <w:t>n</w:t>
      </w:r>
      <w:r w:rsidR="009D3F10" w:rsidRPr="00F2058B">
        <w:rPr>
          <w:rFonts w:ascii="Cambria" w:hAnsi="Cambria"/>
          <w:lang w:val="es-419"/>
        </w:rPr>
        <w:t>o la adopción de medidas urgentes para prot</w:t>
      </w:r>
      <w:r w:rsidR="003D6AAA" w:rsidRPr="00F2058B">
        <w:rPr>
          <w:rFonts w:ascii="Cambria" w:hAnsi="Cambria"/>
          <w:lang w:val="es-419"/>
        </w:rPr>
        <w:t>eger la vida e integridad de am</w:t>
      </w:r>
      <w:r w:rsidR="009D3F10" w:rsidRPr="00F2058B">
        <w:rPr>
          <w:rFonts w:ascii="Cambria" w:hAnsi="Cambria"/>
          <w:lang w:val="es-419"/>
        </w:rPr>
        <w:t>b</w:t>
      </w:r>
      <w:r w:rsidR="003D6AAA" w:rsidRPr="00F2058B">
        <w:rPr>
          <w:rFonts w:ascii="Cambria" w:hAnsi="Cambria"/>
          <w:lang w:val="es-419"/>
        </w:rPr>
        <w:t>o</w:t>
      </w:r>
      <w:r w:rsidR="009D3F10" w:rsidRPr="00F2058B">
        <w:rPr>
          <w:rFonts w:ascii="Cambria" w:hAnsi="Cambria"/>
          <w:lang w:val="es-419"/>
        </w:rPr>
        <w:t xml:space="preserve">s, así como la de los habitantes que atestiguaron los hechos y los denunciaron ante las autoridades. Victoria Delgado denunció </w:t>
      </w:r>
      <w:r w:rsidR="00986C87" w:rsidRPr="00F2058B">
        <w:rPr>
          <w:rFonts w:ascii="Cambria" w:hAnsi="Cambria"/>
          <w:lang w:val="es-419"/>
        </w:rPr>
        <w:t>en distintas ocasiones la desaparición de Gildardo Fuentes y Edgar Quiroga.</w:t>
      </w:r>
    </w:p>
    <w:p w14:paraId="4065EBEE" w14:textId="77777777" w:rsidR="009D3F10" w:rsidRPr="00F2058B" w:rsidRDefault="009D3F10" w:rsidP="009D3F10">
      <w:pPr>
        <w:pStyle w:val="ListParagraph"/>
        <w:rPr>
          <w:rFonts w:ascii="Cambria" w:hAnsi="Cambria"/>
          <w:lang w:val="es-419"/>
        </w:rPr>
      </w:pPr>
    </w:p>
    <w:p w14:paraId="57F7E351" w14:textId="23306FEC" w:rsidR="009D3F10" w:rsidRPr="00F2058B" w:rsidRDefault="009D3F10" w:rsidP="009D3F10">
      <w:pPr>
        <w:pStyle w:val="parrafos"/>
        <w:numPr>
          <w:ilvl w:val="0"/>
          <w:numId w:val="58"/>
        </w:numPr>
        <w:ind w:left="0" w:firstLine="0"/>
        <w:rPr>
          <w:rFonts w:ascii="Cambria" w:hAnsi="Cambria"/>
          <w:lang w:val="es-419"/>
        </w:rPr>
      </w:pPr>
      <w:r w:rsidRPr="00F2058B">
        <w:rPr>
          <w:rFonts w:ascii="Cambria" w:hAnsi="Cambria"/>
          <w:lang w:val="es-419"/>
        </w:rPr>
        <w:t>El 16 de mayo de 2001 Victoria Delgado Anaya fue secuestrada por las AUC, sin embargo, por la movilización de pobladores de Aguas Lindas, fue dejada en libertad. Ante ello, el 19 de mayo de 2001 sus representantes presentaron una medida cautelar</w:t>
      </w:r>
      <w:r w:rsidR="006B46F9" w:rsidRPr="00F2058B">
        <w:rPr>
          <w:rFonts w:ascii="Cambria" w:hAnsi="Cambria"/>
          <w:lang w:val="es-419"/>
        </w:rPr>
        <w:t>,</w:t>
      </w:r>
      <w:r w:rsidRPr="00F2058B">
        <w:rPr>
          <w:rFonts w:ascii="Cambria" w:hAnsi="Cambria"/>
          <w:lang w:val="es-419"/>
        </w:rPr>
        <w:t xml:space="preserve"> y en el marco de dicho </w:t>
      </w:r>
      <w:r w:rsidR="00FD573C" w:rsidRPr="00F2058B">
        <w:rPr>
          <w:rFonts w:ascii="Cambria" w:hAnsi="Cambria"/>
          <w:lang w:val="es-419"/>
        </w:rPr>
        <w:t>trámite</w:t>
      </w:r>
      <w:r w:rsidRPr="00F2058B">
        <w:rPr>
          <w:rFonts w:ascii="Cambria" w:hAnsi="Cambria"/>
          <w:lang w:val="es-419"/>
        </w:rPr>
        <w:t xml:space="preserve"> el Estado informó que </w:t>
      </w:r>
      <w:r w:rsidR="006B46F9" w:rsidRPr="00F2058B">
        <w:rPr>
          <w:rFonts w:ascii="Cambria" w:hAnsi="Cambria"/>
          <w:lang w:val="es-419"/>
        </w:rPr>
        <w:t xml:space="preserve">el 24 de julio de 2001 inició una investigación por dicho secuestro. </w:t>
      </w:r>
    </w:p>
    <w:p w14:paraId="776E68D3" w14:textId="006B6389" w:rsidR="002D558A" w:rsidRPr="00F2058B" w:rsidRDefault="002D558A" w:rsidP="008C14AF">
      <w:pPr>
        <w:rPr>
          <w:rFonts w:ascii="Cambria" w:hAnsi="Cambria"/>
          <w:lang w:val="es-419"/>
        </w:rPr>
      </w:pPr>
    </w:p>
    <w:p w14:paraId="3E979D8E" w14:textId="0498FA85" w:rsidR="00B95CFB" w:rsidRPr="00F2058B" w:rsidRDefault="00B95CFB" w:rsidP="00B95CFB">
      <w:pPr>
        <w:pStyle w:val="parrafos"/>
        <w:numPr>
          <w:ilvl w:val="0"/>
          <w:numId w:val="58"/>
        </w:numPr>
        <w:ind w:left="0" w:firstLine="0"/>
        <w:rPr>
          <w:rFonts w:ascii="Cambria" w:hAnsi="Cambria"/>
          <w:lang w:val="es-419"/>
        </w:rPr>
      </w:pPr>
      <w:r w:rsidRPr="00F2058B">
        <w:rPr>
          <w:rFonts w:ascii="Cambria" w:hAnsi="Cambria"/>
          <w:lang w:val="es-419"/>
        </w:rPr>
        <w:t>La Comisión subraya que, tanto por el contexto en el que ocurrieron los hechos, como por el hecho del primer secuestro, y el contenido de las denuncias que presentó Victoria Delgado respeto de la desaparición de Edgar Quiroga y Gildardo Fuentes era previsible asumir para el Estado que la presunta víctima se encontraba en una situación de riesgo real e inmediato. No obstante, no consta que hubiese tomado medidas efectivas para evitar que se materializaran riesgos a su vida. En efecto, si bien consta que el Estado adoptó una serie de medidas, según informó la parte peticionaria y el Estado no controvirtió, este adoptó “un plan preventivo, pero en una comunidad eq</w:t>
      </w:r>
      <w:r w:rsidR="00AA39DD" w:rsidRPr="00F2058B">
        <w:rPr>
          <w:rFonts w:ascii="Cambria" w:hAnsi="Cambria"/>
          <w:lang w:val="es-419"/>
        </w:rPr>
        <w:t xml:space="preserve">uivocada, lo cual hizo posible </w:t>
      </w:r>
      <w:r w:rsidRPr="00F2058B">
        <w:rPr>
          <w:rFonts w:ascii="Cambria" w:hAnsi="Cambria"/>
          <w:lang w:val="es-419"/>
        </w:rPr>
        <w:t>el segundo secuestro y la muerte de la señora Delgado”</w:t>
      </w:r>
      <w:r w:rsidR="00CE60CC" w:rsidRPr="00F2058B">
        <w:rPr>
          <w:rFonts w:ascii="Cambria" w:hAnsi="Cambria"/>
          <w:lang w:val="es-419"/>
        </w:rPr>
        <w:t xml:space="preserve"> </w:t>
      </w:r>
      <w:r w:rsidRPr="00F2058B">
        <w:rPr>
          <w:rFonts w:ascii="Cambria" w:hAnsi="Cambria"/>
          <w:lang w:val="es-419"/>
        </w:rPr>
        <w:t xml:space="preserve">tras ser señalada de colaboradora de la guerrilla. </w:t>
      </w:r>
    </w:p>
    <w:p w14:paraId="01A29235" w14:textId="7F0A49C2" w:rsidR="003829DF" w:rsidRPr="00F2058B" w:rsidRDefault="003829DF" w:rsidP="003829DF">
      <w:pPr>
        <w:rPr>
          <w:lang w:val="es-419"/>
        </w:rPr>
      </w:pPr>
    </w:p>
    <w:p w14:paraId="31012118" w14:textId="62579704" w:rsidR="003829DF" w:rsidRPr="00F2058B" w:rsidRDefault="003829DF" w:rsidP="00411783">
      <w:pPr>
        <w:pStyle w:val="parrafos"/>
        <w:numPr>
          <w:ilvl w:val="0"/>
          <w:numId w:val="58"/>
        </w:numPr>
        <w:ind w:left="0" w:firstLine="0"/>
        <w:rPr>
          <w:lang w:val="es-419"/>
        </w:rPr>
      </w:pPr>
      <w:r w:rsidRPr="00F2058B">
        <w:rPr>
          <w:lang w:val="es-419"/>
        </w:rPr>
        <w:t xml:space="preserve">Por otra parte, en relación con las investigaciones por el secuestro y el asesinato de Victoria Delgado Anaya, la CIDH </w:t>
      </w:r>
      <w:r w:rsidR="00411783" w:rsidRPr="00F2058B">
        <w:rPr>
          <w:lang w:val="es-419"/>
        </w:rPr>
        <w:t>cuenta con información sobre la investigación 1160 promovida ante la Fiscalía 54 de la Unidad Nacional de Derechos Humanos y Derecho Internacional Humanitario, en el marco de la cual se procesó a distintas personas. Sin embargo</w:t>
      </w:r>
      <w:r w:rsidR="000E75F5" w:rsidRPr="00F2058B">
        <w:rPr>
          <w:lang w:val="es-419"/>
        </w:rPr>
        <w:t>,</w:t>
      </w:r>
      <w:r w:rsidR="00411783" w:rsidRPr="00F2058B">
        <w:rPr>
          <w:lang w:val="es-419"/>
        </w:rPr>
        <w:t xml:space="preserve"> el Estado no informó sobre ninguna </w:t>
      </w:r>
      <w:r w:rsidR="00AA39DD" w:rsidRPr="00F2058B">
        <w:rPr>
          <w:lang w:val="es-419"/>
        </w:rPr>
        <w:t>condena ni comprobó que se haya</w:t>
      </w:r>
      <w:r w:rsidR="00411783" w:rsidRPr="00F2058B">
        <w:rPr>
          <w:lang w:val="es-419"/>
        </w:rPr>
        <w:t xml:space="preserve"> concluido la investigación, deduciendo las responsabilidad</w:t>
      </w:r>
      <w:r w:rsidR="000E75F5" w:rsidRPr="00F2058B">
        <w:rPr>
          <w:lang w:val="es-419"/>
        </w:rPr>
        <w:t>es</w:t>
      </w:r>
      <w:r w:rsidR="00411783" w:rsidRPr="00F2058B">
        <w:rPr>
          <w:lang w:val="es-419"/>
        </w:rPr>
        <w:t xml:space="preserve"> de todos los autores materiales e intelectuales que intervinieron en los hechos,</w:t>
      </w:r>
      <w:r w:rsidR="000E75F5" w:rsidRPr="00F2058B">
        <w:rPr>
          <w:lang w:val="es-419"/>
        </w:rPr>
        <w:t xml:space="preserve"> pese a que han transcurrido casi</w:t>
      </w:r>
      <w:r w:rsidR="00411783" w:rsidRPr="00F2058B">
        <w:rPr>
          <w:lang w:val="es-419"/>
        </w:rPr>
        <w:t xml:space="preserve"> </w:t>
      </w:r>
      <w:r w:rsidR="000E75F5" w:rsidRPr="00F2058B">
        <w:rPr>
          <w:lang w:val="es-419"/>
        </w:rPr>
        <w:t>19 años desde que ocurrieron los hechos</w:t>
      </w:r>
      <w:r w:rsidR="00AA39DD" w:rsidRPr="00F2058B">
        <w:rPr>
          <w:lang w:val="es-419"/>
        </w:rPr>
        <w:t>.</w:t>
      </w:r>
      <w:r w:rsidR="000E75F5" w:rsidRPr="00F2058B">
        <w:rPr>
          <w:lang w:val="es-419"/>
        </w:rPr>
        <w:t xml:space="preserve"> </w:t>
      </w:r>
    </w:p>
    <w:p w14:paraId="20ED3767" w14:textId="77777777" w:rsidR="00021FC4" w:rsidRPr="00F2058B" w:rsidRDefault="00021FC4" w:rsidP="00021FC4">
      <w:pPr>
        <w:pStyle w:val="ListParagraph"/>
        <w:rPr>
          <w:lang w:val="es-419"/>
        </w:rPr>
      </w:pPr>
    </w:p>
    <w:p w14:paraId="1C0FB05A" w14:textId="75987AA4" w:rsidR="00021FC4" w:rsidRPr="00F2058B" w:rsidRDefault="00021FC4" w:rsidP="00021FC4">
      <w:pPr>
        <w:pStyle w:val="parrafos"/>
        <w:numPr>
          <w:ilvl w:val="0"/>
          <w:numId w:val="58"/>
        </w:numPr>
        <w:ind w:left="0" w:firstLine="0"/>
        <w:rPr>
          <w:lang w:val="es-419"/>
        </w:rPr>
      </w:pPr>
      <w:r w:rsidRPr="00F2058B">
        <w:rPr>
          <w:lang w:val="es-419"/>
        </w:rPr>
        <w:t>La Comisión resalta que la muerte de la señora Victoria Delgado Anaya ocurrida en el contexto del conflicto armado, se inscribe también en las dinámicas violentas contra las mujeres que buscan a sus seres queridos desaparecidos. Como ha señalado la Comisión, en un conflicto armado se reproduce e incrementa la discriminación, y aunque los hombres son frecuentemente víctimas de ejecuciones sumarias y matanzas, la violencia contra la mujer, en particular, la violencia perpetrada por grupos armados se ha hecho habitual en medio de un conflicto […]”</w:t>
      </w:r>
      <w:r w:rsidRPr="00F2058B">
        <w:rPr>
          <w:rStyle w:val="FootnoteReference"/>
          <w:lang w:val="es-419"/>
        </w:rPr>
        <w:footnoteReference w:id="130"/>
      </w:r>
      <w:r w:rsidRPr="00F2058B">
        <w:rPr>
          <w:lang w:val="es-419"/>
        </w:rPr>
        <w:t xml:space="preserve">. En específico, según los hechos probados, la señora Victoria fue retenida y por miembros de las AUC para conocer información relacionada con hijo Gildardo, por lo que la violación a sus derechos que desembocó en su muerte estuvo relacionada con su rol de madre y la búsqueda de su hijo, por ser figura visible para adelantar las reclamaciones que la llevaran a dar con su paradero y, precisamente por ese rol activo, tener información que posiblemente interesara a los sujetos armados. </w:t>
      </w:r>
    </w:p>
    <w:p w14:paraId="787205C1" w14:textId="4F0DF924" w:rsidR="00411783" w:rsidRPr="00F2058B" w:rsidRDefault="00411783" w:rsidP="00A022EA">
      <w:pPr>
        <w:rPr>
          <w:lang w:val="es-419"/>
        </w:rPr>
      </w:pPr>
    </w:p>
    <w:p w14:paraId="37D24EFF" w14:textId="1FF1C445" w:rsidR="003829DF" w:rsidRPr="00F2058B" w:rsidRDefault="00411783" w:rsidP="000E75F5">
      <w:pPr>
        <w:pStyle w:val="parrafos"/>
        <w:numPr>
          <w:ilvl w:val="0"/>
          <w:numId w:val="58"/>
        </w:numPr>
        <w:ind w:left="0" w:firstLine="0"/>
        <w:rPr>
          <w:lang w:val="es-419"/>
        </w:rPr>
      </w:pPr>
      <w:r w:rsidRPr="00F2058B">
        <w:rPr>
          <w:rFonts w:ascii="Cambria" w:hAnsi="Cambria"/>
          <w:lang w:val="es-419"/>
        </w:rPr>
        <w:t>En virtud de dichas consideraciones la Comisión concluye que el Estado es responsable por la violación del derecho a la vida</w:t>
      </w:r>
      <w:r w:rsidR="000E75F5" w:rsidRPr="00F2058B">
        <w:rPr>
          <w:rFonts w:ascii="Cambria" w:hAnsi="Cambria"/>
          <w:lang w:val="es-419"/>
        </w:rPr>
        <w:t>, garantías judiciales y protección judicial,</w:t>
      </w:r>
      <w:r w:rsidRPr="00F2058B">
        <w:rPr>
          <w:rFonts w:ascii="Cambria" w:hAnsi="Cambria"/>
          <w:lang w:val="es-419"/>
        </w:rPr>
        <w:t xml:space="preserve"> establecido</w:t>
      </w:r>
      <w:r w:rsidR="000E75F5" w:rsidRPr="00F2058B">
        <w:rPr>
          <w:rFonts w:ascii="Cambria" w:hAnsi="Cambria"/>
          <w:lang w:val="es-419"/>
        </w:rPr>
        <w:t xml:space="preserve">s en </w:t>
      </w:r>
      <w:r w:rsidRPr="00F2058B">
        <w:rPr>
          <w:rFonts w:ascii="Cambria" w:hAnsi="Cambria"/>
          <w:lang w:val="es-419"/>
        </w:rPr>
        <w:t>l</w:t>
      </w:r>
      <w:r w:rsidR="000E75F5" w:rsidRPr="00F2058B">
        <w:rPr>
          <w:rFonts w:ascii="Cambria" w:hAnsi="Cambria"/>
          <w:lang w:val="es-419"/>
        </w:rPr>
        <w:t>os</w:t>
      </w:r>
      <w:r w:rsidRPr="00F2058B">
        <w:rPr>
          <w:rFonts w:ascii="Cambria" w:hAnsi="Cambria"/>
          <w:lang w:val="es-419"/>
        </w:rPr>
        <w:t xml:space="preserve"> artículo</w:t>
      </w:r>
      <w:r w:rsidR="000E75F5" w:rsidRPr="00F2058B">
        <w:rPr>
          <w:rFonts w:ascii="Cambria" w:hAnsi="Cambria"/>
          <w:lang w:val="es-419"/>
        </w:rPr>
        <w:t>s</w:t>
      </w:r>
      <w:r w:rsidRPr="00F2058B">
        <w:rPr>
          <w:rFonts w:ascii="Cambria" w:hAnsi="Cambria"/>
          <w:lang w:val="es-419"/>
        </w:rPr>
        <w:t xml:space="preserve"> 4.1</w:t>
      </w:r>
      <w:r w:rsidR="000E75F5" w:rsidRPr="00F2058B">
        <w:rPr>
          <w:rFonts w:ascii="Cambria" w:hAnsi="Cambria"/>
          <w:lang w:val="es-419"/>
        </w:rPr>
        <w:t>, 8.1 y 25. 1</w:t>
      </w:r>
      <w:r w:rsidRPr="00F2058B">
        <w:rPr>
          <w:rFonts w:ascii="Cambria" w:hAnsi="Cambria"/>
          <w:lang w:val="es-419"/>
        </w:rPr>
        <w:t xml:space="preserve"> de la Convención Americana, en relación con el artículo 1.1 del mismo instrumento en perjuicio de Victoria Delgado Anaya. </w:t>
      </w:r>
    </w:p>
    <w:p w14:paraId="14019EF6" w14:textId="2A959A74" w:rsidR="001E605B" w:rsidRPr="00F2058B" w:rsidRDefault="001E605B" w:rsidP="00A022EA">
      <w:pPr>
        <w:rPr>
          <w:lang w:val="es-419"/>
        </w:rPr>
      </w:pPr>
    </w:p>
    <w:p w14:paraId="0E60CA7B" w14:textId="011E2821" w:rsidR="00F575F4" w:rsidRPr="00F2058B" w:rsidRDefault="00F575F4" w:rsidP="00180E29">
      <w:pPr>
        <w:pStyle w:val="Heading2"/>
        <w:numPr>
          <w:ilvl w:val="0"/>
          <w:numId w:val="63"/>
        </w:numPr>
        <w:pBdr>
          <w:top w:val="nil"/>
          <w:left w:val="nil"/>
          <w:bottom w:val="nil"/>
          <w:right w:val="nil"/>
          <w:between w:val="nil"/>
          <w:bar w:val="nil"/>
        </w:pBdr>
        <w:tabs>
          <w:tab w:val="left" w:pos="720"/>
        </w:tabs>
        <w:ind w:left="0" w:firstLine="0"/>
        <w:rPr>
          <w:i/>
          <w:lang w:val="es-419"/>
        </w:rPr>
      </w:pPr>
      <w:bookmarkStart w:id="43" w:name="_Toc216359325"/>
      <w:r w:rsidRPr="00F2058B">
        <w:rPr>
          <w:lang w:val="es-419"/>
        </w:rPr>
        <w:t>Derecho a la integridad personal de los familiares (artículo 5 en relación con el artículo 1.1 de la Convención Americana)</w:t>
      </w:r>
      <w:bookmarkEnd w:id="37"/>
      <w:bookmarkEnd w:id="38"/>
      <w:bookmarkEnd w:id="39"/>
      <w:bookmarkEnd w:id="40"/>
      <w:bookmarkEnd w:id="41"/>
      <w:bookmarkEnd w:id="43"/>
    </w:p>
    <w:p w14:paraId="32449C23" w14:textId="77777777" w:rsidR="00F575F4" w:rsidRPr="00F2058B" w:rsidRDefault="00F575F4" w:rsidP="00F575F4">
      <w:pPr>
        <w:ind w:left="720"/>
        <w:jc w:val="both"/>
        <w:rPr>
          <w:rFonts w:asciiTheme="majorHAnsi" w:hAnsiTheme="majorHAnsi"/>
          <w:sz w:val="20"/>
          <w:szCs w:val="20"/>
          <w:lang w:val="es-419"/>
        </w:rPr>
      </w:pPr>
    </w:p>
    <w:p w14:paraId="5725D924" w14:textId="77777777" w:rsidR="00F575F4" w:rsidRPr="00F2058B" w:rsidRDefault="00F575F4" w:rsidP="00F06940">
      <w:pPr>
        <w:pStyle w:val="parrafos"/>
        <w:numPr>
          <w:ilvl w:val="0"/>
          <w:numId w:val="58"/>
        </w:numPr>
        <w:ind w:left="0" w:firstLine="0"/>
        <w:rPr>
          <w:rFonts w:ascii="Cambria" w:eastAsia="Times New Roman" w:hAnsi="Cambria"/>
          <w:lang w:val="es-419" w:eastAsia="es-ES"/>
        </w:rPr>
      </w:pPr>
      <w:r w:rsidRPr="00F2058B">
        <w:rPr>
          <w:rFonts w:ascii="Cambria" w:eastAsia="Times New Roman" w:hAnsi="Cambria"/>
          <w:lang w:val="es-419" w:eastAsia="es-ES"/>
        </w:rPr>
        <w:t xml:space="preserve">El derecho a la integridad personal, consagrado en el artículo 5.1 de la Convención Americana, establece que “toda </w:t>
      </w:r>
      <w:r w:rsidRPr="00F2058B">
        <w:rPr>
          <w:rFonts w:ascii="Cambria" w:hAnsi="Cambria"/>
          <w:lang w:val="es-419"/>
        </w:rPr>
        <w:t>persona</w:t>
      </w:r>
      <w:r w:rsidRPr="00F2058B">
        <w:rPr>
          <w:rFonts w:ascii="Cambria" w:eastAsia="Times New Roman" w:hAnsi="Cambria"/>
          <w:lang w:val="es-419" w:eastAsia="es-ES"/>
        </w:rPr>
        <w:t xml:space="preserve"> tiene derecho a que se respete su integridad física, psíquica y moral.</w:t>
      </w:r>
    </w:p>
    <w:p w14:paraId="2C244496" w14:textId="77777777" w:rsidR="00F575F4" w:rsidRPr="00F2058B" w:rsidRDefault="00F575F4" w:rsidP="00F575F4">
      <w:pPr>
        <w:pStyle w:val="parrafos"/>
        <w:tabs>
          <w:tab w:val="clear" w:pos="360"/>
        </w:tabs>
        <w:rPr>
          <w:rFonts w:ascii="Cambria" w:eastAsia="Times New Roman" w:hAnsi="Cambria"/>
          <w:lang w:val="es-419" w:eastAsia="es-ES"/>
        </w:rPr>
      </w:pPr>
    </w:p>
    <w:p w14:paraId="39E0692E" w14:textId="77777777" w:rsidR="00F575F4" w:rsidRPr="003633BB" w:rsidRDefault="00F575F4" w:rsidP="00F06940">
      <w:pPr>
        <w:pStyle w:val="parrafos"/>
        <w:numPr>
          <w:ilvl w:val="0"/>
          <w:numId w:val="58"/>
        </w:numPr>
        <w:ind w:left="0" w:firstLine="0"/>
        <w:rPr>
          <w:rFonts w:ascii="Cambria" w:eastAsia="Times New Roman" w:hAnsi="Cambria"/>
          <w:lang w:val="es-419" w:eastAsia="es-ES"/>
        </w:rPr>
      </w:pPr>
      <w:r w:rsidRPr="003633BB">
        <w:rPr>
          <w:rFonts w:ascii="Cambria" w:hAnsi="Cambria"/>
          <w:lang w:val="es-419"/>
        </w:rPr>
        <w:t xml:space="preserve">Con respecto de los familiares de víctimas de ciertas violaciones de derechos humanos, la Comisión y la </w:t>
      </w:r>
      <w:r w:rsidRPr="003633BB">
        <w:rPr>
          <w:rFonts w:ascii="Cambria" w:eastAsia="Times New Roman" w:hAnsi="Cambria"/>
          <w:lang w:val="es-419" w:eastAsia="es-ES"/>
        </w:rPr>
        <w:t>Corte</w:t>
      </w:r>
      <w:r w:rsidRPr="003633BB">
        <w:rPr>
          <w:rFonts w:ascii="Cambria" w:hAnsi="Cambria"/>
          <w:lang w:val="es-419"/>
        </w:rPr>
        <w:t xml:space="preserve"> han indicado que éstos pueden ser considerados, a su vez, como víctimas</w:t>
      </w:r>
      <w:r w:rsidRPr="003633BB">
        <w:rPr>
          <w:bCs/>
          <w:vertAlign w:val="superscript"/>
          <w:lang w:val="es-419"/>
        </w:rPr>
        <w:footnoteReference w:id="131"/>
      </w:r>
      <w:r w:rsidRPr="003633BB">
        <w:rPr>
          <w:rFonts w:ascii="Cambria" w:hAnsi="Cambria"/>
          <w:lang w:val="es-419"/>
        </w:rPr>
        <w:t>. Al respecto, la Corte ha dispuesto que pueden verse afectados en su integridad psíquica y moral como consecuencia de las situaciones particulares que padecieron las víctimas, y de las posteriores actuaciones u omisiones de las autoridades internas frente a estos hechos</w:t>
      </w:r>
      <w:r w:rsidRPr="003633BB">
        <w:rPr>
          <w:rStyle w:val="FootnoteReference"/>
          <w:rFonts w:ascii="Cambria" w:hAnsi="Cambria"/>
          <w:lang w:val="es-419"/>
        </w:rPr>
        <w:footnoteReference w:id="132"/>
      </w:r>
      <w:r w:rsidRPr="003633BB">
        <w:rPr>
          <w:rFonts w:ascii="Cambria" w:hAnsi="Cambria"/>
          <w:lang w:val="es-419"/>
        </w:rPr>
        <w:t>.</w:t>
      </w:r>
    </w:p>
    <w:p w14:paraId="6B841A22" w14:textId="77777777" w:rsidR="00F575F4" w:rsidRPr="003633BB" w:rsidRDefault="00F575F4" w:rsidP="00F575F4">
      <w:pPr>
        <w:pStyle w:val="ListParagraph"/>
        <w:rPr>
          <w:rFonts w:ascii="Cambria" w:hAnsi="Cambria"/>
          <w:lang w:val="es-419"/>
        </w:rPr>
      </w:pPr>
    </w:p>
    <w:p w14:paraId="725714A3" w14:textId="77777777" w:rsidR="00F575F4" w:rsidRPr="003633BB" w:rsidRDefault="00F575F4" w:rsidP="00F06940">
      <w:pPr>
        <w:pStyle w:val="parrafos"/>
        <w:numPr>
          <w:ilvl w:val="0"/>
          <w:numId w:val="58"/>
        </w:numPr>
        <w:ind w:left="0" w:firstLine="0"/>
        <w:rPr>
          <w:rFonts w:ascii="Cambria" w:eastAsia="Times New Roman" w:hAnsi="Cambria"/>
          <w:lang w:val="es-419" w:eastAsia="es-ES"/>
        </w:rPr>
      </w:pPr>
      <w:r w:rsidRPr="003633BB">
        <w:rPr>
          <w:rFonts w:ascii="Cambria" w:hAnsi="Cambria"/>
          <w:lang w:val="es-419"/>
        </w:rPr>
        <w:t>La</w:t>
      </w:r>
      <w:r w:rsidRPr="003633BB">
        <w:rPr>
          <w:rFonts w:ascii="Cambria" w:hAnsi="Cambria" w:cs="Verdana"/>
          <w:lang w:val="es-419"/>
        </w:rPr>
        <w:t xml:space="preserve"> Comisión nota que, conforme a la jurisprudencia de la Corte, “en casos que involucran la desaparición forzada de personas, es posible entender que la violación del derecho a la integridad psíquica y moral de los familiares de las víctimas es una consecuencia directa, precisamente, de ese fenómeno, que les causa un severo </w:t>
      </w:r>
      <w:r w:rsidRPr="003633BB">
        <w:rPr>
          <w:rFonts w:ascii="Cambria" w:hAnsi="Cambria"/>
          <w:lang w:val="es-419"/>
        </w:rPr>
        <w:t>sufrimiento</w:t>
      </w:r>
      <w:r w:rsidRPr="003633BB">
        <w:rPr>
          <w:rFonts w:ascii="Cambria" w:hAnsi="Cambria" w:cs="Verdana"/>
          <w:lang w:val="es-419"/>
        </w:rPr>
        <w:t xml:space="preserve"> por el hecho mismo, que se acrecienta, entre otros factores, por la constante negativa de las autoridades </w:t>
      </w:r>
      <w:r w:rsidRPr="003633BB">
        <w:rPr>
          <w:rFonts w:ascii="Cambria" w:eastAsia="Times New Roman" w:hAnsi="Cambria"/>
          <w:lang w:val="es-419" w:eastAsia="es-ES"/>
        </w:rPr>
        <w:t>estatales</w:t>
      </w:r>
      <w:r w:rsidRPr="003633BB">
        <w:rPr>
          <w:rFonts w:ascii="Cambria" w:hAnsi="Cambria" w:cs="Verdana"/>
          <w:lang w:val="es-419"/>
        </w:rPr>
        <w:t xml:space="preserve"> de proporcionar información acerca del paradero de la víctima o de iniciar una investigación eficaz para lograr el esclarecimiento de lo sucedido”</w:t>
      </w:r>
      <w:r w:rsidRPr="003633BB">
        <w:rPr>
          <w:rFonts w:cs="Verdana"/>
          <w:vertAlign w:val="superscript"/>
          <w:lang w:val="es-419"/>
        </w:rPr>
        <w:footnoteReference w:id="133"/>
      </w:r>
      <w:r w:rsidRPr="003633BB">
        <w:rPr>
          <w:rFonts w:ascii="Cambria" w:hAnsi="Cambria" w:cs="Verdana"/>
          <w:lang w:val="es-419"/>
        </w:rPr>
        <w:t>.</w:t>
      </w:r>
    </w:p>
    <w:p w14:paraId="3FEDBC34" w14:textId="77777777" w:rsidR="00F575F4" w:rsidRPr="003633BB" w:rsidRDefault="00F575F4" w:rsidP="00F575F4">
      <w:pPr>
        <w:pStyle w:val="ListParagraph"/>
        <w:rPr>
          <w:rFonts w:ascii="Cambria" w:eastAsia="Cambria" w:hAnsi="Cambria" w:cs="Verdana"/>
          <w:color w:val="000000"/>
          <w:u w:color="000000"/>
          <w:lang w:val="es-419" w:eastAsia="es-ES"/>
        </w:rPr>
      </w:pPr>
    </w:p>
    <w:p w14:paraId="6D7EE02D" w14:textId="77777777" w:rsidR="00F575F4" w:rsidRPr="003633BB" w:rsidRDefault="00F575F4" w:rsidP="00F06940">
      <w:pPr>
        <w:pStyle w:val="parrafos"/>
        <w:numPr>
          <w:ilvl w:val="0"/>
          <w:numId w:val="58"/>
        </w:numPr>
        <w:ind w:left="0" w:firstLine="0"/>
        <w:rPr>
          <w:rFonts w:ascii="Cambria" w:eastAsia="Times New Roman" w:hAnsi="Cambria"/>
          <w:lang w:val="es-419" w:eastAsia="es-ES"/>
        </w:rPr>
      </w:pPr>
      <w:r w:rsidRPr="003633BB">
        <w:rPr>
          <w:rFonts w:ascii="Cambria" w:eastAsia="Cambria" w:hAnsi="Cambria" w:cs="Verdana"/>
          <w:color w:val="000000"/>
          <w:u w:color="000000"/>
          <w:lang w:val="es-419" w:eastAsia="es-ES"/>
        </w:rPr>
        <w:t xml:space="preserve">En el presente caso, la Comisión considera que el sólo hecho de la desaparición forzada de las víctimas, ha generado un profundo sentimiento de dolor, angustia e incertidumbre en sus familiares, el cual se ha </w:t>
      </w:r>
      <w:r w:rsidRPr="003633BB">
        <w:rPr>
          <w:rFonts w:ascii="Cambria" w:hAnsi="Cambria" w:cs="Verdana"/>
          <w:lang w:val="es-419"/>
        </w:rPr>
        <w:t>venido</w:t>
      </w:r>
      <w:r w:rsidRPr="003633BB">
        <w:rPr>
          <w:rFonts w:ascii="Cambria" w:eastAsia="Cambria" w:hAnsi="Cambria" w:cs="Verdana"/>
          <w:color w:val="000000"/>
          <w:u w:color="000000"/>
          <w:lang w:val="es-419" w:eastAsia="es-ES"/>
        </w:rPr>
        <w:t xml:space="preserve"> profundizando por las violaciones declaradas en la sección anterior, incluyendo su larga búsqueda de justicia, y la ausencia de esclarecimiento sobre lo ocurrido con sus seres queridos.</w:t>
      </w:r>
    </w:p>
    <w:p w14:paraId="423C89B2" w14:textId="77777777" w:rsidR="00F575F4" w:rsidRPr="003633BB" w:rsidRDefault="00F575F4" w:rsidP="00F575F4">
      <w:pPr>
        <w:pStyle w:val="ListParagraph"/>
        <w:rPr>
          <w:rFonts w:ascii="Cambria" w:hAnsi="Cambria" w:cs="Verdana"/>
          <w:lang w:val="es-419"/>
        </w:rPr>
      </w:pPr>
    </w:p>
    <w:p w14:paraId="1D2FB6FF" w14:textId="13972202" w:rsidR="00F575F4" w:rsidRPr="003633BB" w:rsidRDefault="00F575F4" w:rsidP="00F06940">
      <w:pPr>
        <w:pStyle w:val="parrafos"/>
        <w:numPr>
          <w:ilvl w:val="0"/>
          <w:numId w:val="58"/>
        </w:numPr>
        <w:ind w:left="0" w:firstLine="0"/>
        <w:rPr>
          <w:rFonts w:ascii="Cambria" w:eastAsia="Times New Roman" w:hAnsi="Cambria"/>
          <w:lang w:val="es-419" w:eastAsia="es-ES"/>
        </w:rPr>
      </w:pPr>
      <w:r w:rsidRPr="003633BB">
        <w:rPr>
          <w:rFonts w:ascii="Cambria" w:hAnsi="Cambria" w:cs="Verdana"/>
          <w:lang w:val="es-419"/>
        </w:rPr>
        <w:t xml:space="preserve">En virtud de las anteriores consideraciones, la Comisión concluye que el Estado es responsable por la violación del derecho a la integridad psíquica y moral establecido en el artículo 5.1 de la Convención Americana en relación </w:t>
      </w:r>
      <w:r w:rsidRPr="003633BB">
        <w:rPr>
          <w:rFonts w:ascii="Cambria" w:eastAsia="Cambria" w:hAnsi="Cambria" w:cs="Verdana"/>
          <w:color w:val="000000"/>
          <w:u w:color="000000"/>
          <w:lang w:val="es-419" w:eastAsia="es-ES"/>
        </w:rPr>
        <w:t>con</w:t>
      </w:r>
      <w:r w:rsidRPr="003633BB">
        <w:rPr>
          <w:rFonts w:ascii="Cambria" w:hAnsi="Cambria" w:cs="Verdana"/>
          <w:lang w:val="es-419"/>
        </w:rPr>
        <w:t xml:space="preserve"> las obligaciones establecidas en el artículo 1.1 del mismo instrumento, en perjuicio de los familiares de Edgar Quiroga y Gildardo Fuentes identificados en el presente informe.</w:t>
      </w:r>
    </w:p>
    <w:p w14:paraId="4906EF16" w14:textId="77777777" w:rsidR="00DA7CAA" w:rsidRPr="003633BB" w:rsidRDefault="00DA7CAA" w:rsidP="009B453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bCs/>
          <w:sz w:val="20"/>
          <w:szCs w:val="20"/>
          <w:lang w:val="es-419"/>
        </w:rPr>
      </w:pPr>
    </w:p>
    <w:p w14:paraId="0B737857" w14:textId="5DAE4C34" w:rsidR="009B453B" w:rsidRPr="003633BB" w:rsidRDefault="009B453B" w:rsidP="009B453B">
      <w:pPr>
        <w:pStyle w:val="Heading1"/>
        <w:keepNext w:val="0"/>
        <w:numPr>
          <w:ilvl w:val="0"/>
          <w:numId w:val="60"/>
        </w:numPr>
        <w:pBdr>
          <w:top w:val="nil"/>
          <w:left w:val="nil"/>
          <w:bottom w:val="nil"/>
          <w:right w:val="nil"/>
          <w:between w:val="nil"/>
          <w:bar w:val="nil"/>
        </w:pBdr>
        <w:tabs>
          <w:tab w:val="left" w:pos="360"/>
        </w:tabs>
        <w:suppressAutoHyphens/>
        <w:ind w:left="0" w:right="360" w:firstLine="0"/>
        <w:jc w:val="both"/>
        <w:rPr>
          <w:lang w:val="es-419"/>
        </w:rPr>
      </w:pPr>
      <w:bookmarkStart w:id="44" w:name="_Toc163571976"/>
      <w:bookmarkStart w:id="45" w:name="_Toc196306920"/>
      <w:bookmarkStart w:id="46" w:name="_Toc216359326"/>
      <w:r w:rsidRPr="003633BB">
        <w:rPr>
          <w:rFonts w:asciiTheme="majorHAnsi" w:eastAsia="Cambria" w:hAnsiTheme="majorHAnsi" w:cs="Cambria"/>
          <w:bCs w:val="0"/>
          <w:color w:val="000000"/>
          <w:u w:color="000000"/>
          <w:lang w:val="es-419" w:eastAsia="es-ES"/>
        </w:rPr>
        <w:t>INFORME</w:t>
      </w:r>
      <w:bookmarkEnd w:id="44"/>
      <w:r w:rsidRPr="003633BB">
        <w:rPr>
          <w:lang w:val="es-419"/>
        </w:rPr>
        <w:t xml:space="preserve"> No. </w:t>
      </w:r>
      <w:r w:rsidR="003217A6" w:rsidRPr="003633BB">
        <w:rPr>
          <w:lang w:val="es-419"/>
        </w:rPr>
        <w:t>300</w:t>
      </w:r>
      <w:r w:rsidRPr="003633BB">
        <w:rPr>
          <w:lang w:val="es-419"/>
        </w:rPr>
        <w:t>/20 E INFORMACIÓN SOBRE CUMPLIMIENTO</w:t>
      </w:r>
      <w:bookmarkEnd w:id="45"/>
      <w:bookmarkEnd w:id="46"/>
    </w:p>
    <w:p w14:paraId="67DC54EE" w14:textId="77777777" w:rsidR="009B453B" w:rsidRPr="003633BB" w:rsidRDefault="009B453B" w:rsidP="009B453B">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lang w:val="es-419"/>
        </w:rPr>
      </w:pPr>
    </w:p>
    <w:p w14:paraId="0AB31890" w14:textId="596B5378" w:rsidR="009B453B" w:rsidRPr="003633BB" w:rsidRDefault="009B453B" w:rsidP="00FD78E2">
      <w:pPr>
        <w:pStyle w:val="parrafos"/>
        <w:numPr>
          <w:ilvl w:val="0"/>
          <w:numId w:val="58"/>
        </w:numPr>
        <w:ind w:left="0" w:firstLine="0"/>
        <w:rPr>
          <w:color w:val="auto"/>
        </w:rPr>
      </w:pPr>
      <w:r w:rsidRPr="003633BB">
        <w:rPr>
          <w:rFonts w:ascii="Cambria" w:hAnsi="Cambria"/>
          <w:bCs/>
          <w:lang w:val="es-419"/>
        </w:rPr>
        <w:t xml:space="preserve">La Comisión adoptó el Informe de Fondo No </w:t>
      </w:r>
      <w:r w:rsidR="003217A6" w:rsidRPr="003633BB">
        <w:rPr>
          <w:rFonts w:ascii="Cambria" w:hAnsi="Cambria"/>
          <w:bCs/>
          <w:lang w:val="es-419"/>
        </w:rPr>
        <w:t>300</w:t>
      </w:r>
      <w:r w:rsidRPr="003633BB">
        <w:rPr>
          <w:rFonts w:ascii="Cambria" w:hAnsi="Cambria"/>
          <w:bCs/>
          <w:lang w:val="es-419"/>
        </w:rPr>
        <w:t>/</w:t>
      </w:r>
      <w:r w:rsidR="003217A6" w:rsidRPr="003633BB">
        <w:rPr>
          <w:rFonts w:ascii="Cambria" w:hAnsi="Cambria"/>
          <w:bCs/>
          <w:lang w:val="es-419"/>
        </w:rPr>
        <w:t>20</w:t>
      </w:r>
      <w:r w:rsidRPr="003633BB">
        <w:rPr>
          <w:rFonts w:ascii="Cambria" w:hAnsi="Cambria"/>
          <w:bCs/>
          <w:lang w:val="es-419"/>
        </w:rPr>
        <w:t xml:space="preserve">, el </w:t>
      </w:r>
      <w:r w:rsidR="003217A6" w:rsidRPr="003633BB">
        <w:rPr>
          <w:rFonts w:ascii="Cambria" w:hAnsi="Cambria"/>
          <w:bCs/>
          <w:lang w:val="es-419"/>
        </w:rPr>
        <w:t>29</w:t>
      </w:r>
      <w:r w:rsidRPr="003633BB">
        <w:rPr>
          <w:rFonts w:ascii="Cambria" w:hAnsi="Cambria"/>
          <w:bCs/>
          <w:lang w:val="es-419"/>
        </w:rPr>
        <w:t xml:space="preserve"> de </w:t>
      </w:r>
      <w:r w:rsidR="003217A6" w:rsidRPr="003633BB">
        <w:rPr>
          <w:rFonts w:ascii="Cambria" w:hAnsi="Cambria"/>
          <w:bCs/>
          <w:lang w:val="es-419"/>
        </w:rPr>
        <w:t xml:space="preserve">octubre </w:t>
      </w:r>
      <w:r w:rsidRPr="003633BB">
        <w:rPr>
          <w:rFonts w:ascii="Cambria" w:hAnsi="Cambria"/>
          <w:bCs/>
          <w:lang w:val="es-419"/>
        </w:rPr>
        <w:t>de 20</w:t>
      </w:r>
      <w:r w:rsidR="003217A6" w:rsidRPr="003633BB">
        <w:rPr>
          <w:rFonts w:ascii="Cambria" w:hAnsi="Cambria"/>
          <w:bCs/>
          <w:lang w:val="es-419"/>
        </w:rPr>
        <w:t>20</w:t>
      </w:r>
      <w:r w:rsidRPr="003633BB">
        <w:rPr>
          <w:rFonts w:ascii="Cambria" w:hAnsi="Cambria"/>
          <w:bCs/>
          <w:lang w:val="es-419"/>
        </w:rPr>
        <w:t>, que comprende los párrafos 1 a 1</w:t>
      </w:r>
      <w:r w:rsidR="003217A6" w:rsidRPr="003633BB">
        <w:rPr>
          <w:rFonts w:ascii="Cambria" w:hAnsi="Cambria"/>
          <w:bCs/>
          <w:lang w:val="es-419"/>
        </w:rPr>
        <w:t>13</w:t>
      </w:r>
      <w:r w:rsidRPr="003633BB">
        <w:rPr>
          <w:rFonts w:ascii="Cambria" w:hAnsi="Cambria"/>
          <w:bCs/>
          <w:lang w:val="es-419"/>
        </w:rPr>
        <w:t xml:space="preserve"> </w:t>
      </w:r>
      <w:r w:rsidRPr="003633BB">
        <w:rPr>
          <w:rFonts w:ascii="Cambria" w:hAnsi="Cambria"/>
          <w:bCs/>
          <w:i/>
          <w:iCs/>
          <w:lang w:val="es-419"/>
        </w:rPr>
        <w:t>supra</w:t>
      </w:r>
      <w:r w:rsidRPr="003633BB">
        <w:rPr>
          <w:rFonts w:ascii="Cambria" w:hAnsi="Cambria"/>
          <w:bCs/>
          <w:lang w:val="es-419"/>
        </w:rPr>
        <w:t xml:space="preserve"> y lo transmitió al Estado el </w:t>
      </w:r>
      <w:r w:rsidR="005B2E38" w:rsidRPr="003633BB">
        <w:rPr>
          <w:rFonts w:ascii="Cambria" w:hAnsi="Cambria"/>
          <w:bCs/>
          <w:lang w:val="es-419"/>
        </w:rPr>
        <w:t>28</w:t>
      </w:r>
      <w:r w:rsidRPr="003633BB">
        <w:rPr>
          <w:rFonts w:ascii="Cambria" w:hAnsi="Cambria"/>
          <w:bCs/>
          <w:lang w:val="es-419"/>
        </w:rPr>
        <w:t xml:space="preserve"> de </w:t>
      </w:r>
      <w:r w:rsidR="005B2E38" w:rsidRPr="003633BB">
        <w:rPr>
          <w:rFonts w:ascii="Cambria" w:hAnsi="Cambria"/>
          <w:bCs/>
          <w:lang w:val="es-419"/>
        </w:rPr>
        <w:t>diciembre</w:t>
      </w:r>
      <w:r w:rsidRPr="003633BB">
        <w:rPr>
          <w:rFonts w:ascii="Cambria" w:hAnsi="Cambria"/>
          <w:bCs/>
          <w:lang w:val="es-419"/>
        </w:rPr>
        <w:t xml:space="preserve"> del mismo año. En dicho informe la Comisión </w:t>
      </w:r>
      <w:r w:rsidR="00FC699E" w:rsidRPr="003633BB">
        <w:rPr>
          <w:rFonts w:ascii="Cambria" w:hAnsi="Cambria"/>
          <w:bCs/>
          <w:lang w:val="es-419"/>
        </w:rPr>
        <w:t>concluy</w:t>
      </w:r>
      <w:r w:rsidR="00DD5901" w:rsidRPr="003633BB">
        <w:rPr>
          <w:rFonts w:ascii="Cambria" w:hAnsi="Cambria"/>
          <w:bCs/>
          <w:lang w:val="es-419"/>
        </w:rPr>
        <w:t>ó</w:t>
      </w:r>
      <w:r w:rsidR="00FC699E" w:rsidRPr="003633BB">
        <w:rPr>
          <w:rFonts w:ascii="Cambria" w:hAnsi="Cambria"/>
          <w:bCs/>
          <w:lang w:val="es-419"/>
        </w:rPr>
        <w:t xml:space="preserve"> </w:t>
      </w:r>
      <w:r w:rsidR="00FC699E" w:rsidRPr="003633BB">
        <w:rPr>
          <w:color w:val="auto"/>
        </w:rPr>
        <w:t>que el Estado colombiano e</w:t>
      </w:r>
      <w:r w:rsidR="00FD78E2" w:rsidRPr="003633BB">
        <w:rPr>
          <w:color w:val="auto"/>
        </w:rPr>
        <w:t>ra</w:t>
      </w:r>
      <w:r w:rsidR="00FC699E" w:rsidRPr="003633BB">
        <w:rPr>
          <w:color w:val="auto"/>
        </w:rPr>
        <w:t xml:space="preserve"> responsable por la violación de los derechos </w:t>
      </w:r>
      <w:r w:rsidR="00FC699E" w:rsidRPr="003633BB">
        <w:t>establecidos</w:t>
      </w:r>
      <w:r w:rsidR="00FC699E" w:rsidRPr="003633BB">
        <w:rPr>
          <w:color w:val="auto"/>
        </w:rPr>
        <w:t xml:space="preserve"> en </w:t>
      </w:r>
      <w:r w:rsidR="00FC699E" w:rsidRPr="003633BB">
        <w:rPr>
          <w:color w:val="auto"/>
          <w:lang w:val="es-ES_tradnl"/>
        </w:rPr>
        <w:t>los</w:t>
      </w:r>
      <w:r w:rsidR="00FC699E" w:rsidRPr="003633BB">
        <w:rPr>
          <w:color w:val="auto"/>
        </w:rPr>
        <w:t xml:space="preserve"> artículos 3 (personalidad jurídica), 4 (derecho a la vida), 5.1, 5.2 (integridad personal), 7 (libertad personal), 8.1 (garantías judiciales), 25.1 (protección judicial) de la Convención Americana, en relación con el artículo 1.1 del mismo instrumento. Igualmente </w:t>
      </w:r>
      <w:r w:rsidR="00FD78E2" w:rsidRPr="003633BB">
        <w:rPr>
          <w:color w:val="auto"/>
        </w:rPr>
        <w:t xml:space="preserve">lo declaró </w:t>
      </w:r>
      <w:r w:rsidR="00FC699E" w:rsidRPr="003633BB">
        <w:rPr>
          <w:color w:val="auto"/>
        </w:rPr>
        <w:t xml:space="preserve">responsable por la violación de los artículos 1, 6 y 8 de la Convención Interamericana para Prevenir y Sancionar la Tortura y los artículos I.a) y I. b) de la Convención Interamericana sobre Desaparición Forzada de Personas. </w:t>
      </w:r>
      <w:r w:rsidR="00FD78E2" w:rsidRPr="003633BB">
        <w:rPr>
          <w:color w:val="auto"/>
        </w:rPr>
        <w:t xml:space="preserve">La CIDH </w:t>
      </w:r>
      <w:r w:rsidRPr="003633BB">
        <w:rPr>
          <w:rFonts w:ascii="Cambria" w:hAnsi="Cambria"/>
          <w:bCs/>
          <w:lang w:val="es-419"/>
        </w:rPr>
        <w:t>recomendó al Estado colombiano:</w:t>
      </w:r>
    </w:p>
    <w:p w14:paraId="6A7E770A" w14:textId="77777777" w:rsidR="009B453B" w:rsidRPr="003633BB" w:rsidRDefault="009B453B" w:rsidP="00DA7CAA">
      <w:pPr>
        <w:pStyle w:val="parrafos"/>
        <w:rPr>
          <w:rFonts w:ascii="Cambria" w:eastAsia="Times New Roman" w:hAnsi="Cambria"/>
          <w:lang w:val="es-419" w:eastAsia="es-ES"/>
        </w:rPr>
      </w:pPr>
    </w:p>
    <w:p w14:paraId="022F3BC1" w14:textId="77777777" w:rsidR="00DA7CAA" w:rsidRPr="003633BB" w:rsidRDefault="00DA7CAA" w:rsidP="00DA7CAA">
      <w:pPr>
        <w:pStyle w:val="ListParagraph"/>
        <w:numPr>
          <w:ilvl w:val="0"/>
          <w:numId w:val="67"/>
        </w:numPr>
        <w:ind w:left="720" w:hanging="630"/>
        <w:jc w:val="both"/>
        <w:rPr>
          <w:rFonts w:ascii="Cambria" w:eastAsia="Times New Roman" w:hAnsi="Cambria" w:cs="Tahoma"/>
          <w:sz w:val="20"/>
          <w:szCs w:val="20"/>
          <w:lang w:val="es-419"/>
        </w:rPr>
      </w:pPr>
      <w:r w:rsidRPr="003633BB">
        <w:rPr>
          <w:rFonts w:ascii="Cambria" w:eastAsia="Times New Roman" w:hAnsi="Cambria" w:cs="Tahoma"/>
          <w:sz w:val="20"/>
          <w:szCs w:val="20"/>
          <w:lang w:val="es-419"/>
        </w:rPr>
        <w:t xml:space="preserve">Reparar integralmente las violaciones de derechos humanos declaradas en el presente informe tanto en el aspecto material como inmaterial. El Estado deberá adoptar las medidas de compensación económica y satisfacción. </w:t>
      </w:r>
    </w:p>
    <w:p w14:paraId="69140931" w14:textId="77777777" w:rsidR="00DA7CAA" w:rsidRPr="003633BB" w:rsidRDefault="00DA7CAA" w:rsidP="00DA7CAA">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cs="Tahoma"/>
          <w:sz w:val="20"/>
          <w:szCs w:val="20"/>
          <w:bdr w:val="none" w:sz="0" w:space="0" w:color="auto"/>
          <w:lang w:val="es-419"/>
        </w:rPr>
      </w:pPr>
    </w:p>
    <w:p w14:paraId="40B191D7" w14:textId="77777777" w:rsidR="00DA7CAA" w:rsidRPr="003633BB" w:rsidRDefault="00DA7CAA" w:rsidP="00DA7CAA">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720" w:hanging="630"/>
        <w:jc w:val="both"/>
        <w:rPr>
          <w:rFonts w:asciiTheme="majorHAnsi" w:eastAsia="Times New Roman" w:hAnsiTheme="majorHAnsi" w:cs="Tahoma"/>
          <w:sz w:val="20"/>
          <w:szCs w:val="20"/>
          <w:bdr w:val="none" w:sz="0" w:space="0" w:color="auto"/>
          <w:lang w:val="es-419"/>
        </w:rPr>
      </w:pPr>
      <w:r w:rsidRPr="003633BB">
        <w:rPr>
          <w:rFonts w:asciiTheme="majorHAnsi" w:eastAsia="Times New Roman" w:hAnsiTheme="majorHAnsi" w:cs="Tahoma"/>
          <w:sz w:val="20"/>
          <w:szCs w:val="20"/>
          <w:bdr w:val="none" w:sz="0" w:space="0" w:color="auto"/>
          <w:lang w:val="es-419"/>
        </w:rPr>
        <w:t>Investigar</w:t>
      </w:r>
      <w:r w:rsidRPr="003633BB">
        <w:rPr>
          <w:rFonts w:asciiTheme="majorHAnsi" w:hAnsiTheme="majorHAnsi"/>
          <w:sz w:val="20"/>
          <w:szCs w:val="20"/>
          <w:lang w:val="es-419"/>
        </w:rPr>
        <w:t xml:space="preserve"> el destino o paradero de las víctimas desaparecidas y, de ser el caso, adoptar las medidas necesarias para identificar y entregar a sus familiares los restos mortales.</w:t>
      </w:r>
    </w:p>
    <w:p w14:paraId="7734CB4E" w14:textId="77777777" w:rsidR="00DA7CAA" w:rsidRPr="003633BB" w:rsidRDefault="00DA7CAA" w:rsidP="00DA7CAA">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cs="Tahoma"/>
          <w:sz w:val="20"/>
          <w:szCs w:val="20"/>
          <w:bdr w:val="none" w:sz="0" w:space="0" w:color="auto"/>
          <w:lang w:val="es-419"/>
        </w:rPr>
      </w:pPr>
    </w:p>
    <w:p w14:paraId="3F68663F" w14:textId="77777777" w:rsidR="00DA7CAA" w:rsidRPr="003633BB" w:rsidRDefault="00DA7CAA" w:rsidP="00DA7CAA">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720" w:hanging="630"/>
        <w:jc w:val="both"/>
        <w:rPr>
          <w:rFonts w:asciiTheme="majorHAnsi" w:eastAsia="Times New Roman" w:hAnsiTheme="majorHAnsi"/>
          <w:sz w:val="14"/>
          <w:szCs w:val="14"/>
          <w:bdr w:val="none" w:sz="0" w:space="0" w:color="auto"/>
          <w:lang w:val="es-419"/>
        </w:rPr>
      </w:pPr>
      <w:r w:rsidRPr="003633BB">
        <w:rPr>
          <w:rFonts w:asciiTheme="majorHAnsi" w:eastAsia="Times New Roman" w:hAnsiTheme="majorHAnsi" w:cs="Tahoma"/>
          <w:sz w:val="20"/>
          <w:szCs w:val="20"/>
          <w:bdr w:val="none" w:sz="0" w:space="0" w:color="auto"/>
          <w:lang w:val="es-419"/>
        </w:rPr>
        <w:t xml:space="preserve">Iniciar, continuar o reabrir las investigaciones penales y disciplinarias correspondientes por la totalidad de las violaciones de derechos humanos declaradas en el presente Informe de Fondo relacionadas con el secuestro y tortura de Gildardo Fuentes, la desaparición forzada de Edgar Quiroga y Gildardo Fuentes, y el asesinato de Victoria Delgado Anaya. Estas investigaciones deberán efectuarse de manera diligente, </w:t>
      </w:r>
      <w:r w:rsidRPr="003633BB">
        <w:rPr>
          <w:rFonts w:asciiTheme="majorHAnsi" w:eastAsia="Times New Roman" w:hAnsiTheme="majorHAnsi" w:cs="Tahoma"/>
          <w:sz w:val="20"/>
          <w:szCs w:val="20"/>
          <w:bdr w:val="none" w:sz="0" w:space="0" w:color="auto"/>
          <w:lang w:val="es-419"/>
        </w:rPr>
        <w:lastRenderedPageBreak/>
        <w:t xml:space="preserve">efectiva y dentro de un plazo razonable con el objeto de esclarecer los hechos en forma completa, identificar todas las posibles responsabilidades e imponer las sanciones que correspondan de manera proporcional a su gravedad y tomando en cuenta los vínculos y patrones de acción conjunta entre paramilitares identificados en el presente informe. </w:t>
      </w:r>
    </w:p>
    <w:p w14:paraId="232762EB" w14:textId="77777777" w:rsidR="00DA7CAA" w:rsidRPr="003633BB" w:rsidRDefault="00DA7CAA" w:rsidP="00DA7CAA">
      <w:pPr>
        <w:rPr>
          <w:rFonts w:asciiTheme="majorHAnsi" w:eastAsia="Times New Roman" w:hAnsiTheme="majorHAnsi" w:cs="Tahoma"/>
          <w:sz w:val="20"/>
          <w:szCs w:val="20"/>
          <w:lang w:val="es-419"/>
        </w:rPr>
      </w:pPr>
    </w:p>
    <w:p w14:paraId="390A97A8" w14:textId="77777777" w:rsidR="00DA7CAA" w:rsidRPr="003633BB" w:rsidRDefault="00DA7CAA" w:rsidP="00DA7CAA">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720" w:hanging="630"/>
        <w:jc w:val="both"/>
        <w:rPr>
          <w:rFonts w:asciiTheme="majorHAnsi" w:eastAsia="Times New Roman" w:hAnsiTheme="majorHAnsi"/>
          <w:sz w:val="14"/>
          <w:szCs w:val="14"/>
          <w:bdr w:val="none" w:sz="0" w:space="0" w:color="auto"/>
          <w:lang w:val="es-419"/>
        </w:rPr>
      </w:pPr>
      <w:r w:rsidRPr="003633BB">
        <w:rPr>
          <w:rFonts w:asciiTheme="majorHAnsi" w:eastAsia="Times New Roman" w:hAnsiTheme="majorHAnsi" w:cs="Tahoma"/>
          <w:sz w:val="20"/>
          <w:szCs w:val="20"/>
          <w:lang w:val="es-419"/>
        </w:rPr>
        <w:t>Disponer las medidas de atención en salud física y mental necesarias para la rehabilitación de los familiares de las víctimas, de ser su voluntad y de manera concertada, las cuales deben brindarse de manera gratuita.</w:t>
      </w:r>
    </w:p>
    <w:p w14:paraId="6668CA0B" w14:textId="77777777" w:rsidR="00DA7CAA" w:rsidRPr="003633BB" w:rsidRDefault="00DA7CAA" w:rsidP="00DA7CAA">
      <w:pPr>
        <w:pStyle w:val="ListParagraph"/>
        <w:rPr>
          <w:rFonts w:asciiTheme="majorHAnsi" w:eastAsia="Times New Roman" w:hAnsiTheme="majorHAnsi"/>
          <w:sz w:val="14"/>
          <w:szCs w:val="14"/>
          <w:bdr w:val="none" w:sz="0" w:space="0" w:color="auto"/>
          <w:lang w:val="es-419"/>
        </w:rPr>
      </w:pPr>
    </w:p>
    <w:p w14:paraId="1046AB88" w14:textId="7286EE2D" w:rsidR="00DA7CAA" w:rsidRPr="003633BB" w:rsidRDefault="00DA7CAA" w:rsidP="00DA7CAA">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720" w:hanging="630"/>
        <w:jc w:val="both"/>
        <w:rPr>
          <w:rFonts w:asciiTheme="majorHAnsi" w:eastAsia="Times New Roman" w:hAnsiTheme="majorHAnsi" w:cs="Tahoma"/>
          <w:sz w:val="20"/>
          <w:szCs w:val="20"/>
          <w:lang w:val="es-419"/>
        </w:rPr>
      </w:pPr>
      <w:r w:rsidRPr="003633BB">
        <w:rPr>
          <w:rFonts w:asciiTheme="majorHAnsi" w:eastAsia="Times New Roman" w:hAnsiTheme="majorHAnsi" w:cs="Tahoma"/>
          <w:sz w:val="20"/>
          <w:szCs w:val="20"/>
          <w:lang w:val="es-419"/>
        </w:rPr>
        <w:t xml:space="preserve">Adoptar las medidas necesarias para evitar que en el futuro se repitan los hechos del presente caso, en particular mediante el fortalecimiento de: i) la capacidad investigativa de contextos y patrones de actuación conjunta entre agentes estatales y grupos armados ilegales en la zona donde ocurrieron los hechos del presente caso y ii) de mecanismos de protección para las y los defensores de derechos humanos que defienden o promueven causas en la zona en la que ocurrieron los hechos del presente caso. </w:t>
      </w:r>
    </w:p>
    <w:p w14:paraId="1FA145CA" w14:textId="6E1A9A46" w:rsidR="00241825" w:rsidRPr="003633BB" w:rsidRDefault="00241825" w:rsidP="00241825">
      <w:pPr>
        <w:pStyle w:val="parrafos"/>
        <w:rPr>
          <w:lang w:val="es-419"/>
        </w:rPr>
      </w:pPr>
    </w:p>
    <w:p w14:paraId="4689178B" w14:textId="3553D7A5" w:rsidR="009A1DAE" w:rsidRPr="003633BB" w:rsidRDefault="009A1DAE" w:rsidP="009759B5">
      <w:pPr>
        <w:pStyle w:val="parrafos"/>
        <w:numPr>
          <w:ilvl w:val="0"/>
          <w:numId w:val="58"/>
        </w:numPr>
        <w:ind w:left="0" w:firstLine="0"/>
        <w:rPr>
          <w:rFonts w:ascii="Cambria" w:hAnsi="Cambria"/>
          <w:lang w:val="es-419"/>
        </w:rPr>
      </w:pPr>
      <w:r w:rsidRPr="003633BB">
        <w:rPr>
          <w:rFonts w:ascii="Cambria" w:hAnsi="Cambria"/>
          <w:bCs/>
          <w:lang w:val="es-419"/>
        </w:rPr>
        <w:t>En el trámite seguido con posterioridad a la notificación del Informe de Fondo, la CIDH recibió informes del Estado sobre el cumplimiento de las recomendaciones establecidas y observaciones de la parte peticionaria. Durante</w:t>
      </w:r>
      <w:r w:rsidRPr="003633BB">
        <w:rPr>
          <w:rFonts w:ascii="Cambria" w:hAnsi="Cambria"/>
          <w:lang w:val="es-419"/>
        </w:rPr>
        <w:t xml:space="preserve"> este período la Comisión otorgó 1</w:t>
      </w:r>
      <w:r w:rsidR="009759B5" w:rsidRPr="003633BB">
        <w:rPr>
          <w:rFonts w:ascii="Cambria" w:hAnsi="Cambria"/>
          <w:lang w:val="es-419"/>
        </w:rPr>
        <w:t>3</w:t>
      </w:r>
      <w:r w:rsidRPr="003633BB">
        <w:rPr>
          <w:rFonts w:ascii="Cambria" w:hAnsi="Cambria"/>
          <w:lang w:val="es-419"/>
        </w:rPr>
        <w:t xml:space="preserve"> prórrogas al Estado para la suspensión del plazo previsto en el artículo 51 de la Convención Americana. Asimismo, el Estado, reiteró su voluntad de cumplir con las recomendaciones y renunció expresamente a interponer excepciones preliminares respecto del cumplimiento del plazo previsto por el mencionado artículo, de conformidad con lo dispuesto en el artículo 46 del Reglamento de la Comisión.</w:t>
      </w:r>
    </w:p>
    <w:p w14:paraId="028D7F84" w14:textId="77777777" w:rsidR="003C6B13" w:rsidRPr="003633BB" w:rsidRDefault="003C6B13" w:rsidP="003C6B13">
      <w:pPr>
        <w:suppressAutoHyphens/>
        <w:ind w:leftChars="-1" w:hangingChars="1" w:hanging="2"/>
        <w:jc w:val="both"/>
        <w:textAlignment w:val="top"/>
        <w:outlineLvl w:val="0"/>
        <w:rPr>
          <w:rFonts w:ascii="Cambria" w:hAnsi="Cambria"/>
          <w:lang w:val="es-419"/>
        </w:rPr>
      </w:pPr>
    </w:p>
    <w:p w14:paraId="1BB51A48" w14:textId="23AEC04E" w:rsidR="003C6B13" w:rsidRPr="003633BB" w:rsidRDefault="003C6B13" w:rsidP="003C6B13">
      <w:pPr>
        <w:pStyle w:val="parrafos"/>
        <w:numPr>
          <w:ilvl w:val="0"/>
          <w:numId w:val="58"/>
        </w:numPr>
        <w:ind w:left="0" w:firstLine="0"/>
        <w:rPr>
          <w:rFonts w:ascii="Cambria" w:hAnsi="Cambria"/>
          <w:lang w:val="es-419"/>
        </w:rPr>
      </w:pPr>
      <w:r w:rsidRPr="003633BB">
        <w:rPr>
          <w:rFonts w:ascii="Cambria" w:hAnsi="Cambria"/>
          <w:lang w:val="es-419"/>
        </w:rPr>
        <w:t xml:space="preserve">Durante dicha etapa, sobre la </w:t>
      </w:r>
      <w:r w:rsidRPr="003633BB">
        <w:rPr>
          <w:rFonts w:ascii="Cambria" w:hAnsi="Cambria"/>
          <w:b/>
          <w:bCs/>
          <w:lang w:val="es-419"/>
        </w:rPr>
        <w:t>primera recomendación</w:t>
      </w:r>
      <w:r w:rsidR="000F630D" w:rsidRPr="003633BB">
        <w:rPr>
          <w:rFonts w:ascii="Cambria" w:hAnsi="Cambria"/>
          <w:lang w:val="es-419"/>
        </w:rPr>
        <w:t>, re</w:t>
      </w:r>
      <w:r w:rsidR="00D75167" w:rsidRPr="003633BB">
        <w:rPr>
          <w:rFonts w:ascii="Cambria" w:hAnsi="Cambria"/>
          <w:lang w:val="es-419"/>
        </w:rPr>
        <w:t xml:space="preserve">ferida a la reparación integral, </w:t>
      </w:r>
      <w:r w:rsidRPr="003633BB">
        <w:rPr>
          <w:lang w:val="es-419"/>
        </w:rPr>
        <w:t>el 23 de febrero de 2021, el Comité de Ministros emitió concepto favorable con base en la Ley 288 y, el 17 de marzo, el Ministerio de RREE emitió la Resolución No. 1101 estableciendo que el trámite y procedimiento previsto en la antedicha Ley serán asumidos por la Agencia Nacional de Defensa Jurídica del Estado (ANDJE).</w:t>
      </w:r>
    </w:p>
    <w:p w14:paraId="0DBE025E" w14:textId="77777777" w:rsidR="003C6B13" w:rsidRPr="003633BB" w:rsidRDefault="003C6B13" w:rsidP="003C6B13">
      <w:pPr>
        <w:pStyle w:val="parrafos"/>
        <w:rPr>
          <w:rFonts w:ascii="Cambria" w:hAnsi="Cambria"/>
          <w:lang w:val="es-419"/>
        </w:rPr>
      </w:pPr>
    </w:p>
    <w:p w14:paraId="4D6D8B31" w14:textId="3BB4F891" w:rsidR="003C6B13" w:rsidRPr="003633BB" w:rsidRDefault="003C6B13" w:rsidP="003C6B13">
      <w:pPr>
        <w:pStyle w:val="parrafos"/>
        <w:numPr>
          <w:ilvl w:val="0"/>
          <w:numId w:val="58"/>
        </w:numPr>
        <w:ind w:left="0" w:firstLine="0"/>
        <w:rPr>
          <w:rFonts w:ascii="Cambria" w:hAnsi="Cambria"/>
          <w:lang w:val="es-419"/>
        </w:rPr>
      </w:pPr>
      <w:r w:rsidRPr="003633BB">
        <w:rPr>
          <w:rFonts w:ascii="Cambria" w:hAnsi="Cambria"/>
          <w:lang w:val="es-419"/>
        </w:rPr>
        <w:t>En septiembre de 2021, el Estado acompañó un listado con las víctimas que se encontraban incluidas en el Registro Único de Víctimas (RUV). A su vez, informó que, en relación con el caso de la señora</w:t>
      </w:r>
      <w:r w:rsidR="002421AE" w:rsidRPr="003633BB">
        <w:rPr>
          <w:rFonts w:ascii="Cambria" w:hAnsi="Cambria"/>
          <w:lang w:val="es-419"/>
        </w:rPr>
        <w:t xml:space="preserve"> </w:t>
      </w:r>
      <w:r w:rsidRPr="003633BB">
        <w:rPr>
          <w:rFonts w:ascii="Cambria" w:hAnsi="Cambria"/>
          <w:lang w:val="es-419"/>
        </w:rPr>
        <w:t>Ana Victoria Delgado Amaya, se había reconocido a favor de la beneficiaria Sandra Milena Fuentes Delgado una indemnización pecuniaria que había sido depositado en julio de 2021. Respecto del resto de las víctimas, el Estado informó que se encontraba recabando información sobre los valores reconocidos para los beneficiarios en el marco de los procesos de indemnización administrativos realizados por la Unidad para la Atención y Reparación Integral de las Víctimas.</w:t>
      </w:r>
    </w:p>
    <w:p w14:paraId="3221725B" w14:textId="77777777" w:rsidR="003C6B13" w:rsidRPr="003633BB" w:rsidRDefault="003C6B13" w:rsidP="003C6B13">
      <w:pPr>
        <w:rPr>
          <w:lang w:val="es-419"/>
        </w:rPr>
      </w:pPr>
    </w:p>
    <w:p w14:paraId="482CDC55" w14:textId="6B8C975F" w:rsidR="003C6B13" w:rsidRPr="003633BB" w:rsidRDefault="003C6B13" w:rsidP="003C6B13">
      <w:pPr>
        <w:pStyle w:val="parrafos"/>
        <w:numPr>
          <w:ilvl w:val="0"/>
          <w:numId w:val="58"/>
        </w:numPr>
        <w:ind w:left="0" w:firstLine="0"/>
        <w:rPr>
          <w:rFonts w:ascii="Cambria" w:hAnsi="Cambria"/>
          <w:lang w:val="es-419"/>
        </w:rPr>
      </w:pPr>
      <w:r w:rsidRPr="003633BB">
        <w:rPr>
          <w:rFonts w:ascii="Cambria" w:hAnsi="Cambria"/>
          <w:lang w:val="es-419"/>
        </w:rPr>
        <w:t xml:space="preserve">El </w:t>
      </w:r>
      <w:r w:rsidR="009E4B24" w:rsidRPr="003633BB">
        <w:rPr>
          <w:rFonts w:ascii="Cambria" w:hAnsi="Cambria"/>
          <w:lang w:val="es-419"/>
        </w:rPr>
        <w:t>24 de septiembre de 2021</w:t>
      </w:r>
      <w:r w:rsidRPr="003633BB">
        <w:rPr>
          <w:rFonts w:ascii="Cambria" w:hAnsi="Cambria"/>
          <w:lang w:val="es-419"/>
        </w:rPr>
        <w:t xml:space="preserve"> el Estado remitió su “Propuesta de reparación integral” en la que incluyó: el acto público de reconocimiento de responsabilidad, una producción radial o audiovisual, libros, talleres de formación, instalación de placas o monumentos, y el otorgamiento de becas. </w:t>
      </w:r>
    </w:p>
    <w:p w14:paraId="6F721FEC" w14:textId="77777777" w:rsidR="003C6B13" w:rsidRPr="003633BB" w:rsidRDefault="003C6B13" w:rsidP="003C6B13">
      <w:pPr>
        <w:pStyle w:val="parrafos"/>
        <w:rPr>
          <w:rFonts w:ascii="Cambria" w:hAnsi="Cambria"/>
          <w:lang w:val="es-419"/>
        </w:rPr>
      </w:pPr>
    </w:p>
    <w:p w14:paraId="69E57994" w14:textId="28B0A639" w:rsidR="003C6B13" w:rsidRPr="003633BB" w:rsidRDefault="003C6B13" w:rsidP="00982F1F">
      <w:pPr>
        <w:pStyle w:val="parrafos"/>
        <w:numPr>
          <w:ilvl w:val="0"/>
          <w:numId w:val="58"/>
        </w:numPr>
        <w:ind w:left="0" w:firstLine="0"/>
        <w:rPr>
          <w:rFonts w:ascii="Cambria" w:hAnsi="Cambria"/>
          <w:lang w:val="es-419"/>
        </w:rPr>
      </w:pPr>
      <w:r w:rsidRPr="003633BB">
        <w:rPr>
          <w:rFonts w:ascii="Cambria" w:hAnsi="Cambria"/>
          <w:lang w:val="es-419"/>
        </w:rPr>
        <w:t xml:space="preserve">Luego de una serie de reuniones, contrapropuestas y negociaciones </w:t>
      </w:r>
      <w:r w:rsidR="00982F1F" w:rsidRPr="003633BB">
        <w:rPr>
          <w:rFonts w:ascii="Cambria" w:hAnsi="Cambria"/>
          <w:lang w:val="es-419"/>
        </w:rPr>
        <w:t xml:space="preserve">el </w:t>
      </w:r>
      <w:r w:rsidRPr="003633BB">
        <w:rPr>
          <w:rFonts w:ascii="Cambria" w:hAnsi="Cambria"/>
          <w:lang w:val="es-419"/>
        </w:rPr>
        <w:t xml:space="preserve">12 de junio de 2024, el Estado informó que las partes suscribieron un </w:t>
      </w:r>
      <w:r w:rsidR="00982F1F" w:rsidRPr="003633BB">
        <w:rPr>
          <w:rFonts w:ascii="Cambria" w:hAnsi="Cambria"/>
          <w:lang w:val="es-419"/>
        </w:rPr>
        <w:t>A</w:t>
      </w:r>
      <w:r w:rsidRPr="003633BB">
        <w:rPr>
          <w:rFonts w:ascii="Cambria" w:hAnsi="Cambria"/>
          <w:lang w:val="es-419"/>
        </w:rPr>
        <w:t xml:space="preserve">cuerdo de </w:t>
      </w:r>
      <w:r w:rsidR="00982F1F" w:rsidRPr="003633BB">
        <w:rPr>
          <w:rFonts w:ascii="Cambria" w:hAnsi="Cambria"/>
          <w:lang w:val="es-419"/>
        </w:rPr>
        <w:t>C</w:t>
      </w:r>
      <w:r w:rsidRPr="003633BB">
        <w:rPr>
          <w:rFonts w:ascii="Cambria" w:hAnsi="Cambria"/>
          <w:lang w:val="es-419"/>
        </w:rPr>
        <w:t xml:space="preserve">umplimiento de </w:t>
      </w:r>
      <w:r w:rsidR="00982F1F" w:rsidRPr="003633BB">
        <w:rPr>
          <w:rFonts w:ascii="Cambria" w:hAnsi="Cambria"/>
          <w:lang w:val="es-419"/>
        </w:rPr>
        <w:t>R</w:t>
      </w:r>
      <w:r w:rsidRPr="003633BB">
        <w:rPr>
          <w:rFonts w:ascii="Cambria" w:hAnsi="Cambria"/>
          <w:lang w:val="es-419"/>
        </w:rPr>
        <w:t>ecomendaciones el 5 de abril de 2024</w:t>
      </w:r>
      <w:r w:rsidR="00982F1F" w:rsidRPr="003633BB">
        <w:rPr>
          <w:rFonts w:ascii="Cambria" w:hAnsi="Cambria"/>
          <w:lang w:val="es-419"/>
        </w:rPr>
        <w:t xml:space="preserve"> (en adelante el “Acuerdo de Cumplimiento</w:t>
      </w:r>
      <w:r w:rsidR="00982F1F" w:rsidRPr="003633BB">
        <w:rPr>
          <w:rFonts w:ascii="Cambria" w:hAnsi="Cambria"/>
          <w:lang w:val="es-US"/>
        </w:rPr>
        <w:t>”</w:t>
      </w:r>
      <w:r w:rsidR="00982F1F" w:rsidRPr="003633BB">
        <w:rPr>
          <w:rFonts w:ascii="Cambria" w:hAnsi="Cambria"/>
          <w:lang w:val="es-419"/>
        </w:rPr>
        <w:t>)</w:t>
      </w:r>
      <w:r w:rsidRPr="003633BB">
        <w:rPr>
          <w:rFonts w:ascii="Cambria" w:hAnsi="Cambria"/>
          <w:lang w:val="es-419"/>
        </w:rPr>
        <w:t xml:space="preserve">. En </w:t>
      </w:r>
      <w:r w:rsidR="000B3531" w:rsidRPr="003633BB">
        <w:rPr>
          <w:rFonts w:ascii="Cambria" w:hAnsi="Cambria"/>
          <w:lang w:val="es-419"/>
        </w:rPr>
        <w:t>dicho</w:t>
      </w:r>
      <w:r w:rsidRPr="003633BB">
        <w:rPr>
          <w:rFonts w:ascii="Cambria" w:hAnsi="Cambria"/>
          <w:lang w:val="es-419"/>
        </w:rPr>
        <w:t xml:space="preserve"> acuerdo, el Estado reconoció la responsabilidad internacional por los hechos y se establecieron medidas de reparación pecuniaria, medidas de satisfacción, medidas de justicia, medidas de búsqueda, garantías de no repetición y medidas de rehabilitación. Asimismo, en el Acuerdo</w:t>
      </w:r>
      <w:r w:rsidR="00BC0255" w:rsidRPr="003633BB">
        <w:rPr>
          <w:rFonts w:ascii="Cambria" w:hAnsi="Cambria"/>
          <w:lang w:val="es-419"/>
        </w:rPr>
        <w:t xml:space="preserve"> de Cumplimiento</w:t>
      </w:r>
      <w:r w:rsidRPr="003633BB">
        <w:rPr>
          <w:rFonts w:ascii="Cambria" w:hAnsi="Cambria"/>
          <w:lang w:val="es-419"/>
        </w:rPr>
        <w:t>, las partes solicitan a la Comisión que el mecanismo de verificación de cumplimiento se desarrolle a través de las facultades otorgadas en el Artículo 51 de la Convención.</w:t>
      </w:r>
    </w:p>
    <w:p w14:paraId="237603F3" w14:textId="77777777" w:rsidR="003C6B13" w:rsidRPr="003633BB" w:rsidRDefault="003C6B13" w:rsidP="003C6B13">
      <w:pPr>
        <w:pStyle w:val="parrafos"/>
        <w:rPr>
          <w:rFonts w:ascii="Cambria" w:hAnsi="Cambria"/>
          <w:lang w:val="es-419"/>
        </w:rPr>
      </w:pPr>
    </w:p>
    <w:p w14:paraId="01824B50" w14:textId="16FBF7AC" w:rsidR="003C6B13" w:rsidRPr="003633BB" w:rsidRDefault="003C6B13" w:rsidP="003C6B13">
      <w:pPr>
        <w:pStyle w:val="parrafos"/>
        <w:numPr>
          <w:ilvl w:val="0"/>
          <w:numId w:val="58"/>
        </w:numPr>
        <w:ind w:left="0" w:firstLine="0"/>
        <w:rPr>
          <w:rFonts w:ascii="Cambria" w:hAnsi="Cambria"/>
          <w:lang w:val="es-419"/>
        </w:rPr>
      </w:pPr>
      <w:r w:rsidRPr="003633BB">
        <w:rPr>
          <w:rFonts w:ascii="Cambria" w:hAnsi="Cambria"/>
          <w:lang w:val="es-419"/>
        </w:rPr>
        <w:t>En dicho Acuerdo de Cumplimiento el Estado y l</w:t>
      </w:r>
      <w:r w:rsidR="0066640B" w:rsidRPr="003633BB">
        <w:rPr>
          <w:rFonts w:ascii="Cambria" w:hAnsi="Cambria"/>
          <w:lang w:val="es-419"/>
        </w:rPr>
        <w:t>a par</w:t>
      </w:r>
      <w:r w:rsidR="005F3BEC" w:rsidRPr="003633BB">
        <w:rPr>
          <w:rFonts w:ascii="Cambria" w:hAnsi="Cambria"/>
          <w:lang w:val="es-419"/>
        </w:rPr>
        <w:t>te</w:t>
      </w:r>
      <w:r w:rsidR="0066640B" w:rsidRPr="003633BB">
        <w:rPr>
          <w:rFonts w:ascii="Cambria" w:hAnsi="Cambria"/>
          <w:lang w:val="es-419"/>
        </w:rPr>
        <w:t xml:space="preserve"> peticionaria</w:t>
      </w:r>
      <w:r w:rsidRPr="003633BB">
        <w:rPr>
          <w:rFonts w:ascii="Cambria" w:hAnsi="Cambria"/>
          <w:lang w:val="es-419"/>
        </w:rPr>
        <w:t xml:space="preserve"> acordaron lo siguiente: </w:t>
      </w:r>
    </w:p>
    <w:p w14:paraId="5D6FCAD8" w14:textId="77777777" w:rsidR="003C6B13" w:rsidRPr="003633BB" w:rsidRDefault="003C6B13" w:rsidP="003C6B13">
      <w:pPr>
        <w:pStyle w:val="parrafos"/>
        <w:rPr>
          <w:rFonts w:ascii="Cambria" w:hAnsi="Cambria"/>
          <w:lang w:val="es-419"/>
        </w:rPr>
      </w:pPr>
    </w:p>
    <w:p w14:paraId="7E8FDADB" w14:textId="0978C974" w:rsidR="003C6B13" w:rsidRPr="003633BB" w:rsidRDefault="003C6B13" w:rsidP="003C6B13">
      <w:pPr>
        <w:pStyle w:val="parrafos"/>
        <w:numPr>
          <w:ilvl w:val="0"/>
          <w:numId w:val="71"/>
        </w:numPr>
        <w:rPr>
          <w:rFonts w:ascii="Cambria" w:hAnsi="Cambria"/>
          <w:lang w:val="es-419"/>
        </w:rPr>
      </w:pPr>
      <w:r w:rsidRPr="003633BB">
        <w:rPr>
          <w:rFonts w:ascii="Cambria" w:hAnsi="Cambria"/>
          <w:lang w:val="es-419"/>
        </w:rPr>
        <w:t xml:space="preserve">La ANDJE asumirá el trámite para el pago de las reparaciones materiales e inmateriales, enmarcado en la Ley 288 de 1996. </w:t>
      </w:r>
    </w:p>
    <w:p w14:paraId="6FCBF67F" w14:textId="79D51358" w:rsidR="003C6B13" w:rsidRPr="003633BB" w:rsidRDefault="003C6B13" w:rsidP="003C6B13">
      <w:pPr>
        <w:pStyle w:val="parrafos"/>
        <w:numPr>
          <w:ilvl w:val="0"/>
          <w:numId w:val="71"/>
        </w:numPr>
        <w:rPr>
          <w:lang w:val="es-419"/>
        </w:rPr>
      </w:pPr>
      <w:r w:rsidRPr="003633BB">
        <w:rPr>
          <w:lang w:val="es-419"/>
        </w:rPr>
        <w:t>El Acto de Reconocimiento de Responsabilidad por parte del Estado.</w:t>
      </w:r>
    </w:p>
    <w:p w14:paraId="7EBC63F0" w14:textId="77777777" w:rsidR="003C6B13" w:rsidRPr="003633BB" w:rsidRDefault="003C6B13" w:rsidP="003C6B13">
      <w:pPr>
        <w:pStyle w:val="parrafos"/>
        <w:rPr>
          <w:lang w:val="es-419"/>
        </w:rPr>
      </w:pPr>
      <w:r w:rsidRPr="003633BB">
        <w:rPr>
          <w:lang w:val="es-419"/>
        </w:rPr>
        <w:t>Debían establecerse:</w:t>
      </w:r>
    </w:p>
    <w:p w14:paraId="1C52ED7E" w14:textId="42A677D5" w:rsidR="003C6B13" w:rsidRPr="003633BB" w:rsidRDefault="003C6B13" w:rsidP="00501EF5">
      <w:pPr>
        <w:pStyle w:val="parrafos"/>
        <w:numPr>
          <w:ilvl w:val="0"/>
          <w:numId w:val="72"/>
        </w:numPr>
        <w:rPr>
          <w:lang w:val="es-419"/>
        </w:rPr>
      </w:pPr>
      <w:r w:rsidRPr="003633BB">
        <w:rPr>
          <w:lang w:val="es-419"/>
        </w:rPr>
        <w:t>Auxilios Educativos</w:t>
      </w:r>
      <w:r w:rsidR="00501EF5" w:rsidRPr="003633BB">
        <w:rPr>
          <w:lang w:val="es-419"/>
        </w:rPr>
        <w:t>:</w:t>
      </w:r>
    </w:p>
    <w:p w14:paraId="2128AB03" w14:textId="37C386B4" w:rsidR="003C6B13" w:rsidRPr="003633BB" w:rsidRDefault="003C6B13" w:rsidP="00501EF5">
      <w:pPr>
        <w:pStyle w:val="parrafos"/>
        <w:ind w:left="720"/>
        <w:rPr>
          <w:lang w:val="es-419"/>
        </w:rPr>
      </w:pPr>
      <w:r w:rsidRPr="003633BB">
        <w:rPr>
          <w:lang w:val="es-419"/>
        </w:rPr>
        <w:lastRenderedPageBreak/>
        <w:t xml:space="preserve">Acceso a oferta del Servicio Nacional de Aprendizaje, </w:t>
      </w:r>
      <w:r w:rsidR="00501EF5" w:rsidRPr="003633BB">
        <w:rPr>
          <w:lang w:val="es-419"/>
        </w:rPr>
        <w:t>b</w:t>
      </w:r>
      <w:r w:rsidRPr="003633BB">
        <w:rPr>
          <w:lang w:val="es-419"/>
        </w:rPr>
        <w:t xml:space="preserve">ecas conmemorativas del legado de Edgar Quiroga, Gildardo Fuentes y Victoria Anaya Delgado y </w:t>
      </w:r>
      <w:r w:rsidR="00501EF5" w:rsidRPr="003633BB">
        <w:rPr>
          <w:lang w:val="es-419"/>
        </w:rPr>
        <w:t>d</w:t>
      </w:r>
      <w:r w:rsidRPr="003633BB">
        <w:rPr>
          <w:lang w:val="es-419"/>
        </w:rPr>
        <w:t>os Estímulos de literatura “Edgar Quiroga, Gildardo Fuentes y Victoria Delgado”</w:t>
      </w:r>
      <w:r w:rsidR="00501EF5" w:rsidRPr="003633BB">
        <w:rPr>
          <w:lang w:val="es-419"/>
        </w:rPr>
        <w:t>.</w:t>
      </w:r>
    </w:p>
    <w:p w14:paraId="30356231" w14:textId="77777777" w:rsidR="003C6B13" w:rsidRPr="003633BB" w:rsidRDefault="003C6B13" w:rsidP="00501EF5">
      <w:pPr>
        <w:pStyle w:val="parrafos"/>
        <w:numPr>
          <w:ilvl w:val="0"/>
          <w:numId w:val="72"/>
        </w:numPr>
        <w:rPr>
          <w:lang w:val="es-419"/>
        </w:rPr>
      </w:pPr>
      <w:r w:rsidRPr="003633BB">
        <w:rPr>
          <w:lang w:val="es-419"/>
        </w:rPr>
        <w:t>Cortometraje de 10 a 15 minutos exaltando la calidad de líderes de Edgar Quiroga, Gildardo Fuentes y Victoria Delgado, sus roles en el movimiento campesino y las implicaciones sociales de los crímenes de que fueron víctima. El Estado garantizó su difusión vía TV Pública.</w:t>
      </w:r>
    </w:p>
    <w:p w14:paraId="0B04ABF3" w14:textId="77777777" w:rsidR="003C6B13" w:rsidRPr="003633BB" w:rsidRDefault="003C6B13" w:rsidP="00501EF5">
      <w:pPr>
        <w:pStyle w:val="parrafos"/>
        <w:numPr>
          <w:ilvl w:val="0"/>
          <w:numId w:val="72"/>
        </w:numPr>
        <w:rPr>
          <w:lang w:val="es-419"/>
        </w:rPr>
      </w:pPr>
      <w:r w:rsidRPr="003633BB">
        <w:rPr>
          <w:lang w:val="es-419"/>
        </w:rPr>
        <w:t>Adecuación y dotación de la Institución Educativa Técnica Agropecuaria y Empresarial Pozo Azul, sede corregimiento la Virgencita Jurisdicción del municipio San Pablo Sur de Bolívar incluyendo la dotación con un enfoque de arte y cultura para la memoria y la vida, la entrega de mínimo 5 computadores portátiles y la adecuación de la cancha de usos múltiples.</w:t>
      </w:r>
    </w:p>
    <w:p w14:paraId="4D453AF4" w14:textId="68D4F8D8" w:rsidR="003C6B13" w:rsidRPr="003633BB" w:rsidRDefault="003C6B13" w:rsidP="00501EF5">
      <w:pPr>
        <w:pStyle w:val="parrafos"/>
        <w:numPr>
          <w:ilvl w:val="0"/>
          <w:numId w:val="72"/>
        </w:numPr>
        <w:rPr>
          <w:lang w:val="es-419"/>
        </w:rPr>
      </w:pPr>
      <w:r w:rsidRPr="003633BB">
        <w:rPr>
          <w:lang w:val="es-419"/>
        </w:rPr>
        <w:t>Elaboración, diseño, impresión y amplia difusión de una cartilla que relate las luchas, historia y sucesos en relación con Edgar Quiroga, Gildardo Fuentes y Victoria Delgado</w:t>
      </w:r>
      <w:r w:rsidR="00501EF5" w:rsidRPr="003633BB">
        <w:rPr>
          <w:lang w:val="es-419"/>
        </w:rPr>
        <w:t>.</w:t>
      </w:r>
    </w:p>
    <w:p w14:paraId="73F38CE3" w14:textId="41BC1DEE" w:rsidR="003C6B13" w:rsidRPr="003633BB" w:rsidRDefault="003C6B13" w:rsidP="00501EF5">
      <w:pPr>
        <w:pStyle w:val="parrafos"/>
        <w:numPr>
          <w:ilvl w:val="0"/>
          <w:numId w:val="72"/>
        </w:numPr>
        <w:rPr>
          <w:lang w:val="es-419"/>
        </w:rPr>
      </w:pPr>
      <w:r w:rsidRPr="003633BB">
        <w:rPr>
          <w:lang w:val="es-419"/>
        </w:rPr>
        <w:t>Exoneración de la prestación del servicio militar y de cualquier pago para obtener la libreta militar a determinadas personas</w:t>
      </w:r>
      <w:r w:rsidR="00501EF5" w:rsidRPr="003633BB">
        <w:rPr>
          <w:lang w:val="es-419"/>
        </w:rPr>
        <w:t>.</w:t>
      </w:r>
    </w:p>
    <w:p w14:paraId="6170D008" w14:textId="77777777" w:rsidR="003C6B13" w:rsidRPr="003633BB" w:rsidRDefault="003C6B13" w:rsidP="00501EF5">
      <w:pPr>
        <w:pStyle w:val="parrafos"/>
        <w:numPr>
          <w:ilvl w:val="0"/>
          <w:numId w:val="72"/>
        </w:numPr>
        <w:rPr>
          <w:lang w:val="es-419"/>
        </w:rPr>
      </w:pPr>
      <w:r w:rsidRPr="003633BB">
        <w:rPr>
          <w:lang w:val="es-419"/>
        </w:rPr>
        <w:t>Jornadas de socialización, información y eventual vinculación en programas de la política pública de atención y reparación integral a víctimas del conflicto armado.</w:t>
      </w:r>
    </w:p>
    <w:p w14:paraId="3FE9AE94" w14:textId="77777777" w:rsidR="003C6B13" w:rsidRPr="003633BB" w:rsidRDefault="003C6B13" w:rsidP="003C6B13">
      <w:pPr>
        <w:pStyle w:val="parrafos"/>
        <w:rPr>
          <w:rFonts w:ascii="Cambria" w:hAnsi="Cambria"/>
          <w:lang w:val="es-419"/>
        </w:rPr>
      </w:pPr>
    </w:p>
    <w:p w14:paraId="02DB3E48" w14:textId="77777777" w:rsidR="003C6B13" w:rsidRPr="003633BB" w:rsidRDefault="003C6B13" w:rsidP="003C6B13">
      <w:pPr>
        <w:pStyle w:val="parrafos"/>
        <w:numPr>
          <w:ilvl w:val="0"/>
          <w:numId w:val="58"/>
        </w:numPr>
        <w:ind w:left="0" w:firstLine="0"/>
        <w:rPr>
          <w:rFonts w:ascii="Cambria" w:hAnsi="Cambria"/>
          <w:lang w:val="es-419"/>
        </w:rPr>
      </w:pPr>
      <w:r w:rsidRPr="003633BB">
        <w:rPr>
          <w:rFonts w:ascii="Cambria" w:hAnsi="Cambria"/>
          <w:lang w:val="es-419"/>
        </w:rPr>
        <w:t>Sobre el pago de las reparaciones pecuniarias el Estado informó que había una solicitud de conciliación en trámite ante la Procuraduría General de la Nación.</w:t>
      </w:r>
    </w:p>
    <w:p w14:paraId="2FF113D1" w14:textId="77777777" w:rsidR="003C6B13" w:rsidRPr="003633BB" w:rsidRDefault="003C6B13" w:rsidP="003C6B13">
      <w:pPr>
        <w:pStyle w:val="parrafos"/>
        <w:rPr>
          <w:rFonts w:ascii="Cambria" w:hAnsi="Cambria"/>
          <w:lang w:val="es-419"/>
        </w:rPr>
      </w:pPr>
    </w:p>
    <w:p w14:paraId="4E921397" w14:textId="44C26756" w:rsidR="003C6B13" w:rsidRPr="003633BB" w:rsidRDefault="003C6B13" w:rsidP="003C6B13">
      <w:pPr>
        <w:pStyle w:val="parrafos"/>
        <w:numPr>
          <w:ilvl w:val="0"/>
          <w:numId w:val="58"/>
        </w:numPr>
        <w:ind w:left="0" w:firstLine="0"/>
        <w:rPr>
          <w:rFonts w:ascii="Cambria" w:hAnsi="Cambria"/>
          <w:lang w:val="es-419"/>
        </w:rPr>
      </w:pPr>
      <w:r w:rsidRPr="003633BB">
        <w:rPr>
          <w:rFonts w:ascii="Cambria" w:hAnsi="Cambria"/>
          <w:lang w:val="es-419"/>
        </w:rPr>
        <w:t xml:space="preserve">Respecto del Acto de Reconocimiento de la Responsabilidad estatal, el Estado </w:t>
      </w:r>
      <w:r w:rsidR="00501EF5" w:rsidRPr="003633BB">
        <w:rPr>
          <w:rFonts w:ascii="Cambria" w:hAnsi="Cambria"/>
          <w:lang w:val="es-419"/>
        </w:rPr>
        <w:t>indic</w:t>
      </w:r>
      <w:r w:rsidRPr="003633BB">
        <w:rPr>
          <w:rFonts w:ascii="Cambria" w:hAnsi="Cambria"/>
          <w:lang w:val="es-419"/>
        </w:rPr>
        <w:t xml:space="preserve">ó que se encontraba desarrollando una propuesta interinstitucional sobre el desarrollo del acto que será presentada a las víctimas y sus representantes. En este sentido, informó que se tenía prevista la realización del acto para finales de noviembre de 2024 en el marco de la conmemoración de los 25 años de la desaparición forzada de los señores Edgar Quiroga y Gildardo Fuentes. Asimismo, el Estado manifestó que se encontraba concertando una fecha para realizar una reunión con el Ministerio de Educación Nacional y los representantes y víctimas para abordar los temas relacionados a los auxilios educativos. Además, el Estado afirmó que se encontraba articulando con el Centro Nacional de Memoria Histórica para iniciar la materialización del cortometraje. </w:t>
      </w:r>
    </w:p>
    <w:p w14:paraId="55067074" w14:textId="77777777" w:rsidR="003C6B13" w:rsidRPr="003633BB" w:rsidRDefault="003C6B13" w:rsidP="003C6B13">
      <w:pPr>
        <w:pStyle w:val="parrafos"/>
        <w:rPr>
          <w:rFonts w:ascii="Cambria" w:hAnsi="Cambria"/>
          <w:lang w:val="es-419"/>
        </w:rPr>
      </w:pPr>
    </w:p>
    <w:p w14:paraId="731501DB" w14:textId="77777777" w:rsidR="003C6B13" w:rsidRPr="003633BB" w:rsidRDefault="003C6B13" w:rsidP="003C6B13">
      <w:pPr>
        <w:pStyle w:val="parrafos"/>
        <w:numPr>
          <w:ilvl w:val="0"/>
          <w:numId w:val="58"/>
        </w:numPr>
        <w:ind w:left="0" w:firstLine="0"/>
        <w:rPr>
          <w:rFonts w:ascii="Cambria" w:hAnsi="Cambria"/>
          <w:lang w:val="es-419"/>
        </w:rPr>
      </w:pPr>
      <w:r w:rsidRPr="003633BB">
        <w:rPr>
          <w:rFonts w:ascii="Cambria" w:hAnsi="Cambria"/>
          <w:lang w:val="es-419"/>
        </w:rPr>
        <w:t xml:space="preserve">En relación con las medidas en la Institución Educativa Técnica Agropecuaria y Empresarial Pozo Azul, el Estado manifestó que se encontraba articulando con el Ministerio de Cultura, Ministerio de Tecnologías de la Información y la Agencia Nacional Inmobiliaria para dar inicio a la implementación de la medida y, en particular, respecto de la cancha múltiple, se realizó una reunión el 3 de junio de 2024, con participación de las víctimas y sus representantes. Respecto de la cartilla, el Estado informó que la ANDJE articulará con la Unidad para la Atención y Reparación Integral a las Víctimas una reunión de alistamiento. </w:t>
      </w:r>
    </w:p>
    <w:p w14:paraId="07F52819" w14:textId="28587A4F" w:rsidR="003C6B13" w:rsidRPr="00C014C9" w:rsidRDefault="003C6B13" w:rsidP="003C6B13">
      <w:pPr>
        <w:pStyle w:val="parrafos"/>
        <w:rPr>
          <w:rFonts w:ascii="Cambria" w:hAnsi="Cambria"/>
          <w:lang w:val="es-419"/>
        </w:rPr>
      </w:pPr>
    </w:p>
    <w:p w14:paraId="04E01C48" w14:textId="66BF611C" w:rsidR="00570A3F" w:rsidRPr="003633BB" w:rsidRDefault="00570A3F" w:rsidP="00570A3F">
      <w:pPr>
        <w:pStyle w:val="parrafos"/>
        <w:numPr>
          <w:ilvl w:val="0"/>
          <w:numId w:val="58"/>
        </w:numPr>
        <w:ind w:left="0" w:firstLine="0"/>
        <w:rPr>
          <w:b/>
          <w:bCs/>
          <w:lang w:val="es-419"/>
        </w:rPr>
      </w:pPr>
      <w:r w:rsidRPr="00C014C9">
        <w:rPr>
          <w:lang w:val="es-419"/>
        </w:rPr>
        <w:t>Sobre</w:t>
      </w:r>
      <w:r w:rsidRPr="003633BB">
        <w:rPr>
          <w:lang w:val="es-419"/>
        </w:rPr>
        <w:t xml:space="preserve"> la </w:t>
      </w:r>
      <w:r w:rsidRPr="003633BB">
        <w:rPr>
          <w:b/>
          <w:bCs/>
          <w:lang w:val="es-419"/>
        </w:rPr>
        <w:t>segunda recomendación</w:t>
      </w:r>
      <w:r w:rsidRPr="003633BB">
        <w:rPr>
          <w:lang w:val="es-419"/>
        </w:rPr>
        <w:t xml:space="preserve">, referida a la búsqueda de las víctimas, </w:t>
      </w:r>
      <w:r w:rsidRPr="003633BB">
        <w:rPr>
          <w:rFonts w:ascii="Cambria" w:eastAsia="Cambria" w:hAnsi="Cambria" w:cs="Cambria"/>
          <w:color w:val="000000"/>
          <w:lang w:val="es-419"/>
        </w:rPr>
        <w:t>el Estado informó que la Unidad de Búsqueda de Personas Desaparecidas (UBPD) recibió la solicitud de búsqueda de las víctimas y ha determinado el “Estado del Proceso de Búsqueda”, mientras la investigación humanitaria y extrajudicial est</w:t>
      </w:r>
      <w:r w:rsidR="007C171E" w:rsidRPr="003633BB">
        <w:rPr>
          <w:rFonts w:ascii="Cambria" w:eastAsia="Cambria" w:hAnsi="Cambria" w:cs="Cambria"/>
          <w:color w:val="000000"/>
          <w:lang w:val="es-419"/>
        </w:rPr>
        <w:t>aba</w:t>
      </w:r>
      <w:r w:rsidRPr="003633BB">
        <w:rPr>
          <w:rFonts w:ascii="Cambria" w:eastAsia="Cambria" w:hAnsi="Cambria" w:cs="Cambria"/>
          <w:color w:val="000000"/>
          <w:lang w:val="es-419"/>
        </w:rPr>
        <w:t xml:space="preserve"> siendo adelantada en función de un Plan Regional. Indicó que se reunieron con los familiares de los señores Quiroga y Fuentes para brindarles información, responder dudas y que se generaron compromisos de seguimiento como la realización de reuniones; la toma de muestra biológicas para perfiles genéticos; y el ingreso del caso del señor Fuentes al Sistema de Información de la Red de Desaparecidos y Cadáveres del Instituto Nacional de Medicina Legal y Ciencias Forenses. El Estado propuso continuar con las labores de búsqueda e identificación de las víctimas a través de la UBPD y de la FGN.</w:t>
      </w:r>
    </w:p>
    <w:p w14:paraId="24A9B53F" w14:textId="77777777" w:rsidR="00570A3F" w:rsidRPr="003633BB" w:rsidRDefault="00570A3F" w:rsidP="00570A3F">
      <w:pPr>
        <w:pStyle w:val="ListParagraph"/>
        <w:rPr>
          <w:rFonts w:ascii="Cambria" w:eastAsia="Cambria" w:hAnsi="Cambria" w:cs="Cambria"/>
          <w:color w:val="000000"/>
          <w:sz w:val="20"/>
          <w:szCs w:val="20"/>
          <w:lang w:val="es-419"/>
        </w:rPr>
      </w:pPr>
    </w:p>
    <w:p w14:paraId="5FC7741F" w14:textId="245853A7" w:rsidR="00570A3F" w:rsidRPr="003633BB" w:rsidRDefault="002E4A8D" w:rsidP="00960046">
      <w:pPr>
        <w:pStyle w:val="parrafos"/>
        <w:numPr>
          <w:ilvl w:val="0"/>
          <w:numId w:val="58"/>
        </w:numPr>
        <w:ind w:left="0" w:firstLine="0"/>
        <w:rPr>
          <w:rFonts w:ascii="Cambria" w:eastAsia="Cambria" w:hAnsi="Cambria" w:cs="Cambria"/>
          <w:lang w:val="es-419"/>
        </w:rPr>
      </w:pPr>
      <w:r w:rsidRPr="003633BB">
        <w:rPr>
          <w:rFonts w:ascii="Cambria" w:eastAsia="Cambria" w:hAnsi="Cambria" w:cs="Cambria"/>
          <w:color w:val="000000"/>
          <w:lang w:val="es-419"/>
        </w:rPr>
        <w:t>E</w:t>
      </w:r>
      <w:r w:rsidR="002D34CC" w:rsidRPr="003633BB">
        <w:rPr>
          <w:rFonts w:ascii="Cambria" w:eastAsia="Cambria" w:hAnsi="Cambria" w:cs="Cambria"/>
          <w:color w:val="000000"/>
          <w:lang w:val="es-419"/>
        </w:rPr>
        <w:t>l</w:t>
      </w:r>
      <w:r w:rsidRPr="003633BB">
        <w:rPr>
          <w:rFonts w:ascii="Cambria" w:eastAsia="Cambria" w:hAnsi="Cambria" w:cs="Cambria"/>
          <w:color w:val="000000"/>
          <w:lang w:val="es-419"/>
        </w:rPr>
        <w:t xml:space="preserve"> Estado y la </w:t>
      </w:r>
      <w:r w:rsidR="00570A3F" w:rsidRPr="003633BB">
        <w:rPr>
          <w:rFonts w:ascii="Cambria" w:eastAsia="Cambria" w:hAnsi="Cambria" w:cs="Cambria"/>
          <w:color w:val="000000"/>
          <w:lang w:val="es-419"/>
        </w:rPr>
        <w:t xml:space="preserve">parte peticionaria </w:t>
      </w:r>
      <w:r w:rsidRPr="003633BB">
        <w:rPr>
          <w:rFonts w:ascii="Cambria" w:eastAsia="Cambria" w:hAnsi="Cambria" w:cs="Cambria"/>
          <w:color w:val="000000"/>
          <w:lang w:val="es-419"/>
        </w:rPr>
        <w:t>sostuvieron una serie de reuniones de</w:t>
      </w:r>
      <w:r w:rsidR="000B4DDF" w:rsidRPr="003633BB">
        <w:rPr>
          <w:rFonts w:ascii="Cambria" w:eastAsia="Cambria" w:hAnsi="Cambria" w:cs="Cambria"/>
          <w:color w:val="000000"/>
          <w:lang w:val="es-419"/>
        </w:rPr>
        <w:t xml:space="preserve"> coordinación en las que se fueron dando avances</w:t>
      </w:r>
      <w:r w:rsidR="003E69E5" w:rsidRPr="003633BB">
        <w:rPr>
          <w:rFonts w:ascii="Cambria" w:eastAsia="Cambria" w:hAnsi="Cambria" w:cs="Cambria"/>
          <w:color w:val="000000"/>
          <w:lang w:val="es-419"/>
        </w:rPr>
        <w:t>. La parte peticionaria d</w:t>
      </w:r>
      <w:r w:rsidR="00570A3F" w:rsidRPr="003633BB">
        <w:rPr>
          <w:rFonts w:ascii="Cambria" w:eastAsia="Cambria" w:hAnsi="Cambria" w:cs="Cambria"/>
          <w:color w:val="000000"/>
          <w:lang w:val="es-419"/>
        </w:rPr>
        <w:t xml:space="preserve">estacó la necesidad de participación activa de los familiares, </w:t>
      </w:r>
      <w:r w:rsidR="00D06583" w:rsidRPr="003633BB">
        <w:rPr>
          <w:rFonts w:ascii="Cambria" w:eastAsia="Cambria" w:hAnsi="Cambria" w:cs="Cambria"/>
          <w:color w:val="000000"/>
          <w:lang w:val="es-419"/>
        </w:rPr>
        <w:t>en los procesos de búsqueda.</w:t>
      </w:r>
    </w:p>
    <w:p w14:paraId="08A95B28" w14:textId="77777777" w:rsidR="00D06583" w:rsidRPr="003633BB" w:rsidRDefault="00D06583" w:rsidP="00D06583">
      <w:pPr>
        <w:pStyle w:val="parrafos"/>
        <w:rPr>
          <w:rFonts w:ascii="Cambria" w:eastAsia="Cambria" w:hAnsi="Cambria" w:cs="Cambria"/>
          <w:lang w:val="es-419"/>
        </w:rPr>
      </w:pPr>
    </w:p>
    <w:p w14:paraId="2B077A7C" w14:textId="563B0C49" w:rsidR="00570A3F" w:rsidRPr="003633BB" w:rsidRDefault="00570A3F" w:rsidP="005B1FB0">
      <w:pPr>
        <w:pStyle w:val="parrafos"/>
        <w:numPr>
          <w:ilvl w:val="0"/>
          <w:numId w:val="58"/>
        </w:numPr>
        <w:ind w:left="0" w:firstLine="0"/>
        <w:rPr>
          <w:rFonts w:ascii="Cambria" w:eastAsia="Cambria" w:hAnsi="Cambria" w:cs="Cambria"/>
          <w:lang w:val="es-419"/>
        </w:rPr>
      </w:pPr>
      <w:r w:rsidRPr="003633BB">
        <w:rPr>
          <w:rFonts w:ascii="Cambria" w:eastAsia="Cambria" w:hAnsi="Cambria" w:cs="Cambria"/>
          <w:lang w:val="es-419"/>
        </w:rPr>
        <w:t>El Estado informó que, gracias a la cooperación de la UPBD con la F</w:t>
      </w:r>
      <w:r w:rsidR="002D34CC" w:rsidRPr="003633BB">
        <w:rPr>
          <w:rFonts w:ascii="Cambria" w:eastAsia="Cambria" w:hAnsi="Cambria" w:cs="Cambria"/>
          <w:lang w:val="es-419"/>
        </w:rPr>
        <w:t>GN</w:t>
      </w:r>
      <w:r w:rsidRPr="003633BB">
        <w:rPr>
          <w:rFonts w:ascii="Cambria" w:eastAsia="Cambria" w:hAnsi="Cambria" w:cs="Cambria"/>
          <w:lang w:val="es-419"/>
        </w:rPr>
        <w:t xml:space="preserve">, se logró obtener el expediente judicial adelantado en la justicia ordinaria de los señores Quiroga y Fuentes, el cual se estaba analizando. </w:t>
      </w:r>
      <w:r w:rsidRPr="003633BB">
        <w:rPr>
          <w:rFonts w:ascii="Cambria" w:hAnsi="Cambria"/>
          <w:lang w:val="es-419"/>
        </w:rPr>
        <w:t>Asimismo, informó que el 16 y 17 de noviembre de 2022, la UBPD facilitó un encuentro con familiares para acordar de manera conjunta con sus representantes un plan de búsqueda. Posteriormente</w:t>
      </w:r>
      <w:r w:rsidR="006672AB" w:rsidRPr="003633BB">
        <w:rPr>
          <w:rFonts w:ascii="Cambria" w:hAnsi="Cambria"/>
          <w:lang w:val="es-419"/>
        </w:rPr>
        <w:t>,</w:t>
      </w:r>
      <w:r w:rsidRPr="003633BB">
        <w:rPr>
          <w:rFonts w:ascii="Cambria" w:hAnsi="Cambria"/>
          <w:lang w:val="es-419"/>
        </w:rPr>
        <w:t xml:space="preserve"> el Estado remitió el plan de trabajo acordado. </w:t>
      </w:r>
    </w:p>
    <w:p w14:paraId="58F2A800" w14:textId="77777777" w:rsidR="00570A3F" w:rsidRPr="003633BB" w:rsidRDefault="00570A3F" w:rsidP="00D06583">
      <w:pPr>
        <w:pStyle w:val="ListParagraph"/>
        <w:jc w:val="both"/>
        <w:rPr>
          <w:rFonts w:ascii="Cambria" w:hAnsi="Cambria"/>
          <w:sz w:val="20"/>
          <w:szCs w:val="20"/>
          <w:lang w:val="es-419"/>
        </w:rPr>
      </w:pPr>
    </w:p>
    <w:p w14:paraId="7023E519" w14:textId="028CA0BB" w:rsidR="00570A3F" w:rsidRPr="003633BB" w:rsidRDefault="00D06583" w:rsidP="00D06583">
      <w:pPr>
        <w:pStyle w:val="parrafos"/>
        <w:numPr>
          <w:ilvl w:val="0"/>
          <w:numId w:val="58"/>
        </w:numPr>
        <w:ind w:left="0" w:firstLine="0"/>
        <w:rPr>
          <w:rFonts w:ascii="Cambria" w:hAnsi="Cambria"/>
          <w:lang w:val="es-419"/>
        </w:rPr>
      </w:pPr>
      <w:r w:rsidRPr="003633BB">
        <w:rPr>
          <w:rFonts w:ascii="Cambria" w:hAnsi="Cambria"/>
          <w:lang w:val="es-419"/>
        </w:rPr>
        <w:t xml:space="preserve">En septiembre de 2023 las partes remitieron a la CIDH una nota conjunta </w:t>
      </w:r>
      <w:r w:rsidR="00A00BCE" w:rsidRPr="003633BB">
        <w:rPr>
          <w:rFonts w:ascii="Cambria" w:hAnsi="Cambria"/>
          <w:lang w:val="es-419"/>
        </w:rPr>
        <w:t xml:space="preserve">en la que indicaron </w:t>
      </w:r>
      <w:r w:rsidR="00570A3F" w:rsidRPr="003633BB">
        <w:rPr>
          <w:rFonts w:ascii="Cambria" w:hAnsi="Cambria"/>
          <w:lang w:val="es-419"/>
        </w:rPr>
        <w:t>que el Estado suministrará a la UBPD toda la información – incluso aquella bajo reserva legal o de seguridad nacional- en poder del Ejército y de la Policía Nacional relativa a las tres víctimas y que los familiares y peticionarios participarán de manera efectiva en el marco del Plan Regional de Búsqueda y serán informados de los avances de la UBPD.</w:t>
      </w:r>
    </w:p>
    <w:p w14:paraId="68C380F4" w14:textId="77777777" w:rsidR="00A00BCE" w:rsidRPr="003633BB" w:rsidRDefault="00A00BCE" w:rsidP="000C1D2F">
      <w:pPr>
        <w:pStyle w:val="parrafos"/>
        <w:rPr>
          <w:rFonts w:ascii="Cambria" w:hAnsi="Cambria"/>
          <w:lang w:val="es-419"/>
        </w:rPr>
      </w:pPr>
    </w:p>
    <w:p w14:paraId="2C18D131" w14:textId="4DD7D0C2" w:rsidR="00570A3F" w:rsidRPr="003633BB" w:rsidRDefault="00570A3F" w:rsidP="00A00BCE">
      <w:pPr>
        <w:pStyle w:val="parrafos"/>
        <w:numPr>
          <w:ilvl w:val="0"/>
          <w:numId w:val="58"/>
        </w:numPr>
        <w:ind w:left="0" w:firstLine="0"/>
        <w:rPr>
          <w:rFonts w:ascii="Cambria" w:hAnsi="Cambria"/>
          <w:lang w:val="es-419"/>
        </w:rPr>
      </w:pPr>
      <w:r w:rsidRPr="003633BB">
        <w:rPr>
          <w:rFonts w:ascii="Cambria" w:hAnsi="Cambria"/>
          <w:lang w:val="es-419"/>
        </w:rPr>
        <w:t xml:space="preserve">En el Acuerdo de Cumplimiento el Estado se comprometió a adelantar las labores de búsqueda de Edgar Quiroga y Gildardo Fuentes, con el objetivo de ubicarlos, recuperar sus restos, identificarlos y entregarlos dignamente a sus familias. Para ello, coordinarían </w:t>
      </w:r>
      <w:bookmarkStart w:id="47" w:name="_Hlk169869329"/>
      <w:r w:rsidRPr="003633BB">
        <w:rPr>
          <w:rFonts w:ascii="Cambria" w:hAnsi="Cambria"/>
          <w:lang w:val="es-419"/>
        </w:rPr>
        <w:t xml:space="preserve">esfuerzos </w:t>
      </w:r>
      <w:r w:rsidR="000C1D2F" w:rsidRPr="003633BB">
        <w:rPr>
          <w:rFonts w:ascii="Cambria" w:hAnsi="Cambria"/>
          <w:lang w:val="es-419"/>
        </w:rPr>
        <w:t xml:space="preserve">LA </w:t>
      </w:r>
      <w:r w:rsidRPr="003633BB">
        <w:rPr>
          <w:rFonts w:ascii="Cambria" w:hAnsi="Cambria"/>
          <w:lang w:val="es-419"/>
        </w:rPr>
        <w:t>UBPD, la Fiscalía, el Grupo Interno de Trabajo de Búsqueda Identificación y Entrega de Personas Desaparecidas (GRUBE) y el Instituto Nacional de Medicina Legal y Ciencias Forenses. Además, el Estado deberá implementar un plan de búsqueda con actividades, cronograma y seguimiento periódico</w:t>
      </w:r>
      <w:bookmarkEnd w:id="47"/>
      <w:r w:rsidRPr="003633BB">
        <w:rPr>
          <w:rFonts w:ascii="Cambria" w:hAnsi="Cambria"/>
          <w:lang w:val="es-419"/>
        </w:rPr>
        <w:t>, y reuniones semestrales con los familiares.</w:t>
      </w:r>
    </w:p>
    <w:p w14:paraId="21DF1EE5" w14:textId="77777777" w:rsidR="007A7783" w:rsidRPr="003633BB" w:rsidRDefault="007A7783" w:rsidP="007A7783">
      <w:pPr>
        <w:pStyle w:val="parrafos"/>
        <w:rPr>
          <w:rFonts w:ascii="Cambria" w:hAnsi="Cambria"/>
          <w:lang w:val="es-419"/>
        </w:rPr>
      </w:pPr>
    </w:p>
    <w:p w14:paraId="4F1E07DC" w14:textId="265EB2F5" w:rsidR="00570A3F" w:rsidRPr="003633BB" w:rsidRDefault="00570A3F" w:rsidP="000C78B2">
      <w:pPr>
        <w:pStyle w:val="parrafos"/>
        <w:numPr>
          <w:ilvl w:val="0"/>
          <w:numId w:val="58"/>
        </w:numPr>
        <w:ind w:left="0" w:firstLine="0"/>
        <w:rPr>
          <w:rFonts w:ascii="Cambria" w:hAnsi="Cambria"/>
          <w:lang w:val="es-419"/>
        </w:rPr>
      </w:pPr>
      <w:r w:rsidRPr="003633BB">
        <w:rPr>
          <w:rFonts w:ascii="Cambria" w:hAnsi="Cambria"/>
          <w:lang w:val="es-419"/>
        </w:rPr>
        <w:t>En junio de 2024 el Estado informó que realizará una mesa interinstitucional que estará integrada por la FGN, el Instituto de Medicina Legal y la UBPD.</w:t>
      </w:r>
    </w:p>
    <w:p w14:paraId="7EC00FD1" w14:textId="77777777" w:rsidR="000C78B2" w:rsidRPr="003633BB" w:rsidRDefault="000C78B2" w:rsidP="00171EEE">
      <w:pPr>
        <w:pStyle w:val="parrafos"/>
        <w:rPr>
          <w:rFonts w:ascii="Cambria" w:hAnsi="Cambria"/>
          <w:lang w:val="es-419"/>
        </w:rPr>
      </w:pPr>
    </w:p>
    <w:p w14:paraId="016C13B7" w14:textId="365FC7B2" w:rsidR="00345DDB" w:rsidRPr="003633BB" w:rsidRDefault="000C78B2" w:rsidP="00171EEE">
      <w:pPr>
        <w:pStyle w:val="parrafos"/>
        <w:numPr>
          <w:ilvl w:val="0"/>
          <w:numId w:val="58"/>
        </w:numPr>
        <w:ind w:left="0" w:firstLine="0"/>
        <w:rPr>
          <w:rFonts w:ascii="Cambria" w:hAnsi="Cambria"/>
          <w:lang w:val="es-419"/>
        </w:rPr>
      </w:pPr>
      <w:r w:rsidRPr="003633BB">
        <w:rPr>
          <w:rFonts w:ascii="Cambria" w:hAnsi="Cambria"/>
          <w:lang w:val="es-419"/>
        </w:rPr>
        <w:t>En relaci</w:t>
      </w:r>
      <w:r w:rsidR="00072920" w:rsidRPr="003633BB">
        <w:rPr>
          <w:rFonts w:ascii="Cambria" w:hAnsi="Cambria"/>
          <w:lang w:val="es-419"/>
        </w:rPr>
        <w:t xml:space="preserve">ón con la </w:t>
      </w:r>
      <w:r w:rsidR="00072920" w:rsidRPr="003633BB">
        <w:rPr>
          <w:rFonts w:ascii="Cambria" w:hAnsi="Cambria"/>
          <w:b/>
          <w:bCs/>
          <w:lang w:val="es-419"/>
        </w:rPr>
        <w:t>tercera recomendación</w:t>
      </w:r>
      <w:r w:rsidR="00072920" w:rsidRPr="003633BB">
        <w:rPr>
          <w:rFonts w:ascii="Cambria" w:hAnsi="Cambria"/>
          <w:lang w:val="es-419"/>
        </w:rPr>
        <w:t xml:space="preserve">, relativa a reabrir las investigaciones penales y disciplinarias, el Estado informó </w:t>
      </w:r>
      <w:r w:rsidR="00345DDB" w:rsidRPr="003633BB">
        <w:rPr>
          <w:rFonts w:ascii="Cambria" w:hAnsi="Cambria"/>
          <w:lang w:val="es-419"/>
        </w:rPr>
        <w:t xml:space="preserve">que, la investigación de la presunta desaparición forzada de Édgar Quiroga y Gildardo Fuentes, existen varias sentencias condenatorias, en las cuales se ha resuelto la responsabilidad penal de </w:t>
      </w:r>
      <w:r w:rsidR="007E5A21" w:rsidRPr="003633BB">
        <w:rPr>
          <w:rFonts w:ascii="Cambria" w:hAnsi="Cambria"/>
          <w:lang w:val="es-419"/>
        </w:rPr>
        <w:t>cuatro</w:t>
      </w:r>
      <w:r w:rsidR="00345DDB" w:rsidRPr="003633BB">
        <w:rPr>
          <w:rFonts w:ascii="Cambria" w:hAnsi="Cambria"/>
          <w:lang w:val="es-419"/>
        </w:rPr>
        <w:t xml:space="preserve"> paramilitares. </w:t>
      </w:r>
      <w:r w:rsidR="007E5A21" w:rsidRPr="003633BB">
        <w:rPr>
          <w:rFonts w:ascii="Cambria" w:hAnsi="Cambria"/>
          <w:lang w:val="es-419"/>
        </w:rPr>
        <w:t>Indicó que</w:t>
      </w:r>
      <w:r w:rsidR="003B174F" w:rsidRPr="003633BB">
        <w:rPr>
          <w:rFonts w:ascii="Cambria" w:hAnsi="Cambria"/>
          <w:lang w:val="es-419"/>
        </w:rPr>
        <w:t>,</w:t>
      </w:r>
      <w:r w:rsidR="007E5A21" w:rsidRPr="003633BB">
        <w:rPr>
          <w:rFonts w:ascii="Cambria" w:hAnsi="Cambria"/>
          <w:lang w:val="es-419"/>
        </w:rPr>
        <w:t xml:space="preserve"> e</w:t>
      </w:r>
      <w:r w:rsidR="00345DDB" w:rsidRPr="003633BB">
        <w:rPr>
          <w:rFonts w:ascii="Cambria" w:hAnsi="Cambria"/>
          <w:lang w:val="es-419"/>
        </w:rPr>
        <w:t xml:space="preserve">n la jurisdicción de Justicia y Paz, existe una condena por coautoría material en desaparición, homicidio y desplazamiento forzado de ambas presuntas víctimas. </w:t>
      </w:r>
      <w:r w:rsidR="000F67A8" w:rsidRPr="003633BB">
        <w:rPr>
          <w:rFonts w:ascii="Cambria" w:hAnsi="Cambria"/>
          <w:lang w:val="es-419"/>
        </w:rPr>
        <w:t>Esto, a</w:t>
      </w:r>
      <w:r w:rsidR="00345DDB" w:rsidRPr="003633BB">
        <w:rPr>
          <w:rFonts w:ascii="Cambria" w:hAnsi="Cambria"/>
          <w:lang w:val="es-419"/>
        </w:rPr>
        <w:t xml:space="preserve">demás, de una imputación por el asesinato de ambos, que había sido programada para el 23 de agosto de 2021. </w:t>
      </w:r>
    </w:p>
    <w:p w14:paraId="2A3D06A8" w14:textId="77777777" w:rsidR="00345DDB" w:rsidRPr="003633BB" w:rsidRDefault="00345DDB" w:rsidP="007E5A21">
      <w:pPr>
        <w:pStyle w:val="parrafos"/>
        <w:rPr>
          <w:rFonts w:ascii="Cambria" w:hAnsi="Cambria"/>
          <w:lang w:val="es-419"/>
        </w:rPr>
      </w:pPr>
    </w:p>
    <w:p w14:paraId="02353733" w14:textId="151764B8" w:rsidR="00345DDB" w:rsidRPr="003633BB" w:rsidRDefault="00345DDB" w:rsidP="00345DDB">
      <w:pPr>
        <w:pStyle w:val="parrafos"/>
        <w:numPr>
          <w:ilvl w:val="0"/>
          <w:numId w:val="58"/>
        </w:numPr>
        <w:ind w:left="0" w:firstLine="0"/>
        <w:rPr>
          <w:rFonts w:ascii="Cambria" w:hAnsi="Cambria"/>
          <w:lang w:val="es-419"/>
        </w:rPr>
      </w:pPr>
      <w:r w:rsidRPr="003633BB">
        <w:rPr>
          <w:rFonts w:ascii="Cambria" w:hAnsi="Cambria"/>
          <w:lang w:val="es-419"/>
        </w:rPr>
        <w:t xml:space="preserve">El Estado </w:t>
      </w:r>
      <w:r w:rsidR="000E6715" w:rsidRPr="003633BB">
        <w:rPr>
          <w:rFonts w:ascii="Cambria" w:hAnsi="Cambria"/>
          <w:lang w:val="es-419"/>
        </w:rPr>
        <w:t>inform</w:t>
      </w:r>
      <w:r w:rsidRPr="003633BB">
        <w:rPr>
          <w:rFonts w:ascii="Cambria" w:hAnsi="Cambria"/>
          <w:lang w:val="es-419"/>
        </w:rPr>
        <w:t>ó que la FGN había adelantado el caso siguiendo todas las posibles líneas e hipótesis de investigación para demostrar la responsabilidad de todos los autores de la desaparición de los señores Quiroga y Fuentes, señalando que la hipótesis de la participación de integrantes de la Fuerza Pública no contaba con los elementos probatorios necesarios que conlleven su vinculación al proceso.</w:t>
      </w:r>
    </w:p>
    <w:p w14:paraId="4E93482D" w14:textId="77777777" w:rsidR="00345DDB" w:rsidRPr="003633BB" w:rsidRDefault="00345DDB" w:rsidP="000F67A8">
      <w:pPr>
        <w:pStyle w:val="parrafos"/>
        <w:rPr>
          <w:rFonts w:ascii="Cambria" w:hAnsi="Cambria"/>
          <w:lang w:val="es-419"/>
        </w:rPr>
      </w:pPr>
    </w:p>
    <w:p w14:paraId="0344C1BB" w14:textId="729710B0" w:rsidR="00345DDB" w:rsidRPr="003633BB" w:rsidRDefault="00345DDB" w:rsidP="00345DDB">
      <w:pPr>
        <w:pStyle w:val="parrafos"/>
        <w:numPr>
          <w:ilvl w:val="0"/>
          <w:numId w:val="58"/>
        </w:numPr>
        <w:ind w:left="0" w:firstLine="0"/>
        <w:rPr>
          <w:rFonts w:ascii="Cambria" w:hAnsi="Cambria"/>
          <w:lang w:val="es-419"/>
        </w:rPr>
      </w:pPr>
      <w:r w:rsidRPr="003633BB">
        <w:rPr>
          <w:rFonts w:ascii="Cambria" w:hAnsi="Cambria"/>
          <w:lang w:val="es-419"/>
        </w:rPr>
        <w:t xml:space="preserve">En relación con el homicidio de la señora Victoria Delgado, el Estado señaló que se habían proferido dos sentencias condenatorias. Indicó que se había logrado identificar a cuatro procesados, </w:t>
      </w:r>
      <w:r w:rsidR="00882632" w:rsidRPr="003633BB">
        <w:rPr>
          <w:rFonts w:ascii="Cambria" w:hAnsi="Cambria"/>
          <w:lang w:val="es-419"/>
        </w:rPr>
        <w:t xml:space="preserve">contra </w:t>
      </w:r>
      <w:r w:rsidRPr="003633BB">
        <w:rPr>
          <w:rFonts w:ascii="Cambria" w:hAnsi="Cambria"/>
          <w:lang w:val="es-419"/>
        </w:rPr>
        <w:t>quienes se debió terminar el procesamiento debido a que fueron asesinados.</w:t>
      </w:r>
    </w:p>
    <w:p w14:paraId="7FC8C76C" w14:textId="77777777" w:rsidR="00345DDB" w:rsidRPr="003633BB" w:rsidRDefault="00345DDB" w:rsidP="000F67A8">
      <w:pPr>
        <w:pStyle w:val="parrafos"/>
        <w:rPr>
          <w:rFonts w:ascii="Cambria" w:hAnsi="Cambria"/>
          <w:lang w:val="es-419"/>
        </w:rPr>
      </w:pPr>
    </w:p>
    <w:p w14:paraId="549765AF" w14:textId="77777777" w:rsidR="00345DDB" w:rsidRPr="003633BB" w:rsidRDefault="00345DDB" w:rsidP="00345DDB">
      <w:pPr>
        <w:pStyle w:val="parrafos"/>
        <w:numPr>
          <w:ilvl w:val="0"/>
          <w:numId w:val="58"/>
        </w:numPr>
        <w:ind w:left="0" w:firstLine="0"/>
        <w:rPr>
          <w:rFonts w:ascii="Cambria" w:hAnsi="Cambria"/>
          <w:lang w:val="es-419"/>
        </w:rPr>
      </w:pPr>
      <w:r w:rsidRPr="003633BB">
        <w:rPr>
          <w:rFonts w:ascii="Cambria" w:hAnsi="Cambria"/>
          <w:lang w:val="es-419"/>
        </w:rPr>
        <w:t xml:space="preserve">El Estado reiteró varias veces lo informado sobre la falta de prueba de la alegada participación de miembros de la Fuerza Pública en los hechos de retención y desaparición de las víctimas, atribuyendo responsabilidad exclusivamente a los miembros del “Bloque Central Bolívar de las Autodefensas Unidas de Colombia”. </w:t>
      </w:r>
    </w:p>
    <w:p w14:paraId="4F24C743" w14:textId="77777777" w:rsidR="00345DDB" w:rsidRPr="003633BB" w:rsidRDefault="00345DDB" w:rsidP="00434BA7">
      <w:pPr>
        <w:pStyle w:val="parrafos"/>
        <w:rPr>
          <w:rFonts w:ascii="Cambria" w:hAnsi="Cambria"/>
          <w:lang w:val="es-419"/>
        </w:rPr>
      </w:pPr>
    </w:p>
    <w:p w14:paraId="50FD2344" w14:textId="77777777" w:rsidR="00345DDB" w:rsidRPr="003633BB" w:rsidRDefault="00345DDB" w:rsidP="00345DDB">
      <w:pPr>
        <w:pStyle w:val="parrafos"/>
        <w:numPr>
          <w:ilvl w:val="0"/>
          <w:numId w:val="58"/>
        </w:numPr>
        <w:ind w:left="0" w:firstLine="0"/>
        <w:rPr>
          <w:rFonts w:ascii="Cambria" w:hAnsi="Cambria"/>
          <w:lang w:val="es-419"/>
        </w:rPr>
      </w:pPr>
      <w:r w:rsidRPr="003633BB">
        <w:rPr>
          <w:rFonts w:ascii="Cambria" w:hAnsi="Cambria"/>
          <w:lang w:val="es-419"/>
        </w:rPr>
        <w:t>La parte peticionaria consideró que de parte del Estado no existe voluntad de emprender o reabrir las investigaciones penales y disciplinarias sobre la totalidad de las violaciones de derechos humanos declaradas en el informe de fondo, incluidos el secuestro y la tortura de Gildardo Fuentes. Indicó que tampoco se observaba ninguna voluntad de investigar los vínculos y patrones de acción conjunta entre paramilitares, fuerza pública, ni en el esclarecimiento de forma completa de las responsabilidades, tanto de determinadores y coparticipes, y quienes mediante la acción por omisión contribuyeron a las violaciones reconocidas en el informe de fondo.</w:t>
      </w:r>
    </w:p>
    <w:p w14:paraId="1A3EBDF3" w14:textId="3F34CE44" w:rsidR="00345DDB" w:rsidRPr="003633BB" w:rsidRDefault="00345DDB" w:rsidP="00434BA7">
      <w:pPr>
        <w:pStyle w:val="parrafos"/>
        <w:rPr>
          <w:rFonts w:ascii="Cambria" w:hAnsi="Cambria"/>
          <w:lang w:val="es-419"/>
        </w:rPr>
      </w:pPr>
    </w:p>
    <w:p w14:paraId="7409C95F" w14:textId="6AC3C19B" w:rsidR="00345DDB" w:rsidRPr="003633BB" w:rsidRDefault="00345DDB" w:rsidP="00345DDB">
      <w:pPr>
        <w:pStyle w:val="parrafos"/>
        <w:numPr>
          <w:ilvl w:val="0"/>
          <w:numId w:val="58"/>
        </w:numPr>
        <w:ind w:left="0" w:firstLine="0"/>
        <w:rPr>
          <w:rFonts w:ascii="Cambria" w:hAnsi="Cambria"/>
          <w:lang w:val="es-419"/>
        </w:rPr>
      </w:pPr>
      <w:r w:rsidRPr="003633BB">
        <w:rPr>
          <w:rFonts w:ascii="Cambria" w:hAnsi="Cambria"/>
          <w:lang w:val="es-419"/>
        </w:rPr>
        <w:t xml:space="preserve">El Estado indicó que la FGN emitió una orden para ubicar al señor Jesús Ignacio Roldán </w:t>
      </w:r>
      <w:r w:rsidR="009B6A19" w:rsidRPr="003633BB">
        <w:rPr>
          <w:rFonts w:ascii="Cambria" w:hAnsi="Cambria"/>
          <w:lang w:val="es-419"/>
        </w:rPr>
        <w:t>Pérez</w:t>
      </w:r>
      <w:r w:rsidRPr="003633BB">
        <w:rPr>
          <w:rFonts w:ascii="Cambria" w:hAnsi="Cambria"/>
          <w:lang w:val="es-419"/>
        </w:rPr>
        <w:t xml:space="preserve"> y que se logró dar con su localización y la de varios ex integrantes de la denominada Casa Castaño, quienes serían interrogados. </w:t>
      </w:r>
    </w:p>
    <w:p w14:paraId="367F4742" w14:textId="77777777" w:rsidR="00345DDB" w:rsidRPr="003633BB" w:rsidRDefault="00345DDB" w:rsidP="002E7246">
      <w:pPr>
        <w:pStyle w:val="parrafos"/>
        <w:rPr>
          <w:rFonts w:ascii="Cambria" w:hAnsi="Cambria"/>
          <w:lang w:val="es-419"/>
        </w:rPr>
      </w:pPr>
    </w:p>
    <w:p w14:paraId="4BDD91A8" w14:textId="77777777" w:rsidR="00345DDB" w:rsidRPr="003633BB" w:rsidRDefault="00345DDB" w:rsidP="00345DDB">
      <w:pPr>
        <w:pStyle w:val="parrafos"/>
        <w:numPr>
          <w:ilvl w:val="0"/>
          <w:numId w:val="58"/>
        </w:numPr>
        <w:ind w:left="0" w:firstLine="0"/>
        <w:rPr>
          <w:rFonts w:ascii="Cambria" w:hAnsi="Cambria"/>
          <w:lang w:val="es-419"/>
        </w:rPr>
      </w:pPr>
      <w:r w:rsidRPr="003633BB">
        <w:rPr>
          <w:rFonts w:ascii="Cambria" w:hAnsi="Cambria"/>
          <w:lang w:val="es-419"/>
        </w:rPr>
        <w:t xml:space="preserve">Agregó que, en razón de la reunión sostenida con la parte peticionaria, el 1 de junio de 2022, la Fiscalía señaló que puede iniciar una línea de investigación para verificar quienes estaban en posición de garante el día de los hechos. Luego la Fiscalía informó también la posibilidad de abrir una línea de investigación sobre participación de la Fuerza Pública en los hechos. </w:t>
      </w:r>
    </w:p>
    <w:p w14:paraId="0E29BC57" w14:textId="77777777" w:rsidR="00345DDB" w:rsidRPr="003633BB" w:rsidRDefault="00345DDB" w:rsidP="002E7246">
      <w:pPr>
        <w:pStyle w:val="parrafos"/>
        <w:rPr>
          <w:rFonts w:ascii="Cambria" w:hAnsi="Cambria"/>
          <w:lang w:val="es-419"/>
        </w:rPr>
      </w:pPr>
    </w:p>
    <w:p w14:paraId="722B1511" w14:textId="77777777" w:rsidR="00345DDB" w:rsidRPr="003633BB" w:rsidRDefault="00345DDB" w:rsidP="00345DDB">
      <w:pPr>
        <w:pStyle w:val="parrafos"/>
        <w:numPr>
          <w:ilvl w:val="0"/>
          <w:numId w:val="58"/>
        </w:numPr>
        <w:ind w:left="0" w:firstLine="0"/>
        <w:rPr>
          <w:rFonts w:ascii="Cambria" w:hAnsi="Cambria"/>
          <w:lang w:val="es-419"/>
        </w:rPr>
      </w:pPr>
      <w:r w:rsidRPr="003633BB">
        <w:rPr>
          <w:rFonts w:ascii="Cambria" w:hAnsi="Cambria"/>
          <w:lang w:val="es-419"/>
        </w:rPr>
        <w:t xml:space="preserve">El 13 de diciembre de 2022, el Estado agregó que la FGN aclaró que la investigación se encuentra con órdenes a policía judicial en términos de ejecución y sus resultados se evaluarían para adoptar las decisiones correspondientes. </w:t>
      </w:r>
    </w:p>
    <w:p w14:paraId="79D4279B" w14:textId="77777777" w:rsidR="00345DDB" w:rsidRPr="003633BB" w:rsidRDefault="00345DDB" w:rsidP="00900C53">
      <w:pPr>
        <w:pStyle w:val="parrafos"/>
        <w:rPr>
          <w:rFonts w:ascii="Cambria" w:hAnsi="Cambria"/>
          <w:lang w:val="es-419"/>
        </w:rPr>
      </w:pPr>
    </w:p>
    <w:p w14:paraId="5B005E04" w14:textId="22E92867" w:rsidR="00345DDB" w:rsidRPr="003633BB" w:rsidRDefault="00345DDB" w:rsidP="00345DDB">
      <w:pPr>
        <w:pStyle w:val="parrafos"/>
        <w:numPr>
          <w:ilvl w:val="0"/>
          <w:numId w:val="58"/>
        </w:numPr>
        <w:ind w:left="0" w:firstLine="0"/>
        <w:rPr>
          <w:rFonts w:ascii="Cambria" w:hAnsi="Cambria"/>
          <w:lang w:val="es-419"/>
        </w:rPr>
      </w:pPr>
      <w:r w:rsidRPr="003633BB">
        <w:rPr>
          <w:rFonts w:ascii="Cambria" w:hAnsi="Cambria"/>
          <w:lang w:val="es-419"/>
        </w:rPr>
        <w:t xml:space="preserve">En la nota conjunta de 13 de septiembre de 2023, las partes indicaron que </w:t>
      </w:r>
      <w:r w:rsidR="004535A5" w:rsidRPr="003633BB">
        <w:rPr>
          <w:rFonts w:ascii="Cambria" w:hAnsi="Cambria"/>
          <w:lang w:val="es-419"/>
        </w:rPr>
        <w:t xml:space="preserve">las </w:t>
      </w:r>
      <w:r w:rsidRPr="003633BB">
        <w:rPr>
          <w:rFonts w:ascii="Cambria" w:hAnsi="Cambria"/>
          <w:lang w:val="es-419"/>
        </w:rPr>
        <w:t>mesas interinstitucionales</w:t>
      </w:r>
      <w:r w:rsidR="004535A5" w:rsidRPr="003633BB">
        <w:rPr>
          <w:rFonts w:ascii="Cambria" w:hAnsi="Cambria"/>
          <w:lang w:val="es-419"/>
        </w:rPr>
        <w:t xml:space="preserve"> semestrales</w:t>
      </w:r>
      <w:r w:rsidR="00D57C36" w:rsidRPr="003633BB">
        <w:rPr>
          <w:rFonts w:ascii="Cambria" w:hAnsi="Cambria"/>
          <w:lang w:val="es-419"/>
        </w:rPr>
        <w:t xml:space="preserve"> dar</w:t>
      </w:r>
      <w:r w:rsidR="00774B43" w:rsidRPr="003633BB">
        <w:rPr>
          <w:rFonts w:ascii="Cambria" w:hAnsi="Cambria"/>
          <w:lang w:val="es-419"/>
        </w:rPr>
        <w:t>á</w:t>
      </w:r>
      <w:r w:rsidR="00A9222D" w:rsidRPr="003633BB">
        <w:rPr>
          <w:rFonts w:ascii="Cambria" w:hAnsi="Cambria"/>
          <w:lang w:val="es-419"/>
        </w:rPr>
        <w:t>n</w:t>
      </w:r>
      <w:r w:rsidR="00D57C36" w:rsidRPr="003633BB">
        <w:rPr>
          <w:rFonts w:ascii="Cambria" w:hAnsi="Cambria"/>
          <w:lang w:val="es-419"/>
        </w:rPr>
        <w:t xml:space="preserve"> seguimiento y </w:t>
      </w:r>
      <w:r w:rsidR="007A3D7E" w:rsidRPr="003633BB">
        <w:rPr>
          <w:rFonts w:ascii="Cambria" w:hAnsi="Cambria"/>
          <w:lang w:val="es-419"/>
        </w:rPr>
        <w:t xml:space="preserve">se </w:t>
      </w:r>
      <w:r w:rsidRPr="003633BB">
        <w:rPr>
          <w:rFonts w:ascii="Cambria" w:hAnsi="Cambria"/>
          <w:lang w:val="es-419"/>
        </w:rPr>
        <w:t>avanz</w:t>
      </w:r>
      <w:r w:rsidR="007A3D7E" w:rsidRPr="003633BB">
        <w:rPr>
          <w:rFonts w:ascii="Cambria" w:hAnsi="Cambria"/>
          <w:lang w:val="es-419"/>
        </w:rPr>
        <w:t>ará también</w:t>
      </w:r>
      <w:r w:rsidRPr="003633BB">
        <w:rPr>
          <w:rFonts w:ascii="Cambria" w:hAnsi="Cambria"/>
          <w:lang w:val="es-419"/>
        </w:rPr>
        <w:t xml:space="preserve"> en lo que respecta a la investigación</w:t>
      </w:r>
      <w:r w:rsidR="00D57C36" w:rsidRPr="003633BB">
        <w:rPr>
          <w:rFonts w:ascii="Cambria" w:hAnsi="Cambria"/>
          <w:lang w:val="es-419"/>
        </w:rPr>
        <w:t>, con la participación de las víctimas</w:t>
      </w:r>
      <w:r w:rsidR="00DD0985" w:rsidRPr="003633BB">
        <w:rPr>
          <w:rFonts w:ascii="Cambria" w:hAnsi="Cambria"/>
          <w:lang w:val="es-419"/>
        </w:rPr>
        <w:t>.</w:t>
      </w:r>
    </w:p>
    <w:p w14:paraId="3823B145" w14:textId="77777777" w:rsidR="00345DDB" w:rsidRPr="003633BB" w:rsidRDefault="00345DDB" w:rsidP="00900C53">
      <w:pPr>
        <w:pStyle w:val="parrafos"/>
        <w:rPr>
          <w:rFonts w:ascii="Cambria" w:hAnsi="Cambria"/>
          <w:lang w:val="es-419"/>
        </w:rPr>
      </w:pPr>
    </w:p>
    <w:p w14:paraId="4C547A89" w14:textId="296D7B85" w:rsidR="00345DDB" w:rsidRPr="003633BB" w:rsidRDefault="00345DDB" w:rsidP="00345DDB">
      <w:pPr>
        <w:pStyle w:val="parrafos"/>
        <w:numPr>
          <w:ilvl w:val="0"/>
          <w:numId w:val="58"/>
        </w:numPr>
        <w:ind w:left="0" w:firstLine="0"/>
        <w:rPr>
          <w:rFonts w:ascii="Cambria" w:hAnsi="Cambria"/>
          <w:lang w:val="es-419"/>
        </w:rPr>
      </w:pPr>
      <w:r w:rsidRPr="003633BB">
        <w:rPr>
          <w:rFonts w:ascii="Cambria" w:hAnsi="Cambria"/>
          <w:lang w:val="es-419"/>
        </w:rPr>
        <w:t>En el Acuerdo de Cumplimiento, el Estado y l</w:t>
      </w:r>
      <w:r w:rsidR="00A520B1" w:rsidRPr="003633BB">
        <w:rPr>
          <w:rFonts w:ascii="Cambria" w:hAnsi="Cambria"/>
          <w:lang w:val="es-419"/>
        </w:rPr>
        <w:t>a</w:t>
      </w:r>
      <w:r w:rsidRPr="003633BB">
        <w:rPr>
          <w:rFonts w:ascii="Cambria" w:hAnsi="Cambria"/>
          <w:lang w:val="es-419"/>
        </w:rPr>
        <w:t xml:space="preserve"> </w:t>
      </w:r>
      <w:r w:rsidR="00A520B1" w:rsidRPr="003633BB">
        <w:rPr>
          <w:rFonts w:ascii="Cambria" w:hAnsi="Cambria"/>
          <w:lang w:val="es-419"/>
        </w:rPr>
        <w:t xml:space="preserve">parte </w:t>
      </w:r>
      <w:r w:rsidRPr="003633BB">
        <w:rPr>
          <w:rFonts w:ascii="Cambria" w:hAnsi="Cambria"/>
          <w:lang w:val="es-419"/>
        </w:rPr>
        <w:t>peticionari</w:t>
      </w:r>
      <w:r w:rsidR="00A520B1" w:rsidRPr="003633BB">
        <w:rPr>
          <w:rFonts w:ascii="Cambria" w:hAnsi="Cambria"/>
          <w:lang w:val="es-419"/>
        </w:rPr>
        <w:t>a</w:t>
      </w:r>
      <w:r w:rsidRPr="003633BB">
        <w:rPr>
          <w:rFonts w:ascii="Cambria" w:hAnsi="Cambria"/>
          <w:lang w:val="es-419"/>
        </w:rPr>
        <w:t xml:space="preserve"> acordaron que: </w:t>
      </w:r>
    </w:p>
    <w:p w14:paraId="5FEDA4C5" w14:textId="77777777" w:rsidR="00345DDB" w:rsidRPr="003633BB" w:rsidRDefault="00345DDB" w:rsidP="00900C53">
      <w:pPr>
        <w:pStyle w:val="parrafos"/>
        <w:rPr>
          <w:rFonts w:ascii="Cambria" w:hAnsi="Cambria"/>
          <w:lang w:val="es-419"/>
        </w:rPr>
      </w:pPr>
    </w:p>
    <w:p w14:paraId="3AD712F3" w14:textId="663AAB47" w:rsidR="00345DDB" w:rsidRPr="003633BB" w:rsidRDefault="00345DDB" w:rsidP="00A520B1">
      <w:pPr>
        <w:pStyle w:val="parrafos"/>
        <w:ind w:left="360" w:right="1080"/>
        <w:rPr>
          <w:rFonts w:ascii="Cambria" w:hAnsi="Cambria"/>
          <w:sz w:val="18"/>
          <w:szCs w:val="18"/>
          <w:lang w:val="es-419"/>
        </w:rPr>
      </w:pPr>
      <w:bookmarkStart w:id="48" w:name="_Hlk169869968"/>
      <w:r w:rsidRPr="003633BB">
        <w:rPr>
          <w:rFonts w:ascii="Cambria" w:hAnsi="Cambria"/>
          <w:sz w:val="18"/>
          <w:szCs w:val="18"/>
          <w:lang w:val="es-419"/>
        </w:rPr>
        <w:t>La Fiscalía General de la Nación en el marco de sus competencias continuará con la debida diligencia las actuaciones judiciales que permitan el impulso de las investigaciones para lograr el esclarecimiento de los hechos y la posible identificación e individualización de los autores y partícipes de la conducta delictiva que se establezca, adoptando igualmente las decisiones que en derecho correspondan.</w:t>
      </w:r>
    </w:p>
    <w:bookmarkEnd w:id="48"/>
    <w:p w14:paraId="3AA4CBA8" w14:textId="77777777" w:rsidR="002E7246" w:rsidRPr="003633BB" w:rsidRDefault="002E7246" w:rsidP="002E7246">
      <w:pPr>
        <w:pStyle w:val="parrafos"/>
        <w:rPr>
          <w:rFonts w:ascii="Cambria" w:hAnsi="Cambria"/>
          <w:lang w:val="es-419"/>
        </w:rPr>
      </w:pPr>
    </w:p>
    <w:p w14:paraId="7C905C61" w14:textId="3CADC6C0" w:rsidR="008A2AE6" w:rsidRPr="003633BB" w:rsidRDefault="009E4B24" w:rsidP="008105FB">
      <w:pPr>
        <w:pStyle w:val="parrafos"/>
        <w:numPr>
          <w:ilvl w:val="0"/>
          <w:numId w:val="58"/>
        </w:numPr>
        <w:ind w:left="0" w:firstLine="0"/>
        <w:rPr>
          <w:rFonts w:ascii="Cambria" w:eastAsia="Cambria" w:hAnsi="Cambria" w:cs="Cambria"/>
          <w:color w:val="000000"/>
          <w:kern w:val="2"/>
          <w:bdr w:val="none" w:sz="0" w:space="0" w:color="auto"/>
          <w:lang w:val="es-419"/>
          <w14:ligatures w14:val="standardContextual"/>
        </w:rPr>
      </w:pPr>
      <w:r w:rsidRPr="003633BB">
        <w:rPr>
          <w:rFonts w:ascii="Cambria" w:hAnsi="Cambria"/>
          <w:lang w:val="es-419"/>
        </w:rPr>
        <w:t>Con</w:t>
      </w:r>
      <w:r w:rsidR="002E7246" w:rsidRPr="003633BB">
        <w:rPr>
          <w:rFonts w:ascii="Cambria" w:hAnsi="Cambria"/>
          <w:lang w:val="es-419"/>
        </w:rPr>
        <w:t xml:space="preserve"> relación a la </w:t>
      </w:r>
      <w:r w:rsidR="002E7246" w:rsidRPr="003633BB">
        <w:rPr>
          <w:rFonts w:ascii="Cambria" w:hAnsi="Cambria"/>
          <w:b/>
          <w:bCs/>
          <w:lang w:val="es-419"/>
        </w:rPr>
        <w:t>cuarta recomendación,</w:t>
      </w:r>
      <w:r w:rsidR="002E7246" w:rsidRPr="003633BB">
        <w:rPr>
          <w:rFonts w:ascii="Cambria" w:hAnsi="Cambria"/>
          <w:lang w:val="es-419"/>
        </w:rPr>
        <w:t xml:space="preserve"> relativa a </w:t>
      </w:r>
      <w:r w:rsidR="000353A7" w:rsidRPr="003633BB">
        <w:rPr>
          <w:rFonts w:ascii="Cambria" w:hAnsi="Cambria"/>
          <w:lang w:val="es-419"/>
        </w:rPr>
        <w:t xml:space="preserve">la atención en salud </w:t>
      </w:r>
      <w:r w:rsidR="003B174F" w:rsidRPr="003633BB">
        <w:rPr>
          <w:rFonts w:ascii="Cambria" w:hAnsi="Cambria"/>
          <w:lang w:val="es-419"/>
        </w:rPr>
        <w:t>física</w:t>
      </w:r>
      <w:r w:rsidR="000353A7" w:rsidRPr="003633BB">
        <w:rPr>
          <w:rFonts w:ascii="Cambria" w:hAnsi="Cambria"/>
          <w:lang w:val="es-419"/>
        </w:rPr>
        <w:t xml:space="preserve"> y mental, el Estado </w:t>
      </w:r>
      <w:r w:rsidR="00B34F63" w:rsidRPr="003633BB">
        <w:rPr>
          <w:rFonts w:ascii="Cambria" w:hAnsi="Cambria"/>
          <w:lang w:val="es-419"/>
        </w:rPr>
        <w:t xml:space="preserve">manifestó </w:t>
      </w:r>
      <w:r w:rsidR="008A2AE6" w:rsidRPr="003633BB">
        <w:rPr>
          <w:rFonts w:ascii="Cambria" w:eastAsia="Cambria" w:hAnsi="Cambria" w:cs="Cambria"/>
          <w:color w:val="000000"/>
          <w:kern w:val="2"/>
          <w:bdr w:val="none" w:sz="0" w:space="0" w:color="auto"/>
          <w:lang w:val="es-419"/>
          <w14:ligatures w14:val="standardContextual"/>
        </w:rPr>
        <w:t xml:space="preserve">su disposición para llevar a cabo reuniones con el Ministerio de Salud y Protección Social y las víctimas y sus representantes, las cuales tendrían como objetivo dar a conocer el </w:t>
      </w:r>
      <w:r w:rsidR="008A2AE6" w:rsidRPr="003633BB">
        <w:rPr>
          <w:rFonts w:ascii="Cambria" w:eastAsia="Cambria" w:hAnsi="Cambria" w:cs="Cambria"/>
          <w:kern w:val="2"/>
          <w:bdr w:val="none" w:sz="0" w:space="0" w:color="auto"/>
          <w:lang w:val="es-419"/>
          <w14:ligatures w14:val="standardContextual"/>
        </w:rPr>
        <w:t>Programa de Atención Psicosocial y Salud integral de las víctimas (PAPSIVI)</w:t>
      </w:r>
      <w:r w:rsidR="008105FB" w:rsidRPr="003633BB">
        <w:rPr>
          <w:rFonts w:ascii="Cambria" w:eastAsia="Cambria" w:hAnsi="Cambria" w:cs="Cambria"/>
          <w:kern w:val="2"/>
          <w:bdr w:val="none" w:sz="0" w:space="0" w:color="auto"/>
          <w:lang w:val="es-419"/>
          <w14:ligatures w14:val="standardContextual"/>
        </w:rPr>
        <w:t xml:space="preserve">; </w:t>
      </w:r>
      <w:r w:rsidR="008A2AE6" w:rsidRPr="003633BB">
        <w:rPr>
          <w:rFonts w:ascii="Cambria" w:eastAsia="Cambria" w:hAnsi="Cambria" w:cs="Cambria"/>
          <w:color w:val="000000"/>
          <w:kern w:val="2"/>
          <w:bdr w:val="none" w:sz="0" w:space="0" w:color="auto"/>
          <w:lang w:val="es-419"/>
          <w14:ligatures w14:val="standardContextual"/>
        </w:rPr>
        <w:t xml:space="preserve">y absolver las dudas y observaciones que se presenten frente a la ejecución e implementación del mismo. </w:t>
      </w:r>
    </w:p>
    <w:p w14:paraId="493501CE" w14:textId="77777777" w:rsidR="008A2AE6" w:rsidRPr="003633BB" w:rsidRDefault="008A2AE6" w:rsidP="008A2AE6">
      <w:pPr>
        <w:pBdr>
          <w:bar w:val="none" w:sz="0" w:color="auto"/>
        </w:pBdr>
        <w:jc w:val="both"/>
        <w:rPr>
          <w:rFonts w:ascii="Cambria" w:eastAsia="Cambria" w:hAnsi="Cambria" w:cs="Cambria"/>
          <w:kern w:val="2"/>
          <w:sz w:val="20"/>
          <w:szCs w:val="20"/>
          <w:bdr w:val="none" w:sz="0" w:space="0" w:color="auto"/>
          <w:lang w:val="es-419"/>
          <w14:ligatures w14:val="standardContextual"/>
        </w:rPr>
      </w:pPr>
    </w:p>
    <w:p w14:paraId="11930C63" w14:textId="230D945F" w:rsidR="008A2AE6" w:rsidRPr="003633BB" w:rsidRDefault="008A2AE6" w:rsidP="00953A04">
      <w:pPr>
        <w:pStyle w:val="parrafos"/>
        <w:numPr>
          <w:ilvl w:val="0"/>
          <w:numId w:val="58"/>
        </w:numPr>
        <w:ind w:left="0" w:firstLine="0"/>
        <w:rPr>
          <w:rFonts w:ascii="Cambria" w:eastAsia="Cambria" w:hAnsi="Cambria" w:cs="Cambria"/>
          <w:kern w:val="2"/>
          <w:bdr w:val="none" w:sz="0" w:space="0" w:color="auto"/>
          <w:lang w:val="es-419"/>
          <w14:ligatures w14:val="standardContextual"/>
        </w:rPr>
      </w:pPr>
      <w:r w:rsidRPr="003633BB">
        <w:rPr>
          <w:rFonts w:ascii="Cambria" w:eastAsia="Cambria" w:hAnsi="Cambria" w:cs="Cambria"/>
          <w:kern w:val="2"/>
          <w:bdr w:val="none" w:sz="0" w:space="0" w:color="auto"/>
          <w:lang w:val="es-419"/>
          <w14:ligatures w14:val="standardContextual"/>
        </w:rPr>
        <w:t xml:space="preserve">El Estado y la </w:t>
      </w:r>
      <w:r w:rsidRPr="003633BB">
        <w:rPr>
          <w:rFonts w:ascii="Cambria" w:hAnsi="Cambria"/>
          <w:lang w:val="es-419"/>
        </w:rPr>
        <w:t>representación</w:t>
      </w:r>
      <w:r w:rsidRPr="003633BB">
        <w:rPr>
          <w:rFonts w:ascii="Cambria" w:eastAsia="Cambria" w:hAnsi="Cambria" w:cs="Cambria"/>
          <w:kern w:val="2"/>
          <w:bdr w:val="none" w:sz="0" w:space="0" w:color="auto"/>
          <w:lang w:val="es-419"/>
          <w14:ligatures w14:val="standardContextual"/>
        </w:rPr>
        <w:t xml:space="preserve"> de las víctimas sostuvieron una serie de reuniones. A lo largo de 2022 el Estado se refirió individualmente a la situación de salud de las personas que tienen algún asunto</w:t>
      </w:r>
      <w:r w:rsidR="00712982" w:rsidRPr="003633BB">
        <w:rPr>
          <w:rFonts w:ascii="Cambria" w:eastAsia="Cambria" w:hAnsi="Cambria" w:cs="Cambria"/>
          <w:kern w:val="2"/>
          <w:bdr w:val="none" w:sz="0" w:space="0" w:color="auto"/>
          <w:lang w:val="es-419"/>
          <w14:ligatures w14:val="standardContextual"/>
        </w:rPr>
        <w:t xml:space="preserve"> médico</w:t>
      </w:r>
      <w:r w:rsidRPr="003633BB">
        <w:rPr>
          <w:rFonts w:ascii="Cambria" w:eastAsia="Cambria" w:hAnsi="Cambria" w:cs="Cambria"/>
          <w:kern w:val="2"/>
          <w:bdr w:val="none" w:sz="0" w:space="0" w:color="auto"/>
          <w:lang w:val="es-419"/>
          <w14:ligatures w14:val="standardContextual"/>
        </w:rPr>
        <w:t xml:space="preserve"> urgente</w:t>
      </w:r>
      <w:r w:rsidRPr="003633BB">
        <w:rPr>
          <w:rFonts w:ascii="Cambria" w:eastAsia="Cambria" w:hAnsi="Cambria" w:cs="Cambria"/>
          <w:kern w:val="2"/>
          <w:bdr w:val="none" w:sz="0" w:space="0" w:color="auto"/>
          <w:vertAlign w:val="superscript"/>
          <w:lang w:val="es-419"/>
          <w14:ligatures w14:val="standardContextual"/>
        </w:rPr>
        <w:footnoteReference w:id="134"/>
      </w:r>
      <w:r w:rsidRPr="003633BB">
        <w:rPr>
          <w:rFonts w:ascii="Cambria" w:eastAsia="Cambria" w:hAnsi="Cambria" w:cs="Cambria"/>
          <w:kern w:val="2"/>
          <w:bdr w:val="none" w:sz="0" w:space="0" w:color="auto"/>
          <w:lang w:val="es-419"/>
          <w14:ligatures w14:val="standardContextual"/>
        </w:rPr>
        <w:t xml:space="preserve">. </w:t>
      </w:r>
      <w:r w:rsidRPr="003633BB">
        <w:rPr>
          <w:rFonts w:ascii="Cambria" w:eastAsia="Aptos" w:hAnsi="Cambria"/>
          <w:kern w:val="2"/>
          <w:bdr w:val="none" w:sz="0" w:space="0" w:color="auto"/>
          <w:lang w:val="es-419"/>
          <w14:ligatures w14:val="standardContextual"/>
        </w:rPr>
        <w:t xml:space="preserve">Informó también que el 24 de noviembre de 2022 la representación de las víctimas solicitó que se hiciera una valoración sobre la idoneidad y eficacia del mecanismo para tratar situaciones de tienen el carácter de urgencia, y el Estado estuvo en disposición de hacerla. </w:t>
      </w:r>
    </w:p>
    <w:p w14:paraId="779BF6D5" w14:textId="77777777" w:rsidR="008A2AE6" w:rsidRPr="003633BB" w:rsidRDefault="008A2AE6" w:rsidP="006A689C">
      <w:pPr>
        <w:pBdr>
          <w:bar w:val="none" w:sz="0" w:color="auto"/>
        </w:pBdr>
        <w:jc w:val="both"/>
        <w:rPr>
          <w:rFonts w:ascii="Cambria" w:eastAsia="Cambria" w:hAnsi="Cambria" w:cs="Cambria"/>
          <w:color w:val="000000"/>
          <w:kern w:val="2"/>
          <w:sz w:val="20"/>
          <w:szCs w:val="20"/>
          <w:bdr w:val="none" w:sz="0" w:space="0" w:color="auto"/>
          <w:lang w:val="es-419"/>
          <w14:ligatures w14:val="standardContextual"/>
        </w:rPr>
      </w:pPr>
    </w:p>
    <w:p w14:paraId="35594A2E" w14:textId="77777777" w:rsidR="008A2AE6" w:rsidRPr="003633BB" w:rsidRDefault="008A2AE6" w:rsidP="00953A04">
      <w:pPr>
        <w:pStyle w:val="parrafos"/>
        <w:numPr>
          <w:ilvl w:val="0"/>
          <w:numId w:val="58"/>
        </w:numPr>
        <w:ind w:left="0" w:firstLine="0"/>
        <w:rPr>
          <w:rFonts w:ascii="Cambria" w:eastAsia="Cambria" w:hAnsi="Cambria" w:cs="Cambria"/>
          <w:color w:val="000000"/>
          <w:kern w:val="2"/>
          <w:bdr w:val="none" w:sz="0" w:space="0" w:color="auto"/>
          <w:lang w:val="es-419"/>
          <w14:ligatures w14:val="standardContextual"/>
        </w:rPr>
      </w:pPr>
      <w:r w:rsidRPr="003633BB">
        <w:rPr>
          <w:rFonts w:ascii="Cambria" w:eastAsia="Cambria" w:hAnsi="Cambria" w:cs="Cambria"/>
          <w:color w:val="000000"/>
          <w:kern w:val="2"/>
          <w:bdr w:val="none" w:sz="0" w:space="0" w:color="auto"/>
          <w:lang w:val="es-419"/>
          <w14:ligatures w14:val="standardContextual"/>
        </w:rPr>
        <w:t xml:space="preserve">En su nota </w:t>
      </w:r>
      <w:r w:rsidRPr="003633BB">
        <w:rPr>
          <w:rFonts w:ascii="Cambria" w:hAnsi="Cambria"/>
          <w:lang w:val="es-419"/>
        </w:rPr>
        <w:t>conjunta</w:t>
      </w:r>
      <w:r w:rsidRPr="003633BB">
        <w:rPr>
          <w:rFonts w:ascii="Cambria" w:eastAsia="Cambria" w:hAnsi="Cambria" w:cs="Cambria"/>
          <w:color w:val="000000"/>
          <w:kern w:val="2"/>
          <w:bdr w:val="none" w:sz="0" w:space="0" w:color="auto"/>
          <w:lang w:val="es-419"/>
          <w14:ligatures w14:val="standardContextual"/>
        </w:rPr>
        <w:t xml:space="preserve"> del 13 de junio de 2023, las partes recordaron que esta medida ha sido de difícil implementación por lo que se han concertado el desarrollo de reuniones interinstitucionales con participación de: Ministerio de Salud, Superintendencia de Salud, EPS e IPS, representantes, familiares y la ANDJE, con el objetivo de identificar los principales obstáculos y barreras de acceso y gestionar a través de ruta de trabajo con cronograma la superación de los obstáculos y el avance en la implementación de la medida en materia de salud. </w:t>
      </w:r>
    </w:p>
    <w:p w14:paraId="3D7FA9D7" w14:textId="77777777" w:rsidR="008A2AE6" w:rsidRPr="003633BB" w:rsidRDefault="008A2AE6" w:rsidP="008A2AE6">
      <w:pPr>
        <w:pBdr>
          <w:bar w:val="none" w:sz="0" w:color="auto"/>
        </w:pBdr>
        <w:ind w:hanging="2"/>
        <w:jc w:val="both"/>
        <w:rPr>
          <w:rFonts w:ascii="Cambria" w:eastAsia="Cambria" w:hAnsi="Cambria" w:cs="Cambria"/>
          <w:color w:val="000000"/>
          <w:kern w:val="2"/>
          <w:sz w:val="20"/>
          <w:szCs w:val="20"/>
          <w:bdr w:val="none" w:sz="0" w:space="0" w:color="auto"/>
          <w:lang w:val="es-419"/>
          <w14:ligatures w14:val="standardContextual"/>
        </w:rPr>
      </w:pPr>
    </w:p>
    <w:p w14:paraId="65A382DB" w14:textId="77777777" w:rsidR="008A2AE6" w:rsidRPr="003633BB" w:rsidRDefault="008A2AE6" w:rsidP="00AD7663">
      <w:pPr>
        <w:pStyle w:val="parrafos"/>
        <w:numPr>
          <w:ilvl w:val="0"/>
          <w:numId w:val="58"/>
        </w:numPr>
        <w:ind w:left="0" w:firstLine="0"/>
        <w:rPr>
          <w:rFonts w:ascii="Cambria" w:eastAsia="Aptos" w:hAnsi="Cambria"/>
          <w:kern w:val="2"/>
          <w:bdr w:val="none" w:sz="0" w:space="0" w:color="auto"/>
          <w:lang w:val="es-419"/>
          <w14:ligatures w14:val="standardContextual"/>
        </w:rPr>
      </w:pPr>
      <w:r w:rsidRPr="003633BB">
        <w:rPr>
          <w:rFonts w:ascii="Cambria" w:eastAsia="Cambria" w:hAnsi="Cambria" w:cs="Cambria"/>
          <w:color w:val="000000"/>
          <w:kern w:val="2"/>
          <w:bdr w:val="none" w:sz="0" w:space="0" w:color="auto"/>
          <w:lang w:val="es-419"/>
          <w14:ligatures w14:val="standardContextual"/>
        </w:rPr>
        <w:t xml:space="preserve">En su nota conjunta del 13 de septiembre de 2023, las partes indicaron que </w:t>
      </w:r>
      <w:r w:rsidRPr="003633BB">
        <w:rPr>
          <w:rFonts w:ascii="Cambria" w:eastAsia="Aptos" w:hAnsi="Cambria"/>
          <w:kern w:val="2"/>
          <w:bdr w:val="none" w:sz="0" w:space="0" w:color="auto"/>
          <w:lang w:val="es-419"/>
          <w14:ligatures w14:val="standardContextual"/>
        </w:rPr>
        <w:t xml:space="preserve">producto de las mesas técnicas desarrolladas para superar las barreras en la atención y acceso a los servicios de salud, se ha logrado la prestación del servicio de manera más adecuada a las necesidades y expectativas de los familiares. Asimismo, afirmaron que los familiares de las víctimas autorizaron la implementación del PAPSIVI y por consiguiente su identificación en las IPS y EPS en las que se encuentran afiliados para su atención bajo los criterios diferenciales de este programa. </w:t>
      </w:r>
    </w:p>
    <w:p w14:paraId="4CDFFF06" w14:textId="77777777" w:rsidR="008A2AE6" w:rsidRPr="003633BB" w:rsidRDefault="008A2AE6" w:rsidP="008A2AE6">
      <w:pPr>
        <w:pBdr>
          <w:bar w:val="none" w:sz="0" w:color="auto"/>
        </w:pBdr>
        <w:ind w:hanging="2"/>
        <w:rPr>
          <w:rFonts w:ascii="Cambria" w:eastAsia="Aptos" w:hAnsi="Cambria"/>
          <w:kern w:val="2"/>
          <w:sz w:val="20"/>
          <w:szCs w:val="20"/>
          <w:bdr w:val="none" w:sz="0" w:space="0" w:color="auto"/>
          <w:lang w:val="es-419"/>
          <w14:ligatures w14:val="standardContextual"/>
        </w:rPr>
      </w:pPr>
    </w:p>
    <w:p w14:paraId="48475F7F" w14:textId="51B6B6FE" w:rsidR="008A2AE6" w:rsidRPr="003633BB" w:rsidRDefault="008A2AE6" w:rsidP="00C931CE">
      <w:pPr>
        <w:pStyle w:val="parrafos"/>
        <w:numPr>
          <w:ilvl w:val="0"/>
          <w:numId w:val="58"/>
        </w:numPr>
        <w:ind w:left="0" w:firstLine="0"/>
        <w:rPr>
          <w:rFonts w:ascii="Cambria" w:eastAsia="Aptos" w:hAnsi="Cambria" w:cs="Verdana"/>
          <w:color w:val="000000"/>
          <w:bdr w:val="none" w:sz="0" w:space="0" w:color="auto"/>
          <w:lang w:val="es-419"/>
        </w:rPr>
      </w:pPr>
      <w:r w:rsidRPr="003633BB">
        <w:rPr>
          <w:rFonts w:ascii="Cambria" w:eastAsia="Aptos" w:hAnsi="Cambria" w:cs="Verdana"/>
          <w:color w:val="000000"/>
          <w:bdr w:val="none" w:sz="0" w:space="0" w:color="auto"/>
          <w:lang w:val="es-419"/>
        </w:rPr>
        <w:t xml:space="preserve">El 18 de </w:t>
      </w:r>
      <w:r w:rsidRPr="003633BB">
        <w:rPr>
          <w:rFonts w:ascii="Cambria" w:eastAsia="Cambria" w:hAnsi="Cambria" w:cs="Cambria"/>
          <w:color w:val="000000"/>
          <w:kern w:val="2"/>
          <w:bdr w:val="none" w:sz="0" w:space="0" w:color="auto"/>
          <w:lang w:val="es-419"/>
          <w14:ligatures w14:val="standardContextual"/>
        </w:rPr>
        <w:t>diciembre</w:t>
      </w:r>
      <w:r w:rsidRPr="003633BB">
        <w:rPr>
          <w:rFonts w:ascii="Cambria" w:eastAsia="Aptos" w:hAnsi="Cambria" w:cs="Verdana"/>
          <w:color w:val="000000"/>
          <w:bdr w:val="none" w:sz="0" w:space="0" w:color="auto"/>
          <w:lang w:val="es-419"/>
        </w:rPr>
        <w:t xml:space="preserve"> de 2023, el Estado informó que para el cumplimiento de esta recomendación, el Ministerio de Salud y Protección Social realizó tres jornadas de trabajo con los familiares el 23 de junio de 2023, el 11 de julio de 2023 y el 10 de agosto de 2023 en las que los familiares aceptaron iniciar la implementación del PAPSIVI. </w:t>
      </w:r>
    </w:p>
    <w:p w14:paraId="75276E90" w14:textId="77777777" w:rsidR="008A2AE6" w:rsidRPr="003633BB" w:rsidRDefault="008A2AE6" w:rsidP="008A2AE6">
      <w:pPr>
        <w:pBdr>
          <w:bar w:val="none" w:sz="0" w:color="auto"/>
        </w:pBdr>
        <w:jc w:val="both"/>
        <w:rPr>
          <w:rFonts w:ascii="Cambria" w:eastAsia="Aptos" w:hAnsi="Cambria"/>
          <w:kern w:val="2"/>
          <w:sz w:val="20"/>
          <w:szCs w:val="20"/>
          <w:bdr w:val="none" w:sz="0" w:space="0" w:color="auto"/>
          <w:lang w:val="es-419"/>
          <w14:ligatures w14:val="standardContextual"/>
        </w:rPr>
      </w:pPr>
    </w:p>
    <w:p w14:paraId="04C98BF1" w14:textId="71E271A1" w:rsidR="008A2AE6" w:rsidRPr="003633BB" w:rsidRDefault="008A2AE6" w:rsidP="00C931CE">
      <w:pPr>
        <w:pStyle w:val="parrafos"/>
        <w:numPr>
          <w:ilvl w:val="0"/>
          <w:numId w:val="58"/>
        </w:numPr>
        <w:ind w:left="0" w:firstLine="0"/>
        <w:rPr>
          <w:rFonts w:ascii="Cambria" w:eastAsia="Aptos" w:hAnsi="Cambria"/>
          <w:kern w:val="2"/>
          <w:bdr w:val="none" w:sz="0" w:space="0" w:color="auto"/>
          <w:lang w:val="es-419"/>
          <w14:ligatures w14:val="standardContextual"/>
        </w:rPr>
      </w:pPr>
      <w:r w:rsidRPr="003633BB">
        <w:rPr>
          <w:rFonts w:ascii="Cambria" w:eastAsia="Aptos" w:hAnsi="Cambria"/>
          <w:kern w:val="2"/>
          <w:bdr w:val="none" w:sz="0" w:space="0" w:color="auto"/>
          <w:lang w:val="es-419"/>
          <w14:ligatures w14:val="standardContextual"/>
        </w:rPr>
        <w:t xml:space="preserve">En el Acuerdo de </w:t>
      </w:r>
      <w:r w:rsidRPr="003633BB">
        <w:rPr>
          <w:rFonts w:ascii="Cambria" w:eastAsia="Cambria" w:hAnsi="Cambria" w:cs="Cambria"/>
          <w:color w:val="000000"/>
          <w:kern w:val="2"/>
          <w:bdr w:val="none" w:sz="0" w:space="0" w:color="auto"/>
          <w:lang w:val="es-419"/>
          <w14:ligatures w14:val="standardContextual"/>
        </w:rPr>
        <w:t>Cumplimiento</w:t>
      </w:r>
      <w:r w:rsidRPr="003633BB">
        <w:rPr>
          <w:rFonts w:ascii="Cambria" w:eastAsia="Aptos" w:hAnsi="Cambria"/>
          <w:kern w:val="2"/>
          <w:bdr w:val="none" w:sz="0" w:space="0" w:color="auto"/>
          <w:lang w:val="es-419"/>
          <w14:ligatures w14:val="standardContextual"/>
        </w:rPr>
        <w:t xml:space="preserve">, el Estado y la parte peticionaria acordaron que el </w:t>
      </w:r>
      <w:bookmarkStart w:id="49" w:name="_Hlk169869853"/>
      <w:r w:rsidRPr="003633BB">
        <w:rPr>
          <w:rFonts w:ascii="Cambria" w:eastAsia="Aptos" w:hAnsi="Cambria"/>
          <w:kern w:val="2"/>
          <w:bdr w:val="none" w:sz="0" w:space="0" w:color="auto"/>
          <w:lang w:val="es-419"/>
          <w14:ligatures w14:val="standardContextual"/>
        </w:rPr>
        <w:t>Ministerio de Salud y Protección Social coordinará las medidas de atención y rehabilitación en salud constitutivas de una atención médica, psicológica y psicosocial a través del Sistema General de Seguridad</w:t>
      </w:r>
      <w:bookmarkEnd w:id="49"/>
      <w:r w:rsidRPr="003633BB">
        <w:rPr>
          <w:rFonts w:ascii="Cambria" w:eastAsia="Aptos" w:hAnsi="Cambria"/>
          <w:kern w:val="2"/>
          <w:bdr w:val="none" w:sz="0" w:space="0" w:color="auto"/>
          <w:lang w:val="es-419"/>
          <w14:ligatures w14:val="standardContextual"/>
        </w:rPr>
        <w:t xml:space="preserve"> Social en Salud y sus integrantes, así como del PAPSIVI, de manera que se garantice un tratamiento adecuado, oportuno y prioritario y por el tiempo que sea necesario.</w:t>
      </w:r>
      <w:r w:rsidRPr="003633BB">
        <w:rPr>
          <w:rFonts w:ascii="Aptos" w:eastAsia="Aptos" w:hAnsi="Aptos"/>
          <w:kern w:val="2"/>
          <w:sz w:val="22"/>
          <w:szCs w:val="22"/>
          <w:bdr w:val="none" w:sz="0" w:space="0" w:color="auto"/>
          <w:lang w:val="es-419"/>
          <w14:ligatures w14:val="standardContextual"/>
        </w:rPr>
        <w:t xml:space="preserve"> </w:t>
      </w:r>
      <w:r w:rsidRPr="003633BB">
        <w:rPr>
          <w:rFonts w:ascii="Cambria" w:eastAsia="Aptos" w:hAnsi="Cambria"/>
          <w:kern w:val="2"/>
          <w:bdr w:val="none" w:sz="0" w:space="0" w:color="auto"/>
          <w:lang w:val="es-419"/>
          <w14:ligatures w14:val="standardContextual"/>
        </w:rPr>
        <w:t>Para el seguimiento de esta medida, las partes establecieron que se realizará una reunión trimestral convocada por el Ministerio de Salud y Protección Social con participación de los representantes, familiares y la ANDJE y que, en el evento de presentarse una situación de urgencia se podrá solicitar al Ministerio de Salud y Protección Social convocar a reunión extraordinaria.</w:t>
      </w:r>
    </w:p>
    <w:p w14:paraId="430A5951" w14:textId="77777777" w:rsidR="008A2AE6" w:rsidRPr="003633BB" w:rsidRDefault="008A2AE6" w:rsidP="008A2AE6">
      <w:pPr>
        <w:pBdr>
          <w:bar w:val="none" w:sz="0" w:color="auto"/>
        </w:pBdr>
        <w:ind w:hanging="2"/>
        <w:jc w:val="both"/>
        <w:rPr>
          <w:rFonts w:ascii="Cambria" w:eastAsia="Cambria" w:hAnsi="Cambria" w:cs="Cambria"/>
          <w:color w:val="000000"/>
          <w:kern w:val="2"/>
          <w:sz w:val="20"/>
          <w:szCs w:val="20"/>
          <w:bdr w:val="none" w:sz="0" w:space="0" w:color="auto"/>
          <w:lang w:val="es-419"/>
          <w14:ligatures w14:val="standardContextual"/>
        </w:rPr>
      </w:pPr>
    </w:p>
    <w:p w14:paraId="2F20CABE" w14:textId="2644BE3F" w:rsidR="001C5E17" w:rsidRPr="003633BB" w:rsidRDefault="008A2AE6" w:rsidP="00C931CE">
      <w:pPr>
        <w:pStyle w:val="parrafos"/>
        <w:numPr>
          <w:ilvl w:val="0"/>
          <w:numId w:val="58"/>
        </w:numPr>
        <w:ind w:left="0" w:firstLine="0"/>
        <w:rPr>
          <w:rFonts w:ascii="Cambria" w:eastAsia="Cambria" w:hAnsi="Cambria" w:cs="Cambria"/>
          <w:color w:val="000000"/>
          <w:kern w:val="2"/>
          <w:bdr w:val="none" w:sz="0" w:space="0" w:color="auto"/>
          <w:lang w:val="es-419"/>
          <w14:ligatures w14:val="standardContextual"/>
        </w:rPr>
      </w:pPr>
      <w:r w:rsidRPr="003633BB">
        <w:rPr>
          <w:rFonts w:ascii="Cambria" w:eastAsia="Aptos" w:hAnsi="Cambria"/>
          <w:kern w:val="2"/>
          <w:bdr w:val="none" w:sz="0" w:space="0" w:color="auto"/>
          <w:lang w:val="es-419"/>
          <w14:ligatures w14:val="standardContextual"/>
        </w:rPr>
        <w:t xml:space="preserve">El 12 de junio de 2024, el Estado informó que el Ministerio de Salud y Protección Social acompañó el caso grave de salud del señor Hernán Quiroga Medina. Además, el Estado informó que desde el Ministerio de Salud y </w:t>
      </w:r>
      <w:r w:rsidRPr="003633BB">
        <w:rPr>
          <w:rFonts w:ascii="Cambria" w:eastAsia="Aptos" w:hAnsi="Cambria"/>
          <w:kern w:val="2"/>
          <w:bdr w:val="none" w:sz="0" w:space="0" w:color="auto"/>
          <w:lang w:val="es-419"/>
          <w14:ligatures w14:val="standardContextual"/>
        </w:rPr>
        <w:lastRenderedPageBreak/>
        <w:t>Protección Social con acompañamiento de la Superintendencia de Salud se encuentran en proceso de</w:t>
      </w:r>
      <w:r w:rsidRPr="003633BB">
        <w:rPr>
          <w:rFonts w:ascii="Aptos" w:eastAsia="Aptos" w:hAnsi="Aptos"/>
          <w:kern w:val="2"/>
          <w:sz w:val="22"/>
          <w:szCs w:val="22"/>
          <w:bdr w:val="none" w:sz="0" w:space="0" w:color="auto"/>
          <w:lang w:val="es-419"/>
          <w14:ligatures w14:val="standardContextual"/>
        </w:rPr>
        <w:t xml:space="preserve"> </w:t>
      </w:r>
      <w:r w:rsidRPr="003633BB">
        <w:rPr>
          <w:rFonts w:ascii="Cambria" w:eastAsia="Aptos" w:hAnsi="Cambria"/>
          <w:kern w:val="2"/>
          <w:bdr w:val="none" w:sz="0" w:space="0" w:color="auto"/>
          <w:lang w:val="es-419"/>
          <w14:ligatures w14:val="standardContextual"/>
        </w:rPr>
        <w:t>superación de barreras de acceso identificadas y el acompañamiento al trámite de traslado de EPS de los familiare</w:t>
      </w:r>
      <w:r w:rsidR="008105FB" w:rsidRPr="003633BB">
        <w:rPr>
          <w:rFonts w:ascii="Cambria" w:eastAsia="Aptos" w:hAnsi="Cambria"/>
          <w:kern w:val="2"/>
          <w:bdr w:val="none" w:sz="0" w:space="0" w:color="auto"/>
          <w:lang w:val="es-419"/>
          <w14:ligatures w14:val="standardContextual"/>
        </w:rPr>
        <w:t>s.</w:t>
      </w:r>
    </w:p>
    <w:p w14:paraId="17336CC3" w14:textId="77777777" w:rsidR="00D16575" w:rsidRPr="003633BB" w:rsidRDefault="00D16575" w:rsidP="00D16575">
      <w:pPr>
        <w:pStyle w:val="ListParagraph"/>
        <w:rPr>
          <w:rFonts w:ascii="Cambria" w:eastAsia="Cambria" w:hAnsi="Cambria" w:cs="Cambria"/>
          <w:color w:val="000000"/>
          <w:kern w:val="2"/>
          <w:bdr w:val="none" w:sz="0" w:space="0" w:color="auto"/>
          <w:lang w:val="es-419"/>
          <w14:ligatures w14:val="standardContextual"/>
        </w:rPr>
      </w:pPr>
    </w:p>
    <w:p w14:paraId="5F9884F4" w14:textId="02F73828" w:rsidR="00E278C2" w:rsidRPr="003633BB" w:rsidRDefault="00D16575" w:rsidP="00E278C2">
      <w:pPr>
        <w:pStyle w:val="parrafos"/>
        <w:numPr>
          <w:ilvl w:val="0"/>
          <w:numId w:val="58"/>
        </w:numPr>
        <w:ind w:left="0" w:firstLine="0"/>
        <w:textDirection w:val="btLr"/>
        <w:rPr>
          <w:rFonts w:ascii="Cambria" w:eastAsia="Cambria" w:hAnsi="Cambria" w:cs="Cambria"/>
          <w:color w:val="000000"/>
          <w:position w:val="-1"/>
          <w:lang w:val="es-419"/>
        </w:rPr>
      </w:pPr>
      <w:r w:rsidRPr="003633BB">
        <w:rPr>
          <w:rFonts w:ascii="Cambria" w:eastAsia="Cambria" w:hAnsi="Cambria" w:cs="Cambria"/>
          <w:color w:val="000000"/>
          <w:kern w:val="2"/>
          <w:bdr w:val="none" w:sz="0" w:space="0" w:color="auto"/>
          <w:lang w:val="es-419"/>
          <w14:ligatures w14:val="standardContextual"/>
        </w:rPr>
        <w:t xml:space="preserve">En </w:t>
      </w:r>
      <w:r w:rsidRPr="003633BB">
        <w:rPr>
          <w:rFonts w:ascii="Cambria" w:eastAsia="Cambria" w:hAnsi="Cambria" w:cs="Cambria"/>
          <w:position w:val="-1"/>
          <w:lang w:val="es-419"/>
        </w:rPr>
        <w:t>relación</w:t>
      </w:r>
      <w:r w:rsidRPr="003633BB">
        <w:rPr>
          <w:rFonts w:ascii="Cambria" w:eastAsia="Cambria" w:hAnsi="Cambria" w:cs="Cambria"/>
          <w:color w:val="000000"/>
          <w:kern w:val="2"/>
          <w:bdr w:val="none" w:sz="0" w:space="0" w:color="auto"/>
          <w:lang w:val="es-419"/>
          <w14:ligatures w14:val="standardContextual"/>
        </w:rPr>
        <w:t xml:space="preserve"> a la </w:t>
      </w:r>
      <w:r w:rsidRPr="003633BB">
        <w:rPr>
          <w:rFonts w:ascii="Cambria" w:eastAsia="Cambria" w:hAnsi="Cambria" w:cs="Cambria"/>
          <w:b/>
          <w:bCs/>
          <w:color w:val="000000"/>
          <w:kern w:val="2"/>
          <w:bdr w:val="none" w:sz="0" w:space="0" w:color="auto"/>
          <w:lang w:val="es-419"/>
          <w14:ligatures w14:val="standardContextual"/>
        </w:rPr>
        <w:t>quinta recomendación</w:t>
      </w:r>
      <w:r w:rsidRPr="003633BB">
        <w:rPr>
          <w:rFonts w:ascii="Cambria" w:eastAsia="Cambria" w:hAnsi="Cambria" w:cs="Cambria"/>
          <w:color w:val="000000"/>
          <w:kern w:val="2"/>
          <w:bdr w:val="none" w:sz="0" w:space="0" w:color="auto"/>
          <w:lang w:val="es-419"/>
          <w14:ligatures w14:val="standardContextual"/>
        </w:rPr>
        <w:t xml:space="preserve"> relativa a </w:t>
      </w:r>
      <w:r w:rsidR="0019137D" w:rsidRPr="003633BB">
        <w:rPr>
          <w:rFonts w:ascii="Cambria" w:eastAsia="Cambria" w:hAnsi="Cambria" w:cs="Cambria"/>
          <w:color w:val="000000"/>
          <w:kern w:val="2"/>
          <w:bdr w:val="none" w:sz="0" w:space="0" w:color="auto"/>
          <w:lang w:val="es-419"/>
          <w14:ligatures w14:val="standardContextual"/>
        </w:rPr>
        <w:t xml:space="preserve">las medidas </w:t>
      </w:r>
      <w:r w:rsidR="00C473D6" w:rsidRPr="003633BB">
        <w:rPr>
          <w:rFonts w:ascii="Cambria" w:eastAsia="Cambria" w:hAnsi="Cambria" w:cs="Cambria"/>
          <w:color w:val="000000"/>
          <w:kern w:val="2"/>
          <w:bdr w:val="none" w:sz="0" w:space="0" w:color="auto"/>
          <w:lang w:val="es-419"/>
          <w14:ligatures w14:val="standardContextual"/>
        </w:rPr>
        <w:t>de no repetición</w:t>
      </w:r>
      <w:r w:rsidR="0019137D" w:rsidRPr="003633BB">
        <w:rPr>
          <w:rFonts w:ascii="Cambria" w:eastAsia="Cambria" w:hAnsi="Cambria" w:cs="Cambria"/>
          <w:color w:val="000000"/>
          <w:kern w:val="2"/>
          <w:bdr w:val="none" w:sz="0" w:space="0" w:color="auto"/>
          <w:lang w:val="es-419"/>
          <w14:ligatures w14:val="standardContextual"/>
        </w:rPr>
        <w:t xml:space="preserve">, </w:t>
      </w:r>
      <w:r w:rsidR="008D4B2F" w:rsidRPr="003633BB">
        <w:rPr>
          <w:rFonts w:ascii="Cambria" w:eastAsia="Cambria" w:hAnsi="Cambria" w:cs="Cambria"/>
          <w:color w:val="000000"/>
          <w:kern w:val="2"/>
          <w:bdr w:val="none" w:sz="0" w:space="0" w:color="auto"/>
          <w:lang w:val="es-419"/>
          <w14:ligatures w14:val="standardContextual"/>
        </w:rPr>
        <w:t xml:space="preserve">particularmente el </w:t>
      </w:r>
      <w:r w:rsidR="00105994" w:rsidRPr="003633BB">
        <w:rPr>
          <w:rFonts w:ascii="Cambria" w:eastAsia="Cambria" w:hAnsi="Cambria" w:cs="Cambria"/>
          <w:color w:val="000000"/>
          <w:position w:val="-1"/>
          <w:bdr w:val="none" w:sz="0" w:space="0" w:color="auto"/>
          <w:lang w:val="es-419"/>
        </w:rPr>
        <w:t>fortalecimiento de: i) la capacidad investigativa de contextos y patrones de actuación conjunta entre agentes estatales y grupos armados ilegales en la zona donde ocurrieron los hechos del presente caso y ii) de mecanismos de protección para las y los defensores de derechos humanos que defienden o promueven causas en la zona en la que ocurrieron los hechos del presente caso</w:t>
      </w:r>
      <w:r w:rsidR="002300EA" w:rsidRPr="003633BB">
        <w:rPr>
          <w:rFonts w:ascii="Cambria" w:eastAsia="Cambria" w:hAnsi="Cambria" w:cs="Cambria"/>
          <w:color w:val="000000"/>
          <w:position w:val="-1"/>
          <w:bdr w:val="none" w:sz="0" w:space="0" w:color="auto"/>
          <w:lang w:val="es-419"/>
        </w:rPr>
        <w:t xml:space="preserve">; </w:t>
      </w:r>
      <w:r w:rsidR="00E278C2" w:rsidRPr="003633BB">
        <w:rPr>
          <w:rFonts w:ascii="Cambria" w:eastAsia="Cambria" w:hAnsi="Cambria" w:cs="Cambria"/>
          <w:color w:val="000000"/>
          <w:position w:val="-1"/>
          <w:lang w:val="es-419"/>
        </w:rPr>
        <w:t>respecto del apartado i)</w:t>
      </w:r>
      <w:r w:rsidR="00E278C2" w:rsidRPr="003633BB">
        <w:rPr>
          <w:rFonts w:ascii="Cambria" w:eastAsia="Cambria" w:hAnsi="Cambria" w:cs="Cambria"/>
          <w:color w:val="000000"/>
          <w:lang w:val="es-419"/>
        </w:rPr>
        <w:t xml:space="preserve"> </w:t>
      </w:r>
      <w:r w:rsidR="00E278C2" w:rsidRPr="003633BB">
        <w:rPr>
          <w:rFonts w:ascii="Cambria" w:eastAsia="Cambria" w:hAnsi="Cambria" w:cs="Cambria"/>
          <w:color w:val="000000"/>
          <w:position w:val="-1"/>
          <w:lang w:val="es-419"/>
        </w:rPr>
        <w:t xml:space="preserve">el Estado informó que se avanzó en el esclarecimiento de “patrones de macrocriminalidad” y en la develación de contextos, causas y motivos de los actos de los grupos armados organizados. Indicó que se logró identificar las redes de apoyo y financiación de estos grupos y que para esto la Sala de Definición de Situaciones Jurídicas ha implementado una metodología de investigación específica, con el objetivo de asociar los casos que compartan dinámicas delictivas comunes y tramitarlos conforme los parámetros de investigación y procesos de hechos identificados como crímenes internacionales. </w:t>
      </w:r>
    </w:p>
    <w:p w14:paraId="7931728F" w14:textId="77777777" w:rsidR="00E278C2" w:rsidRPr="003633BB" w:rsidRDefault="00E278C2" w:rsidP="00E278C2">
      <w:pPr>
        <w:suppressAutoHyphens/>
        <w:ind w:leftChars="-1" w:hangingChars="1" w:hanging="2"/>
        <w:jc w:val="both"/>
        <w:textDirection w:val="btLr"/>
        <w:textAlignment w:val="top"/>
        <w:outlineLvl w:val="0"/>
        <w:rPr>
          <w:rFonts w:ascii="Cambria" w:eastAsia="Cambria" w:hAnsi="Cambria" w:cs="Cambria"/>
          <w:color w:val="000000"/>
          <w:position w:val="-1"/>
          <w:sz w:val="20"/>
          <w:szCs w:val="20"/>
          <w:lang w:val="es-419"/>
        </w:rPr>
      </w:pPr>
    </w:p>
    <w:p w14:paraId="7904C3B1" w14:textId="77777777" w:rsidR="00E278C2" w:rsidRPr="003633BB" w:rsidRDefault="00E278C2" w:rsidP="00E278C2">
      <w:pPr>
        <w:pStyle w:val="parrafos"/>
        <w:numPr>
          <w:ilvl w:val="0"/>
          <w:numId w:val="58"/>
        </w:numPr>
        <w:ind w:left="0" w:firstLine="0"/>
        <w:textDirection w:val="btLr"/>
        <w:rPr>
          <w:rFonts w:ascii="Cambria" w:eastAsia="Cambria" w:hAnsi="Cambria" w:cs="Cambria"/>
          <w:color w:val="000000"/>
          <w:position w:val="-1"/>
          <w:lang w:val="es-419"/>
        </w:rPr>
      </w:pPr>
      <w:r w:rsidRPr="003633BB">
        <w:rPr>
          <w:rFonts w:ascii="Cambria" w:eastAsia="Cambria" w:hAnsi="Cambria" w:cs="Cambria"/>
          <w:color w:val="000000"/>
          <w:position w:val="-1"/>
          <w:lang w:val="es-419"/>
        </w:rPr>
        <w:t xml:space="preserve">El Estado </w:t>
      </w:r>
      <w:r w:rsidRPr="003633BB">
        <w:rPr>
          <w:rFonts w:ascii="Cambria" w:eastAsia="Cambria" w:hAnsi="Cambria" w:cs="Cambria"/>
          <w:position w:val="-1"/>
          <w:lang w:val="es-419"/>
        </w:rPr>
        <w:t>refirió</w:t>
      </w:r>
      <w:r w:rsidRPr="003633BB">
        <w:rPr>
          <w:rFonts w:ascii="Cambria" w:eastAsia="Cambria" w:hAnsi="Cambria" w:cs="Cambria"/>
          <w:color w:val="000000"/>
          <w:position w:val="-1"/>
          <w:lang w:val="es-419"/>
        </w:rPr>
        <w:t xml:space="preserve"> que en la Sentencia C-080 de 2018, la Corte Constitucional dispuso que es atribución de la Jurisdicción Especial para la Paz identificar el contexto de los hechos, los patrones que explican su comisión, definir el ámbito territorial y temporal, e identificar la estructura de las organizaciones involucradas en el planeamiento y ejecución de los crímenes. </w:t>
      </w:r>
    </w:p>
    <w:p w14:paraId="46D4654C" w14:textId="77777777" w:rsidR="00E278C2" w:rsidRPr="003633BB" w:rsidRDefault="00E278C2" w:rsidP="00E278C2">
      <w:pPr>
        <w:suppressAutoHyphens/>
        <w:ind w:leftChars="-1" w:hangingChars="1" w:hanging="2"/>
        <w:jc w:val="both"/>
        <w:textDirection w:val="btLr"/>
        <w:textAlignment w:val="top"/>
        <w:outlineLvl w:val="0"/>
        <w:rPr>
          <w:rFonts w:ascii="Cambria" w:eastAsia="Cambria" w:hAnsi="Cambria" w:cs="Cambria"/>
          <w:color w:val="000000"/>
          <w:position w:val="-1"/>
          <w:sz w:val="20"/>
          <w:szCs w:val="20"/>
          <w:lang w:val="es-419"/>
        </w:rPr>
      </w:pPr>
    </w:p>
    <w:p w14:paraId="5D3EE229" w14:textId="77777777" w:rsidR="00E278C2" w:rsidRPr="003633BB" w:rsidRDefault="00E278C2" w:rsidP="00E278C2">
      <w:pPr>
        <w:pStyle w:val="parrafos"/>
        <w:numPr>
          <w:ilvl w:val="0"/>
          <w:numId w:val="58"/>
        </w:numPr>
        <w:ind w:left="0" w:firstLine="0"/>
        <w:textDirection w:val="btLr"/>
        <w:rPr>
          <w:rFonts w:ascii="Cambria" w:eastAsia="Cambria" w:hAnsi="Cambria" w:cs="Cambria"/>
          <w:color w:val="000000"/>
          <w:position w:val="-1"/>
          <w:lang w:val="es-419"/>
        </w:rPr>
      </w:pPr>
      <w:r w:rsidRPr="003633BB">
        <w:rPr>
          <w:rFonts w:ascii="Cambria" w:eastAsia="Cambria" w:hAnsi="Cambria" w:cs="Cambria"/>
          <w:color w:val="000000"/>
          <w:position w:val="-1"/>
          <w:lang w:val="es-419"/>
        </w:rPr>
        <w:t xml:space="preserve">El </w:t>
      </w:r>
      <w:r w:rsidRPr="003633BB">
        <w:rPr>
          <w:rFonts w:ascii="Cambria" w:eastAsia="Cambria" w:hAnsi="Cambria" w:cs="Cambria"/>
          <w:position w:val="-1"/>
          <w:lang w:val="es-419"/>
        </w:rPr>
        <w:t>Estado</w:t>
      </w:r>
      <w:r w:rsidRPr="003633BB">
        <w:rPr>
          <w:rFonts w:ascii="Cambria" w:eastAsia="Cambria" w:hAnsi="Cambria" w:cs="Cambria"/>
          <w:color w:val="000000"/>
          <w:position w:val="-1"/>
          <w:lang w:val="es-419"/>
        </w:rPr>
        <w:t xml:space="preserve"> indicó que la FGN puso en marcha el “Plan para la investigación y judicialización efectiva de terceros civiles y agentes estatales vinculados con actores armados al margen de la ley” y ha desarrollado una metodología investigativa para generar avances en el esclarecimiento de los hechos, la asociación de estos y de las estructuras criminales; y la identificación estratégica de objetivos para el desmantelamiento de las organizaciones criminales. Indicó que a tales fines se crearon equipos itinerantes y territoriales, ubicados estratégicamente para responder a los casos de su competencia. Informó que, gracias a estos, entre 2018 a 2022 se definieron 13 proyectos investigativos.</w:t>
      </w:r>
    </w:p>
    <w:p w14:paraId="507718A8" w14:textId="77777777" w:rsidR="00E278C2" w:rsidRPr="003633BB" w:rsidRDefault="00E278C2" w:rsidP="00E278C2">
      <w:pPr>
        <w:suppressAutoHyphens/>
        <w:jc w:val="both"/>
        <w:textDirection w:val="btLr"/>
        <w:textAlignment w:val="top"/>
        <w:outlineLvl w:val="0"/>
        <w:rPr>
          <w:rFonts w:ascii="Cambria" w:eastAsia="Cambria" w:hAnsi="Cambria" w:cs="Cambria"/>
          <w:color w:val="000000"/>
          <w:position w:val="-1"/>
          <w:sz w:val="20"/>
          <w:szCs w:val="20"/>
          <w:lang w:val="es-419"/>
        </w:rPr>
      </w:pPr>
    </w:p>
    <w:p w14:paraId="03F9D61A" w14:textId="4C6178BD" w:rsidR="00E278C2" w:rsidRPr="003633BB" w:rsidRDefault="00E278C2" w:rsidP="00E278C2">
      <w:pPr>
        <w:pStyle w:val="parrafos"/>
        <w:numPr>
          <w:ilvl w:val="0"/>
          <w:numId w:val="58"/>
        </w:numPr>
        <w:ind w:left="0" w:firstLine="0"/>
        <w:textDirection w:val="btLr"/>
        <w:rPr>
          <w:rFonts w:ascii="Cambria" w:eastAsia="Cambria" w:hAnsi="Cambria" w:cs="Cambria"/>
          <w:color w:val="000000"/>
          <w:position w:val="-1"/>
          <w:lang w:val="es-419"/>
        </w:rPr>
      </w:pPr>
      <w:r w:rsidRPr="003633BB">
        <w:rPr>
          <w:rFonts w:ascii="Cambria" w:eastAsia="Cambria" w:hAnsi="Cambria" w:cs="Cambria"/>
          <w:position w:val="-1"/>
          <w:lang w:val="es-419"/>
        </w:rPr>
        <w:t>Respecto</w:t>
      </w:r>
      <w:r w:rsidRPr="003633BB">
        <w:rPr>
          <w:rFonts w:ascii="Cambria" w:eastAsia="Cambria" w:hAnsi="Cambria" w:cs="Cambria"/>
          <w:color w:val="000000"/>
          <w:position w:val="-1"/>
          <w:lang w:val="es-419"/>
        </w:rPr>
        <w:t xml:space="preserve"> del apartado ii)</w:t>
      </w:r>
      <w:r w:rsidRPr="003633BB">
        <w:rPr>
          <w:rFonts w:ascii="Cambria" w:eastAsia="Cambria" w:hAnsi="Cambria" w:cs="Cambria"/>
          <w:color w:val="000000"/>
          <w:lang w:val="es-419"/>
        </w:rPr>
        <w:t xml:space="preserve"> </w:t>
      </w:r>
      <w:r w:rsidRPr="003633BB">
        <w:rPr>
          <w:rFonts w:ascii="Cambria" w:eastAsia="Cambria" w:hAnsi="Cambria" w:cs="Cambria"/>
          <w:color w:val="000000"/>
          <w:position w:val="-1"/>
          <w:lang w:val="es-419"/>
        </w:rPr>
        <w:t>el Estado informó que</w:t>
      </w:r>
      <w:r w:rsidR="00391330" w:rsidRPr="003633BB">
        <w:rPr>
          <w:rFonts w:ascii="Cambria" w:eastAsia="Cambria" w:hAnsi="Cambria" w:cs="Cambria"/>
          <w:color w:val="000000"/>
          <w:position w:val="-1"/>
          <w:lang w:val="es-419"/>
        </w:rPr>
        <w:t>,</w:t>
      </w:r>
      <w:r w:rsidRPr="003633BB">
        <w:rPr>
          <w:rFonts w:ascii="Cambria" w:eastAsia="Cambria" w:hAnsi="Cambria" w:cs="Cambria"/>
          <w:color w:val="000000"/>
          <w:position w:val="-1"/>
          <w:lang w:val="es-419"/>
        </w:rPr>
        <w:t xml:space="preserve"> en 2015 se organizó el Programa de Prevención y Protección de los derechos de la vida, la libertad, la integridad y la seguridad de determinadas personas de la Unidad Nacional de Protección (UNP), que fue creada en el 2011. Informó que la UNP ha priorizado la atención a personas defensoras de derechos humanos. </w:t>
      </w:r>
      <w:r w:rsidR="007F7EB1" w:rsidRPr="003633BB">
        <w:rPr>
          <w:rFonts w:ascii="Cambria" w:eastAsia="Cambria" w:hAnsi="Cambria" w:cs="Cambria"/>
          <w:color w:val="000000"/>
          <w:position w:val="-1"/>
          <w:lang w:val="es-419"/>
        </w:rPr>
        <w:t>S</w:t>
      </w:r>
      <w:r w:rsidRPr="003633BB">
        <w:rPr>
          <w:rFonts w:ascii="Cambria" w:eastAsia="Cambria" w:hAnsi="Cambria" w:cs="Cambria"/>
          <w:color w:val="000000"/>
          <w:position w:val="-1"/>
          <w:lang w:val="es-419"/>
        </w:rPr>
        <w:t xml:space="preserve">ostuvo que la UNP ha desplegado estrategias de territorio para el acercamiento entre funcionarios y la comunidad; y una estrategia territorial en el marco del Plan de Acción Oportuna para Defensoras de DDHH, cuyo objetivo es la prevención y protección del Riesgo Regional. </w:t>
      </w:r>
    </w:p>
    <w:p w14:paraId="22975A98" w14:textId="77777777" w:rsidR="00E278C2" w:rsidRPr="003633BB" w:rsidRDefault="00E278C2" w:rsidP="00E278C2">
      <w:pPr>
        <w:suppressAutoHyphens/>
        <w:jc w:val="both"/>
        <w:textDirection w:val="btLr"/>
        <w:textAlignment w:val="top"/>
        <w:outlineLvl w:val="0"/>
        <w:rPr>
          <w:rFonts w:ascii="Cambria" w:eastAsia="Cambria" w:hAnsi="Cambria" w:cs="Cambria"/>
          <w:position w:val="-1"/>
          <w:sz w:val="20"/>
          <w:szCs w:val="20"/>
          <w:lang w:val="es-419"/>
        </w:rPr>
      </w:pPr>
    </w:p>
    <w:p w14:paraId="237B4712" w14:textId="534AB5B3" w:rsidR="00E278C2" w:rsidRPr="003633BB" w:rsidRDefault="00E278C2" w:rsidP="00E278C2">
      <w:pPr>
        <w:pStyle w:val="parrafos"/>
        <w:numPr>
          <w:ilvl w:val="0"/>
          <w:numId w:val="58"/>
        </w:numPr>
        <w:ind w:left="0" w:firstLine="0"/>
        <w:textDirection w:val="btLr"/>
        <w:rPr>
          <w:rFonts w:ascii="Cambria" w:eastAsia="Cambria" w:hAnsi="Cambria" w:cs="Cambria"/>
          <w:position w:val="-1"/>
          <w:lang w:val="es-419"/>
        </w:rPr>
      </w:pPr>
      <w:r w:rsidRPr="003633BB">
        <w:rPr>
          <w:rFonts w:ascii="Cambria" w:eastAsia="Cambria" w:hAnsi="Cambria" w:cs="Cambria"/>
          <w:position w:val="-1"/>
          <w:lang w:val="es-419"/>
        </w:rPr>
        <w:t xml:space="preserve">El Estado señaló que en reunión de 7 de junio de 2022 los familiares manifestaron que habían recibido amenazas y que de inmediato se les remitió el contacto de los funcionarios encargados de atender </w:t>
      </w:r>
      <w:r w:rsidR="002421AE" w:rsidRPr="003633BB">
        <w:rPr>
          <w:rFonts w:ascii="Cambria" w:eastAsia="Cambria" w:hAnsi="Cambria" w:cs="Cambria"/>
          <w:position w:val="-1"/>
          <w:lang w:val="es-419"/>
        </w:rPr>
        <w:t>tales</w:t>
      </w:r>
      <w:r w:rsidRPr="003633BB">
        <w:rPr>
          <w:rFonts w:ascii="Cambria" w:eastAsia="Cambria" w:hAnsi="Cambria" w:cs="Cambria"/>
          <w:position w:val="-1"/>
          <w:lang w:val="es-419"/>
        </w:rPr>
        <w:t xml:space="preserve"> denuncias. Informó que ese mismo día los familiares presentaron la denuncia correspondiente que ya se encontraba en etapa de indagación. </w:t>
      </w:r>
    </w:p>
    <w:p w14:paraId="4B624CD0" w14:textId="77777777" w:rsidR="00E278C2" w:rsidRPr="003633BB" w:rsidRDefault="00E278C2" w:rsidP="00E278C2">
      <w:pPr>
        <w:suppressAutoHyphens/>
        <w:ind w:leftChars="-1" w:hangingChars="1" w:hanging="2"/>
        <w:jc w:val="both"/>
        <w:textDirection w:val="btLr"/>
        <w:textAlignment w:val="top"/>
        <w:outlineLvl w:val="0"/>
        <w:rPr>
          <w:rFonts w:ascii="Cambria" w:eastAsia="Cambria" w:hAnsi="Cambria" w:cs="Cambria"/>
          <w:position w:val="-1"/>
          <w:sz w:val="20"/>
          <w:szCs w:val="20"/>
          <w:lang w:val="es-419"/>
        </w:rPr>
      </w:pPr>
    </w:p>
    <w:p w14:paraId="1529A826" w14:textId="77777777" w:rsidR="00E278C2" w:rsidRPr="003633BB" w:rsidRDefault="00E278C2" w:rsidP="00E278C2">
      <w:pPr>
        <w:pStyle w:val="parrafos"/>
        <w:numPr>
          <w:ilvl w:val="0"/>
          <w:numId w:val="58"/>
        </w:numPr>
        <w:ind w:left="0" w:firstLine="0"/>
        <w:textDirection w:val="btLr"/>
        <w:rPr>
          <w:rFonts w:ascii="Cambria" w:eastAsia="Cambria" w:hAnsi="Cambria" w:cs="Cambria"/>
          <w:position w:val="-1"/>
          <w:lang w:val="es-419"/>
        </w:rPr>
      </w:pPr>
      <w:r w:rsidRPr="003633BB">
        <w:rPr>
          <w:rFonts w:ascii="Cambria" w:eastAsia="Cambria" w:hAnsi="Cambria" w:cs="Cambria"/>
          <w:color w:val="000000"/>
          <w:position w:val="-1"/>
          <w:lang w:val="es-419"/>
        </w:rPr>
        <w:t xml:space="preserve">En junio y septiembre de 2023, las partes informaron conjuntamente sobre coordinaciones realizadas para </w:t>
      </w:r>
      <w:r w:rsidRPr="003633BB">
        <w:rPr>
          <w:rFonts w:ascii="Cambria" w:eastAsia="Times New Roman" w:hAnsi="Cambria"/>
          <w:position w:val="-1"/>
          <w:lang w:val="es-419"/>
        </w:rPr>
        <w:t>garantizar la conectividad de la zona rural de San Pablo, Bolívar y facilitar la implementación de medidas individuales y colectivas de protección a través de la UNP, con redes e infraestructura. Adicionalmente, las partes señalaron que en reunión con la UNP se definió la ruta de trabajo para agilizar análisis y decisión en caso de urgencia para los familiares y para la implementación del Decreto 660 de 2018 a efectos de desarrollar medidas de protección colectivas.</w:t>
      </w:r>
    </w:p>
    <w:p w14:paraId="7A247272" w14:textId="77777777" w:rsidR="00E278C2" w:rsidRPr="003633BB" w:rsidRDefault="00E278C2" w:rsidP="00E278C2">
      <w:pPr>
        <w:autoSpaceDE w:val="0"/>
        <w:autoSpaceDN w:val="0"/>
        <w:adjustRightInd w:val="0"/>
        <w:jc w:val="both"/>
        <w:rPr>
          <w:rFonts w:ascii="Cambria" w:eastAsia="Aptos" w:hAnsi="Cambria" w:cs="Verdana"/>
          <w:color w:val="000000"/>
          <w:sz w:val="20"/>
          <w:szCs w:val="20"/>
          <w:lang w:val="es-419"/>
        </w:rPr>
      </w:pPr>
    </w:p>
    <w:p w14:paraId="63478BE7" w14:textId="77777777" w:rsidR="00E278C2" w:rsidRPr="003633BB" w:rsidRDefault="00E278C2" w:rsidP="00E278C2">
      <w:pPr>
        <w:pStyle w:val="parrafos"/>
        <w:numPr>
          <w:ilvl w:val="0"/>
          <w:numId w:val="58"/>
        </w:numPr>
        <w:ind w:left="0" w:firstLine="0"/>
        <w:rPr>
          <w:rFonts w:ascii="Cambria" w:eastAsia="Aptos" w:hAnsi="Cambria" w:cs="Verdana"/>
          <w:color w:val="000000"/>
          <w:lang w:val="es-419"/>
        </w:rPr>
      </w:pPr>
      <w:r w:rsidRPr="003633BB">
        <w:rPr>
          <w:rFonts w:ascii="Cambria" w:eastAsia="Aptos" w:hAnsi="Cambria" w:cs="Verdana"/>
          <w:color w:val="000000"/>
          <w:lang w:val="es-419"/>
        </w:rPr>
        <w:t xml:space="preserve">Por </w:t>
      </w:r>
      <w:r w:rsidRPr="003633BB">
        <w:rPr>
          <w:rFonts w:ascii="Cambria" w:eastAsia="Times New Roman" w:hAnsi="Cambria"/>
          <w:position w:val="-1"/>
          <w:lang w:val="es-419"/>
        </w:rPr>
        <w:t>otro</w:t>
      </w:r>
      <w:r w:rsidRPr="003633BB">
        <w:rPr>
          <w:rFonts w:ascii="Cambria" w:eastAsia="Aptos" w:hAnsi="Cambria" w:cs="Verdana"/>
          <w:color w:val="000000"/>
          <w:lang w:val="es-419"/>
        </w:rPr>
        <w:t xml:space="preserve"> lado, el Estado informó que, como garantía de no repetición asociada a potenciar la efectividad de las medidas de protección otorgadas, la UNP adelantó la instalación de un Centro Digital en la I.E. de Pozo Azul - Sede La Virgencita, el cual cuenta con un área de cobertura de hasta 7.800 m2. </w:t>
      </w:r>
    </w:p>
    <w:p w14:paraId="4ACF0CEF" w14:textId="77777777" w:rsidR="00E278C2" w:rsidRPr="003633BB" w:rsidRDefault="00E278C2" w:rsidP="00E278C2">
      <w:pPr>
        <w:suppressAutoHyphens/>
        <w:ind w:leftChars="-1" w:hangingChars="1" w:hanging="2"/>
        <w:jc w:val="both"/>
        <w:textDirection w:val="btLr"/>
        <w:textAlignment w:val="top"/>
        <w:outlineLvl w:val="0"/>
        <w:rPr>
          <w:rFonts w:ascii="Cambria" w:eastAsia="Cambria" w:hAnsi="Cambria" w:cs="Cambria"/>
          <w:position w:val="-1"/>
          <w:sz w:val="20"/>
          <w:szCs w:val="20"/>
          <w:lang w:val="es-419"/>
        </w:rPr>
      </w:pPr>
    </w:p>
    <w:p w14:paraId="04301BDF" w14:textId="51234313" w:rsidR="00E278C2" w:rsidRPr="003633BB" w:rsidRDefault="00E278C2" w:rsidP="00E278C2">
      <w:pPr>
        <w:pStyle w:val="parrafos"/>
        <w:numPr>
          <w:ilvl w:val="0"/>
          <w:numId w:val="58"/>
        </w:numPr>
        <w:ind w:left="0" w:firstLine="0"/>
        <w:textDirection w:val="btLr"/>
        <w:rPr>
          <w:rFonts w:ascii="Cambria" w:eastAsia="Times New Roman" w:hAnsi="Cambria"/>
          <w:position w:val="-1"/>
          <w:lang w:val="es-419"/>
        </w:rPr>
      </w:pPr>
      <w:r w:rsidRPr="003633BB">
        <w:rPr>
          <w:rFonts w:ascii="Cambria" w:eastAsia="Cambria" w:hAnsi="Cambria" w:cs="Cambria"/>
          <w:position w:val="-1"/>
          <w:lang w:val="es-419"/>
        </w:rPr>
        <w:t xml:space="preserve">En </w:t>
      </w:r>
      <w:r w:rsidRPr="003633BB">
        <w:rPr>
          <w:rFonts w:ascii="Cambria" w:eastAsia="Times New Roman" w:hAnsi="Cambria"/>
          <w:position w:val="-1"/>
          <w:lang w:val="es-419"/>
        </w:rPr>
        <w:t>el</w:t>
      </w:r>
      <w:r w:rsidRPr="003633BB">
        <w:rPr>
          <w:rFonts w:ascii="Cambria" w:eastAsia="Cambria" w:hAnsi="Cambria" w:cs="Cambria"/>
          <w:position w:val="-1"/>
          <w:lang w:val="es-419"/>
        </w:rPr>
        <w:t xml:space="preserve"> </w:t>
      </w:r>
      <w:r w:rsidR="00BC0255" w:rsidRPr="003633BB">
        <w:rPr>
          <w:rFonts w:ascii="Cambria" w:eastAsia="Cambria" w:hAnsi="Cambria" w:cs="Cambria"/>
          <w:position w:val="-1"/>
          <w:lang w:val="es-419"/>
        </w:rPr>
        <w:t>A</w:t>
      </w:r>
      <w:r w:rsidRPr="003633BB">
        <w:rPr>
          <w:rFonts w:ascii="Cambria" w:eastAsia="Cambria" w:hAnsi="Cambria" w:cs="Cambria"/>
          <w:position w:val="-1"/>
          <w:lang w:val="es-419"/>
        </w:rPr>
        <w:t xml:space="preserve">cuerdo de </w:t>
      </w:r>
      <w:r w:rsidR="00BC0255" w:rsidRPr="003633BB">
        <w:rPr>
          <w:rFonts w:ascii="Cambria" w:eastAsia="Cambria" w:hAnsi="Cambria" w:cs="Cambria"/>
          <w:position w:val="-1"/>
          <w:lang w:val="es-419"/>
        </w:rPr>
        <w:t>C</w:t>
      </w:r>
      <w:r w:rsidRPr="003633BB">
        <w:rPr>
          <w:rFonts w:ascii="Cambria" w:eastAsia="Cambria" w:hAnsi="Cambria" w:cs="Cambria"/>
          <w:position w:val="-1"/>
          <w:lang w:val="es-419"/>
        </w:rPr>
        <w:t xml:space="preserve">umplimiento, sobre el apartado i) el Estado se comprometió </w:t>
      </w:r>
      <w:r w:rsidRPr="003633BB">
        <w:rPr>
          <w:rFonts w:ascii="Cambria" w:eastAsia="Times New Roman" w:hAnsi="Cambria"/>
          <w:position w:val="-1"/>
          <w:lang w:val="es-419"/>
        </w:rPr>
        <w:t xml:space="preserve">a iniciar, de manera concertada con los representantes, la ruta de prevención en el marco del Decreto 660 de 2018, a través del Ministerio del Interior, asesorando y acompañando la formulación e implementación de los planes de prevención a los que haya lugar. Sobre el apartado ii) se acordó que la UNP iniciará de manera concertada con los familiares y </w:t>
      </w:r>
      <w:r w:rsidRPr="003633BB">
        <w:rPr>
          <w:rFonts w:ascii="Cambria" w:eastAsia="Times New Roman" w:hAnsi="Cambria"/>
          <w:position w:val="-1"/>
          <w:lang w:val="es-419"/>
        </w:rPr>
        <w:lastRenderedPageBreak/>
        <w:t>representantes la ruta de protección asesorando y acompañando la activación, monitoreo y seguimiento de la ruta individual y/o colectiva a que haya lugar. El acuerdo indica que para el seguimiento de esta medida se realizará una reunión anual convocada por la UNP con participación de los representantes, familiares y la ANDJE.</w:t>
      </w:r>
    </w:p>
    <w:p w14:paraId="44A9F4D5" w14:textId="77777777" w:rsidR="00E278C2" w:rsidRPr="003633BB" w:rsidRDefault="00E278C2" w:rsidP="00E278C2">
      <w:pPr>
        <w:suppressAutoHyphens/>
        <w:jc w:val="both"/>
        <w:textDirection w:val="btLr"/>
        <w:textAlignment w:val="top"/>
        <w:outlineLvl w:val="0"/>
        <w:rPr>
          <w:rFonts w:ascii="Cambria" w:eastAsia="Cambria" w:hAnsi="Cambria" w:cs="Cambria"/>
          <w:color w:val="000000"/>
          <w:position w:val="-1"/>
          <w:sz w:val="20"/>
          <w:szCs w:val="20"/>
          <w:lang w:val="es-419"/>
        </w:rPr>
      </w:pPr>
    </w:p>
    <w:p w14:paraId="47225968" w14:textId="3E54341E" w:rsidR="00E278C2" w:rsidRPr="003633BB" w:rsidRDefault="00E278C2" w:rsidP="00E278C2">
      <w:pPr>
        <w:pStyle w:val="parrafos"/>
        <w:numPr>
          <w:ilvl w:val="0"/>
          <w:numId w:val="58"/>
        </w:numPr>
        <w:ind w:left="0" w:firstLine="0"/>
        <w:textDirection w:val="btLr"/>
        <w:rPr>
          <w:rFonts w:ascii="Cambria" w:eastAsia="Times New Roman" w:hAnsi="Cambria"/>
          <w:position w:val="-1"/>
          <w:lang w:val="es-419"/>
        </w:rPr>
      </w:pPr>
      <w:r w:rsidRPr="003633BB">
        <w:rPr>
          <w:rFonts w:ascii="Cambria" w:eastAsia="Times New Roman" w:hAnsi="Cambria"/>
          <w:position w:val="-1"/>
          <w:lang w:val="es-419"/>
        </w:rPr>
        <w:t>El Estado</w:t>
      </w:r>
      <w:r w:rsidRPr="003633BB">
        <w:rPr>
          <w:rFonts w:ascii="Cambria" w:eastAsia="Times New Roman" w:hAnsi="Cambria"/>
          <w:b/>
          <w:bCs/>
          <w:position w:val="-1"/>
          <w:lang w:val="es-419"/>
        </w:rPr>
        <w:t xml:space="preserve"> </w:t>
      </w:r>
      <w:r w:rsidRPr="003633BB">
        <w:rPr>
          <w:rFonts w:ascii="Cambria" w:eastAsia="Times New Roman" w:hAnsi="Cambria"/>
          <w:position w:val="-1"/>
          <w:lang w:val="es-419"/>
        </w:rPr>
        <w:t xml:space="preserve">informó que se realizó una reunión el 6 de junio de 2024 con familiares y representantes, en la que sobre el apartado i) se definió se incluirán en el enfoque de intervención del Ministerio del Interior todas las acciones de prevención y articulación interinstitucional en el territorio y que se elaborará un plan de trabajo para facilitar el seguimiento. Sobre el apartado ii) respecto de las medidas de protección, el Estado manifestó que se encuentra articulando con la UNP para </w:t>
      </w:r>
      <w:r w:rsidR="001C7DBB" w:rsidRPr="003633BB">
        <w:rPr>
          <w:rFonts w:ascii="Cambria" w:eastAsia="Times New Roman" w:hAnsi="Cambria"/>
          <w:position w:val="-1"/>
          <w:lang w:val="es-419"/>
        </w:rPr>
        <w:t>iniciar</w:t>
      </w:r>
      <w:r w:rsidRPr="003633BB">
        <w:rPr>
          <w:rFonts w:ascii="Cambria" w:eastAsia="Times New Roman" w:hAnsi="Cambria"/>
          <w:position w:val="-1"/>
          <w:lang w:val="es-419"/>
        </w:rPr>
        <w:t xml:space="preserve"> la implementación de la medida, estando pendiente la definición de la reunión.</w:t>
      </w:r>
    </w:p>
    <w:p w14:paraId="0E2B5321" w14:textId="77777777" w:rsidR="001C5E17" w:rsidRPr="003633BB" w:rsidRDefault="001C5E17" w:rsidP="001C5E17">
      <w:pPr>
        <w:pStyle w:val="parrafos"/>
        <w:rPr>
          <w:rFonts w:ascii="Cambria" w:hAnsi="Cambria"/>
          <w:lang w:val="es-419"/>
        </w:rPr>
      </w:pPr>
    </w:p>
    <w:p w14:paraId="78264ACB" w14:textId="4B4A403E" w:rsidR="003C6B13" w:rsidRPr="003633BB" w:rsidRDefault="00C931CE" w:rsidP="001C5E17">
      <w:pPr>
        <w:pStyle w:val="parrafos"/>
        <w:numPr>
          <w:ilvl w:val="0"/>
          <w:numId w:val="58"/>
        </w:numPr>
        <w:ind w:left="0" w:firstLine="0"/>
        <w:rPr>
          <w:rFonts w:ascii="Cambria" w:hAnsi="Cambria"/>
          <w:lang w:val="es-419"/>
        </w:rPr>
      </w:pPr>
      <w:r w:rsidRPr="003633BB">
        <w:rPr>
          <w:rFonts w:ascii="Cambria" w:hAnsi="Cambria"/>
          <w:lang w:val="es-419"/>
        </w:rPr>
        <w:t>Con base en</w:t>
      </w:r>
      <w:r w:rsidR="00774F2C" w:rsidRPr="003633BB">
        <w:rPr>
          <w:rFonts w:ascii="Cambria" w:hAnsi="Cambria"/>
          <w:lang w:val="es-419"/>
        </w:rPr>
        <w:t xml:space="preserve"> lo informado por las partes en esta etapa</w:t>
      </w:r>
      <w:r w:rsidRPr="003633BB">
        <w:rPr>
          <w:rFonts w:ascii="Cambria" w:hAnsi="Cambria"/>
          <w:lang w:val="es-419"/>
        </w:rPr>
        <w:t>, e</w:t>
      </w:r>
      <w:r w:rsidR="001C5E17" w:rsidRPr="003633BB">
        <w:rPr>
          <w:rFonts w:ascii="Cambria" w:hAnsi="Cambria"/>
          <w:lang w:val="es-419"/>
        </w:rPr>
        <w:t>l 28 de junio de 2024 la CIDH decidió no enviar el caso a la Corte Interamericana y proceder hacia la publicación del Informe de Fondo, en concordancia con lo establecido en los artículos 51 de la Convención Americana y 47 del Reglamento de la CIDH.</w:t>
      </w:r>
      <w:r w:rsidR="00911B5F" w:rsidRPr="003633BB">
        <w:rPr>
          <w:rFonts w:ascii="Cambria" w:hAnsi="Cambria"/>
          <w:lang w:val="es-419"/>
        </w:rPr>
        <w:t xml:space="preserve"> La Comisión informó a las partes que:</w:t>
      </w:r>
    </w:p>
    <w:p w14:paraId="07253E6E" w14:textId="77777777" w:rsidR="00911B5F" w:rsidRPr="003633BB" w:rsidRDefault="00911B5F" w:rsidP="00F45816">
      <w:pPr>
        <w:pStyle w:val="parrafos"/>
        <w:ind w:left="360"/>
        <w:rPr>
          <w:rFonts w:ascii="Cambria" w:hAnsi="Cambria"/>
          <w:sz w:val="18"/>
          <w:szCs w:val="18"/>
          <w:lang w:val="es-419"/>
        </w:rPr>
      </w:pPr>
    </w:p>
    <w:p w14:paraId="77A315D2" w14:textId="0DA33BFD" w:rsidR="009A1DAE" w:rsidRPr="003633BB" w:rsidRDefault="0070008E" w:rsidP="00F45816">
      <w:pPr>
        <w:pStyle w:val="parrafos"/>
        <w:ind w:left="720" w:right="1080"/>
        <w:rPr>
          <w:sz w:val="18"/>
          <w:szCs w:val="18"/>
          <w:lang w:val="es-419"/>
        </w:rPr>
      </w:pPr>
      <w:r w:rsidRPr="003633BB">
        <w:rPr>
          <w:sz w:val="18"/>
          <w:szCs w:val="18"/>
          <w:lang w:val="es-419"/>
        </w:rPr>
        <w:t>[a]</w:t>
      </w:r>
      <w:r w:rsidR="006B0D10" w:rsidRPr="003633BB">
        <w:rPr>
          <w:sz w:val="18"/>
          <w:szCs w:val="18"/>
          <w:lang w:val="es-419"/>
        </w:rPr>
        <w:t>l examinar el caso, la Comisión notó que el 5 de abril de 2024 las partes firmaron un Acuerdo de Cumplimiento que incluye medidas de reparación económica, medidas de satisfacción, de justicia y garantías de no repetición cuya implementación permitirá a las víctimas obtener una reparación integral. Asimismo, la Comisión notó que, en la cláusula octava del Acuerdo de Cumplimiento, las partes solicitan que el mecanismo de verificación del mismo se desarrolle a través de la CIDH en virtud de las facultades otorgadas conforme a lo establecido en el artículo 51 de la Convención Americana y los artículos 47 y 48 del reglamento de la Comisión. La Comisión continuará realizando la supervisión en el cumplimiento del Acuerdo firmado por las partes y de las recomendaciones del Informe</w:t>
      </w:r>
      <w:r w:rsidR="00911B5F" w:rsidRPr="003633BB">
        <w:rPr>
          <w:sz w:val="18"/>
          <w:szCs w:val="18"/>
          <w:lang w:val="es-419"/>
        </w:rPr>
        <w:t>.</w:t>
      </w:r>
    </w:p>
    <w:p w14:paraId="31CE7360" w14:textId="77777777" w:rsidR="00E402AF" w:rsidRPr="003633BB" w:rsidRDefault="00E402AF" w:rsidP="00E402AF">
      <w:pPr>
        <w:jc w:val="both"/>
        <w:rPr>
          <w:rFonts w:ascii="Cambria" w:hAnsi="Cambria"/>
          <w:sz w:val="18"/>
          <w:szCs w:val="18"/>
          <w:lang w:val="es-CO"/>
        </w:rPr>
      </w:pPr>
    </w:p>
    <w:p w14:paraId="582CFDA5" w14:textId="77777777" w:rsidR="00E402AF" w:rsidRPr="003633BB" w:rsidRDefault="00E402AF" w:rsidP="00E402AF">
      <w:pPr>
        <w:pStyle w:val="parrafos"/>
        <w:numPr>
          <w:ilvl w:val="0"/>
          <w:numId w:val="58"/>
        </w:numPr>
        <w:ind w:left="0" w:firstLine="0"/>
        <w:rPr>
          <w:rFonts w:ascii="Cambria" w:eastAsia="Cambria" w:hAnsi="Cambria" w:cs="Cambria"/>
          <w:lang w:val="es-CO"/>
        </w:rPr>
      </w:pPr>
      <w:r w:rsidRPr="003633BB">
        <w:rPr>
          <w:rFonts w:ascii="Cambria" w:hAnsi="Cambria" w:cs="Cambria"/>
          <w:lang w:val="es-CO" w:eastAsia="zh-CN"/>
        </w:rPr>
        <w:t xml:space="preserve">De la información precedente, </w:t>
      </w:r>
      <w:r w:rsidRPr="003633BB">
        <w:rPr>
          <w:rFonts w:ascii="Cambria" w:eastAsia="Cambria" w:hAnsi="Cambria" w:cs="Cambria"/>
          <w:lang w:val="es-CO"/>
        </w:rPr>
        <w:t xml:space="preserve">respecto de la </w:t>
      </w:r>
      <w:r w:rsidRPr="003633BB">
        <w:rPr>
          <w:rFonts w:ascii="Cambria" w:eastAsia="Cambria" w:hAnsi="Cambria" w:cs="Cambria"/>
          <w:b/>
          <w:bCs/>
          <w:lang w:val="es-CO"/>
        </w:rPr>
        <w:t>primera recomendación</w:t>
      </w:r>
      <w:r w:rsidRPr="003633BB">
        <w:rPr>
          <w:rFonts w:ascii="Cambria" w:eastAsia="Cambria" w:hAnsi="Cambria" w:cs="Cambria"/>
          <w:lang w:val="es-CO"/>
        </w:rPr>
        <w:t>, relativa a la reparación integral, la Comisión nota que el Estado reconoció responsabilidad en el Acuerdo de Cumplimiento y que la ANDJE asumirá el trámite derivado de la Ley 288 de 1996 para el pago de las indemnizaciones en concepto de reparación pecuniaria y que existe una solicitud de conciliación en trámite ante la Procuraduría General de la Nación. Asimismo, la Comisión toma nota del acuerdo de las partes para la implementación de una serie de medida de satisfacción. Sin embargo, el Estado no ha aportado información sobre el pago efectivo de las indemnizaciones o de la realización de las medidas de satisfacción acordadas. Por lo tanto, la Comisión concluye que esta medida aún se encuentra pendiente de cumplimiento.</w:t>
      </w:r>
    </w:p>
    <w:p w14:paraId="510B7FA1" w14:textId="77777777" w:rsidR="00E402AF" w:rsidRPr="003633BB" w:rsidRDefault="00E402AF" w:rsidP="00E402AF">
      <w:pPr>
        <w:pStyle w:val="ListParagraph"/>
        <w:jc w:val="both"/>
        <w:rPr>
          <w:rFonts w:ascii="Cambria" w:eastAsia="Cambria" w:hAnsi="Cambria" w:cs="Cambria"/>
          <w:sz w:val="20"/>
          <w:szCs w:val="20"/>
          <w:lang w:val="es-CO"/>
        </w:rPr>
      </w:pPr>
    </w:p>
    <w:p w14:paraId="412C116A" w14:textId="59F0BAF4" w:rsidR="00E402AF" w:rsidRPr="003633BB" w:rsidRDefault="00E402AF" w:rsidP="00E402AF">
      <w:pPr>
        <w:pStyle w:val="parrafos"/>
        <w:numPr>
          <w:ilvl w:val="0"/>
          <w:numId w:val="58"/>
        </w:numPr>
        <w:ind w:left="0" w:firstLine="0"/>
        <w:rPr>
          <w:rFonts w:ascii="Cambria" w:eastAsia="Cambria" w:hAnsi="Cambria" w:cs="Cambria"/>
          <w:u w:val="single"/>
          <w:lang w:val="es-CO"/>
        </w:rPr>
      </w:pPr>
      <w:r w:rsidRPr="003633BB">
        <w:rPr>
          <w:rFonts w:ascii="Cambria" w:hAnsi="Cambria" w:cs="Cambria"/>
          <w:lang w:val="es-CO" w:eastAsia="zh-CN"/>
        </w:rPr>
        <w:t>En</w:t>
      </w:r>
      <w:r w:rsidRPr="003633BB">
        <w:rPr>
          <w:rFonts w:ascii="Cambria" w:eastAsia="Cambria" w:hAnsi="Cambria" w:cs="Cambria"/>
          <w:lang w:val="es-CO"/>
        </w:rPr>
        <w:t xml:space="preserve"> relación con la </w:t>
      </w:r>
      <w:r w:rsidRPr="003633BB">
        <w:rPr>
          <w:rFonts w:ascii="Cambria" w:eastAsia="Cambria" w:hAnsi="Cambria" w:cs="Cambria"/>
          <w:b/>
          <w:bCs/>
          <w:lang w:val="es-CO"/>
        </w:rPr>
        <w:t>segunda recomendación</w:t>
      </w:r>
      <w:r w:rsidRPr="003633BB">
        <w:rPr>
          <w:rFonts w:ascii="Cambria" w:eastAsia="Cambria" w:hAnsi="Cambria" w:cs="Cambria"/>
          <w:lang w:val="es-CO"/>
        </w:rPr>
        <w:t xml:space="preserve">, relativa a la búsqueda </w:t>
      </w:r>
      <w:r w:rsidR="000A3B7D">
        <w:rPr>
          <w:rFonts w:ascii="Cambria" w:eastAsia="Cambria" w:hAnsi="Cambria" w:cs="Cambria"/>
          <w:lang w:val="es-CO"/>
        </w:rPr>
        <w:t xml:space="preserve">de </w:t>
      </w:r>
      <w:r w:rsidRPr="003633BB">
        <w:rPr>
          <w:rFonts w:ascii="Cambria" w:eastAsia="Cambria" w:hAnsi="Cambria" w:cs="Cambria"/>
          <w:lang w:val="es-CO"/>
        </w:rPr>
        <w:t>las dos víctimas des</w:t>
      </w:r>
      <w:r w:rsidR="002421AE" w:rsidRPr="003633BB">
        <w:rPr>
          <w:rFonts w:ascii="Cambria" w:eastAsia="Cambria" w:hAnsi="Cambria" w:cs="Cambria"/>
          <w:lang w:val="es-CO"/>
        </w:rPr>
        <w:t>a</w:t>
      </w:r>
      <w:r w:rsidRPr="003633BB">
        <w:rPr>
          <w:rFonts w:ascii="Cambria" w:eastAsia="Cambria" w:hAnsi="Cambria" w:cs="Cambria"/>
          <w:lang w:val="es-CO"/>
        </w:rPr>
        <w:t xml:space="preserve">parecidas, la Comisión nota que las partes acordaron realizar esfuerzos interinstitucionales para profundizar la búsqueda de </w:t>
      </w:r>
      <w:r w:rsidRPr="003633BB">
        <w:rPr>
          <w:rFonts w:ascii="Cambria" w:hAnsi="Cambria"/>
          <w:lang w:val="es-CO"/>
        </w:rPr>
        <w:t xml:space="preserve">Edgar Quiroga y Gildardo Fuentes, con el objetivo de ubicarlos, recuperar sus restos, identificarlos y entregarlos dignamente a sus familias. Se observa que las partes acordaron un plan de búsqueda. La Comisión nota además que el Estado indicó que suministraría a la UBPD la información bajo reserva legal </w:t>
      </w:r>
      <w:r w:rsidR="00BE7317" w:rsidRPr="003633BB">
        <w:rPr>
          <w:rFonts w:ascii="Cambria" w:hAnsi="Cambria"/>
          <w:lang w:val="es-CO"/>
        </w:rPr>
        <w:t xml:space="preserve">o de seguridad nacional, relativa a las tres víctimas, </w:t>
      </w:r>
      <w:r w:rsidRPr="003633BB">
        <w:rPr>
          <w:rFonts w:ascii="Cambria" w:hAnsi="Cambria"/>
          <w:lang w:val="es-CO"/>
        </w:rPr>
        <w:t>en poder del Ejército y de la Policía Nacional. El Estado no ha informado sobre avances en estos compromisos. Por lo tanto, la Comisión concluye que esta medida aún se encuentra pendiente de cumplimiento.</w:t>
      </w:r>
    </w:p>
    <w:p w14:paraId="52A4E5C0" w14:textId="77777777" w:rsidR="00E402AF" w:rsidRPr="003633BB" w:rsidRDefault="00E402AF" w:rsidP="00E402AF">
      <w:pPr>
        <w:pStyle w:val="ListParagraph"/>
        <w:jc w:val="both"/>
        <w:rPr>
          <w:rFonts w:ascii="Cambria" w:eastAsia="Cambria" w:hAnsi="Cambria" w:cs="Cambria"/>
          <w:sz w:val="20"/>
          <w:szCs w:val="20"/>
          <w:u w:val="single"/>
          <w:lang w:val="es-CO"/>
        </w:rPr>
      </w:pPr>
    </w:p>
    <w:p w14:paraId="1B0ED337" w14:textId="77777777" w:rsidR="00E402AF" w:rsidRPr="003633BB" w:rsidRDefault="00E402AF" w:rsidP="00E402AF">
      <w:pPr>
        <w:pStyle w:val="parrafos"/>
        <w:numPr>
          <w:ilvl w:val="0"/>
          <w:numId w:val="58"/>
        </w:numPr>
        <w:ind w:left="0" w:firstLine="0"/>
        <w:rPr>
          <w:rFonts w:ascii="Cambria" w:eastAsiaTheme="minorHAnsi" w:hAnsi="Cambria" w:cstheme="minorBidi"/>
          <w:kern w:val="2"/>
          <w:bdr w:val="none" w:sz="0" w:space="0" w:color="auto"/>
          <w:lang w:val="es-CO"/>
          <w14:ligatures w14:val="standardContextual"/>
        </w:rPr>
      </w:pPr>
      <w:r w:rsidRPr="003633BB">
        <w:rPr>
          <w:rFonts w:ascii="Cambria" w:hAnsi="Cambria"/>
          <w:lang w:val="es-CO"/>
        </w:rPr>
        <w:t xml:space="preserve">En relación con la </w:t>
      </w:r>
      <w:r w:rsidRPr="003633BB">
        <w:rPr>
          <w:rFonts w:ascii="Cambria" w:hAnsi="Cambria"/>
          <w:b/>
          <w:bCs/>
          <w:lang w:val="es-CO"/>
        </w:rPr>
        <w:t>tercera recomendación</w:t>
      </w:r>
      <w:r w:rsidRPr="003633BB">
        <w:rPr>
          <w:rFonts w:ascii="Cambria" w:hAnsi="Cambria"/>
          <w:lang w:val="es-CO"/>
        </w:rPr>
        <w:t xml:space="preserve">, sobre las investigaciones penales y disciplinarias, la Comisión nota que, se dictaron varias sentencias condenatorias, en las cuales se ha resuelto la responsabilidad penal de cuatro paramilitares por las muertes de los señores Quiroga y Fuentes. Asimismo, en la jurisdicción de Justicia y Paz, existe una condena por coautoría material en desaparición, homicidio y desplazamiento forzado de ambas presuntas víctimas. La Comisión observa que la imputación por el asesinato de ambos, cuyo proceso estaría aún en trámite. Por otro lado, </w:t>
      </w:r>
      <w:r w:rsidRPr="003633BB">
        <w:rPr>
          <w:rFonts w:ascii="Cambria" w:hAnsi="Cambria"/>
          <w:color w:val="000000"/>
          <w:lang w:val="es-419"/>
        </w:rPr>
        <w:t xml:space="preserve">en relación con el homicidio de la señora Victoria Delgado, la CIDH nota que se profirieron dos sentencias condenatorias. </w:t>
      </w:r>
    </w:p>
    <w:p w14:paraId="22C99E01" w14:textId="77777777" w:rsidR="00E402AF" w:rsidRPr="003633BB" w:rsidRDefault="00E402AF" w:rsidP="00E402AF">
      <w:pPr>
        <w:pStyle w:val="ListParagraph"/>
        <w:jc w:val="both"/>
        <w:rPr>
          <w:rFonts w:ascii="Cambria" w:hAnsi="Cambria"/>
          <w:sz w:val="20"/>
          <w:szCs w:val="20"/>
          <w:lang w:val="es-419"/>
        </w:rPr>
      </w:pPr>
    </w:p>
    <w:p w14:paraId="2BBF489B" w14:textId="77777777" w:rsidR="00E402AF" w:rsidRPr="003633BB" w:rsidRDefault="00E402AF" w:rsidP="00E402AF">
      <w:pPr>
        <w:pStyle w:val="parrafos"/>
        <w:numPr>
          <w:ilvl w:val="0"/>
          <w:numId w:val="58"/>
        </w:numPr>
        <w:ind w:left="0" w:firstLine="0"/>
        <w:rPr>
          <w:rFonts w:ascii="Cambria" w:hAnsi="Cambria"/>
          <w:lang w:val="es-CO"/>
        </w:rPr>
      </w:pPr>
      <w:r w:rsidRPr="003633BB">
        <w:rPr>
          <w:rFonts w:ascii="Cambria" w:hAnsi="Cambria"/>
          <w:lang w:val="es-CO"/>
        </w:rPr>
        <w:t xml:space="preserve">La CIDH nota también que, mediante el Acuerdo de Cumplimiento de Recomendaciones, el Estado se comprometió a continuar con la debida diligencia en las actuaciones judiciales que permitan el impulso de las investigaciones. Asimismo, toma nota de que se establecieron reuniones de seguimiento con la participación de las víctimas para dar a conocer los avances en materia de impulso de las investigaciones penales. </w:t>
      </w:r>
    </w:p>
    <w:p w14:paraId="64513DA5" w14:textId="77777777" w:rsidR="00E402AF" w:rsidRPr="003633BB" w:rsidRDefault="00E402AF" w:rsidP="00E402AF">
      <w:pPr>
        <w:pStyle w:val="ListParagraph"/>
        <w:jc w:val="both"/>
        <w:rPr>
          <w:rFonts w:ascii="Cambria" w:hAnsi="Cambria"/>
          <w:sz w:val="20"/>
          <w:szCs w:val="20"/>
          <w:lang w:val="es-CO"/>
        </w:rPr>
      </w:pPr>
    </w:p>
    <w:p w14:paraId="1BB6CCE4" w14:textId="77777777" w:rsidR="00E402AF" w:rsidRPr="003633BB" w:rsidRDefault="00E402AF" w:rsidP="00E402AF">
      <w:pPr>
        <w:pStyle w:val="parrafos"/>
        <w:numPr>
          <w:ilvl w:val="0"/>
          <w:numId w:val="58"/>
        </w:numPr>
        <w:ind w:left="0" w:firstLine="0"/>
        <w:rPr>
          <w:rFonts w:ascii="Cambria" w:hAnsi="Cambria"/>
          <w:lang w:val="es-CO"/>
        </w:rPr>
      </w:pPr>
      <w:r w:rsidRPr="003633BB">
        <w:rPr>
          <w:rFonts w:ascii="Cambria" w:hAnsi="Cambria"/>
          <w:lang w:val="es-CO"/>
        </w:rPr>
        <w:lastRenderedPageBreak/>
        <w:t xml:space="preserve">La Comisión nota además que la Fiscalía indicó poder iniciar una línea de investigación para verificar quiénes tenían posición de garante para la fecha de los hechos y la participación de la Fuerza Pública en los mismos. </w:t>
      </w:r>
    </w:p>
    <w:p w14:paraId="4EDF1A86" w14:textId="77777777" w:rsidR="00E402AF" w:rsidRPr="003633BB" w:rsidRDefault="00E402AF" w:rsidP="00E402AF">
      <w:pPr>
        <w:pStyle w:val="ListParagraph"/>
        <w:jc w:val="both"/>
        <w:rPr>
          <w:rFonts w:ascii="Cambria" w:hAnsi="Cambria"/>
          <w:sz w:val="20"/>
          <w:szCs w:val="20"/>
          <w:lang w:val="es-CO"/>
        </w:rPr>
      </w:pPr>
    </w:p>
    <w:p w14:paraId="60095C65" w14:textId="77777777" w:rsidR="00E402AF" w:rsidRPr="003633BB" w:rsidRDefault="00E402AF" w:rsidP="00E402AF">
      <w:pPr>
        <w:pStyle w:val="parrafos"/>
        <w:numPr>
          <w:ilvl w:val="0"/>
          <w:numId w:val="58"/>
        </w:numPr>
        <w:ind w:left="0" w:firstLine="0"/>
        <w:rPr>
          <w:rFonts w:ascii="Cambria" w:hAnsi="Cambria"/>
          <w:lang w:val="es-CO"/>
        </w:rPr>
      </w:pPr>
      <w:r w:rsidRPr="003633BB">
        <w:rPr>
          <w:rFonts w:ascii="Cambria" w:hAnsi="Cambria"/>
          <w:lang w:val="es-CO"/>
        </w:rPr>
        <w:t>La Comisión no ha recibido información actualizada sobre avances en la investigación penal pendiente, los avances en las nuevas líneas de investigación de agentes estatales, ni información referida a investigaciones disciplinarias. Por lo tanto, la Comisión concluye que, sin perjuicio de los avances, esta medida aún se encuentra pendiente de cumplimiento.</w:t>
      </w:r>
    </w:p>
    <w:p w14:paraId="622A8719" w14:textId="77777777" w:rsidR="00E402AF" w:rsidRPr="003633BB" w:rsidRDefault="00E402AF" w:rsidP="00E402AF">
      <w:pPr>
        <w:pStyle w:val="ListParagraph"/>
        <w:jc w:val="both"/>
        <w:rPr>
          <w:rFonts w:ascii="Cambria" w:eastAsia="Cambria" w:hAnsi="Cambria" w:cs="Cambria"/>
          <w:sz w:val="20"/>
          <w:szCs w:val="20"/>
          <w:lang w:val="es-CO"/>
        </w:rPr>
      </w:pPr>
    </w:p>
    <w:p w14:paraId="2D04FA8F" w14:textId="68167EB9" w:rsidR="00236E8F" w:rsidRPr="003633BB" w:rsidRDefault="00236E8F" w:rsidP="00236E8F">
      <w:pPr>
        <w:pStyle w:val="parrafos"/>
        <w:numPr>
          <w:ilvl w:val="0"/>
          <w:numId w:val="58"/>
        </w:numPr>
        <w:ind w:left="0" w:firstLine="0"/>
        <w:rPr>
          <w:rFonts w:ascii="Cambria" w:eastAsiaTheme="minorHAnsi" w:hAnsi="Cambria" w:cstheme="minorBidi"/>
          <w:lang w:val="es-CO"/>
        </w:rPr>
      </w:pPr>
      <w:r w:rsidRPr="003633BB">
        <w:rPr>
          <w:rFonts w:ascii="Cambria" w:eastAsia="Cambria" w:hAnsi="Cambria" w:cs="Cambria"/>
          <w:lang w:val="es-CO"/>
        </w:rPr>
        <w:t xml:space="preserve">En cuanto a la </w:t>
      </w:r>
      <w:r w:rsidRPr="003633BB">
        <w:rPr>
          <w:rFonts w:ascii="Cambria" w:eastAsia="Cambria" w:hAnsi="Cambria" w:cs="Cambria"/>
          <w:b/>
          <w:bCs/>
          <w:lang w:val="es-CO"/>
        </w:rPr>
        <w:t>cuarta recomendación</w:t>
      </w:r>
      <w:r w:rsidRPr="003633BB">
        <w:rPr>
          <w:rFonts w:ascii="Cambria" w:eastAsia="Cambria" w:hAnsi="Cambria" w:cs="Cambria"/>
          <w:lang w:val="es-CO"/>
        </w:rPr>
        <w:t xml:space="preserve">, </w:t>
      </w:r>
      <w:r w:rsidR="00F34399" w:rsidRPr="003633BB">
        <w:rPr>
          <w:rFonts w:ascii="Cambria" w:eastAsia="Cambria" w:hAnsi="Cambria" w:cs="Cambria"/>
          <w:lang w:val="es-CO"/>
        </w:rPr>
        <w:t>relativa a la atención médica y psicol</w:t>
      </w:r>
      <w:r w:rsidR="00122E41" w:rsidRPr="003633BB">
        <w:rPr>
          <w:rFonts w:ascii="Cambria" w:eastAsia="Cambria" w:hAnsi="Cambria" w:cs="Cambria"/>
          <w:lang w:val="es-CO"/>
        </w:rPr>
        <w:t>ó</w:t>
      </w:r>
      <w:r w:rsidR="00F34399" w:rsidRPr="003633BB">
        <w:rPr>
          <w:rFonts w:ascii="Cambria" w:eastAsia="Cambria" w:hAnsi="Cambria" w:cs="Cambria"/>
          <w:lang w:val="es-CO"/>
        </w:rPr>
        <w:t>gica</w:t>
      </w:r>
      <w:r w:rsidR="00122E41" w:rsidRPr="003633BB">
        <w:rPr>
          <w:rFonts w:ascii="Cambria" w:eastAsia="Cambria" w:hAnsi="Cambria" w:cs="Cambria"/>
          <w:lang w:val="es-CO"/>
        </w:rPr>
        <w:t xml:space="preserve">, </w:t>
      </w:r>
      <w:r w:rsidRPr="003633BB">
        <w:rPr>
          <w:rFonts w:ascii="Cambria" w:eastAsia="Cambria" w:hAnsi="Cambria" w:cs="Cambria"/>
          <w:lang w:val="es-CO"/>
        </w:rPr>
        <w:t xml:space="preserve">la Comisión toma </w:t>
      </w:r>
      <w:r w:rsidRPr="003633BB">
        <w:rPr>
          <w:rFonts w:ascii="Cambria" w:eastAsiaTheme="minorHAnsi" w:hAnsi="Cambria" w:cstheme="minorBidi"/>
          <w:lang w:val="es-CO"/>
        </w:rPr>
        <w:t xml:space="preserve">nota de que las partes indicaron que se ha logrado la prestación del servicio de manera más adecuada a las necesidades y expectativas de los familiares. Asimismo, </w:t>
      </w:r>
      <w:r w:rsidRPr="003633BB">
        <w:rPr>
          <w:rFonts w:ascii="Cambria" w:hAnsi="Cambria"/>
          <w:lang w:val="es-CO"/>
        </w:rPr>
        <w:t xml:space="preserve">nota que </w:t>
      </w:r>
      <w:r w:rsidRPr="003633BB">
        <w:rPr>
          <w:rFonts w:ascii="Cambria" w:eastAsiaTheme="minorHAnsi" w:hAnsi="Cambria" w:cstheme="minorBidi"/>
          <w:lang w:val="es-CO"/>
        </w:rPr>
        <w:t>los familiares de las víctimas autorizaron la implementación del PAPSIVI y por consiguiente su identificación en las IPS y EPS en las que se encuentran afiliados para su atención bajo los criterios diferenciales de este programa</w:t>
      </w:r>
      <w:r w:rsidRPr="003633BB">
        <w:rPr>
          <w:rFonts w:ascii="Cambria" w:hAnsi="Cambria"/>
          <w:lang w:val="es-CO"/>
        </w:rPr>
        <w:t xml:space="preserve">. La CIDH </w:t>
      </w:r>
      <w:r w:rsidRPr="003633BB">
        <w:rPr>
          <w:rFonts w:ascii="Cambria" w:eastAsia="Cambria" w:hAnsi="Cambria" w:cs="Cambria"/>
          <w:lang w:val="es-CO"/>
        </w:rPr>
        <w:t xml:space="preserve">nota además que el Acuerdo de Cumplimiento de Recomendaciones establece que el Estado coordinará las medidas de atención y rehabilitación en salud constitutivas de una atención médica, psicológica y psicosocial; </w:t>
      </w:r>
      <w:r w:rsidRPr="003633BB">
        <w:rPr>
          <w:rFonts w:ascii="Cambria" w:eastAsia="Cambria" w:hAnsi="Cambria" w:cs="Cambria"/>
          <w:kern w:val="2"/>
          <w:bdr w:val="none" w:sz="0" w:space="0" w:color="auto"/>
          <w:lang w:val="es-CO"/>
          <w14:ligatures w14:val="standardContextual"/>
        </w:rPr>
        <w:t>a través del Sistema General de Seguridad Social en Salud y sus integrantes, así como del PAPSIVI, de manera que se garantice un tratamiento adecuado, oportuno y prioritario y por el tiempo que sea necesario.</w:t>
      </w:r>
      <w:r w:rsidRPr="003633BB">
        <w:rPr>
          <w:rFonts w:ascii="Aptos" w:eastAsia="Aptos" w:hAnsi="Aptos"/>
          <w:kern w:val="2"/>
          <w:sz w:val="22"/>
          <w:szCs w:val="22"/>
          <w:bdr w:val="none" w:sz="0" w:space="0" w:color="auto"/>
          <w:lang w:val="es-419"/>
          <w14:ligatures w14:val="standardContextual"/>
        </w:rPr>
        <w:t xml:space="preserve"> </w:t>
      </w:r>
      <w:r w:rsidRPr="003633BB">
        <w:rPr>
          <w:rFonts w:ascii="Cambria" w:eastAsia="Cambria" w:hAnsi="Cambria" w:cs="Cambria"/>
          <w:lang w:val="es-CO"/>
        </w:rPr>
        <w:t>Por lo tanto, la Comisión concluye que esta recomendación está siendo cumplida y en razón de la naturaleza de la misma la CIDH continuará dándole seguimient</w:t>
      </w:r>
      <w:r w:rsidR="006270DB" w:rsidRPr="003633BB">
        <w:rPr>
          <w:rFonts w:ascii="Cambria" w:eastAsia="Cambria" w:hAnsi="Cambria" w:cs="Cambria"/>
          <w:lang w:val="es-CO"/>
        </w:rPr>
        <w:t>o.</w:t>
      </w:r>
    </w:p>
    <w:p w14:paraId="6C0181CE" w14:textId="77777777" w:rsidR="00BE7317" w:rsidRPr="003633BB" w:rsidRDefault="00BE7317" w:rsidP="00BE7317">
      <w:pPr>
        <w:pStyle w:val="parrafos"/>
        <w:rPr>
          <w:rFonts w:ascii="Cambria" w:eastAsiaTheme="minorHAnsi" w:hAnsi="Cambria" w:cstheme="minorBidi"/>
          <w:lang w:val="es-CO"/>
        </w:rPr>
      </w:pPr>
    </w:p>
    <w:p w14:paraId="2ED70C21" w14:textId="4548AA18" w:rsidR="00A336E2" w:rsidRPr="003633BB" w:rsidRDefault="00A336E2" w:rsidP="00A336E2">
      <w:pPr>
        <w:pStyle w:val="parrafos"/>
        <w:numPr>
          <w:ilvl w:val="0"/>
          <w:numId w:val="58"/>
        </w:numPr>
        <w:ind w:left="0" w:firstLine="0"/>
        <w:rPr>
          <w:rFonts w:ascii="Cambria" w:eastAsia="Cambria" w:hAnsi="Cambria" w:cs="Cambria"/>
          <w:lang w:val="es-CO"/>
        </w:rPr>
      </w:pPr>
      <w:r w:rsidRPr="003633BB">
        <w:rPr>
          <w:rFonts w:ascii="Cambria" w:hAnsi="Cambria"/>
          <w:lang w:val="es-CO"/>
        </w:rPr>
        <w:t xml:space="preserve">Con relación a la </w:t>
      </w:r>
      <w:r w:rsidRPr="003633BB">
        <w:rPr>
          <w:rFonts w:ascii="Cambria" w:hAnsi="Cambria"/>
          <w:b/>
          <w:bCs/>
          <w:lang w:val="es-CO"/>
        </w:rPr>
        <w:t>quinta recomendación</w:t>
      </w:r>
      <w:r w:rsidRPr="003633BB">
        <w:rPr>
          <w:rFonts w:ascii="Cambria" w:hAnsi="Cambria"/>
          <w:lang w:val="es-CO"/>
        </w:rPr>
        <w:t xml:space="preserve">, referida a las medidas de no repetición, en particular el fortalecimiento de la capacidad investigativa y de los mecanismos de protección, la Comisión nota los mecanismos informados por el Estado para el fortalecimiento de la investigación y el sistema de protección de la UNP. Asimismo, nota que el Acuerdo de Cumplimiento incluye </w:t>
      </w:r>
      <w:r w:rsidR="000646DB" w:rsidRPr="003633BB">
        <w:rPr>
          <w:rFonts w:ascii="Cambria" w:hAnsi="Cambria"/>
          <w:lang w:val="es-CO"/>
        </w:rPr>
        <w:t xml:space="preserve">rutas </w:t>
      </w:r>
      <w:r w:rsidRPr="003633BB">
        <w:rPr>
          <w:rFonts w:ascii="Cambria" w:hAnsi="Cambria"/>
          <w:lang w:val="es-CO"/>
        </w:rPr>
        <w:t>de prevención y protección, establecidas a cargo del Ministerio del Interior y de la UNP respectivamente, así como reuniones periódicas de seguimiento para ambas temáticas. La Comisión no ha recibido información actualizada sobre el cumplimiento de estas medidas, por lo tanto, concluye que esta medida se encuentra parcialmente cumplida.</w:t>
      </w:r>
    </w:p>
    <w:p w14:paraId="60340FC9" w14:textId="77777777" w:rsidR="00403743" w:rsidRPr="003633BB" w:rsidRDefault="00403743" w:rsidP="00403743">
      <w:pPr>
        <w:pStyle w:val="parrafos"/>
        <w:rPr>
          <w:rFonts w:ascii="Cambria" w:eastAsia="Cambria" w:hAnsi="Cambria" w:cs="Cambria"/>
          <w:lang w:val="es-CO"/>
        </w:rPr>
      </w:pPr>
    </w:p>
    <w:p w14:paraId="771B0D23" w14:textId="0AF3D1FE" w:rsidR="00B03D19" w:rsidRPr="003633BB" w:rsidRDefault="00403743" w:rsidP="0054514D">
      <w:pPr>
        <w:pStyle w:val="parrafos"/>
        <w:numPr>
          <w:ilvl w:val="0"/>
          <w:numId w:val="58"/>
        </w:numPr>
        <w:ind w:left="0" w:firstLine="0"/>
        <w:rPr>
          <w:color w:val="auto"/>
          <w:lang w:val="es-419"/>
        </w:rPr>
      </w:pPr>
      <w:r w:rsidRPr="003633BB">
        <w:rPr>
          <w:color w:val="auto"/>
          <w:lang w:val="es-419"/>
        </w:rPr>
        <w:t>La Comisión valora los esfuerzos de la parte peticionaria y</w:t>
      </w:r>
      <w:r w:rsidR="00B83A30" w:rsidRPr="003633BB">
        <w:rPr>
          <w:color w:val="auto"/>
          <w:lang w:val="es-419"/>
        </w:rPr>
        <w:t xml:space="preserve"> d</w:t>
      </w:r>
      <w:r w:rsidRPr="003633BB">
        <w:rPr>
          <w:color w:val="auto"/>
          <w:lang w:val="es-419"/>
        </w:rPr>
        <w:t xml:space="preserve">el Estado para </w:t>
      </w:r>
      <w:r w:rsidR="00D164A8" w:rsidRPr="003633BB">
        <w:rPr>
          <w:color w:val="auto"/>
          <w:lang w:val="es-419"/>
        </w:rPr>
        <w:t xml:space="preserve">avanzar en la implementación de las recomendaciones y </w:t>
      </w:r>
      <w:r w:rsidRPr="003633BB">
        <w:rPr>
          <w:color w:val="auto"/>
          <w:lang w:val="es-419"/>
        </w:rPr>
        <w:t>arribar a la suscripción del Acuerdo de Cumplimiento</w:t>
      </w:r>
      <w:r w:rsidR="00B83A30" w:rsidRPr="003633BB">
        <w:rPr>
          <w:color w:val="auto"/>
          <w:lang w:val="es-419"/>
        </w:rPr>
        <w:t xml:space="preserve"> de las Recomendaciones del Informe de Fondo</w:t>
      </w:r>
      <w:r w:rsidR="004B07E1" w:rsidRPr="003633BB">
        <w:rPr>
          <w:color w:val="auto"/>
          <w:lang w:val="es-419"/>
        </w:rPr>
        <w:t>;</w:t>
      </w:r>
      <w:r w:rsidR="00D164A8" w:rsidRPr="003633BB">
        <w:rPr>
          <w:color w:val="auto"/>
          <w:lang w:val="es-419"/>
        </w:rPr>
        <w:t xml:space="preserve"> y queda atenta a información sobre su </w:t>
      </w:r>
      <w:r w:rsidR="004B07E1" w:rsidRPr="003633BB">
        <w:rPr>
          <w:color w:val="auto"/>
          <w:lang w:val="es-419"/>
        </w:rPr>
        <w:t xml:space="preserve">total </w:t>
      </w:r>
      <w:r w:rsidR="00D164A8" w:rsidRPr="003633BB">
        <w:rPr>
          <w:color w:val="auto"/>
          <w:lang w:val="es-419"/>
        </w:rPr>
        <w:t>implementación.</w:t>
      </w:r>
    </w:p>
    <w:p w14:paraId="63BEEC40" w14:textId="77777777" w:rsidR="00CF5F2B" w:rsidRPr="003633BB" w:rsidRDefault="00CF5F2B" w:rsidP="00CF5F2B">
      <w:pPr>
        <w:pStyle w:val="parrafos"/>
        <w:rPr>
          <w:lang w:val="es-419"/>
        </w:rPr>
      </w:pPr>
    </w:p>
    <w:p w14:paraId="5E218676" w14:textId="57191F9A" w:rsidR="00535BA6" w:rsidRPr="003633BB" w:rsidRDefault="00863EF8" w:rsidP="00C24250">
      <w:pPr>
        <w:pStyle w:val="Heading1"/>
        <w:keepNext w:val="0"/>
        <w:numPr>
          <w:ilvl w:val="0"/>
          <w:numId w:val="60"/>
        </w:numPr>
        <w:pBdr>
          <w:top w:val="nil"/>
          <w:left w:val="nil"/>
          <w:bottom w:val="nil"/>
          <w:right w:val="nil"/>
          <w:between w:val="nil"/>
          <w:bar w:val="nil"/>
        </w:pBdr>
        <w:tabs>
          <w:tab w:val="left" w:pos="360"/>
        </w:tabs>
        <w:suppressAutoHyphens/>
        <w:ind w:left="0" w:right="360" w:firstLine="0"/>
        <w:jc w:val="both"/>
        <w:rPr>
          <w:rFonts w:asciiTheme="majorHAnsi" w:eastAsia="Cambria" w:hAnsiTheme="majorHAnsi" w:cs="Cambria"/>
          <w:bCs w:val="0"/>
          <w:color w:val="000000"/>
          <w:u w:color="000000"/>
          <w:lang w:val="es-419" w:eastAsia="es-ES"/>
        </w:rPr>
      </w:pPr>
      <w:bookmarkStart w:id="50" w:name="_Toc216359327"/>
      <w:r w:rsidRPr="003633BB">
        <w:rPr>
          <w:rFonts w:asciiTheme="majorHAnsi" w:eastAsia="Cambria" w:hAnsiTheme="majorHAnsi" w:cs="Cambria"/>
          <w:bCs w:val="0"/>
          <w:color w:val="000000"/>
          <w:u w:color="000000"/>
          <w:lang w:val="es-419" w:eastAsia="es-ES"/>
        </w:rPr>
        <w:t>SOBRE LA DUPLICACIÓN DE PROCEDIMIENTO EN RELACIÓN CON EDGAR QUIROGA</w:t>
      </w:r>
      <w:bookmarkEnd w:id="50"/>
    </w:p>
    <w:p w14:paraId="5870CCEF" w14:textId="77777777" w:rsidR="00C24250" w:rsidRPr="003633BB" w:rsidRDefault="00C24250" w:rsidP="00CF5F2B">
      <w:pPr>
        <w:pStyle w:val="parrafos"/>
        <w:rPr>
          <w:lang w:val="es-419"/>
        </w:rPr>
      </w:pPr>
    </w:p>
    <w:p w14:paraId="4B554D28" w14:textId="0AB03454" w:rsidR="00004422" w:rsidRPr="003633BB" w:rsidRDefault="00004422" w:rsidP="00004422">
      <w:pPr>
        <w:pStyle w:val="parrafos"/>
        <w:numPr>
          <w:ilvl w:val="0"/>
          <w:numId w:val="58"/>
        </w:numPr>
        <w:ind w:left="0" w:firstLine="0"/>
        <w:rPr>
          <w:lang w:val="es-419"/>
        </w:rPr>
      </w:pPr>
      <w:r w:rsidRPr="003633BB">
        <w:rPr>
          <w:lang w:val="es-419"/>
        </w:rPr>
        <w:t>E</w:t>
      </w:r>
      <w:r w:rsidR="007E0911" w:rsidRPr="003633BB">
        <w:rPr>
          <w:lang w:val="es-419"/>
        </w:rPr>
        <w:t>l 19 de</w:t>
      </w:r>
      <w:r w:rsidRPr="003633BB">
        <w:rPr>
          <w:lang w:val="es-419"/>
        </w:rPr>
        <w:t xml:space="preserve"> marzo de 2025 el Estado solicitó a la CIDH un pronunciamiento respecto de lo que identificó como duplicidad de procedimientos en relación al señor Edgar Quiroga quien era víctima listada del anexo 3 de la sentencia Integrantes y Militantes de la Unión Patriótica vs. Colombia y del Informe de Fondo No. 300/20 por </w:t>
      </w:r>
      <w:r w:rsidR="00413263" w:rsidRPr="003633BB">
        <w:rPr>
          <w:lang w:val="es-419"/>
        </w:rPr>
        <w:t>los</w:t>
      </w:r>
      <w:r w:rsidRPr="003633BB">
        <w:rPr>
          <w:lang w:val="es-419"/>
        </w:rPr>
        <w:t xml:space="preserve"> mismo</w:t>
      </w:r>
      <w:r w:rsidR="00413263" w:rsidRPr="003633BB">
        <w:rPr>
          <w:lang w:val="es-419"/>
        </w:rPr>
        <w:t>s</w:t>
      </w:r>
      <w:r w:rsidRPr="003633BB">
        <w:rPr>
          <w:lang w:val="es-419"/>
        </w:rPr>
        <w:t xml:space="preserve"> hecho</w:t>
      </w:r>
      <w:r w:rsidR="00413263" w:rsidRPr="003633BB">
        <w:rPr>
          <w:lang w:val="es-419"/>
        </w:rPr>
        <w:t>s,</w:t>
      </w:r>
      <w:r w:rsidRPr="003633BB">
        <w:rPr>
          <w:lang w:val="es-419"/>
        </w:rPr>
        <w:t xml:space="preserve"> de ambos procedimientos internacionales, a saber la desaparición forzada ocurrida el 28 de noviembre de 1999 en el municipio de San Pablo, Bolívar y la impunidad en la que permanecen los hechos, y que la base legal era idéntica, al referirse</w:t>
      </w:r>
      <w:r w:rsidR="00836FBA" w:rsidRPr="003633BB">
        <w:rPr>
          <w:lang w:val="es-419"/>
        </w:rPr>
        <w:t xml:space="preserve"> a</w:t>
      </w:r>
      <w:r w:rsidRPr="003633BB">
        <w:rPr>
          <w:lang w:val="es-419"/>
        </w:rPr>
        <w:t xml:space="preserve"> la violación de los artículos 3, 4, 5, 7, 8 y 25 de la CADH y de los artículos I.A y I.B de Convención Interamericana contra la Desaparición Forzada.</w:t>
      </w:r>
    </w:p>
    <w:p w14:paraId="230258D3" w14:textId="77777777" w:rsidR="00004422" w:rsidRPr="003633BB" w:rsidRDefault="00004422" w:rsidP="00004422">
      <w:pPr>
        <w:pStyle w:val="parrafos"/>
        <w:rPr>
          <w:lang w:val="es-419"/>
        </w:rPr>
      </w:pPr>
    </w:p>
    <w:p w14:paraId="2DE03840" w14:textId="1EF38C76" w:rsidR="000303DD" w:rsidRPr="003633BB" w:rsidRDefault="00490BDC" w:rsidP="00A01A3E">
      <w:pPr>
        <w:pStyle w:val="parrafos"/>
        <w:numPr>
          <w:ilvl w:val="0"/>
          <w:numId w:val="58"/>
        </w:numPr>
        <w:ind w:left="0" w:firstLine="0"/>
        <w:rPr>
          <w:lang w:val="es-419"/>
        </w:rPr>
      </w:pPr>
      <w:r w:rsidRPr="003633BB">
        <w:rPr>
          <w:lang w:val="es-419"/>
        </w:rPr>
        <w:t xml:space="preserve">El 26 de marzo de 2025 la parte peticionaria informó a la CIDH que </w:t>
      </w:r>
      <w:r w:rsidR="003E144F" w:rsidRPr="003633BB">
        <w:rPr>
          <w:lang w:val="es-419"/>
        </w:rPr>
        <w:t xml:space="preserve">desde 2020, solicitaron a la Corporación Reiniciar, </w:t>
      </w:r>
      <w:r w:rsidR="00E04B6F" w:rsidRPr="003633BB">
        <w:rPr>
          <w:lang w:val="es-419"/>
        </w:rPr>
        <w:t xml:space="preserve">que </w:t>
      </w:r>
      <w:r w:rsidR="003E144F" w:rsidRPr="003633BB">
        <w:rPr>
          <w:lang w:val="es-419"/>
        </w:rPr>
        <w:t xml:space="preserve">fuera retirado el nombre del señor Edgar Quiroga del listado de víctimas del caso “Integrantes y Militantes Unión Patriótica v. Colombia”, dado que </w:t>
      </w:r>
      <w:r w:rsidR="00E04B6F" w:rsidRPr="003633BB">
        <w:rPr>
          <w:lang w:val="es-419"/>
        </w:rPr>
        <w:t xml:space="preserve">él </w:t>
      </w:r>
      <w:r w:rsidR="003E144F" w:rsidRPr="003633BB">
        <w:rPr>
          <w:lang w:val="es-419"/>
        </w:rPr>
        <w:t>nunca hizo parte de la Unión Patriótica</w:t>
      </w:r>
      <w:r w:rsidR="00E04B6F" w:rsidRPr="003633BB">
        <w:rPr>
          <w:lang w:val="es-419"/>
        </w:rPr>
        <w:t>.</w:t>
      </w:r>
      <w:r w:rsidR="00A01A3E" w:rsidRPr="003633BB">
        <w:rPr>
          <w:lang w:val="es-419"/>
        </w:rPr>
        <w:t xml:space="preserve"> Indica que e</w:t>
      </w:r>
      <w:r w:rsidRPr="003633BB">
        <w:rPr>
          <w:lang w:val="es-419"/>
        </w:rPr>
        <w:t xml:space="preserve">l </w:t>
      </w:r>
      <w:r w:rsidR="00BB1FB2" w:rsidRPr="003633BB">
        <w:rPr>
          <w:lang w:val="es-419"/>
        </w:rPr>
        <w:t>9 de julio</w:t>
      </w:r>
      <w:r w:rsidRPr="003633BB">
        <w:rPr>
          <w:lang w:val="es-419"/>
        </w:rPr>
        <w:t xml:space="preserve"> de 2020</w:t>
      </w:r>
      <w:r w:rsidR="00894B95" w:rsidRPr="003633BB">
        <w:rPr>
          <w:lang w:val="es-419"/>
        </w:rPr>
        <w:t>, solicitó a la Corte</w:t>
      </w:r>
      <w:r w:rsidR="00CF5F2B" w:rsidRPr="003633BB">
        <w:rPr>
          <w:lang w:val="es-419"/>
        </w:rPr>
        <w:t xml:space="preserve"> </w:t>
      </w:r>
      <w:r w:rsidR="001C7DBB" w:rsidRPr="003633BB">
        <w:rPr>
          <w:lang w:val="es-419"/>
        </w:rPr>
        <w:t>Interamericana</w:t>
      </w:r>
      <w:r w:rsidR="00894B95" w:rsidRPr="003633BB">
        <w:rPr>
          <w:lang w:val="es-419"/>
        </w:rPr>
        <w:t xml:space="preserve"> la exclusión del listado de víctimas del caso Integrantes y Militantes de la Unión Patriótica vs. Colombia</w:t>
      </w:r>
      <w:r w:rsidR="00CF5F2B" w:rsidRPr="003633BB">
        <w:rPr>
          <w:lang w:val="es-419"/>
        </w:rPr>
        <w:t>,</w:t>
      </w:r>
      <w:r w:rsidR="009A1907" w:rsidRPr="003633BB">
        <w:rPr>
          <w:lang w:val="es-419"/>
        </w:rPr>
        <w:t xml:space="preserve"> y que luego del dictado de la sentencia de dicho caso, el </w:t>
      </w:r>
      <w:r w:rsidR="001D7EF1" w:rsidRPr="003633BB">
        <w:rPr>
          <w:lang w:val="es-419"/>
        </w:rPr>
        <w:t>27 de julio</w:t>
      </w:r>
      <w:r w:rsidR="009A1907" w:rsidRPr="003633BB">
        <w:rPr>
          <w:lang w:val="es-419"/>
        </w:rPr>
        <w:t xml:space="preserve"> de 202</w:t>
      </w:r>
      <w:r w:rsidR="001D7EF1" w:rsidRPr="003633BB">
        <w:rPr>
          <w:lang w:val="es-419"/>
        </w:rPr>
        <w:t>2</w:t>
      </w:r>
      <w:r w:rsidR="009A1907" w:rsidRPr="003633BB">
        <w:rPr>
          <w:lang w:val="es-419"/>
        </w:rPr>
        <w:t xml:space="preserve">, </w:t>
      </w:r>
      <w:r w:rsidR="003B76E8" w:rsidRPr="003633BB">
        <w:rPr>
          <w:lang w:val="es-419"/>
        </w:rPr>
        <w:t>al no ser</w:t>
      </w:r>
      <w:r w:rsidR="009A1907" w:rsidRPr="003633BB">
        <w:rPr>
          <w:lang w:val="es-419"/>
        </w:rPr>
        <w:t xml:space="preserve"> la víctima excluida, se reiteró dicha solicitud a la Corte el </w:t>
      </w:r>
      <w:r w:rsidR="0039646C" w:rsidRPr="003633BB">
        <w:rPr>
          <w:lang w:val="es-419"/>
        </w:rPr>
        <w:t>20</w:t>
      </w:r>
      <w:r w:rsidR="009A1907" w:rsidRPr="003633BB">
        <w:rPr>
          <w:lang w:val="es-419"/>
        </w:rPr>
        <w:t xml:space="preserve"> de </w:t>
      </w:r>
      <w:r w:rsidR="0039646C" w:rsidRPr="003633BB">
        <w:rPr>
          <w:lang w:val="es-419"/>
        </w:rPr>
        <w:t>marzo de 2025</w:t>
      </w:r>
      <w:r w:rsidR="009A1907" w:rsidRPr="003633BB">
        <w:rPr>
          <w:lang w:val="es-419"/>
        </w:rPr>
        <w:t>.</w:t>
      </w:r>
    </w:p>
    <w:p w14:paraId="67C96081" w14:textId="77777777" w:rsidR="00A01A3E" w:rsidRPr="003633BB" w:rsidRDefault="00A01A3E" w:rsidP="00A01A3E">
      <w:pPr>
        <w:pStyle w:val="parrafos"/>
        <w:rPr>
          <w:lang w:val="es-419"/>
        </w:rPr>
      </w:pPr>
    </w:p>
    <w:p w14:paraId="5E7EED73" w14:textId="21129389" w:rsidR="0039646C" w:rsidRPr="003633BB" w:rsidRDefault="00E01369" w:rsidP="00535BA6">
      <w:pPr>
        <w:pStyle w:val="parrafos"/>
        <w:numPr>
          <w:ilvl w:val="0"/>
          <w:numId w:val="58"/>
        </w:numPr>
        <w:ind w:left="0" w:firstLine="0"/>
        <w:rPr>
          <w:lang w:val="es-419"/>
        </w:rPr>
      </w:pPr>
      <w:r w:rsidRPr="003633BB">
        <w:rPr>
          <w:lang w:val="es-419"/>
        </w:rPr>
        <w:t>La parte peticionaria s</w:t>
      </w:r>
      <w:r w:rsidR="00A01A3E" w:rsidRPr="003633BB">
        <w:rPr>
          <w:lang w:val="es-419"/>
        </w:rPr>
        <w:t xml:space="preserve">ostiene que </w:t>
      </w:r>
      <w:r w:rsidR="00462F7C" w:rsidRPr="003633BB">
        <w:rPr>
          <w:lang w:val="es-419"/>
        </w:rPr>
        <w:t xml:space="preserve">el </w:t>
      </w:r>
      <w:r w:rsidR="00FD56CD" w:rsidRPr="003633BB">
        <w:rPr>
          <w:lang w:val="es-419"/>
        </w:rPr>
        <w:t>Estado había a</w:t>
      </w:r>
      <w:r w:rsidR="00462F7C" w:rsidRPr="003633BB">
        <w:rPr>
          <w:lang w:val="es-419"/>
        </w:rPr>
        <w:t>nunci</w:t>
      </w:r>
      <w:r w:rsidR="00FD56CD" w:rsidRPr="003633BB">
        <w:rPr>
          <w:lang w:val="es-419"/>
        </w:rPr>
        <w:t>ado</w:t>
      </w:r>
      <w:r w:rsidR="00462F7C" w:rsidRPr="003633BB">
        <w:rPr>
          <w:lang w:val="es-419"/>
        </w:rPr>
        <w:t xml:space="preserve"> </w:t>
      </w:r>
      <w:r w:rsidR="00FD56CD" w:rsidRPr="003633BB">
        <w:rPr>
          <w:lang w:val="es-419"/>
        </w:rPr>
        <w:t xml:space="preserve">que iba a solicitar </w:t>
      </w:r>
      <w:r w:rsidR="00462F7C" w:rsidRPr="003633BB">
        <w:rPr>
          <w:lang w:val="es-419"/>
        </w:rPr>
        <w:t>“al Tribunal Administrativo de Cundinamarca la suspensión en el trámite de aprobación judicial frente al señor Edgar Quiroga y sus beneficiarios”</w:t>
      </w:r>
      <w:r w:rsidR="00FD56CD" w:rsidRPr="003633BB">
        <w:rPr>
          <w:lang w:val="es-419"/>
        </w:rPr>
        <w:t xml:space="preserve"> lo cual llenó</w:t>
      </w:r>
      <w:r w:rsidR="00462F7C" w:rsidRPr="003633BB">
        <w:rPr>
          <w:lang w:val="es-419"/>
        </w:rPr>
        <w:t xml:space="preserve"> de angustia y dolor a los familiares del señor Quiroga Rojas, </w:t>
      </w:r>
      <w:r w:rsidR="00535BA6" w:rsidRPr="003633BB">
        <w:rPr>
          <w:lang w:val="es-419"/>
        </w:rPr>
        <w:t xml:space="preserve">dado que las medidas </w:t>
      </w:r>
      <w:r w:rsidR="00462F7C" w:rsidRPr="003633BB">
        <w:rPr>
          <w:lang w:val="es-419"/>
        </w:rPr>
        <w:t>de reparación, satisfacción, búsqueda, justicia y no repeticiones acordadas, quedarían bajo suspenso.</w:t>
      </w:r>
    </w:p>
    <w:p w14:paraId="20F82EF4" w14:textId="77777777" w:rsidR="00535BA6" w:rsidRPr="003633BB" w:rsidRDefault="00535BA6" w:rsidP="0039646C">
      <w:pPr>
        <w:pStyle w:val="ListParagraph"/>
        <w:rPr>
          <w:lang w:val="es-419"/>
        </w:rPr>
      </w:pPr>
    </w:p>
    <w:p w14:paraId="228D2295" w14:textId="161AA400" w:rsidR="000D55B3" w:rsidRPr="003633BB" w:rsidRDefault="0039646C" w:rsidP="0054514D">
      <w:pPr>
        <w:pStyle w:val="parrafos"/>
        <w:numPr>
          <w:ilvl w:val="0"/>
          <w:numId w:val="58"/>
        </w:numPr>
        <w:ind w:left="0" w:firstLine="0"/>
        <w:rPr>
          <w:lang w:val="es-419"/>
        </w:rPr>
      </w:pPr>
      <w:r w:rsidRPr="003633BB">
        <w:rPr>
          <w:lang w:val="es-419"/>
        </w:rPr>
        <w:t xml:space="preserve">El </w:t>
      </w:r>
      <w:r w:rsidR="00E21247" w:rsidRPr="003633BB">
        <w:rPr>
          <w:lang w:val="es-419"/>
        </w:rPr>
        <w:t xml:space="preserve">7 de abril </w:t>
      </w:r>
      <w:r w:rsidR="009C7BC6" w:rsidRPr="003633BB">
        <w:rPr>
          <w:lang w:val="es-419"/>
        </w:rPr>
        <w:t>de 2025 el Estado informó a</w:t>
      </w:r>
      <w:r w:rsidR="00E21247" w:rsidRPr="003633BB">
        <w:rPr>
          <w:lang w:val="es-419"/>
        </w:rPr>
        <w:t xml:space="preserve"> </w:t>
      </w:r>
      <w:r w:rsidR="009C7BC6" w:rsidRPr="003633BB">
        <w:rPr>
          <w:lang w:val="es-419"/>
        </w:rPr>
        <w:t>la CIDH que la Corte Interamericana, mediante</w:t>
      </w:r>
      <w:r w:rsidR="00A531BC" w:rsidRPr="003633BB">
        <w:rPr>
          <w:lang w:val="es-419"/>
        </w:rPr>
        <w:t xml:space="preserve"> </w:t>
      </w:r>
      <w:r w:rsidR="00E21247" w:rsidRPr="003633BB">
        <w:rPr>
          <w:lang w:val="es-419"/>
        </w:rPr>
        <w:t xml:space="preserve">nota </w:t>
      </w:r>
      <w:r w:rsidR="009C7BC6" w:rsidRPr="003633BB">
        <w:rPr>
          <w:lang w:val="es-419"/>
        </w:rPr>
        <w:t xml:space="preserve">del 28 de marzo de 2025, informó lo siguiente: </w:t>
      </w:r>
    </w:p>
    <w:p w14:paraId="1B746341" w14:textId="77777777" w:rsidR="000D55B3" w:rsidRPr="003633BB" w:rsidRDefault="000D55B3" w:rsidP="000D55B3">
      <w:pPr>
        <w:pStyle w:val="ListParagraph"/>
        <w:rPr>
          <w:lang w:val="es-419"/>
        </w:rPr>
      </w:pPr>
    </w:p>
    <w:p w14:paraId="3AD37D69" w14:textId="22C1A441" w:rsidR="0039646C" w:rsidRPr="003633BB" w:rsidRDefault="009C7BC6" w:rsidP="000D55B3">
      <w:pPr>
        <w:pStyle w:val="parrafos"/>
        <w:ind w:left="360" w:right="1080"/>
        <w:rPr>
          <w:sz w:val="18"/>
          <w:szCs w:val="18"/>
          <w:lang w:val="es-419"/>
        </w:rPr>
      </w:pPr>
      <w:r w:rsidRPr="003633BB">
        <w:rPr>
          <w:sz w:val="18"/>
          <w:szCs w:val="18"/>
          <w:lang w:val="es-419"/>
        </w:rPr>
        <w:t>“</w:t>
      </w:r>
      <w:r w:rsidR="006B3073" w:rsidRPr="003633BB">
        <w:rPr>
          <w:sz w:val="18"/>
          <w:szCs w:val="18"/>
          <w:lang w:val="es-419"/>
        </w:rPr>
        <w:t>e</w:t>
      </w:r>
      <w:r w:rsidRPr="003633BB">
        <w:rPr>
          <w:sz w:val="18"/>
          <w:szCs w:val="18"/>
          <w:lang w:val="es-419"/>
        </w:rPr>
        <w:t>sta Corte constata que la corporación Reiniciar había solicitado durante el trámite del caso de referencia la exclusión del Sr. Edgar Quiroga Rojas del listado de víctimas del caso. A pesar de ello, esa persona figura en el Anexo III del listado de víctimas del caso.</w:t>
      </w:r>
    </w:p>
    <w:p w14:paraId="6D844CD7" w14:textId="51EDAFF8" w:rsidR="00E6343A" w:rsidRPr="003633BB" w:rsidRDefault="00E6343A" w:rsidP="000D55B3">
      <w:pPr>
        <w:pStyle w:val="parrafos"/>
        <w:ind w:left="360" w:right="1080"/>
        <w:rPr>
          <w:lang w:val="es-419"/>
        </w:rPr>
      </w:pPr>
      <w:r w:rsidRPr="003633BB">
        <w:rPr>
          <w:sz w:val="18"/>
          <w:szCs w:val="18"/>
          <w:lang w:val="es-419"/>
        </w:rPr>
        <w:t>En consecuencia, siguiendo instrucciones del Pleno de la Corte, me permito informar que se estimó procedente efectuar el siguiente cambio material en la Sentencia del presente caso, de conformidad con el artículo 76 del Reglamento: Eliminar del Anexo III el registro 4055 de la sentencia de 27 de julio de 2022 en el Caso Integrantes y Militantes de la Unión Patriótica Vs. Colombia que contiene actualmente el siguiente texto: “QUIROGA ÉDGAR Desaparición Forzada San Pablo Bolívar; 28-nov.-1999”.</w:t>
      </w:r>
    </w:p>
    <w:p w14:paraId="6D2B6F7A" w14:textId="77777777" w:rsidR="00434328" w:rsidRPr="003633BB" w:rsidRDefault="00434328" w:rsidP="00434328">
      <w:pPr>
        <w:pStyle w:val="parrafos"/>
        <w:rPr>
          <w:lang w:val="es-419"/>
        </w:rPr>
      </w:pPr>
    </w:p>
    <w:p w14:paraId="53D2C320" w14:textId="6DDE117A" w:rsidR="001205FF" w:rsidRPr="003633BB" w:rsidRDefault="001205FF" w:rsidP="000D55B3">
      <w:pPr>
        <w:pStyle w:val="parrafos"/>
        <w:numPr>
          <w:ilvl w:val="0"/>
          <w:numId w:val="58"/>
        </w:numPr>
        <w:ind w:left="0" w:firstLine="0"/>
        <w:rPr>
          <w:lang w:val="es-419"/>
        </w:rPr>
      </w:pPr>
      <w:r w:rsidRPr="003633BB">
        <w:rPr>
          <w:lang w:val="es-419"/>
        </w:rPr>
        <w:t xml:space="preserve">En este </w:t>
      </w:r>
      <w:r w:rsidRPr="003633BB">
        <w:rPr>
          <w:color w:val="auto"/>
          <w:lang w:val="es-419"/>
        </w:rPr>
        <w:t>sentido</w:t>
      </w:r>
      <w:r w:rsidRPr="003633BB">
        <w:rPr>
          <w:lang w:val="es-419"/>
        </w:rPr>
        <w:t>, el Estado señaló que seguirá avanzando en la implementación de las medidas pactadas en el Acuerdo de Cumplimiento de Recomendaciones, en aras de lograr una pronta reparación de las víctimas.</w:t>
      </w:r>
    </w:p>
    <w:p w14:paraId="0887A16F" w14:textId="77777777" w:rsidR="0095563B" w:rsidRPr="003633BB" w:rsidRDefault="0095563B" w:rsidP="0095563B">
      <w:pPr>
        <w:pStyle w:val="parrafos"/>
        <w:rPr>
          <w:lang w:val="es-419"/>
        </w:rPr>
      </w:pPr>
    </w:p>
    <w:p w14:paraId="5A1A790B" w14:textId="5E32AE01" w:rsidR="0095563B" w:rsidRPr="00BE71E4" w:rsidRDefault="0095563B" w:rsidP="000D55B3">
      <w:pPr>
        <w:pStyle w:val="parrafos"/>
        <w:numPr>
          <w:ilvl w:val="0"/>
          <w:numId w:val="58"/>
        </w:numPr>
        <w:ind w:left="0" w:firstLine="0"/>
        <w:rPr>
          <w:lang w:val="es-419"/>
        </w:rPr>
      </w:pPr>
      <w:r w:rsidRPr="003633BB">
        <w:rPr>
          <w:lang w:val="es-419"/>
        </w:rPr>
        <w:t>Al respecto, la Comisión obs</w:t>
      </w:r>
      <w:r w:rsidR="00B13287" w:rsidRPr="003633BB">
        <w:rPr>
          <w:lang w:val="es-419"/>
        </w:rPr>
        <w:t>e</w:t>
      </w:r>
      <w:r w:rsidRPr="003633BB">
        <w:rPr>
          <w:lang w:val="es-419"/>
        </w:rPr>
        <w:t>rva que la Corte</w:t>
      </w:r>
      <w:r w:rsidR="00B13287" w:rsidRPr="003633BB">
        <w:rPr>
          <w:lang w:val="es-419"/>
        </w:rPr>
        <w:t xml:space="preserve"> </w:t>
      </w:r>
      <w:r w:rsidR="001C7DBB" w:rsidRPr="003633BB">
        <w:rPr>
          <w:lang w:val="es-419"/>
        </w:rPr>
        <w:t>Interamericana</w:t>
      </w:r>
      <w:r w:rsidRPr="003633BB">
        <w:rPr>
          <w:lang w:val="es-419"/>
        </w:rPr>
        <w:t xml:space="preserve"> excluyó al señor Quiroga de la lista de víctimas del caso “Integrantes y Militantes Unión Patriótica v. Colombia” y que el </w:t>
      </w:r>
      <w:r w:rsidRPr="00BE71E4">
        <w:rPr>
          <w:lang w:val="es-419"/>
        </w:rPr>
        <w:t xml:space="preserve">Estado </w:t>
      </w:r>
      <w:r w:rsidR="00545FA8" w:rsidRPr="00BE71E4">
        <w:rPr>
          <w:lang w:val="es-419"/>
        </w:rPr>
        <w:t xml:space="preserve">indicó que </w:t>
      </w:r>
      <w:r w:rsidRPr="00BE71E4">
        <w:rPr>
          <w:lang w:val="es-419"/>
        </w:rPr>
        <w:t>continuará implementando las medidas de reparación</w:t>
      </w:r>
      <w:r w:rsidR="00056E47" w:rsidRPr="00BE71E4">
        <w:rPr>
          <w:lang w:val="es-419"/>
        </w:rPr>
        <w:t xml:space="preserve"> pactadas en el Acuerdo de Cumplimiento de Recomendaciones del presente caso.</w:t>
      </w:r>
    </w:p>
    <w:p w14:paraId="275D8E1A" w14:textId="77777777" w:rsidR="00777A9A" w:rsidRPr="00BE71E4" w:rsidRDefault="00777A9A" w:rsidP="00777A9A">
      <w:pPr>
        <w:pStyle w:val="ListParagraph"/>
        <w:rPr>
          <w:lang w:val="es-419"/>
        </w:rPr>
      </w:pPr>
    </w:p>
    <w:p w14:paraId="294EF488" w14:textId="5BEE2B27" w:rsidR="000D184B" w:rsidRPr="00BE71E4" w:rsidRDefault="000D184B" w:rsidP="000D184B">
      <w:pPr>
        <w:pStyle w:val="parrafos"/>
        <w:numPr>
          <w:ilvl w:val="0"/>
          <w:numId w:val="58"/>
        </w:numPr>
        <w:ind w:left="0" w:firstLine="0"/>
        <w:rPr>
          <w:rFonts w:cs="Verdana"/>
          <w:lang w:val="es-ES" w:bidi="en-US"/>
        </w:rPr>
      </w:pPr>
      <w:r w:rsidRPr="00BE71E4">
        <w:rPr>
          <w:rFonts w:ascii="Cambria" w:hAnsi="Cambria"/>
          <w:lang w:val="es-US"/>
        </w:rPr>
        <w:t>La</w:t>
      </w:r>
      <w:r w:rsidRPr="00BE71E4">
        <w:rPr>
          <w:rFonts w:cs="Verdana"/>
          <w:lang w:val="es-ES" w:bidi="en-US"/>
        </w:rPr>
        <w:t xml:space="preserve"> Comisión adoptó el Informe de Fondo (Final) No. </w:t>
      </w:r>
      <w:r w:rsidR="001D0C76" w:rsidRPr="00BE71E4">
        <w:rPr>
          <w:rFonts w:cs="Verdana"/>
          <w:lang w:val="es-ES" w:bidi="en-US"/>
        </w:rPr>
        <w:t>90</w:t>
      </w:r>
      <w:r w:rsidRPr="00BE71E4">
        <w:rPr>
          <w:rFonts w:cs="Verdana"/>
          <w:lang w:val="es-ES" w:bidi="en-US"/>
        </w:rPr>
        <w:t>/25 el 2</w:t>
      </w:r>
      <w:r w:rsidR="001D0C76" w:rsidRPr="00BE71E4">
        <w:rPr>
          <w:rFonts w:cs="Verdana"/>
          <w:lang w:val="es-ES" w:bidi="en-US"/>
        </w:rPr>
        <w:t>4</w:t>
      </w:r>
      <w:r w:rsidRPr="00BE71E4">
        <w:rPr>
          <w:rFonts w:cs="Verdana"/>
          <w:lang w:val="es-ES" w:bidi="en-US"/>
        </w:rPr>
        <w:t xml:space="preserve"> de </w:t>
      </w:r>
      <w:r w:rsidR="001D0C76" w:rsidRPr="00BE71E4">
        <w:rPr>
          <w:rFonts w:cs="Verdana"/>
          <w:lang w:val="es-ES" w:bidi="en-US"/>
        </w:rPr>
        <w:t xml:space="preserve">junio </w:t>
      </w:r>
      <w:r w:rsidRPr="00BE71E4">
        <w:rPr>
          <w:rFonts w:cs="Verdana"/>
          <w:lang w:val="es-ES" w:bidi="en-US"/>
        </w:rPr>
        <w:t>de 2025</w:t>
      </w:r>
      <w:r w:rsidR="004167B7" w:rsidRPr="00BE71E4">
        <w:rPr>
          <w:rFonts w:ascii="Cambria" w:hAnsi="Cambria"/>
          <w:bCs/>
          <w:lang w:val="es-419"/>
        </w:rPr>
        <w:t xml:space="preserve"> que comprende los párrafos 1 a 171 </w:t>
      </w:r>
      <w:r w:rsidR="004167B7" w:rsidRPr="00BE71E4">
        <w:rPr>
          <w:rFonts w:ascii="Cambria" w:hAnsi="Cambria"/>
          <w:bCs/>
          <w:i/>
          <w:iCs/>
          <w:lang w:val="es-419"/>
        </w:rPr>
        <w:t>supra</w:t>
      </w:r>
      <w:r w:rsidRPr="00BE71E4">
        <w:rPr>
          <w:rFonts w:cs="Verdana"/>
          <w:lang w:val="es-ES" w:bidi="en-US"/>
        </w:rPr>
        <w:t>. En dicho informe la CIDH reiteró sus recomendaciones:</w:t>
      </w:r>
    </w:p>
    <w:p w14:paraId="04A10C47" w14:textId="77777777" w:rsidR="008170A9" w:rsidRPr="00BE71E4" w:rsidRDefault="008170A9" w:rsidP="008170A9">
      <w:pPr>
        <w:pStyle w:val="parrafos"/>
        <w:rPr>
          <w:b/>
          <w:bCs/>
          <w:color w:val="auto"/>
          <w:lang w:val="es-419"/>
        </w:rPr>
      </w:pPr>
    </w:p>
    <w:p w14:paraId="3160A0FD" w14:textId="77777777" w:rsidR="008170A9" w:rsidRPr="00BE71E4" w:rsidRDefault="008170A9" w:rsidP="008170A9">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ind w:left="720" w:hanging="630"/>
        <w:jc w:val="both"/>
        <w:rPr>
          <w:rFonts w:ascii="Cambria" w:eastAsia="Times New Roman" w:hAnsi="Cambria" w:cs="Tahoma"/>
          <w:sz w:val="20"/>
          <w:szCs w:val="20"/>
          <w:lang w:val="es-419"/>
        </w:rPr>
      </w:pPr>
      <w:r w:rsidRPr="00BE71E4">
        <w:rPr>
          <w:rFonts w:asciiTheme="majorHAnsi" w:eastAsia="Times New Roman" w:hAnsiTheme="majorHAnsi" w:cs="Tahoma"/>
          <w:sz w:val="20"/>
          <w:szCs w:val="20"/>
          <w:bdr w:val="none" w:sz="0" w:space="0" w:color="auto"/>
          <w:lang w:val="es-419"/>
        </w:rPr>
        <w:t>Reparar</w:t>
      </w:r>
      <w:r w:rsidRPr="00BE71E4">
        <w:rPr>
          <w:rFonts w:ascii="Cambria" w:eastAsia="Times New Roman" w:hAnsi="Cambria" w:cs="Tahoma"/>
          <w:sz w:val="20"/>
          <w:szCs w:val="20"/>
          <w:lang w:val="es-419"/>
        </w:rPr>
        <w:t xml:space="preserve"> integralmente las violaciones de derechos humanos declaradas en el presente informe tanto en el aspecto material como inmaterial. El Estado deberá adoptar las medidas de compensación económica y satisfacción. </w:t>
      </w:r>
    </w:p>
    <w:p w14:paraId="630CCF4B" w14:textId="77777777" w:rsidR="008170A9" w:rsidRPr="00BE71E4" w:rsidRDefault="008170A9" w:rsidP="008170A9">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cs="Tahoma"/>
          <w:sz w:val="20"/>
          <w:szCs w:val="20"/>
          <w:bdr w:val="none" w:sz="0" w:space="0" w:color="auto"/>
          <w:lang w:val="es-419"/>
        </w:rPr>
      </w:pPr>
    </w:p>
    <w:p w14:paraId="7D7951B9" w14:textId="77777777" w:rsidR="008170A9" w:rsidRPr="00BE71E4" w:rsidRDefault="008170A9" w:rsidP="008170A9">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ind w:left="720" w:hanging="630"/>
        <w:jc w:val="both"/>
        <w:rPr>
          <w:rFonts w:asciiTheme="majorHAnsi" w:eastAsia="Times New Roman" w:hAnsiTheme="majorHAnsi" w:cs="Tahoma"/>
          <w:sz w:val="20"/>
          <w:szCs w:val="20"/>
          <w:bdr w:val="none" w:sz="0" w:space="0" w:color="auto"/>
          <w:lang w:val="es-419"/>
        </w:rPr>
      </w:pPr>
      <w:r w:rsidRPr="00BE71E4">
        <w:rPr>
          <w:rFonts w:asciiTheme="majorHAnsi" w:eastAsia="Times New Roman" w:hAnsiTheme="majorHAnsi" w:cs="Tahoma"/>
          <w:sz w:val="20"/>
          <w:szCs w:val="20"/>
          <w:bdr w:val="none" w:sz="0" w:space="0" w:color="auto"/>
          <w:lang w:val="es-419"/>
        </w:rPr>
        <w:t>Investigar</w:t>
      </w:r>
      <w:r w:rsidRPr="00BE71E4">
        <w:rPr>
          <w:rFonts w:asciiTheme="majorHAnsi" w:hAnsiTheme="majorHAnsi"/>
          <w:sz w:val="20"/>
          <w:szCs w:val="20"/>
          <w:lang w:val="es-419"/>
        </w:rPr>
        <w:t xml:space="preserve"> el destino o paradero de las víctimas desaparecidas y, de ser el caso, adoptar las medidas necesarias para identificar y entregar a sus familiares los restos mortales.</w:t>
      </w:r>
    </w:p>
    <w:p w14:paraId="32413279" w14:textId="77777777" w:rsidR="008170A9" w:rsidRPr="00BE71E4" w:rsidRDefault="008170A9" w:rsidP="008170A9">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cs="Tahoma"/>
          <w:sz w:val="20"/>
          <w:szCs w:val="20"/>
          <w:bdr w:val="none" w:sz="0" w:space="0" w:color="auto"/>
          <w:lang w:val="es-419"/>
        </w:rPr>
      </w:pPr>
    </w:p>
    <w:p w14:paraId="0A3A2700" w14:textId="77777777" w:rsidR="008170A9" w:rsidRPr="00BE71E4" w:rsidRDefault="008170A9" w:rsidP="008170A9">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ind w:left="720" w:hanging="630"/>
        <w:jc w:val="both"/>
        <w:rPr>
          <w:rFonts w:asciiTheme="majorHAnsi" w:eastAsia="Times New Roman" w:hAnsiTheme="majorHAnsi"/>
          <w:sz w:val="14"/>
          <w:szCs w:val="14"/>
          <w:bdr w:val="none" w:sz="0" w:space="0" w:color="auto"/>
          <w:lang w:val="es-419"/>
        </w:rPr>
      </w:pPr>
      <w:r w:rsidRPr="00BE71E4">
        <w:rPr>
          <w:rFonts w:asciiTheme="majorHAnsi" w:eastAsia="Times New Roman" w:hAnsiTheme="majorHAnsi" w:cs="Tahoma"/>
          <w:sz w:val="20"/>
          <w:szCs w:val="20"/>
          <w:bdr w:val="none" w:sz="0" w:space="0" w:color="auto"/>
          <w:lang w:val="es-419"/>
        </w:rPr>
        <w:t xml:space="preserve">Iniciar, continuar o reabrir las investigaciones penales y disciplinarias correspondientes por la totalidad de las violaciones de derechos humanos declaradas en el presente Informe de Fondo relacionadas con el secuestro y tortura de Gildardo Fuentes, la desaparición forzada de Edgar Quiroga y Gildardo Fuentes, y el asesinato de Victoria Delgado Anaya. Estas investigaciones deberán efectuarse de manera diligente, efectiva y dentro de un plazo razonable con el objeto de esclarecer los hechos en forma completa, identificar todas las posibles responsabilidades e imponer las sanciones que correspondan de manera proporcional a su gravedad y tomando en cuenta los vínculos y patrones de acción conjunta entre paramilitares identificados en el presente informe. </w:t>
      </w:r>
    </w:p>
    <w:p w14:paraId="73F6D2B6" w14:textId="77777777" w:rsidR="008170A9" w:rsidRPr="00BE71E4" w:rsidRDefault="008170A9" w:rsidP="008170A9">
      <w:pPr>
        <w:rPr>
          <w:rFonts w:asciiTheme="majorHAnsi" w:eastAsia="Times New Roman" w:hAnsiTheme="majorHAnsi" w:cs="Tahoma"/>
          <w:sz w:val="20"/>
          <w:szCs w:val="20"/>
          <w:lang w:val="es-419"/>
        </w:rPr>
      </w:pPr>
    </w:p>
    <w:p w14:paraId="5EFE744B" w14:textId="77777777" w:rsidR="008170A9" w:rsidRPr="00BE71E4" w:rsidRDefault="008170A9" w:rsidP="008170A9">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ind w:left="720" w:hanging="630"/>
        <w:jc w:val="both"/>
        <w:rPr>
          <w:rFonts w:asciiTheme="majorHAnsi" w:eastAsia="Times New Roman" w:hAnsiTheme="majorHAnsi"/>
          <w:sz w:val="14"/>
          <w:szCs w:val="14"/>
          <w:bdr w:val="none" w:sz="0" w:space="0" w:color="auto"/>
          <w:lang w:val="es-419"/>
        </w:rPr>
      </w:pPr>
      <w:r w:rsidRPr="00BE71E4">
        <w:rPr>
          <w:rFonts w:asciiTheme="majorHAnsi" w:eastAsia="Times New Roman" w:hAnsiTheme="majorHAnsi" w:cs="Tahoma"/>
          <w:sz w:val="20"/>
          <w:szCs w:val="20"/>
          <w:lang w:val="es-419"/>
        </w:rPr>
        <w:t>Disponer las medidas de atención en salud física y mental necesarias para la rehabilitación de los familiares de las víctimas, de ser su voluntad y de manera concertada, las cuales deben brindarse de manera gratuita.</w:t>
      </w:r>
    </w:p>
    <w:p w14:paraId="62C05BE7" w14:textId="77777777" w:rsidR="008170A9" w:rsidRPr="00BE71E4" w:rsidRDefault="008170A9" w:rsidP="008170A9">
      <w:pPr>
        <w:pStyle w:val="ListParagraph"/>
        <w:rPr>
          <w:rFonts w:asciiTheme="majorHAnsi" w:eastAsia="Times New Roman" w:hAnsiTheme="majorHAnsi"/>
          <w:sz w:val="14"/>
          <w:szCs w:val="14"/>
          <w:bdr w:val="none" w:sz="0" w:space="0" w:color="auto"/>
          <w:lang w:val="es-419"/>
        </w:rPr>
      </w:pPr>
    </w:p>
    <w:p w14:paraId="08929406" w14:textId="77777777" w:rsidR="008170A9" w:rsidRPr="00BE71E4" w:rsidRDefault="008170A9" w:rsidP="008170A9">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ind w:left="720" w:hanging="630"/>
        <w:jc w:val="both"/>
        <w:rPr>
          <w:rFonts w:asciiTheme="majorHAnsi" w:eastAsia="Times New Roman" w:hAnsiTheme="majorHAnsi" w:cs="Tahoma"/>
          <w:sz w:val="20"/>
          <w:szCs w:val="20"/>
          <w:lang w:val="es-419"/>
        </w:rPr>
      </w:pPr>
      <w:r w:rsidRPr="00BE71E4">
        <w:rPr>
          <w:rFonts w:asciiTheme="majorHAnsi" w:eastAsia="Times New Roman" w:hAnsiTheme="majorHAnsi" w:cs="Tahoma"/>
          <w:sz w:val="20"/>
          <w:szCs w:val="20"/>
          <w:lang w:val="es-419"/>
        </w:rPr>
        <w:t xml:space="preserve">Adoptar las medidas necesarias para evitar que en el futuro se repitan los hechos del presente caso, en particular mediante el fortalecimiento de: i) la capacidad investigativa de contextos y patrones de actuación conjunta entre agentes estatales y grupos armados ilegales en la zona donde ocurrieron los hechos del presente caso y ii) de mecanismos de protección para las y los defensores de derechos humanos que defienden o promueven causas en la zona en la que ocurrieron los hechos del presente caso. </w:t>
      </w:r>
    </w:p>
    <w:p w14:paraId="7A455B41" w14:textId="77777777" w:rsidR="008170A9" w:rsidRPr="00BE71E4" w:rsidRDefault="008170A9" w:rsidP="008170A9">
      <w:pPr>
        <w:pStyle w:val="parrafos"/>
        <w:rPr>
          <w:rFonts w:ascii="Calibri Light" w:hAnsi="Calibri Light"/>
          <w:lang w:val="es-419"/>
        </w:rPr>
      </w:pPr>
    </w:p>
    <w:p w14:paraId="0CDEDC13" w14:textId="77777777" w:rsidR="003A0107" w:rsidRPr="00BE71E4" w:rsidRDefault="003A0107" w:rsidP="003A0107">
      <w:pPr>
        <w:ind w:firstLine="720"/>
        <w:jc w:val="both"/>
        <w:rPr>
          <w:rFonts w:asciiTheme="majorHAnsi" w:hAnsiTheme="majorHAnsi"/>
          <w:sz w:val="20"/>
          <w:szCs w:val="20"/>
          <w:lang w:val="es-ES"/>
        </w:rPr>
      </w:pPr>
    </w:p>
    <w:p w14:paraId="5CAD7D06" w14:textId="5A941447" w:rsidR="003A0107" w:rsidRPr="00BE71E4" w:rsidRDefault="003A0107" w:rsidP="003A0107">
      <w:pPr>
        <w:pStyle w:val="Heading1"/>
        <w:keepNext w:val="0"/>
        <w:numPr>
          <w:ilvl w:val="0"/>
          <w:numId w:val="60"/>
        </w:numPr>
        <w:pBdr>
          <w:top w:val="nil"/>
          <w:left w:val="nil"/>
          <w:bottom w:val="nil"/>
          <w:right w:val="nil"/>
          <w:between w:val="nil"/>
          <w:bar w:val="nil"/>
        </w:pBdr>
        <w:tabs>
          <w:tab w:val="left" w:pos="360"/>
        </w:tabs>
        <w:suppressAutoHyphens/>
        <w:ind w:left="0" w:right="360" w:firstLine="0"/>
        <w:jc w:val="both"/>
        <w:rPr>
          <w:lang w:val="es-US"/>
        </w:rPr>
      </w:pPr>
      <w:bookmarkStart w:id="51" w:name="_Toc83747595"/>
      <w:bookmarkStart w:id="52" w:name="_Toc194050570"/>
      <w:bookmarkStart w:id="53" w:name="_Toc196308638"/>
      <w:bookmarkStart w:id="54" w:name="_Toc202349291"/>
      <w:bookmarkStart w:id="55" w:name="_Toc202873655"/>
      <w:bookmarkStart w:id="56" w:name="_Toc216359328"/>
      <w:r w:rsidRPr="00BE71E4">
        <w:rPr>
          <w:rFonts w:asciiTheme="majorHAnsi" w:eastAsia="Cambria" w:hAnsiTheme="majorHAnsi" w:cs="Cambria"/>
          <w:bCs w:val="0"/>
          <w:color w:val="000000"/>
          <w:u w:color="000000"/>
          <w:lang w:val="es-419" w:eastAsia="es-ES"/>
        </w:rPr>
        <w:t>ACTUACIONES</w:t>
      </w:r>
      <w:r w:rsidRPr="00BE71E4">
        <w:rPr>
          <w:lang w:val="es-US"/>
        </w:rPr>
        <w:t xml:space="preserve"> POSTERIORES AL INFORME No. 90/25 E INFORMACIÓN SOBRE CUMPLIMIENTO</w:t>
      </w:r>
      <w:bookmarkEnd w:id="51"/>
      <w:bookmarkEnd w:id="52"/>
      <w:bookmarkEnd w:id="53"/>
      <w:bookmarkEnd w:id="54"/>
      <w:bookmarkEnd w:id="55"/>
      <w:bookmarkEnd w:id="56"/>
    </w:p>
    <w:p w14:paraId="06A22AE5" w14:textId="77777777" w:rsidR="003A0107" w:rsidRPr="00BE71E4" w:rsidRDefault="003A0107" w:rsidP="003A010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Theme="majorHAnsi" w:hAnsiTheme="majorHAnsi"/>
          <w:sz w:val="20"/>
          <w:szCs w:val="20"/>
        </w:rPr>
      </w:pPr>
    </w:p>
    <w:p w14:paraId="16545342" w14:textId="1DE9CB5B" w:rsidR="003A0107" w:rsidRPr="00BE71E4" w:rsidRDefault="003A0107" w:rsidP="003A0107">
      <w:pPr>
        <w:pStyle w:val="parrafos"/>
        <w:numPr>
          <w:ilvl w:val="0"/>
          <w:numId w:val="58"/>
        </w:numPr>
        <w:ind w:left="0" w:firstLine="0"/>
        <w:rPr>
          <w:lang w:val="es-ES"/>
        </w:rPr>
      </w:pPr>
      <w:r w:rsidRPr="00BE71E4">
        <w:rPr>
          <w:color w:val="auto"/>
          <w:lang w:val="es-419"/>
        </w:rPr>
        <w:t>La</w:t>
      </w:r>
      <w:r w:rsidRPr="00BE71E4">
        <w:rPr>
          <w:lang w:val="es-ES"/>
        </w:rPr>
        <w:t xml:space="preserve"> Comisión transmitió el Informe de Fondo (Final) No. 90/25 al Estado el </w:t>
      </w:r>
      <w:r w:rsidR="00AC1F0C" w:rsidRPr="00BE71E4">
        <w:rPr>
          <w:lang w:val="es-ES"/>
        </w:rPr>
        <w:t>9</w:t>
      </w:r>
      <w:r w:rsidRPr="00BE71E4">
        <w:rPr>
          <w:lang w:val="es-ES"/>
        </w:rPr>
        <w:t xml:space="preserve"> de </w:t>
      </w:r>
      <w:r w:rsidR="00773B3A" w:rsidRPr="00BE71E4">
        <w:rPr>
          <w:lang w:val="es-ES"/>
        </w:rPr>
        <w:t xml:space="preserve">julio </w:t>
      </w:r>
      <w:r w:rsidRPr="00BE71E4">
        <w:rPr>
          <w:lang w:val="es-ES"/>
        </w:rPr>
        <w:t xml:space="preserve">de 2025 otorgándole el plazo de tres semanas para informar sobre las medidas adoptadas para el cumplimiento de las recomendaciones pendientes. </w:t>
      </w:r>
      <w:r w:rsidRPr="00BE71E4">
        <w:rPr>
          <w:rFonts w:cs="Verdana"/>
          <w:lang w:val="es-ES" w:bidi="en-US"/>
        </w:rPr>
        <w:t xml:space="preserve">El </w:t>
      </w:r>
      <w:r w:rsidR="00B93CA8" w:rsidRPr="00BE71E4">
        <w:rPr>
          <w:rFonts w:cs="Verdana"/>
          <w:lang w:val="es-ES" w:bidi="en-US"/>
        </w:rPr>
        <w:t>8</w:t>
      </w:r>
      <w:r w:rsidRPr="00BE71E4">
        <w:rPr>
          <w:rFonts w:cs="Verdana"/>
          <w:lang w:val="es-ES" w:bidi="en-US"/>
        </w:rPr>
        <w:t xml:space="preserve"> de </w:t>
      </w:r>
      <w:r w:rsidR="003E429C" w:rsidRPr="00BE71E4">
        <w:rPr>
          <w:rFonts w:cs="Verdana"/>
          <w:lang w:val="es-ES" w:bidi="en-US"/>
        </w:rPr>
        <w:t xml:space="preserve">agosto </w:t>
      </w:r>
      <w:r w:rsidRPr="00BE71E4">
        <w:rPr>
          <w:rFonts w:cs="Verdana"/>
          <w:lang w:val="es-ES" w:bidi="en-US"/>
        </w:rPr>
        <w:t xml:space="preserve">de 2025 la Comisión recibió el informe estatal, comunicación que fue traslada para el conocimiento de la parte peticionaria. </w:t>
      </w:r>
    </w:p>
    <w:p w14:paraId="3C0ACA11" w14:textId="77777777" w:rsidR="003A0107" w:rsidRPr="00BE71E4" w:rsidRDefault="003A0107" w:rsidP="003A0107">
      <w:pPr>
        <w:rPr>
          <w:rFonts w:asciiTheme="majorHAnsi" w:hAnsiTheme="majorHAnsi" w:cs="Verdana"/>
          <w:sz w:val="20"/>
          <w:szCs w:val="20"/>
          <w:lang w:val="es-US" w:bidi="en-US"/>
        </w:rPr>
      </w:pPr>
    </w:p>
    <w:p w14:paraId="010CACF5" w14:textId="0710D6D0" w:rsidR="004E7BF6" w:rsidRPr="00BE71E4" w:rsidRDefault="00157FBB" w:rsidP="003E429C">
      <w:pPr>
        <w:pStyle w:val="parrafos"/>
        <w:numPr>
          <w:ilvl w:val="0"/>
          <w:numId w:val="58"/>
        </w:numPr>
        <w:ind w:left="0" w:firstLine="0"/>
        <w:rPr>
          <w:rFonts w:cs="Verdana"/>
          <w:lang w:val="es-US" w:bidi="en-US"/>
        </w:rPr>
      </w:pPr>
      <w:r w:rsidRPr="00BE71E4">
        <w:rPr>
          <w:rFonts w:cs="Verdana"/>
          <w:lang w:val="es-US" w:bidi="en-US"/>
        </w:rPr>
        <w:lastRenderedPageBreak/>
        <w:t>En cumplimiento de la cláusula séptima del acuerdo de cumplimiento</w:t>
      </w:r>
      <w:r w:rsidR="003770C1" w:rsidRPr="00BE71E4">
        <w:rPr>
          <w:rFonts w:cs="Verdana"/>
          <w:lang w:val="es-US" w:bidi="en-US"/>
        </w:rPr>
        <w:t>,</w:t>
      </w:r>
      <w:r w:rsidRPr="00BE71E4">
        <w:rPr>
          <w:rFonts w:cs="Verdana"/>
          <w:lang w:val="es-US" w:bidi="en-US"/>
        </w:rPr>
        <w:t xml:space="preserve"> el 27 </w:t>
      </w:r>
      <w:r w:rsidRPr="00BE71E4">
        <w:rPr>
          <w:lang w:val="es-ES"/>
        </w:rPr>
        <w:t>de</w:t>
      </w:r>
      <w:r w:rsidRPr="00BE71E4">
        <w:rPr>
          <w:rFonts w:cs="Verdana"/>
          <w:lang w:val="es-US" w:bidi="en-US"/>
        </w:rPr>
        <w:t xml:space="preserve"> junio de 2025</w:t>
      </w:r>
      <w:r w:rsidR="003770C1" w:rsidRPr="00BE71E4">
        <w:rPr>
          <w:rFonts w:cs="Verdana"/>
          <w:lang w:val="es-US" w:bidi="en-US"/>
        </w:rPr>
        <w:t>,</w:t>
      </w:r>
      <w:r w:rsidRPr="00BE71E4">
        <w:rPr>
          <w:rFonts w:cs="Verdana"/>
          <w:lang w:val="es-US" w:bidi="en-US"/>
        </w:rPr>
        <w:t xml:space="preserve"> las partes remitieron a la CIDH una nota conjunta informando sobre</w:t>
      </w:r>
      <w:r w:rsidR="004E7BF6" w:rsidRPr="00BE71E4">
        <w:rPr>
          <w:rFonts w:cs="Verdana"/>
          <w:lang w:val="es-US" w:bidi="en-US"/>
        </w:rPr>
        <w:t xml:space="preserve"> </w:t>
      </w:r>
      <w:r w:rsidR="00C014C9" w:rsidRPr="00BE71E4">
        <w:rPr>
          <w:rFonts w:cs="Verdana"/>
          <w:lang w:val="es-US" w:bidi="en-US"/>
        </w:rPr>
        <w:t xml:space="preserve">el cumplimiento de la primera recomendación </w:t>
      </w:r>
      <w:r w:rsidR="00126F67" w:rsidRPr="00BE71E4">
        <w:rPr>
          <w:rFonts w:cs="Verdana"/>
          <w:lang w:val="es-US" w:bidi="en-US"/>
        </w:rPr>
        <w:t xml:space="preserve">referida a la reparación integral de las víctimas, en particular sobre </w:t>
      </w:r>
      <w:r w:rsidR="004E7BF6" w:rsidRPr="00BE71E4">
        <w:rPr>
          <w:rFonts w:cs="Verdana"/>
          <w:lang w:val="es-US" w:bidi="en-US"/>
        </w:rPr>
        <w:t xml:space="preserve">la realización del </w:t>
      </w:r>
      <w:r w:rsidRPr="00BE71E4">
        <w:rPr>
          <w:rFonts w:cs="Verdana"/>
          <w:lang w:val="es-US" w:bidi="en-US"/>
        </w:rPr>
        <w:t>a</w:t>
      </w:r>
      <w:r w:rsidR="004E7BF6" w:rsidRPr="00BE71E4">
        <w:rPr>
          <w:rFonts w:cs="Verdana"/>
          <w:lang w:val="es-US" w:bidi="en-US"/>
        </w:rPr>
        <w:t xml:space="preserve">cto de </w:t>
      </w:r>
      <w:r w:rsidRPr="00BE71E4">
        <w:rPr>
          <w:rFonts w:cs="Verdana"/>
          <w:lang w:val="es-US" w:bidi="en-US"/>
        </w:rPr>
        <w:t>r</w:t>
      </w:r>
      <w:r w:rsidR="004E7BF6" w:rsidRPr="00BE71E4">
        <w:rPr>
          <w:rFonts w:cs="Verdana"/>
          <w:lang w:val="es-US" w:bidi="en-US"/>
        </w:rPr>
        <w:t>econocimiento de responsabilidad</w:t>
      </w:r>
      <w:r w:rsidRPr="00BE71E4">
        <w:rPr>
          <w:rFonts w:cs="Verdana"/>
          <w:lang w:val="es-US" w:bidi="en-US"/>
        </w:rPr>
        <w:t xml:space="preserve"> estatal</w:t>
      </w:r>
      <w:r w:rsidR="002828A0" w:rsidRPr="00BE71E4">
        <w:rPr>
          <w:rFonts w:cs="Verdana"/>
          <w:lang w:val="es-US" w:bidi="en-US"/>
        </w:rPr>
        <w:t xml:space="preserve"> y </w:t>
      </w:r>
      <w:r w:rsidR="002379B5" w:rsidRPr="00BE71E4">
        <w:rPr>
          <w:rFonts w:cs="Verdana"/>
          <w:lang w:val="es-US" w:bidi="en-US"/>
        </w:rPr>
        <w:t>sobre</w:t>
      </w:r>
      <w:r w:rsidR="002828A0" w:rsidRPr="00BE71E4">
        <w:rPr>
          <w:rFonts w:cs="Verdana"/>
          <w:lang w:val="es-US" w:bidi="en-US"/>
        </w:rPr>
        <w:t xml:space="preserve"> la dotación de computador</w:t>
      </w:r>
      <w:r w:rsidR="00577E42" w:rsidRPr="00BE71E4">
        <w:rPr>
          <w:rFonts w:cs="Verdana"/>
          <w:lang w:val="es-US" w:bidi="en-US"/>
        </w:rPr>
        <w:t>e</w:t>
      </w:r>
      <w:r w:rsidR="002828A0" w:rsidRPr="00BE71E4">
        <w:rPr>
          <w:rFonts w:cs="Verdana"/>
          <w:lang w:val="es-US" w:bidi="en-US"/>
        </w:rPr>
        <w:t>s a la institución educativa Pozo Azul.</w:t>
      </w:r>
    </w:p>
    <w:p w14:paraId="2DC9E12F" w14:textId="77777777" w:rsidR="001F5A98" w:rsidRPr="00BE71E4" w:rsidRDefault="001F5A98" w:rsidP="001F5A98">
      <w:pPr>
        <w:pStyle w:val="ListParagraph"/>
        <w:rPr>
          <w:rFonts w:cs="Verdana"/>
          <w:lang w:val="es-US" w:bidi="en-US"/>
        </w:rPr>
      </w:pPr>
    </w:p>
    <w:p w14:paraId="4783FE91" w14:textId="352790EE" w:rsidR="001F5A98" w:rsidRPr="00BE71E4" w:rsidRDefault="001F5A98" w:rsidP="003E429C">
      <w:pPr>
        <w:pStyle w:val="parrafos"/>
        <w:numPr>
          <w:ilvl w:val="0"/>
          <w:numId w:val="58"/>
        </w:numPr>
        <w:ind w:left="0" w:firstLine="0"/>
        <w:rPr>
          <w:rFonts w:cs="Verdana"/>
          <w:lang w:val="es-US" w:bidi="en-US"/>
        </w:rPr>
      </w:pPr>
      <w:r w:rsidRPr="00BE71E4">
        <w:rPr>
          <w:rFonts w:cs="Verdana"/>
          <w:lang w:val="es-US" w:bidi="en-US"/>
        </w:rPr>
        <w:t xml:space="preserve">Las partes informaron </w:t>
      </w:r>
      <w:r w:rsidR="002379B5" w:rsidRPr="00BE71E4">
        <w:rPr>
          <w:rFonts w:cs="Verdana"/>
          <w:lang w:val="es-US" w:bidi="en-US"/>
        </w:rPr>
        <w:t>que el Estado hizo</w:t>
      </w:r>
      <w:r w:rsidRPr="00BE71E4">
        <w:rPr>
          <w:rFonts w:cs="Verdana"/>
          <w:lang w:val="es-US" w:bidi="en-US"/>
        </w:rPr>
        <w:t xml:space="preserve"> entrega de diez computadores portátiles a la Institución Educativa Pozo Azul</w:t>
      </w:r>
      <w:r w:rsidR="00577E42" w:rsidRPr="00BE71E4">
        <w:rPr>
          <w:rFonts w:cs="Verdana"/>
          <w:lang w:val="es-US" w:bidi="en-US"/>
        </w:rPr>
        <w:t xml:space="preserve">, </w:t>
      </w:r>
      <w:r w:rsidR="00220088" w:rsidRPr="00BE71E4">
        <w:rPr>
          <w:rFonts w:cs="Verdana"/>
          <w:lang w:val="es-US" w:bidi="en-US"/>
        </w:rPr>
        <w:t>destacando que se entregó</w:t>
      </w:r>
      <w:r w:rsidR="00577E42" w:rsidRPr="00BE71E4">
        <w:rPr>
          <w:rFonts w:cs="Verdana"/>
          <w:lang w:val="es-US" w:bidi="en-US"/>
        </w:rPr>
        <w:t xml:space="preserve"> el doble de computadores pactados</w:t>
      </w:r>
      <w:r w:rsidRPr="00BE71E4">
        <w:rPr>
          <w:rFonts w:cs="Verdana"/>
          <w:lang w:val="es-US" w:bidi="en-US"/>
        </w:rPr>
        <w:t>.</w:t>
      </w:r>
      <w:r w:rsidR="004164C3" w:rsidRPr="00BE71E4">
        <w:rPr>
          <w:rFonts w:cs="Verdana"/>
          <w:lang w:val="es-US" w:bidi="en-US"/>
        </w:rPr>
        <w:t xml:space="preserve"> </w:t>
      </w:r>
    </w:p>
    <w:p w14:paraId="6315DCB1" w14:textId="77777777" w:rsidR="004164C3" w:rsidRPr="00BE71E4" w:rsidRDefault="004164C3" w:rsidP="004164C3">
      <w:pPr>
        <w:pStyle w:val="ListParagraph"/>
        <w:rPr>
          <w:rFonts w:cs="Verdana"/>
          <w:lang w:val="es-US" w:bidi="en-US"/>
        </w:rPr>
      </w:pPr>
    </w:p>
    <w:p w14:paraId="6492C6B6" w14:textId="34A1148F" w:rsidR="001205FF" w:rsidRPr="00BE71E4" w:rsidRDefault="006F272F" w:rsidP="00EF2B30">
      <w:pPr>
        <w:pStyle w:val="parrafos"/>
        <w:numPr>
          <w:ilvl w:val="0"/>
          <w:numId w:val="58"/>
        </w:numPr>
        <w:ind w:left="0" w:firstLine="0"/>
        <w:rPr>
          <w:lang w:val="es-US"/>
        </w:rPr>
      </w:pPr>
      <w:r w:rsidRPr="00BE71E4">
        <w:rPr>
          <w:rFonts w:cs="Verdana"/>
          <w:lang w:val="es-US" w:bidi="en-US"/>
        </w:rPr>
        <w:t>Las partes</w:t>
      </w:r>
      <w:r w:rsidR="004164C3" w:rsidRPr="00BE71E4">
        <w:rPr>
          <w:rFonts w:cs="Verdana"/>
          <w:lang w:val="es-US" w:bidi="en-US"/>
        </w:rPr>
        <w:t xml:space="preserve"> informaron sobre la realizaci</w:t>
      </w:r>
      <w:r w:rsidR="00D4777A" w:rsidRPr="00BE71E4">
        <w:rPr>
          <w:rFonts w:cs="Verdana"/>
          <w:lang w:val="es-US" w:bidi="en-US"/>
        </w:rPr>
        <w:t>ó</w:t>
      </w:r>
      <w:r w:rsidR="004164C3" w:rsidRPr="00BE71E4">
        <w:rPr>
          <w:rFonts w:cs="Verdana"/>
          <w:lang w:val="es-US" w:bidi="en-US"/>
        </w:rPr>
        <w:t>n de</w:t>
      </w:r>
      <w:r w:rsidRPr="00BE71E4">
        <w:rPr>
          <w:rFonts w:cs="Verdana"/>
          <w:lang w:val="es-US" w:bidi="en-US"/>
        </w:rPr>
        <w:t>l</w:t>
      </w:r>
      <w:r w:rsidR="004164C3" w:rsidRPr="00BE71E4">
        <w:rPr>
          <w:rFonts w:cs="Verdana"/>
          <w:lang w:val="es-US" w:bidi="en-US"/>
        </w:rPr>
        <w:t xml:space="preserve"> acto de reconocimiento de responsabilidad estatal</w:t>
      </w:r>
      <w:r w:rsidR="004D2F8A" w:rsidRPr="00BE71E4">
        <w:rPr>
          <w:rFonts w:cs="Verdana"/>
          <w:lang w:val="es-US" w:bidi="en-US"/>
        </w:rPr>
        <w:t>,</w:t>
      </w:r>
      <w:r w:rsidR="00280C6B" w:rsidRPr="00BE71E4">
        <w:rPr>
          <w:rFonts w:cs="Verdana"/>
          <w:lang w:val="es-US" w:bidi="en-US"/>
        </w:rPr>
        <w:t xml:space="preserve"> </w:t>
      </w:r>
      <w:r w:rsidR="004D2F8A" w:rsidRPr="00BE71E4">
        <w:rPr>
          <w:rFonts w:cs="Verdana"/>
          <w:lang w:val="es-US" w:bidi="en-US"/>
        </w:rPr>
        <w:t>el 20 de junio de 2025 en Bogotá</w:t>
      </w:r>
      <w:r w:rsidR="004164C3" w:rsidRPr="00BE71E4">
        <w:rPr>
          <w:rFonts w:cs="Verdana"/>
          <w:lang w:val="es-US" w:bidi="en-US"/>
        </w:rPr>
        <w:t xml:space="preserve">, </w:t>
      </w:r>
      <w:r w:rsidR="004D2F8A" w:rsidRPr="00BE71E4">
        <w:rPr>
          <w:rFonts w:cs="Verdana"/>
          <w:lang w:val="es-US" w:bidi="en-US"/>
        </w:rPr>
        <w:t xml:space="preserve">como fue </w:t>
      </w:r>
      <w:r w:rsidR="004164C3" w:rsidRPr="00BE71E4">
        <w:rPr>
          <w:rFonts w:cs="Verdana"/>
          <w:lang w:val="es-US" w:bidi="en-US"/>
        </w:rPr>
        <w:t>acordado con los familiares de las víctimas y su representación</w:t>
      </w:r>
      <w:r w:rsidR="004D2F8A" w:rsidRPr="00BE71E4">
        <w:rPr>
          <w:rFonts w:cs="Verdana"/>
          <w:lang w:val="es-US" w:bidi="en-US"/>
        </w:rPr>
        <w:t>.</w:t>
      </w:r>
      <w:r w:rsidR="00D4777A" w:rsidRPr="00BE71E4">
        <w:rPr>
          <w:rFonts w:cs="Verdana"/>
          <w:lang w:val="es-US" w:bidi="en-US"/>
        </w:rPr>
        <w:t xml:space="preserve"> </w:t>
      </w:r>
      <w:r w:rsidR="00D93469" w:rsidRPr="00BE71E4">
        <w:rPr>
          <w:rFonts w:cs="Verdana"/>
          <w:lang w:val="es-US" w:bidi="en-US"/>
        </w:rPr>
        <w:t>Indicaron que d</w:t>
      </w:r>
      <w:r w:rsidR="00D4777A" w:rsidRPr="00BE71E4">
        <w:rPr>
          <w:rFonts w:cs="Verdana"/>
          <w:lang w:val="es-US" w:bidi="en-US"/>
        </w:rPr>
        <w:t xml:space="preserve">icho </w:t>
      </w:r>
      <w:r w:rsidR="00981715" w:rsidRPr="00BE71E4">
        <w:rPr>
          <w:rFonts w:cs="Verdana"/>
          <w:lang w:val="es-US" w:bidi="en-US"/>
        </w:rPr>
        <w:t>a</w:t>
      </w:r>
      <w:r w:rsidR="00D4777A" w:rsidRPr="00BE71E4">
        <w:rPr>
          <w:rFonts w:cs="Verdana"/>
          <w:lang w:val="es-US" w:bidi="en-US"/>
        </w:rPr>
        <w:t xml:space="preserve">cto fue liderado por la Unidad de Atención y Reparación Integral a las Víctimas </w:t>
      </w:r>
      <w:r w:rsidR="00D93469" w:rsidRPr="00BE71E4">
        <w:rPr>
          <w:rFonts w:cs="Verdana"/>
          <w:lang w:val="es-US" w:bidi="en-US"/>
        </w:rPr>
        <w:t xml:space="preserve">la cual </w:t>
      </w:r>
      <w:r w:rsidR="00D4777A" w:rsidRPr="00BE71E4">
        <w:rPr>
          <w:rFonts w:cs="Verdana"/>
          <w:lang w:val="es-US" w:bidi="en-US"/>
        </w:rPr>
        <w:t>implement</w:t>
      </w:r>
      <w:r w:rsidR="00D93469" w:rsidRPr="00BE71E4">
        <w:rPr>
          <w:rFonts w:cs="Verdana"/>
          <w:lang w:val="es-US" w:bidi="en-US"/>
        </w:rPr>
        <w:t>ó</w:t>
      </w:r>
      <w:r w:rsidR="00D4777A" w:rsidRPr="00BE71E4">
        <w:rPr>
          <w:rFonts w:cs="Verdana"/>
          <w:lang w:val="es-US" w:bidi="en-US"/>
        </w:rPr>
        <w:t xml:space="preserve"> una metodología participativa para </w:t>
      </w:r>
      <w:r w:rsidR="00D93469" w:rsidRPr="00BE71E4">
        <w:rPr>
          <w:rFonts w:cs="Verdana"/>
          <w:lang w:val="es-US" w:bidi="en-US"/>
        </w:rPr>
        <w:t>su</w:t>
      </w:r>
      <w:r w:rsidR="00D4777A" w:rsidRPr="00BE71E4">
        <w:rPr>
          <w:rFonts w:cs="Verdana"/>
          <w:lang w:val="es-US" w:bidi="en-US"/>
        </w:rPr>
        <w:t xml:space="preserve"> planeación y construcción metodológica y simbólica</w:t>
      </w:r>
      <w:r w:rsidR="0001491A" w:rsidRPr="00BE71E4">
        <w:rPr>
          <w:rFonts w:cs="Verdana"/>
          <w:lang w:val="es-US" w:bidi="en-US"/>
        </w:rPr>
        <w:t>, con enc</w:t>
      </w:r>
      <w:r w:rsidR="00777356" w:rsidRPr="00BE71E4">
        <w:rPr>
          <w:rFonts w:cs="Verdana"/>
          <w:lang w:val="es-US" w:bidi="en-US"/>
        </w:rPr>
        <w:t>ue</w:t>
      </w:r>
      <w:r w:rsidR="0001491A" w:rsidRPr="00BE71E4">
        <w:rPr>
          <w:rFonts w:cs="Verdana"/>
          <w:lang w:val="es-US" w:bidi="en-US"/>
        </w:rPr>
        <w:t xml:space="preserve">ntros </w:t>
      </w:r>
      <w:r w:rsidR="00D4777A" w:rsidRPr="00BE71E4">
        <w:rPr>
          <w:rFonts w:cs="Verdana"/>
          <w:lang w:val="es-US" w:bidi="en-US"/>
        </w:rPr>
        <w:t xml:space="preserve">con los familiares, </w:t>
      </w:r>
      <w:r w:rsidR="0001491A" w:rsidRPr="00BE71E4">
        <w:rPr>
          <w:rFonts w:cs="Verdana"/>
          <w:lang w:val="es-US" w:bidi="en-US"/>
        </w:rPr>
        <w:t xml:space="preserve">en los que </w:t>
      </w:r>
      <w:r w:rsidR="00D4777A" w:rsidRPr="00BE71E4">
        <w:rPr>
          <w:rFonts w:cs="Verdana"/>
          <w:lang w:val="es-US" w:bidi="en-US"/>
        </w:rPr>
        <w:t>se contó con acompañamiento psicosocial y se construyó una pieza audiovisual de memoria en honor a</w:t>
      </w:r>
      <w:r w:rsidR="00777356" w:rsidRPr="00BE71E4">
        <w:rPr>
          <w:rFonts w:cs="Verdana"/>
          <w:lang w:val="es-US" w:bidi="en-US"/>
        </w:rPr>
        <w:t xml:space="preserve"> las víctimas</w:t>
      </w:r>
      <w:r w:rsidR="00D4777A" w:rsidRPr="00BE71E4">
        <w:rPr>
          <w:rFonts w:cs="Verdana"/>
          <w:lang w:val="es-US" w:bidi="en-US"/>
        </w:rPr>
        <w:t xml:space="preserve">. </w:t>
      </w:r>
      <w:r w:rsidR="00CB7C7C" w:rsidRPr="00BE71E4">
        <w:rPr>
          <w:rFonts w:cs="Verdana"/>
          <w:lang w:val="es-US" w:bidi="en-US"/>
        </w:rPr>
        <w:t>Dicho a</w:t>
      </w:r>
      <w:r w:rsidR="00946BC8" w:rsidRPr="00BE71E4">
        <w:rPr>
          <w:rFonts w:cs="Verdana"/>
          <w:lang w:val="es-US" w:bidi="en-US"/>
        </w:rPr>
        <w:t xml:space="preserve">cto fue presidido por la </w:t>
      </w:r>
      <w:r w:rsidR="00D4777A" w:rsidRPr="00BE71E4">
        <w:rPr>
          <w:rFonts w:cs="Verdana"/>
          <w:lang w:val="es-US" w:bidi="en-US"/>
        </w:rPr>
        <w:t xml:space="preserve">Consejera Presidencial para los Derechos Humanos y Derecho Internacional Humanitario. </w:t>
      </w:r>
      <w:r w:rsidR="00212A7E" w:rsidRPr="00BE71E4">
        <w:rPr>
          <w:rFonts w:cs="Verdana"/>
          <w:lang w:val="es-US" w:bidi="en-US"/>
        </w:rPr>
        <w:t>In</w:t>
      </w:r>
      <w:r w:rsidR="007E303D" w:rsidRPr="00BE71E4">
        <w:rPr>
          <w:rFonts w:cs="Verdana"/>
          <w:lang w:val="es-US" w:bidi="en-US"/>
        </w:rPr>
        <w:t>forma</w:t>
      </w:r>
      <w:r w:rsidR="00212A7E" w:rsidRPr="00BE71E4">
        <w:rPr>
          <w:rFonts w:cs="Verdana"/>
          <w:lang w:val="es-US" w:bidi="en-US"/>
        </w:rPr>
        <w:t>ron que</w:t>
      </w:r>
      <w:r w:rsidR="0077379B" w:rsidRPr="00BE71E4">
        <w:rPr>
          <w:rFonts w:cs="Verdana"/>
          <w:lang w:val="es-US" w:bidi="en-US"/>
        </w:rPr>
        <w:t>,</w:t>
      </w:r>
      <w:r w:rsidR="00212A7E" w:rsidRPr="00BE71E4">
        <w:rPr>
          <w:rFonts w:cs="Verdana"/>
          <w:lang w:val="es-US" w:bidi="en-US"/>
        </w:rPr>
        <w:t xml:space="preserve"> </w:t>
      </w:r>
      <w:r w:rsidR="00D4777A" w:rsidRPr="00BE71E4">
        <w:rPr>
          <w:rFonts w:cs="Verdana"/>
          <w:lang w:val="es-US" w:bidi="en-US"/>
        </w:rPr>
        <w:t xml:space="preserve">aunque inicialmente se había planteado que el acto sería de naturaleza pública, </w:t>
      </w:r>
      <w:r w:rsidR="003E77AF" w:rsidRPr="00BE71E4">
        <w:rPr>
          <w:rFonts w:cs="Verdana"/>
          <w:lang w:val="es-US" w:bidi="en-US"/>
        </w:rPr>
        <w:t xml:space="preserve">luego </w:t>
      </w:r>
      <w:r w:rsidR="00D4777A" w:rsidRPr="00BE71E4">
        <w:rPr>
          <w:rFonts w:cs="Verdana"/>
          <w:lang w:val="es-US" w:bidi="en-US"/>
        </w:rPr>
        <w:t xml:space="preserve">los familiares y sus representantes solicitaron que </w:t>
      </w:r>
      <w:r w:rsidR="003E77AF" w:rsidRPr="00BE71E4">
        <w:rPr>
          <w:rFonts w:cs="Verdana"/>
          <w:lang w:val="es-US" w:bidi="en-US"/>
        </w:rPr>
        <w:t xml:space="preserve">este </w:t>
      </w:r>
      <w:r w:rsidR="00D4777A" w:rsidRPr="00BE71E4">
        <w:rPr>
          <w:rFonts w:cs="Verdana"/>
          <w:lang w:val="es-US" w:bidi="en-US"/>
        </w:rPr>
        <w:t xml:space="preserve">fuera de carácter privado. </w:t>
      </w:r>
    </w:p>
    <w:p w14:paraId="4BE917BF" w14:textId="77777777" w:rsidR="00F45D46" w:rsidRPr="00BE71E4" w:rsidRDefault="00F45D46" w:rsidP="00F45D46">
      <w:pPr>
        <w:pStyle w:val="ListParagraph"/>
        <w:rPr>
          <w:lang w:val="es-US"/>
        </w:rPr>
      </w:pPr>
    </w:p>
    <w:p w14:paraId="1A305993" w14:textId="3610A92D" w:rsidR="00F45D46" w:rsidRPr="00BE71E4" w:rsidRDefault="00F45D46" w:rsidP="00EF2B30">
      <w:pPr>
        <w:pStyle w:val="parrafos"/>
        <w:numPr>
          <w:ilvl w:val="0"/>
          <w:numId w:val="58"/>
        </w:numPr>
        <w:ind w:left="0" w:firstLine="0"/>
        <w:rPr>
          <w:lang w:val="es-US"/>
        </w:rPr>
      </w:pPr>
      <w:r w:rsidRPr="00BE71E4">
        <w:rPr>
          <w:lang w:val="es-US"/>
        </w:rPr>
        <w:t xml:space="preserve">Las partes </w:t>
      </w:r>
      <w:r w:rsidR="007E303D" w:rsidRPr="00BE71E4">
        <w:rPr>
          <w:lang w:val="es-US"/>
        </w:rPr>
        <w:t>señalaron</w:t>
      </w:r>
      <w:r w:rsidRPr="00BE71E4">
        <w:rPr>
          <w:lang w:val="es-US"/>
        </w:rPr>
        <w:t xml:space="preserve"> que </w:t>
      </w:r>
      <w:r w:rsidR="004E52A6" w:rsidRPr="00BE71E4">
        <w:rPr>
          <w:lang w:val="es-US"/>
        </w:rPr>
        <w:t>en el marco del trámite de la Ley 288 de 1996, el Tribunal Administrativo de Cundinamarca, Sección Tercera - Subsección B, mediante auto del 13 de junio de 2025 aprobó la Conciliación Judicial celebrada el 19 de septiembre de 2024 ante la Procuraduría Primera Judicial II para Asuntos Administrativos y que se avanzará en los trámites de radicación de la cuenta de cobro para el pago correspondiente.</w:t>
      </w:r>
    </w:p>
    <w:p w14:paraId="193975B9" w14:textId="77777777" w:rsidR="00A755E7" w:rsidRPr="00BE71E4" w:rsidRDefault="00A755E7" w:rsidP="00A755E7">
      <w:pPr>
        <w:pStyle w:val="ListParagraph"/>
        <w:rPr>
          <w:lang w:val="es-US"/>
        </w:rPr>
      </w:pPr>
    </w:p>
    <w:p w14:paraId="10605AEB" w14:textId="27AEB212" w:rsidR="007E2F6D" w:rsidRPr="00BE71E4" w:rsidRDefault="00F7069A" w:rsidP="00EF2B30">
      <w:pPr>
        <w:pStyle w:val="parrafos"/>
        <w:numPr>
          <w:ilvl w:val="0"/>
          <w:numId w:val="58"/>
        </w:numPr>
        <w:ind w:left="0" w:firstLine="0"/>
        <w:rPr>
          <w:lang w:val="es-US"/>
        </w:rPr>
      </w:pPr>
      <w:r w:rsidRPr="00BE71E4">
        <w:rPr>
          <w:lang w:val="es-US"/>
        </w:rPr>
        <w:t xml:space="preserve">El 8 de agosto de 2025 el Estado </w:t>
      </w:r>
      <w:r w:rsidR="0067561A" w:rsidRPr="00BE71E4">
        <w:rPr>
          <w:lang w:val="es-US"/>
        </w:rPr>
        <w:t xml:space="preserve">siguió </w:t>
      </w:r>
      <w:r w:rsidRPr="00BE71E4">
        <w:rPr>
          <w:lang w:val="es-US"/>
        </w:rPr>
        <w:t>informa</w:t>
      </w:r>
      <w:r w:rsidR="0067561A" w:rsidRPr="00BE71E4">
        <w:rPr>
          <w:lang w:val="es-US"/>
        </w:rPr>
        <w:t>n</w:t>
      </w:r>
      <w:r w:rsidRPr="00BE71E4">
        <w:rPr>
          <w:lang w:val="es-US"/>
        </w:rPr>
        <w:t xml:space="preserve">do sobre la entrega </w:t>
      </w:r>
      <w:r w:rsidR="007307F5" w:rsidRPr="00BE71E4">
        <w:rPr>
          <w:lang w:val="es-US"/>
        </w:rPr>
        <w:t>d</w:t>
      </w:r>
      <w:r w:rsidRPr="00BE71E4">
        <w:rPr>
          <w:lang w:val="es-US"/>
        </w:rPr>
        <w:t xml:space="preserve">e los auxilios educativos </w:t>
      </w:r>
      <w:r w:rsidR="00FE3D3E" w:rsidRPr="00BE71E4">
        <w:rPr>
          <w:lang w:val="es-US"/>
        </w:rPr>
        <w:t>acordados</w:t>
      </w:r>
      <w:r w:rsidR="007307F5" w:rsidRPr="00BE71E4">
        <w:rPr>
          <w:lang w:val="es-US"/>
        </w:rPr>
        <w:t>.</w:t>
      </w:r>
      <w:r w:rsidR="005139B8" w:rsidRPr="00BE71E4">
        <w:rPr>
          <w:lang w:val="es-US"/>
        </w:rPr>
        <w:t xml:space="preserve"> </w:t>
      </w:r>
      <w:r w:rsidR="007307F5" w:rsidRPr="00BE71E4">
        <w:rPr>
          <w:lang w:val="es-US"/>
        </w:rPr>
        <w:t>Al respecto</w:t>
      </w:r>
      <w:r w:rsidR="005139B8" w:rsidRPr="00BE71E4">
        <w:rPr>
          <w:lang w:val="es-US"/>
        </w:rPr>
        <w:t>,</w:t>
      </w:r>
      <w:r w:rsidR="007307F5" w:rsidRPr="00BE71E4">
        <w:rPr>
          <w:lang w:val="es-US"/>
        </w:rPr>
        <w:t xml:space="preserve"> indicó </w:t>
      </w:r>
      <w:r w:rsidR="005139B8" w:rsidRPr="00BE71E4">
        <w:rPr>
          <w:lang w:val="es-US"/>
        </w:rPr>
        <w:t xml:space="preserve">que Angie Paola Quiroga Carpio se encuentra estudiando un Técnico Laboral por Competencias en Cocina en la Institución “Gato Dumas” desde el primer semestre de 2025, teniendo un desempeño sobresaliente y continuando sus estudios actualmente. </w:t>
      </w:r>
      <w:r w:rsidR="00FE3D3E" w:rsidRPr="00BE71E4">
        <w:rPr>
          <w:lang w:val="es-US"/>
        </w:rPr>
        <w:t>Señal</w:t>
      </w:r>
      <w:r w:rsidR="00A210FA" w:rsidRPr="00BE71E4">
        <w:rPr>
          <w:lang w:val="es-US"/>
        </w:rPr>
        <w:t xml:space="preserve">ó que el Estado ha cubierto la matrícula y el </w:t>
      </w:r>
      <w:r w:rsidR="005139B8" w:rsidRPr="00BE71E4">
        <w:rPr>
          <w:lang w:val="es-US"/>
        </w:rPr>
        <w:t>sostenimiento</w:t>
      </w:r>
      <w:r w:rsidR="00726B05" w:rsidRPr="00BE71E4">
        <w:rPr>
          <w:lang w:val="es-US"/>
        </w:rPr>
        <w:t xml:space="preserve"> del primer semestre y </w:t>
      </w:r>
      <w:r w:rsidR="007E4A8B" w:rsidRPr="00BE71E4">
        <w:rPr>
          <w:lang w:val="es-US"/>
        </w:rPr>
        <w:t xml:space="preserve">que </w:t>
      </w:r>
      <w:r w:rsidR="00726B05" w:rsidRPr="00BE71E4">
        <w:rPr>
          <w:lang w:val="es-US"/>
        </w:rPr>
        <w:t xml:space="preserve">está generando </w:t>
      </w:r>
      <w:r w:rsidR="005139B8" w:rsidRPr="00BE71E4">
        <w:rPr>
          <w:lang w:val="es-US"/>
        </w:rPr>
        <w:t>los desembolsos correspondientes al segundo semestre de 2025</w:t>
      </w:r>
      <w:r w:rsidR="007E2F6D" w:rsidRPr="00BE71E4">
        <w:rPr>
          <w:lang w:val="es-US"/>
        </w:rPr>
        <w:t>.</w:t>
      </w:r>
      <w:r w:rsidR="005139B8" w:rsidRPr="00BE71E4">
        <w:rPr>
          <w:lang w:val="es-US"/>
        </w:rPr>
        <w:t xml:space="preserve"> </w:t>
      </w:r>
    </w:p>
    <w:p w14:paraId="5B8CB067" w14:textId="77777777" w:rsidR="007E2F6D" w:rsidRPr="00BE71E4" w:rsidRDefault="007E2F6D" w:rsidP="007E2F6D">
      <w:pPr>
        <w:pStyle w:val="ListParagraph"/>
        <w:rPr>
          <w:lang w:val="es-US"/>
        </w:rPr>
      </w:pPr>
    </w:p>
    <w:p w14:paraId="0477E34A" w14:textId="5AAA58A3" w:rsidR="003E77AF" w:rsidRPr="00BE71E4" w:rsidRDefault="004E7B95" w:rsidP="00C934B2">
      <w:pPr>
        <w:pStyle w:val="parrafos"/>
        <w:numPr>
          <w:ilvl w:val="0"/>
          <w:numId w:val="58"/>
        </w:numPr>
        <w:ind w:left="0" w:firstLine="0"/>
        <w:rPr>
          <w:lang w:val="es-US"/>
        </w:rPr>
      </w:pPr>
      <w:r w:rsidRPr="00BE71E4">
        <w:rPr>
          <w:lang w:val="es-US"/>
        </w:rPr>
        <w:t>A su vez, i</w:t>
      </w:r>
      <w:r w:rsidR="007303F2" w:rsidRPr="00BE71E4">
        <w:rPr>
          <w:lang w:val="es-US"/>
        </w:rPr>
        <w:t xml:space="preserve">nformó que se prevé </w:t>
      </w:r>
      <w:r w:rsidRPr="00BE71E4">
        <w:rPr>
          <w:lang w:val="es-US"/>
        </w:rPr>
        <w:t xml:space="preserve">apoyar </w:t>
      </w:r>
      <w:r w:rsidR="007303F2" w:rsidRPr="00BE71E4">
        <w:rPr>
          <w:lang w:val="es-US"/>
        </w:rPr>
        <w:t xml:space="preserve">el inicio de los estudios de </w:t>
      </w:r>
      <w:r w:rsidR="005139B8" w:rsidRPr="00BE71E4">
        <w:rPr>
          <w:lang w:val="es-US"/>
        </w:rPr>
        <w:t>Sandra Milena Fuentes Delgado en la Universidad Santo Tomás en el programa de pregrado en Administración de Empresas</w:t>
      </w:r>
      <w:r w:rsidRPr="00BE71E4">
        <w:rPr>
          <w:lang w:val="es-US"/>
        </w:rPr>
        <w:t>,</w:t>
      </w:r>
      <w:r w:rsidR="007303F2" w:rsidRPr="00BE71E4">
        <w:rPr>
          <w:lang w:val="es-US"/>
        </w:rPr>
        <w:t xml:space="preserve"> y que adelanta los </w:t>
      </w:r>
      <w:r w:rsidR="005139B8" w:rsidRPr="00BE71E4">
        <w:rPr>
          <w:lang w:val="es-US"/>
        </w:rPr>
        <w:t xml:space="preserve">trámites administrativos necesarios para la implementación del auxilio </w:t>
      </w:r>
      <w:r w:rsidR="007303F2" w:rsidRPr="00BE71E4">
        <w:rPr>
          <w:lang w:val="es-US"/>
        </w:rPr>
        <w:t xml:space="preserve">educativo </w:t>
      </w:r>
      <w:r w:rsidR="005139B8" w:rsidRPr="00BE71E4">
        <w:rPr>
          <w:lang w:val="es-US"/>
        </w:rPr>
        <w:t xml:space="preserve">a partir del primer semestre de 2026. </w:t>
      </w:r>
      <w:r w:rsidR="00CC4973" w:rsidRPr="00BE71E4">
        <w:rPr>
          <w:lang w:val="es-US"/>
        </w:rPr>
        <w:t xml:space="preserve">Sobre </w:t>
      </w:r>
      <w:r w:rsidR="005139B8" w:rsidRPr="00BE71E4">
        <w:rPr>
          <w:lang w:val="es-US"/>
        </w:rPr>
        <w:t>Luis Alfredo Fuentes Delgado,</w:t>
      </w:r>
      <w:r w:rsidR="00CC4973" w:rsidRPr="00BE71E4">
        <w:rPr>
          <w:lang w:val="es-US"/>
        </w:rPr>
        <w:t xml:space="preserve"> </w:t>
      </w:r>
      <w:r w:rsidR="009242FE" w:rsidRPr="00BE71E4">
        <w:rPr>
          <w:lang w:val="es-US"/>
        </w:rPr>
        <w:t xml:space="preserve">reportó </w:t>
      </w:r>
      <w:r w:rsidR="00CC4973" w:rsidRPr="00BE71E4">
        <w:rPr>
          <w:lang w:val="es-US"/>
        </w:rPr>
        <w:t>que</w:t>
      </w:r>
      <w:r w:rsidR="005139B8" w:rsidRPr="00BE71E4">
        <w:rPr>
          <w:lang w:val="es-US"/>
        </w:rPr>
        <w:t xml:space="preserve"> se encuentra atent</w:t>
      </w:r>
      <w:r w:rsidR="009242FE" w:rsidRPr="00BE71E4">
        <w:rPr>
          <w:lang w:val="es-US"/>
        </w:rPr>
        <w:t>o</w:t>
      </w:r>
      <w:r w:rsidR="005139B8" w:rsidRPr="00BE71E4">
        <w:rPr>
          <w:lang w:val="es-US"/>
        </w:rPr>
        <w:t xml:space="preserve"> </w:t>
      </w:r>
      <w:r w:rsidR="009242FE" w:rsidRPr="00BE71E4">
        <w:rPr>
          <w:lang w:val="es-US"/>
        </w:rPr>
        <w:t xml:space="preserve">a </w:t>
      </w:r>
      <w:r w:rsidR="005139B8" w:rsidRPr="00BE71E4">
        <w:rPr>
          <w:lang w:val="es-US"/>
        </w:rPr>
        <w:t xml:space="preserve">la definición del inicio de sus estudios para articular los trámites correspondientes al inicio de la implementación de este auxilio. </w:t>
      </w:r>
    </w:p>
    <w:p w14:paraId="7DF5479A" w14:textId="77777777" w:rsidR="004C55DE" w:rsidRPr="00BE71E4" w:rsidRDefault="004C55DE" w:rsidP="004C55DE">
      <w:pPr>
        <w:pStyle w:val="ListParagraph"/>
        <w:rPr>
          <w:lang w:val="es-US"/>
        </w:rPr>
      </w:pPr>
    </w:p>
    <w:p w14:paraId="7D534119" w14:textId="5A50819C" w:rsidR="004C55DE" w:rsidRPr="00BE71E4" w:rsidRDefault="004C55DE" w:rsidP="00C934B2">
      <w:pPr>
        <w:pStyle w:val="parrafos"/>
        <w:numPr>
          <w:ilvl w:val="0"/>
          <w:numId w:val="58"/>
        </w:numPr>
        <w:ind w:left="0" w:firstLine="0"/>
        <w:rPr>
          <w:lang w:val="es-US"/>
        </w:rPr>
      </w:pPr>
      <w:r w:rsidRPr="00BE71E4">
        <w:rPr>
          <w:lang w:val="es-US"/>
        </w:rPr>
        <w:t>Sobre la entrega de las becas conmemorativas</w:t>
      </w:r>
      <w:r w:rsidR="009242FE" w:rsidRPr="00BE71E4">
        <w:rPr>
          <w:lang w:val="es-US"/>
        </w:rPr>
        <w:t>,</w:t>
      </w:r>
      <w:r w:rsidRPr="00BE71E4">
        <w:rPr>
          <w:lang w:val="es-US"/>
        </w:rPr>
        <w:t xml:space="preserve"> el Estado informó </w:t>
      </w:r>
      <w:r w:rsidR="007F6664" w:rsidRPr="00BE71E4">
        <w:rPr>
          <w:lang w:val="es-US"/>
        </w:rPr>
        <w:t xml:space="preserve">sobre una reunión llevada a cabo </w:t>
      </w:r>
      <w:r w:rsidRPr="00BE71E4">
        <w:rPr>
          <w:lang w:val="es-US"/>
        </w:rPr>
        <w:t>el 11 de julio de 2025 con los familiares y sus representantes</w:t>
      </w:r>
      <w:r w:rsidR="009242FE" w:rsidRPr="00BE71E4">
        <w:rPr>
          <w:lang w:val="es-US"/>
        </w:rPr>
        <w:t>;</w:t>
      </w:r>
      <w:r w:rsidRPr="00BE71E4">
        <w:rPr>
          <w:lang w:val="es-US"/>
        </w:rPr>
        <w:t xml:space="preserve"> </w:t>
      </w:r>
      <w:r w:rsidR="00103F3F" w:rsidRPr="00BE71E4">
        <w:rPr>
          <w:lang w:val="es-US"/>
        </w:rPr>
        <w:t xml:space="preserve">y </w:t>
      </w:r>
      <w:r w:rsidR="007F6664" w:rsidRPr="00BE71E4">
        <w:rPr>
          <w:lang w:val="es-US"/>
        </w:rPr>
        <w:t xml:space="preserve">que </w:t>
      </w:r>
      <w:r w:rsidR="00103F3F" w:rsidRPr="00BE71E4">
        <w:rPr>
          <w:lang w:val="es-US"/>
        </w:rPr>
        <w:t xml:space="preserve">se </w:t>
      </w:r>
      <w:r w:rsidRPr="00BE71E4">
        <w:rPr>
          <w:lang w:val="es-US"/>
        </w:rPr>
        <w:t>prevé el inicio de la implementación de esta</w:t>
      </w:r>
      <w:r w:rsidR="00A71A20" w:rsidRPr="00BE71E4">
        <w:rPr>
          <w:lang w:val="es-US"/>
        </w:rPr>
        <w:t xml:space="preserve"> medida</w:t>
      </w:r>
      <w:r w:rsidRPr="00BE71E4">
        <w:rPr>
          <w:lang w:val="es-US"/>
        </w:rPr>
        <w:t xml:space="preserve"> en el primer</w:t>
      </w:r>
      <w:r w:rsidR="00103F3F" w:rsidRPr="00BE71E4">
        <w:rPr>
          <w:lang w:val="es-US"/>
        </w:rPr>
        <w:t xml:space="preserve"> </w:t>
      </w:r>
      <w:r w:rsidRPr="00BE71E4">
        <w:rPr>
          <w:lang w:val="es-US"/>
        </w:rPr>
        <w:t>semestre de 2026</w:t>
      </w:r>
      <w:r w:rsidR="00027CA5" w:rsidRPr="00BE71E4">
        <w:rPr>
          <w:lang w:val="es-US"/>
        </w:rPr>
        <w:t>, con las gestiones correspondientes para la solicitud de los recursos.</w:t>
      </w:r>
    </w:p>
    <w:p w14:paraId="1664C502" w14:textId="77777777" w:rsidR="00027CA5" w:rsidRPr="00BE71E4" w:rsidRDefault="00027CA5" w:rsidP="00027CA5">
      <w:pPr>
        <w:pStyle w:val="ListParagraph"/>
        <w:rPr>
          <w:lang w:val="es-US"/>
        </w:rPr>
      </w:pPr>
    </w:p>
    <w:p w14:paraId="3947E68F" w14:textId="4E103CC0" w:rsidR="00027CA5" w:rsidRPr="00BE71E4" w:rsidRDefault="00027CA5" w:rsidP="00C934B2">
      <w:pPr>
        <w:pStyle w:val="parrafos"/>
        <w:numPr>
          <w:ilvl w:val="0"/>
          <w:numId w:val="58"/>
        </w:numPr>
        <w:ind w:left="0" w:firstLine="0"/>
        <w:rPr>
          <w:lang w:val="es-US"/>
        </w:rPr>
      </w:pPr>
      <w:r w:rsidRPr="00BE71E4">
        <w:rPr>
          <w:lang w:val="es-US"/>
        </w:rPr>
        <w:t>En</w:t>
      </w:r>
      <w:r w:rsidR="00F85E00" w:rsidRPr="00BE71E4">
        <w:rPr>
          <w:lang w:val="es-US"/>
        </w:rPr>
        <w:t xml:space="preserve"> cuanto a</w:t>
      </w:r>
      <w:r w:rsidR="002F4027" w:rsidRPr="00BE71E4">
        <w:rPr>
          <w:lang w:val="es-US"/>
        </w:rPr>
        <w:t xml:space="preserve">l acceso a oferta del SENA, el Estado indicó que </w:t>
      </w:r>
      <w:r w:rsidR="00D87D18" w:rsidRPr="00BE71E4">
        <w:rPr>
          <w:lang w:val="es-US"/>
        </w:rPr>
        <w:t>los beneficiarios no han manifestado voluntad para iniciar con su implementación</w:t>
      </w:r>
      <w:r w:rsidR="00F85E00" w:rsidRPr="00BE71E4">
        <w:rPr>
          <w:lang w:val="es-US"/>
        </w:rPr>
        <w:t>.</w:t>
      </w:r>
    </w:p>
    <w:p w14:paraId="5E1168FE" w14:textId="77777777" w:rsidR="00F85E00" w:rsidRPr="00BE71E4" w:rsidRDefault="00F85E00" w:rsidP="00F85E00">
      <w:pPr>
        <w:pStyle w:val="ListParagraph"/>
        <w:rPr>
          <w:lang w:val="es-US"/>
        </w:rPr>
      </w:pPr>
    </w:p>
    <w:p w14:paraId="27C57B21" w14:textId="315CFD44" w:rsidR="00F85E00" w:rsidRPr="00BE71E4" w:rsidRDefault="00E102BC" w:rsidP="00C934B2">
      <w:pPr>
        <w:pStyle w:val="parrafos"/>
        <w:numPr>
          <w:ilvl w:val="0"/>
          <w:numId w:val="58"/>
        </w:numPr>
        <w:ind w:left="0" w:firstLine="0"/>
        <w:rPr>
          <w:lang w:val="es-US"/>
        </w:rPr>
      </w:pPr>
      <w:r w:rsidRPr="00BE71E4">
        <w:rPr>
          <w:lang w:val="es-US"/>
        </w:rPr>
        <w:t xml:space="preserve">En </w:t>
      </w:r>
      <w:r w:rsidR="00A71A20" w:rsidRPr="00BE71E4">
        <w:rPr>
          <w:lang w:val="es-US"/>
        </w:rPr>
        <w:t>relación</w:t>
      </w:r>
      <w:r w:rsidRPr="00BE71E4">
        <w:rPr>
          <w:lang w:val="es-US"/>
        </w:rPr>
        <w:t xml:space="preserve"> al cortometraje, el Estado </w:t>
      </w:r>
      <w:r w:rsidR="000F5CCA" w:rsidRPr="00BE71E4">
        <w:rPr>
          <w:lang w:val="es-US"/>
        </w:rPr>
        <w:t xml:space="preserve">dio cuenta de </w:t>
      </w:r>
      <w:r w:rsidRPr="00BE71E4">
        <w:rPr>
          <w:lang w:val="es-US"/>
        </w:rPr>
        <w:t>que</w:t>
      </w:r>
      <w:r w:rsidR="00051860" w:rsidRPr="00BE71E4">
        <w:rPr>
          <w:lang w:val="es-US"/>
        </w:rPr>
        <w:t>,</w:t>
      </w:r>
      <w:r w:rsidRPr="00BE71E4">
        <w:rPr>
          <w:lang w:val="es-US"/>
        </w:rPr>
        <w:t xml:space="preserve"> bajo la coordinación del Centro Nacional de Memoria Histórica, se</w:t>
      </w:r>
      <w:r w:rsidR="00051860" w:rsidRPr="00BE71E4">
        <w:rPr>
          <w:lang w:val="es-US"/>
        </w:rPr>
        <w:t xml:space="preserve"> </w:t>
      </w:r>
      <w:r w:rsidRPr="00BE71E4">
        <w:rPr>
          <w:lang w:val="es-US"/>
        </w:rPr>
        <w:t>han llevado a cabo reuniones de concertación con los familiares</w:t>
      </w:r>
      <w:r w:rsidR="00051860" w:rsidRPr="00BE71E4">
        <w:rPr>
          <w:lang w:val="es-US"/>
        </w:rPr>
        <w:t xml:space="preserve"> y su representación</w:t>
      </w:r>
      <w:r w:rsidR="000823E7" w:rsidRPr="00BE71E4">
        <w:rPr>
          <w:lang w:val="es-US"/>
        </w:rPr>
        <w:t xml:space="preserve"> en las que </w:t>
      </w:r>
      <w:r w:rsidRPr="00BE71E4">
        <w:rPr>
          <w:lang w:val="es-US"/>
        </w:rPr>
        <w:t>presentó y explicó el</w:t>
      </w:r>
      <w:r w:rsidR="00051860" w:rsidRPr="00BE71E4">
        <w:rPr>
          <w:lang w:val="es-US"/>
        </w:rPr>
        <w:t xml:space="preserve"> </w:t>
      </w:r>
      <w:r w:rsidRPr="00BE71E4">
        <w:rPr>
          <w:lang w:val="es-US"/>
        </w:rPr>
        <w:t xml:space="preserve">proceso metodológico </w:t>
      </w:r>
      <w:r w:rsidR="00262726" w:rsidRPr="00BE71E4">
        <w:rPr>
          <w:lang w:val="es-US"/>
        </w:rPr>
        <w:t xml:space="preserve">dialógico y constructivista </w:t>
      </w:r>
      <w:r w:rsidRPr="00BE71E4">
        <w:rPr>
          <w:lang w:val="es-US"/>
        </w:rPr>
        <w:t xml:space="preserve">diseñado para la implementación de la medida. </w:t>
      </w:r>
      <w:r w:rsidR="00A038F4" w:rsidRPr="00BE71E4">
        <w:rPr>
          <w:lang w:val="es-US"/>
        </w:rPr>
        <w:t xml:space="preserve">Indicó que </w:t>
      </w:r>
      <w:r w:rsidRPr="00BE71E4">
        <w:rPr>
          <w:lang w:val="es-US"/>
        </w:rPr>
        <w:t>el 29 de julio de 2025 inició la ejecución de la propuesta metodológica mediante</w:t>
      </w:r>
      <w:r w:rsidR="00051860" w:rsidRPr="00BE71E4">
        <w:rPr>
          <w:lang w:val="es-US"/>
        </w:rPr>
        <w:t xml:space="preserve"> </w:t>
      </w:r>
      <w:r w:rsidRPr="00BE71E4">
        <w:rPr>
          <w:lang w:val="es-US"/>
        </w:rPr>
        <w:t>jornadas de entrevistas a los familiares</w:t>
      </w:r>
      <w:r w:rsidR="00A038F4" w:rsidRPr="00BE71E4">
        <w:rPr>
          <w:lang w:val="es-US"/>
        </w:rPr>
        <w:t xml:space="preserve"> y </w:t>
      </w:r>
      <w:r w:rsidRPr="00BE71E4">
        <w:rPr>
          <w:lang w:val="es-US"/>
        </w:rPr>
        <w:t>avan</w:t>
      </w:r>
      <w:r w:rsidR="006B003C" w:rsidRPr="00BE71E4">
        <w:rPr>
          <w:lang w:val="es-US"/>
        </w:rPr>
        <w:t>ce</w:t>
      </w:r>
      <w:r w:rsidRPr="00BE71E4">
        <w:rPr>
          <w:lang w:val="es-US"/>
        </w:rPr>
        <w:t xml:space="preserve"> en la</w:t>
      </w:r>
      <w:r w:rsidR="00051860" w:rsidRPr="00BE71E4">
        <w:rPr>
          <w:lang w:val="es-US"/>
        </w:rPr>
        <w:t xml:space="preserve"> </w:t>
      </w:r>
      <w:r w:rsidRPr="00BE71E4">
        <w:rPr>
          <w:lang w:val="es-US"/>
        </w:rPr>
        <w:t>recopilación de información.</w:t>
      </w:r>
      <w:r w:rsidR="00051860" w:rsidRPr="00BE71E4">
        <w:rPr>
          <w:lang w:val="es-US"/>
        </w:rPr>
        <w:t xml:space="preserve"> </w:t>
      </w:r>
      <w:r w:rsidR="00DB2B79" w:rsidRPr="00BE71E4">
        <w:rPr>
          <w:lang w:val="es-US"/>
        </w:rPr>
        <w:t xml:space="preserve">Refirió </w:t>
      </w:r>
      <w:r w:rsidR="00791C68" w:rsidRPr="00BE71E4">
        <w:rPr>
          <w:lang w:val="es-US"/>
        </w:rPr>
        <w:t>que e</w:t>
      </w:r>
      <w:r w:rsidR="00262726" w:rsidRPr="00BE71E4">
        <w:rPr>
          <w:lang w:val="es-US"/>
        </w:rPr>
        <w:t xml:space="preserve">ste proceso de dos años </w:t>
      </w:r>
      <w:r w:rsidRPr="00BE71E4">
        <w:rPr>
          <w:lang w:val="es-US"/>
        </w:rPr>
        <w:t xml:space="preserve">es fundamental para la reconstrucción de la memoria y para dotar de sentido al producto final. </w:t>
      </w:r>
    </w:p>
    <w:p w14:paraId="21E9C915" w14:textId="77777777" w:rsidR="00840E66" w:rsidRPr="00BE71E4" w:rsidRDefault="00840E66" w:rsidP="00840E66">
      <w:pPr>
        <w:pStyle w:val="ListParagraph"/>
        <w:rPr>
          <w:lang w:val="es-US"/>
        </w:rPr>
      </w:pPr>
    </w:p>
    <w:p w14:paraId="3310ADD6" w14:textId="5D900525" w:rsidR="00840E66" w:rsidRPr="00BE71E4" w:rsidRDefault="00840E66" w:rsidP="00C934B2">
      <w:pPr>
        <w:pStyle w:val="parrafos"/>
        <w:numPr>
          <w:ilvl w:val="0"/>
          <w:numId w:val="58"/>
        </w:numPr>
        <w:ind w:left="0" w:firstLine="0"/>
        <w:rPr>
          <w:lang w:val="es-US"/>
        </w:rPr>
      </w:pPr>
      <w:r w:rsidRPr="00BE71E4">
        <w:rPr>
          <w:lang w:val="es-US"/>
        </w:rPr>
        <w:t xml:space="preserve">Respecto </w:t>
      </w:r>
      <w:r w:rsidR="00F2750A" w:rsidRPr="00BE71E4">
        <w:rPr>
          <w:lang w:val="es-US"/>
        </w:rPr>
        <w:t>de los estímulos de literatura</w:t>
      </w:r>
      <w:r w:rsidRPr="00BE71E4">
        <w:rPr>
          <w:lang w:val="es-US"/>
        </w:rPr>
        <w:t xml:space="preserve">, </w:t>
      </w:r>
      <w:r w:rsidR="00F92AB8" w:rsidRPr="00BE71E4">
        <w:rPr>
          <w:lang w:val="es-US"/>
        </w:rPr>
        <w:t xml:space="preserve">informó que </w:t>
      </w:r>
      <w:r w:rsidR="00B11779" w:rsidRPr="00BE71E4">
        <w:rPr>
          <w:lang w:val="es-US"/>
        </w:rPr>
        <w:t xml:space="preserve">se </w:t>
      </w:r>
      <w:r w:rsidRPr="00BE71E4">
        <w:rPr>
          <w:lang w:val="es-US"/>
        </w:rPr>
        <w:t>ha</w:t>
      </w:r>
      <w:r w:rsidR="00DB2B79" w:rsidRPr="00BE71E4">
        <w:rPr>
          <w:lang w:val="es-US"/>
        </w:rPr>
        <w:t>n</w:t>
      </w:r>
      <w:r w:rsidRPr="00BE71E4">
        <w:rPr>
          <w:lang w:val="es-US"/>
        </w:rPr>
        <w:t xml:space="preserve"> venido adelantando acciones preliminares en coordinación </w:t>
      </w:r>
      <w:r w:rsidR="00B11779" w:rsidRPr="00BE71E4">
        <w:rPr>
          <w:lang w:val="es-US"/>
        </w:rPr>
        <w:t xml:space="preserve">a </w:t>
      </w:r>
      <w:r w:rsidRPr="00BE71E4">
        <w:rPr>
          <w:lang w:val="es-US"/>
        </w:rPr>
        <w:t>fin</w:t>
      </w:r>
      <w:r w:rsidR="002D1FC4" w:rsidRPr="00BE71E4">
        <w:rPr>
          <w:lang w:val="es-US"/>
        </w:rPr>
        <w:t xml:space="preserve"> </w:t>
      </w:r>
      <w:r w:rsidRPr="00BE71E4">
        <w:rPr>
          <w:lang w:val="es-US"/>
        </w:rPr>
        <w:t xml:space="preserve">de viabilizar </w:t>
      </w:r>
      <w:r w:rsidR="00B54801" w:rsidRPr="00BE71E4">
        <w:rPr>
          <w:lang w:val="es-US"/>
        </w:rPr>
        <w:t>la convocatoria</w:t>
      </w:r>
      <w:r w:rsidRPr="00BE71E4">
        <w:rPr>
          <w:lang w:val="es-US"/>
        </w:rPr>
        <w:t xml:space="preserve"> de </w:t>
      </w:r>
      <w:r w:rsidR="00B54801" w:rsidRPr="00BE71E4">
        <w:rPr>
          <w:lang w:val="es-US"/>
        </w:rPr>
        <w:t>dicho</w:t>
      </w:r>
      <w:r w:rsidR="00861D08" w:rsidRPr="00BE71E4">
        <w:rPr>
          <w:lang w:val="es-US"/>
        </w:rPr>
        <w:t>s</w:t>
      </w:r>
      <w:r w:rsidR="00B54801" w:rsidRPr="00BE71E4">
        <w:rPr>
          <w:lang w:val="es-US"/>
        </w:rPr>
        <w:t xml:space="preserve"> </w:t>
      </w:r>
      <w:r w:rsidRPr="00BE71E4">
        <w:rPr>
          <w:lang w:val="es-US"/>
        </w:rPr>
        <w:t>estímulos en creación literaria y</w:t>
      </w:r>
      <w:r w:rsidR="004C0262" w:rsidRPr="00BE71E4">
        <w:rPr>
          <w:lang w:val="es-US"/>
        </w:rPr>
        <w:t xml:space="preserve"> </w:t>
      </w:r>
      <w:r w:rsidRPr="00BE71E4">
        <w:rPr>
          <w:lang w:val="es-US"/>
        </w:rPr>
        <w:t>crónica periodística, orientados a promover la reflexión crítica sobre los derechos</w:t>
      </w:r>
      <w:r w:rsidR="004C0262" w:rsidRPr="00BE71E4">
        <w:rPr>
          <w:lang w:val="es-US"/>
        </w:rPr>
        <w:t xml:space="preserve"> </w:t>
      </w:r>
      <w:r w:rsidRPr="00BE71E4">
        <w:rPr>
          <w:lang w:val="es-US"/>
        </w:rPr>
        <w:t>humanos, la defensa del territorio, los conflictos socioambientales y la memoria.</w:t>
      </w:r>
      <w:r w:rsidR="004C0262" w:rsidRPr="00BE71E4">
        <w:rPr>
          <w:lang w:val="es-US"/>
        </w:rPr>
        <w:t xml:space="preserve"> </w:t>
      </w:r>
      <w:r w:rsidR="008708F1" w:rsidRPr="00BE71E4">
        <w:rPr>
          <w:lang w:val="es-US"/>
        </w:rPr>
        <w:t xml:space="preserve">Indicó que </w:t>
      </w:r>
      <w:r w:rsidRPr="00BE71E4">
        <w:rPr>
          <w:lang w:val="es-US"/>
        </w:rPr>
        <w:t>se encuentra en articulación un espacio de reunión con</w:t>
      </w:r>
      <w:r w:rsidR="004C0262" w:rsidRPr="00BE71E4">
        <w:rPr>
          <w:lang w:val="es-US"/>
        </w:rPr>
        <w:t xml:space="preserve"> </w:t>
      </w:r>
      <w:r w:rsidRPr="00BE71E4">
        <w:rPr>
          <w:lang w:val="es-US"/>
        </w:rPr>
        <w:t>las víctimas</w:t>
      </w:r>
      <w:r w:rsidR="008708F1" w:rsidRPr="00BE71E4">
        <w:rPr>
          <w:lang w:val="es-US"/>
        </w:rPr>
        <w:t xml:space="preserve"> y</w:t>
      </w:r>
      <w:r w:rsidRPr="00BE71E4">
        <w:rPr>
          <w:lang w:val="es-US"/>
        </w:rPr>
        <w:t xml:space="preserve"> sus representantes </w:t>
      </w:r>
      <w:r w:rsidR="008708F1" w:rsidRPr="00BE71E4">
        <w:rPr>
          <w:lang w:val="es-US"/>
        </w:rPr>
        <w:t xml:space="preserve">para </w:t>
      </w:r>
      <w:r w:rsidRPr="00BE71E4">
        <w:rPr>
          <w:lang w:val="es-US"/>
        </w:rPr>
        <w:t>acordar conjuntamente su implementación.</w:t>
      </w:r>
      <w:r w:rsidR="004C0262" w:rsidRPr="00BE71E4">
        <w:rPr>
          <w:lang w:val="es-US"/>
        </w:rPr>
        <w:t xml:space="preserve"> </w:t>
      </w:r>
    </w:p>
    <w:p w14:paraId="38DACC3F" w14:textId="77777777" w:rsidR="00EC25D6" w:rsidRPr="00BE71E4" w:rsidRDefault="00EC25D6" w:rsidP="00EC25D6">
      <w:pPr>
        <w:pStyle w:val="ListParagraph"/>
        <w:rPr>
          <w:lang w:val="es-US"/>
        </w:rPr>
      </w:pPr>
    </w:p>
    <w:p w14:paraId="023EA8B5" w14:textId="0799B6EE" w:rsidR="00EC25D6" w:rsidRPr="00BE71E4" w:rsidRDefault="00EC25D6" w:rsidP="00C934B2">
      <w:pPr>
        <w:pStyle w:val="parrafos"/>
        <w:numPr>
          <w:ilvl w:val="0"/>
          <w:numId w:val="58"/>
        </w:numPr>
        <w:ind w:left="0" w:firstLine="0"/>
        <w:rPr>
          <w:lang w:val="es-US"/>
        </w:rPr>
      </w:pPr>
      <w:r w:rsidRPr="00BE71E4">
        <w:rPr>
          <w:lang w:val="es-US"/>
        </w:rPr>
        <w:t>Sobre la dotación de</w:t>
      </w:r>
      <w:r w:rsidR="009944A8" w:rsidRPr="00BE71E4">
        <w:rPr>
          <w:lang w:val="es-US"/>
        </w:rPr>
        <w:t xml:space="preserve"> </w:t>
      </w:r>
      <w:r w:rsidRPr="00BE71E4">
        <w:rPr>
          <w:lang w:val="es-US"/>
        </w:rPr>
        <w:t>l</w:t>
      </w:r>
      <w:r w:rsidR="009944A8" w:rsidRPr="00BE71E4">
        <w:rPr>
          <w:lang w:val="es-US"/>
        </w:rPr>
        <w:t>a</w:t>
      </w:r>
      <w:r w:rsidRPr="00BE71E4">
        <w:rPr>
          <w:lang w:val="es-US"/>
        </w:rPr>
        <w:t xml:space="preserve"> </w:t>
      </w:r>
      <w:r w:rsidR="00452745" w:rsidRPr="00BE71E4">
        <w:rPr>
          <w:lang w:val="es-US"/>
        </w:rPr>
        <w:t>Institución</w:t>
      </w:r>
      <w:r w:rsidRPr="00BE71E4">
        <w:rPr>
          <w:lang w:val="es-US"/>
        </w:rPr>
        <w:t xml:space="preserve"> Educativ</w:t>
      </w:r>
      <w:r w:rsidR="00452745" w:rsidRPr="00BE71E4">
        <w:rPr>
          <w:lang w:val="es-US"/>
        </w:rPr>
        <w:t>a</w:t>
      </w:r>
      <w:r w:rsidRPr="00BE71E4">
        <w:rPr>
          <w:lang w:val="es-US"/>
        </w:rPr>
        <w:t xml:space="preserve"> Pozo Azul informó que ha adelantado acciones preliminares con el fin de</w:t>
      </w:r>
      <w:r w:rsidR="00452745" w:rsidRPr="00BE71E4">
        <w:rPr>
          <w:lang w:val="es-US"/>
        </w:rPr>
        <w:t xml:space="preserve"> </w:t>
      </w:r>
      <w:r w:rsidRPr="00BE71E4">
        <w:rPr>
          <w:lang w:val="es-US"/>
        </w:rPr>
        <w:t xml:space="preserve">viabilizar </w:t>
      </w:r>
      <w:r w:rsidR="00452745" w:rsidRPr="00BE71E4">
        <w:rPr>
          <w:lang w:val="es-US"/>
        </w:rPr>
        <w:t>dicha</w:t>
      </w:r>
      <w:r w:rsidRPr="00BE71E4">
        <w:rPr>
          <w:lang w:val="es-US"/>
        </w:rPr>
        <w:t xml:space="preserve"> dotación con enfoque de arte, cultura, memoria y vida</w:t>
      </w:r>
      <w:r w:rsidR="006E47E9" w:rsidRPr="00BE71E4">
        <w:rPr>
          <w:lang w:val="es-US"/>
        </w:rPr>
        <w:t xml:space="preserve">. </w:t>
      </w:r>
      <w:r w:rsidR="004A0857" w:rsidRPr="00BE71E4">
        <w:rPr>
          <w:lang w:val="es-US"/>
        </w:rPr>
        <w:t>Indicó que s</w:t>
      </w:r>
      <w:r w:rsidR="006E47E9" w:rsidRPr="00BE71E4">
        <w:rPr>
          <w:lang w:val="es-US"/>
        </w:rPr>
        <w:t>e encuentra en articulación un espacio de reunión con las víctimas</w:t>
      </w:r>
      <w:r w:rsidR="004A0857" w:rsidRPr="00BE71E4">
        <w:rPr>
          <w:lang w:val="es-US"/>
        </w:rPr>
        <w:t xml:space="preserve"> y </w:t>
      </w:r>
      <w:r w:rsidR="006E47E9" w:rsidRPr="00BE71E4">
        <w:rPr>
          <w:lang w:val="es-US"/>
        </w:rPr>
        <w:t>sus representantes</w:t>
      </w:r>
      <w:r w:rsidR="004A0857" w:rsidRPr="00BE71E4">
        <w:rPr>
          <w:lang w:val="es-US"/>
        </w:rPr>
        <w:t xml:space="preserve"> a fin de acordar </w:t>
      </w:r>
      <w:r w:rsidR="006E47E9" w:rsidRPr="00BE71E4">
        <w:rPr>
          <w:lang w:val="es-US"/>
        </w:rPr>
        <w:t>su implementación. Respecto de la adecuación de la cancha múltiple</w:t>
      </w:r>
      <w:r w:rsidR="003D5CD0" w:rsidRPr="00BE71E4">
        <w:rPr>
          <w:lang w:val="es-US"/>
        </w:rPr>
        <w:t xml:space="preserve"> indicó que</w:t>
      </w:r>
      <w:r w:rsidR="006E47E9" w:rsidRPr="00BE71E4">
        <w:rPr>
          <w:lang w:val="es-US"/>
        </w:rPr>
        <w:t xml:space="preserve"> </w:t>
      </w:r>
      <w:r w:rsidR="003D5CD0" w:rsidRPr="00BE71E4">
        <w:rPr>
          <w:lang w:val="es-US"/>
        </w:rPr>
        <w:t>la</w:t>
      </w:r>
      <w:r w:rsidR="006E47E9" w:rsidRPr="00BE71E4">
        <w:rPr>
          <w:lang w:val="es-US"/>
        </w:rPr>
        <w:t xml:space="preserve"> </w:t>
      </w:r>
      <w:r w:rsidR="003D5CD0" w:rsidRPr="00BE71E4">
        <w:rPr>
          <w:lang w:val="es-US"/>
        </w:rPr>
        <w:t>A</w:t>
      </w:r>
      <w:r w:rsidR="006E47E9" w:rsidRPr="00BE71E4">
        <w:rPr>
          <w:lang w:val="es-US"/>
        </w:rPr>
        <w:t>gencia Nacional Inmobiliaria Virgilio Barco Vargas se encuentra avanzando en los diseños y costeo de la cancha múltiple y en la gestión y trámite de permisos y autorizaciones con el ente territorial.</w:t>
      </w:r>
    </w:p>
    <w:p w14:paraId="6BA30AE4" w14:textId="77777777" w:rsidR="002A1723" w:rsidRPr="00BE71E4" w:rsidRDefault="002A1723" w:rsidP="002A1723">
      <w:pPr>
        <w:pStyle w:val="ListParagraph"/>
        <w:rPr>
          <w:lang w:val="es-US"/>
        </w:rPr>
      </w:pPr>
    </w:p>
    <w:p w14:paraId="05FD90A7" w14:textId="576CD785" w:rsidR="002A1723" w:rsidRPr="00BE71E4" w:rsidRDefault="002A1723" w:rsidP="00C934B2">
      <w:pPr>
        <w:pStyle w:val="parrafos"/>
        <w:numPr>
          <w:ilvl w:val="0"/>
          <w:numId w:val="58"/>
        </w:numPr>
        <w:ind w:left="0" w:firstLine="0"/>
        <w:rPr>
          <w:lang w:val="es-US"/>
        </w:rPr>
      </w:pPr>
      <w:r w:rsidRPr="00BE71E4">
        <w:rPr>
          <w:lang w:val="es-US"/>
        </w:rPr>
        <w:t xml:space="preserve">Sobre </w:t>
      </w:r>
      <w:r w:rsidR="003F6763" w:rsidRPr="00BE71E4">
        <w:rPr>
          <w:lang w:val="es-US"/>
        </w:rPr>
        <w:t>la e</w:t>
      </w:r>
      <w:r w:rsidRPr="00BE71E4">
        <w:rPr>
          <w:lang w:val="es-US"/>
        </w:rPr>
        <w:t>xoneración de la prestación del servicio militar y de</w:t>
      </w:r>
      <w:r w:rsidR="003F6763" w:rsidRPr="00BE71E4">
        <w:rPr>
          <w:lang w:val="es-US"/>
        </w:rPr>
        <w:t xml:space="preserve"> </w:t>
      </w:r>
      <w:r w:rsidRPr="00BE71E4">
        <w:rPr>
          <w:lang w:val="es-US"/>
        </w:rPr>
        <w:t>cualquier pago para obtener la libreta militar</w:t>
      </w:r>
      <w:r w:rsidR="00DF6F21" w:rsidRPr="00BE71E4">
        <w:rPr>
          <w:lang w:val="es-US"/>
        </w:rPr>
        <w:t>,</w:t>
      </w:r>
      <w:r w:rsidR="003F6763" w:rsidRPr="00BE71E4">
        <w:rPr>
          <w:lang w:val="es-US"/>
        </w:rPr>
        <w:t xml:space="preserve"> el Estado indicó que </w:t>
      </w:r>
      <w:r w:rsidR="00D23FE4" w:rsidRPr="00BE71E4">
        <w:rPr>
          <w:lang w:val="es-US"/>
        </w:rPr>
        <w:t>se informó a los beneficiarios y sus representantes el paso a paso para obtener la libreta militar digital gratuita para víctimas del conflicto armado, el cual es un trámite gratuito y expedito que debe realizar directamente cada beneficiario.</w:t>
      </w:r>
      <w:r w:rsidR="00F501DC" w:rsidRPr="00BE71E4">
        <w:rPr>
          <w:lang w:val="es-US"/>
        </w:rPr>
        <w:t xml:space="preserve"> El Estado considera que esta medida está cumplida.</w:t>
      </w:r>
    </w:p>
    <w:p w14:paraId="1950321A" w14:textId="77777777" w:rsidR="00315DF4" w:rsidRPr="00BE71E4" w:rsidRDefault="00315DF4" w:rsidP="00315DF4">
      <w:pPr>
        <w:pStyle w:val="ListParagraph"/>
        <w:rPr>
          <w:lang w:val="es-US"/>
        </w:rPr>
      </w:pPr>
    </w:p>
    <w:p w14:paraId="37E2F7FB" w14:textId="0594DD8A" w:rsidR="00315DF4" w:rsidRPr="00BE71E4" w:rsidRDefault="00DE2009" w:rsidP="00C934B2">
      <w:pPr>
        <w:pStyle w:val="parrafos"/>
        <w:numPr>
          <w:ilvl w:val="0"/>
          <w:numId w:val="58"/>
        </w:numPr>
        <w:ind w:left="0" w:firstLine="0"/>
        <w:rPr>
          <w:lang w:val="es-US"/>
        </w:rPr>
      </w:pPr>
      <w:r w:rsidRPr="00BE71E4">
        <w:rPr>
          <w:lang w:val="es-US"/>
        </w:rPr>
        <w:t>En cuanto</w:t>
      </w:r>
      <w:r w:rsidR="00315DF4" w:rsidRPr="00BE71E4">
        <w:rPr>
          <w:lang w:val="es-US"/>
        </w:rPr>
        <w:t xml:space="preserve"> a la </w:t>
      </w:r>
      <w:r w:rsidR="00E220D1" w:rsidRPr="00BE71E4">
        <w:rPr>
          <w:lang w:val="es-US"/>
        </w:rPr>
        <w:t>segunda</w:t>
      </w:r>
      <w:r w:rsidR="00315DF4" w:rsidRPr="00BE71E4">
        <w:rPr>
          <w:lang w:val="es-US"/>
        </w:rPr>
        <w:t xml:space="preserve"> recomendación</w:t>
      </w:r>
      <w:r w:rsidR="00E220D1" w:rsidRPr="00BE71E4">
        <w:rPr>
          <w:lang w:val="es-US"/>
        </w:rPr>
        <w:t xml:space="preserve">, respecto a la búsqueda de las </w:t>
      </w:r>
      <w:r w:rsidR="000A3B7D" w:rsidRPr="00BE71E4">
        <w:rPr>
          <w:lang w:val="es-US"/>
        </w:rPr>
        <w:t xml:space="preserve">dos </w:t>
      </w:r>
      <w:r w:rsidR="00E220D1" w:rsidRPr="00BE71E4">
        <w:rPr>
          <w:lang w:val="es-US"/>
        </w:rPr>
        <w:t>víctimas</w:t>
      </w:r>
      <w:r w:rsidR="000A3B7D" w:rsidRPr="00BE71E4">
        <w:rPr>
          <w:lang w:val="es-US"/>
        </w:rPr>
        <w:t xml:space="preserve"> desaparecidas</w:t>
      </w:r>
      <w:r w:rsidR="00E220D1" w:rsidRPr="00BE71E4">
        <w:rPr>
          <w:lang w:val="es-US"/>
        </w:rPr>
        <w:t>,</w:t>
      </w:r>
      <w:r w:rsidR="00315DF4" w:rsidRPr="00BE71E4">
        <w:rPr>
          <w:lang w:val="es-US"/>
        </w:rPr>
        <w:t xml:space="preserve"> el Estado informó que</w:t>
      </w:r>
      <w:r w:rsidR="00F2217F" w:rsidRPr="00BE71E4">
        <w:rPr>
          <w:lang w:val="es-US"/>
        </w:rPr>
        <w:t xml:space="preserve"> se encuentra articulando con </w:t>
      </w:r>
      <w:r w:rsidRPr="00BE71E4">
        <w:rPr>
          <w:lang w:val="es-US"/>
        </w:rPr>
        <w:t xml:space="preserve">sus entidades para </w:t>
      </w:r>
      <w:r w:rsidR="00F2217F" w:rsidRPr="00BE71E4">
        <w:rPr>
          <w:lang w:val="es-US"/>
        </w:rPr>
        <w:t>la construcción de un Plan Interinstitucional de Búsqueda, el cual será presentado para observaciones y aprobación de los representantes y los familiares.</w:t>
      </w:r>
    </w:p>
    <w:p w14:paraId="376B9D5C" w14:textId="77777777" w:rsidR="005E2E93" w:rsidRPr="00BE71E4" w:rsidRDefault="005E2E93" w:rsidP="005E2E93">
      <w:pPr>
        <w:pStyle w:val="ListParagraph"/>
        <w:rPr>
          <w:lang w:val="es-US"/>
        </w:rPr>
      </w:pPr>
    </w:p>
    <w:p w14:paraId="494D5967" w14:textId="7492A51C" w:rsidR="005E2E93" w:rsidRPr="00BE71E4" w:rsidRDefault="005E2E93" w:rsidP="00C934B2">
      <w:pPr>
        <w:pStyle w:val="parrafos"/>
        <w:numPr>
          <w:ilvl w:val="0"/>
          <w:numId w:val="58"/>
        </w:numPr>
        <w:ind w:left="0" w:firstLine="0"/>
        <w:rPr>
          <w:lang w:val="es-US"/>
        </w:rPr>
      </w:pPr>
      <w:r w:rsidRPr="00BE71E4">
        <w:rPr>
          <w:lang w:val="es-US"/>
        </w:rPr>
        <w:t>Respecto la cuarta recomendación, relativa a la</w:t>
      </w:r>
      <w:r w:rsidR="00E02739" w:rsidRPr="00BE71E4">
        <w:rPr>
          <w:lang w:val="es-US"/>
        </w:rPr>
        <w:t xml:space="preserve"> atención médica y psicológica</w:t>
      </w:r>
      <w:r w:rsidRPr="00BE71E4">
        <w:rPr>
          <w:lang w:val="es-US"/>
        </w:rPr>
        <w:t xml:space="preserve">, el Estado informó </w:t>
      </w:r>
      <w:r w:rsidR="00827C2C" w:rsidRPr="00BE71E4">
        <w:rPr>
          <w:lang w:val="es-US"/>
        </w:rPr>
        <w:t xml:space="preserve">que ha </w:t>
      </w:r>
      <w:r w:rsidRPr="00BE71E4">
        <w:rPr>
          <w:lang w:val="es-US"/>
        </w:rPr>
        <w:t xml:space="preserve">venido acompañando a los familiares en los diferentes procesos de superación de barreras de acceso identificadas y el acompañamiento al trámite con las Entidades Prestadoras de Salud de los familiares. </w:t>
      </w:r>
      <w:r w:rsidR="00827C2C" w:rsidRPr="00BE71E4">
        <w:rPr>
          <w:lang w:val="es-US"/>
        </w:rPr>
        <w:t xml:space="preserve">Indicó que </w:t>
      </w:r>
      <w:r w:rsidRPr="00BE71E4">
        <w:rPr>
          <w:lang w:val="es-US"/>
        </w:rPr>
        <w:t xml:space="preserve">el Ministerio de Salud y Protección Social y la Superintendencia de Salud han realizado diversas acciones para garantizar la pronta y correcta prestación de los servicios requeridos por el </w:t>
      </w:r>
      <w:r w:rsidR="00827C2C" w:rsidRPr="00BE71E4">
        <w:rPr>
          <w:lang w:val="es-US"/>
        </w:rPr>
        <w:t>señor Hernán Quiroga</w:t>
      </w:r>
      <w:r w:rsidR="00E02739" w:rsidRPr="00BE71E4">
        <w:rPr>
          <w:lang w:val="es-US"/>
        </w:rPr>
        <w:t>,</w:t>
      </w:r>
      <w:r w:rsidRPr="00BE71E4">
        <w:rPr>
          <w:lang w:val="es-US"/>
        </w:rPr>
        <w:t xml:space="preserve"> teniendo en cuenta su estado de salud.</w:t>
      </w:r>
    </w:p>
    <w:p w14:paraId="7036AF93" w14:textId="77777777" w:rsidR="00DE2009" w:rsidRPr="00BE71E4" w:rsidRDefault="00DE2009" w:rsidP="00DE2009">
      <w:pPr>
        <w:pStyle w:val="parrafos"/>
        <w:rPr>
          <w:lang w:val="es-US"/>
        </w:rPr>
      </w:pPr>
    </w:p>
    <w:p w14:paraId="225B7654" w14:textId="17A6697C" w:rsidR="00333888" w:rsidRPr="00BE71E4" w:rsidRDefault="00AA04FA" w:rsidP="00054161">
      <w:pPr>
        <w:pStyle w:val="parrafos"/>
        <w:numPr>
          <w:ilvl w:val="0"/>
          <w:numId w:val="58"/>
        </w:numPr>
        <w:ind w:left="0" w:firstLine="0"/>
        <w:rPr>
          <w:lang w:val="es-US"/>
        </w:rPr>
      </w:pPr>
      <w:r w:rsidRPr="00BE71E4">
        <w:rPr>
          <w:lang w:val="es-US"/>
        </w:rPr>
        <w:t xml:space="preserve">En cuanto a la </w:t>
      </w:r>
      <w:r w:rsidR="00B76F09" w:rsidRPr="00BE71E4">
        <w:rPr>
          <w:lang w:val="es-US"/>
        </w:rPr>
        <w:t>quinta</w:t>
      </w:r>
      <w:r w:rsidRPr="00BE71E4">
        <w:rPr>
          <w:lang w:val="es-US"/>
        </w:rPr>
        <w:t xml:space="preserve"> recomendación, respecto a las medidas de no rep</w:t>
      </w:r>
      <w:r w:rsidR="00333888" w:rsidRPr="00BE71E4">
        <w:rPr>
          <w:lang w:val="es-US"/>
        </w:rPr>
        <w:t>e</w:t>
      </w:r>
      <w:r w:rsidRPr="00BE71E4">
        <w:rPr>
          <w:lang w:val="es-US"/>
        </w:rPr>
        <w:t>tición</w:t>
      </w:r>
      <w:r w:rsidR="009A1738" w:rsidRPr="00BE71E4">
        <w:rPr>
          <w:lang w:val="es-US"/>
        </w:rPr>
        <w:t>,</w:t>
      </w:r>
      <w:r w:rsidRPr="00BE71E4">
        <w:rPr>
          <w:lang w:val="es-US"/>
        </w:rPr>
        <w:t xml:space="preserve"> </w:t>
      </w:r>
      <w:r w:rsidR="00333888" w:rsidRPr="00BE71E4">
        <w:rPr>
          <w:lang w:val="es-US"/>
        </w:rPr>
        <w:t xml:space="preserve">el Estado </w:t>
      </w:r>
      <w:r w:rsidR="00756237" w:rsidRPr="00BE71E4">
        <w:rPr>
          <w:lang w:val="es-US"/>
        </w:rPr>
        <w:t xml:space="preserve">resaltó </w:t>
      </w:r>
      <w:r w:rsidR="00333888" w:rsidRPr="00BE71E4">
        <w:rPr>
          <w:lang w:val="es-US"/>
        </w:rPr>
        <w:t xml:space="preserve">que se ha </w:t>
      </w:r>
      <w:r w:rsidRPr="00BE71E4">
        <w:rPr>
          <w:lang w:val="es-US"/>
        </w:rPr>
        <w:t>avanzado en la ejecución de reuniones semestrales con los familiares</w:t>
      </w:r>
      <w:r w:rsidR="00B76F09" w:rsidRPr="00BE71E4">
        <w:rPr>
          <w:lang w:val="es-US"/>
        </w:rPr>
        <w:t xml:space="preserve"> y sus representantes</w:t>
      </w:r>
      <w:r w:rsidRPr="00BE71E4">
        <w:rPr>
          <w:lang w:val="es-US"/>
        </w:rPr>
        <w:t xml:space="preserve"> para informar sobre el avance de este proceso.</w:t>
      </w:r>
      <w:r w:rsidR="00A33DED" w:rsidRPr="00BE71E4">
        <w:rPr>
          <w:lang w:val="es-US"/>
        </w:rPr>
        <w:t xml:space="preserve"> Sobre el componente a cargo de la UNP</w:t>
      </w:r>
      <w:r w:rsidR="00756237" w:rsidRPr="00BE71E4">
        <w:rPr>
          <w:lang w:val="es-US"/>
        </w:rPr>
        <w:t>,</w:t>
      </w:r>
      <w:r w:rsidR="00A33DED" w:rsidRPr="00BE71E4">
        <w:rPr>
          <w:lang w:val="es-US"/>
        </w:rPr>
        <w:t xml:space="preserve"> el Estado indicó que </w:t>
      </w:r>
      <w:r w:rsidR="00C567AA" w:rsidRPr="00BE71E4">
        <w:rPr>
          <w:lang w:val="es-US"/>
        </w:rPr>
        <w:t xml:space="preserve">la entidad </w:t>
      </w:r>
      <w:r w:rsidR="00A33DED" w:rsidRPr="00BE71E4">
        <w:rPr>
          <w:lang w:val="es-US"/>
        </w:rPr>
        <w:t xml:space="preserve">ha manifestado su disposición de </w:t>
      </w:r>
      <w:r w:rsidR="00756237" w:rsidRPr="00BE71E4">
        <w:rPr>
          <w:lang w:val="es-US"/>
        </w:rPr>
        <w:t>activar</w:t>
      </w:r>
      <w:r w:rsidR="00A33DED" w:rsidRPr="00BE71E4">
        <w:rPr>
          <w:lang w:val="es-US"/>
        </w:rPr>
        <w:t xml:space="preserve"> la ruta individual de protección</w:t>
      </w:r>
      <w:r w:rsidR="00106F0D" w:rsidRPr="00BE71E4">
        <w:rPr>
          <w:lang w:val="es-US"/>
        </w:rPr>
        <w:t>. En consecuencia,</w:t>
      </w:r>
      <w:r w:rsidR="00A33DED" w:rsidRPr="00BE71E4">
        <w:rPr>
          <w:lang w:val="es-US"/>
        </w:rPr>
        <w:t xml:space="preserve"> una vez </w:t>
      </w:r>
      <w:r w:rsidR="00756237" w:rsidRPr="00BE71E4">
        <w:rPr>
          <w:lang w:val="es-US"/>
        </w:rPr>
        <w:t xml:space="preserve">que </w:t>
      </w:r>
      <w:r w:rsidR="00A33DED" w:rsidRPr="00BE71E4">
        <w:rPr>
          <w:lang w:val="es-US"/>
        </w:rPr>
        <w:t>los familiares manifiesten su voluntad de iniciar con la implementación de esta medida y remitan la documentación solicitada</w:t>
      </w:r>
      <w:r w:rsidR="00603F07" w:rsidRPr="00BE71E4">
        <w:rPr>
          <w:lang w:val="es-US"/>
        </w:rPr>
        <w:t xml:space="preserve">, </w:t>
      </w:r>
      <w:r w:rsidR="0067492E" w:rsidRPr="00BE71E4">
        <w:rPr>
          <w:lang w:val="es-US"/>
        </w:rPr>
        <w:t>se iniciará con</w:t>
      </w:r>
      <w:r w:rsidR="00603F07" w:rsidRPr="00BE71E4">
        <w:rPr>
          <w:lang w:val="es-US"/>
        </w:rPr>
        <w:t xml:space="preserve"> las reuniones anuales pactadas.</w:t>
      </w:r>
    </w:p>
    <w:p w14:paraId="4F2B0B4F" w14:textId="77777777" w:rsidR="005F65CA" w:rsidRPr="00BE71E4" w:rsidRDefault="005F65CA" w:rsidP="00081D74">
      <w:pPr>
        <w:rPr>
          <w:lang w:val="es-US"/>
        </w:rPr>
      </w:pPr>
    </w:p>
    <w:p w14:paraId="4210D3B5" w14:textId="1B43032B" w:rsidR="005F65CA" w:rsidRPr="00BE71E4" w:rsidRDefault="00276F22" w:rsidP="00E82457">
      <w:pPr>
        <w:pStyle w:val="parrafos"/>
        <w:numPr>
          <w:ilvl w:val="0"/>
          <w:numId w:val="58"/>
        </w:numPr>
        <w:ind w:left="0" w:firstLine="0"/>
        <w:rPr>
          <w:color w:val="auto"/>
          <w:lang w:val="es-US"/>
        </w:rPr>
      </w:pPr>
      <w:r w:rsidRPr="00BE71E4">
        <w:rPr>
          <w:color w:val="auto"/>
          <w:lang w:val="es-US"/>
        </w:rPr>
        <w:t xml:space="preserve">La CIDH valora la comunicación y diálogo que se mantiene entre las partes. </w:t>
      </w:r>
      <w:r w:rsidR="00D43A14" w:rsidRPr="00BE71E4">
        <w:rPr>
          <w:color w:val="auto"/>
          <w:lang w:val="es-US"/>
        </w:rPr>
        <w:t xml:space="preserve">Con respecto a la </w:t>
      </w:r>
      <w:r w:rsidR="00D43A14" w:rsidRPr="00BE71E4">
        <w:rPr>
          <w:b/>
          <w:bCs/>
          <w:color w:val="auto"/>
          <w:lang w:val="es-US"/>
        </w:rPr>
        <w:t>primera re</w:t>
      </w:r>
      <w:r w:rsidR="00F67160" w:rsidRPr="00BE71E4">
        <w:rPr>
          <w:b/>
          <w:bCs/>
          <w:color w:val="auto"/>
          <w:lang w:val="es-US"/>
        </w:rPr>
        <w:t>comendación</w:t>
      </w:r>
      <w:r w:rsidR="00D43A14" w:rsidRPr="00BE71E4">
        <w:rPr>
          <w:color w:val="auto"/>
          <w:lang w:val="es-US"/>
        </w:rPr>
        <w:t xml:space="preserve"> referida a la reparación integral, la CIDH valora </w:t>
      </w:r>
      <w:r w:rsidR="003014BF" w:rsidRPr="00BE71E4">
        <w:rPr>
          <w:color w:val="auto"/>
          <w:lang w:val="es-US"/>
        </w:rPr>
        <w:t>que se l</w:t>
      </w:r>
      <w:r w:rsidR="005D1E6F" w:rsidRPr="00BE71E4">
        <w:rPr>
          <w:color w:val="auto"/>
          <w:lang w:val="es-US"/>
        </w:rPr>
        <w:t>l</w:t>
      </w:r>
      <w:r w:rsidR="003014BF" w:rsidRPr="00BE71E4">
        <w:rPr>
          <w:color w:val="auto"/>
          <w:lang w:val="es-US"/>
        </w:rPr>
        <w:t>evara a cabo el acto privado de reconocimiento de responsabilidad esta</w:t>
      </w:r>
      <w:r w:rsidR="005F65CA" w:rsidRPr="00BE71E4">
        <w:rPr>
          <w:color w:val="auto"/>
          <w:lang w:val="es-US"/>
        </w:rPr>
        <w:t>tal</w:t>
      </w:r>
      <w:r w:rsidR="00504445" w:rsidRPr="00BE71E4">
        <w:rPr>
          <w:color w:val="auto"/>
          <w:lang w:val="es-US"/>
        </w:rPr>
        <w:t>,</w:t>
      </w:r>
      <w:r w:rsidR="005F65CA" w:rsidRPr="00BE71E4">
        <w:rPr>
          <w:color w:val="auto"/>
          <w:lang w:val="es-US"/>
        </w:rPr>
        <w:t xml:space="preserve"> de </w:t>
      </w:r>
      <w:r w:rsidR="00391A9D" w:rsidRPr="00BE71E4">
        <w:rPr>
          <w:color w:val="auto"/>
          <w:lang w:val="es-US"/>
        </w:rPr>
        <w:t>común acuerdo con los familiares</w:t>
      </w:r>
      <w:r w:rsidR="00504445" w:rsidRPr="00BE71E4">
        <w:rPr>
          <w:color w:val="auto"/>
          <w:lang w:val="es-US"/>
        </w:rPr>
        <w:t>,</w:t>
      </w:r>
      <w:r w:rsidR="00391A9D" w:rsidRPr="00BE71E4">
        <w:rPr>
          <w:color w:val="auto"/>
          <w:lang w:val="es-US"/>
        </w:rPr>
        <w:t xml:space="preserve"> como u</w:t>
      </w:r>
      <w:r w:rsidR="00504445" w:rsidRPr="00BE71E4">
        <w:rPr>
          <w:color w:val="auto"/>
          <w:lang w:val="es-US"/>
        </w:rPr>
        <w:t>na contribución</w:t>
      </w:r>
      <w:r w:rsidR="005F65CA" w:rsidRPr="00BE71E4">
        <w:rPr>
          <w:color w:val="auto"/>
          <w:lang w:val="es-US"/>
        </w:rPr>
        <w:t xml:space="preserve"> a la dignificación </w:t>
      </w:r>
      <w:r w:rsidR="00916E6F" w:rsidRPr="00BE71E4">
        <w:rPr>
          <w:color w:val="auto"/>
          <w:lang w:val="es-US"/>
        </w:rPr>
        <w:t xml:space="preserve">y memoria </w:t>
      </w:r>
      <w:r w:rsidR="005F65CA" w:rsidRPr="00BE71E4">
        <w:rPr>
          <w:color w:val="auto"/>
          <w:lang w:val="es-US"/>
        </w:rPr>
        <w:t>de las víctimas y a la obtención de justicia y reparación</w:t>
      </w:r>
      <w:r w:rsidR="00A32D48" w:rsidRPr="00BE71E4">
        <w:rPr>
          <w:color w:val="auto"/>
          <w:lang w:val="es-US"/>
        </w:rPr>
        <w:t>.</w:t>
      </w:r>
    </w:p>
    <w:p w14:paraId="62335028" w14:textId="77777777" w:rsidR="00A32D48" w:rsidRPr="00BE71E4" w:rsidRDefault="00A32D48" w:rsidP="00A32D48">
      <w:pPr>
        <w:pStyle w:val="parrafos"/>
        <w:rPr>
          <w:color w:val="auto"/>
          <w:lang w:val="es-US"/>
        </w:rPr>
      </w:pPr>
    </w:p>
    <w:p w14:paraId="384C73A6" w14:textId="363E070E" w:rsidR="0035365B" w:rsidRPr="00BE71E4" w:rsidRDefault="00AB6E74" w:rsidP="00084260">
      <w:pPr>
        <w:pStyle w:val="parrafos"/>
        <w:numPr>
          <w:ilvl w:val="0"/>
          <w:numId w:val="58"/>
        </w:numPr>
        <w:ind w:left="0" w:firstLine="0"/>
        <w:rPr>
          <w:color w:val="auto"/>
          <w:lang w:val="es-US"/>
        </w:rPr>
      </w:pPr>
      <w:r w:rsidRPr="00BE71E4">
        <w:rPr>
          <w:color w:val="auto"/>
          <w:lang w:val="es-US"/>
        </w:rPr>
        <w:t xml:space="preserve">La Comisión nota </w:t>
      </w:r>
      <w:r w:rsidR="003014BF" w:rsidRPr="00BE71E4">
        <w:rPr>
          <w:color w:val="auto"/>
          <w:lang w:val="es-US"/>
        </w:rPr>
        <w:t>la dotación de las computadoras a la institución e</w:t>
      </w:r>
      <w:r w:rsidR="001B441D" w:rsidRPr="00BE71E4">
        <w:rPr>
          <w:color w:val="auto"/>
          <w:lang w:val="es-US"/>
        </w:rPr>
        <w:t>ducativa</w:t>
      </w:r>
      <w:r w:rsidR="003014BF" w:rsidRPr="00BE71E4">
        <w:rPr>
          <w:color w:val="auto"/>
          <w:lang w:val="es-US"/>
        </w:rPr>
        <w:t xml:space="preserve"> y los auxilios educativos brindados, </w:t>
      </w:r>
      <w:r w:rsidR="00A8382C" w:rsidRPr="00BE71E4">
        <w:rPr>
          <w:color w:val="auto"/>
          <w:lang w:val="es-US"/>
        </w:rPr>
        <w:t xml:space="preserve">los cuales </w:t>
      </w:r>
      <w:r w:rsidR="003014BF" w:rsidRPr="00BE71E4">
        <w:rPr>
          <w:color w:val="auto"/>
          <w:lang w:val="es-US"/>
        </w:rPr>
        <w:t xml:space="preserve">están cumpliendo su efecto </w:t>
      </w:r>
      <w:r w:rsidR="007E3F6A" w:rsidRPr="00BE71E4">
        <w:rPr>
          <w:color w:val="auto"/>
          <w:lang w:val="es-US"/>
        </w:rPr>
        <w:t>en beneficio del desarrollo de las víctimas</w:t>
      </w:r>
      <w:r w:rsidR="006D1FB9" w:rsidRPr="00BE71E4">
        <w:rPr>
          <w:color w:val="auto"/>
          <w:lang w:val="es-US"/>
        </w:rPr>
        <w:t>;</w:t>
      </w:r>
      <w:r w:rsidR="00B432A3" w:rsidRPr="00BE71E4">
        <w:rPr>
          <w:color w:val="auto"/>
          <w:lang w:val="es-US"/>
        </w:rPr>
        <w:t xml:space="preserve"> </w:t>
      </w:r>
      <w:r w:rsidRPr="00BE71E4">
        <w:rPr>
          <w:color w:val="auto"/>
          <w:lang w:val="es-US"/>
        </w:rPr>
        <w:t>así como</w:t>
      </w:r>
      <w:r w:rsidR="00B432A3" w:rsidRPr="00BE71E4">
        <w:rPr>
          <w:color w:val="auto"/>
          <w:lang w:val="es-US"/>
        </w:rPr>
        <w:t xml:space="preserve"> el avance del trámite previsto en la Ley 288 de 1996</w:t>
      </w:r>
      <w:r w:rsidR="00881D2F" w:rsidRPr="00BE71E4">
        <w:rPr>
          <w:color w:val="auto"/>
          <w:lang w:val="es-US"/>
        </w:rPr>
        <w:t xml:space="preserve">. También valora </w:t>
      </w:r>
      <w:r w:rsidR="00514BE3" w:rsidRPr="00BE71E4">
        <w:rPr>
          <w:color w:val="auto"/>
          <w:lang w:val="es-US"/>
        </w:rPr>
        <w:t xml:space="preserve">que el trámite para la obtención de la libreta militar </w:t>
      </w:r>
      <w:r w:rsidR="004D1159" w:rsidRPr="00BE71E4">
        <w:rPr>
          <w:color w:val="auto"/>
          <w:lang w:val="es-US"/>
        </w:rPr>
        <w:t>sea</w:t>
      </w:r>
      <w:r w:rsidR="00514BE3" w:rsidRPr="00BE71E4">
        <w:rPr>
          <w:color w:val="auto"/>
          <w:lang w:val="es-US"/>
        </w:rPr>
        <w:t xml:space="preserve"> gratuito para las víctimas del conflict</w:t>
      </w:r>
      <w:r w:rsidR="00AE166C" w:rsidRPr="00BE71E4">
        <w:rPr>
          <w:color w:val="auto"/>
          <w:lang w:val="es-US"/>
        </w:rPr>
        <w:t>o armado.</w:t>
      </w:r>
      <w:r w:rsidR="00A22834" w:rsidRPr="00BE71E4">
        <w:rPr>
          <w:color w:val="auto"/>
          <w:lang w:val="es-US"/>
        </w:rPr>
        <w:t xml:space="preserve"> </w:t>
      </w:r>
      <w:r w:rsidR="004E24BD" w:rsidRPr="00BE71E4">
        <w:rPr>
          <w:color w:val="auto"/>
          <w:lang w:val="es-US"/>
        </w:rPr>
        <w:t xml:space="preserve">Asimismo, </w:t>
      </w:r>
      <w:r w:rsidR="00A8382C" w:rsidRPr="00BE71E4">
        <w:rPr>
          <w:color w:val="auto"/>
          <w:lang w:val="es-US"/>
        </w:rPr>
        <w:t>la CIDH nota</w:t>
      </w:r>
      <w:r w:rsidR="004E24BD" w:rsidRPr="00BE71E4">
        <w:rPr>
          <w:color w:val="auto"/>
          <w:lang w:val="es-US"/>
        </w:rPr>
        <w:t xml:space="preserve"> los</w:t>
      </w:r>
      <w:r w:rsidR="001B09F3" w:rsidRPr="00BE71E4">
        <w:rPr>
          <w:color w:val="auto"/>
          <w:lang w:val="es-US"/>
        </w:rPr>
        <w:t xml:space="preserve"> avances en la coordinación </w:t>
      </w:r>
      <w:r w:rsidR="00DA53B4" w:rsidRPr="00BE71E4">
        <w:rPr>
          <w:color w:val="auto"/>
          <w:lang w:val="es-US"/>
        </w:rPr>
        <w:t xml:space="preserve">estatal </w:t>
      </w:r>
      <w:r w:rsidR="001B09F3" w:rsidRPr="00BE71E4">
        <w:rPr>
          <w:color w:val="auto"/>
          <w:lang w:val="es-US"/>
        </w:rPr>
        <w:t xml:space="preserve">de reuniones </w:t>
      </w:r>
      <w:r w:rsidR="00A622EB" w:rsidRPr="00BE71E4">
        <w:rPr>
          <w:color w:val="auto"/>
          <w:lang w:val="es-US"/>
        </w:rPr>
        <w:t>y trámites para</w:t>
      </w:r>
      <w:r w:rsidR="001B09F3" w:rsidRPr="00BE71E4">
        <w:rPr>
          <w:color w:val="auto"/>
          <w:lang w:val="es-US"/>
        </w:rPr>
        <w:t xml:space="preserve"> la implementación de las </w:t>
      </w:r>
      <w:r w:rsidR="00A22834" w:rsidRPr="00BE71E4">
        <w:rPr>
          <w:color w:val="auto"/>
          <w:lang w:val="es-US"/>
        </w:rPr>
        <w:t>demás medidas de satisfacción</w:t>
      </w:r>
      <w:r w:rsidR="00276F22" w:rsidRPr="00BE71E4">
        <w:rPr>
          <w:color w:val="auto"/>
          <w:lang w:val="es-US"/>
        </w:rPr>
        <w:t>.</w:t>
      </w:r>
      <w:r w:rsidR="001C59A1" w:rsidRPr="00BE71E4">
        <w:rPr>
          <w:color w:val="auto"/>
          <w:lang w:val="es-US"/>
        </w:rPr>
        <w:t xml:space="preserve"> </w:t>
      </w:r>
      <w:r w:rsidR="00B55248" w:rsidRPr="00BE71E4">
        <w:rPr>
          <w:color w:val="auto"/>
          <w:lang w:val="es-US"/>
        </w:rPr>
        <w:t>Sin perjuicio de esto</w:t>
      </w:r>
      <w:r w:rsidR="00BC1F4C" w:rsidRPr="00BE71E4">
        <w:rPr>
          <w:color w:val="auto"/>
          <w:lang w:val="es-US"/>
        </w:rPr>
        <w:t>s avances</w:t>
      </w:r>
      <w:r w:rsidR="00285A2F" w:rsidRPr="00BE71E4">
        <w:rPr>
          <w:color w:val="auto"/>
          <w:lang w:val="es-US"/>
        </w:rPr>
        <w:t xml:space="preserve"> en </w:t>
      </w:r>
      <w:r w:rsidR="000525D2" w:rsidRPr="00BE71E4">
        <w:rPr>
          <w:color w:val="auto"/>
          <w:lang w:val="es-US"/>
        </w:rPr>
        <w:t>el</w:t>
      </w:r>
      <w:r w:rsidR="00285A2F" w:rsidRPr="00BE71E4">
        <w:rPr>
          <w:color w:val="auto"/>
          <w:lang w:val="es-US"/>
        </w:rPr>
        <w:t xml:space="preserve"> cumplimiento </w:t>
      </w:r>
      <w:r w:rsidR="000525D2" w:rsidRPr="00BE71E4">
        <w:rPr>
          <w:color w:val="auto"/>
          <w:lang w:val="es-US"/>
        </w:rPr>
        <w:t>parcial de esta recomendación</w:t>
      </w:r>
      <w:r w:rsidR="00B55248" w:rsidRPr="00BE71E4">
        <w:rPr>
          <w:color w:val="auto"/>
          <w:lang w:val="es-US"/>
        </w:rPr>
        <w:t>,</w:t>
      </w:r>
      <w:r w:rsidR="00A622EB" w:rsidRPr="00BE71E4">
        <w:rPr>
          <w:color w:val="auto"/>
          <w:lang w:val="es-US"/>
        </w:rPr>
        <w:t xml:space="preserve"> </w:t>
      </w:r>
      <w:r w:rsidR="00F262BA" w:rsidRPr="00BE71E4">
        <w:rPr>
          <w:color w:val="auto"/>
          <w:lang w:val="es-US"/>
        </w:rPr>
        <w:t>la CIDH observa</w:t>
      </w:r>
      <w:r w:rsidR="00160096" w:rsidRPr="00BE71E4">
        <w:rPr>
          <w:color w:val="auto"/>
          <w:lang w:val="es-US"/>
        </w:rPr>
        <w:t xml:space="preserve"> que</w:t>
      </w:r>
      <w:r w:rsidR="00831299" w:rsidRPr="00BE71E4">
        <w:rPr>
          <w:color w:val="auto"/>
          <w:lang w:val="es-US"/>
        </w:rPr>
        <w:t xml:space="preserve"> se encuentra aún</w:t>
      </w:r>
      <w:r w:rsidR="000525D2" w:rsidRPr="00BE71E4">
        <w:rPr>
          <w:color w:val="auto"/>
          <w:lang w:val="es-US"/>
        </w:rPr>
        <w:t xml:space="preserve"> </w:t>
      </w:r>
      <w:r w:rsidR="00F262BA" w:rsidRPr="00BE71E4">
        <w:rPr>
          <w:color w:val="auto"/>
          <w:lang w:val="es-US"/>
        </w:rPr>
        <w:t xml:space="preserve">pendiente </w:t>
      </w:r>
      <w:r w:rsidR="00632DE6" w:rsidRPr="00BE71E4">
        <w:rPr>
          <w:color w:val="auto"/>
          <w:lang w:val="es-US"/>
        </w:rPr>
        <w:t>de cumplimiento.</w:t>
      </w:r>
    </w:p>
    <w:p w14:paraId="7D5ED4A3" w14:textId="77777777" w:rsidR="00160096" w:rsidRPr="00BE71E4" w:rsidRDefault="00160096" w:rsidP="00160096">
      <w:pPr>
        <w:pStyle w:val="ListParagraph"/>
        <w:rPr>
          <w:lang w:val="es-US"/>
        </w:rPr>
      </w:pPr>
    </w:p>
    <w:p w14:paraId="78A8C372" w14:textId="04A16B92" w:rsidR="00160096" w:rsidRPr="00BE71E4" w:rsidRDefault="00111639" w:rsidP="00084260">
      <w:pPr>
        <w:pStyle w:val="parrafos"/>
        <w:numPr>
          <w:ilvl w:val="0"/>
          <w:numId w:val="58"/>
        </w:numPr>
        <w:ind w:left="0" w:firstLine="0"/>
        <w:rPr>
          <w:color w:val="auto"/>
          <w:lang w:val="es-US"/>
        </w:rPr>
      </w:pPr>
      <w:r w:rsidRPr="00BE71E4">
        <w:rPr>
          <w:color w:val="auto"/>
          <w:lang w:val="es-US"/>
        </w:rPr>
        <w:t>Con</w:t>
      </w:r>
      <w:r w:rsidR="00160096" w:rsidRPr="00BE71E4">
        <w:rPr>
          <w:color w:val="auto"/>
          <w:lang w:val="es-US"/>
        </w:rPr>
        <w:t xml:space="preserve"> relación a la </w:t>
      </w:r>
      <w:r w:rsidR="00160096" w:rsidRPr="00BE71E4">
        <w:rPr>
          <w:b/>
          <w:bCs/>
          <w:color w:val="auto"/>
          <w:lang w:val="es-US"/>
        </w:rPr>
        <w:t>segunda recomendación</w:t>
      </w:r>
      <w:r w:rsidR="00160096" w:rsidRPr="00BE71E4">
        <w:rPr>
          <w:color w:val="auto"/>
          <w:lang w:val="es-US"/>
        </w:rPr>
        <w:t xml:space="preserve"> referida a la búsqueda de </w:t>
      </w:r>
      <w:r w:rsidR="00FE53CD" w:rsidRPr="00BE71E4">
        <w:rPr>
          <w:color w:val="auto"/>
          <w:lang w:val="es-US"/>
        </w:rPr>
        <w:t xml:space="preserve">las dos víctimas desaparecidas, </w:t>
      </w:r>
      <w:r w:rsidR="00FC6DD3" w:rsidRPr="00BE71E4">
        <w:rPr>
          <w:color w:val="auto"/>
          <w:lang w:val="es-US"/>
        </w:rPr>
        <w:t>la Com</w:t>
      </w:r>
      <w:r w:rsidR="00F524AB" w:rsidRPr="00BE71E4">
        <w:rPr>
          <w:color w:val="auto"/>
          <w:lang w:val="es-US"/>
        </w:rPr>
        <w:t>isión</w:t>
      </w:r>
      <w:r w:rsidR="00103016" w:rsidRPr="00BE71E4">
        <w:rPr>
          <w:color w:val="auto"/>
          <w:lang w:val="es-US"/>
        </w:rPr>
        <w:t xml:space="preserve"> </w:t>
      </w:r>
      <w:r w:rsidR="00FE53CD" w:rsidRPr="00BE71E4">
        <w:rPr>
          <w:color w:val="auto"/>
          <w:lang w:val="es-US"/>
        </w:rPr>
        <w:t xml:space="preserve">queda atenta a que el Estado informe sobre </w:t>
      </w:r>
      <w:r w:rsidR="002D3774" w:rsidRPr="00BE71E4">
        <w:rPr>
          <w:color w:val="auto"/>
          <w:lang w:val="es-US"/>
        </w:rPr>
        <w:t xml:space="preserve">la presentación, aprobación e implementación del </w:t>
      </w:r>
      <w:r w:rsidR="00FC6DD3" w:rsidRPr="00BE71E4">
        <w:rPr>
          <w:color w:val="auto"/>
          <w:lang w:val="es-US"/>
        </w:rPr>
        <w:t xml:space="preserve">citado </w:t>
      </w:r>
      <w:r w:rsidR="002D3774" w:rsidRPr="00BE71E4">
        <w:rPr>
          <w:color w:val="auto"/>
          <w:lang w:val="es-US"/>
        </w:rPr>
        <w:t xml:space="preserve">Plan Interinstitucional de Búsqueda. La Comisión </w:t>
      </w:r>
      <w:r w:rsidR="00F524AB" w:rsidRPr="00BE71E4">
        <w:rPr>
          <w:color w:val="auto"/>
          <w:lang w:val="es-US"/>
        </w:rPr>
        <w:t>recuerda</w:t>
      </w:r>
      <w:r w:rsidR="005B7E47" w:rsidRPr="00BE71E4">
        <w:rPr>
          <w:color w:val="auto"/>
          <w:lang w:val="es-US"/>
        </w:rPr>
        <w:t xml:space="preserve"> que han transcurrido </w:t>
      </w:r>
      <w:r w:rsidR="00560444" w:rsidRPr="00BE71E4">
        <w:rPr>
          <w:color w:val="auto"/>
          <w:lang w:val="es-US"/>
        </w:rPr>
        <w:t>26 años desde</w:t>
      </w:r>
      <w:r w:rsidR="005471FB" w:rsidRPr="00BE71E4">
        <w:rPr>
          <w:color w:val="auto"/>
          <w:lang w:val="es-US"/>
        </w:rPr>
        <w:t xml:space="preserve"> que se cometieron estos crímenes y </w:t>
      </w:r>
      <w:r w:rsidRPr="00BE71E4">
        <w:rPr>
          <w:color w:val="auto"/>
          <w:lang w:val="es-US"/>
        </w:rPr>
        <w:t xml:space="preserve">cinco desde que la CIDH </w:t>
      </w:r>
      <w:r w:rsidR="00CA74B6" w:rsidRPr="00BE71E4">
        <w:rPr>
          <w:color w:val="auto"/>
          <w:lang w:val="es-US"/>
        </w:rPr>
        <w:t>emitió</w:t>
      </w:r>
      <w:r w:rsidRPr="00BE71E4">
        <w:rPr>
          <w:color w:val="auto"/>
          <w:lang w:val="es-US"/>
        </w:rPr>
        <w:t xml:space="preserve"> </w:t>
      </w:r>
      <w:r w:rsidR="00CA74B6" w:rsidRPr="00BE71E4">
        <w:rPr>
          <w:color w:val="auto"/>
          <w:lang w:val="es-US"/>
        </w:rPr>
        <w:t>esta</w:t>
      </w:r>
      <w:r w:rsidRPr="00BE71E4">
        <w:rPr>
          <w:color w:val="auto"/>
          <w:lang w:val="es-US"/>
        </w:rPr>
        <w:t xml:space="preserve"> recomendación</w:t>
      </w:r>
      <w:r w:rsidR="00C117AB" w:rsidRPr="00BE71E4">
        <w:rPr>
          <w:color w:val="auto"/>
          <w:lang w:val="es-US"/>
        </w:rPr>
        <w:t>.</w:t>
      </w:r>
      <w:r w:rsidR="00FE53CD" w:rsidRPr="00BE71E4">
        <w:rPr>
          <w:color w:val="auto"/>
          <w:lang w:val="es-US"/>
        </w:rPr>
        <w:t xml:space="preserve"> </w:t>
      </w:r>
      <w:r w:rsidR="00582226" w:rsidRPr="00BE71E4">
        <w:rPr>
          <w:color w:val="auto"/>
          <w:lang w:val="es-US"/>
        </w:rPr>
        <w:t xml:space="preserve">En vista de que el Estado aun no le ha dado cumplimiento, la CIDH </w:t>
      </w:r>
      <w:r w:rsidRPr="00BE71E4">
        <w:rPr>
          <w:color w:val="auto"/>
          <w:lang w:val="es-US"/>
        </w:rPr>
        <w:t xml:space="preserve">urge al Estado a </w:t>
      </w:r>
      <w:r w:rsidR="00CA74B6" w:rsidRPr="00BE71E4">
        <w:rPr>
          <w:color w:val="auto"/>
          <w:lang w:val="es-US"/>
        </w:rPr>
        <w:t>realizar una búsqueda seria,</w:t>
      </w:r>
      <w:r w:rsidRPr="00BE71E4">
        <w:rPr>
          <w:color w:val="auto"/>
          <w:lang w:val="es-US"/>
        </w:rPr>
        <w:t xml:space="preserve"> sin más demora.</w:t>
      </w:r>
    </w:p>
    <w:p w14:paraId="19FD0316" w14:textId="77777777" w:rsidR="006F2CD9" w:rsidRPr="00BE71E4" w:rsidRDefault="006F2CD9" w:rsidP="006F2CD9">
      <w:pPr>
        <w:pStyle w:val="ListParagraph"/>
        <w:rPr>
          <w:lang w:val="es-US"/>
        </w:rPr>
      </w:pPr>
    </w:p>
    <w:p w14:paraId="7EB8FE34" w14:textId="5EFF0465" w:rsidR="006F2CD9" w:rsidRPr="00BE71E4" w:rsidRDefault="006F2CD9" w:rsidP="00084260">
      <w:pPr>
        <w:pStyle w:val="parrafos"/>
        <w:numPr>
          <w:ilvl w:val="0"/>
          <w:numId w:val="58"/>
        </w:numPr>
        <w:ind w:left="0" w:firstLine="0"/>
        <w:rPr>
          <w:color w:val="auto"/>
          <w:lang w:val="es-US"/>
        </w:rPr>
      </w:pPr>
      <w:r w:rsidRPr="00BE71E4">
        <w:rPr>
          <w:color w:val="auto"/>
          <w:lang w:val="es-US"/>
        </w:rPr>
        <w:t xml:space="preserve">La Comisión nota que el Estado no ha aportado información </w:t>
      </w:r>
      <w:r w:rsidR="00593805" w:rsidRPr="00BE71E4">
        <w:rPr>
          <w:color w:val="auto"/>
          <w:lang w:val="es-US"/>
        </w:rPr>
        <w:t xml:space="preserve">actualizada </w:t>
      </w:r>
      <w:r w:rsidRPr="00BE71E4">
        <w:rPr>
          <w:color w:val="auto"/>
          <w:lang w:val="es-US"/>
        </w:rPr>
        <w:t xml:space="preserve">sobre el cumplimiento de la </w:t>
      </w:r>
      <w:r w:rsidRPr="00BE71E4">
        <w:rPr>
          <w:b/>
          <w:bCs/>
          <w:color w:val="auto"/>
          <w:lang w:val="es-US"/>
        </w:rPr>
        <w:t>t</w:t>
      </w:r>
      <w:r w:rsidR="00CB2886" w:rsidRPr="00BE71E4">
        <w:rPr>
          <w:b/>
          <w:bCs/>
          <w:color w:val="auto"/>
          <w:lang w:val="es-US"/>
        </w:rPr>
        <w:t>e</w:t>
      </w:r>
      <w:r w:rsidRPr="00BE71E4">
        <w:rPr>
          <w:b/>
          <w:bCs/>
          <w:color w:val="auto"/>
          <w:lang w:val="es-US"/>
        </w:rPr>
        <w:t>rcera recomendación</w:t>
      </w:r>
      <w:r w:rsidRPr="00BE71E4">
        <w:rPr>
          <w:color w:val="auto"/>
          <w:lang w:val="es-US"/>
        </w:rPr>
        <w:t xml:space="preserve"> referida a</w:t>
      </w:r>
      <w:r w:rsidR="00973193" w:rsidRPr="00BE71E4">
        <w:rPr>
          <w:rFonts w:ascii="Cambria" w:hAnsi="Cambria"/>
          <w:lang w:val="es-CO"/>
        </w:rPr>
        <w:t xml:space="preserve"> las investigaciones penales y disciplinarias. Por lo tanto, esta recomen</w:t>
      </w:r>
      <w:r w:rsidR="00CB2886" w:rsidRPr="00BE71E4">
        <w:rPr>
          <w:rFonts w:ascii="Cambria" w:hAnsi="Cambria"/>
          <w:lang w:val="es-CO"/>
        </w:rPr>
        <w:t>dación aún se encuentra pendiente de cumplimiento.</w:t>
      </w:r>
    </w:p>
    <w:p w14:paraId="76A1FDD5" w14:textId="77777777" w:rsidR="00850543" w:rsidRPr="00BE71E4" w:rsidRDefault="00850543" w:rsidP="00850543">
      <w:pPr>
        <w:pStyle w:val="ListParagraph"/>
        <w:rPr>
          <w:lang w:val="es-US"/>
        </w:rPr>
      </w:pPr>
    </w:p>
    <w:p w14:paraId="1B1458DE" w14:textId="3E080DBE" w:rsidR="00850543" w:rsidRPr="00BE71E4" w:rsidRDefault="00850543" w:rsidP="00084260">
      <w:pPr>
        <w:pStyle w:val="parrafos"/>
        <w:numPr>
          <w:ilvl w:val="0"/>
          <w:numId w:val="58"/>
        </w:numPr>
        <w:ind w:left="0" w:firstLine="0"/>
        <w:rPr>
          <w:color w:val="auto"/>
          <w:lang w:val="es-US"/>
        </w:rPr>
      </w:pPr>
      <w:r w:rsidRPr="00BE71E4">
        <w:rPr>
          <w:lang w:val="es-US"/>
        </w:rPr>
        <w:t xml:space="preserve">Sobre la </w:t>
      </w:r>
      <w:r w:rsidRPr="00BE71E4">
        <w:rPr>
          <w:b/>
          <w:bCs/>
          <w:lang w:val="es-US"/>
        </w:rPr>
        <w:t>cuarta recomendación</w:t>
      </w:r>
      <w:r w:rsidRPr="00BE71E4">
        <w:rPr>
          <w:lang w:val="es-US"/>
        </w:rPr>
        <w:t>, relativa a la atención médica y psicológica, la Comisión nota que está</w:t>
      </w:r>
      <w:r w:rsidR="00F246EB" w:rsidRPr="00BE71E4">
        <w:rPr>
          <w:lang w:val="es-US"/>
        </w:rPr>
        <w:t xml:space="preserve"> siendo prestada al señor Hernán Quiroga</w:t>
      </w:r>
      <w:r w:rsidR="00A06E51" w:rsidRPr="00BE71E4">
        <w:rPr>
          <w:lang w:val="es-US"/>
        </w:rPr>
        <w:t>. S</w:t>
      </w:r>
      <w:r w:rsidR="00F246EB" w:rsidRPr="00BE71E4">
        <w:rPr>
          <w:lang w:val="es-US"/>
        </w:rPr>
        <w:t>in embargo</w:t>
      </w:r>
      <w:r w:rsidR="00B77C4D" w:rsidRPr="00BE71E4">
        <w:rPr>
          <w:lang w:val="es-US"/>
        </w:rPr>
        <w:t>,</w:t>
      </w:r>
      <w:r w:rsidR="00F246EB" w:rsidRPr="00BE71E4">
        <w:rPr>
          <w:lang w:val="es-US"/>
        </w:rPr>
        <w:t xml:space="preserve"> </w:t>
      </w:r>
      <w:r w:rsidR="00B77C4D" w:rsidRPr="00BE71E4">
        <w:rPr>
          <w:lang w:val="es-US"/>
        </w:rPr>
        <w:t>que</w:t>
      </w:r>
      <w:r w:rsidR="00F246EB" w:rsidRPr="00BE71E4">
        <w:rPr>
          <w:lang w:val="es-US"/>
        </w:rPr>
        <w:t xml:space="preserve">da atenta </w:t>
      </w:r>
      <w:r w:rsidR="00A06E51" w:rsidRPr="00BE71E4">
        <w:rPr>
          <w:lang w:val="es-US"/>
        </w:rPr>
        <w:t xml:space="preserve">a </w:t>
      </w:r>
      <w:r w:rsidR="00F246EB" w:rsidRPr="00BE71E4">
        <w:rPr>
          <w:lang w:val="es-US"/>
        </w:rPr>
        <w:t>que el Estado informe sobre su implementación respecto de los demás famil</w:t>
      </w:r>
      <w:r w:rsidR="00B77C4D" w:rsidRPr="00BE71E4">
        <w:rPr>
          <w:lang w:val="es-US"/>
        </w:rPr>
        <w:t>iares. Por lo tanto, la CIDH considera que esta recomendación está pendiente de cumplimiento.</w:t>
      </w:r>
    </w:p>
    <w:p w14:paraId="64BEDCA3" w14:textId="77777777" w:rsidR="005C2B00" w:rsidRPr="00BE71E4" w:rsidRDefault="005C2B00" w:rsidP="005C2B00">
      <w:pPr>
        <w:pStyle w:val="ListParagraph"/>
        <w:rPr>
          <w:lang w:val="es-US"/>
        </w:rPr>
      </w:pPr>
    </w:p>
    <w:p w14:paraId="65D62E66" w14:textId="2FBC190A" w:rsidR="005C2B00" w:rsidRPr="00BE71E4" w:rsidRDefault="005C2B00" w:rsidP="00084260">
      <w:pPr>
        <w:pStyle w:val="parrafos"/>
        <w:numPr>
          <w:ilvl w:val="0"/>
          <w:numId w:val="58"/>
        </w:numPr>
        <w:ind w:left="0" w:firstLine="0"/>
        <w:rPr>
          <w:color w:val="auto"/>
          <w:lang w:val="es-US"/>
        </w:rPr>
      </w:pPr>
      <w:r w:rsidRPr="00BE71E4">
        <w:rPr>
          <w:color w:val="auto"/>
          <w:lang w:val="es-US"/>
        </w:rPr>
        <w:t xml:space="preserve">Respecto a la </w:t>
      </w:r>
      <w:r w:rsidRPr="00BE71E4">
        <w:rPr>
          <w:b/>
          <w:bCs/>
          <w:color w:val="auto"/>
          <w:lang w:val="es-US"/>
        </w:rPr>
        <w:t>quinta recomendación</w:t>
      </w:r>
      <w:r w:rsidRPr="00BE71E4">
        <w:rPr>
          <w:color w:val="auto"/>
          <w:lang w:val="es-US"/>
        </w:rPr>
        <w:t xml:space="preserve">, referida a las medidas de no repetición, la Comisión </w:t>
      </w:r>
      <w:r w:rsidR="00C21B9B" w:rsidRPr="00BE71E4">
        <w:rPr>
          <w:color w:val="auto"/>
          <w:lang w:val="es-US"/>
        </w:rPr>
        <w:t>observa que</w:t>
      </w:r>
      <w:r w:rsidR="005A189F" w:rsidRPr="00BE71E4">
        <w:rPr>
          <w:color w:val="auto"/>
          <w:lang w:val="es-US"/>
        </w:rPr>
        <w:t>,</w:t>
      </w:r>
      <w:r w:rsidR="00C21B9B" w:rsidRPr="00BE71E4">
        <w:rPr>
          <w:color w:val="auto"/>
          <w:lang w:val="es-US"/>
        </w:rPr>
        <w:t xml:space="preserve"> </w:t>
      </w:r>
      <w:r w:rsidR="005A189F" w:rsidRPr="00BE71E4">
        <w:rPr>
          <w:color w:val="auto"/>
          <w:lang w:val="es-US"/>
        </w:rPr>
        <w:t>además</w:t>
      </w:r>
      <w:r w:rsidR="00C21B9B" w:rsidRPr="00BE71E4">
        <w:rPr>
          <w:color w:val="auto"/>
          <w:lang w:val="es-US"/>
        </w:rPr>
        <w:t xml:space="preserve"> de la </w:t>
      </w:r>
      <w:r w:rsidR="00C21B9B" w:rsidRPr="00BE71E4">
        <w:rPr>
          <w:lang w:val="es-US"/>
        </w:rPr>
        <w:t xml:space="preserve">disposición </w:t>
      </w:r>
      <w:r w:rsidR="005A189F" w:rsidRPr="00BE71E4">
        <w:rPr>
          <w:lang w:val="es-US"/>
        </w:rPr>
        <w:t xml:space="preserve">de la UNP </w:t>
      </w:r>
      <w:r w:rsidR="00C21B9B" w:rsidRPr="00BE71E4">
        <w:rPr>
          <w:lang w:val="es-US"/>
        </w:rPr>
        <w:t xml:space="preserve">de avanzar en la activación de la ruta individual de protección, el Estado no ha aportado información sobre acciones concretas </w:t>
      </w:r>
      <w:r w:rsidR="00F220DC" w:rsidRPr="00BE71E4">
        <w:rPr>
          <w:lang w:val="es-US"/>
        </w:rPr>
        <w:t>para la</w:t>
      </w:r>
      <w:r w:rsidR="00C21B9B" w:rsidRPr="00BE71E4">
        <w:rPr>
          <w:lang w:val="es-US"/>
        </w:rPr>
        <w:t xml:space="preserve"> implementación de esta</w:t>
      </w:r>
      <w:r w:rsidR="00DE1F78" w:rsidRPr="00BE71E4">
        <w:rPr>
          <w:lang w:val="es-US"/>
        </w:rPr>
        <w:t>s medidas</w:t>
      </w:r>
      <w:r w:rsidR="005C5F41" w:rsidRPr="00BE71E4">
        <w:rPr>
          <w:lang w:val="es-US"/>
        </w:rPr>
        <w:t xml:space="preserve">, por lo que </w:t>
      </w:r>
      <w:r w:rsidR="00DE1F78" w:rsidRPr="00BE71E4">
        <w:rPr>
          <w:lang w:val="es-US"/>
        </w:rPr>
        <w:t xml:space="preserve">las </w:t>
      </w:r>
      <w:r w:rsidR="005C5F41" w:rsidRPr="00BE71E4">
        <w:rPr>
          <w:lang w:val="es-US"/>
        </w:rPr>
        <w:t>considera pendientes de cumplimiento.</w:t>
      </w:r>
    </w:p>
    <w:p w14:paraId="4F52D598" w14:textId="77777777" w:rsidR="0067492E" w:rsidRPr="00BE71E4" w:rsidRDefault="0067492E" w:rsidP="0035365B">
      <w:pPr>
        <w:pStyle w:val="parrafos"/>
        <w:rPr>
          <w:lang w:val="es-US"/>
        </w:rPr>
      </w:pPr>
    </w:p>
    <w:p w14:paraId="08FF2BA8" w14:textId="0D1D382A" w:rsidR="00241825" w:rsidRPr="00BE71E4" w:rsidRDefault="00241825" w:rsidP="00241825">
      <w:pPr>
        <w:pStyle w:val="Heading1"/>
        <w:keepNext w:val="0"/>
        <w:numPr>
          <w:ilvl w:val="0"/>
          <w:numId w:val="60"/>
        </w:numPr>
        <w:pBdr>
          <w:top w:val="nil"/>
          <w:left w:val="nil"/>
          <w:bottom w:val="nil"/>
          <w:right w:val="nil"/>
          <w:between w:val="nil"/>
          <w:bar w:val="nil"/>
        </w:pBdr>
        <w:tabs>
          <w:tab w:val="left" w:pos="360"/>
        </w:tabs>
        <w:suppressAutoHyphens/>
        <w:ind w:left="0" w:right="360" w:firstLine="0"/>
        <w:jc w:val="both"/>
        <w:rPr>
          <w:rFonts w:asciiTheme="majorHAnsi" w:eastAsia="Cambria" w:hAnsiTheme="majorHAnsi" w:cs="Cambria"/>
          <w:bCs w:val="0"/>
          <w:color w:val="000000"/>
          <w:u w:color="000000"/>
          <w:lang w:val="es-419" w:eastAsia="es-ES"/>
        </w:rPr>
      </w:pPr>
      <w:bookmarkStart w:id="57" w:name="_Toc25343218"/>
      <w:bookmarkStart w:id="58" w:name="_Toc48558884"/>
      <w:bookmarkStart w:id="59" w:name="_Toc216359329"/>
      <w:r w:rsidRPr="00BE71E4">
        <w:rPr>
          <w:rFonts w:asciiTheme="majorHAnsi" w:eastAsia="Cambria" w:hAnsiTheme="majorHAnsi" w:cs="Cambria"/>
          <w:bCs w:val="0"/>
          <w:color w:val="000000"/>
          <w:u w:color="000000"/>
          <w:lang w:val="es-419" w:eastAsia="es-ES"/>
        </w:rPr>
        <w:t>CONCLUSIONES Y RECOMENDACIONES</w:t>
      </w:r>
      <w:bookmarkEnd w:id="57"/>
      <w:bookmarkEnd w:id="58"/>
      <w:r w:rsidR="009759B5" w:rsidRPr="00BE71E4">
        <w:rPr>
          <w:rFonts w:asciiTheme="majorHAnsi" w:eastAsia="Cambria" w:hAnsiTheme="majorHAnsi" w:cs="Cambria"/>
          <w:bCs w:val="0"/>
          <w:color w:val="000000"/>
          <w:u w:color="000000"/>
          <w:lang w:val="es-419" w:eastAsia="es-ES"/>
        </w:rPr>
        <w:t xml:space="preserve"> FINALES</w:t>
      </w:r>
      <w:bookmarkEnd w:id="59"/>
    </w:p>
    <w:p w14:paraId="403A7445" w14:textId="77777777" w:rsidR="00241825" w:rsidRPr="00BE71E4" w:rsidRDefault="00241825" w:rsidP="00241825">
      <w:pPr>
        <w:rPr>
          <w:rFonts w:asciiTheme="majorHAnsi" w:hAnsiTheme="majorHAnsi"/>
          <w:lang w:val="es-419"/>
        </w:rPr>
      </w:pPr>
    </w:p>
    <w:p w14:paraId="16EF6892" w14:textId="46718ADE" w:rsidR="002A3DD3" w:rsidRPr="00BE71E4" w:rsidRDefault="00241825" w:rsidP="002A3DD3">
      <w:pPr>
        <w:pStyle w:val="parrafos"/>
        <w:numPr>
          <w:ilvl w:val="0"/>
          <w:numId w:val="58"/>
        </w:numPr>
        <w:ind w:left="0" w:firstLine="0"/>
        <w:rPr>
          <w:color w:val="auto"/>
          <w:lang w:val="es-419"/>
        </w:rPr>
      </w:pPr>
      <w:r w:rsidRPr="00BE71E4">
        <w:rPr>
          <w:color w:val="auto"/>
          <w:lang w:val="es-419"/>
        </w:rPr>
        <w:t xml:space="preserve">La Comisión concluye que el Estado colombiano es responsable por la violación de los derechos </w:t>
      </w:r>
      <w:r w:rsidRPr="00BE71E4">
        <w:rPr>
          <w:lang w:val="es-419"/>
        </w:rPr>
        <w:t>establecidos</w:t>
      </w:r>
      <w:r w:rsidRPr="00BE71E4">
        <w:rPr>
          <w:color w:val="auto"/>
          <w:lang w:val="es-419"/>
        </w:rPr>
        <w:t xml:space="preserve"> en los artículos </w:t>
      </w:r>
      <w:r w:rsidR="00DA16CB" w:rsidRPr="00BE71E4">
        <w:rPr>
          <w:color w:val="auto"/>
          <w:lang w:val="es-419"/>
        </w:rPr>
        <w:t>3 (personalidad juríd</w:t>
      </w:r>
      <w:r w:rsidR="00AA39DD" w:rsidRPr="00BE71E4">
        <w:rPr>
          <w:color w:val="auto"/>
          <w:lang w:val="es-419"/>
        </w:rPr>
        <w:t>ica), 4 (derecho a la vida), 5.</w:t>
      </w:r>
      <w:r w:rsidR="00DA16CB" w:rsidRPr="00BE71E4">
        <w:rPr>
          <w:color w:val="auto"/>
          <w:lang w:val="es-419"/>
        </w:rPr>
        <w:t>1, 5.2 (integridad personal), 7 (libertad personal), 8.1 (garantías judiciales), 25.1 (protección judicial) de la Convención Americana, en relación con el artículo</w:t>
      </w:r>
      <w:r w:rsidR="00AA39DD" w:rsidRPr="00BE71E4">
        <w:rPr>
          <w:color w:val="auto"/>
          <w:lang w:val="es-419"/>
        </w:rPr>
        <w:t xml:space="preserve"> 1.1 del mismo instrumento</w:t>
      </w:r>
      <w:r w:rsidR="00DA16CB" w:rsidRPr="00BE71E4">
        <w:rPr>
          <w:color w:val="auto"/>
          <w:lang w:val="es-419"/>
        </w:rPr>
        <w:t xml:space="preserve">. Igualmente es responsable por la violación de los artículos 1, 6 y 8 de la Convención Interamericana para Prevenir y Sancionar la Tortura y los artículos I.a) y I. b) de la Convención Interamericana sobre Desaparición Forzada de Personas. </w:t>
      </w:r>
    </w:p>
    <w:p w14:paraId="67F25F14" w14:textId="77777777" w:rsidR="00241825" w:rsidRPr="00BE71E4" w:rsidRDefault="00241825" w:rsidP="00241825">
      <w:pPr>
        <w:pStyle w:val="parrafos"/>
        <w:rPr>
          <w:color w:val="auto"/>
          <w:lang w:val="es-419"/>
        </w:rPr>
      </w:pPr>
    </w:p>
    <w:p w14:paraId="0C5E4ABA" w14:textId="54EC5012" w:rsidR="00241825" w:rsidRPr="00BE71E4" w:rsidRDefault="00241825" w:rsidP="00241825">
      <w:pPr>
        <w:pStyle w:val="parrafos"/>
        <w:numPr>
          <w:ilvl w:val="0"/>
          <w:numId w:val="58"/>
        </w:numPr>
        <w:ind w:left="0" w:firstLine="0"/>
        <w:rPr>
          <w:color w:val="auto"/>
          <w:lang w:val="es-419"/>
        </w:rPr>
      </w:pPr>
      <w:r w:rsidRPr="00BE71E4">
        <w:rPr>
          <w:color w:val="auto"/>
          <w:lang w:val="es-419"/>
        </w:rPr>
        <w:t xml:space="preserve">Con </w:t>
      </w:r>
      <w:r w:rsidRPr="00BE71E4">
        <w:rPr>
          <w:rFonts w:eastAsia="Times New Roman"/>
          <w:color w:val="auto"/>
          <w:lang w:val="es-419" w:eastAsia="es-ES"/>
        </w:rPr>
        <w:t>fundamento</w:t>
      </w:r>
      <w:r w:rsidRPr="00BE71E4">
        <w:rPr>
          <w:color w:val="auto"/>
          <w:lang w:val="es-419"/>
        </w:rPr>
        <w:t xml:space="preserve"> en el análisis y las conclusiones del presente informe,</w:t>
      </w:r>
    </w:p>
    <w:p w14:paraId="348520F6" w14:textId="77777777" w:rsidR="00DA16CB" w:rsidRPr="00BE71E4" w:rsidRDefault="00DA16CB" w:rsidP="00DA16CB">
      <w:pPr>
        <w:pStyle w:val="ListParagraph"/>
        <w:rPr>
          <w:lang w:val="es-419"/>
        </w:rPr>
      </w:pPr>
    </w:p>
    <w:p w14:paraId="08C8B3D6" w14:textId="4C0886B6" w:rsidR="00DA16CB" w:rsidRPr="00BE71E4" w:rsidRDefault="00DA16CB" w:rsidP="00DA16CB">
      <w:pPr>
        <w:pStyle w:val="parrafos"/>
        <w:rPr>
          <w:b/>
          <w:bCs/>
          <w:color w:val="auto"/>
          <w:lang w:val="es-419"/>
        </w:rPr>
      </w:pPr>
      <w:r w:rsidRPr="00BE71E4">
        <w:rPr>
          <w:b/>
          <w:bCs/>
          <w:color w:val="auto"/>
          <w:lang w:val="es-419"/>
        </w:rPr>
        <w:t>LA COMISIÓN INTERAMERICANA DE DERECHOS HUMANOS RECOMIENDA AL ESTADO DE COLOMBIA:</w:t>
      </w:r>
    </w:p>
    <w:p w14:paraId="3D9BD4AE" w14:textId="58C8482A" w:rsidR="00E95BAF" w:rsidRPr="00BE71E4" w:rsidRDefault="00E95BAF" w:rsidP="00DA16CB">
      <w:pPr>
        <w:pStyle w:val="parrafos"/>
        <w:rPr>
          <w:b/>
          <w:bCs/>
          <w:color w:val="auto"/>
          <w:lang w:val="es-419"/>
        </w:rPr>
      </w:pPr>
    </w:p>
    <w:p w14:paraId="5B2E0C67" w14:textId="77777777" w:rsidR="00E95BAF" w:rsidRPr="00BE71E4" w:rsidRDefault="00E95BAF" w:rsidP="00052C10">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720" w:hanging="630"/>
        <w:jc w:val="both"/>
        <w:rPr>
          <w:rFonts w:ascii="Cambria" w:eastAsia="Times New Roman" w:hAnsi="Cambria" w:cs="Tahoma"/>
          <w:sz w:val="20"/>
          <w:szCs w:val="20"/>
          <w:lang w:val="es-419"/>
        </w:rPr>
      </w:pPr>
      <w:r w:rsidRPr="00BE71E4">
        <w:rPr>
          <w:rFonts w:asciiTheme="majorHAnsi" w:eastAsia="Times New Roman" w:hAnsiTheme="majorHAnsi" w:cs="Tahoma"/>
          <w:sz w:val="20"/>
          <w:szCs w:val="20"/>
          <w:bdr w:val="none" w:sz="0" w:space="0" w:color="auto"/>
          <w:lang w:val="es-419"/>
        </w:rPr>
        <w:t>Reparar</w:t>
      </w:r>
      <w:r w:rsidRPr="00BE71E4">
        <w:rPr>
          <w:rFonts w:ascii="Cambria" w:eastAsia="Times New Roman" w:hAnsi="Cambria" w:cs="Tahoma"/>
          <w:sz w:val="20"/>
          <w:szCs w:val="20"/>
          <w:lang w:val="es-419"/>
        </w:rPr>
        <w:t xml:space="preserve"> integralmente las violaciones de derechos humanos declaradas en el presente informe tanto en el aspecto material como inmaterial. El Estado deberá adoptar las medidas de compensación económica y satisfacción. </w:t>
      </w:r>
    </w:p>
    <w:p w14:paraId="2AC27273" w14:textId="77777777" w:rsidR="00E95BAF" w:rsidRPr="00BE71E4" w:rsidRDefault="00E95BAF" w:rsidP="00E95BAF">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cs="Tahoma"/>
          <w:sz w:val="20"/>
          <w:szCs w:val="20"/>
          <w:bdr w:val="none" w:sz="0" w:space="0" w:color="auto"/>
          <w:lang w:val="es-419"/>
        </w:rPr>
      </w:pPr>
    </w:p>
    <w:p w14:paraId="509E210B" w14:textId="501E0569" w:rsidR="00E95BAF" w:rsidRPr="00BE71E4" w:rsidRDefault="00E95BAF" w:rsidP="00052C10">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720" w:hanging="630"/>
        <w:jc w:val="both"/>
        <w:rPr>
          <w:rFonts w:asciiTheme="majorHAnsi" w:eastAsia="Times New Roman" w:hAnsiTheme="majorHAnsi" w:cs="Tahoma"/>
          <w:sz w:val="20"/>
          <w:szCs w:val="20"/>
          <w:bdr w:val="none" w:sz="0" w:space="0" w:color="auto"/>
          <w:lang w:val="es-419"/>
        </w:rPr>
      </w:pPr>
      <w:r w:rsidRPr="00BE71E4">
        <w:rPr>
          <w:rFonts w:asciiTheme="majorHAnsi" w:eastAsia="Times New Roman" w:hAnsiTheme="majorHAnsi" w:cs="Tahoma"/>
          <w:sz w:val="20"/>
          <w:szCs w:val="20"/>
          <w:bdr w:val="none" w:sz="0" w:space="0" w:color="auto"/>
          <w:lang w:val="es-419"/>
        </w:rPr>
        <w:t>Investigar</w:t>
      </w:r>
      <w:r w:rsidRPr="00BE71E4">
        <w:rPr>
          <w:rFonts w:asciiTheme="majorHAnsi" w:hAnsiTheme="majorHAnsi"/>
          <w:sz w:val="20"/>
          <w:szCs w:val="20"/>
          <w:lang w:val="es-419"/>
        </w:rPr>
        <w:t xml:space="preserve"> el destino o paradero de las víctimas desaparecidas y, de ser el caso, adoptar las medidas necesarias para identificar y entregar a sus familiares los restos mortales.</w:t>
      </w:r>
    </w:p>
    <w:p w14:paraId="5D669423" w14:textId="77777777" w:rsidR="00E95BAF" w:rsidRPr="00BE71E4" w:rsidRDefault="00E95BAF" w:rsidP="00E95BAF">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cs="Tahoma"/>
          <w:sz w:val="20"/>
          <w:szCs w:val="20"/>
          <w:bdr w:val="none" w:sz="0" w:space="0" w:color="auto"/>
          <w:lang w:val="es-419"/>
        </w:rPr>
      </w:pPr>
    </w:p>
    <w:p w14:paraId="5363FF68" w14:textId="144BCEBB" w:rsidR="00E95BAF" w:rsidRPr="00BE71E4" w:rsidRDefault="00E95BAF" w:rsidP="00052C10">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720" w:hanging="630"/>
        <w:jc w:val="both"/>
        <w:rPr>
          <w:rFonts w:asciiTheme="majorHAnsi" w:eastAsia="Times New Roman" w:hAnsiTheme="majorHAnsi"/>
          <w:sz w:val="14"/>
          <w:szCs w:val="14"/>
          <w:bdr w:val="none" w:sz="0" w:space="0" w:color="auto"/>
          <w:lang w:val="es-419"/>
        </w:rPr>
      </w:pPr>
      <w:r w:rsidRPr="00BE71E4">
        <w:rPr>
          <w:rFonts w:asciiTheme="majorHAnsi" w:eastAsia="Times New Roman" w:hAnsiTheme="majorHAnsi" w:cs="Tahoma"/>
          <w:sz w:val="20"/>
          <w:szCs w:val="20"/>
          <w:bdr w:val="none" w:sz="0" w:space="0" w:color="auto"/>
          <w:lang w:val="es-419"/>
        </w:rPr>
        <w:t>Iniciar, continuar o reabrir las investigaciones penales y disciplinarias correspondientes por la totalidad de las violaciones de derechos hum</w:t>
      </w:r>
      <w:r w:rsidR="00AA39DD" w:rsidRPr="00BE71E4">
        <w:rPr>
          <w:rFonts w:asciiTheme="majorHAnsi" w:eastAsia="Times New Roman" w:hAnsiTheme="majorHAnsi" w:cs="Tahoma"/>
          <w:sz w:val="20"/>
          <w:szCs w:val="20"/>
          <w:bdr w:val="none" w:sz="0" w:space="0" w:color="auto"/>
          <w:lang w:val="es-419"/>
        </w:rPr>
        <w:t>anos declaradas en el presente Informe de F</w:t>
      </w:r>
      <w:r w:rsidRPr="00BE71E4">
        <w:rPr>
          <w:rFonts w:asciiTheme="majorHAnsi" w:eastAsia="Times New Roman" w:hAnsiTheme="majorHAnsi" w:cs="Tahoma"/>
          <w:sz w:val="20"/>
          <w:szCs w:val="20"/>
          <w:bdr w:val="none" w:sz="0" w:space="0" w:color="auto"/>
          <w:lang w:val="es-419"/>
        </w:rPr>
        <w:t>ondo relacionadas con el secuestro y tortura de Gildardo Fuentes, la desaparición forzada de Edgar Quiroga y Gildardo Fuentes, y el asesinato de Victoria Delgado Anaya.</w:t>
      </w:r>
      <w:r w:rsidR="00472A9D" w:rsidRPr="00BE71E4">
        <w:rPr>
          <w:rFonts w:asciiTheme="majorHAnsi" w:eastAsia="Times New Roman" w:hAnsiTheme="majorHAnsi" w:cs="Tahoma"/>
          <w:sz w:val="20"/>
          <w:szCs w:val="20"/>
          <w:bdr w:val="none" w:sz="0" w:space="0" w:color="auto"/>
          <w:lang w:val="es-419"/>
        </w:rPr>
        <w:t xml:space="preserve"> </w:t>
      </w:r>
      <w:r w:rsidRPr="00BE71E4">
        <w:rPr>
          <w:rFonts w:asciiTheme="majorHAnsi" w:eastAsia="Times New Roman" w:hAnsiTheme="majorHAnsi" w:cs="Tahoma"/>
          <w:sz w:val="20"/>
          <w:szCs w:val="20"/>
          <w:bdr w:val="none" w:sz="0" w:space="0" w:color="auto"/>
          <w:lang w:val="es-419"/>
        </w:rPr>
        <w:t>Estas investigaciones deberán efectuarse de manera diligente, efectiva y dentro de un plazo razonable con el objeto de esclarecer los hechos en forma completa, identificar todas las posibles responsabilidades e imponer las sanciones que correspondan de man</w:t>
      </w:r>
      <w:r w:rsidR="00D275C7" w:rsidRPr="00BE71E4">
        <w:rPr>
          <w:rFonts w:asciiTheme="majorHAnsi" w:eastAsia="Times New Roman" w:hAnsiTheme="majorHAnsi" w:cs="Tahoma"/>
          <w:sz w:val="20"/>
          <w:szCs w:val="20"/>
          <w:bdr w:val="none" w:sz="0" w:space="0" w:color="auto"/>
          <w:lang w:val="es-419"/>
        </w:rPr>
        <w:t xml:space="preserve">era proporcional a su gravedad y tomando en cuenta los vínculos y patrones de acción conjunta entre paramilitares identificados en el presente informe. </w:t>
      </w:r>
    </w:p>
    <w:p w14:paraId="120C0C91" w14:textId="368F1ECD" w:rsidR="00D275C7" w:rsidRPr="00BE71E4" w:rsidRDefault="00D275C7" w:rsidP="00D275C7">
      <w:pPr>
        <w:rPr>
          <w:rFonts w:asciiTheme="majorHAnsi" w:eastAsia="Times New Roman" w:hAnsiTheme="majorHAnsi" w:cs="Tahoma"/>
          <w:sz w:val="20"/>
          <w:szCs w:val="20"/>
          <w:lang w:val="es-419"/>
        </w:rPr>
      </w:pPr>
    </w:p>
    <w:p w14:paraId="1F4FD45B" w14:textId="6BD9886A" w:rsidR="00D275C7" w:rsidRPr="00BE71E4" w:rsidRDefault="00E95BAF" w:rsidP="00052C10">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720" w:hanging="630"/>
        <w:jc w:val="both"/>
        <w:rPr>
          <w:rFonts w:asciiTheme="majorHAnsi" w:eastAsia="Times New Roman" w:hAnsiTheme="majorHAnsi"/>
          <w:sz w:val="14"/>
          <w:szCs w:val="14"/>
          <w:bdr w:val="none" w:sz="0" w:space="0" w:color="auto"/>
          <w:lang w:val="es-419"/>
        </w:rPr>
      </w:pPr>
      <w:r w:rsidRPr="00BE71E4">
        <w:rPr>
          <w:rFonts w:asciiTheme="majorHAnsi" w:eastAsia="Times New Roman" w:hAnsiTheme="majorHAnsi" w:cs="Tahoma"/>
          <w:sz w:val="20"/>
          <w:szCs w:val="20"/>
          <w:lang w:val="es-419"/>
        </w:rPr>
        <w:t xml:space="preserve">Disponer las medidas de atención en salud física y mental necesarias para la rehabilitación de los familiares de las víctimas, de ser su </w:t>
      </w:r>
      <w:r w:rsidR="00CD083C" w:rsidRPr="00BE71E4">
        <w:rPr>
          <w:rFonts w:asciiTheme="majorHAnsi" w:eastAsia="Times New Roman" w:hAnsiTheme="majorHAnsi" w:cs="Tahoma"/>
          <w:sz w:val="20"/>
          <w:szCs w:val="20"/>
          <w:lang w:val="es-419"/>
        </w:rPr>
        <w:t>voluntad y de manera concertada, las cuales deben brindarse de manera gratuita.</w:t>
      </w:r>
    </w:p>
    <w:p w14:paraId="23404AF2" w14:textId="77777777" w:rsidR="00D275C7" w:rsidRPr="00BE71E4" w:rsidRDefault="00D275C7" w:rsidP="00D275C7">
      <w:pPr>
        <w:pStyle w:val="ListParagraph"/>
        <w:rPr>
          <w:rFonts w:asciiTheme="majorHAnsi" w:eastAsia="Times New Roman" w:hAnsiTheme="majorHAnsi"/>
          <w:sz w:val="14"/>
          <w:szCs w:val="14"/>
          <w:bdr w:val="none" w:sz="0" w:space="0" w:color="auto"/>
          <w:lang w:val="es-419"/>
        </w:rPr>
      </w:pPr>
    </w:p>
    <w:p w14:paraId="13532EFD" w14:textId="2BB30104" w:rsidR="00D275C7" w:rsidRPr="00BE71E4" w:rsidRDefault="00D275C7" w:rsidP="00052C10">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720" w:hanging="630"/>
        <w:jc w:val="both"/>
        <w:rPr>
          <w:rFonts w:asciiTheme="majorHAnsi" w:eastAsia="Times New Roman" w:hAnsiTheme="majorHAnsi" w:cs="Tahoma"/>
          <w:sz w:val="20"/>
          <w:szCs w:val="20"/>
          <w:lang w:val="es-419"/>
        </w:rPr>
      </w:pPr>
      <w:r w:rsidRPr="00BE71E4">
        <w:rPr>
          <w:rFonts w:asciiTheme="majorHAnsi" w:eastAsia="Times New Roman" w:hAnsiTheme="majorHAnsi" w:cs="Tahoma"/>
          <w:sz w:val="20"/>
          <w:szCs w:val="20"/>
          <w:lang w:val="es-419"/>
        </w:rPr>
        <w:t>Adoptar las medidas necesarias para evita</w:t>
      </w:r>
      <w:r w:rsidR="001F07EE" w:rsidRPr="00BE71E4">
        <w:rPr>
          <w:rFonts w:asciiTheme="majorHAnsi" w:eastAsia="Times New Roman" w:hAnsiTheme="majorHAnsi" w:cs="Tahoma"/>
          <w:sz w:val="20"/>
          <w:szCs w:val="20"/>
          <w:lang w:val="es-419"/>
        </w:rPr>
        <w:t>r que en el futuro se repitan los hechos del presente caso, en particular</w:t>
      </w:r>
      <w:r w:rsidR="00D46DC8" w:rsidRPr="00BE71E4">
        <w:rPr>
          <w:rFonts w:asciiTheme="majorHAnsi" w:eastAsia="Times New Roman" w:hAnsiTheme="majorHAnsi" w:cs="Tahoma"/>
          <w:sz w:val="20"/>
          <w:szCs w:val="20"/>
          <w:lang w:val="es-419"/>
        </w:rPr>
        <w:t xml:space="preserve"> mediante el fortalecimiento de</w:t>
      </w:r>
      <w:r w:rsidR="00AA39DD" w:rsidRPr="00BE71E4">
        <w:rPr>
          <w:rFonts w:asciiTheme="majorHAnsi" w:eastAsia="Times New Roman" w:hAnsiTheme="majorHAnsi" w:cs="Tahoma"/>
          <w:sz w:val="20"/>
          <w:szCs w:val="20"/>
          <w:lang w:val="es-419"/>
        </w:rPr>
        <w:t>:</w:t>
      </w:r>
      <w:r w:rsidR="00D46DC8" w:rsidRPr="00BE71E4">
        <w:rPr>
          <w:rFonts w:asciiTheme="majorHAnsi" w:eastAsia="Times New Roman" w:hAnsiTheme="majorHAnsi" w:cs="Tahoma"/>
          <w:sz w:val="20"/>
          <w:szCs w:val="20"/>
          <w:lang w:val="es-419"/>
        </w:rPr>
        <w:t xml:space="preserve"> i) la capacidad investigativa de contextos y patrones de actuación conjunta entre agentes estatales y grupos armados ilegales en la zona donde ocurrieron los hechos del presente caso y </w:t>
      </w:r>
      <w:r w:rsidR="001F07EE" w:rsidRPr="00BE71E4">
        <w:rPr>
          <w:rFonts w:asciiTheme="majorHAnsi" w:eastAsia="Times New Roman" w:hAnsiTheme="majorHAnsi" w:cs="Tahoma"/>
          <w:sz w:val="20"/>
          <w:szCs w:val="20"/>
          <w:lang w:val="es-419"/>
        </w:rPr>
        <w:t xml:space="preserve">ii) </w:t>
      </w:r>
      <w:r w:rsidR="00D46DC8" w:rsidRPr="00BE71E4">
        <w:rPr>
          <w:rFonts w:asciiTheme="majorHAnsi" w:eastAsia="Times New Roman" w:hAnsiTheme="majorHAnsi" w:cs="Tahoma"/>
          <w:sz w:val="20"/>
          <w:szCs w:val="20"/>
          <w:lang w:val="es-419"/>
        </w:rPr>
        <w:t>de</w:t>
      </w:r>
      <w:r w:rsidR="001F07EE" w:rsidRPr="00BE71E4">
        <w:rPr>
          <w:rFonts w:asciiTheme="majorHAnsi" w:eastAsia="Times New Roman" w:hAnsiTheme="majorHAnsi" w:cs="Tahoma"/>
          <w:sz w:val="20"/>
          <w:szCs w:val="20"/>
          <w:lang w:val="es-419"/>
        </w:rPr>
        <w:t xml:space="preserve"> mecanismos de protección para las y los defensores de derechos humanos que defienden o promueven causas en la zona en la que ocurrieron los hechos del presen</w:t>
      </w:r>
      <w:r w:rsidR="00AA39DD" w:rsidRPr="00BE71E4">
        <w:rPr>
          <w:rFonts w:asciiTheme="majorHAnsi" w:eastAsia="Times New Roman" w:hAnsiTheme="majorHAnsi" w:cs="Tahoma"/>
          <w:sz w:val="20"/>
          <w:szCs w:val="20"/>
          <w:lang w:val="es-419"/>
        </w:rPr>
        <w:t>te caso.</w:t>
      </w:r>
      <w:r w:rsidR="001F07EE" w:rsidRPr="00BE71E4">
        <w:rPr>
          <w:rFonts w:asciiTheme="majorHAnsi" w:eastAsia="Times New Roman" w:hAnsiTheme="majorHAnsi" w:cs="Tahoma"/>
          <w:sz w:val="20"/>
          <w:szCs w:val="20"/>
          <w:lang w:val="es-419"/>
        </w:rPr>
        <w:t xml:space="preserve"> </w:t>
      </w:r>
    </w:p>
    <w:p w14:paraId="1A00C908" w14:textId="77777777" w:rsidR="00F04409" w:rsidRPr="00BE71E4" w:rsidRDefault="00F04409" w:rsidP="00F04409">
      <w:pPr>
        <w:jc w:val="both"/>
        <w:rPr>
          <w:rFonts w:ascii="Cambria" w:hAnsi="Cambria" w:cs="Tahoma"/>
          <w:sz w:val="20"/>
          <w:szCs w:val="20"/>
          <w:lang w:val="es-ES"/>
        </w:rPr>
      </w:pPr>
    </w:p>
    <w:p w14:paraId="2B2CF280" w14:textId="77777777" w:rsidR="00F04409" w:rsidRPr="00BE71E4" w:rsidRDefault="00F04409" w:rsidP="00F04409">
      <w:pPr>
        <w:pStyle w:val="Heading1"/>
        <w:keepNext w:val="0"/>
        <w:numPr>
          <w:ilvl w:val="0"/>
          <w:numId w:val="60"/>
        </w:numPr>
        <w:pBdr>
          <w:top w:val="nil"/>
          <w:left w:val="nil"/>
          <w:bottom w:val="nil"/>
          <w:right w:val="nil"/>
          <w:between w:val="nil"/>
          <w:bar w:val="nil"/>
        </w:pBdr>
        <w:tabs>
          <w:tab w:val="left" w:pos="360"/>
        </w:tabs>
        <w:suppressAutoHyphens/>
        <w:ind w:left="0" w:right="360" w:firstLine="0"/>
        <w:jc w:val="both"/>
        <w:rPr>
          <w:lang w:val="es-MX"/>
        </w:rPr>
      </w:pPr>
      <w:bookmarkStart w:id="60" w:name="_Toc163571979"/>
      <w:bookmarkStart w:id="61" w:name="_Toc202873657"/>
      <w:bookmarkStart w:id="62" w:name="_Toc216359330"/>
      <w:r w:rsidRPr="00BE71E4">
        <w:rPr>
          <w:lang w:val="es-MX"/>
        </w:rPr>
        <w:t>PUBLICACIÓN</w:t>
      </w:r>
      <w:bookmarkEnd w:id="60"/>
      <w:bookmarkEnd w:id="61"/>
      <w:bookmarkEnd w:id="62"/>
    </w:p>
    <w:p w14:paraId="765FF3FC" w14:textId="77777777" w:rsidR="00F04409" w:rsidRPr="00BE71E4" w:rsidRDefault="00F04409" w:rsidP="00F04409">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rPr>
      </w:pPr>
    </w:p>
    <w:p w14:paraId="5A20026E" w14:textId="02FC4228" w:rsidR="00F04409" w:rsidRDefault="00F04409" w:rsidP="00B0105A">
      <w:pPr>
        <w:pStyle w:val="parrafos"/>
        <w:numPr>
          <w:ilvl w:val="0"/>
          <w:numId w:val="58"/>
        </w:numPr>
        <w:ind w:left="0" w:firstLine="0"/>
        <w:rPr>
          <w:rFonts w:ascii="Cambria" w:hAnsi="Cambria"/>
        </w:rPr>
      </w:pPr>
      <w:r w:rsidRPr="00BE71E4">
        <w:rPr>
          <w:rFonts w:ascii="Cambria" w:hAnsi="Cambria"/>
        </w:rPr>
        <w:t xml:space="preserve">De acuerdo con lo desarrollado y de conformidad con lo dispuesto en el artículo 51.3 de la Convención Americana y 47.3 de su Reglamento, la Comisión Interamericana de Derechos Humanos decide publicar este </w:t>
      </w:r>
      <w:r w:rsidRPr="00BE71E4">
        <w:rPr>
          <w:rFonts w:ascii="Cambria" w:hAnsi="Cambria"/>
        </w:rPr>
        <w:lastRenderedPageBreak/>
        <w:t>informe e incluirlo en su Informe Anual a la Asamblea General de la Organización de Estados Americanos. La Comisión Interamericana, de conformidad con las normas establecidas en los instrumentos que regulan su mandato, continuará evaluando que el Estado de Colombia repare integralmente a las víctimas según lo establecido en las recomendaciones arriba señaladas, hasta que determine que se le</w:t>
      </w:r>
      <w:r w:rsidR="00B72839" w:rsidRPr="00BE71E4">
        <w:rPr>
          <w:rFonts w:ascii="Cambria" w:hAnsi="Cambria"/>
        </w:rPr>
        <w:t>s</w:t>
      </w:r>
      <w:r w:rsidRPr="00BE71E4">
        <w:rPr>
          <w:rFonts w:ascii="Cambria" w:hAnsi="Cambria"/>
        </w:rPr>
        <w:t xml:space="preserve"> ha dado un total cumplimiento.</w:t>
      </w:r>
    </w:p>
    <w:p w14:paraId="36312508" w14:textId="77777777" w:rsidR="00BE71E4" w:rsidRPr="00BE71E4" w:rsidRDefault="00BE71E4" w:rsidP="00BE71E4">
      <w:pPr>
        <w:pStyle w:val="parrafos"/>
        <w:rPr>
          <w:rFonts w:ascii="Cambria" w:hAnsi="Cambria"/>
        </w:rPr>
      </w:pPr>
    </w:p>
    <w:p w14:paraId="2E8909F7" w14:textId="49498C70" w:rsidR="007463AC" w:rsidRPr="00364C03" w:rsidRDefault="007463AC" w:rsidP="007463AC">
      <w:pPr>
        <w:ind w:firstLine="708"/>
        <w:jc w:val="both"/>
        <w:rPr>
          <w:rFonts w:ascii="Cambria" w:hAnsi="Cambria"/>
          <w:color w:val="000000"/>
          <w:sz w:val="20"/>
          <w:szCs w:val="20"/>
          <w:lang w:val="es-VE"/>
        </w:rPr>
      </w:pPr>
      <w:r w:rsidRPr="00364C03">
        <w:rPr>
          <w:rFonts w:ascii="Cambria" w:hAnsi="Cambria"/>
          <w:color w:val="000000"/>
          <w:sz w:val="20"/>
          <w:szCs w:val="20"/>
          <w:lang w:val="es-VE"/>
        </w:rPr>
        <w:t xml:space="preserve">Aprobado por la Comisión Interamericana de Derechos Humanos a los </w:t>
      </w:r>
      <w:r>
        <w:rPr>
          <w:rFonts w:ascii="Cambria" w:hAnsi="Cambria"/>
          <w:color w:val="000000"/>
          <w:sz w:val="20"/>
          <w:szCs w:val="20"/>
          <w:lang w:val="es-VE"/>
        </w:rPr>
        <w:t>1</w:t>
      </w:r>
      <w:r w:rsidR="009A1DA5">
        <w:rPr>
          <w:rFonts w:ascii="Cambria" w:hAnsi="Cambria"/>
          <w:color w:val="000000"/>
          <w:sz w:val="20"/>
          <w:szCs w:val="20"/>
          <w:lang w:val="es-VE"/>
        </w:rPr>
        <w:t>4</w:t>
      </w:r>
      <w:r w:rsidRPr="00364C03">
        <w:rPr>
          <w:rFonts w:ascii="Cambria" w:hAnsi="Cambria"/>
          <w:color w:val="000000"/>
          <w:sz w:val="20"/>
          <w:szCs w:val="20"/>
          <w:lang w:val="es-VE"/>
        </w:rPr>
        <w:t xml:space="preserve"> días del mes de </w:t>
      </w:r>
      <w:r w:rsidR="00715C27">
        <w:rPr>
          <w:rFonts w:ascii="Cambria" w:hAnsi="Cambria"/>
          <w:color w:val="000000"/>
          <w:sz w:val="20"/>
          <w:szCs w:val="20"/>
          <w:lang w:val="es-VE"/>
        </w:rPr>
        <w:t>noviembre</w:t>
      </w:r>
      <w:r w:rsidRPr="00364C03">
        <w:rPr>
          <w:rFonts w:ascii="Cambria" w:hAnsi="Cambria"/>
          <w:color w:val="000000"/>
          <w:sz w:val="20"/>
          <w:szCs w:val="20"/>
          <w:lang w:val="es-VE"/>
        </w:rPr>
        <w:t xml:space="preserve"> de 2025. (Firmado): José Luis Caballero Ochoa, Presidente</w:t>
      </w:r>
      <w:r>
        <w:rPr>
          <w:rFonts w:ascii="Cambria" w:hAnsi="Cambria"/>
          <w:color w:val="000000"/>
          <w:sz w:val="20"/>
          <w:szCs w:val="20"/>
          <w:lang w:val="es-VE"/>
        </w:rPr>
        <w:t>;</w:t>
      </w:r>
      <w:r w:rsidRPr="00364C03">
        <w:rPr>
          <w:rFonts w:ascii="Cambria" w:hAnsi="Cambria"/>
          <w:color w:val="000000"/>
          <w:sz w:val="20"/>
          <w:szCs w:val="20"/>
          <w:lang w:val="es-VE"/>
        </w:rPr>
        <w:t xml:space="preserve"> </w:t>
      </w:r>
      <w:r>
        <w:rPr>
          <w:rFonts w:ascii="Cambria" w:hAnsi="Cambria"/>
          <w:color w:val="000000"/>
          <w:sz w:val="20"/>
          <w:szCs w:val="20"/>
          <w:lang w:val="es-VE"/>
        </w:rPr>
        <w:t>Andrea Pochak, Primera Vicepresidenta</w:t>
      </w:r>
      <w:r>
        <w:rPr>
          <w:rFonts w:ascii="Cambria" w:hAnsi="Cambria"/>
          <w:color w:val="000000"/>
          <w:sz w:val="20"/>
          <w:szCs w:val="20"/>
          <w:lang w:val="es-US"/>
        </w:rPr>
        <w:t xml:space="preserve">; </w:t>
      </w:r>
      <w:r w:rsidRPr="00364C03">
        <w:rPr>
          <w:rFonts w:ascii="Cambria" w:hAnsi="Cambria"/>
          <w:color w:val="000000"/>
          <w:sz w:val="20"/>
          <w:szCs w:val="20"/>
          <w:lang w:val="es-VE"/>
        </w:rPr>
        <w:t>Arif Bulkan, Segundo Vicepresidente</w:t>
      </w:r>
      <w:r w:rsidR="004036B5">
        <w:rPr>
          <w:rFonts w:ascii="Cambria" w:hAnsi="Cambria"/>
          <w:color w:val="000000"/>
          <w:sz w:val="20"/>
          <w:szCs w:val="20"/>
          <w:lang w:val="es-VE"/>
        </w:rPr>
        <w:t xml:space="preserve"> y</w:t>
      </w:r>
      <w:r w:rsidRPr="00364C03">
        <w:rPr>
          <w:rFonts w:ascii="Cambria" w:hAnsi="Cambria"/>
          <w:color w:val="000000"/>
          <w:sz w:val="20"/>
          <w:szCs w:val="20"/>
          <w:lang w:val="es-VE"/>
        </w:rPr>
        <w:t xml:space="preserve"> Roberta Clarke</w:t>
      </w:r>
      <w:r w:rsidR="00F42DD2">
        <w:rPr>
          <w:rFonts w:ascii="Cambria" w:hAnsi="Cambria"/>
          <w:color w:val="000000"/>
          <w:sz w:val="20"/>
          <w:szCs w:val="20"/>
          <w:lang w:val="es-VE"/>
        </w:rPr>
        <w:t>,</w:t>
      </w:r>
      <w:r w:rsidRPr="00364C03">
        <w:rPr>
          <w:rFonts w:ascii="Cambria" w:hAnsi="Cambria"/>
          <w:color w:val="000000"/>
          <w:sz w:val="20"/>
          <w:szCs w:val="20"/>
          <w:lang w:val="es-VE"/>
        </w:rPr>
        <w:t xml:space="preserve"> </w:t>
      </w:r>
      <w:r w:rsidR="004036B5">
        <w:rPr>
          <w:rFonts w:ascii="Cambria" w:hAnsi="Cambria"/>
          <w:color w:val="000000"/>
          <w:sz w:val="20"/>
          <w:szCs w:val="20"/>
          <w:lang w:val="es-VE"/>
        </w:rPr>
        <w:t>m</w:t>
      </w:r>
      <w:r w:rsidRPr="00364C03">
        <w:rPr>
          <w:rFonts w:ascii="Cambria" w:hAnsi="Cambria"/>
          <w:color w:val="000000"/>
          <w:sz w:val="20"/>
          <w:szCs w:val="20"/>
          <w:lang w:val="es-VE"/>
        </w:rPr>
        <w:t>iembro de la Comisión.</w:t>
      </w:r>
    </w:p>
    <w:p w14:paraId="0978CFB1" w14:textId="7F0A776C" w:rsidR="00B1145C" w:rsidRPr="00B54243" w:rsidRDefault="00B1145C" w:rsidP="00B1145C">
      <w:pPr>
        <w:tabs>
          <w:tab w:val="left" w:pos="-720"/>
        </w:tabs>
        <w:suppressAutoHyphens/>
        <w:jc w:val="both"/>
        <w:rPr>
          <w:rFonts w:ascii="Cambria" w:hAnsi="Cambria"/>
          <w:sz w:val="20"/>
          <w:szCs w:val="20"/>
          <w:lang w:val="es-US"/>
        </w:rPr>
      </w:pPr>
    </w:p>
    <w:sectPr w:rsidR="00B1145C" w:rsidRPr="00B54243" w:rsidSect="007B03DC">
      <w:type w:val="oddPage"/>
      <w:pgSz w:w="12240" w:h="15840"/>
      <w:pgMar w:top="1440" w:right="1260" w:bottom="1440" w:left="126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1488" w14:textId="77777777" w:rsidR="00C42599" w:rsidRDefault="00C42599">
      <w:r>
        <w:separator/>
      </w:r>
    </w:p>
  </w:endnote>
  <w:endnote w:type="continuationSeparator" w:id="0">
    <w:p w14:paraId="221770FF" w14:textId="77777777" w:rsidR="00C42599" w:rsidRDefault="00C4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al">
    <w:altName w:val="Courier New"/>
    <w:charset w:val="00"/>
    <w:family w:val="roman"/>
    <w:pitch w:val="default"/>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
    <w:altName w:val="Yu Gothic"/>
    <w:charset w:val="80"/>
    <w:family w:val="auto"/>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Palatino-Italic">
    <w:altName w:val="Segoe UI Historic"/>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 w:name="BookAntiqua">
    <w:charset w:val="00"/>
    <w:family w:val="roman"/>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54F9" w14:textId="2ED94A92" w:rsidR="002F4213" w:rsidRPr="00934A2C" w:rsidRDefault="002F4213">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7D67A1">
      <w:rPr>
        <w:noProof/>
        <w:sz w:val="16"/>
        <w:szCs w:val="22"/>
      </w:rPr>
      <w:t>30</w:t>
    </w:r>
    <w:r w:rsidRPr="00934A2C">
      <w:rPr>
        <w:noProof/>
        <w:sz w:val="16"/>
        <w:szCs w:val="22"/>
      </w:rPr>
      <w:fldChar w:fldCharType="end"/>
    </w:r>
  </w:p>
  <w:p w14:paraId="7507B004" w14:textId="77777777" w:rsidR="002F4213" w:rsidRDefault="002F4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061B" w14:textId="77777777" w:rsidR="002F4213" w:rsidRPr="00934A2C" w:rsidRDefault="002F4213">
    <w:pPr>
      <w:pStyle w:val="Footer"/>
      <w:jc w:val="center"/>
      <w:rPr>
        <w:sz w:val="16"/>
        <w:szCs w:val="22"/>
      </w:rPr>
    </w:pPr>
  </w:p>
  <w:p w14:paraId="2401179F" w14:textId="77777777" w:rsidR="002F4213" w:rsidRDefault="002F4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876FB" w14:textId="77777777" w:rsidR="00C42599" w:rsidRPr="006C777D" w:rsidRDefault="00C42599">
      <w:pPr>
        <w:rPr>
          <w:rFonts w:ascii="Cambria" w:hAnsi="Cambria"/>
          <w:sz w:val="16"/>
          <w:szCs w:val="16"/>
        </w:rPr>
      </w:pPr>
      <w:r w:rsidRPr="006C777D">
        <w:rPr>
          <w:rFonts w:ascii="Cambria" w:hAnsi="Cambria"/>
          <w:sz w:val="16"/>
          <w:szCs w:val="16"/>
        </w:rPr>
        <w:separator/>
      </w:r>
    </w:p>
  </w:footnote>
  <w:footnote w:type="continuationSeparator" w:id="0">
    <w:p w14:paraId="40F5FC3B" w14:textId="77777777" w:rsidR="00C42599" w:rsidRPr="006C777D" w:rsidRDefault="00C42599" w:rsidP="006A407F">
      <w:pPr>
        <w:rPr>
          <w:rFonts w:ascii="Cambria" w:hAnsi="Cambria"/>
          <w:sz w:val="16"/>
          <w:szCs w:val="16"/>
        </w:rPr>
      </w:pPr>
      <w:r w:rsidRPr="006C777D">
        <w:rPr>
          <w:rFonts w:ascii="Cambria" w:hAnsi="Cambria"/>
          <w:sz w:val="16"/>
          <w:szCs w:val="16"/>
        </w:rPr>
        <w:separator/>
      </w:r>
    </w:p>
    <w:p w14:paraId="37DA3B8D" w14:textId="77777777" w:rsidR="00C42599" w:rsidRPr="006C777D" w:rsidRDefault="00C42599" w:rsidP="006A407F">
      <w:pPr>
        <w:pStyle w:val="Footer"/>
        <w:rPr>
          <w:sz w:val="16"/>
          <w:szCs w:val="16"/>
        </w:rPr>
      </w:pPr>
      <w:r w:rsidRPr="006C777D">
        <w:rPr>
          <w:sz w:val="16"/>
          <w:szCs w:val="16"/>
        </w:rPr>
        <w:t>[… continuación]</w:t>
      </w:r>
    </w:p>
  </w:footnote>
  <w:footnote w:type="continuationNotice" w:id="1">
    <w:p w14:paraId="7E099F8F" w14:textId="77777777" w:rsidR="00C42599" w:rsidRPr="006C777D" w:rsidRDefault="00C42599" w:rsidP="006A407F">
      <w:pPr>
        <w:jc w:val="right"/>
        <w:rPr>
          <w:rFonts w:ascii="Cambria" w:hAnsi="Cambria"/>
          <w:sz w:val="16"/>
          <w:szCs w:val="16"/>
          <w:lang w:val="es-ES"/>
        </w:rPr>
      </w:pPr>
      <w:r w:rsidRPr="006C777D">
        <w:rPr>
          <w:rFonts w:ascii="Cambria" w:hAnsi="Cambria"/>
          <w:sz w:val="16"/>
          <w:szCs w:val="16"/>
          <w:lang w:val="es-ES"/>
        </w:rPr>
        <w:t>[continúa…]</w:t>
      </w:r>
    </w:p>
  </w:footnote>
  <w:footnote w:id="2">
    <w:p w14:paraId="1CB4F3B3" w14:textId="77777777" w:rsidR="00256FC5" w:rsidRPr="005D2619" w:rsidRDefault="00256FC5" w:rsidP="00256FC5">
      <w:pPr>
        <w:pStyle w:val="FootnoteText"/>
        <w:jc w:val="both"/>
        <w:rPr>
          <w:rFonts w:ascii="Cambria" w:hAnsi="Cambria"/>
          <w:sz w:val="16"/>
          <w:szCs w:val="16"/>
          <w:lang w:val="es-MX"/>
        </w:rPr>
      </w:pPr>
      <w:r w:rsidRPr="00BE71E4">
        <w:rPr>
          <w:rStyle w:val="FootnoteReference"/>
          <w:rFonts w:ascii="Cambria" w:hAnsi="Cambria"/>
          <w:sz w:val="16"/>
          <w:szCs w:val="16"/>
        </w:rPr>
        <w:footnoteRef/>
      </w:r>
      <w:r w:rsidRPr="00BE71E4">
        <w:rPr>
          <w:rFonts w:ascii="Cambria" w:hAnsi="Cambria"/>
          <w:sz w:val="16"/>
          <w:szCs w:val="16"/>
          <w:lang w:val="es-US"/>
        </w:rPr>
        <w:t xml:space="preserve"> </w:t>
      </w:r>
      <w:r w:rsidRPr="00BE71E4">
        <w:rPr>
          <w:rFonts w:ascii="Cambria" w:hAnsi="Cambria"/>
          <w:sz w:val="16"/>
          <w:szCs w:val="16"/>
          <w:lang w:val="es-CO"/>
        </w:rPr>
        <w:t xml:space="preserve">Conforme a lo dispuesto en el artículo 17.2 del Reglamento de la Comisión, el Comisionado </w:t>
      </w:r>
      <w:r w:rsidRPr="00BE71E4">
        <w:rPr>
          <w:rFonts w:ascii="Cambria" w:hAnsi="Cambria"/>
          <w:bCs/>
          <w:sz w:val="16"/>
          <w:szCs w:val="16"/>
          <w:lang w:val="es-MX"/>
        </w:rPr>
        <w:t>Carlos Bernal Pulido</w:t>
      </w:r>
      <w:r w:rsidRPr="00BE71E4">
        <w:rPr>
          <w:rFonts w:ascii="Cambria" w:hAnsi="Cambria"/>
          <w:sz w:val="16"/>
          <w:szCs w:val="16"/>
          <w:lang w:val="es-CO"/>
        </w:rPr>
        <w:t xml:space="preserve">, de nacionalidad </w:t>
      </w:r>
      <w:r w:rsidRPr="00BE71E4">
        <w:rPr>
          <w:rFonts w:ascii="Cambria" w:hAnsi="Cambria"/>
          <w:sz w:val="16"/>
          <w:szCs w:val="16"/>
          <w:lang w:val="es-MX"/>
        </w:rPr>
        <w:t>colombiana, no participó en el debate ni en la decisión del presente caso.</w:t>
      </w:r>
      <w:r w:rsidRPr="005D2619">
        <w:rPr>
          <w:rFonts w:ascii="Cambria" w:hAnsi="Cambria"/>
          <w:sz w:val="16"/>
          <w:szCs w:val="16"/>
          <w:lang w:val="es-MX"/>
        </w:rPr>
        <w:t xml:space="preserve"> </w:t>
      </w:r>
    </w:p>
  </w:footnote>
  <w:footnote w:id="3">
    <w:p w14:paraId="086E9BA5" w14:textId="5CCCC369" w:rsidR="002F4213" w:rsidRPr="00E0758D" w:rsidRDefault="002F4213" w:rsidP="00910A5C">
      <w:pPr>
        <w:pStyle w:val="FootnoteText"/>
        <w:jc w:val="both"/>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CO"/>
        </w:rPr>
        <w:t xml:space="preserve"> L</w:t>
      </w:r>
      <w:r w:rsidRPr="00E0758D">
        <w:rPr>
          <w:rFonts w:ascii="Cambria" w:hAnsi="Cambria"/>
          <w:sz w:val="16"/>
          <w:szCs w:val="16"/>
          <w:lang w:val="es-ES"/>
        </w:rPr>
        <w:t xml:space="preserve">a CIDH recibió solicitud de medidas cautelares el 29 de noviembre de 1999 en la cual se comunicó la presunta desaparición forzada de Édgar Quiroga y Gildardo Fuentes ocurrida el 28 de noviembre 1999. En la misma fecha, la CIDH otorgó medidas cautelares ordenando al Estado colombiano la adopción de medidas urgentes y eficaces a fin de proteger la vida e integridad de ambos y la de los habitantes de la vereda La Placita que atestiguaron los hechos y los denunciaron ante las autoridades. La CIDH amplió la medida en </w:t>
      </w:r>
      <w:r w:rsidRPr="00E0758D">
        <w:rPr>
          <w:rFonts w:ascii="Cambria" w:hAnsi="Cambria"/>
          <w:sz w:val="16"/>
          <w:szCs w:val="16"/>
          <w:lang w:val="es-CO"/>
        </w:rPr>
        <w:t xml:space="preserve">dos oportunidades: una, a favor de de otros voceros del éxodo campesino, y la otra a favor </w:t>
      </w:r>
      <w:r w:rsidRPr="00E0758D">
        <w:rPr>
          <w:rFonts w:ascii="Cambria" w:hAnsi="Cambria"/>
          <w:sz w:val="16"/>
          <w:szCs w:val="16"/>
          <w:lang w:val="es-ES"/>
        </w:rPr>
        <w:t xml:space="preserve">de los integrantes de la Asociación Campesina del Valle del Río Cimitarra. </w:t>
      </w:r>
    </w:p>
  </w:footnote>
  <w:footnote w:id="4">
    <w:p w14:paraId="1655D11A" w14:textId="4C6DA107" w:rsidR="002F4213" w:rsidRPr="00E0758D" w:rsidRDefault="002F4213" w:rsidP="00910A5C">
      <w:pPr>
        <w:pStyle w:val="FootnoteText"/>
        <w:jc w:val="both"/>
        <w:rPr>
          <w:rFonts w:ascii="Cambria" w:hAnsi="Cambria"/>
          <w:color w:val="auto"/>
          <w:sz w:val="16"/>
          <w:szCs w:val="16"/>
          <w:lang w:val="es-ES"/>
        </w:rPr>
      </w:pPr>
      <w:r w:rsidRPr="00E0758D">
        <w:rPr>
          <w:rStyle w:val="FootnoteReference"/>
          <w:rFonts w:ascii="Cambria" w:hAnsi="Cambria"/>
          <w:color w:val="auto"/>
          <w:sz w:val="16"/>
          <w:szCs w:val="16"/>
        </w:rPr>
        <w:footnoteRef/>
      </w:r>
      <w:r w:rsidRPr="00E0758D">
        <w:rPr>
          <w:rFonts w:ascii="Cambria" w:hAnsi="Cambria"/>
          <w:color w:val="auto"/>
          <w:sz w:val="16"/>
          <w:szCs w:val="16"/>
          <w:lang w:val="es-CO"/>
        </w:rPr>
        <w:t xml:space="preserve"> CIDH. Informe No. 72/07. </w:t>
      </w:r>
      <w:r w:rsidRPr="00E0758D">
        <w:rPr>
          <w:rFonts w:ascii="Cambria" w:hAnsi="Cambria"/>
          <w:color w:val="auto"/>
          <w:sz w:val="16"/>
          <w:szCs w:val="16"/>
          <w:lang w:val="es-US"/>
        </w:rPr>
        <w:t>Petición 319-01. Admisibilidad. Edgar Quiroga y Gildardo Fuentes. Colombia</w:t>
      </w:r>
      <w:r w:rsidRPr="00E0758D">
        <w:rPr>
          <w:rFonts w:ascii="Cambria" w:hAnsi="Cambria"/>
          <w:color w:val="auto"/>
          <w:sz w:val="16"/>
          <w:szCs w:val="16"/>
          <w:lang w:val="es-ES"/>
        </w:rPr>
        <w:t>. 15 de octubre de 2007. La Comisión declaró admisible la petición en relación con los artículos 3, 4.1, 5.1, 5.2, 7, 8.1 y 25 de la Convención Americana en concordancia con el artículo 1.1 del mismo instrumento y el artículo I. b de la Convención Interamericana sobre Desaparición Forzada de Personas.</w:t>
      </w:r>
    </w:p>
  </w:footnote>
  <w:footnote w:id="5">
    <w:p w14:paraId="754382D9" w14:textId="4F4E631C" w:rsidR="002F4213" w:rsidRPr="00E0758D" w:rsidRDefault="002F4213" w:rsidP="00910A5C">
      <w:pPr>
        <w:pStyle w:val="FootnoteText"/>
        <w:jc w:val="both"/>
        <w:rPr>
          <w:rFonts w:ascii="Cambria" w:hAnsi="Cambria"/>
          <w:sz w:val="16"/>
          <w:szCs w:val="16"/>
          <w:lang w:val="es-CO"/>
        </w:rPr>
      </w:pPr>
      <w:r w:rsidRPr="00E0758D">
        <w:rPr>
          <w:rStyle w:val="FootnoteReference"/>
          <w:rFonts w:ascii="Cambria" w:hAnsi="Cambria"/>
          <w:color w:val="auto"/>
          <w:sz w:val="16"/>
          <w:szCs w:val="16"/>
        </w:rPr>
        <w:footnoteRef/>
      </w:r>
      <w:r w:rsidRPr="00E0758D">
        <w:rPr>
          <w:rFonts w:ascii="Cambria" w:hAnsi="Cambria"/>
          <w:color w:val="auto"/>
          <w:sz w:val="16"/>
          <w:szCs w:val="16"/>
          <w:lang w:val="es-CO"/>
        </w:rPr>
        <w:t xml:space="preserve"> CIDH. Informe No. 46/08. </w:t>
      </w:r>
      <w:r w:rsidRPr="00E0758D">
        <w:rPr>
          <w:rFonts w:ascii="Cambria" w:hAnsi="Cambria"/>
          <w:color w:val="auto"/>
          <w:sz w:val="16"/>
          <w:szCs w:val="16"/>
          <w:lang w:val="es-US"/>
        </w:rPr>
        <w:t>Petición 699-03. Admisibilidad. Victoria Delgado Anaya. Colombia</w:t>
      </w:r>
      <w:r w:rsidRPr="00E0758D">
        <w:rPr>
          <w:rFonts w:ascii="Cambria" w:hAnsi="Cambria"/>
          <w:color w:val="auto"/>
          <w:sz w:val="16"/>
          <w:szCs w:val="16"/>
          <w:lang w:val="es-ES"/>
        </w:rPr>
        <w:t>. 24 de julio de 2008. La Comisión declaró admisible la petición en relación con los artículos 4.1, 5.1, 7.1, 8.1 y 25 de la Convención Americana en concordancia con el artículo 1.1 del mismo instrumento.</w:t>
      </w:r>
    </w:p>
  </w:footnote>
  <w:footnote w:id="6">
    <w:p w14:paraId="39FFA5B6" w14:textId="505DA464" w:rsidR="002F4213" w:rsidRPr="00E0758D" w:rsidRDefault="002F4213" w:rsidP="00910A5C">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16"/>
          <w:szCs w:val="16"/>
          <w:lang w:val="es-ES"/>
        </w:rPr>
      </w:pPr>
      <w:r w:rsidRPr="00E0758D">
        <w:rPr>
          <w:rStyle w:val="FootnoteReference"/>
          <w:rFonts w:ascii="Cambria" w:hAnsi="Cambria"/>
          <w:color w:val="auto"/>
          <w:sz w:val="16"/>
          <w:szCs w:val="16"/>
        </w:rPr>
        <w:footnoteRef/>
      </w:r>
      <w:r w:rsidRPr="00E0758D">
        <w:rPr>
          <w:rFonts w:ascii="Cambria" w:hAnsi="Cambria"/>
          <w:color w:val="auto"/>
          <w:sz w:val="16"/>
          <w:szCs w:val="16"/>
          <w:lang w:val="es-ES"/>
        </w:rPr>
        <w:t xml:space="preserve"> El 19 de mayo de 2001 el CSPP presentó solicitud de medidas cautelares a favor de la señora Victoria Delgado Anaya ante la Comisión la cual </w:t>
      </w:r>
      <w:r w:rsidRPr="00E0758D">
        <w:rPr>
          <w:rFonts w:ascii="Cambria" w:hAnsi="Cambria"/>
          <w:sz w:val="16"/>
          <w:szCs w:val="16"/>
          <w:lang w:val="es-ES"/>
        </w:rPr>
        <w:t xml:space="preserve">fue puesta en conocimiento del Estado el 21 de mayo de 2001. El 28 de junio de 2001, el Estado informó que no se encontraban investigaciones vigentes con ocasión al primer secuestro de la señora Victoria Delgado Anaya. Mediante escrito del 16 de julio de 2001, la parte peticionaria solicitó se le garantizara medidas cautelares a la señora Victoria Delgado Anaya, a los pobladores del corregimiento El Paraíso y a las comunidades de Agua Sucia, La Unión, Cañabraval Alto y La Fría. El 24 de julio de 2001, el Estado manifestó que abrió investigación por el primer secuestro de la señora Victoria Delgado Anaya, que se encontraba en etapa probatoria. </w:t>
      </w:r>
    </w:p>
    <w:p w14:paraId="1F84F9BB" w14:textId="77777777" w:rsidR="002F4213" w:rsidRPr="00E0758D" w:rsidRDefault="002F4213" w:rsidP="00910A5C">
      <w:pPr>
        <w:pStyle w:val="FootnoteText"/>
        <w:jc w:val="both"/>
        <w:rPr>
          <w:rFonts w:ascii="Cambria" w:hAnsi="Cambria"/>
          <w:sz w:val="16"/>
          <w:szCs w:val="16"/>
          <w:lang w:val="es-ES"/>
        </w:rPr>
      </w:pPr>
    </w:p>
  </w:footnote>
  <w:footnote w:id="7">
    <w:p w14:paraId="4B6D40C4" w14:textId="77777777" w:rsidR="002F4213" w:rsidRPr="00E0758D" w:rsidRDefault="002F4213" w:rsidP="00910A5C">
      <w:pPr>
        <w:pStyle w:val="FootnoteText"/>
        <w:jc w:val="both"/>
        <w:rPr>
          <w:rFonts w:ascii="Cambria" w:hAnsi="Cambria"/>
          <w:sz w:val="16"/>
          <w:szCs w:val="16"/>
          <w:lang w:val="es-AR"/>
        </w:rPr>
      </w:pPr>
      <w:r w:rsidRPr="00E0758D">
        <w:rPr>
          <w:rStyle w:val="FootnoteReference"/>
          <w:rFonts w:ascii="Cambria" w:hAnsi="Cambria"/>
          <w:sz w:val="16"/>
          <w:szCs w:val="16"/>
          <w:lang w:val="es-AR"/>
        </w:rPr>
        <w:footnoteRef/>
      </w:r>
      <w:r w:rsidRPr="00E0758D">
        <w:rPr>
          <w:rFonts w:ascii="Cambria" w:hAnsi="Cambria"/>
          <w:sz w:val="16"/>
          <w:szCs w:val="16"/>
          <w:lang w:val="es-AR"/>
        </w:rPr>
        <w:t xml:space="preserve"> </w:t>
      </w:r>
      <w:r w:rsidRPr="00E0758D">
        <w:rPr>
          <w:rFonts w:ascii="Cambria" w:hAnsi="Cambria"/>
          <w:sz w:val="16"/>
          <w:szCs w:val="16"/>
          <w:lang w:val="es-ES_tradnl"/>
        </w:rPr>
        <w:t>Efectivamente, el Decreto 3398 de 1965 (Ley de Defensa Nacional) y la Ley 48 de 1968 autorizaron la creación de patrullas civiles que recibían armas de uso privativo de las fuerzas de seguridad del Estado por autorización del Ministerio de Defensa.  El artículo 25 del Decreto 3398 de 1965 establecía que “Todos los colombianos, hombres y mujeres, no comprendidos en el llamamiento al servicio militar obligatorio, podrán ser utilizados por el Gobierno en actividades y trabajos con los cuales contribuyan al restablecimiento de la normalidad”. Cfr. CIDH Informe No. 75/06, Jesús María Valle Jaramillo, 16 de octubre de 2006 (“CIDH. Fondo. Caso Valle Jaramillo), párr. 61.</w:t>
      </w:r>
    </w:p>
  </w:footnote>
  <w:footnote w:id="8">
    <w:p w14:paraId="395A8422" w14:textId="5F7D8808" w:rsidR="002F4213" w:rsidRPr="00E0758D" w:rsidRDefault="002F4213" w:rsidP="00910A5C">
      <w:pPr>
        <w:pStyle w:val="FootnoteText"/>
        <w:jc w:val="both"/>
        <w:rPr>
          <w:rFonts w:ascii="Cambria" w:hAnsi="Cambria"/>
          <w:sz w:val="16"/>
          <w:szCs w:val="16"/>
          <w:lang w:val="es-AR"/>
        </w:rPr>
      </w:pPr>
      <w:r w:rsidRPr="00E0758D">
        <w:rPr>
          <w:rStyle w:val="FootnoteReference"/>
          <w:rFonts w:ascii="Cambria" w:hAnsi="Cambria"/>
          <w:sz w:val="16"/>
          <w:szCs w:val="16"/>
          <w:lang w:val="es-AR"/>
        </w:rPr>
        <w:footnoteRef/>
      </w:r>
      <w:r w:rsidRPr="00E0758D">
        <w:rPr>
          <w:rFonts w:ascii="Cambria" w:hAnsi="Cambria"/>
          <w:sz w:val="16"/>
          <w:szCs w:val="16"/>
          <w:lang w:val="es-AR"/>
        </w:rPr>
        <w:t xml:space="preserve"> CIDH, </w:t>
      </w:r>
      <w:r w:rsidRPr="00E0758D">
        <w:rPr>
          <w:rFonts w:ascii="Cambria" w:hAnsi="Cambria"/>
          <w:iCs/>
          <w:sz w:val="16"/>
          <w:szCs w:val="16"/>
          <w:lang w:val="es-ES_tradnl"/>
        </w:rPr>
        <w:t>Tercer Informe sobre la Situación de los Derechos Humanos en Colombia.</w:t>
      </w:r>
      <w:r w:rsidRPr="00E0758D">
        <w:rPr>
          <w:rFonts w:ascii="Cambria" w:hAnsi="Cambria"/>
          <w:sz w:val="16"/>
          <w:szCs w:val="16"/>
          <w:lang w:val="es-ES_tradnl"/>
        </w:rPr>
        <w:t xml:space="preserve"> OEA/Ser.L/V/II.102 Doc. 9 rev. 1, 26 de febr</w:t>
      </w:r>
      <w:r>
        <w:rPr>
          <w:rFonts w:ascii="Cambria" w:hAnsi="Cambria"/>
          <w:sz w:val="16"/>
          <w:szCs w:val="16"/>
          <w:lang w:val="es-ES_tradnl"/>
        </w:rPr>
        <w:t>ero de 1999, Cap. IV, párr. 236</w:t>
      </w:r>
      <w:r w:rsidRPr="00E0758D">
        <w:rPr>
          <w:rFonts w:ascii="Cambria" w:hAnsi="Cambria"/>
          <w:sz w:val="16"/>
          <w:szCs w:val="16"/>
          <w:lang w:val="es-ES_tradnl"/>
        </w:rPr>
        <w:t xml:space="preserve">. CIDH.Fondo. Caso </w:t>
      </w:r>
      <w:r w:rsidRPr="00E0758D">
        <w:rPr>
          <w:rFonts w:ascii="Cambria" w:hAnsi="Cambria"/>
          <w:iCs/>
          <w:sz w:val="16"/>
          <w:szCs w:val="16"/>
          <w:lang w:val="es-ES_tradnl"/>
        </w:rPr>
        <w:t>Valle Jaramillo</w:t>
      </w:r>
      <w:r w:rsidRPr="00E0758D">
        <w:rPr>
          <w:rFonts w:ascii="Cambria" w:hAnsi="Cambria"/>
          <w:sz w:val="16"/>
          <w:szCs w:val="16"/>
          <w:lang w:val="es-ES_tradnl"/>
        </w:rPr>
        <w:t>, párr. 61.</w:t>
      </w:r>
    </w:p>
  </w:footnote>
  <w:footnote w:id="9">
    <w:p w14:paraId="608BD987" w14:textId="77777777" w:rsidR="002F4213" w:rsidRPr="00E0758D" w:rsidRDefault="002F4213" w:rsidP="00910A5C">
      <w:pPr>
        <w:jc w:val="both"/>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ES"/>
        </w:rPr>
        <w:t xml:space="preserve"> CIDH. Informe sobre el proceso de desmovilización en Colombia. III Contexto: Origen y caracterización del conflicto armado interno en Colombia párr. 50-58, 13 de diciembre de 2004. Corte IDH. </w:t>
      </w:r>
      <w:r w:rsidRPr="00E0758D">
        <w:rPr>
          <w:rFonts w:ascii="Cambria" w:hAnsi="Cambria"/>
          <w:i/>
          <w:sz w:val="16"/>
          <w:szCs w:val="16"/>
          <w:lang w:val="it-IT"/>
        </w:rPr>
        <w:t>Caso de la “Masacre de Mapiripán” Vs. Colombia</w:t>
      </w:r>
      <w:r w:rsidRPr="00E0758D">
        <w:rPr>
          <w:rFonts w:ascii="Cambria" w:hAnsi="Cambria"/>
          <w:sz w:val="16"/>
          <w:szCs w:val="16"/>
          <w:lang w:val="it-IT"/>
        </w:rPr>
        <w:t xml:space="preserve">. </w:t>
      </w:r>
      <w:r w:rsidRPr="00E0758D">
        <w:rPr>
          <w:rFonts w:ascii="Cambria" w:hAnsi="Cambria"/>
          <w:sz w:val="16"/>
          <w:szCs w:val="16"/>
          <w:lang w:val="es-ES"/>
        </w:rPr>
        <w:t xml:space="preserve">Excepciones Preliminares. Sentencia de 7 de marzo de 2005. Serie C No. 122, párr. 96.18 y Corte IDH. </w:t>
      </w:r>
      <w:r w:rsidRPr="00E0758D">
        <w:rPr>
          <w:rFonts w:ascii="Cambria" w:hAnsi="Cambria"/>
          <w:i/>
          <w:sz w:val="16"/>
          <w:szCs w:val="16"/>
          <w:lang w:val="es-ES"/>
        </w:rPr>
        <w:t>Caso</w:t>
      </w:r>
      <w:r w:rsidRPr="00E0758D">
        <w:rPr>
          <w:rFonts w:ascii="Cambria" w:hAnsi="Cambria"/>
          <w:sz w:val="16"/>
          <w:szCs w:val="16"/>
          <w:lang w:val="es-ES"/>
        </w:rPr>
        <w:t xml:space="preserve"> </w:t>
      </w:r>
      <w:r w:rsidRPr="00E0758D">
        <w:rPr>
          <w:rFonts w:ascii="Cambria" w:hAnsi="Cambria"/>
          <w:i/>
          <w:sz w:val="16"/>
          <w:szCs w:val="16"/>
          <w:lang w:val="es-ES"/>
        </w:rPr>
        <w:t xml:space="preserve">de las Masacres de Ituango Vs. Colombia. </w:t>
      </w:r>
      <w:r w:rsidRPr="00E0758D">
        <w:rPr>
          <w:rFonts w:ascii="Cambria" w:hAnsi="Cambria"/>
          <w:sz w:val="16"/>
          <w:szCs w:val="16"/>
          <w:lang w:val="es-ES"/>
        </w:rPr>
        <w:t>Sentencia de 1 de julio de 2006. Serie C No. 148, párr. 125.</w:t>
      </w:r>
    </w:p>
  </w:footnote>
  <w:footnote w:id="10">
    <w:p w14:paraId="7024ED53" w14:textId="77777777" w:rsidR="002F4213" w:rsidRPr="00E0758D" w:rsidRDefault="002F4213" w:rsidP="00910A5C">
      <w:pPr>
        <w:pStyle w:val="FootnoteText"/>
        <w:jc w:val="both"/>
        <w:rPr>
          <w:rFonts w:ascii="Cambria" w:hAnsi="Cambria"/>
          <w:sz w:val="16"/>
          <w:szCs w:val="16"/>
          <w:lang w:val="es-AR"/>
        </w:rPr>
      </w:pPr>
      <w:r w:rsidRPr="00E0758D">
        <w:rPr>
          <w:rFonts w:ascii="Cambria" w:hAnsi="Cambria"/>
          <w:sz w:val="16"/>
          <w:szCs w:val="16"/>
          <w:vertAlign w:val="superscript"/>
          <w:lang w:val="es-ES_tradnl"/>
        </w:rPr>
        <w:footnoteRef/>
      </w:r>
      <w:r w:rsidRPr="00E0758D">
        <w:rPr>
          <w:rFonts w:ascii="Cambria" w:hAnsi="Cambria"/>
          <w:sz w:val="16"/>
          <w:szCs w:val="16"/>
          <w:lang w:val="es-ES_tradnl"/>
        </w:rPr>
        <w:t xml:space="preserve"> CIDH. Informe No.37/00 </w:t>
      </w:r>
      <w:r w:rsidRPr="00E0758D">
        <w:rPr>
          <w:rFonts w:ascii="Cambria" w:hAnsi="Cambria"/>
          <w:i/>
          <w:sz w:val="16"/>
          <w:szCs w:val="16"/>
          <w:lang w:val="es-ES_tradnl"/>
        </w:rPr>
        <w:t>Monseñor Oscar Arnulfo Romero y Galdámez</w:t>
      </w:r>
      <w:r w:rsidRPr="00E0758D">
        <w:rPr>
          <w:rFonts w:ascii="Cambria" w:hAnsi="Cambria"/>
          <w:sz w:val="16"/>
          <w:szCs w:val="16"/>
          <w:lang w:val="es-ES_tradnl"/>
        </w:rPr>
        <w:t>, párr. 64. CIDH. Fondo. Caso Valle Jaramillo, párr. 63.</w:t>
      </w:r>
    </w:p>
  </w:footnote>
  <w:footnote w:id="11">
    <w:p w14:paraId="53B18ED3" w14:textId="77777777" w:rsidR="002F4213" w:rsidRPr="00E0758D" w:rsidRDefault="002F4213" w:rsidP="00910A5C">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5A6989">
        <w:rPr>
          <w:rFonts w:ascii="Cambria" w:hAnsi="Cambria"/>
          <w:sz w:val="16"/>
          <w:szCs w:val="16"/>
          <w:lang w:val="es-US"/>
        </w:rPr>
        <w:t xml:space="preserve"> Corte IDH, </w:t>
      </w:r>
      <w:r w:rsidRPr="005A6989">
        <w:rPr>
          <w:rFonts w:ascii="Cambria" w:hAnsi="Cambria"/>
          <w:i/>
          <w:sz w:val="16"/>
          <w:szCs w:val="16"/>
          <w:lang w:val="es-US"/>
        </w:rPr>
        <w:t xml:space="preserve">Caso 19 Comerciantes Vs. </w:t>
      </w:r>
      <w:r w:rsidRPr="00E0758D">
        <w:rPr>
          <w:rFonts w:ascii="Cambria" w:hAnsi="Cambria"/>
          <w:i/>
          <w:sz w:val="16"/>
          <w:szCs w:val="16"/>
          <w:lang w:val="es-ES_tradnl"/>
        </w:rPr>
        <w:t>Colombia.</w:t>
      </w:r>
      <w:r w:rsidRPr="00E0758D">
        <w:rPr>
          <w:rFonts w:ascii="Cambria" w:hAnsi="Cambria"/>
          <w:sz w:val="16"/>
          <w:szCs w:val="16"/>
          <w:lang w:val="es-ES_tradnl"/>
        </w:rPr>
        <w:t xml:space="preserve"> Fondo, Reparaciones y Costas</w:t>
      </w:r>
      <w:r w:rsidRPr="00E0758D">
        <w:rPr>
          <w:rFonts w:ascii="Cambria" w:hAnsi="Cambria"/>
          <w:i/>
          <w:sz w:val="16"/>
          <w:szCs w:val="16"/>
          <w:lang w:val="es-ES_tradnl"/>
        </w:rPr>
        <w:t>.</w:t>
      </w:r>
      <w:r w:rsidRPr="00E0758D">
        <w:rPr>
          <w:rFonts w:ascii="Cambria" w:hAnsi="Cambria"/>
          <w:sz w:val="16"/>
          <w:szCs w:val="16"/>
          <w:lang w:val="es-ES_tradnl"/>
        </w:rPr>
        <w:t xml:space="preserve"> Sentencia de 5 de julio de 2004. Serie C No. 109.</w:t>
      </w:r>
    </w:p>
  </w:footnote>
  <w:footnote w:id="12">
    <w:p w14:paraId="5DC1104A" w14:textId="77777777" w:rsidR="002F4213" w:rsidRPr="00E0758D" w:rsidRDefault="002F4213" w:rsidP="00910A5C">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_tradnl"/>
        </w:rPr>
        <w:t xml:space="preserve"> Corte IDH, </w:t>
      </w:r>
      <w:r w:rsidRPr="00E0758D">
        <w:rPr>
          <w:rFonts w:ascii="Cambria" w:hAnsi="Cambria"/>
          <w:i/>
          <w:sz w:val="16"/>
          <w:szCs w:val="16"/>
          <w:lang w:val="es-ES_tradnl"/>
        </w:rPr>
        <w:t>Caso de la “Masacre de Mapiripán” Vs. Colombia</w:t>
      </w:r>
      <w:r w:rsidRPr="00E0758D">
        <w:rPr>
          <w:rFonts w:ascii="Cambria" w:hAnsi="Cambria"/>
          <w:sz w:val="16"/>
          <w:szCs w:val="16"/>
          <w:lang w:val="es-ES_tradnl"/>
        </w:rPr>
        <w:t>. Fondo, Reparaciones y Costas</w:t>
      </w:r>
      <w:r w:rsidRPr="00E0758D">
        <w:rPr>
          <w:rFonts w:ascii="Cambria" w:hAnsi="Cambria"/>
          <w:i/>
          <w:sz w:val="16"/>
          <w:szCs w:val="16"/>
          <w:lang w:val="es-ES_tradnl"/>
        </w:rPr>
        <w:t>.</w:t>
      </w:r>
      <w:r w:rsidRPr="00E0758D">
        <w:rPr>
          <w:rFonts w:ascii="Cambria" w:hAnsi="Cambria"/>
          <w:sz w:val="16"/>
          <w:szCs w:val="16"/>
          <w:lang w:val="es-ES_tradnl"/>
        </w:rPr>
        <w:t xml:space="preserve"> Sentencia de 15 de septiembre de 2005. Serie C No. 134.</w:t>
      </w:r>
    </w:p>
  </w:footnote>
  <w:footnote w:id="13">
    <w:p w14:paraId="529AC657" w14:textId="77777777" w:rsidR="002F4213" w:rsidRPr="00E0758D" w:rsidRDefault="002F4213" w:rsidP="00910A5C">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_tradnl"/>
        </w:rPr>
        <w:t xml:space="preserve"> Corte IDH, </w:t>
      </w:r>
      <w:r w:rsidRPr="00E0758D">
        <w:rPr>
          <w:rFonts w:ascii="Cambria" w:hAnsi="Cambria"/>
          <w:i/>
          <w:sz w:val="16"/>
          <w:szCs w:val="16"/>
          <w:lang w:val="es-ES_tradnl"/>
        </w:rPr>
        <w:t>Caso de las Masacres de Ituango Vs. Colombia</w:t>
      </w:r>
      <w:r w:rsidRPr="00E0758D">
        <w:rPr>
          <w:rFonts w:ascii="Cambria" w:hAnsi="Cambria"/>
          <w:sz w:val="16"/>
          <w:szCs w:val="16"/>
          <w:lang w:val="es-ES_tradnl"/>
        </w:rPr>
        <w:t>. Excepción Preliminar, Fondo, Reparaciones y Costas</w:t>
      </w:r>
      <w:r w:rsidRPr="00E0758D">
        <w:rPr>
          <w:rFonts w:ascii="Cambria" w:hAnsi="Cambria"/>
          <w:i/>
          <w:sz w:val="16"/>
          <w:szCs w:val="16"/>
          <w:lang w:val="es-ES_tradnl"/>
        </w:rPr>
        <w:t>.</w:t>
      </w:r>
      <w:r w:rsidRPr="00E0758D">
        <w:rPr>
          <w:rFonts w:ascii="Cambria" w:hAnsi="Cambria"/>
          <w:sz w:val="16"/>
          <w:szCs w:val="16"/>
          <w:lang w:val="es-ES_tradnl"/>
        </w:rPr>
        <w:t xml:space="preserve"> Sentencia de 1 de julio de 2006. Serie C No. 148.</w:t>
      </w:r>
    </w:p>
  </w:footnote>
  <w:footnote w:id="14">
    <w:p w14:paraId="16B7E12F" w14:textId="77777777" w:rsidR="002F4213" w:rsidRPr="00E0758D" w:rsidRDefault="002F4213" w:rsidP="00910A5C">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_tradnl"/>
        </w:rPr>
        <w:t xml:space="preserve"> Corte IDH, </w:t>
      </w:r>
      <w:r w:rsidRPr="00E0758D">
        <w:rPr>
          <w:rFonts w:ascii="Cambria" w:hAnsi="Cambria"/>
          <w:i/>
          <w:sz w:val="16"/>
          <w:szCs w:val="16"/>
          <w:lang w:val="es-ES_tradnl"/>
        </w:rPr>
        <w:t>Caso Cepeda Vargas Vs. Colombia</w:t>
      </w:r>
      <w:r w:rsidRPr="00E0758D">
        <w:rPr>
          <w:rFonts w:ascii="Cambria" w:hAnsi="Cambria"/>
          <w:sz w:val="16"/>
          <w:szCs w:val="16"/>
          <w:lang w:val="es-ES_tradnl"/>
        </w:rPr>
        <w:t>. Excepciones Preliminares, Fondo, Reparaciones y Costas. Sentencia de 26 de mayo de 2010. Serie C No. 213.</w:t>
      </w:r>
    </w:p>
  </w:footnote>
  <w:footnote w:id="15">
    <w:p w14:paraId="274678EE" w14:textId="77777777" w:rsidR="002F4213" w:rsidRPr="00E0758D" w:rsidRDefault="002F4213" w:rsidP="00910A5C">
      <w:pPr>
        <w:pStyle w:val="FootnoteText"/>
        <w:rPr>
          <w:rFonts w:ascii="Cambria" w:hAnsi="Cambria"/>
          <w:sz w:val="16"/>
          <w:szCs w:val="16"/>
          <w:lang w:val="es-MX"/>
        </w:rPr>
      </w:pPr>
      <w:r w:rsidRPr="00E0758D">
        <w:rPr>
          <w:rStyle w:val="FootnoteReference"/>
          <w:rFonts w:ascii="Cambria" w:hAnsi="Cambria"/>
          <w:sz w:val="16"/>
          <w:szCs w:val="16"/>
        </w:rPr>
        <w:footnoteRef/>
      </w:r>
      <w:r w:rsidRPr="00E0758D">
        <w:rPr>
          <w:rFonts w:ascii="Cambria" w:hAnsi="Cambria"/>
          <w:sz w:val="16"/>
          <w:szCs w:val="16"/>
          <w:lang w:val="es-MX"/>
        </w:rPr>
        <w:t xml:space="preserve"> Corte IDH. Caso de las Comunidades Afrodescendientes Desplazadas de la Cuenca del Río Cacarica (Operación Génesis) Vs. Colombia, parrs 249 y 252</w:t>
      </w:r>
    </w:p>
  </w:footnote>
  <w:footnote w:id="16">
    <w:p w14:paraId="19925A09" w14:textId="1920D74C" w:rsidR="002F4213" w:rsidRPr="00E0758D" w:rsidRDefault="002F4213" w:rsidP="00910A5C">
      <w:pPr>
        <w:pStyle w:val="FootnoteText"/>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ES"/>
        </w:rPr>
        <w:t xml:space="preserve"> Corte IDH. Caso Vereda La Esperanza vs. Colombia. Excepción Preliminar, Fondo, Reparaciones y Costas. Sentencia de 31 de agosto de 2017. Serie C No. 341, parr.51.</w:t>
      </w:r>
    </w:p>
  </w:footnote>
  <w:footnote w:id="17">
    <w:p w14:paraId="6EC3F866" w14:textId="6335EB77" w:rsidR="002F4213" w:rsidRPr="00E0758D" w:rsidRDefault="002F4213" w:rsidP="00910A5C">
      <w:pPr>
        <w:pStyle w:val="FootnoteText"/>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ES"/>
        </w:rPr>
        <w:t xml:space="preserve"> CIDH. Informe No. 85</w:t>
      </w:r>
      <w:r w:rsidRPr="00E0758D">
        <w:rPr>
          <w:rFonts w:ascii="Cambria" w:hAnsi="Cambria"/>
          <w:sz w:val="16"/>
          <w:szCs w:val="16"/>
          <w:lang w:val="es-US"/>
        </w:rPr>
        <w:t>/13,</w:t>
      </w:r>
      <w:r w:rsidRPr="00E0758D">
        <w:rPr>
          <w:rFonts w:ascii="Cambria" w:hAnsi="Cambria"/>
          <w:sz w:val="16"/>
          <w:szCs w:val="16"/>
          <w:lang w:val="es-ES"/>
        </w:rPr>
        <w:t xml:space="preserve"> Caso 12.251. Admisibilidad y Fondo. Vereda La Esperanza. Colombia, 4 de noviembre de 2013, párr.65.</w:t>
      </w:r>
    </w:p>
  </w:footnote>
  <w:footnote w:id="18">
    <w:p w14:paraId="76500CB9" w14:textId="7E319482" w:rsidR="002F4213" w:rsidRPr="00E0758D" w:rsidRDefault="002F4213" w:rsidP="00910A5C">
      <w:pPr>
        <w:pStyle w:val="FootnoteText"/>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ES"/>
        </w:rPr>
        <w:t xml:space="preserve"> CIDH. Informe No. 85</w:t>
      </w:r>
      <w:r w:rsidRPr="00E0758D">
        <w:rPr>
          <w:rFonts w:ascii="Cambria" w:hAnsi="Cambria"/>
          <w:sz w:val="16"/>
          <w:szCs w:val="16"/>
          <w:lang w:val="es-US"/>
        </w:rPr>
        <w:t>/13,</w:t>
      </w:r>
      <w:r w:rsidRPr="00E0758D">
        <w:rPr>
          <w:rFonts w:ascii="Cambria" w:hAnsi="Cambria"/>
          <w:sz w:val="16"/>
          <w:szCs w:val="16"/>
          <w:lang w:val="es-ES"/>
        </w:rPr>
        <w:t xml:space="preserve"> Caso 12.251. Admisibilidad y Fondo. Vereda La Esperanza. Colombia, 4 de noviembre de 2013, párr.66.</w:t>
      </w:r>
    </w:p>
  </w:footnote>
  <w:footnote w:id="19">
    <w:p w14:paraId="10F52D69" w14:textId="77777777" w:rsidR="002F4213" w:rsidRPr="00E0758D" w:rsidRDefault="002F4213" w:rsidP="00910A5C">
      <w:pPr>
        <w:pStyle w:val="FootnoteText"/>
        <w:jc w:val="both"/>
        <w:rPr>
          <w:rFonts w:ascii="Cambria" w:hAnsi="Cambria"/>
          <w:sz w:val="16"/>
          <w:szCs w:val="16"/>
          <w:lang w:val="es-CO"/>
        </w:rPr>
      </w:pPr>
      <w:r w:rsidRPr="00E0758D">
        <w:rPr>
          <w:rStyle w:val="FootnoteReference"/>
          <w:rFonts w:ascii="Cambria" w:hAnsi="Cambria"/>
          <w:sz w:val="16"/>
          <w:szCs w:val="16"/>
        </w:rPr>
        <w:footnoteRef/>
      </w:r>
      <w:r w:rsidRPr="00E0758D">
        <w:rPr>
          <w:rFonts w:ascii="Cambria" w:hAnsi="Cambria"/>
          <w:sz w:val="16"/>
          <w:szCs w:val="16"/>
          <w:lang w:val="es-CO"/>
        </w:rPr>
        <w:t xml:space="preserve"> ¡BASTA YA! Colombia: Memorias de guerra y dignidad. Informe general Grupo de Memoria Histórica. Centro Nacional de Memoria Histórica. Pg. 136.</w:t>
      </w:r>
    </w:p>
  </w:footnote>
  <w:footnote w:id="20">
    <w:p w14:paraId="28DBD642" w14:textId="77777777" w:rsidR="002F4213" w:rsidRPr="00E0758D" w:rsidRDefault="002F4213" w:rsidP="00910A5C">
      <w:pPr>
        <w:pStyle w:val="FootnoteText"/>
        <w:rPr>
          <w:rFonts w:ascii="Cambria" w:hAnsi="Cambria"/>
          <w:sz w:val="16"/>
          <w:szCs w:val="16"/>
          <w:lang w:val="es-MX"/>
        </w:rPr>
      </w:pPr>
      <w:r w:rsidRPr="00E0758D">
        <w:rPr>
          <w:rStyle w:val="FootnoteReference"/>
          <w:rFonts w:ascii="Cambria" w:hAnsi="Cambria"/>
          <w:sz w:val="16"/>
          <w:szCs w:val="16"/>
        </w:rPr>
        <w:footnoteRef/>
      </w:r>
      <w:r w:rsidRPr="00E0758D">
        <w:rPr>
          <w:rFonts w:ascii="Cambria" w:hAnsi="Cambria"/>
          <w:sz w:val="16"/>
          <w:szCs w:val="16"/>
          <w:lang w:val="es-MX"/>
        </w:rPr>
        <w:t xml:space="preserve"> </w:t>
      </w:r>
      <w:r w:rsidRPr="00E0758D">
        <w:rPr>
          <w:rFonts w:ascii="Cambria" w:hAnsi="Cambria"/>
          <w:sz w:val="16"/>
          <w:szCs w:val="16"/>
          <w:lang w:val="es-CO"/>
        </w:rPr>
        <w:t>¡BASTA YA! Colombia: Memorias de guerra y dignidad. Informe general Grupo de Memoria Histórica. Centro Nacional de Memoria Histórica. Pg. 136.</w:t>
      </w:r>
    </w:p>
  </w:footnote>
  <w:footnote w:id="21">
    <w:p w14:paraId="18CEED38" w14:textId="77777777" w:rsidR="002F4213" w:rsidRPr="00E0758D" w:rsidRDefault="002F4213" w:rsidP="00910A5C">
      <w:pPr>
        <w:pStyle w:val="FootnoteText"/>
        <w:rPr>
          <w:rFonts w:ascii="Cambria" w:hAnsi="Cambria"/>
          <w:sz w:val="16"/>
          <w:szCs w:val="16"/>
          <w:lang w:val="es-CO"/>
        </w:rPr>
      </w:pPr>
      <w:r w:rsidRPr="00E0758D">
        <w:rPr>
          <w:rStyle w:val="FootnoteReference"/>
          <w:rFonts w:ascii="Cambria" w:hAnsi="Cambria"/>
          <w:sz w:val="16"/>
          <w:szCs w:val="16"/>
        </w:rPr>
        <w:footnoteRef/>
      </w:r>
      <w:r w:rsidRPr="00E0758D">
        <w:rPr>
          <w:rFonts w:ascii="Cambria" w:hAnsi="Cambria"/>
          <w:sz w:val="16"/>
          <w:szCs w:val="16"/>
          <w:lang w:val="es-CO"/>
        </w:rPr>
        <w:t xml:space="preserve"> </w:t>
      </w:r>
      <w:r w:rsidRPr="00E0758D">
        <w:rPr>
          <w:rFonts w:ascii="Cambria" w:hAnsi="Cambria"/>
          <w:sz w:val="16"/>
          <w:szCs w:val="16"/>
          <w:lang w:val="es-ES_tradnl"/>
        </w:rPr>
        <w:t xml:space="preserve">Corte IDH, </w:t>
      </w:r>
      <w:r w:rsidRPr="00E0758D">
        <w:rPr>
          <w:rFonts w:ascii="Cambria" w:hAnsi="Cambria"/>
          <w:i/>
          <w:sz w:val="16"/>
          <w:szCs w:val="16"/>
          <w:lang w:val="es-ES_tradnl"/>
        </w:rPr>
        <w:t>Caso Vereda La Esperanza Vs. Colombia</w:t>
      </w:r>
      <w:r w:rsidRPr="00E0758D">
        <w:rPr>
          <w:rFonts w:ascii="Cambria" w:hAnsi="Cambria"/>
          <w:sz w:val="16"/>
          <w:szCs w:val="16"/>
          <w:lang w:val="es-ES_tradnl"/>
        </w:rPr>
        <w:t>. Excepción Preliminar, Fondo, Reparaciones y Costas</w:t>
      </w:r>
      <w:r w:rsidRPr="00E0758D">
        <w:rPr>
          <w:rFonts w:ascii="Cambria" w:hAnsi="Cambria"/>
          <w:i/>
          <w:sz w:val="16"/>
          <w:szCs w:val="16"/>
          <w:lang w:val="es-ES_tradnl"/>
        </w:rPr>
        <w:t>.</w:t>
      </w:r>
      <w:r w:rsidRPr="00E0758D">
        <w:rPr>
          <w:rFonts w:ascii="Cambria" w:hAnsi="Cambria"/>
          <w:sz w:val="16"/>
          <w:szCs w:val="16"/>
          <w:lang w:val="es-ES_tradnl"/>
        </w:rPr>
        <w:t xml:space="preserve"> Sentencia de 31 de agosto de 2017. Serie C No. 341. </w:t>
      </w:r>
      <w:r w:rsidRPr="00E0758D">
        <w:rPr>
          <w:rFonts w:ascii="Cambria" w:hAnsi="Cambria"/>
          <w:sz w:val="16"/>
          <w:szCs w:val="16"/>
          <w:lang w:val="es-CO"/>
        </w:rPr>
        <w:t>Párr 72.</w:t>
      </w:r>
    </w:p>
  </w:footnote>
  <w:footnote w:id="22">
    <w:p w14:paraId="073DAF4B" w14:textId="65E359F1" w:rsidR="002F4213" w:rsidRPr="00E0758D" w:rsidRDefault="002F4213" w:rsidP="00910A5C">
      <w:pPr>
        <w:pStyle w:val="FootnoteText"/>
        <w:rPr>
          <w:rFonts w:ascii="Cambria" w:hAnsi="Cambria"/>
          <w:sz w:val="16"/>
          <w:szCs w:val="16"/>
          <w:highlight w:val="yellow"/>
          <w:lang w:val="es-CO"/>
        </w:rPr>
      </w:pPr>
      <w:r w:rsidRPr="00E0758D">
        <w:rPr>
          <w:rStyle w:val="FootnoteReference"/>
          <w:rFonts w:ascii="Cambria" w:hAnsi="Cambria"/>
          <w:sz w:val="16"/>
          <w:szCs w:val="16"/>
        </w:rPr>
        <w:footnoteRef/>
      </w:r>
      <w:r w:rsidRPr="00E0758D">
        <w:rPr>
          <w:rFonts w:ascii="Cambria" w:hAnsi="Cambria"/>
          <w:sz w:val="16"/>
          <w:szCs w:val="16"/>
          <w:lang w:val="es-CO"/>
        </w:rPr>
        <w:t xml:space="preserve"> </w:t>
      </w:r>
      <w:r w:rsidRPr="00E0758D">
        <w:rPr>
          <w:rFonts w:ascii="Cambria" w:hAnsi="Cambria"/>
          <w:sz w:val="16"/>
          <w:szCs w:val="16"/>
          <w:lang w:val="es-ES_tradnl"/>
        </w:rPr>
        <w:t xml:space="preserve">Corte IDH, </w:t>
      </w:r>
      <w:r w:rsidRPr="00E0758D">
        <w:rPr>
          <w:rFonts w:ascii="Cambria" w:hAnsi="Cambria"/>
          <w:i/>
          <w:sz w:val="16"/>
          <w:szCs w:val="16"/>
          <w:lang w:val="es-ES_tradnl"/>
        </w:rPr>
        <w:t>Caso Vereda La Esperanza Vs. Colombia</w:t>
      </w:r>
      <w:r w:rsidRPr="00E0758D">
        <w:rPr>
          <w:rFonts w:ascii="Cambria" w:hAnsi="Cambria"/>
          <w:sz w:val="16"/>
          <w:szCs w:val="16"/>
          <w:lang w:val="es-ES_tradnl"/>
        </w:rPr>
        <w:t>. Excepción Preliminar, Fondo, Reparaciones y Costas</w:t>
      </w:r>
      <w:r w:rsidRPr="00E0758D">
        <w:rPr>
          <w:rFonts w:ascii="Cambria" w:hAnsi="Cambria"/>
          <w:i/>
          <w:sz w:val="16"/>
          <w:szCs w:val="16"/>
          <w:lang w:val="es-ES_tradnl"/>
        </w:rPr>
        <w:t>.</w:t>
      </w:r>
      <w:r w:rsidRPr="00E0758D">
        <w:rPr>
          <w:rFonts w:ascii="Cambria" w:hAnsi="Cambria"/>
          <w:sz w:val="16"/>
          <w:szCs w:val="16"/>
          <w:lang w:val="es-ES_tradnl"/>
        </w:rPr>
        <w:t xml:space="preserve"> Sentencia de 31 de agosto de 2017. Serie C No. 341. </w:t>
      </w:r>
      <w:r w:rsidRPr="00E0758D">
        <w:rPr>
          <w:rFonts w:ascii="Cambria" w:hAnsi="Cambria"/>
          <w:sz w:val="16"/>
          <w:szCs w:val="16"/>
          <w:lang w:val="es-CO"/>
        </w:rPr>
        <w:t>Párr 72-73.</w:t>
      </w:r>
    </w:p>
  </w:footnote>
  <w:footnote w:id="23">
    <w:p w14:paraId="1B54C862" w14:textId="77777777" w:rsidR="002F4213" w:rsidRPr="00E0758D" w:rsidRDefault="002F4213" w:rsidP="00910A5C">
      <w:pPr>
        <w:pStyle w:val="FootnoteText"/>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sidRPr="00E0758D">
        <w:rPr>
          <w:rFonts w:ascii="Cambria" w:hAnsi="Cambria"/>
          <w:sz w:val="16"/>
          <w:szCs w:val="16"/>
          <w:lang w:val="es-ES_tradnl"/>
        </w:rPr>
        <w:t>Escrito de la parte peticionaria del 15 de agosto de 2006.</w:t>
      </w:r>
    </w:p>
  </w:footnote>
  <w:footnote w:id="24">
    <w:p w14:paraId="53D69F4D" w14:textId="035E59EF" w:rsidR="002F4213" w:rsidRPr="00E0758D" w:rsidRDefault="002F4213" w:rsidP="00910A5C">
      <w:pPr>
        <w:pStyle w:val="FootnoteText"/>
        <w:rPr>
          <w:rFonts w:ascii="Cambria" w:hAnsi="Cambria"/>
          <w:sz w:val="16"/>
          <w:szCs w:val="16"/>
          <w:lang w:val="es-CO"/>
        </w:rPr>
      </w:pPr>
      <w:r w:rsidRPr="00E0758D">
        <w:rPr>
          <w:rStyle w:val="FootnoteReference"/>
          <w:rFonts w:ascii="Cambria" w:hAnsi="Cambria"/>
          <w:sz w:val="16"/>
          <w:szCs w:val="16"/>
        </w:rPr>
        <w:footnoteRef/>
      </w:r>
      <w:r>
        <w:rPr>
          <w:rFonts w:ascii="Cambria" w:hAnsi="Cambria"/>
          <w:sz w:val="16"/>
          <w:szCs w:val="16"/>
          <w:lang w:val="es-CO"/>
        </w:rPr>
        <w:t xml:space="preserve"> Anexo 1</w:t>
      </w:r>
      <w:r w:rsidRPr="00E0758D">
        <w:rPr>
          <w:rFonts w:ascii="Cambria" w:hAnsi="Cambria"/>
          <w:sz w:val="16"/>
          <w:szCs w:val="16"/>
          <w:lang w:val="es-CO"/>
        </w:rPr>
        <w:t xml:space="preserve">. Sentencia con </w:t>
      </w:r>
      <w:r w:rsidRPr="00E0758D">
        <w:rPr>
          <w:rFonts w:ascii="Cambria" w:hAnsi="Cambria"/>
          <w:sz w:val="16"/>
          <w:szCs w:val="16"/>
          <w:lang w:val="es-ES"/>
        </w:rPr>
        <w:t>radicado 110016000253200680012 del Tribunal Superior de Bogotá, Sala de Justicia y Paz, Magistrada Ponente: Uldi Teresa Jiménez López, procesado Rodrigo Pérez Alzate. Delitos: Homicidio en per</w:t>
      </w:r>
      <w:r>
        <w:rPr>
          <w:rFonts w:ascii="Cambria" w:hAnsi="Cambria"/>
          <w:sz w:val="16"/>
          <w:szCs w:val="16"/>
          <w:lang w:val="es-ES"/>
        </w:rPr>
        <w:t>sona protegida y otros. Anexo</w:t>
      </w:r>
      <w:r w:rsidRPr="00E0758D">
        <w:rPr>
          <w:rFonts w:ascii="Cambria" w:hAnsi="Cambria"/>
          <w:sz w:val="16"/>
          <w:szCs w:val="16"/>
          <w:lang w:val="es-ES"/>
        </w:rPr>
        <w:t xml:space="preserve"> a los alegatos de fondo conjuntos presentados por la parte peticionaria el 7 de diciembre de 2018.</w:t>
      </w:r>
    </w:p>
  </w:footnote>
  <w:footnote w:id="25">
    <w:p w14:paraId="1E981173" w14:textId="77777777" w:rsidR="002F4213" w:rsidRPr="00E0758D" w:rsidRDefault="002F4213" w:rsidP="00910A5C">
      <w:pPr>
        <w:pStyle w:val="FootnoteText"/>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ES"/>
        </w:rPr>
        <w:t xml:space="preserve"> La Comisión no conoce sus datos de identificación. </w:t>
      </w:r>
    </w:p>
  </w:footnote>
  <w:footnote w:id="26">
    <w:p w14:paraId="4CBF8DF8" w14:textId="150B7E75" w:rsidR="002F4213" w:rsidRPr="00E0758D" w:rsidRDefault="002F4213" w:rsidP="00910A5C">
      <w:pPr>
        <w:pStyle w:val="FootnoteText"/>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ES_tradnl"/>
        </w:rPr>
        <w:t>Anexo 2</w:t>
      </w:r>
      <w:r w:rsidRPr="00E0758D">
        <w:rPr>
          <w:rFonts w:ascii="Cambria" w:hAnsi="Cambria"/>
          <w:sz w:val="16"/>
          <w:szCs w:val="16"/>
          <w:lang w:val="es-ES_tradnl"/>
        </w:rPr>
        <w:t xml:space="preserve">. Declaración rendida por Ana Eugenia Rojas de Moreno ante la Fiscalía Especializada el </w:t>
      </w:r>
      <w:r>
        <w:rPr>
          <w:rFonts w:ascii="Cambria" w:hAnsi="Cambria"/>
          <w:sz w:val="16"/>
          <w:szCs w:val="16"/>
          <w:lang w:val="es-ES_tradnl"/>
        </w:rPr>
        <w:t xml:space="preserve">2 de diciembre de 1999. Anexo </w:t>
      </w:r>
      <w:r w:rsidRPr="00E0758D">
        <w:rPr>
          <w:rFonts w:ascii="Cambria" w:hAnsi="Cambria"/>
          <w:sz w:val="16"/>
          <w:szCs w:val="16"/>
          <w:lang w:val="es-ES_tradnl"/>
        </w:rPr>
        <w:t>al escrito de la parte peticionaria del 15 de agosto de 2006.</w:t>
      </w:r>
    </w:p>
  </w:footnote>
  <w:footnote w:id="27">
    <w:p w14:paraId="113C7821" w14:textId="11CCEF2C" w:rsidR="002F4213" w:rsidRPr="00E0758D" w:rsidRDefault="002F4213" w:rsidP="00910A5C">
      <w:pPr>
        <w:pStyle w:val="FootnoteText"/>
        <w:rPr>
          <w:rFonts w:ascii="Cambria" w:hAnsi="Cambria"/>
          <w:sz w:val="16"/>
          <w:szCs w:val="16"/>
          <w:lang w:val="es-ES"/>
        </w:rPr>
      </w:pPr>
      <w:r w:rsidRPr="00E0758D">
        <w:rPr>
          <w:rStyle w:val="FootnoteReference"/>
          <w:rFonts w:ascii="Cambria" w:hAnsi="Cambria"/>
          <w:sz w:val="16"/>
          <w:szCs w:val="16"/>
        </w:rPr>
        <w:footnoteRef/>
      </w:r>
      <w:r>
        <w:rPr>
          <w:rFonts w:ascii="Cambria" w:hAnsi="Cambria"/>
          <w:sz w:val="16"/>
          <w:szCs w:val="16"/>
          <w:lang w:val="es-ES"/>
        </w:rPr>
        <w:t xml:space="preserve"> Anexo 3</w:t>
      </w:r>
      <w:r w:rsidRPr="00E0758D">
        <w:rPr>
          <w:rFonts w:ascii="Cambria" w:hAnsi="Cambria"/>
          <w:sz w:val="16"/>
          <w:szCs w:val="16"/>
          <w:lang w:val="es-ES"/>
        </w:rPr>
        <w:t>. Acción Pública de hábeas corpus. No.005 de noviembre 30 de 1999. Solicitante Noraida Quiroga Medina. Ofendidos: Édgar Quir</w:t>
      </w:r>
      <w:r>
        <w:rPr>
          <w:rFonts w:ascii="Cambria" w:hAnsi="Cambria"/>
          <w:sz w:val="16"/>
          <w:szCs w:val="16"/>
          <w:lang w:val="es-ES"/>
        </w:rPr>
        <w:t>oga y Gildardo Fuentes. Anexo</w:t>
      </w:r>
      <w:r w:rsidRPr="00E0758D">
        <w:rPr>
          <w:rFonts w:ascii="Cambria" w:hAnsi="Cambria"/>
          <w:sz w:val="16"/>
          <w:szCs w:val="16"/>
          <w:lang w:val="es-ES"/>
        </w:rPr>
        <w:t xml:space="preserve"> al </w:t>
      </w:r>
      <w:r w:rsidRPr="00E0758D">
        <w:rPr>
          <w:rFonts w:ascii="Cambria" w:hAnsi="Cambria"/>
          <w:sz w:val="16"/>
          <w:szCs w:val="16"/>
          <w:lang w:val="es-CO"/>
        </w:rPr>
        <w:t>escrito de la parte peticionaria del 1 de julio de 2011.</w:t>
      </w:r>
    </w:p>
  </w:footnote>
  <w:footnote w:id="28">
    <w:p w14:paraId="4AE224F2" w14:textId="77777777" w:rsidR="002F4213" w:rsidRPr="00E0758D" w:rsidRDefault="002F4213" w:rsidP="00910A5C">
      <w:pPr>
        <w:pStyle w:val="FootnoteText"/>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sidRPr="00E0758D">
        <w:rPr>
          <w:rFonts w:ascii="Cambria" w:hAnsi="Cambria"/>
          <w:sz w:val="16"/>
          <w:szCs w:val="16"/>
          <w:lang w:val="es-ES_tradnl"/>
        </w:rPr>
        <w:t>Escrito de la parte peticionaria del 15 de agosto de 2006.</w:t>
      </w:r>
    </w:p>
  </w:footnote>
  <w:footnote w:id="29">
    <w:p w14:paraId="60B02C48" w14:textId="5018D30B" w:rsidR="002F4213" w:rsidRPr="00E0758D" w:rsidRDefault="002F4213" w:rsidP="00910A5C">
      <w:pPr>
        <w:pStyle w:val="FootnoteText"/>
        <w:jc w:val="both"/>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CO"/>
        </w:rPr>
        <w:t xml:space="preserve"> </w:t>
      </w:r>
      <w:r>
        <w:rPr>
          <w:rFonts w:ascii="Cambria" w:hAnsi="Cambria"/>
          <w:sz w:val="16"/>
          <w:szCs w:val="16"/>
          <w:lang w:val="es-CO"/>
        </w:rPr>
        <w:t xml:space="preserve">Anexo 4. </w:t>
      </w:r>
      <w:r w:rsidRPr="00E0758D">
        <w:rPr>
          <w:rFonts w:ascii="Cambria" w:hAnsi="Cambria"/>
          <w:sz w:val="16"/>
          <w:szCs w:val="16"/>
          <w:lang w:val="es-CO"/>
        </w:rPr>
        <w:t>Declaración rendida por el señor Gildardo Fuentes Delgado ante el Cuerpo Técnico de Investigaciones el 24 de noviembre de 1999. Documento anexo al escrito de los peticionarios del 1 de julio de 2011, donde contestan comunicación del 27 de mayo de 2011 ante la CIDH.</w:t>
      </w:r>
    </w:p>
  </w:footnote>
  <w:footnote w:id="30">
    <w:p w14:paraId="034955AF" w14:textId="7F56727E" w:rsidR="002F4213" w:rsidRPr="00E0758D" w:rsidRDefault="002F4213" w:rsidP="00910A5C">
      <w:pPr>
        <w:pStyle w:val="FootnoteText"/>
        <w:jc w:val="both"/>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CO"/>
        </w:rPr>
        <w:t>Anexo 4</w:t>
      </w:r>
      <w:r w:rsidRPr="00E0758D">
        <w:rPr>
          <w:rFonts w:ascii="Cambria" w:hAnsi="Cambria"/>
          <w:sz w:val="16"/>
          <w:szCs w:val="16"/>
          <w:lang w:val="es-CO"/>
        </w:rPr>
        <w:t xml:space="preserve">. Declaración rendida por Gildardo Fuentes Delgado </w:t>
      </w:r>
      <w:r w:rsidRPr="00E0758D">
        <w:rPr>
          <w:rFonts w:ascii="Cambria" w:hAnsi="Cambria"/>
          <w:sz w:val="16"/>
          <w:szCs w:val="16"/>
          <w:lang w:val="es-ES_tradnl"/>
        </w:rPr>
        <w:t xml:space="preserve">ante el Cuerpo Técnico de Investigación </w:t>
      </w:r>
      <w:r w:rsidRPr="00E0758D">
        <w:rPr>
          <w:rFonts w:ascii="Cambria" w:hAnsi="Cambria"/>
          <w:sz w:val="16"/>
          <w:szCs w:val="16"/>
          <w:lang w:val="es-CO"/>
        </w:rPr>
        <w:t>el 2</w:t>
      </w:r>
      <w:r>
        <w:rPr>
          <w:rFonts w:ascii="Cambria" w:hAnsi="Cambria"/>
          <w:sz w:val="16"/>
          <w:szCs w:val="16"/>
          <w:lang w:val="es-CO"/>
        </w:rPr>
        <w:t xml:space="preserve">4 de noviembre de 1999. </w:t>
      </w:r>
    </w:p>
  </w:footnote>
  <w:footnote w:id="31">
    <w:p w14:paraId="0AE3E5B6" w14:textId="685E839C" w:rsidR="002F4213" w:rsidRPr="00E0758D" w:rsidRDefault="002F4213" w:rsidP="00910A5C">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ES_tradnl"/>
        </w:rPr>
        <w:t>Anexo 4</w:t>
      </w:r>
      <w:r w:rsidRPr="00E0758D">
        <w:rPr>
          <w:rFonts w:ascii="Cambria" w:hAnsi="Cambria"/>
          <w:sz w:val="16"/>
          <w:szCs w:val="16"/>
          <w:lang w:val="es-ES_tradnl"/>
        </w:rPr>
        <w:t>. Declaración rendida por Gildardo Fuentes Delgado ante el Cuerpo Técnico de Investigación el 2</w:t>
      </w:r>
      <w:r>
        <w:rPr>
          <w:rFonts w:ascii="Cambria" w:hAnsi="Cambria"/>
          <w:sz w:val="16"/>
          <w:szCs w:val="16"/>
          <w:lang w:val="es-ES_tradnl"/>
        </w:rPr>
        <w:t>4 de noviembre de 1999. Anexo</w:t>
      </w:r>
      <w:r w:rsidRPr="00E0758D">
        <w:rPr>
          <w:rFonts w:ascii="Cambria" w:hAnsi="Cambria"/>
          <w:sz w:val="16"/>
          <w:szCs w:val="16"/>
          <w:lang w:val="es-ES_tradnl"/>
        </w:rPr>
        <w:t xml:space="preserve"> al escrito de la parte peticionaria del 15 de agosto de 2006.</w:t>
      </w:r>
    </w:p>
  </w:footnote>
  <w:footnote w:id="32">
    <w:p w14:paraId="3E263143" w14:textId="30D36680" w:rsidR="002F4213" w:rsidRPr="00E0758D" w:rsidRDefault="002F4213" w:rsidP="00910A5C">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sidRPr="00E0758D">
        <w:rPr>
          <w:rFonts w:ascii="Cambria" w:hAnsi="Cambria"/>
          <w:sz w:val="16"/>
          <w:szCs w:val="16"/>
          <w:lang w:val="es-ES_tradnl"/>
        </w:rPr>
        <w:t>Anexo</w:t>
      </w:r>
      <w:r>
        <w:rPr>
          <w:rFonts w:ascii="Cambria" w:hAnsi="Cambria"/>
          <w:sz w:val="16"/>
          <w:szCs w:val="16"/>
          <w:lang w:val="es-ES_tradnl"/>
        </w:rPr>
        <w:t xml:space="preserve"> 4</w:t>
      </w:r>
      <w:r w:rsidRPr="00E0758D">
        <w:rPr>
          <w:rFonts w:ascii="Cambria" w:hAnsi="Cambria"/>
          <w:sz w:val="16"/>
          <w:szCs w:val="16"/>
          <w:lang w:val="es-ES_tradnl"/>
        </w:rPr>
        <w:t>. Declaración rendida por Gildardo Fuentes Delgado ante el Cuerpo Técnico de Investigación el 2</w:t>
      </w:r>
      <w:r>
        <w:rPr>
          <w:rFonts w:ascii="Cambria" w:hAnsi="Cambria"/>
          <w:sz w:val="16"/>
          <w:szCs w:val="16"/>
          <w:lang w:val="es-ES_tradnl"/>
        </w:rPr>
        <w:t>4 de noviembre de 1999. Anexo</w:t>
      </w:r>
      <w:r w:rsidRPr="00E0758D">
        <w:rPr>
          <w:rFonts w:ascii="Cambria" w:hAnsi="Cambria"/>
          <w:sz w:val="16"/>
          <w:szCs w:val="16"/>
          <w:lang w:val="es-ES_tradnl"/>
        </w:rPr>
        <w:t xml:space="preserve"> al escrito de la parte peticionaria del 15 de agosto de 2006.</w:t>
      </w:r>
    </w:p>
  </w:footnote>
  <w:footnote w:id="33">
    <w:p w14:paraId="18A91824" w14:textId="340672F7" w:rsidR="002F4213" w:rsidRPr="00E0758D" w:rsidRDefault="002F4213" w:rsidP="00910A5C">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ES_tradnl"/>
        </w:rPr>
        <w:t>Anexo 4</w:t>
      </w:r>
      <w:r w:rsidRPr="00E0758D">
        <w:rPr>
          <w:rFonts w:ascii="Cambria" w:hAnsi="Cambria"/>
          <w:sz w:val="16"/>
          <w:szCs w:val="16"/>
          <w:lang w:val="es-ES_tradnl"/>
        </w:rPr>
        <w:t>. Declaración rendida por Gildardo Fuentes Delgado ante el Cuerpo Técnico de Investigación el 2</w:t>
      </w:r>
      <w:r>
        <w:rPr>
          <w:rFonts w:ascii="Cambria" w:hAnsi="Cambria"/>
          <w:sz w:val="16"/>
          <w:szCs w:val="16"/>
          <w:lang w:val="es-ES_tradnl"/>
        </w:rPr>
        <w:t>4 de noviembre de 1999. Anexo</w:t>
      </w:r>
      <w:r w:rsidRPr="00E0758D">
        <w:rPr>
          <w:rFonts w:ascii="Cambria" w:hAnsi="Cambria"/>
          <w:sz w:val="16"/>
          <w:szCs w:val="16"/>
          <w:lang w:val="es-ES_tradnl"/>
        </w:rPr>
        <w:t xml:space="preserve"> al escrito de la parte peticionaria del 15 de agosto de 2006.</w:t>
      </w:r>
    </w:p>
  </w:footnote>
  <w:footnote w:id="34">
    <w:p w14:paraId="0FEC1C60" w14:textId="4D35CC9E" w:rsidR="002F4213" w:rsidRPr="00E0758D" w:rsidRDefault="002F4213" w:rsidP="00910A5C">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ES_tradnl"/>
        </w:rPr>
        <w:t>Anexo 5</w:t>
      </w:r>
      <w:r w:rsidRPr="00E0758D">
        <w:rPr>
          <w:rFonts w:ascii="Cambria" w:hAnsi="Cambria"/>
          <w:sz w:val="16"/>
          <w:szCs w:val="16"/>
          <w:lang w:val="es-ES_tradnl"/>
        </w:rPr>
        <w:t>. Declaración rendida por Gildardo Fuentes Delgado ante la Dirección Nacional de Investigaciones Especiales Unidad de Derechos Humanos el 2</w:t>
      </w:r>
      <w:r>
        <w:rPr>
          <w:rFonts w:ascii="Cambria" w:hAnsi="Cambria"/>
          <w:sz w:val="16"/>
          <w:szCs w:val="16"/>
          <w:lang w:val="es-ES_tradnl"/>
        </w:rPr>
        <w:t>6 de noviembre de 1999. Anexo</w:t>
      </w:r>
      <w:r w:rsidRPr="00E0758D">
        <w:rPr>
          <w:rFonts w:ascii="Cambria" w:hAnsi="Cambria"/>
          <w:sz w:val="16"/>
          <w:szCs w:val="16"/>
          <w:lang w:val="es-ES_tradnl"/>
        </w:rPr>
        <w:t xml:space="preserve"> al escrito de la parte peticionaria del 1 de julio de 2011.</w:t>
      </w:r>
    </w:p>
  </w:footnote>
  <w:footnote w:id="35">
    <w:p w14:paraId="6AD2CCD8" w14:textId="79FD8F1D" w:rsidR="002F4213" w:rsidRPr="00E0758D" w:rsidRDefault="002F4213" w:rsidP="00910A5C">
      <w:pPr>
        <w:pStyle w:val="FootnoteText"/>
        <w:jc w:val="both"/>
        <w:rPr>
          <w:rFonts w:ascii="Cambria" w:hAnsi="Cambria"/>
          <w:sz w:val="16"/>
          <w:szCs w:val="16"/>
          <w:lang w:val="es-MX"/>
        </w:rPr>
      </w:pPr>
      <w:r w:rsidRPr="00E0758D">
        <w:rPr>
          <w:rStyle w:val="FootnoteReference"/>
          <w:rFonts w:ascii="Cambria" w:hAnsi="Cambria"/>
          <w:sz w:val="16"/>
          <w:szCs w:val="16"/>
        </w:rPr>
        <w:footnoteRef/>
      </w:r>
      <w:r>
        <w:rPr>
          <w:rFonts w:ascii="Cambria" w:hAnsi="Cambria"/>
          <w:sz w:val="16"/>
          <w:szCs w:val="16"/>
          <w:lang w:val="es-MX"/>
        </w:rPr>
        <w:t xml:space="preserve"> Anexo 6</w:t>
      </w:r>
      <w:r w:rsidRPr="00E0758D">
        <w:rPr>
          <w:rFonts w:ascii="Cambria" w:hAnsi="Cambria"/>
          <w:sz w:val="16"/>
          <w:szCs w:val="16"/>
          <w:lang w:val="es-MX"/>
        </w:rPr>
        <w:t xml:space="preserve">. </w:t>
      </w:r>
      <w:r w:rsidRPr="00E0758D">
        <w:rPr>
          <w:rFonts w:ascii="Cambria" w:hAnsi="Cambria"/>
          <w:sz w:val="16"/>
          <w:szCs w:val="16"/>
          <w:lang w:val="es-CO"/>
        </w:rPr>
        <w:t>Denuncia de violación de derechos humanos y Operación Anaconda presentada por Edgar Quiroga ante la Procuraduría General de la Nación el 2</w:t>
      </w:r>
      <w:r>
        <w:rPr>
          <w:rFonts w:ascii="Cambria" w:hAnsi="Cambria"/>
          <w:sz w:val="16"/>
          <w:szCs w:val="16"/>
          <w:lang w:val="es-CO"/>
        </w:rPr>
        <w:t>6 de noviembre de 1999. Anexo</w:t>
      </w:r>
      <w:r w:rsidRPr="00E0758D">
        <w:rPr>
          <w:rFonts w:ascii="Cambria" w:hAnsi="Cambria"/>
          <w:sz w:val="16"/>
          <w:szCs w:val="16"/>
          <w:lang w:val="es-CO"/>
        </w:rPr>
        <w:t xml:space="preserve"> al escrito de la parte peticionaria del 15 de agosto de 2006.</w:t>
      </w:r>
    </w:p>
  </w:footnote>
  <w:footnote w:id="36">
    <w:p w14:paraId="34097893" w14:textId="3C2BB343" w:rsidR="002F4213" w:rsidRPr="00E0758D" w:rsidRDefault="002F4213" w:rsidP="00910A5C">
      <w:pPr>
        <w:pStyle w:val="FootnoteText"/>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CO"/>
        </w:rPr>
        <w:t xml:space="preserve"> </w:t>
      </w:r>
      <w:r>
        <w:rPr>
          <w:rFonts w:ascii="Cambria" w:hAnsi="Cambria"/>
          <w:sz w:val="16"/>
          <w:szCs w:val="16"/>
          <w:lang w:val="es-MX"/>
        </w:rPr>
        <w:t>Anexo 6</w:t>
      </w:r>
      <w:r w:rsidRPr="00E0758D">
        <w:rPr>
          <w:rFonts w:ascii="Cambria" w:hAnsi="Cambria"/>
          <w:sz w:val="16"/>
          <w:szCs w:val="16"/>
          <w:lang w:val="es-MX"/>
        </w:rPr>
        <w:t xml:space="preserve">. </w:t>
      </w:r>
      <w:r w:rsidRPr="00E0758D">
        <w:rPr>
          <w:rFonts w:ascii="Cambria" w:hAnsi="Cambria"/>
          <w:sz w:val="16"/>
          <w:szCs w:val="16"/>
          <w:lang w:val="es-CO"/>
        </w:rPr>
        <w:t>Denuncia de violación de derechos humanos y Operación Anaconda presentada por Edgar Quiroga ante la Procuraduría General de la Nación el 2</w:t>
      </w:r>
      <w:r>
        <w:rPr>
          <w:rFonts w:ascii="Cambria" w:hAnsi="Cambria"/>
          <w:sz w:val="16"/>
          <w:szCs w:val="16"/>
          <w:lang w:val="es-CO"/>
        </w:rPr>
        <w:t>6 de noviembre de 1999. Anexo</w:t>
      </w:r>
      <w:r w:rsidRPr="00E0758D">
        <w:rPr>
          <w:rFonts w:ascii="Cambria" w:hAnsi="Cambria"/>
          <w:sz w:val="16"/>
          <w:szCs w:val="16"/>
          <w:lang w:val="es-CO"/>
        </w:rPr>
        <w:t xml:space="preserve"> al escrito de la parte peticionaria del 1 de julio de 2011.</w:t>
      </w:r>
    </w:p>
  </w:footnote>
  <w:footnote w:id="37">
    <w:p w14:paraId="520CDB08" w14:textId="74A8E71D" w:rsidR="002F4213" w:rsidRPr="00E0758D" w:rsidRDefault="002F4213" w:rsidP="00910A5C">
      <w:pPr>
        <w:pStyle w:val="FootnoteText"/>
        <w:jc w:val="both"/>
        <w:rPr>
          <w:rFonts w:ascii="Cambria" w:hAnsi="Cambria"/>
          <w:sz w:val="16"/>
          <w:szCs w:val="16"/>
          <w:lang w:val="es-CO"/>
        </w:rPr>
      </w:pPr>
      <w:r w:rsidRPr="00E0758D">
        <w:rPr>
          <w:rStyle w:val="FootnoteReference"/>
          <w:rFonts w:ascii="Cambria" w:hAnsi="Cambria"/>
          <w:sz w:val="16"/>
          <w:szCs w:val="16"/>
        </w:rPr>
        <w:footnoteRef/>
      </w:r>
      <w:r>
        <w:rPr>
          <w:rFonts w:ascii="Cambria" w:hAnsi="Cambria"/>
          <w:sz w:val="16"/>
          <w:szCs w:val="16"/>
          <w:lang w:val="es-CO"/>
        </w:rPr>
        <w:t xml:space="preserve"> Anexo 6.</w:t>
      </w:r>
      <w:r w:rsidRPr="00E0758D">
        <w:rPr>
          <w:rFonts w:ascii="Cambria" w:hAnsi="Cambria"/>
          <w:sz w:val="16"/>
          <w:szCs w:val="16"/>
          <w:lang w:val="es-CO"/>
        </w:rPr>
        <w:t xml:space="preserve"> Denuncia de violación de derechos humanos y Operación Anaconda presentada por Edgar Quiroga ante la Procuraduría General de la Nación el 26 de nov</w:t>
      </w:r>
      <w:r>
        <w:rPr>
          <w:rFonts w:ascii="Cambria" w:hAnsi="Cambria"/>
          <w:sz w:val="16"/>
          <w:szCs w:val="16"/>
          <w:lang w:val="es-CO"/>
        </w:rPr>
        <w:t xml:space="preserve">iembre de 1999. Anexo </w:t>
      </w:r>
      <w:r w:rsidRPr="00E0758D">
        <w:rPr>
          <w:rFonts w:ascii="Cambria" w:hAnsi="Cambria"/>
          <w:sz w:val="16"/>
          <w:szCs w:val="16"/>
          <w:lang w:val="es-CO"/>
        </w:rPr>
        <w:t>al escrito de la parte peticionaria del 1 de julio de 2011.</w:t>
      </w:r>
    </w:p>
  </w:footnote>
  <w:footnote w:id="38">
    <w:p w14:paraId="720F2BEE" w14:textId="5BD4247B" w:rsidR="002F4213" w:rsidRPr="00E0758D" w:rsidRDefault="002F4213" w:rsidP="00910A5C">
      <w:pPr>
        <w:pStyle w:val="FootnoteText"/>
        <w:jc w:val="both"/>
        <w:rPr>
          <w:rFonts w:ascii="Cambria" w:hAnsi="Cambria"/>
          <w:sz w:val="16"/>
          <w:szCs w:val="16"/>
          <w:lang w:val="es-CO"/>
        </w:rPr>
      </w:pPr>
      <w:r w:rsidRPr="00E0758D">
        <w:rPr>
          <w:rStyle w:val="FootnoteReference"/>
          <w:rFonts w:ascii="Cambria" w:hAnsi="Cambria"/>
          <w:sz w:val="16"/>
          <w:szCs w:val="16"/>
        </w:rPr>
        <w:footnoteRef/>
      </w:r>
      <w:r>
        <w:rPr>
          <w:rFonts w:ascii="Cambria" w:hAnsi="Cambria"/>
          <w:sz w:val="16"/>
          <w:szCs w:val="16"/>
          <w:lang w:val="es-CO"/>
        </w:rPr>
        <w:t xml:space="preserve"> Anexo 6</w:t>
      </w:r>
      <w:r w:rsidRPr="00E0758D">
        <w:rPr>
          <w:rFonts w:ascii="Cambria" w:hAnsi="Cambria"/>
          <w:sz w:val="16"/>
          <w:szCs w:val="16"/>
          <w:lang w:val="es-CO"/>
        </w:rPr>
        <w:t>. Denuncia de violación de derechos humanos y Operación Anaconda presentada por Edgar Quiroga ante la Procuraduría General de la Nación el 25 de noviembre de 199</w:t>
      </w:r>
      <w:r>
        <w:rPr>
          <w:rFonts w:ascii="Cambria" w:hAnsi="Cambria"/>
          <w:sz w:val="16"/>
          <w:szCs w:val="16"/>
          <w:lang w:val="es-CO"/>
        </w:rPr>
        <w:t>9. Anexo</w:t>
      </w:r>
      <w:r w:rsidRPr="00E0758D">
        <w:rPr>
          <w:rFonts w:ascii="Cambria" w:hAnsi="Cambria"/>
          <w:sz w:val="16"/>
          <w:szCs w:val="16"/>
          <w:lang w:val="es-CO"/>
        </w:rPr>
        <w:t xml:space="preserve"> al escrito de la parte peticionaria del 15 de agosto de 2006. </w:t>
      </w:r>
    </w:p>
  </w:footnote>
  <w:footnote w:id="39">
    <w:p w14:paraId="4FAB70B8" w14:textId="725608C4" w:rsidR="002F4213" w:rsidRPr="00E0758D" w:rsidRDefault="002F4213" w:rsidP="00910A5C">
      <w:pPr>
        <w:pStyle w:val="FootnoteText"/>
        <w:rPr>
          <w:rFonts w:ascii="Cambria" w:hAnsi="Cambria"/>
          <w:sz w:val="16"/>
          <w:szCs w:val="16"/>
          <w:lang w:val="es-CO"/>
        </w:rPr>
      </w:pPr>
      <w:r w:rsidRPr="00E0758D">
        <w:rPr>
          <w:rStyle w:val="FootnoteReference"/>
          <w:rFonts w:ascii="Cambria" w:hAnsi="Cambria"/>
          <w:sz w:val="16"/>
          <w:szCs w:val="16"/>
        </w:rPr>
        <w:footnoteRef/>
      </w:r>
      <w:r w:rsidRPr="00E0758D">
        <w:rPr>
          <w:rFonts w:ascii="Cambria" w:hAnsi="Cambria"/>
          <w:sz w:val="16"/>
          <w:szCs w:val="16"/>
          <w:lang w:val="es-MX"/>
        </w:rPr>
        <w:t xml:space="preserve"> </w:t>
      </w:r>
      <w:r>
        <w:rPr>
          <w:rFonts w:ascii="Cambria" w:hAnsi="Cambria"/>
          <w:sz w:val="16"/>
          <w:szCs w:val="16"/>
          <w:lang w:val="es-ES"/>
        </w:rPr>
        <w:t>Anexo 7</w:t>
      </w:r>
      <w:r w:rsidRPr="00E0758D">
        <w:rPr>
          <w:rFonts w:ascii="Cambria" w:hAnsi="Cambria"/>
          <w:sz w:val="16"/>
          <w:szCs w:val="16"/>
          <w:lang w:val="es-ES"/>
        </w:rPr>
        <w:t xml:space="preserve">. </w:t>
      </w:r>
      <w:r>
        <w:rPr>
          <w:rFonts w:ascii="Cambria" w:hAnsi="Cambria"/>
          <w:sz w:val="16"/>
          <w:szCs w:val="16"/>
          <w:lang w:val="es-CO"/>
        </w:rPr>
        <w:t>Comisión de bú</w:t>
      </w:r>
      <w:r w:rsidRPr="00E0758D">
        <w:rPr>
          <w:rFonts w:ascii="Cambria" w:hAnsi="Cambria"/>
          <w:sz w:val="16"/>
          <w:szCs w:val="16"/>
          <w:lang w:val="es-CO"/>
        </w:rPr>
        <w:t>squeda de Edgar Quir</w:t>
      </w:r>
      <w:r>
        <w:rPr>
          <w:rFonts w:ascii="Cambria" w:hAnsi="Cambria"/>
          <w:sz w:val="16"/>
          <w:szCs w:val="16"/>
          <w:lang w:val="es-CO"/>
        </w:rPr>
        <w:t>oga y Gildardo Fuentes. Anexo</w:t>
      </w:r>
      <w:r w:rsidRPr="00E0758D">
        <w:rPr>
          <w:rFonts w:ascii="Cambria" w:hAnsi="Cambria"/>
          <w:sz w:val="16"/>
          <w:szCs w:val="16"/>
          <w:lang w:val="es-CO"/>
        </w:rPr>
        <w:t xml:space="preserve"> al escrito de la parte peticionaria del 17 de septiembre de 2001.</w:t>
      </w:r>
    </w:p>
  </w:footnote>
  <w:footnote w:id="40">
    <w:p w14:paraId="71C62327" w14:textId="61D95CE9" w:rsidR="002F4213" w:rsidRPr="00E0758D" w:rsidRDefault="002F4213" w:rsidP="00910A5C">
      <w:pPr>
        <w:pStyle w:val="FootnoteText"/>
        <w:jc w:val="both"/>
        <w:rPr>
          <w:rFonts w:ascii="Cambria" w:hAnsi="Cambria"/>
          <w:sz w:val="16"/>
          <w:szCs w:val="16"/>
          <w:lang w:val="es-CO"/>
        </w:rPr>
      </w:pPr>
      <w:r w:rsidRPr="00E0758D">
        <w:rPr>
          <w:rStyle w:val="FootnoteReference"/>
          <w:rFonts w:ascii="Cambria" w:hAnsi="Cambria"/>
          <w:sz w:val="16"/>
          <w:szCs w:val="16"/>
        </w:rPr>
        <w:footnoteRef/>
      </w:r>
      <w:r>
        <w:rPr>
          <w:rFonts w:ascii="Cambria" w:hAnsi="Cambria"/>
          <w:sz w:val="16"/>
          <w:szCs w:val="16"/>
          <w:lang w:val="es-CO"/>
        </w:rPr>
        <w:t xml:space="preserve"> Anexo 8</w:t>
      </w:r>
      <w:r w:rsidRPr="00E0758D">
        <w:rPr>
          <w:rFonts w:ascii="Cambria" w:hAnsi="Cambria"/>
          <w:sz w:val="16"/>
          <w:szCs w:val="16"/>
          <w:lang w:val="es-CO"/>
        </w:rPr>
        <w:t xml:space="preserve">. Carta dirigida al padre Francisco José de Roux por las Autodefensas Unidas de Colombia el </w:t>
      </w:r>
      <w:r>
        <w:rPr>
          <w:rFonts w:ascii="Cambria" w:hAnsi="Cambria"/>
          <w:sz w:val="16"/>
          <w:szCs w:val="16"/>
          <w:lang w:val="es-CO"/>
        </w:rPr>
        <w:t>4 de diciembre de 1999. Anexo</w:t>
      </w:r>
      <w:r w:rsidRPr="00E0758D">
        <w:rPr>
          <w:rFonts w:ascii="Cambria" w:hAnsi="Cambria"/>
          <w:sz w:val="16"/>
          <w:szCs w:val="16"/>
          <w:lang w:val="es-CO"/>
        </w:rPr>
        <w:t xml:space="preserve"> al escrito de la parte peticionaria del 1 de julio de 2011.</w:t>
      </w:r>
    </w:p>
  </w:footnote>
  <w:footnote w:id="41">
    <w:p w14:paraId="6080F966" w14:textId="2F2285E2" w:rsidR="002F4213" w:rsidRPr="00E0758D" w:rsidRDefault="002F4213" w:rsidP="00910A5C">
      <w:pPr>
        <w:pStyle w:val="FootnoteText"/>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ES_tradnl"/>
        </w:rPr>
        <w:t>Anexo 8</w:t>
      </w:r>
      <w:r w:rsidRPr="00E0758D">
        <w:rPr>
          <w:rFonts w:ascii="Cambria" w:hAnsi="Cambria"/>
          <w:sz w:val="16"/>
          <w:szCs w:val="16"/>
          <w:lang w:val="es-ES_tradnl"/>
        </w:rPr>
        <w:t xml:space="preserve">. </w:t>
      </w:r>
      <w:r w:rsidRPr="00E0758D">
        <w:rPr>
          <w:rFonts w:ascii="Cambria" w:hAnsi="Cambria"/>
          <w:sz w:val="16"/>
          <w:szCs w:val="16"/>
          <w:lang w:val="es-CO"/>
        </w:rPr>
        <w:t xml:space="preserve">Carta dirigida al padre Francisco José de Roux por las Autodefensas Unidas de Colombia el </w:t>
      </w:r>
      <w:r>
        <w:rPr>
          <w:rFonts w:ascii="Cambria" w:hAnsi="Cambria"/>
          <w:sz w:val="16"/>
          <w:szCs w:val="16"/>
          <w:lang w:val="es-CO"/>
        </w:rPr>
        <w:t>4 de diciembre de 1999. Anexo</w:t>
      </w:r>
      <w:r w:rsidRPr="00E0758D">
        <w:rPr>
          <w:rFonts w:ascii="Cambria" w:hAnsi="Cambria"/>
          <w:sz w:val="16"/>
          <w:szCs w:val="16"/>
          <w:lang w:val="es-CO"/>
        </w:rPr>
        <w:t xml:space="preserve"> al escrito de la parte peticionaria del 1 de julio de 2011.</w:t>
      </w:r>
    </w:p>
  </w:footnote>
  <w:footnote w:id="42">
    <w:p w14:paraId="593F8E2C" w14:textId="77777777" w:rsidR="002F4213" w:rsidRPr="00E0758D" w:rsidRDefault="002F4213" w:rsidP="00910A5C">
      <w:pPr>
        <w:pStyle w:val="FootnoteText"/>
        <w:jc w:val="both"/>
        <w:rPr>
          <w:rFonts w:ascii="Cambria" w:hAnsi="Cambria"/>
          <w:sz w:val="16"/>
          <w:szCs w:val="16"/>
          <w:lang w:val="es-CO"/>
        </w:rPr>
      </w:pPr>
      <w:r w:rsidRPr="00E0758D">
        <w:rPr>
          <w:rStyle w:val="FootnoteReference"/>
          <w:rFonts w:ascii="Cambria" w:hAnsi="Cambria"/>
          <w:sz w:val="16"/>
          <w:szCs w:val="16"/>
        </w:rPr>
        <w:footnoteRef/>
      </w:r>
      <w:r w:rsidRPr="00E0758D">
        <w:rPr>
          <w:rFonts w:ascii="Cambria" w:hAnsi="Cambria"/>
          <w:sz w:val="16"/>
          <w:szCs w:val="16"/>
          <w:lang w:val="es-CO"/>
        </w:rPr>
        <w:t xml:space="preserve"> Observaciones del Estado de 1 de septiembre de 2000.</w:t>
      </w:r>
    </w:p>
  </w:footnote>
  <w:footnote w:id="43">
    <w:p w14:paraId="42B375EB" w14:textId="36B5B7BE" w:rsidR="002F4213" w:rsidRPr="00E0758D" w:rsidRDefault="002F4213" w:rsidP="00910A5C">
      <w:pPr>
        <w:pStyle w:val="FootnoteText"/>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Escrito de la parte peticionaria del 17 de Julio de 2001 </w:t>
      </w:r>
      <w:r w:rsidRPr="00E0758D">
        <w:rPr>
          <w:rFonts w:ascii="Cambria" w:hAnsi="Cambria"/>
          <w:sz w:val="16"/>
          <w:szCs w:val="16"/>
          <w:lang w:val="es-ES_tradnl"/>
        </w:rPr>
        <w:t>P.3</w:t>
      </w:r>
    </w:p>
  </w:footnote>
  <w:footnote w:id="44">
    <w:p w14:paraId="763E0353" w14:textId="4A975F37" w:rsidR="002F4213" w:rsidRPr="00E0758D" w:rsidRDefault="002F4213" w:rsidP="00910A5C">
      <w:pPr>
        <w:pStyle w:val="FootnoteText"/>
        <w:jc w:val="both"/>
        <w:rPr>
          <w:rFonts w:ascii="Cambria" w:hAnsi="Cambria"/>
          <w:sz w:val="16"/>
          <w:szCs w:val="16"/>
          <w:lang w:val="es-CO"/>
        </w:rPr>
      </w:pPr>
      <w:r w:rsidRPr="00E0758D">
        <w:rPr>
          <w:rStyle w:val="FootnoteReference"/>
          <w:rFonts w:ascii="Cambria" w:hAnsi="Cambria"/>
          <w:sz w:val="16"/>
          <w:szCs w:val="16"/>
        </w:rPr>
        <w:footnoteRef/>
      </w:r>
      <w:r w:rsidRPr="00E0758D">
        <w:rPr>
          <w:rFonts w:ascii="Cambria" w:hAnsi="Cambria"/>
          <w:sz w:val="16"/>
          <w:szCs w:val="16"/>
          <w:lang w:val="es-CO"/>
        </w:rPr>
        <w:t xml:space="preserve"> Observaciones del Estado del 7 de julio de 2006. Hechos</w:t>
      </w:r>
      <w:r>
        <w:rPr>
          <w:rFonts w:ascii="Cambria" w:hAnsi="Cambria"/>
          <w:sz w:val="16"/>
          <w:szCs w:val="16"/>
          <w:lang w:val="es-CO"/>
        </w:rPr>
        <w:t>,</w:t>
      </w:r>
      <w:r w:rsidRPr="00E0758D">
        <w:rPr>
          <w:rFonts w:ascii="Cambria" w:hAnsi="Cambria"/>
          <w:sz w:val="16"/>
          <w:szCs w:val="16"/>
          <w:lang w:val="es-CO"/>
        </w:rPr>
        <w:t xml:space="preserve"> numeral 10.</w:t>
      </w:r>
    </w:p>
  </w:footnote>
  <w:footnote w:id="45">
    <w:p w14:paraId="1AAE0F20" w14:textId="716E8A91" w:rsidR="002F4213" w:rsidRPr="00E0758D" w:rsidRDefault="002F4213" w:rsidP="00910A5C">
      <w:pPr>
        <w:pStyle w:val="FootnoteText"/>
        <w:rPr>
          <w:rFonts w:ascii="Cambria" w:hAnsi="Cambria"/>
          <w:sz w:val="16"/>
          <w:szCs w:val="16"/>
          <w:lang w:val="es-CO"/>
        </w:rPr>
      </w:pPr>
      <w:r w:rsidRPr="00E0758D">
        <w:rPr>
          <w:rStyle w:val="FootnoteReference"/>
          <w:rFonts w:ascii="Cambria" w:hAnsi="Cambria"/>
          <w:sz w:val="16"/>
          <w:szCs w:val="16"/>
        </w:rPr>
        <w:footnoteRef/>
      </w:r>
      <w:r>
        <w:rPr>
          <w:rFonts w:ascii="Cambria" w:hAnsi="Cambria"/>
          <w:sz w:val="16"/>
          <w:szCs w:val="16"/>
          <w:lang w:val="es-CO"/>
        </w:rPr>
        <w:t xml:space="preserve"> Anexo 7. Comisión de b</w:t>
      </w:r>
      <w:r w:rsidRPr="00E0758D">
        <w:rPr>
          <w:rFonts w:ascii="Cambria" w:hAnsi="Cambria"/>
          <w:sz w:val="16"/>
          <w:szCs w:val="16"/>
          <w:lang w:val="es-CO"/>
        </w:rPr>
        <w:t>úsqueda de Edgar Quir</w:t>
      </w:r>
      <w:r>
        <w:rPr>
          <w:rFonts w:ascii="Cambria" w:hAnsi="Cambria"/>
          <w:sz w:val="16"/>
          <w:szCs w:val="16"/>
          <w:lang w:val="es-CO"/>
        </w:rPr>
        <w:t>oga y Gildardo Fuentes. Anexo</w:t>
      </w:r>
      <w:r w:rsidRPr="00E0758D">
        <w:rPr>
          <w:rFonts w:ascii="Cambria" w:hAnsi="Cambria"/>
          <w:sz w:val="16"/>
          <w:szCs w:val="16"/>
          <w:lang w:val="es-CO"/>
        </w:rPr>
        <w:t xml:space="preserve"> a las observaciones de la parte peticionaria del 17 de septiembre de 2001.</w:t>
      </w:r>
    </w:p>
  </w:footnote>
  <w:footnote w:id="46">
    <w:p w14:paraId="1E663429" w14:textId="7E09F247" w:rsidR="002F4213" w:rsidRPr="00E0758D" w:rsidRDefault="002F4213" w:rsidP="00910A5C">
      <w:pPr>
        <w:pStyle w:val="FootnoteText"/>
        <w:rPr>
          <w:rFonts w:ascii="Cambria" w:hAnsi="Cambria"/>
          <w:sz w:val="16"/>
          <w:szCs w:val="16"/>
          <w:lang w:val="es-CO"/>
        </w:rPr>
      </w:pPr>
      <w:r w:rsidRPr="00E0758D">
        <w:rPr>
          <w:rStyle w:val="FootnoteReference"/>
          <w:rFonts w:ascii="Cambria" w:hAnsi="Cambria"/>
          <w:sz w:val="16"/>
          <w:szCs w:val="16"/>
        </w:rPr>
        <w:footnoteRef/>
      </w:r>
      <w:r>
        <w:rPr>
          <w:rFonts w:ascii="Cambria" w:hAnsi="Cambria"/>
          <w:sz w:val="16"/>
          <w:szCs w:val="16"/>
          <w:lang w:val="es-ES"/>
        </w:rPr>
        <w:t xml:space="preserve"> Anexo 9</w:t>
      </w:r>
      <w:r w:rsidRPr="00E0758D">
        <w:rPr>
          <w:rFonts w:ascii="Cambria" w:hAnsi="Cambria"/>
          <w:sz w:val="16"/>
          <w:szCs w:val="16"/>
          <w:lang w:val="es-ES"/>
        </w:rPr>
        <w:t xml:space="preserve">. Hábeas Corpus del 29 </w:t>
      </w:r>
      <w:r w:rsidRPr="00E0758D">
        <w:rPr>
          <w:rFonts w:ascii="Cambria" w:hAnsi="Cambria" w:cs="Arial"/>
          <w:color w:val="222222"/>
          <w:sz w:val="16"/>
          <w:szCs w:val="16"/>
          <w:shd w:val="clear" w:color="auto" w:fill="FFFFFF"/>
          <w:lang w:val="es-CO"/>
        </w:rPr>
        <w:t xml:space="preserve">noviembre de 1999 </w:t>
      </w:r>
      <w:r w:rsidRPr="00E0758D">
        <w:rPr>
          <w:rFonts w:ascii="Cambria" w:hAnsi="Cambria"/>
          <w:sz w:val="16"/>
          <w:szCs w:val="16"/>
          <w:lang w:val="es-ES"/>
        </w:rPr>
        <w:t>a favor de Edgar Quiroga y Gildardo Fuentes</w:t>
      </w:r>
      <w:r w:rsidRPr="00E0758D">
        <w:rPr>
          <w:rFonts w:ascii="Cambria" w:hAnsi="Cambria" w:cs="Arial"/>
          <w:color w:val="222222"/>
          <w:sz w:val="16"/>
          <w:szCs w:val="16"/>
          <w:shd w:val="clear" w:color="auto" w:fill="FFFFFF"/>
          <w:lang w:val="es-CO"/>
        </w:rPr>
        <w:t xml:space="preserve"> signado por </w:t>
      </w:r>
      <w:r>
        <w:rPr>
          <w:rFonts w:ascii="Cambria" w:hAnsi="Cambria" w:cs="Arial"/>
          <w:color w:val="222222"/>
          <w:sz w:val="16"/>
          <w:szCs w:val="16"/>
          <w:shd w:val="clear" w:color="auto" w:fill="FFFFFF"/>
          <w:lang w:val="es-CO"/>
        </w:rPr>
        <w:t>Noraida Quiroga Medina. Anexo</w:t>
      </w:r>
      <w:r w:rsidRPr="00E0758D">
        <w:rPr>
          <w:rFonts w:ascii="Cambria" w:hAnsi="Cambria" w:cs="Arial"/>
          <w:color w:val="222222"/>
          <w:sz w:val="16"/>
          <w:szCs w:val="16"/>
          <w:shd w:val="clear" w:color="auto" w:fill="FFFFFF"/>
          <w:lang w:val="es-CO"/>
        </w:rPr>
        <w:t xml:space="preserve"> al escrito de la parte peticionaria del 17 de septiembre de 2001.</w:t>
      </w:r>
    </w:p>
  </w:footnote>
  <w:footnote w:id="47">
    <w:p w14:paraId="51EBCA75" w14:textId="22D443D3" w:rsidR="002F4213" w:rsidRPr="00E0758D" w:rsidRDefault="002F4213" w:rsidP="00910A5C">
      <w:pPr>
        <w:pStyle w:val="FootnoteText"/>
        <w:rPr>
          <w:rFonts w:ascii="Cambria" w:hAnsi="Cambria"/>
          <w:sz w:val="16"/>
          <w:szCs w:val="16"/>
          <w:lang w:val="es-ES"/>
        </w:rPr>
      </w:pPr>
      <w:r w:rsidRPr="00E0758D">
        <w:rPr>
          <w:rStyle w:val="FootnoteReference"/>
          <w:rFonts w:ascii="Cambria" w:hAnsi="Cambria"/>
          <w:sz w:val="16"/>
          <w:szCs w:val="16"/>
        </w:rPr>
        <w:footnoteRef/>
      </w:r>
      <w:r>
        <w:rPr>
          <w:rFonts w:ascii="Cambria" w:hAnsi="Cambria"/>
          <w:sz w:val="16"/>
          <w:szCs w:val="16"/>
          <w:lang w:val="es-ES"/>
        </w:rPr>
        <w:t xml:space="preserve"> Anexo 10</w:t>
      </w:r>
      <w:r w:rsidRPr="00E0758D">
        <w:rPr>
          <w:rFonts w:ascii="Cambria" w:hAnsi="Cambria"/>
          <w:sz w:val="16"/>
          <w:szCs w:val="16"/>
          <w:lang w:val="es-ES"/>
        </w:rPr>
        <w:t>. Acción Pública de hábeas corpus. No.005 de noviembre 30 de 1999. Solicitante Noraida Quiroga Medina. Ofendidos: Édgar Quir</w:t>
      </w:r>
      <w:r>
        <w:rPr>
          <w:rFonts w:ascii="Cambria" w:hAnsi="Cambria"/>
          <w:sz w:val="16"/>
          <w:szCs w:val="16"/>
          <w:lang w:val="es-ES"/>
        </w:rPr>
        <w:t>oga y Gildardo Fuentes. Anexo</w:t>
      </w:r>
      <w:r w:rsidRPr="00E0758D">
        <w:rPr>
          <w:rFonts w:ascii="Cambria" w:hAnsi="Cambria"/>
          <w:sz w:val="16"/>
          <w:szCs w:val="16"/>
          <w:lang w:val="es-ES"/>
        </w:rPr>
        <w:t xml:space="preserve"> al </w:t>
      </w:r>
      <w:r w:rsidRPr="00E0758D">
        <w:rPr>
          <w:rFonts w:ascii="Cambria" w:hAnsi="Cambria"/>
          <w:sz w:val="16"/>
          <w:szCs w:val="16"/>
          <w:lang w:val="es-CO"/>
        </w:rPr>
        <w:t>escrito de la parte peticionaria del 1 de julio de 2011.</w:t>
      </w:r>
    </w:p>
  </w:footnote>
  <w:footnote w:id="48">
    <w:p w14:paraId="5DC2C1DE" w14:textId="1ACFFEBA" w:rsidR="002F4213" w:rsidRPr="00E0758D" w:rsidRDefault="002F4213" w:rsidP="00910A5C">
      <w:pPr>
        <w:pStyle w:val="FootnoteText"/>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ES_tradnl"/>
        </w:rPr>
        <w:t>Anexo 10</w:t>
      </w:r>
      <w:r w:rsidRPr="00E0758D">
        <w:rPr>
          <w:rFonts w:ascii="Cambria" w:hAnsi="Cambria"/>
          <w:sz w:val="16"/>
          <w:szCs w:val="16"/>
          <w:lang w:val="es-ES_tradnl"/>
        </w:rPr>
        <w:t>. Acción pública de Hábeas Corpus No. 005 d</w:t>
      </w:r>
      <w:r>
        <w:rPr>
          <w:rFonts w:ascii="Cambria" w:hAnsi="Cambria"/>
          <w:sz w:val="16"/>
          <w:szCs w:val="16"/>
          <w:lang w:val="es-ES_tradnl"/>
        </w:rPr>
        <w:t>e noviembre 30 de 1999. Anexo</w:t>
      </w:r>
      <w:r w:rsidRPr="00E0758D">
        <w:rPr>
          <w:rFonts w:ascii="Cambria" w:hAnsi="Cambria"/>
          <w:sz w:val="16"/>
          <w:szCs w:val="16"/>
          <w:lang w:val="es-ES_tradnl"/>
        </w:rPr>
        <w:t xml:space="preserve"> al escrito de la parte peticionaria del 1 de julio de 2011.</w:t>
      </w:r>
    </w:p>
  </w:footnote>
  <w:footnote w:id="49">
    <w:p w14:paraId="139459E9" w14:textId="11C0A702" w:rsidR="002F4213" w:rsidRPr="00E0758D" w:rsidRDefault="002F4213" w:rsidP="00910A5C">
      <w:pPr>
        <w:pStyle w:val="FootnoteText"/>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ES_tradnl"/>
        </w:rPr>
        <w:t>Anexo 16</w:t>
      </w:r>
      <w:r w:rsidRPr="00E0758D">
        <w:rPr>
          <w:rFonts w:ascii="Cambria" w:hAnsi="Cambria"/>
          <w:sz w:val="16"/>
          <w:szCs w:val="16"/>
          <w:lang w:val="es-ES_tradnl"/>
        </w:rPr>
        <w:t>. Comunicado de la Vicepresidencia de la República de Colombia</w:t>
      </w:r>
      <w:r>
        <w:rPr>
          <w:rFonts w:ascii="Cambria" w:hAnsi="Cambria"/>
          <w:sz w:val="16"/>
          <w:szCs w:val="16"/>
          <w:lang w:val="es-ES_tradnl"/>
        </w:rPr>
        <w:t xml:space="preserve"> del 2 de mayo de 2000. Anexo</w:t>
      </w:r>
      <w:r w:rsidRPr="00E0758D">
        <w:rPr>
          <w:rFonts w:ascii="Cambria" w:hAnsi="Cambria"/>
          <w:sz w:val="16"/>
          <w:szCs w:val="16"/>
          <w:lang w:val="es-ES_tradnl"/>
        </w:rPr>
        <w:t xml:space="preserve"> a las observaciones del Estado del 5 de julio de 2006.</w:t>
      </w:r>
    </w:p>
  </w:footnote>
  <w:footnote w:id="50">
    <w:p w14:paraId="3D4A0794" w14:textId="1999A883" w:rsidR="002F4213" w:rsidRPr="00E0758D" w:rsidRDefault="002F4213" w:rsidP="00910A5C">
      <w:pPr>
        <w:pStyle w:val="FootnoteText"/>
        <w:rPr>
          <w:rFonts w:ascii="Cambria" w:hAnsi="Cambria"/>
          <w:sz w:val="16"/>
          <w:szCs w:val="16"/>
          <w:lang w:val="es-CO"/>
        </w:rPr>
      </w:pPr>
      <w:r w:rsidRPr="00E0758D">
        <w:rPr>
          <w:rStyle w:val="FootnoteReference"/>
          <w:rFonts w:ascii="Cambria" w:hAnsi="Cambria"/>
          <w:sz w:val="16"/>
          <w:szCs w:val="16"/>
        </w:rPr>
        <w:footnoteRef/>
      </w:r>
      <w:r>
        <w:rPr>
          <w:rFonts w:ascii="Cambria" w:hAnsi="Cambria"/>
          <w:sz w:val="16"/>
          <w:szCs w:val="16"/>
          <w:lang w:val="es-ES"/>
        </w:rPr>
        <w:t xml:space="preserve"> Anexo 7</w:t>
      </w:r>
      <w:r w:rsidRPr="00E0758D">
        <w:rPr>
          <w:rFonts w:ascii="Cambria" w:hAnsi="Cambria"/>
          <w:sz w:val="16"/>
          <w:szCs w:val="16"/>
          <w:lang w:val="es-ES"/>
        </w:rPr>
        <w:t xml:space="preserve">. </w:t>
      </w:r>
      <w:r>
        <w:rPr>
          <w:rFonts w:ascii="Cambria" w:hAnsi="Cambria"/>
          <w:sz w:val="16"/>
          <w:szCs w:val="16"/>
          <w:lang w:val="es-CO"/>
        </w:rPr>
        <w:t>Comisión de bú</w:t>
      </w:r>
      <w:r w:rsidRPr="00E0758D">
        <w:rPr>
          <w:rFonts w:ascii="Cambria" w:hAnsi="Cambria"/>
          <w:sz w:val="16"/>
          <w:szCs w:val="16"/>
          <w:lang w:val="es-CO"/>
        </w:rPr>
        <w:t xml:space="preserve">squeda de Edgar Quiroga </w:t>
      </w:r>
      <w:r>
        <w:rPr>
          <w:rFonts w:ascii="Cambria" w:hAnsi="Cambria"/>
          <w:sz w:val="16"/>
          <w:szCs w:val="16"/>
          <w:lang w:val="es-CO"/>
        </w:rPr>
        <w:t>y Gildardo Fuentes. Anexo al</w:t>
      </w:r>
      <w:r w:rsidRPr="00E0758D">
        <w:rPr>
          <w:rFonts w:ascii="Cambria" w:hAnsi="Cambria"/>
          <w:sz w:val="16"/>
          <w:szCs w:val="16"/>
          <w:lang w:val="es-CO"/>
        </w:rPr>
        <w:t xml:space="preserve"> escrito de la parte peticionaria del 17 de septiembre de 2001. </w:t>
      </w:r>
    </w:p>
  </w:footnote>
  <w:footnote w:id="51">
    <w:p w14:paraId="5C117AA0" w14:textId="0C239DDE" w:rsidR="002F4213" w:rsidRPr="00E0758D" w:rsidRDefault="002F4213" w:rsidP="00910A5C">
      <w:pPr>
        <w:pStyle w:val="FootnoteText"/>
        <w:rPr>
          <w:rFonts w:ascii="Cambria" w:hAnsi="Cambria"/>
          <w:sz w:val="16"/>
          <w:szCs w:val="16"/>
          <w:lang w:val="es-ES"/>
        </w:rPr>
      </w:pPr>
      <w:r w:rsidRPr="00E0758D">
        <w:rPr>
          <w:rStyle w:val="FootnoteReference"/>
          <w:rFonts w:ascii="Cambria" w:hAnsi="Cambria"/>
          <w:sz w:val="16"/>
          <w:szCs w:val="16"/>
        </w:rPr>
        <w:footnoteRef/>
      </w:r>
      <w:r>
        <w:rPr>
          <w:rFonts w:ascii="Cambria" w:hAnsi="Cambria"/>
          <w:sz w:val="16"/>
          <w:szCs w:val="16"/>
          <w:lang w:val="es-ES"/>
        </w:rPr>
        <w:t xml:space="preserve"> Anexo 7</w:t>
      </w:r>
      <w:r w:rsidRPr="00E0758D">
        <w:rPr>
          <w:rFonts w:ascii="Cambria" w:hAnsi="Cambria"/>
          <w:sz w:val="16"/>
          <w:szCs w:val="16"/>
          <w:lang w:val="es-ES"/>
        </w:rPr>
        <w:t xml:space="preserve">. </w:t>
      </w:r>
      <w:r w:rsidRPr="00E0758D">
        <w:rPr>
          <w:rFonts w:ascii="Cambria" w:hAnsi="Cambria"/>
          <w:sz w:val="16"/>
          <w:szCs w:val="16"/>
          <w:lang w:val="es-CO"/>
        </w:rPr>
        <w:t xml:space="preserve">Comision Busqueda de Edgar Quiroga </w:t>
      </w:r>
      <w:r>
        <w:rPr>
          <w:rFonts w:ascii="Cambria" w:hAnsi="Cambria"/>
          <w:sz w:val="16"/>
          <w:szCs w:val="16"/>
          <w:lang w:val="es-CO"/>
        </w:rPr>
        <w:t>y Gildardo Fuentes. Anexo al</w:t>
      </w:r>
      <w:r w:rsidRPr="00E0758D">
        <w:rPr>
          <w:rFonts w:ascii="Cambria" w:hAnsi="Cambria"/>
          <w:sz w:val="16"/>
          <w:szCs w:val="16"/>
          <w:lang w:val="es-CO"/>
        </w:rPr>
        <w:t xml:space="preserve"> escrito de la parte peticionaria del 17 de septiembre de 2001.</w:t>
      </w:r>
    </w:p>
  </w:footnote>
  <w:footnote w:id="52">
    <w:p w14:paraId="259A3F5E" w14:textId="41C2FDF2" w:rsidR="002F4213" w:rsidRPr="00E0758D" w:rsidRDefault="002F4213" w:rsidP="00910A5C">
      <w:pPr>
        <w:pStyle w:val="FootnoteText"/>
        <w:rPr>
          <w:rFonts w:ascii="Cambria" w:hAnsi="Cambria"/>
          <w:sz w:val="16"/>
          <w:szCs w:val="16"/>
          <w:lang w:val="es-ES"/>
        </w:rPr>
      </w:pPr>
      <w:r w:rsidRPr="00E0758D">
        <w:rPr>
          <w:rStyle w:val="FootnoteReference"/>
          <w:rFonts w:ascii="Cambria" w:hAnsi="Cambria"/>
          <w:sz w:val="16"/>
          <w:szCs w:val="16"/>
        </w:rPr>
        <w:footnoteRef/>
      </w:r>
      <w:r>
        <w:rPr>
          <w:rFonts w:ascii="Cambria" w:hAnsi="Cambria"/>
          <w:sz w:val="16"/>
          <w:szCs w:val="16"/>
          <w:lang w:val="es-ES"/>
        </w:rPr>
        <w:t xml:space="preserve"> Anexo 7</w:t>
      </w:r>
      <w:r w:rsidRPr="00E0758D">
        <w:rPr>
          <w:rFonts w:ascii="Cambria" w:hAnsi="Cambria"/>
          <w:sz w:val="16"/>
          <w:szCs w:val="16"/>
          <w:lang w:val="es-ES"/>
        </w:rPr>
        <w:t xml:space="preserve">. </w:t>
      </w:r>
      <w:r>
        <w:rPr>
          <w:rFonts w:ascii="Cambria" w:hAnsi="Cambria"/>
          <w:sz w:val="16"/>
          <w:szCs w:val="16"/>
          <w:lang w:val="es-CO"/>
        </w:rPr>
        <w:t>Comisió</w:t>
      </w:r>
      <w:r w:rsidRPr="00E0758D">
        <w:rPr>
          <w:rFonts w:ascii="Cambria" w:hAnsi="Cambria"/>
          <w:sz w:val="16"/>
          <w:szCs w:val="16"/>
          <w:lang w:val="es-CO"/>
        </w:rPr>
        <w:t>n</w:t>
      </w:r>
      <w:r>
        <w:rPr>
          <w:rFonts w:ascii="Cambria" w:hAnsi="Cambria"/>
          <w:sz w:val="16"/>
          <w:szCs w:val="16"/>
          <w:lang w:val="es-CO"/>
        </w:rPr>
        <w:t xml:space="preserve"> de bú</w:t>
      </w:r>
      <w:r w:rsidRPr="00E0758D">
        <w:rPr>
          <w:rFonts w:ascii="Cambria" w:hAnsi="Cambria"/>
          <w:sz w:val="16"/>
          <w:szCs w:val="16"/>
          <w:lang w:val="es-CO"/>
        </w:rPr>
        <w:t>squeda de Edgar Quir</w:t>
      </w:r>
      <w:r>
        <w:rPr>
          <w:rFonts w:ascii="Cambria" w:hAnsi="Cambria"/>
          <w:sz w:val="16"/>
          <w:szCs w:val="16"/>
          <w:lang w:val="es-CO"/>
        </w:rPr>
        <w:t>oga y Gildardo Fuentes. Anexo</w:t>
      </w:r>
      <w:r w:rsidRPr="00E0758D">
        <w:rPr>
          <w:rFonts w:ascii="Cambria" w:hAnsi="Cambria"/>
          <w:sz w:val="16"/>
          <w:szCs w:val="16"/>
          <w:lang w:val="es-CO"/>
        </w:rPr>
        <w:t xml:space="preserve"> al escrito de la parte peticionaria del 17 de septiembre de 2001.</w:t>
      </w:r>
    </w:p>
  </w:footnote>
  <w:footnote w:id="53">
    <w:p w14:paraId="297DBA90" w14:textId="6E038E6B" w:rsidR="002F4213" w:rsidRPr="00E0758D" w:rsidRDefault="002F4213" w:rsidP="00910A5C">
      <w:pPr>
        <w:pStyle w:val="FootnoteText"/>
        <w:rPr>
          <w:rFonts w:ascii="Cambria" w:hAnsi="Cambria"/>
          <w:sz w:val="16"/>
          <w:szCs w:val="16"/>
          <w:lang w:val="es-CO"/>
        </w:rPr>
      </w:pPr>
      <w:r w:rsidRPr="00E0758D">
        <w:rPr>
          <w:rStyle w:val="FootnoteReference"/>
          <w:rFonts w:ascii="Cambria" w:hAnsi="Cambria"/>
          <w:sz w:val="16"/>
          <w:szCs w:val="16"/>
        </w:rPr>
        <w:footnoteRef/>
      </w:r>
      <w:r w:rsidRPr="00E0758D">
        <w:rPr>
          <w:rFonts w:ascii="Cambria" w:hAnsi="Cambria"/>
          <w:sz w:val="16"/>
          <w:szCs w:val="16"/>
          <w:lang w:val="es-MX"/>
        </w:rPr>
        <w:t xml:space="preserve"> </w:t>
      </w:r>
      <w:r>
        <w:rPr>
          <w:rFonts w:ascii="Cambria" w:hAnsi="Cambria"/>
          <w:sz w:val="16"/>
          <w:szCs w:val="16"/>
          <w:lang w:val="es-ES"/>
        </w:rPr>
        <w:t>Anexo 7</w:t>
      </w:r>
      <w:r w:rsidRPr="00E0758D">
        <w:rPr>
          <w:rFonts w:ascii="Cambria" w:hAnsi="Cambria"/>
          <w:sz w:val="16"/>
          <w:szCs w:val="16"/>
          <w:lang w:val="es-ES"/>
        </w:rPr>
        <w:t xml:space="preserve">. </w:t>
      </w:r>
      <w:r>
        <w:rPr>
          <w:rFonts w:ascii="Cambria" w:hAnsi="Cambria"/>
          <w:sz w:val="16"/>
          <w:szCs w:val="16"/>
          <w:lang w:val="es-CO"/>
        </w:rPr>
        <w:t>Comisión de bú</w:t>
      </w:r>
      <w:r w:rsidRPr="00E0758D">
        <w:rPr>
          <w:rFonts w:ascii="Cambria" w:hAnsi="Cambria"/>
          <w:sz w:val="16"/>
          <w:szCs w:val="16"/>
          <w:lang w:val="es-CO"/>
        </w:rPr>
        <w:t>squeda de Edgar Quir</w:t>
      </w:r>
      <w:r>
        <w:rPr>
          <w:rFonts w:ascii="Cambria" w:hAnsi="Cambria"/>
          <w:sz w:val="16"/>
          <w:szCs w:val="16"/>
          <w:lang w:val="es-CO"/>
        </w:rPr>
        <w:t>oga y Gildardo Fuentes. Anexo</w:t>
      </w:r>
      <w:r w:rsidRPr="00E0758D">
        <w:rPr>
          <w:rFonts w:ascii="Cambria" w:hAnsi="Cambria"/>
          <w:sz w:val="16"/>
          <w:szCs w:val="16"/>
          <w:lang w:val="es-CO"/>
        </w:rPr>
        <w:t xml:space="preserve"> al escrito de la parte peticionaria del 17 de septiembre de 2001.</w:t>
      </w:r>
    </w:p>
  </w:footnote>
  <w:footnote w:id="54">
    <w:p w14:paraId="576AEFBE" w14:textId="745C22A4" w:rsidR="002F4213" w:rsidRPr="00E0758D" w:rsidRDefault="002F4213" w:rsidP="00370FDE">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ES_tradnl"/>
        </w:rPr>
        <w:t>Anexo 11.</w:t>
      </w:r>
      <w:r w:rsidRPr="00E0758D">
        <w:rPr>
          <w:rFonts w:ascii="Cambria" w:hAnsi="Cambria"/>
          <w:sz w:val="16"/>
          <w:szCs w:val="16"/>
          <w:lang w:val="es-ES_tradnl"/>
        </w:rPr>
        <w:t xml:space="preserve"> Resolución de acusación en contra de Carlos Castaño Gil del 17 de febrero de 2006, proferida por la Unidad Nacional de Derechos Humanos y Derecho Internaciona</w:t>
      </w:r>
      <w:r>
        <w:rPr>
          <w:rFonts w:ascii="Cambria" w:hAnsi="Cambria"/>
          <w:sz w:val="16"/>
          <w:szCs w:val="16"/>
          <w:lang w:val="es-ES_tradnl"/>
        </w:rPr>
        <w:t>l Humanitario. Rad 650. Anexo</w:t>
      </w:r>
      <w:r w:rsidRPr="00E0758D">
        <w:rPr>
          <w:rFonts w:ascii="Cambria" w:hAnsi="Cambria"/>
          <w:sz w:val="16"/>
          <w:szCs w:val="16"/>
          <w:lang w:val="es-ES_tradnl"/>
        </w:rPr>
        <w:t xml:space="preserve"> al escrito de la parte peticionaria del 15 de agosto de 2006.</w:t>
      </w:r>
    </w:p>
  </w:footnote>
  <w:footnote w:id="55">
    <w:p w14:paraId="3C7C262A" w14:textId="66B7CDCB" w:rsidR="002F4213" w:rsidRPr="00E0758D" w:rsidRDefault="002F4213" w:rsidP="00370FDE">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ES_tradnl"/>
        </w:rPr>
        <w:t>Anexo 12</w:t>
      </w:r>
      <w:r w:rsidRPr="00E0758D">
        <w:rPr>
          <w:rFonts w:ascii="Cambria" w:hAnsi="Cambria"/>
          <w:sz w:val="16"/>
          <w:szCs w:val="16"/>
          <w:lang w:val="es-ES_tradnl"/>
        </w:rPr>
        <w:t xml:space="preserve">. Declaración rendida por Noraida Quiroga Medina ante la Fiscalía Especializada el </w:t>
      </w:r>
      <w:r>
        <w:rPr>
          <w:rFonts w:ascii="Cambria" w:hAnsi="Cambria"/>
          <w:sz w:val="16"/>
          <w:szCs w:val="16"/>
          <w:lang w:val="es-ES_tradnl"/>
        </w:rPr>
        <w:t>2 de diciembre de 1999. Anexo</w:t>
      </w:r>
      <w:r w:rsidRPr="00E0758D">
        <w:rPr>
          <w:rFonts w:ascii="Cambria" w:hAnsi="Cambria"/>
          <w:sz w:val="16"/>
          <w:szCs w:val="16"/>
          <w:lang w:val="es-ES_tradnl"/>
        </w:rPr>
        <w:t xml:space="preserve"> al escrito de la parte peticionaria del 15 de agosto de 2006.</w:t>
      </w:r>
    </w:p>
  </w:footnote>
  <w:footnote w:id="56">
    <w:p w14:paraId="01D0E072" w14:textId="022E8194" w:rsidR="002F4213" w:rsidRPr="00E0758D" w:rsidRDefault="002F4213" w:rsidP="00370FDE">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ES_tradnl"/>
        </w:rPr>
        <w:t>Anexo 13</w:t>
      </w:r>
      <w:r w:rsidRPr="00E0758D">
        <w:rPr>
          <w:rFonts w:ascii="Cambria" w:hAnsi="Cambria"/>
          <w:sz w:val="16"/>
          <w:szCs w:val="16"/>
          <w:lang w:val="es-ES_tradnl"/>
        </w:rPr>
        <w:t>. Declaración</w:t>
      </w:r>
      <w:r>
        <w:rPr>
          <w:rFonts w:ascii="Cambria" w:hAnsi="Cambria"/>
          <w:sz w:val="16"/>
          <w:szCs w:val="16"/>
          <w:lang w:val="es-ES_tradnl"/>
        </w:rPr>
        <w:t xml:space="preserve"> de</w:t>
      </w:r>
      <w:r w:rsidRPr="00E0758D">
        <w:rPr>
          <w:rFonts w:ascii="Cambria" w:hAnsi="Cambria"/>
          <w:sz w:val="16"/>
          <w:szCs w:val="16"/>
          <w:lang w:val="es-ES_tradnl"/>
        </w:rPr>
        <w:t xml:space="preserve"> Amparo Escobar Gonima del 2 </w:t>
      </w:r>
      <w:r>
        <w:rPr>
          <w:rFonts w:ascii="Cambria" w:hAnsi="Cambria"/>
          <w:sz w:val="16"/>
          <w:szCs w:val="16"/>
          <w:lang w:val="es-ES_tradnl"/>
        </w:rPr>
        <w:t>de diciembre de 1999. Anexo a</w:t>
      </w:r>
      <w:r w:rsidRPr="00E0758D">
        <w:rPr>
          <w:rFonts w:ascii="Cambria" w:hAnsi="Cambria"/>
          <w:sz w:val="16"/>
          <w:szCs w:val="16"/>
          <w:lang w:val="es-ES_tradnl"/>
        </w:rPr>
        <w:t>l escrito de la parte peticionaria del 15 de agosto de 2006.</w:t>
      </w:r>
    </w:p>
  </w:footnote>
  <w:footnote w:id="57">
    <w:p w14:paraId="453F17F5" w14:textId="425E12D8" w:rsidR="002F4213" w:rsidRPr="00E0758D" w:rsidRDefault="002F4213" w:rsidP="00910A5C">
      <w:pPr>
        <w:pStyle w:val="FootnoteText"/>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ES_tradnl"/>
        </w:rPr>
        <w:t>Anexo 14</w:t>
      </w:r>
      <w:r w:rsidRPr="00E0758D">
        <w:rPr>
          <w:rFonts w:ascii="Cambria" w:hAnsi="Cambria"/>
          <w:sz w:val="16"/>
          <w:szCs w:val="16"/>
          <w:lang w:val="es-ES_tradnl"/>
        </w:rPr>
        <w:t>. Declaración Teniente Coronel Jesús María Clavijo Clavijo del 3 d</w:t>
      </w:r>
      <w:r>
        <w:rPr>
          <w:rFonts w:ascii="Cambria" w:hAnsi="Cambria"/>
          <w:sz w:val="16"/>
          <w:szCs w:val="16"/>
          <w:lang w:val="es-ES_tradnl"/>
        </w:rPr>
        <w:t>e diciembre de 1999. Anexo a</w:t>
      </w:r>
      <w:r w:rsidRPr="00E0758D">
        <w:rPr>
          <w:rFonts w:ascii="Cambria" w:hAnsi="Cambria"/>
          <w:sz w:val="16"/>
          <w:szCs w:val="16"/>
          <w:lang w:val="es-ES_tradnl"/>
        </w:rPr>
        <w:t xml:space="preserve">l escrito de la parte peticionaria del 15 de agosto de 2006. </w:t>
      </w:r>
    </w:p>
  </w:footnote>
  <w:footnote w:id="58">
    <w:p w14:paraId="2086E1BB" w14:textId="75258C60" w:rsidR="002F4213" w:rsidRPr="00E0758D" w:rsidRDefault="002F4213" w:rsidP="00910A5C">
      <w:pPr>
        <w:pStyle w:val="FootnoteText"/>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ES_tradnl"/>
        </w:rPr>
        <w:t>Anexo 11</w:t>
      </w:r>
      <w:r w:rsidRPr="00E0758D">
        <w:rPr>
          <w:rFonts w:ascii="Cambria" w:hAnsi="Cambria"/>
          <w:sz w:val="16"/>
          <w:szCs w:val="16"/>
          <w:lang w:val="es-ES_tradnl"/>
        </w:rPr>
        <w:t>. Resolución de acusación en contra de Carlos Castaño Gil del 17 de febrero de 2006, proferida por la Unidad Nacional de Derechos Humanos y Derecho Internaciona</w:t>
      </w:r>
      <w:r>
        <w:rPr>
          <w:rFonts w:ascii="Cambria" w:hAnsi="Cambria"/>
          <w:sz w:val="16"/>
          <w:szCs w:val="16"/>
          <w:lang w:val="es-ES_tradnl"/>
        </w:rPr>
        <w:t>l Humanitario. Rad 650. Anexo</w:t>
      </w:r>
      <w:r w:rsidRPr="00E0758D">
        <w:rPr>
          <w:rFonts w:ascii="Cambria" w:hAnsi="Cambria"/>
          <w:sz w:val="16"/>
          <w:szCs w:val="16"/>
          <w:lang w:val="es-ES_tradnl"/>
        </w:rPr>
        <w:t xml:space="preserve"> al escrito de la parte peticionaria del 15 de agosto de 2006.</w:t>
      </w:r>
    </w:p>
  </w:footnote>
  <w:footnote w:id="59">
    <w:p w14:paraId="718E979A" w14:textId="77777777" w:rsidR="002F4213" w:rsidRPr="00E0758D" w:rsidRDefault="002F4213" w:rsidP="00910A5C">
      <w:pPr>
        <w:pStyle w:val="FootnoteText"/>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sidRPr="00E0758D">
        <w:rPr>
          <w:rFonts w:ascii="Cambria" w:hAnsi="Cambria"/>
          <w:sz w:val="16"/>
          <w:szCs w:val="16"/>
          <w:lang w:val="es-CO"/>
        </w:rPr>
        <w:t>Observaciones del Estado del 31 de agosto de 2012. P. 26-27.</w:t>
      </w:r>
    </w:p>
  </w:footnote>
  <w:footnote w:id="60">
    <w:p w14:paraId="065AD287" w14:textId="77777777" w:rsidR="002F4213" w:rsidRPr="00E0758D" w:rsidRDefault="002F4213" w:rsidP="00910A5C">
      <w:pPr>
        <w:pStyle w:val="FootnoteText"/>
        <w:jc w:val="both"/>
        <w:rPr>
          <w:rFonts w:ascii="Cambria" w:hAnsi="Cambria"/>
          <w:sz w:val="16"/>
          <w:szCs w:val="16"/>
          <w:lang w:val="es-CO"/>
        </w:rPr>
      </w:pPr>
      <w:r w:rsidRPr="00E0758D">
        <w:rPr>
          <w:rStyle w:val="FootnoteReference"/>
          <w:rFonts w:ascii="Cambria" w:hAnsi="Cambria"/>
          <w:sz w:val="16"/>
          <w:szCs w:val="16"/>
        </w:rPr>
        <w:footnoteRef/>
      </w:r>
      <w:r w:rsidRPr="00E0758D">
        <w:rPr>
          <w:rFonts w:ascii="Cambria" w:hAnsi="Cambria"/>
          <w:sz w:val="16"/>
          <w:szCs w:val="16"/>
          <w:lang w:val="es-CO"/>
        </w:rPr>
        <w:t xml:space="preserve"> Comandante Bloque Central Bolívar y de los frentes que operaban en el Sur de Bolívar, Santander, Boyacá y Cundinamarca.</w:t>
      </w:r>
    </w:p>
  </w:footnote>
  <w:footnote w:id="61">
    <w:p w14:paraId="654B47F4" w14:textId="7659EADA" w:rsidR="002F4213" w:rsidRPr="00E0758D" w:rsidRDefault="002F4213" w:rsidP="00910A5C">
      <w:pPr>
        <w:pStyle w:val="FootnoteText"/>
        <w:jc w:val="both"/>
        <w:rPr>
          <w:rFonts w:ascii="Cambria" w:hAnsi="Cambria"/>
          <w:sz w:val="16"/>
          <w:szCs w:val="16"/>
          <w:highlight w:val="yellow"/>
          <w:lang w:val="es-CO"/>
        </w:rPr>
      </w:pPr>
      <w:r w:rsidRPr="00E0758D">
        <w:rPr>
          <w:rStyle w:val="FootnoteReference"/>
          <w:rFonts w:ascii="Cambria" w:hAnsi="Cambria"/>
          <w:sz w:val="16"/>
          <w:szCs w:val="16"/>
        </w:rPr>
        <w:footnoteRef/>
      </w:r>
      <w:r w:rsidRPr="00E0758D">
        <w:rPr>
          <w:rFonts w:ascii="Cambria" w:hAnsi="Cambria"/>
          <w:sz w:val="16"/>
          <w:szCs w:val="16"/>
          <w:lang w:val="es-CO"/>
        </w:rPr>
        <w:t xml:space="preserve"> No se cuenta con las sentencias</w:t>
      </w:r>
      <w:r>
        <w:rPr>
          <w:rFonts w:ascii="Cambria" w:hAnsi="Cambria"/>
          <w:sz w:val="16"/>
          <w:szCs w:val="16"/>
          <w:lang w:val="es-CO"/>
        </w:rPr>
        <w:t>,</w:t>
      </w:r>
      <w:r w:rsidRPr="00E0758D">
        <w:rPr>
          <w:rFonts w:ascii="Cambria" w:hAnsi="Cambria"/>
          <w:sz w:val="16"/>
          <w:szCs w:val="16"/>
          <w:lang w:val="es-CO"/>
        </w:rPr>
        <w:t xml:space="preserve"> pero se encuentran enunciadas </w:t>
      </w:r>
      <w:r w:rsidRPr="00E0758D">
        <w:rPr>
          <w:rFonts w:ascii="Cambria" w:hAnsi="Cambria"/>
          <w:sz w:val="16"/>
          <w:szCs w:val="16"/>
          <w:lang w:val="es-ES"/>
        </w:rPr>
        <w:t>bajo el radicado 110016000253200680012 del Tribunal Superior de Bogotá, Sala de Justicia y Paz, Magistrada Ponente: Uldi Teresa Jiménez López, procesado Rodrigo Pérez Alzate. Delitos: Homicidio en persona protegida y otros en el hecho treinta y cinco de la sección de hechos</w:t>
      </w:r>
      <w:r w:rsidRPr="00E0758D">
        <w:rPr>
          <w:rFonts w:ascii="Cambria" w:hAnsi="Cambria"/>
          <w:sz w:val="16"/>
          <w:szCs w:val="16"/>
          <w:lang w:val="es-CO"/>
        </w:rPr>
        <w:t>.</w:t>
      </w:r>
    </w:p>
  </w:footnote>
  <w:footnote w:id="62">
    <w:p w14:paraId="14143D5A" w14:textId="48563C9A" w:rsidR="002F4213" w:rsidRPr="00E0758D" w:rsidRDefault="002F4213" w:rsidP="00910A5C">
      <w:pPr>
        <w:pStyle w:val="FootnoteText"/>
        <w:jc w:val="both"/>
        <w:rPr>
          <w:rFonts w:ascii="Cambria" w:hAnsi="Cambria"/>
          <w:sz w:val="16"/>
          <w:szCs w:val="16"/>
          <w:lang w:val="es-CO"/>
        </w:rPr>
      </w:pPr>
      <w:r w:rsidRPr="00E0758D">
        <w:rPr>
          <w:rStyle w:val="FootnoteReference"/>
          <w:rFonts w:ascii="Cambria" w:hAnsi="Cambria"/>
          <w:sz w:val="16"/>
          <w:szCs w:val="16"/>
        </w:rPr>
        <w:footnoteRef/>
      </w:r>
      <w:r>
        <w:rPr>
          <w:rFonts w:ascii="Cambria" w:hAnsi="Cambria"/>
          <w:sz w:val="16"/>
          <w:szCs w:val="16"/>
          <w:lang w:val="es-CO"/>
        </w:rPr>
        <w:t xml:space="preserve"> </w:t>
      </w:r>
      <w:r w:rsidRPr="00E0758D">
        <w:rPr>
          <w:rFonts w:ascii="Cambria" w:hAnsi="Cambria"/>
          <w:sz w:val="16"/>
          <w:szCs w:val="16"/>
          <w:lang w:val="es-CO"/>
        </w:rPr>
        <w:t xml:space="preserve">Consideraciones de Fondo conjuntas signada por la parte peticionaria, Fundación Comité de Solidaridad con los Presos Políticos CSPP y la Corporación Servicios Profesionales Comunitarios Sembrar calendada 6 de diciembre de 2018 y recibida el 7 de diciembre de 2018 por la CIDH.  </w:t>
      </w:r>
    </w:p>
  </w:footnote>
  <w:footnote w:id="63">
    <w:p w14:paraId="678253C6" w14:textId="77777777" w:rsidR="002F4213" w:rsidRPr="00E0758D" w:rsidRDefault="002F4213" w:rsidP="00910A5C">
      <w:pPr>
        <w:pStyle w:val="FootnoteText"/>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sidRPr="00E0758D">
        <w:rPr>
          <w:rFonts w:ascii="Cambria" w:hAnsi="Cambria"/>
          <w:sz w:val="16"/>
          <w:szCs w:val="16"/>
          <w:lang w:val="es-ES_tradnl"/>
        </w:rPr>
        <w:t>Observaciones del Estado del 31 de agosto de 2012.</w:t>
      </w:r>
    </w:p>
  </w:footnote>
  <w:footnote w:id="64">
    <w:p w14:paraId="7A6925E2" w14:textId="24B6F16D" w:rsidR="002F4213" w:rsidRPr="00E0758D" w:rsidRDefault="002F4213" w:rsidP="00910A5C">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sidRPr="00E0758D">
        <w:rPr>
          <w:rFonts w:ascii="Cambria" w:hAnsi="Cambria"/>
          <w:sz w:val="16"/>
          <w:szCs w:val="16"/>
          <w:lang w:val="es-ES_tradnl"/>
        </w:rPr>
        <w:t>Escrito de la parte peticionaria del 15 de agosto de 2006.</w:t>
      </w:r>
    </w:p>
  </w:footnote>
  <w:footnote w:id="65">
    <w:p w14:paraId="357DC990" w14:textId="25E29A54" w:rsidR="002F4213" w:rsidRPr="00E0758D" w:rsidRDefault="002F4213" w:rsidP="00910A5C">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sidRPr="00E0758D">
        <w:rPr>
          <w:rFonts w:ascii="Cambria" w:hAnsi="Cambria"/>
          <w:sz w:val="16"/>
          <w:szCs w:val="16"/>
          <w:lang w:val="es-ES_tradnl"/>
        </w:rPr>
        <w:t>Escritos de la parte peticionaria del 22 de agosto de 2003 y 16 de enero de 2007.</w:t>
      </w:r>
    </w:p>
  </w:footnote>
  <w:footnote w:id="66">
    <w:p w14:paraId="1C4B6476" w14:textId="1F6461E8" w:rsidR="002F4213" w:rsidRPr="00E0758D" w:rsidRDefault="002F4213" w:rsidP="00910A5C">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sidRPr="00E0758D">
        <w:rPr>
          <w:rFonts w:ascii="Cambria" w:hAnsi="Cambria"/>
          <w:sz w:val="16"/>
          <w:szCs w:val="16"/>
          <w:lang w:val="es-ES_tradnl"/>
        </w:rPr>
        <w:t>Escrito de la parte peticionaria del 15 de agosto de 2006.</w:t>
      </w:r>
    </w:p>
  </w:footnote>
  <w:footnote w:id="67">
    <w:p w14:paraId="21DA3391" w14:textId="54C9E61E" w:rsidR="002F4213" w:rsidRPr="00E0758D" w:rsidRDefault="002F4213" w:rsidP="00910A5C">
      <w:pPr>
        <w:pStyle w:val="FootnoteText"/>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sidRPr="00E0758D">
        <w:rPr>
          <w:rFonts w:ascii="Cambria" w:hAnsi="Cambria"/>
          <w:sz w:val="16"/>
          <w:szCs w:val="16"/>
          <w:lang w:val="es-ES_tradnl"/>
        </w:rPr>
        <w:t>Escrito de la parte peticionaria del 15 de agosto de 2006.</w:t>
      </w:r>
    </w:p>
  </w:footnote>
  <w:footnote w:id="68">
    <w:p w14:paraId="688D037A" w14:textId="43D2E716" w:rsidR="002F4213" w:rsidRPr="00E0758D" w:rsidRDefault="002F4213" w:rsidP="00910A5C">
      <w:pPr>
        <w:pStyle w:val="FootnoteText"/>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ES_tradnl"/>
        </w:rPr>
        <w:t>Anexo 15</w:t>
      </w:r>
      <w:r w:rsidRPr="00E0758D">
        <w:rPr>
          <w:rFonts w:ascii="Cambria" w:hAnsi="Cambria"/>
          <w:sz w:val="16"/>
          <w:szCs w:val="16"/>
          <w:lang w:val="es-ES_tradnl"/>
        </w:rPr>
        <w:t xml:space="preserve">. Citación Rodrigo Pérez Alzate septiembre 30 de 2008-09-29. Tema: Muerte de la señora Ana Victoria Delgado Anaya. Anexo a las observaciones del Estado del 23 de abril de 2009. </w:t>
      </w:r>
    </w:p>
  </w:footnote>
  <w:footnote w:id="69">
    <w:p w14:paraId="2286FF4A" w14:textId="043E00A5" w:rsidR="002F4213" w:rsidRPr="00E0758D" w:rsidRDefault="002F4213" w:rsidP="00910A5C">
      <w:pPr>
        <w:pStyle w:val="FootnoteText"/>
        <w:jc w:val="both"/>
        <w:rPr>
          <w:rFonts w:ascii="Cambria" w:hAnsi="Cambria"/>
          <w:sz w:val="16"/>
          <w:szCs w:val="16"/>
          <w:lang w:val="es-CO"/>
        </w:rPr>
      </w:pPr>
      <w:r w:rsidRPr="00E0758D">
        <w:rPr>
          <w:rStyle w:val="FootnoteReference"/>
          <w:rFonts w:ascii="Cambria" w:hAnsi="Cambria"/>
          <w:sz w:val="16"/>
          <w:szCs w:val="16"/>
        </w:rPr>
        <w:footnoteRef/>
      </w:r>
      <w:r w:rsidRPr="00E0758D">
        <w:rPr>
          <w:rFonts w:ascii="Cambria" w:hAnsi="Cambria"/>
          <w:sz w:val="16"/>
          <w:szCs w:val="16"/>
          <w:lang w:val="es-CO"/>
        </w:rPr>
        <w:t xml:space="preserve"> Escrito de la parte peticionaria del 15 de agosto de 2006. </w:t>
      </w:r>
    </w:p>
  </w:footnote>
  <w:footnote w:id="70">
    <w:p w14:paraId="335C2C45" w14:textId="4C058B47" w:rsidR="002F4213" w:rsidRPr="00E0758D" w:rsidRDefault="002F4213" w:rsidP="00910A5C">
      <w:pPr>
        <w:pStyle w:val="FootnoteText"/>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sidRPr="00E0758D">
        <w:rPr>
          <w:rFonts w:ascii="Cambria" w:hAnsi="Cambria"/>
          <w:sz w:val="16"/>
          <w:szCs w:val="16"/>
          <w:lang w:val="es-ES_tradnl"/>
        </w:rPr>
        <w:t xml:space="preserve"> Observaciones del Estado del 24 de diciembre de 2009. P. 3- 6</w:t>
      </w:r>
    </w:p>
  </w:footnote>
  <w:footnote w:id="71">
    <w:p w14:paraId="56CA1789" w14:textId="270D8BE9" w:rsidR="002F4213" w:rsidRPr="00E0758D" w:rsidRDefault="002F4213" w:rsidP="00910A5C">
      <w:pPr>
        <w:pStyle w:val="FootnoteText"/>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sidRPr="00E0758D">
        <w:rPr>
          <w:rFonts w:ascii="Cambria" w:hAnsi="Cambria"/>
          <w:sz w:val="16"/>
          <w:szCs w:val="16"/>
          <w:lang w:val="es-ES_tradnl"/>
        </w:rPr>
        <w:t>Observaciones del Estado del 19 de febrero de 2010. P. 3</w:t>
      </w:r>
    </w:p>
  </w:footnote>
  <w:footnote w:id="72">
    <w:p w14:paraId="63A1D6C2" w14:textId="77777777" w:rsidR="002F4213" w:rsidRPr="00E0758D" w:rsidRDefault="002F4213" w:rsidP="00910A5C">
      <w:pPr>
        <w:pStyle w:val="FootnoteText"/>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sidRPr="00E0758D">
        <w:rPr>
          <w:rFonts w:ascii="Cambria" w:hAnsi="Cambria" w:cs="Tahoma"/>
          <w:sz w:val="16"/>
          <w:szCs w:val="16"/>
          <w:lang w:val="es-ES"/>
        </w:rPr>
        <w:t>El artículo 4.1 de la Convención Americana estipula que toda persona tiene derecho a que se respete su vida. Este derecho estará protegido por la ley y, en general, a partir del momento de la concepción.  Nadie puede ser privado de la vida arbitrariamente.</w:t>
      </w:r>
    </w:p>
  </w:footnote>
  <w:footnote w:id="73">
    <w:p w14:paraId="52B8AD76" w14:textId="77777777" w:rsidR="002F4213" w:rsidRPr="00E0758D" w:rsidRDefault="002F4213" w:rsidP="00910A5C">
      <w:pPr>
        <w:pStyle w:val="FootnoteText"/>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ES"/>
        </w:rPr>
        <w:t xml:space="preserve"> El artículo 5 de la Convención Americana establece en lo pertinente que: </w:t>
      </w:r>
      <w:r w:rsidRPr="00E0758D">
        <w:rPr>
          <w:rFonts w:ascii="Cambria" w:eastAsia="Times New Roman" w:hAnsi="Cambria" w:cs="Tahoma"/>
          <w:sz w:val="16"/>
          <w:szCs w:val="16"/>
          <w:bdr w:val="none" w:sz="0" w:space="0" w:color="auto"/>
          <w:lang w:val="es-ES"/>
        </w:rPr>
        <w:t>1. Toda persona tiene derecho a que se respete su integridad física, psíquica y moral. 2. Nadie debe ser sometido a torturas ni a penas o tratos crueles, inhumanos o degradantes. Toda persona privada de libertad será tratada con el respeto debido a la dignidad inherente al ser humano.</w:t>
      </w:r>
    </w:p>
  </w:footnote>
  <w:footnote w:id="74">
    <w:p w14:paraId="11E371AB" w14:textId="077D0CE1" w:rsidR="002F4213" w:rsidRPr="00E0758D" w:rsidRDefault="002F4213" w:rsidP="00910A5C">
      <w:pPr>
        <w:jc w:val="both"/>
        <w:rPr>
          <w:rFonts w:ascii="Cambria" w:eastAsia="Times New Roman" w:hAnsi="Cambria"/>
          <w:sz w:val="16"/>
          <w:szCs w:val="16"/>
          <w:lang w:val="es-ES" w:eastAsia="es-ES"/>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sidRPr="00E0758D">
        <w:rPr>
          <w:rFonts w:ascii="Cambria" w:eastAsia="Times New Roman" w:hAnsi="Cambria"/>
          <w:sz w:val="16"/>
          <w:szCs w:val="16"/>
          <w:lang w:val="es-ES" w:eastAsia="es-ES"/>
        </w:rPr>
        <w:t xml:space="preserve">Artículo 7. Derecho a la Libertad Personal: 1. Toda persona tiene derecho a la libertad y a la seguridad personales. </w:t>
      </w:r>
    </w:p>
  </w:footnote>
  <w:footnote w:id="75">
    <w:p w14:paraId="066E1C12" w14:textId="7A5012A3" w:rsidR="002F4213" w:rsidRPr="00E0758D" w:rsidRDefault="002F4213" w:rsidP="00C2360D">
      <w:pPr>
        <w:jc w:val="both"/>
        <w:rPr>
          <w:rFonts w:ascii="Cambria" w:eastAsia="Times New Roman" w:hAnsi="Cambria"/>
          <w:sz w:val="16"/>
          <w:szCs w:val="16"/>
          <w:lang w:val="es-ES" w:eastAsia="es-ES"/>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sidRPr="00E0758D">
        <w:rPr>
          <w:rFonts w:ascii="Cambria" w:eastAsia="Times New Roman" w:hAnsi="Cambria"/>
          <w:sz w:val="16"/>
          <w:szCs w:val="16"/>
          <w:lang w:val="es-ES" w:eastAsia="es-ES"/>
        </w:rPr>
        <w:t>La Convención Interamericana para Prevenir y Sancionar la Tortura establece en lo pertinente: Artículo 1. Los Estados partes se obligan a prevenir y sancionar la tortura en los términos de la presente Convención. Artículo 6. De conformidad con lo dispuesto en el artículo 1, los Estados partes tomarán medidas efectivas para prevenir y sancionar la tortura en el ámbito de su jurisdicción. Los Estados partes se asegurarán de que todos los actos de torutra y los intentos de cometer tales actos constituyan delitos conforme a su derecho penal, estableciendo para castigarlos sanciones severas que tengan en cuenta su gravedad. Igualmente, los Estados partes tomarán medidas efectivas para prevenir y sancionar, además, otros tratos o penas crueles, inhumanos o degradantes en el ámbito de su jurisdicción. Artículo 8. Los Estados partes garantizarán a toda persona que denuncie haber sido sometida a tortura en el ámbito de su jurisdicción ederecho a que el caso sea examinado imparcialmente.Asimismo, cuando exista denuncia o razón fundada para creer que se ha cometido un acto de tortura en el ámbito de su jurisdicción, los Estados partes garantizarán que sus respectivas autoridades procederán de oficio y de inmediato a realizar una investigación sobre el caso y a iniciar, cuando corresponda, el respectivo proceso penal.Una vez agotado el ordenamiento jurídico interno del respectivo Estado y los recursos que éste prevé, el caso podrá ser sometido a instancias internacionales cuya competencia haya sido aceptada por ese Estado.</w:t>
      </w:r>
    </w:p>
  </w:footnote>
  <w:footnote w:id="76">
    <w:p w14:paraId="76E8005B" w14:textId="77777777" w:rsidR="002F4213" w:rsidRPr="00E0758D" w:rsidRDefault="002F4213" w:rsidP="003B174F">
      <w:pPr>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_tradnl"/>
        </w:rPr>
        <w:t xml:space="preserve"> CIDH, Informe sobre Terrorismo y Derechos Humanos, OEA/SER.L/V/II.116, Doc. 5 rev. 1, corr., 22 de octubre de 2002. Citando. CIDH, Informe sobre la Situación de Derechos Humanos de los Solicitantes de Asilo en el Marco del Sistema Canadiense de Determinación de la Condición de Refugiado, OEA/Ser.L/V/II.106, Doc. 40 rev., 28 de febrero de 2000, párr. 118. </w:t>
      </w:r>
    </w:p>
  </w:footnote>
  <w:footnote w:id="77">
    <w:p w14:paraId="3D6294F3" w14:textId="77777777" w:rsidR="002F4213" w:rsidRPr="00E0758D" w:rsidRDefault="002F4213" w:rsidP="00910A5C">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_tradnl"/>
        </w:rPr>
        <w:t xml:space="preserve"> CIDH, Informe sobre Terrorismo y Derechos Humanos, OEA/SER.L/V/II.116, Doc. 5 rev. 1, corr., 22 de octubre de 2002. Citando. CIDH, Informe sobre la Situación de Derechos Humanos de los Solicitantes de Asilo en el Marco del Sistema Canadiense de Determinación de la Condición de Refugiado, OEA/Ser.L/V/II.106, Doc. 40 rev., 28 de febrero de 2000. Párr. 154. </w:t>
      </w:r>
    </w:p>
  </w:footnote>
  <w:footnote w:id="78">
    <w:p w14:paraId="09F90BB7" w14:textId="77777777" w:rsidR="002F4213" w:rsidRPr="00E0758D" w:rsidRDefault="002F4213" w:rsidP="003B174F">
      <w:pPr>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Corte </w:t>
      </w:r>
      <w:r w:rsidRPr="003B174F">
        <w:rPr>
          <w:rFonts w:ascii="Cambria" w:hAnsi="Cambria"/>
          <w:sz w:val="16"/>
          <w:szCs w:val="16"/>
          <w:lang w:val="es-ES_tradnl"/>
        </w:rPr>
        <w:t>IDH</w:t>
      </w:r>
      <w:r w:rsidRPr="00E0758D">
        <w:rPr>
          <w:rFonts w:ascii="Cambria" w:hAnsi="Cambria"/>
          <w:sz w:val="16"/>
          <w:szCs w:val="16"/>
          <w:lang w:val="es-ES"/>
        </w:rPr>
        <w:t xml:space="preserve">. Caso Bueno Alves Vs. Argentina. Fondo, Reparaciones y Costas. Sentencia de 11 de mayo de 2007. Serie C No. 164, párr. 76; Corte IDH. Caso del Penal Miguel Castro Castro Vs. Perú. Fondo, Reparaciones y Costas. Sentencia de 25 de noviembre de 2006. Serie C No. 160, párr. 271; y Corte IDH. Caso Baldeón García Vs. Perú. Fondo, Reparaciones y Costas. Sentencia de 6 de abril de 2006. Serie C No. 147, párr. 117. </w:t>
      </w:r>
    </w:p>
  </w:footnote>
  <w:footnote w:id="79">
    <w:p w14:paraId="3243325D" w14:textId="77777777" w:rsidR="002F4213" w:rsidRPr="00E0758D" w:rsidRDefault="002F4213" w:rsidP="00910A5C">
      <w:pPr>
        <w:tabs>
          <w:tab w:val="left" w:pos="900"/>
          <w:tab w:val="left" w:pos="1080"/>
        </w:tabs>
        <w:jc w:val="both"/>
        <w:rPr>
          <w:rFonts w:ascii="Cambria" w:hAnsi="Cambria"/>
          <w:sz w:val="16"/>
          <w:szCs w:val="16"/>
          <w:lang w:val="es-CO"/>
        </w:rPr>
      </w:pPr>
      <w:r w:rsidRPr="00E0758D">
        <w:rPr>
          <w:rStyle w:val="FootnoteReference"/>
          <w:rFonts w:ascii="Cambria" w:hAnsi="Cambria"/>
          <w:sz w:val="16"/>
          <w:szCs w:val="16"/>
        </w:rPr>
        <w:footnoteRef/>
      </w:r>
      <w:r w:rsidRPr="005A6989">
        <w:rPr>
          <w:rFonts w:ascii="Cambria" w:hAnsi="Cambria"/>
          <w:sz w:val="16"/>
          <w:szCs w:val="16"/>
          <w:lang w:val="es-ES"/>
        </w:rPr>
        <w:t xml:space="preserve"> Corte IDH. Caso Bueno Alves.  </w:t>
      </w:r>
      <w:r w:rsidRPr="00E0758D">
        <w:rPr>
          <w:rFonts w:ascii="Cambria" w:hAnsi="Cambria"/>
          <w:sz w:val="16"/>
          <w:szCs w:val="16"/>
          <w:lang w:val="es-ES"/>
        </w:rPr>
        <w:t xml:space="preserve">Sentencia de 11 de mayo de 2007.  Serie C. No. 164. </w:t>
      </w:r>
      <w:r w:rsidRPr="00E0758D">
        <w:rPr>
          <w:rFonts w:ascii="Cambria" w:hAnsi="Cambria"/>
          <w:sz w:val="16"/>
          <w:szCs w:val="16"/>
          <w:lang w:val="es-ES_tradnl"/>
        </w:rPr>
        <w:t xml:space="preserve">Párr. 76; </w:t>
      </w:r>
      <w:r w:rsidRPr="00E0758D">
        <w:rPr>
          <w:rFonts w:ascii="Cambria" w:hAnsi="Cambria"/>
          <w:sz w:val="16"/>
          <w:szCs w:val="16"/>
          <w:lang w:val="es-ES"/>
        </w:rPr>
        <w:t xml:space="preserve">Corte I.D.H., </w:t>
      </w:r>
      <w:r w:rsidRPr="00E0758D">
        <w:rPr>
          <w:rFonts w:ascii="Cambria" w:hAnsi="Cambria"/>
          <w:bCs/>
          <w:color w:val="000000"/>
          <w:sz w:val="16"/>
          <w:szCs w:val="16"/>
          <w:lang w:val="es-ES"/>
        </w:rPr>
        <w:t xml:space="preserve">Caso del Penal Miguel Castro Castro. </w:t>
      </w:r>
      <w:r w:rsidRPr="00E0758D">
        <w:rPr>
          <w:rFonts w:ascii="Cambria" w:hAnsi="Cambria"/>
          <w:color w:val="000000"/>
          <w:sz w:val="16"/>
          <w:szCs w:val="16"/>
          <w:lang w:val="es-ES"/>
        </w:rPr>
        <w:t>Sentencia de 25 de noviembre de 2006. Serie C No. 160.</w:t>
      </w:r>
      <w:r w:rsidRPr="00E0758D">
        <w:rPr>
          <w:rFonts w:ascii="Cambria" w:hAnsi="Cambria"/>
          <w:sz w:val="16"/>
          <w:szCs w:val="16"/>
          <w:lang w:val="es-ES"/>
        </w:rPr>
        <w:t xml:space="preserve"> P</w:t>
      </w:r>
      <w:r w:rsidRPr="00E0758D">
        <w:rPr>
          <w:rFonts w:ascii="Cambria" w:hAnsi="Cambria"/>
          <w:sz w:val="16"/>
          <w:szCs w:val="16"/>
          <w:lang w:val="es-CO"/>
        </w:rPr>
        <w:t xml:space="preserve">árr. 271; y Corte I.D.H., Caso Baldeón García. Sentencia de 6 de abril de 2006. Serie C No. 147. Párr. 117. </w:t>
      </w:r>
    </w:p>
  </w:footnote>
  <w:footnote w:id="80">
    <w:p w14:paraId="56EFED2E" w14:textId="77777777" w:rsidR="002F4213" w:rsidRPr="00E0758D" w:rsidRDefault="002F4213" w:rsidP="00910A5C">
      <w:pPr>
        <w:pStyle w:val="FootnoteText"/>
        <w:tabs>
          <w:tab w:val="left" w:pos="720"/>
          <w:tab w:val="left" w:pos="900"/>
          <w:tab w:val="left" w:pos="1080"/>
        </w:tabs>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CO"/>
        </w:rPr>
        <w:t xml:space="preserve"> Corte IDH. Caso Bueno Alves.  </w:t>
      </w:r>
      <w:r w:rsidRPr="00E0758D">
        <w:rPr>
          <w:rFonts w:ascii="Cambria" w:hAnsi="Cambria"/>
          <w:sz w:val="16"/>
          <w:szCs w:val="16"/>
          <w:lang w:val="es-ES"/>
        </w:rPr>
        <w:t xml:space="preserve">Sentencia de 11 de mayo de 2007.  Serie C. No. 164. </w:t>
      </w:r>
      <w:r w:rsidRPr="00E0758D">
        <w:rPr>
          <w:rFonts w:ascii="Cambria" w:hAnsi="Cambria"/>
          <w:sz w:val="16"/>
          <w:szCs w:val="16"/>
          <w:lang w:val="es-ES_tradnl"/>
        </w:rPr>
        <w:t xml:space="preserve">Párr. 77. </w:t>
      </w:r>
    </w:p>
  </w:footnote>
  <w:footnote w:id="81">
    <w:p w14:paraId="4D6ADDEB" w14:textId="77777777" w:rsidR="002F4213" w:rsidRPr="00E0758D" w:rsidRDefault="002F4213" w:rsidP="003B174F">
      <w:pPr>
        <w:jc w:val="both"/>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ES"/>
        </w:rPr>
        <w:t xml:space="preserve"> CIDH, </w:t>
      </w:r>
      <w:r w:rsidRPr="003B174F">
        <w:rPr>
          <w:rFonts w:ascii="Cambria" w:hAnsi="Cambria"/>
          <w:sz w:val="16"/>
          <w:szCs w:val="16"/>
          <w:lang w:val="es-ES_tradnl"/>
        </w:rPr>
        <w:t>Informe</w:t>
      </w:r>
      <w:r w:rsidRPr="00E0758D">
        <w:rPr>
          <w:rFonts w:ascii="Cambria" w:hAnsi="Cambria"/>
          <w:sz w:val="16"/>
          <w:szCs w:val="16"/>
          <w:lang w:val="es-ES"/>
        </w:rPr>
        <w:t xml:space="preserve"> No. 5/96, Caso 10.970, Fondo, Raquel Martin Mejía, Perú, 1 de marzo de 1996, sección 3. análisis y Corte IDH. Caso Bueno Alves Vs. Argentina. Fondo, Reparaciones y Costas. Sentencia de 11 de mayo de 2007. Serie C No. 164, </w:t>
      </w:r>
      <w:r w:rsidRPr="00E0758D">
        <w:rPr>
          <w:rFonts w:ascii="Cambria" w:hAnsi="Cambria"/>
          <w:sz w:val="16"/>
          <w:szCs w:val="16"/>
          <w:lang w:val="es-ES_tradnl"/>
        </w:rPr>
        <w:t>párr. 79.</w:t>
      </w:r>
      <w:r w:rsidRPr="00E0758D">
        <w:rPr>
          <w:rFonts w:ascii="Cambria" w:hAnsi="Cambria"/>
          <w:sz w:val="16"/>
          <w:szCs w:val="16"/>
          <w:lang w:val="es-ES"/>
        </w:rPr>
        <w:t xml:space="preserve"> </w:t>
      </w:r>
    </w:p>
  </w:footnote>
  <w:footnote w:id="82">
    <w:p w14:paraId="17D062E8" w14:textId="77777777" w:rsidR="002F4213" w:rsidRPr="00E0758D" w:rsidRDefault="002F4213" w:rsidP="00910A5C">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Style w:val="FootnoteReference"/>
          <w:rFonts w:ascii="Cambria" w:hAnsi="Cambria"/>
          <w:sz w:val="16"/>
          <w:szCs w:val="16"/>
          <w:lang w:val="es-MX"/>
        </w:rPr>
        <w:t xml:space="preserve"> </w:t>
      </w:r>
      <w:r w:rsidRPr="00E0758D">
        <w:rPr>
          <w:rFonts w:ascii="Cambria" w:hAnsi="Cambria"/>
          <w:sz w:val="16"/>
          <w:szCs w:val="16"/>
          <w:lang w:val="es-ES"/>
        </w:rPr>
        <w:t>CIDH. Informe de fondo No. 40/15. Caso 11.482. Fondo. Noel Emiro Omeara Carrascal, Manuel Guillermo Omeara Miraval, Héctor Álvarez Sánchez y otros. Colombia. 28 de julio de 2015. Párr. 143; y Corte IDH</w:t>
      </w:r>
      <w:r w:rsidRPr="00E0758D">
        <w:rPr>
          <w:rFonts w:ascii="Cambria" w:hAnsi="Cambria"/>
          <w:sz w:val="16"/>
          <w:szCs w:val="16"/>
          <w:lang w:val="es-ES_tradnl"/>
        </w:rPr>
        <w:t xml:space="preserve">. Caso de la Masacre de la Rochela.  Sentencia de 11 de mayo de 2007.  Serie C. No. 163, párr. 127. </w:t>
      </w:r>
    </w:p>
  </w:footnote>
  <w:footnote w:id="83">
    <w:p w14:paraId="306F0C4A" w14:textId="77777777" w:rsidR="002F4213" w:rsidRPr="00E0758D" w:rsidRDefault="002F4213" w:rsidP="00910A5C">
      <w:pPr>
        <w:pStyle w:val="FootnoteText"/>
        <w:jc w:val="both"/>
        <w:rPr>
          <w:rFonts w:ascii="Cambria" w:hAnsi="Cambria"/>
          <w:sz w:val="16"/>
          <w:szCs w:val="16"/>
          <w:lang w:val="es-US"/>
        </w:rPr>
      </w:pPr>
      <w:r w:rsidRPr="00E0758D">
        <w:rPr>
          <w:rStyle w:val="FootnoteReference"/>
          <w:rFonts w:ascii="Cambria" w:hAnsi="Cambria"/>
          <w:sz w:val="16"/>
          <w:szCs w:val="16"/>
        </w:rPr>
        <w:footnoteRef/>
      </w:r>
      <w:r w:rsidRPr="005A6989">
        <w:rPr>
          <w:rFonts w:ascii="Cambria" w:hAnsi="Cambria"/>
          <w:sz w:val="16"/>
          <w:szCs w:val="16"/>
          <w:lang w:val="es-ES_tradnl"/>
        </w:rPr>
        <w:t xml:space="preserve">Cfr. Eur.C.H.R., Acar and Others v. Turkey, Judgment of 24 May 2005, App. Nos. 36088/97 and 38417/97, para. </w:t>
      </w:r>
      <w:r w:rsidRPr="00E0758D">
        <w:rPr>
          <w:rFonts w:ascii="Cambria" w:hAnsi="Cambria"/>
          <w:sz w:val="16"/>
          <w:szCs w:val="16"/>
          <w:lang w:val="es-US"/>
        </w:rPr>
        <w:t>77.</w:t>
      </w:r>
    </w:p>
  </w:footnote>
  <w:footnote w:id="84">
    <w:p w14:paraId="771F726E" w14:textId="77777777" w:rsidR="002F4213" w:rsidRPr="00E0758D" w:rsidRDefault="002F4213" w:rsidP="00910A5C">
      <w:pPr>
        <w:pStyle w:val="FootnoteText"/>
        <w:jc w:val="both"/>
        <w:rPr>
          <w:rFonts w:ascii="Cambria" w:hAnsi="Cambria"/>
          <w:sz w:val="16"/>
          <w:szCs w:val="16"/>
          <w:lang w:val="es-ES"/>
        </w:rPr>
      </w:pPr>
      <w:r w:rsidRPr="00E0758D">
        <w:rPr>
          <w:rStyle w:val="FootnoteReference"/>
          <w:rFonts w:ascii="Cambria" w:hAnsi="Cambria"/>
          <w:sz w:val="16"/>
          <w:szCs w:val="16"/>
          <w:lang w:val="es-ES"/>
        </w:rPr>
        <w:footnoteRef/>
      </w:r>
      <w:r w:rsidRPr="00E0758D">
        <w:rPr>
          <w:rFonts w:ascii="Cambria" w:hAnsi="Cambria"/>
          <w:sz w:val="16"/>
          <w:szCs w:val="16"/>
          <w:lang w:val="es-ES"/>
        </w:rPr>
        <w:t xml:space="preserve"> Corte IDH, </w:t>
      </w:r>
      <w:r w:rsidRPr="00E0758D">
        <w:rPr>
          <w:rFonts w:ascii="Cambria" w:hAnsi="Cambria"/>
          <w:bCs/>
          <w:i/>
          <w:sz w:val="16"/>
          <w:szCs w:val="16"/>
          <w:lang w:val="es-ES"/>
        </w:rPr>
        <w:t>Caso Baldeón García</w:t>
      </w:r>
      <w:r w:rsidRPr="00E0758D">
        <w:rPr>
          <w:rFonts w:ascii="Cambria" w:hAnsi="Cambria"/>
          <w:bCs/>
          <w:sz w:val="16"/>
          <w:szCs w:val="16"/>
          <w:lang w:val="es-ES"/>
        </w:rPr>
        <w:t>.</w:t>
      </w:r>
      <w:r w:rsidRPr="00E0758D">
        <w:rPr>
          <w:rFonts w:ascii="Cambria" w:hAnsi="Cambria"/>
          <w:b/>
          <w:bCs/>
          <w:sz w:val="16"/>
          <w:szCs w:val="16"/>
          <w:lang w:val="es-ES"/>
        </w:rPr>
        <w:t xml:space="preserve"> </w:t>
      </w:r>
      <w:r w:rsidRPr="00E0758D">
        <w:rPr>
          <w:rFonts w:ascii="Cambria" w:hAnsi="Cambria"/>
          <w:sz w:val="16"/>
          <w:szCs w:val="16"/>
          <w:lang w:val="es-ES"/>
        </w:rPr>
        <w:t xml:space="preserve">Fondo, Reparaciones y Costas. Sentencia de 6 de abril de 2006. Serie C No. 147, párr. 156; </w:t>
      </w:r>
      <w:r w:rsidRPr="00E0758D">
        <w:rPr>
          <w:rFonts w:ascii="Cambria" w:hAnsi="Cambria"/>
          <w:bCs/>
          <w:i/>
          <w:sz w:val="16"/>
          <w:szCs w:val="16"/>
          <w:lang w:val="es-ES"/>
        </w:rPr>
        <w:t>Caso Gutiérrez Soler</w:t>
      </w:r>
      <w:r w:rsidRPr="00E0758D">
        <w:rPr>
          <w:rFonts w:ascii="Cambria" w:hAnsi="Cambria"/>
          <w:bCs/>
          <w:sz w:val="16"/>
          <w:szCs w:val="16"/>
          <w:lang w:val="es-ES"/>
        </w:rPr>
        <w:t>.</w:t>
      </w:r>
      <w:r w:rsidRPr="00E0758D">
        <w:rPr>
          <w:rFonts w:ascii="Cambria" w:hAnsi="Cambria"/>
          <w:b/>
          <w:bCs/>
          <w:sz w:val="16"/>
          <w:szCs w:val="16"/>
          <w:lang w:val="es-ES"/>
        </w:rPr>
        <w:t xml:space="preserve"> </w:t>
      </w:r>
      <w:r w:rsidRPr="00E0758D">
        <w:rPr>
          <w:rFonts w:ascii="Cambria" w:hAnsi="Cambria"/>
          <w:sz w:val="16"/>
          <w:szCs w:val="16"/>
          <w:lang w:val="es-ES"/>
        </w:rPr>
        <w:t xml:space="preserve">Fondo, Reparaciones y Costas. Sentencia de 12 de septiembre de 2005. Serie C No. 132, párr. 54; </w:t>
      </w:r>
      <w:r w:rsidRPr="00E0758D">
        <w:rPr>
          <w:rFonts w:ascii="Cambria" w:hAnsi="Cambria"/>
          <w:i/>
          <w:sz w:val="16"/>
          <w:szCs w:val="16"/>
          <w:lang w:val="es-ES"/>
        </w:rPr>
        <w:t>Caso Tibi</w:t>
      </w:r>
      <w:r w:rsidRPr="00E0758D">
        <w:rPr>
          <w:rFonts w:ascii="Cambria" w:hAnsi="Cambria"/>
          <w:sz w:val="16"/>
          <w:szCs w:val="16"/>
          <w:lang w:val="es-ES"/>
        </w:rPr>
        <w:t xml:space="preserve">. Sentencia de 7 de septiembre de 2004. Serie C No. 114, párr. 159 y </w:t>
      </w:r>
      <w:r w:rsidRPr="00E0758D">
        <w:rPr>
          <w:rFonts w:ascii="Cambria" w:hAnsi="Cambria"/>
          <w:bCs/>
          <w:sz w:val="16"/>
          <w:szCs w:val="16"/>
          <w:lang w:val="es-ES"/>
        </w:rPr>
        <w:t>Caso Ximenes Lopes.</w:t>
      </w:r>
      <w:r w:rsidRPr="00E0758D">
        <w:rPr>
          <w:rFonts w:ascii="Cambria" w:hAnsi="Cambria"/>
          <w:b/>
          <w:bCs/>
          <w:sz w:val="16"/>
          <w:szCs w:val="16"/>
          <w:lang w:val="es-ES"/>
        </w:rPr>
        <w:t xml:space="preserve"> </w:t>
      </w:r>
      <w:r w:rsidRPr="00E0758D">
        <w:rPr>
          <w:rFonts w:ascii="Cambria" w:hAnsi="Cambria"/>
          <w:sz w:val="16"/>
          <w:szCs w:val="16"/>
          <w:lang w:val="es-ES"/>
        </w:rPr>
        <w:t xml:space="preserve">Fondo, Reparaciones y Costas. Sentencia de 4 de julio de 2006. Serie C No. 149, párr. 148. En el mismo sentido, </w:t>
      </w:r>
      <w:r w:rsidRPr="00E0758D">
        <w:rPr>
          <w:rFonts w:ascii="Cambria" w:hAnsi="Cambria"/>
          <w:i/>
          <w:sz w:val="16"/>
          <w:szCs w:val="16"/>
          <w:lang w:val="es-ES"/>
        </w:rPr>
        <w:t>Eur.C.H.R.</w:t>
      </w:r>
      <w:r w:rsidRPr="00E0758D">
        <w:rPr>
          <w:rFonts w:ascii="Cambria" w:hAnsi="Cambria"/>
          <w:sz w:val="16"/>
          <w:szCs w:val="16"/>
          <w:lang w:val="es-ES"/>
        </w:rPr>
        <w:t xml:space="preserve">, </w:t>
      </w:r>
      <w:r w:rsidRPr="00E0758D">
        <w:rPr>
          <w:rFonts w:ascii="Cambria" w:hAnsi="Cambria"/>
          <w:i/>
          <w:sz w:val="16"/>
          <w:szCs w:val="16"/>
          <w:lang w:val="es-ES"/>
        </w:rPr>
        <w:t xml:space="preserve">Assenov and others v. Bulgaria, </w:t>
      </w:r>
      <w:r w:rsidRPr="00E0758D">
        <w:rPr>
          <w:rFonts w:ascii="Cambria" w:hAnsi="Cambria"/>
          <w:sz w:val="16"/>
          <w:szCs w:val="16"/>
          <w:lang w:val="es-ES"/>
        </w:rPr>
        <w:t xml:space="preserve">no. 90/1997/874/1086, Judgment of 28 October 1998, par. 102 y </w:t>
      </w:r>
      <w:r w:rsidRPr="00E0758D">
        <w:rPr>
          <w:rFonts w:ascii="Cambria" w:hAnsi="Cambria"/>
          <w:i/>
          <w:sz w:val="16"/>
          <w:szCs w:val="16"/>
          <w:lang w:val="es-ES"/>
        </w:rPr>
        <w:t>Eur.C.H.R.</w:t>
      </w:r>
      <w:r w:rsidRPr="00E0758D">
        <w:rPr>
          <w:rFonts w:ascii="Cambria" w:hAnsi="Cambria"/>
          <w:sz w:val="16"/>
          <w:szCs w:val="16"/>
          <w:lang w:val="es-ES"/>
        </w:rPr>
        <w:t xml:space="preserve">, </w:t>
      </w:r>
      <w:r w:rsidRPr="00E0758D">
        <w:rPr>
          <w:rFonts w:ascii="Cambria" w:hAnsi="Cambria"/>
          <w:i/>
          <w:sz w:val="16"/>
          <w:szCs w:val="16"/>
          <w:lang w:val="es-ES"/>
        </w:rPr>
        <w:t xml:space="preserve">Ilhan v. Turkey </w:t>
      </w:r>
      <w:r w:rsidRPr="00E0758D">
        <w:rPr>
          <w:rFonts w:ascii="Cambria" w:hAnsi="Cambria"/>
          <w:sz w:val="16"/>
          <w:szCs w:val="16"/>
          <w:lang w:val="es-ES"/>
        </w:rPr>
        <w:t>[GC]</w:t>
      </w:r>
      <w:r w:rsidRPr="00E0758D">
        <w:rPr>
          <w:rFonts w:ascii="Cambria" w:hAnsi="Cambria"/>
          <w:i/>
          <w:sz w:val="16"/>
          <w:szCs w:val="16"/>
          <w:lang w:val="es-ES"/>
        </w:rPr>
        <w:t xml:space="preserve">, </w:t>
      </w:r>
      <w:r w:rsidRPr="00E0758D">
        <w:rPr>
          <w:rFonts w:ascii="Cambria" w:hAnsi="Cambria"/>
          <w:sz w:val="16"/>
          <w:szCs w:val="16"/>
          <w:lang w:val="es-ES"/>
        </w:rPr>
        <w:t>no. 22277/93, Judgment of 27 June 2000, paras. 89-93.</w:t>
      </w:r>
    </w:p>
  </w:footnote>
  <w:footnote w:id="85">
    <w:p w14:paraId="0C75DA2E" w14:textId="77777777" w:rsidR="002F4213" w:rsidRPr="00E0758D" w:rsidRDefault="002F4213" w:rsidP="00910A5C">
      <w:pPr>
        <w:pStyle w:val="FootnoteText"/>
        <w:jc w:val="both"/>
        <w:rPr>
          <w:rFonts w:ascii="Cambria" w:hAnsi="Cambria"/>
          <w:sz w:val="16"/>
          <w:szCs w:val="16"/>
          <w:lang w:val="es-VE"/>
        </w:rPr>
      </w:pPr>
      <w:r w:rsidRPr="00E0758D">
        <w:rPr>
          <w:rStyle w:val="FootnoteReference"/>
          <w:rFonts w:ascii="Cambria" w:hAnsi="Cambria"/>
          <w:sz w:val="16"/>
          <w:szCs w:val="16"/>
        </w:rPr>
        <w:footnoteRef/>
      </w:r>
      <w:r w:rsidRPr="00E0758D">
        <w:rPr>
          <w:rFonts w:ascii="Cambria" w:hAnsi="Cambria"/>
          <w:sz w:val="16"/>
          <w:szCs w:val="16"/>
          <w:lang w:val="es-VE"/>
        </w:rPr>
        <w:t xml:space="preserve"> Corte IDH. Caso Montero Aranguren y otros (Retén de Catia) vs. Venezuela. Fondo, Reparaciones y Costas. Sentencia de 5 de julio de 2006. Serie C No. 150, párr.79.</w:t>
      </w:r>
    </w:p>
  </w:footnote>
  <w:footnote w:id="86">
    <w:p w14:paraId="203FBFB3" w14:textId="77777777" w:rsidR="002F4213" w:rsidRPr="00E0758D" w:rsidRDefault="002F4213" w:rsidP="00910A5C">
      <w:pPr>
        <w:pStyle w:val="FootnoteText"/>
        <w:jc w:val="both"/>
        <w:rPr>
          <w:rFonts w:ascii="Cambria" w:hAnsi="Cambria"/>
          <w:sz w:val="16"/>
          <w:szCs w:val="16"/>
          <w:lang w:val="es-VE"/>
        </w:rPr>
      </w:pPr>
      <w:r w:rsidRPr="00E0758D">
        <w:rPr>
          <w:rStyle w:val="FootnoteReference"/>
          <w:rFonts w:ascii="Cambria" w:hAnsi="Cambria"/>
          <w:sz w:val="16"/>
          <w:szCs w:val="16"/>
        </w:rPr>
        <w:footnoteRef/>
      </w:r>
      <w:r w:rsidRPr="00E0758D">
        <w:rPr>
          <w:rFonts w:ascii="Cambria" w:hAnsi="Cambria"/>
          <w:sz w:val="16"/>
          <w:szCs w:val="16"/>
          <w:lang w:val="es-VE"/>
        </w:rPr>
        <w:t xml:space="preserve"> Corte IDH. Caso Bueno Alves vs. Argentina. Fondo, Reparaciones y Costas. Sentencia de 11 de mayo de 2007. Serie C No. 16, párr.109.</w:t>
      </w:r>
    </w:p>
  </w:footnote>
  <w:footnote w:id="87">
    <w:p w14:paraId="4F9BCA79" w14:textId="154A34E2" w:rsidR="002F4213" w:rsidRPr="00E0758D" w:rsidRDefault="002F4213" w:rsidP="00910A5C">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ES_tradnl"/>
        </w:rPr>
        <w:t>Anexo 4</w:t>
      </w:r>
      <w:r w:rsidRPr="00E0758D">
        <w:rPr>
          <w:rFonts w:ascii="Cambria" w:hAnsi="Cambria"/>
          <w:sz w:val="16"/>
          <w:szCs w:val="16"/>
          <w:lang w:val="es-ES_tradnl"/>
        </w:rPr>
        <w:t>. Declaración rendida por Gildardo Fuentes Delgado ante el Cuerpo Técnico de Investigación el 2</w:t>
      </w:r>
      <w:r>
        <w:rPr>
          <w:rFonts w:ascii="Cambria" w:hAnsi="Cambria"/>
          <w:sz w:val="16"/>
          <w:szCs w:val="16"/>
          <w:lang w:val="es-ES_tradnl"/>
        </w:rPr>
        <w:t>4 de noviembre de 1999. Anexo</w:t>
      </w:r>
      <w:r w:rsidRPr="00E0758D">
        <w:rPr>
          <w:rFonts w:ascii="Cambria" w:hAnsi="Cambria"/>
          <w:sz w:val="16"/>
          <w:szCs w:val="16"/>
          <w:lang w:val="es-ES_tradnl"/>
        </w:rPr>
        <w:t xml:space="preserve"> al escrito de la parte peticionaria del 15 de agosto de 2006.</w:t>
      </w:r>
    </w:p>
  </w:footnote>
  <w:footnote w:id="88">
    <w:p w14:paraId="049FD304" w14:textId="0D847908" w:rsidR="002F4213" w:rsidRPr="00E0758D" w:rsidRDefault="002F4213" w:rsidP="00910A5C">
      <w:pPr>
        <w:pStyle w:val="FootnoteText"/>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Pr>
          <w:rFonts w:ascii="Cambria" w:hAnsi="Cambria"/>
          <w:sz w:val="16"/>
          <w:szCs w:val="16"/>
          <w:lang w:val="es-ES_tradnl"/>
        </w:rPr>
        <w:t>Anexo 4</w:t>
      </w:r>
      <w:r w:rsidRPr="00E0758D">
        <w:rPr>
          <w:rFonts w:ascii="Cambria" w:hAnsi="Cambria"/>
          <w:sz w:val="16"/>
          <w:szCs w:val="16"/>
          <w:lang w:val="es-ES_tradnl"/>
        </w:rPr>
        <w:t>. Declaración rendida por Gildardo Fuentes Delgado ante el Cuerpo Técnico de Investigación el 2</w:t>
      </w:r>
      <w:r>
        <w:rPr>
          <w:rFonts w:ascii="Cambria" w:hAnsi="Cambria"/>
          <w:sz w:val="16"/>
          <w:szCs w:val="16"/>
          <w:lang w:val="es-ES_tradnl"/>
        </w:rPr>
        <w:t>4 de noviembre de 1999. Anexo</w:t>
      </w:r>
      <w:r w:rsidRPr="00E0758D">
        <w:rPr>
          <w:rFonts w:ascii="Cambria" w:hAnsi="Cambria"/>
          <w:sz w:val="16"/>
          <w:szCs w:val="16"/>
          <w:lang w:val="es-ES_tradnl"/>
        </w:rPr>
        <w:t xml:space="preserve"> al escrito de la parte peticionaria del 15 de agosto de 2006.</w:t>
      </w:r>
    </w:p>
  </w:footnote>
  <w:footnote w:id="89">
    <w:p w14:paraId="77641FBF" w14:textId="77777777" w:rsidR="002F4213" w:rsidRPr="00E0758D" w:rsidRDefault="002F4213" w:rsidP="00910A5C">
      <w:pPr>
        <w:pStyle w:val="FootnoteText"/>
        <w:jc w:val="both"/>
        <w:rPr>
          <w:rFonts w:ascii="Cambria" w:hAnsi="Cambria"/>
          <w:sz w:val="16"/>
          <w:szCs w:val="16"/>
          <w:lang w:val="es-US"/>
        </w:rPr>
      </w:pPr>
      <w:r w:rsidRPr="00E0758D">
        <w:rPr>
          <w:rStyle w:val="FootnoteReference"/>
          <w:rFonts w:ascii="Cambria" w:hAnsi="Cambria"/>
          <w:sz w:val="16"/>
          <w:szCs w:val="16"/>
        </w:rPr>
        <w:footnoteRef/>
      </w:r>
      <w:r w:rsidRPr="00E0758D">
        <w:rPr>
          <w:rFonts w:ascii="Cambria" w:hAnsi="Cambria"/>
          <w:sz w:val="16"/>
          <w:szCs w:val="16"/>
          <w:lang w:val="es-US"/>
        </w:rPr>
        <w:t xml:space="preserve"> Los artículos de la Convención Americana referidos en el título arriba establecen lo siguiente:</w:t>
      </w:r>
    </w:p>
    <w:p w14:paraId="5722D0E8" w14:textId="77777777" w:rsidR="002F4213" w:rsidRPr="00E0758D" w:rsidRDefault="002F4213" w:rsidP="00910A5C">
      <w:pPr>
        <w:tabs>
          <w:tab w:val="left" w:pos="1440"/>
        </w:tabs>
        <w:jc w:val="both"/>
        <w:rPr>
          <w:rFonts w:ascii="Cambria" w:eastAsia="Times New Roman" w:hAnsi="Cambria"/>
          <w:sz w:val="16"/>
          <w:szCs w:val="16"/>
          <w:lang w:val="es-ES"/>
        </w:rPr>
      </w:pPr>
      <w:r w:rsidRPr="00E0758D">
        <w:rPr>
          <w:rFonts w:ascii="Cambria" w:hAnsi="Cambria"/>
          <w:sz w:val="16"/>
          <w:szCs w:val="16"/>
          <w:lang w:val="es-CO"/>
        </w:rPr>
        <w:t xml:space="preserve">Artículo 3. Derecho al Reconocimiento de la Personalidad Jurídica: </w:t>
      </w:r>
      <w:r w:rsidRPr="00E0758D">
        <w:rPr>
          <w:rFonts w:ascii="Cambria" w:eastAsia="Times New Roman" w:hAnsi="Cambria"/>
          <w:sz w:val="16"/>
          <w:szCs w:val="16"/>
          <w:lang w:val="es-ES"/>
        </w:rPr>
        <w:t xml:space="preserve">Toda persona tiene derecho al reconocimiento de su personalidad jurídica. </w:t>
      </w:r>
    </w:p>
    <w:p w14:paraId="6DB52B1F" w14:textId="77777777" w:rsidR="002F4213" w:rsidRPr="00E0758D" w:rsidRDefault="002F4213" w:rsidP="00910A5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16"/>
          <w:szCs w:val="16"/>
          <w:lang w:val="es-ES" w:eastAsia="es-ES"/>
        </w:rPr>
      </w:pPr>
      <w:r w:rsidRPr="00E0758D">
        <w:rPr>
          <w:rFonts w:ascii="Cambria" w:eastAsia="Times New Roman" w:hAnsi="Cambria"/>
          <w:sz w:val="16"/>
          <w:szCs w:val="16"/>
          <w:lang w:val="es-ES" w:eastAsia="es-ES"/>
        </w:rPr>
        <w:t>Artículo 4. Derecho a la Vida. 1. Toda persona tiene derecho a que se respete su vida. Este derecho estará protegido por la ley y, en general, a partir del momento de la concepción. Nadie puede ser privado de la vida arbitrariamente.</w:t>
      </w:r>
    </w:p>
    <w:p w14:paraId="5A44321B" w14:textId="77777777" w:rsidR="002F4213" w:rsidRPr="00E0758D" w:rsidRDefault="002F4213" w:rsidP="00910A5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16"/>
          <w:szCs w:val="16"/>
          <w:lang w:val="es-ES" w:eastAsia="es-ES"/>
        </w:rPr>
      </w:pPr>
      <w:r w:rsidRPr="00E0758D">
        <w:rPr>
          <w:rFonts w:ascii="Cambria" w:eastAsia="Times New Roman" w:hAnsi="Cambria"/>
          <w:sz w:val="16"/>
          <w:szCs w:val="16"/>
          <w:lang w:val="es-ES" w:eastAsia="es-ES"/>
        </w:rPr>
        <w:t>Artículo 5. Derecho a la Integridad Personal. 1. Toda persona tiene derecho a que se respete su integridad física, psíquica y moral. 2. Nadie debe ser sometido a torturas ni a penas o tratos crueles, inhumanos o degradantes. Toda persona privada de libertad será tratada con el respeto debido a la dignidad inherente al ser humano.</w:t>
      </w:r>
    </w:p>
    <w:p w14:paraId="05431ABE" w14:textId="77777777" w:rsidR="002F4213" w:rsidRPr="00E0758D" w:rsidRDefault="002F4213" w:rsidP="00910A5C">
      <w:pPr>
        <w:jc w:val="both"/>
        <w:rPr>
          <w:rFonts w:ascii="Cambria" w:eastAsia="Times New Roman" w:hAnsi="Cambria"/>
          <w:sz w:val="16"/>
          <w:szCs w:val="16"/>
          <w:lang w:val="es-ES" w:eastAsia="es-ES"/>
        </w:rPr>
      </w:pPr>
      <w:r w:rsidRPr="00E0758D">
        <w:rPr>
          <w:rFonts w:ascii="Cambria" w:eastAsia="Times New Roman" w:hAnsi="Cambria"/>
          <w:sz w:val="16"/>
          <w:szCs w:val="16"/>
          <w:lang w:val="es-ES" w:eastAsia="es-ES"/>
        </w:rPr>
        <w:t xml:space="preserve">Artículo 7. Derecho a la Libertad Personal: 1.Toda persona tiene derecho a la libertad y a la seguridad personales. </w:t>
      </w:r>
    </w:p>
    <w:p w14:paraId="6AA697ED" w14:textId="02414CA4" w:rsidR="002F4213" w:rsidRPr="00E0758D" w:rsidRDefault="002F4213" w:rsidP="00910A5C">
      <w:pPr>
        <w:jc w:val="both"/>
        <w:rPr>
          <w:rFonts w:ascii="Cambria" w:hAnsi="Cambria"/>
          <w:sz w:val="16"/>
          <w:szCs w:val="16"/>
          <w:lang w:val="es-US"/>
        </w:rPr>
      </w:pPr>
      <w:r w:rsidRPr="00E0758D">
        <w:rPr>
          <w:rFonts w:ascii="Cambria" w:eastAsia="Times New Roman" w:hAnsi="Cambria"/>
          <w:sz w:val="16"/>
          <w:szCs w:val="16"/>
          <w:lang w:val="es-ES" w:eastAsia="es-ES"/>
        </w:rPr>
        <w:t xml:space="preserve">Artículo 1.1. Los Estados partes en esta Convención se comprometen a respetar los derechos y libertades reconocidos en ella y a garantizar su </w:t>
      </w:r>
    </w:p>
  </w:footnote>
  <w:footnote w:id="90">
    <w:p w14:paraId="141F41B5" w14:textId="77777777" w:rsidR="002F4213" w:rsidRPr="00E0758D" w:rsidRDefault="002F4213" w:rsidP="00910A5C">
      <w:pPr>
        <w:pStyle w:val="FootnoteText"/>
        <w:jc w:val="both"/>
        <w:rPr>
          <w:rFonts w:ascii="Cambria" w:hAnsi="Cambria"/>
          <w:sz w:val="16"/>
          <w:szCs w:val="16"/>
          <w:lang w:val="es-US"/>
        </w:rPr>
      </w:pPr>
      <w:r w:rsidRPr="00E0758D">
        <w:rPr>
          <w:rStyle w:val="FootnoteReference"/>
          <w:rFonts w:ascii="Cambria" w:hAnsi="Cambria"/>
          <w:sz w:val="16"/>
          <w:szCs w:val="16"/>
        </w:rPr>
        <w:footnoteRef/>
      </w:r>
      <w:r w:rsidRPr="00E0758D">
        <w:rPr>
          <w:rFonts w:ascii="Cambria" w:hAnsi="Cambria"/>
          <w:sz w:val="16"/>
          <w:szCs w:val="16"/>
          <w:lang w:val="es-US"/>
        </w:rPr>
        <w:t xml:space="preserve"> Dichos artículos establecen lo siguiente: </w:t>
      </w:r>
      <w:r w:rsidRPr="00E0758D">
        <w:rPr>
          <w:rFonts w:ascii="Cambria" w:eastAsia="Times New Roman" w:hAnsi="Cambria"/>
          <w:sz w:val="16"/>
          <w:szCs w:val="16"/>
          <w:lang w:val="es-ES"/>
        </w:rPr>
        <w:t xml:space="preserve">Artículo I. Los Estados partes en esta Convención se comprometen a: a) No practicar, no permitir, ni tolerar la desaparición forzada de personas, ni aun en estado de emergencia, excepción o suspensión de garantías individuales; b) Sancionar en el ámbito de su jurisdicción a los autores, cómplices y encubridores del delito de desaparición forzada de personas, así como la tentativa de comisión del mismo. </w:t>
      </w:r>
    </w:p>
  </w:footnote>
  <w:footnote w:id="91">
    <w:p w14:paraId="0E2871BB" w14:textId="77777777" w:rsidR="002F4213" w:rsidRPr="00E0758D" w:rsidRDefault="002F4213" w:rsidP="00910A5C">
      <w:pPr>
        <w:tabs>
          <w:tab w:val="left" w:pos="360"/>
        </w:tabs>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CO"/>
        </w:rPr>
        <w:t xml:space="preserve"> </w:t>
      </w:r>
      <w:r w:rsidRPr="00E0758D">
        <w:rPr>
          <w:rFonts w:ascii="Cambria" w:hAnsi="Cambria"/>
          <w:sz w:val="16"/>
          <w:szCs w:val="16"/>
          <w:lang w:val="es-ES_tradnl"/>
        </w:rPr>
        <w:t xml:space="preserve">CIDH. Informe 101/01. Caso 10.247 y otros. Ejecuciones extrajudiciales y desapariciones forzadas de personas. Perú. 10 de octubre de 2001. Párr. 178; </w:t>
      </w:r>
      <w:r w:rsidRPr="00E0758D">
        <w:rPr>
          <w:rFonts w:ascii="Cambria" w:hAnsi="Cambria"/>
          <w:sz w:val="16"/>
          <w:szCs w:val="16"/>
          <w:lang w:val="de-DE"/>
        </w:rPr>
        <w:t xml:space="preserve">CIDH. Demanda ante la Corte Interamericana, Caso No. 11.324, Narciso González y otros, República Domincana, 2 de mayo de 2010, párr. 103; CIDH. Demanda ante la Corte Interamericana, Caso No. 12.517, Gregoria Herminia Contreras y otros, El Salvador, 28 de junio de 2010, párr. 131; </w:t>
      </w:r>
      <w:r w:rsidRPr="00E0758D">
        <w:rPr>
          <w:rFonts w:ascii="Cambria" w:hAnsi="Cambria"/>
          <w:sz w:val="16"/>
          <w:szCs w:val="16"/>
          <w:lang w:val="es-ES_tradnl"/>
        </w:rPr>
        <w:t xml:space="preserve">Corte IDH, </w:t>
      </w:r>
      <w:r w:rsidRPr="00E0758D">
        <w:rPr>
          <w:rFonts w:ascii="Cambria" w:hAnsi="Cambria"/>
          <w:iCs/>
          <w:sz w:val="16"/>
          <w:szCs w:val="16"/>
          <w:lang w:val="es-ES_tradnl"/>
        </w:rPr>
        <w:t>Caso Goiburú y otros</w:t>
      </w:r>
      <w:r w:rsidRPr="00E0758D">
        <w:rPr>
          <w:rFonts w:ascii="Cambria" w:hAnsi="Cambria"/>
          <w:sz w:val="16"/>
          <w:szCs w:val="16"/>
          <w:lang w:val="es-ES_tradnl"/>
        </w:rPr>
        <w:t xml:space="preserve">. Sentencia sobre Fondo, Reparaciones y Costas. Sentencia de 22 de septiembre de 2006. Serie C No. 153. Párr. </w:t>
      </w:r>
      <w:r w:rsidRPr="00E0758D">
        <w:rPr>
          <w:rFonts w:ascii="Cambria" w:hAnsi="Cambria"/>
          <w:sz w:val="16"/>
          <w:szCs w:val="16"/>
          <w:lang w:val="es-CO"/>
        </w:rPr>
        <w:t xml:space="preserve">82; </w:t>
      </w:r>
      <w:r w:rsidRPr="00E0758D">
        <w:rPr>
          <w:rFonts w:ascii="Cambria" w:hAnsi="Cambria"/>
          <w:sz w:val="16"/>
          <w:szCs w:val="16"/>
          <w:lang w:val="es-ES_tradnl"/>
        </w:rPr>
        <w:t xml:space="preserve">Corte IDH, </w:t>
      </w:r>
      <w:r w:rsidRPr="00E0758D">
        <w:rPr>
          <w:rFonts w:ascii="Cambria" w:hAnsi="Cambria"/>
          <w:iCs/>
          <w:sz w:val="16"/>
          <w:szCs w:val="16"/>
          <w:lang w:val="es-ES_tradnl"/>
        </w:rPr>
        <w:t>Caso Gómez Palomino</w:t>
      </w:r>
      <w:r w:rsidRPr="00E0758D">
        <w:rPr>
          <w:rFonts w:ascii="Cambria" w:hAnsi="Cambria"/>
          <w:sz w:val="16"/>
          <w:szCs w:val="16"/>
          <w:lang w:val="es-ES_tradnl"/>
        </w:rPr>
        <w:t xml:space="preserve">. Sentencia de 22 de noviembre de 2005. Serie C No. 136. </w:t>
      </w:r>
      <w:r w:rsidRPr="00E0758D">
        <w:rPr>
          <w:rFonts w:ascii="Cambria" w:hAnsi="Cambria"/>
          <w:sz w:val="16"/>
          <w:szCs w:val="16"/>
          <w:lang w:val="es-CO"/>
        </w:rPr>
        <w:t xml:space="preserve">Párr. 92; </w:t>
      </w:r>
      <w:r w:rsidRPr="00E0758D">
        <w:rPr>
          <w:rFonts w:ascii="Cambria" w:hAnsi="Cambria"/>
          <w:sz w:val="16"/>
          <w:szCs w:val="16"/>
          <w:lang w:val="es-ES_tradnl"/>
        </w:rPr>
        <w:t>Corte I.D.H.,</w:t>
      </w:r>
      <w:r w:rsidRPr="00E0758D">
        <w:rPr>
          <w:rFonts w:ascii="Cambria" w:hAnsi="Cambria"/>
          <w:sz w:val="16"/>
          <w:szCs w:val="16"/>
          <w:lang w:val="es-CO"/>
        </w:rPr>
        <w:t xml:space="preserve"> </w:t>
      </w:r>
      <w:r w:rsidRPr="00E0758D">
        <w:rPr>
          <w:rFonts w:ascii="Cambria" w:hAnsi="Cambria"/>
          <w:noProof/>
          <w:sz w:val="16"/>
          <w:szCs w:val="16"/>
          <w:lang w:val="es-CO"/>
        </w:rPr>
        <w:t xml:space="preserve">Caso de las Hermanas Serrano Cruz. Excepciones preliminares. </w:t>
      </w:r>
      <w:r w:rsidRPr="00E0758D">
        <w:rPr>
          <w:rFonts w:ascii="Cambria" w:hAnsi="Cambria"/>
          <w:sz w:val="16"/>
          <w:szCs w:val="16"/>
          <w:lang w:val="es-CO"/>
        </w:rPr>
        <w:t xml:space="preserve">Sentencia de 23 de noviembre de 2004. </w:t>
      </w:r>
      <w:r w:rsidRPr="00E0758D">
        <w:rPr>
          <w:rFonts w:ascii="Cambria" w:hAnsi="Cambria"/>
          <w:sz w:val="16"/>
          <w:szCs w:val="16"/>
          <w:lang w:val="es-ES_tradnl"/>
        </w:rPr>
        <w:t>Serie C No. 118</w:t>
      </w:r>
      <w:r w:rsidRPr="00E0758D">
        <w:rPr>
          <w:rFonts w:ascii="Cambria" w:hAnsi="Cambria"/>
          <w:noProof/>
          <w:sz w:val="16"/>
          <w:szCs w:val="16"/>
          <w:lang w:val="es-ES_tradnl"/>
        </w:rPr>
        <w:t xml:space="preserve">, Párrs. 100 a 106; Corte IDH., </w:t>
      </w:r>
      <w:r w:rsidRPr="00E0758D">
        <w:rPr>
          <w:rFonts w:ascii="Cambria" w:hAnsi="Cambria"/>
          <w:sz w:val="16"/>
          <w:szCs w:val="16"/>
          <w:lang w:val="es-ES_tradnl"/>
        </w:rPr>
        <w:t xml:space="preserve">Caso Molina Theissen. </w:t>
      </w:r>
      <w:r w:rsidRPr="00E0758D">
        <w:rPr>
          <w:rFonts w:ascii="Cambria" w:hAnsi="Cambria"/>
          <w:noProof/>
          <w:sz w:val="16"/>
          <w:szCs w:val="16"/>
          <w:lang w:val="es-ES_tradnl"/>
        </w:rPr>
        <w:t xml:space="preserve">Reparaciones (art. 63.1 Convención Americana sobre Derechos Humanos). </w:t>
      </w:r>
      <w:r w:rsidRPr="00E0758D">
        <w:rPr>
          <w:rFonts w:ascii="Cambria" w:hAnsi="Cambria"/>
          <w:sz w:val="16"/>
          <w:szCs w:val="16"/>
          <w:lang w:val="es-ES_tradnl"/>
        </w:rPr>
        <w:t xml:space="preserve">Sentencia de 3 de julio de 2004, Serie C No. 108, Párr. 41. </w:t>
      </w:r>
    </w:p>
  </w:footnote>
  <w:footnote w:id="92">
    <w:p w14:paraId="409FD685" w14:textId="77777777" w:rsidR="002F4213" w:rsidRPr="00E0758D" w:rsidRDefault="002F4213" w:rsidP="00910A5C">
      <w:pPr>
        <w:pStyle w:val="FootnoteText"/>
        <w:jc w:val="both"/>
        <w:rPr>
          <w:rFonts w:ascii="Cambria" w:hAnsi="Cambria"/>
          <w:sz w:val="16"/>
          <w:szCs w:val="16"/>
          <w:lang w:val="es-CO"/>
        </w:rPr>
      </w:pPr>
      <w:r w:rsidRPr="00E0758D">
        <w:rPr>
          <w:rStyle w:val="FootnoteReference"/>
          <w:rFonts w:ascii="Cambria" w:hAnsi="Cambria"/>
          <w:sz w:val="16"/>
          <w:szCs w:val="16"/>
        </w:rPr>
        <w:footnoteRef/>
      </w:r>
      <w:r w:rsidRPr="00E0758D">
        <w:rPr>
          <w:rFonts w:ascii="Cambria" w:hAnsi="Cambria"/>
          <w:sz w:val="16"/>
          <w:szCs w:val="16"/>
          <w:lang w:val="es-CO"/>
        </w:rPr>
        <w:t xml:space="preserve"> </w:t>
      </w:r>
      <w:r w:rsidRPr="00E0758D">
        <w:rPr>
          <w:rFonts w:ascii="Cambria" w:hAnsi="Cambria"/>
          <w:sz w:val="16"/>
          <w:szCs w:val="16"/>
          <w:lang w:val="de-DE"/>
        </w:rPr>
        <w:t>CIDH. Demanda ante la Corte Interamericana, Caso No. 12.529, Rainer Ibsen Cárdenas y José Luis Ibsen Peña, Bolivia, Mayo 12, 2009, párr. 106.</w:t>
      </w:r>
    </w:p>
  </w:footnote>
  <w:footnote w:id="93">
    <w:p w14:paraId="4EF58003" w14:textId="77777777" w:rsidR="002F4213" w:rsidRPr="00E0758D" w:rsidRDefault="002F4213" w:rsidP="00910A5C">
      <w:pPr>
        <w:pStyle w:val="FootnoteText"/>
        <w:tabs>
          <w:tab w:val="left" w:pos="450"/>
        </w:tabs>
        <w:contextualSpacing/>
        <w:jc w:val="both"/>
        <w:rPr>
          <w:rFonts w:ascii="Cambria" w:hAnsi="Cambria"/>
          <w:spacing w:val="-4"/>
          <w:sz w:val="16"/>
          <w:szCs w:val="16"/>
          <w:lang w:val="es-PR"/>
        </w:rPr>
      </w:pPr>
      <w:r w:rsidRPr="00E0758D">
        <w:rPr>
          <w:rStyle w:val="FootnoteReference"/>
          <w:rFonts w:ascii="Cambria" w:hAnsi="Cambria"/>
          <w:sz w:val="16"/>
          <w:szCs w:val="16"/>
          <w:lang w:val="es-PR"/>
        </w:rPr>
        <w:footnoteRef/>
      </w:r>
      <w:r w:rsidRPr="00E0758D">
        <w:rPr>
          <w:rFonts w:ascii="Cambria" w:hAnsi="Cambria"/>
          <w:spacing w:val="-4"/>
          <w:sz w:val="16"/>
          <w:szCs w:val="16"/>
          <w:lang w:val="es-PR"/>
        </w:rPr>
        <w:t xml:space="preserve"> </w:t>
      </w:r>
      <w:r w:rsidRPr="00E0758D">
        <w:rPr>
          <w:rFonts w:ascii="Cambria" w:hAnsi="Cambria" w:cs="Arial"/>
          <w:spacing w:val="-4"/>
          <w:sz w:val="16"/>
          <w:szCs w:val="16"/>
          <w:lang w:val="es-PR"/>
        </w:rPr>
        <w:t xml:space="preserve">Cfr. inter alia, </w:t>
      </w:r>
      <w:r w:rsidRPr="00E0758D">
        <w:rPr>
          <w:rFonts w:ascii="Cambria" w:hAnsi="Cambria"/>
          <w:spacing w:val="-4"/>
          <w:sz w:val="16"/>
          <w:szCs w:val="16"/>
          <w:lang w:val="es-PR"/>
        </w:rPr>
        <w:t xml:space="preserve">Caso Velásquez Rodríguez Vs. Honduras. Fondo, supra, </w:t>
      </w:r>
      <w:r w:rsidRPr="00E0758D">
        <w:rPr>
          <w:rFonts w:ascii="Cambria" w:hAnsi="Cambria"/>
          <w:noProof/>
          <w:spacing w:val="-4"/>
          <w:sz w:val="16"/>
          <w:szCs w:val="16"/>
          <w:lang w:val="es-PR"/>
        </w:rPr>
        <w:t xml:space="preserve">párrs. 155 a 157, y </w:t>
      </w:r>
      <w:r w:rsidRPr="00E0758D">
        <w:rPr>
          <w:rFonts w:ascii="Cambria" w:hAnsi="Cambria"/>
          <w:spacing w:val="-4"/>
          <w:sz w:val="16"/>
          <w:szCs w:val="16"/>
          <w:lang w:val="es-PR"/>
        </w:rPr>
        <w:t>Caso Osorio Rivera y Familiares Vs. Perú, supra, párr. 31.</w:t>
      </w:r>
    </w:p>
  </w:footnote>
  <w:footnote w:id="94">
    <w:p w14:paraId="3B3CC8CF" w14:textId="77777777" w:rsidR="002F4213" w:rsidRPr="00E0758D" w:rsidRDefault="002F4213" w:rsidP="00910A5C">
      <w:pPr>
        <w:pStyle w:val="FootnoteText"/>
        <w:tabs>
          <w:tab w:val="left" w:pos="720"/>
        </w:tabs>
        <w:jc w:val="both"/>
        <w:rPr>
          <w:rFonts w:ascii="Cambria" w:hAnsi="Cambria"/>
          <w:sz w:val="16"/>
          <w:szCs w:val="16"/>
          <w:highlight w:val="red"/>
          <w:lang w:val="es-ES_tradnl"/>
        </w:rPr>
      </w:pPr>
      <w:r w:rsidRPr="00E0758D">
        <w:rPr>
          <w:rStyle w:val="FootnoteReference"/>
          <w:rFonts w:ascii="Cambria" w:hAnsi="Cambria"/>
          <w:sz w:val="16"/>
          <w:szCs w:val="16"/>
        </w:rPr>
        <w:footnoteRef/>
      </w:r>
      <w:r w:rsidRPr="00E0758D">
        <w:rPr>
          <w:rFonts w:ascii="Cambria" w:hAnsi="Cambria"/>
          <w:sz w:val="16"/>
          <w:szCs w:val="16"/>
          <w:lang w:val="es-ES_tradnl"/>
        </w:rPr>
        <w:t xml:space="preserve"> Corte IDH. Caso Chaparro Álvarez y Lapo Iñiguez Vs. Ecuador. Excepciones Preliminares, Fondo, Reparaciones y Costas. Sentencia de 21 de noviembre de 2007. Serie C No. 170, párr. 171; y Caso Anzualdo Castro Vs. Perú. Excepción Preliminar, Fondo, Reparaciones y Costas. Sentencia de 22 de septiembre de 2009. Serie C No. 202, párr. 85. </w:t>
      </w:r>
    </w:p>
  </w:footnote>
  <w:footnote w:id="95">
    <w:p w14:paraId="25F07F3F" w14:textId="77777777" w:rsidR="002F4213" w:rsidRPr="00E0758D" w:rsidRDefault="002F4213" w:rsidP="00910A5C">
      <w:pPr>
        <w:pStyle w:val="FootnoteText"/>
        <w:jc w:val="both"/>
        <w:rPr>
          <w:rFonts w:ascii="Cambria" w:hAnsi="Cambria"/>
          <w:sz w:val="16"/>
          <w:szCs w:val="16"/>
          <w:lang w:val="es-MX"/>
        </w:rPr>
      </w:pPr>
      <w:r w:rsidRPr="00E0758D">
        <w:rPr>
          <w:rStyle w:val="FootnoteReference"/>
          <w:rFonts w:ascii="Cambria" w:hAnsi="Cambria"/>
          <w:sz w:val="16"/>
          <w:szCs w:val="16"/>
        </w:rPr>
        <w:footnoteRef/>
      </w:r>
      <w:r w:rsidRPr="00E0758D">
        <w:rPr>
          <w:rFonts w:ascii="Cambria" w:hAnsi="Cambria"/>
          <w:sz w:val="16"/>
          <w:szCs w:val="16"/>
          <w:lang w:val="es-MX"/>
        </w:rPr>
        <w:t xml:space="preserve"> </w:t>
      </w:r>
      <w:r w:rsidRPr="00E0758D">
        <w:rPr>
          <w:rFonts w:ascii="Cambria" w:hAnsi="Cambria"/>
          <w:noProof/>
          <w:sz w:val="16"/>
          <w:szCs w:val="16"/>
          <w:lang w:val="es-ES"/>
        </w:rPr>
        <w:t>Corte IDH. Caso Ticona Estrada y otros Vs. Bolivia. Fondo, Reparaciones y Costas. Sentencia de 27 de noviembre de 2008. Serie C No. 191, párr. 58</w:t>
      </w:r>
      <w:r w:rsidRPr="00E0758D">
        <w:rPr>
          <w:rFonts w:ascii="Cambria" w:hAnsi="Cambria"/>
          <w:noProof/>
          <w:color w:val="auto"/>
          <w:sz w:val="16"/>
          <w:szCs w:val="16"/>
          <w:lang w:val="es-ES"/>
        </w:rPr>
        <w:t xml:space="preserve">; y </w:t>
      </w:r>
      <w:r w:rsidRPr="00E0758D">
        <w:rPr>
          <w:rFonts w:ascii="Cambria" w:hAnsi="Cambria"/>
          <w:color w:val="auto"/>
          <w:sz w:val="16"/>
          <w:szCs w:val="16"/>
          <w:lang w:val="es-US"/>
        </w:rPr>
        <w:t xml:space="preserve">CIDH, Informe No. </w:t>
      </w:r>
      <w:r w:rsidRPr="00E0758D">
        <w:rPr>
          <w:rFonts w:ascii="Cambria" w:hAnsi="Cambria"/>
          <w:color w:val="auto"/>
          <w:sz w:val="16"/>
          <w:szCs w:val="16"/>
          <w:lang w:val="es-ES"/>
        </w:rPr>
        <w:t>5/16, Casos 11.053, 11.054, 12.224, 12.225, y 12.823. Fondo. Perú. 13 de abril de 2016, párr.</w:t>
      </w:r>
      <w:r w:rsidRPr="00E0758D">
        <w:rPr>
          <w:rFonts w:ascii="Cambria" w:hAnsi="Cambria"/>
          <w:color w:val="auto"/>
          <w:sz w:val="16"/>
          <w:szCs w:val="16"/>
          <w:lang w:val="es-US"/>
        </w:rPr>
        <w:t xml:space="preserve"> </w:t>
      </w:r>
      <w:r w:rsidRPr="00E0758D">
        <w:rPr>
          <w:rFonts w:ascii="Cambria" w:hAnsi="Cambria"/>
          <w:noProof/>
          <w:color w:val="auto"/>
          <w:sz w:val="16"/>
          <w:szCs w:val="16"/>
          <w:lang w:val="es-ES"/>
        </w:rPr>
        <w:t xml:space="preserve">167. </w:t>
      </w:r>
    </w:p>
  </w:footnote>
  <w:footnote w:id="96">
    <w:p w14:paraId="164E69C2" w14:textId="77777777" w:rsidR="002F4213" w:rsidRPr="00E0758D" w:rsidRDefault="002F4213" w:rsidP="00910A5C">
      <w:pPr>
        <w:pStyle w:val="FootnoteText"/>
        <w:tabs>
          <w:tab w:val="left" w:pos="720"/>
        </w:tabs>
        <w:jc w:val="both"/>
        <w:rPr>
          <w:rFonts w:ascii="Cambria" w:hAnsi="Cambria"/>
          <w:sz w:val="16"/>
          <w:szCs w:val="16"/>
          <w:highlight w:val="red"/>
          <w:lang w:val="es-ES_tradnl"/>
        </w:rPr>
      </w:pPr>
      <w:r w:rsidRPr="00E0758D">
        <w:rPr>
          <w:rStyle w:val="FootnoteReference"/>
          <w:rFonts w:ascii="Cambria" w:hAnsi="Cambria"/>
          <w:sz w:val="16"/>
          <w:szCs w:val="16"/>
        </w:rPr>
        <w:footnoteRef/>
      </w:r>
      <w:r w:rsidRPr="005A6989">
        <w:rPr>
          <w:rFonts w:ascii="Cambria" w:hAnsi="Cambria"/>
          <w:sz w:val="16"/>
          <w:szCs w:val="16"/>
          <w:lang w:val="es-US"/>
        </w:rPr>
        <w:t xml:space="preserve"> Corte IDH. Caso Ticona Estrada Vs. </w:t>
      </w:r>
      <w:r w:rsidRPr="00E0758D">
        <w:rPr>
          <w:rFonts w:ascii="Cambria" w:hAnsi="Cambria"/>
          <w:sz w:val="16"/>
          <w:szCs w:val="16"/>
          <w:lang w:val="es-CL"/>
        </w:rPr>
        <w:t xml:space="preserve">Bolivia. Fondo, Reparaciones y Costas. Sentencia de 27 de noviembre de 2008. Serie C No. 191, párr. 59; </w:t>
      </w:r>
      <w:r w:rsidRPr="00E0758D">
        <w:rPr>
          <w:rFonts w:ascii="Cambria" w:hAnsi="Cambria"/>
          <w:sz w:val="16"/>
          <w:szCs w:val="16"/>
          <w:lang w:val="es-ES_tradnl"/>
        </w:rPr>
        <w:t xml:space="preserve">Caso Anzualdo Castro Vs. Perú. Excepción Preliminar, Fondo, Reparaciones y Costas. Sentencia de 22 de septiembre de 2009. Serie C No. 202, párr. </w:t>
      </w:r>
      <w:r w:rsidRPr="00E0758D">
        <w:rPr>
          <w:rFonts w:ascii="Cambria" w:hAnsi="Cambria"/>
          <w:sz w:val="16"/>
          <w:szCs w:val="16"/>
          <w:lang w:val="es-CL"/>
        </w:rPr>
        <w:t xml:space="preserve">85; y </w:t>
      </w:r>
      <w:r w:rsidRPr="00E0758D">
        <w:rPr>
          <w:rFonts w:ascii="Cambria" w:hAnsi="Cambria"/>
          <w:sz w:val="16"/>
          <w:szCs w:val="16"/>
          <w:lang w:val="es-ES_tradnl"/>
        </w:rPr>
        <w:t xml:space="preserve">Caso </w:t>
      </w:r>
      <w:r w:rsidRPr="00E0758D">
        <w:rPr>
          <w:rFonts w:ascii="Cambria" w:hAnsi="Cambria"/>
          <w:sz w:val="16"/>
          <w:szCs w:val="16"/>
          <w:lang w:val="es-CR"/>
        </w:rPr>
        <w:t xml:space="preserve">Radilla Pacheco Vs. México. </w:t>
      </w:r>
      <w:r w:rsidRPr="00E0758D">
        <w:rPr>
          <w:rFonts w:ascii="Cambria" w:hAnsi="Cambria"/>
          <w:sz w:val="16"/>
          <w:szCs w:val="16"/>
          <w:lang w:val="es-ES_tradnl"/>
        </w:rPr>
        <w:t>Excepciones Preliminares, Fondo, Reparaciones y Costas. Sentencia de 23 de noviembre de 2009. Serie C No. 209</w:t>
      </w:r>
      <w:r w:rsidRPr="00E0758D">
        <w:rPr>
          <w:rFonts w:ascii="Cambria" w:hAnsi="Cambria"/>
          <w:sz w:val="16"/>
          <w:szCs w:val="16"/>
          <w:lang w:val="es-CL"/>
        </w:rPr>
        <w:t>, 154.</w:t>
      </w:r>
    </w:p>
  </w:footnote>
  <w:footnote w:id="97">
    <w:p w14:paraId="593BF118" w14:textId="77777777" w:rsidR="002F4213" w:rsidRPr="00E0758D" w:rsidRDefault="002F4213" w:rsidP="00910A5C">
      <w:pPr>
        <w:tabs>
          <w:tab w:val="left" w:pos="360"/>
          <w:tab w:val="left" w:pos="1080"/>
        </w:tabs>
        <w:jc w:val="both"/>
        <w:rPr>
          <w:rFonts w:ascii="Cambria" w:hAnsi="Cambria"/>
          <w:sz w:val="16"/>
          <w:szCs w:val="16"/>
          <w:highlight w:val="red"/>
          <w:lang w:val="es-ES_tradnl"/>
        </w:rPr>
      </w:pPr>
      <w:r w:rsidRPr="00E0758D">
        <w:rPr>
          <w:rStyle w:val="FootnoteReference"/>
          <w:rFonts w:ascii="Cambria" w:hAnsi="Cambria"/>
          <w:sz w:val="16"/>
          <w:szCs w:val="16"/>
        </w:rPr>
        <w:footnoteRef/>
      </w:r>
      <w:r w:rsidRPr="00E0758D">
        <w:rPr>
          <w:rFonts w:ascii="Cambria" w:hAnsi="Cambria"/>
          <w:sz w:val="16"/>
          <w:szCs w:val="16"/>
          <w:lang w:val="es-ES_tradnl"/>
        </w:rPr>
        <w:t xml:space="preserve"> </w:t>
      </w:r>
      <w:r w:rsidRPr="00E0758D">
        <w:rPr>
          <w:rFonts w:ascii="Cambria" w:hAnsi="Cambria"/>
          <w:color w:val="000000"/>
          <w:sz w:val="16"/>
          <w:szCs w:val="16"/>
          <w:lang w:val="es-ES_tradnl"/>
        </w:rPr>
        <w:t xml:space="preserve">Corte IDH. </w:t>
      </w:r>
      <w:r w:rsidRPr="00E0758D">
        <w:rPr>
          <w:rFonts w:ascii="Cambria" w:hAnsi="Cambria"/>
          <w:iCs/>
          <w:color w:val="000000"/>
          <w:sz w:val="16"/>
          <w:szCs w:val="16"/>
          <w:lang w:val="es-ES_tradnl"/>
        </w:rPr>
        <w:t>Caso 19 Comerciantes</w:t>
      </w:r>
      <w:r w:rsidRPr="00E0758D">
        <w:rPr>
          <w:rFonts w:ascii="Cambria" w:hAnsi="Cambria"/>
          <w:color w:val="000000"/>
          <w:sz w:val="16"/>
          <w:szCs w:val="16"/>
          <w:lang w:val="es-ES_tradnl"/>
        </w:rPr>
        <w:t>. Sentencia de 5 de julio de 2004. Serie C No. 109, párr.</w:t>
      </w:r>
      <w:r w:rsidRPr="00E0758D">
        <w:rPr>
          <w:rFonts w:ascii="Cambria" w:hAnsi="Cambria"/>
          <w:sz w:val="16"/>
          <w:szCs w:val="16"/>
          <w:lang w:val="es-ES_tradnl"/>
        </w:rPr>
        <w:t xml:space="preserve">154; Corte IDH., </w:t>
      </w:r>
      <w:r w:rsidRPr="00E0758D">
        <w:rPr>
          <w:rFonts w:ascii="Cambria" w:hAnsi="Cambria"/>
          <w:iCs/>
          <w:sz w:val="16"/>
          <w:szCs w:val="16"/>
          <w:lang w:val="es-ES_tradnl"/>
        </w:rPr>
        <w:t>Caso Bámaca Velásquez.</w:t>
      </w:r>
      <w:r w:rsidRPr="00E0758D">
        <w:rPr>
          <w:rFonts w:ascii="Cambria" w:hAnsi="Cambria"/>
          <w:sz w:val="16"/>
          <w:szCs w:val="16"/>
          <w:lang w:val="es-ES_tradnl"/>
        </w:rPr>
        <w:t xml:space="preserve"> Sentencia de 25 de noviembre de 2000. Serie C No. 70, párr.130; y CIDH, Informe No. 44/00. Caso 10.820. Américo Zavala Martínez. Perú. 13 de abril de 2000, párr. 41. </w:t>
      </w:r>
    </w:p>
  </w:footnote>
  <w:footnote w:id="98">
    <w:p w14:paraId="6B9D19B5" w14:textId="77777777" w:rsidR="002F4213" w:rsidRPr="00E0758D" w:rsidRDefault="002F4213" w:rsidP="00910A5C">
      <w:pPr>
        <w:pStyle w:val="FootnoteText"/>
        <w:tabs>
          <w:tab w:val="left" w:pos="-720"/>
          <w:tab w:val="left" w:pos="360"/>
          <w:tab w:val="left" w:pos="1080"/>
        </w:tabs>
        <w:jc w:val="both"/>
        <w:rPr>
          <w:rFonts w:ascii="Cambria" w:hAnsi="Cambria"/>
          <w:sz w:val="16"/>
          <w:szCs w:val="16"/>
          <w:highlight w:val="red"/>
          <w:lang w:val="es-ES_tradnl"/>
        </w:rPr>
      </w:pPr>
      <w:r w:rsidRPr="00E0758D">
        <w:rPr>
          <w:rStyle w:val="FootnoteReference"/>
          <w:rFonts w:ascii="Cambria" w:hAnsi="Cambria"/>
          <w:spacing w:val="-2"/>
          <w:sz w:val="16"/>
          <w:szCs w:val="16"/>
          <w:lang w:val="es-ES_tradnl"/>
        </w:rPr>
        <w:footnoteRef/>
      </w:r>
      <w:r w:rsidRPr="00E0758D">
        <w:rPr>
          <w:rFonts w:ascii="Cambria" w:hAnsi="Cambria"/>
          <w:spacing w:val="-2"/>
          <w:sz w:val="16"/>
          <w:szCs w:val="16"/>
          <w:lang w:val="es-ES_tradnl"/>
        </w:rPr>
        <w:t xml:space="preserve"> </w:t>
      </w:r>
      <w:r w:rsidRPr="00E0758D">
        <w:rPr>
          <w:rFonts w:ascii="Cambria" w:hAnsi="Cambria"/>
          <w:sz w:val="16"/>
          <w:szCs w:val="16"/>
          <w:lang w:val="es-ES_tradnl"/>
        </w:rPr>
        <w:t xml:space="preserve">Corte IDH, </w:t>
      </w:r>
      <w:r w:rsidRPr="00E0758D">
        <w:rPr>
          <w:rFonts w:ascii="Cambria" w:hAnsi="Cambria"/>
          <w:iCs/>
          <w:sz w:val="16"/>
          <w:szCs w:val="16"/>
          <w:lang w:val="es-ES_tradnl"/>
        </w:rPr>
        <w:t>Caso Velásquez Rodríguez</w:t>
      </w:r>
      <w:r w:rsidRPr="00E0758D">
        <w:rPr>
          <w:rFonts w:ascii="Cambria" w:hAnsi="Cambria"/>
          <w:sz w:val="16"/>
          <w:szCs w:val="16"/>
          <w:lang w:val="es-ES_tradnl"/>
        </w:rPr>
        <w:t xml:space="preserve">. Sentencia de 29 de julio de 1988. </w:t>
      </w:r>
      <w:r w:rsidRPr="00E0758D">
        <w:rPr>
          <w:rFonts w:ascii="Cambria" w:hAnsi="Cambria"/>
          <w:sz w:val="16"/>
          <w:szCs w:val="16"/>
          <w:lang w:val="es-US"/>
        </w:rPr>
        <w:t>Serie C No. 4</w:t>
      </w:r>
      <w:r w:rsidRPr="00E0758D">
        <w:rPr>
          <w:rFonts w:ascii="Cambria" w:hAnsi="Cambria"/>
          <w:spacing w:val="-2"/>
          <w:sz w:val="16"/>
          <w:szCs w:val="16"/>
          <w:lang w:val="es-US"/>
        </w:rPr>
        <w:t xml:space="preserve">, párr. </w:t>
      </w:r>
      <w:r w:rsidRPr="00E0758D">
        <w:rPr>
          <w:rFonts w:ascii="Cambria" w:hAnsi="Cambria"/>
          <w:spacing w:val="-2"/>
          <w:sz w:val="16"/>
          <w:szCs w:val="16"/>
          <w:lang w:val="es-AR"/>
        </w:rPr>
        <w:t xml:space="preserve">188; y CIDH. Demanda ante la Corte Interamericana en el caso 12.529. </w:t>
      </w:r>
      <w:r w:rsidRPr="00E0758D">
        <w:rPr>
          <w:rFonts w:ascii="Cambria" w:hAnsi="Cambria"/>
          <w:sz w:val="16"/>
          <w:szCs w:val="16"/>
          <w:lang w:val="es-ES"/>
        </w:rPr>
        <w:t xml:space="preserve">Rainer Ibsen Cárdenas y José Luís Ibsen Peña vs. Bolivia. </w:t>
      </w:r>
      <w:r w:rsidRPr="00E0758D">
        <w:rPr>
          <w:rFonts w:ascii="Cambria" w:hAnsi="Cambria"/>
          <w:sz w:val="16"/>
          <w:szCs w:val="16"/>
          <w:lang w:val="es-ES_tradnl"/>
        </w:rPr>
        <w:t xml:space="preserve">12 de mayo de 2009, párr. </w:t>
      </w:r>
      <w:r w:rsidRPr="00E0758D">
        <w:rPr>
          <w:rFonts w:ascii="Cambria" w:hAnsi="Cambria"/>
          <w:spacing w:val="-2"/>
          <w:sz w:val="16"/>
          <w:szCs w:val="16"/>
          <w:lang w:val="es-AR"/>
        </w:rPr>
        <w:t xml:space="preserve">248. </w:t>
      </w:r>
    </w:p>
  </w:footnote>
  <w:footnote w:id="99">
    <w:p w14:paraId="04F0157E" w14:textId="77777777" w:rsidR="002F4213" w:rsidRPr="00E0758D" w:rsidRDefault="002F4213" w:rsidP="00910A5C">
      <w:pPr>
        <w:pStyle w:val="FootnoteText"/>
        <w:jc w:val="both"/>
        <w:rPr>
          <w:rFonts w:ascii="Cambria" w:hAnsi="Cambria"/>
          <w:sz w:val="16"/>
          <w:szCs w:val="16"/>
          <w:highlight w:val="red"/>
          <w:lang w:val="es-ES_tradnl"/>
        </w:rPr>
      </w:pPr>
      <w:r w:rsidRPr="00E0758D">
        <w:rPr>
          <w:rStyle w:val="FootnoteReference"/>
          <w:rFonts w:ascii="Cambria" w:hAnsi="Cambria"/>
          <w:sz w:val="16"/>
          <w:szCs w:val="16"/>
        </w:rPr>
        <w:footnoteRef/>
      </w:r>
      <w:r w:rsidRPr="00E0758D">
        <w:rPr>
          <w:rFonts w:ascii="Cambria" w:hAnsi="Cambria"/>
          <w:sz w:val="16"/>
          <w:szCs w:val="16"/>
          <w:lang w:val="es-ES_tradnl"/>
        </w:rPr>
        <w:t xml:space="preserve"> CIDH. Demandas ante la Corte Interamericana en los casos: Renato Ticona Estrada y otros (12.527), párrs. 153-165; Rosendo Radilla Pacheco (12.511), párrs. 138-145; Kenneth Ney Anzualdo Castro (11.385), párrs. 167-176; Julia Gómez Lund y otros (11.552), párrs. 208-220; Florencio Chitay Nech (12.599), párrs. 136-146; Rainer Ibsen Cárdenas y José Luís Ibsen Peña (12.529), párrs. 251-262; y Narciso González Medina y otros (11.324), párrs. 138-149.   </w:t>
      </w:r>
    </w:p>
  </w:footnote>
  <w:footnote w:id="100">
    <w:p w14:paraId="09752312" w14:textId="77777777" w:rsidR="002F4213" w:rsidRPr="00E0758D" w:rsidRDefault="002F4213" w:rsidP="00910A5C">
      <w:pPr>
        <w:pStyle w:val="FootnoteText"/>
        <w:jc w:val="both"/>
        <w:rPr>
          <w:rFonts w:ascii="Cambria" w:hAnsi="Cambria"/>
          <w:sz w:val="16"/>
          <w:szCs w:val="16"/>
          <w:highlight w:val="red"/>
          <w:lang w:val="es-ES_tradnl"/>
        </w:rPr>
      </w:pPr>
      <w:r w:rsidRPr="00E0758D">
        <w:rPr>
          <w:rStyle w:val="FootnoteReference"/>
          <w:rFonts w:ascii="Cambria" w:hAnsi="Cambria"/>
          <w:sz w:val="16"/>
          <w:szCs w:val="16"/>
        </w:rPr>
        <w:footnoteRef/>
      </w:r>
      <w:r w:rsidRPr="00E0758D">
        <w:rPr>
          <w:rFonts w:ascii="Cambria" w:hAnsi="Cambria"/>
          <w:sz w:val="16"/>
          <w:szCs w:val="16"/>
          <w:lang w:val="es-US"/>
        </w:rPr>
        <w:t xml:space="preserve"> Corte IDH. Caso Anzualdo Castro Vs. </w:t>
      </w:r>
      <w:r w:rsidRPr="00E0758D">
        <w:rPr>
          <w:rFonts w:ascii="Cambria" w:hAnsi="Cambria"/>
          <w:sz w:val="16"/>
          <w:szCs w:val="16"/>
          <w:lang w:val="es-ES_tradnl"/>
        </w:rPr>
        <w:t xml:space="preserve">Perú. Excepción Preliminar, Fondo, Reparaciones y Costas. Sentencia de 22 de septiembre de 2009. Serie C No. 202, párrs. 91-92; Caso </w:t>
      </w:r>
      <w:r w:rsidRPr="00E0758D">
        <w:rPr>
          <w:rFonts w:ascii="Cambria" w:hAnsi="Cambria"/>
          <w:sz w:val="16"/>
          <w:szCs w:val="16"/>
          <w:lang w:val="es-CR"/>
        </w:rPr>
        <w:t xml:space="preserve">Radilla Pacheco Vs. México. </w:t>
      </w:r>
      <w:r w:rsidRPr="00E0758D">
        <w:rPr>
          <w:rFonts w:ascii="Cambria" w:hAnsi="Cambria"/>
          <w:sz w:val="16"/>
          <w:szCs w:val="16"/>
          <w:lang w:val="es-ES_tradnl"/>
        </w:rPr>
        <w:t xml:space="preserve">Excepciones Preliminares, Fondo, Reparaciones y Costas. Sentencia de 23 de noviembre de 2009. Serie C No. 209, párr. 157. </w:t>
      </w:r>
    </w:p>
  </w:footnote>
  <w:footnote w:id="101">
    <w:p w14:paraId="6DCF2807" w14:textId="77777777" w:rsidR="002F4213" w:rsidRPr="00E0758D" w:rsidRDefault="002F4213" w:rsidP="00910A5C">
      <w:pPr>
        <w:pStyle w:val="FootnoteText"/>
        <w:tabs>
          <w:tab w:val="left" w:pos="720"/>
        </w:tabs>
        <w:jc w:val="both"/>
        <w:rPr>
          <w:rFonts w:ascii="Cambria" w:hAnsi="Cambria"/>
          <w:sz w:val="16"/>
          <w:szCs w:val="16"/>
          <w:highlight w:val="red"/>
          <w:lang w:val="es-ES_tradnl"/>
        </w:rPr>
      </w:pPr>
      <w:r w:rsidRPr="00E0758D">
        <w:rPr>
          <w:rStyle w:val="FootnoteReference"/>
          <w:rFonts w:ascii="Cambria" w:hAnsi="Cambria"/>
          <w:color w:val="auto"/>
          <w:sz w:val="16"/>
          <w:szCs w:val="16"/>
        </w:rPr>
        <w:footnoteRef/>
      </w:r>
      <w:r w:rsidRPr="005A6989">
        <w:rPr>
          <w:rFonts w:ascii="Cambria" w:hAnsi="Cambria"/>
          <w:color w:val="auto"/>
          <w:sz w:val="16"/>
          <w:szCs w:val="16"/>
          <w:lang w:val="es-US"/>
        </w:rPr>
        <w:t xml:space="preserve"> Corte IDH. Caso Anzualdo Castro Vs. </w:t>
      </w:r>
      <w:r w:rsidRPr="00E0758D">
        <w:rPr>
          <w:rFonts w:ascii="Cambria" w:hAnsi="Cambria"/>
          <w:color w:val="auto"/>
          <w:sz w:val="16"/>
          <w:szCs w:val="16"/>
          <w:lang w:val="es-ES_tradnl"/>
        </w:rPr>
        <w:t xml:space="preserve">Perú. Excepción Preliminar, Fondo, Reparaciones y Costas. Sentencia de 22 de septiembre de 2009. Serie C No. 202, párr. </w:t>
      </w:r>
      <w:r w:rsidRPr="00E0758D">
        <w:rPr>
          <w:rFonts w:ascii="Cambria" w:hAnsi="Cambria"/>
          <w:color w:val="auto"/>
          <w:sz w:val="16"/>
          <w:szCs w:val="16"/>
          <w:lang w:val="es-VE"/>
        </w:rPr>
        <w:t xml:space="preserve">90. Ver también: </w:t>
      </w:r>
      <w:r w:rsidRPr="00E0758D">
        <w:rPr>
          <w:rFonts w:ascii="Cambria" w:hAnsi="Cambria"/>
          <w:color w:val="auto"/>
          <w:sz w:val="16"/>
          <w:szCs w:val="16"/>
          <w:lang w:val="es-US"/>
        </w:rPr>
        <w:t xml:space="preserve">CIDH, Informe No. </w:t>
      </w:r>
      <w:r w:rsidRPr="00E0758D">
        <w:rPr>
          <w:rFonts w:ascii="Cambria" w:hAnsi="Cambria"/>
          <w:color w:val="auto"/>
          <w:sz w:val="16"/>
          <w:szCs w:val="16"/>
          <w:lang w:val="es-ES"/>
        </w:rPr>
        <w:t xml:space="preserve">5/16, Casos 11.053, 11.054, 12.224, 12.225, y 12.823. Fondo. Perú. 13 de abril de 2016, párr. </w:t>
      </w:r>
      <w:r w:rsidRPr="00E0758D">
        <w:rPr>
          <w:rFonts w:ascii="Cambria" w:hAnsi="Cambria"/>
          <w:color w:val="auto"/>
          <w:sz w:val="16"/>
          <w:szCs w:val="16"/>
          <w:lang w:val="es-VE"/>
        </w:rPr>
        <w:t xml:space="preserve">166. </w:t>
      </w:r>
    </w:p>
  </w:footnote>
  <w:footnote w:id="102">
    <w:p w14:paraId="3F3F811D" w14:textId="7CA78004" w:rsidR="002F4213" w:rsidRPr="00E0758D" w:rsidRDefault="002F4213" w:rsidP="00910A5C">
      <w:pPr>
        <w:pStyle w:val="FootnoteText"/>
        <w:tabs>
          <w:tab w:val="left" w:pos="720"/>
        </w:tabs>
        <w:jc w:val="both"/>
        <w:rPr>
          <w:rFonts w:ascii="Cambria" w:hAnsi="Cambria"/>
          <w:sz w:val="16"/>
          <w:szCs w:val="16"/>
          <w:lang w:val="es-ES_tradnl"/>
        </w:rPr>
      </w:pPr>
      <w:r w:rsidRPr="00E0758D">
        <w:rPr>
          <w:rStyle w:val="FootnoteReference"/>
          <w:rFonts w:ascii="Cambria" w:hAnsi="Cambria"/>
          <w:sz w:val="16"/>
          <w:szCs w:val="16"/>
        </w:rPr>
        <w:footnoteRef/>
      </w:r>
      <w:r w:rsidRPr="00E0758D">
        <w:rPr>
          <w:rFonts w:ascii="Cambria" w:hAnsi="Cambria"/>
          <w:sz w:val="16"/>
          <w:szCs w:val="16"/>
          <w:lang w:val="es-VE"/>
        </w:rPr>
        <w:t xml:space="preserve"> </w:t>
      </w:r>
      <w:r w:rsidRPr="00E0758D">
        <w:rPr>
          <w:rFonts w:ascii="Cambria" w:hAnsi="Cambria"/>
          <w:sz w:val="16"/>
          <w:szCs w:val="16"/>
          <w:lang w:val="es-MX"/>
        </w:rPr>
        <w:t xml:space="preserve">CIDH. Informe No. 111/09. Caso 11.324. </w:t>
      </w:r>
      <w:r w:rsidRPr="00E0758D">
        <w:rPr>
          <w:rFonts w:ascii="Cambria" w:hAnsi="Cambria"/>
          <w:sz w:val="16"/>
          <w:szCs w:val="16"/>
          <w:lang w:val="es-CO"/>
        </w:rPr>
        <w:t>Fondo. Narciso González Medina. República Dominicana. 10 de noviembre de 2009. Párr. 130; y</w:t>
      </w:r>
      <w:r w:rsidRPr="00E0758D">
        <w:rPr>
          <w:rFonts w:ascii="Cambria" w:hAnsi="Cambria"/>
          <w:sz w:val="16"/>
          <w:szCs w:val="16"/>
          <w:lang w:val="es-MX"/>
        </w:rPr>
        <w:t xml:space="preserve"> Corte IDH, </w:t>
      </w:r>
      <w:r w:rsidRPr="00E0758D">
        <w:rPr>
          <w:rFonts w:ascii="Cambria" w:hAnsi="Cambria"/>
          <w:bCs/>
          <w:sz w:val="16"/>
          <w:szCs w:val="16"/>
          <w:lang w:val="es-MX"/>
        </w:rPr>
        <w:t xml:space="preserve">Caso Anzualdo Castro Vs. </w:t>
      </w:r>
      <w:r w:rsidRPr="00E0758D">
        <w:rPr>
          <w:rFonts w:ascii="Cambria" w:hAnsi="Cambria"/>
          <w:bCs/>
          <w:sz w:val="16"/>
          <w:szCs w:val="16"/>
          <w:lang w:val="es-ES"/>
        </w:rPr>
        <w:t xml:space="preserve">Perú. </w:t>
      </w:r>
      <w:r w:rsidRPr="00E0758D">
        <w:rPr>
          <w:rFonts w:ascii="Cambria" w:hAnsi="Cambria"/>
          <w:sz w:val="16"/>
          <w:szCs w:val="16"/>
          <w:lang w:val="es-ES"/>
        </w:rPr>
        <w:t>Excepción Preliminar, Fondo, Reparaciones y Costas. Sentencia de 22 de septiembre de 2009. Serie C No. 202, párr. 60</w:t>
      </w:r>
      <w:r w:rsidRPr="00E0758D">
        <w:rPr>
          <w:rFonts w:ascii="Cambria" w:hAnsi="Cambria"/>
          <w:sz w:val="16"/>
          <w:szCs w:val="16"/>
          <w:lang w:val="es-ES_tradnl"/>
        </w:rPr>
        <w:t>.</w:t>
      </w:r>
    </w:p>
  </w:footnote>
  <w:footnote w:id="103">
    <w:p w14:paraId="6DC1CF35" w14:textId="14DF2AFD" w:rsidR="002F4213" w:rsidRPr="00E0758D" w:rsidRDefault="002F4213" w:rsidP="00910A5C">
      <w:pPr>
        <w:pStyle w:val="FootnoteText"/>
        <w:jc w:val="both"/>
        <w:rPr>
          <w:rFonts w:ascii="Cambria" w:hAnsi="Cambria" w:cs="Tahom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US"/>
        </w:rPr>
        <w:t xml:space="preserve"> El artículo 8.1 de la Convencion Americana establece que: </w:t>
      </w:r>
      <w:r w:rsidRPr="00E0758D">
        <w:rPr>
          <w:rFonts w:ascii="Cambria" w:hAnsi="Cambria" w:cs="Tahoma"/>
          <w:sz w:val="16"/>
          <w:szCs w:val="16"/>
          <w:lang w:val="es-ES"/>
        </w:rPr>
        <w:t xml:space="preserve">1.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 Asimismo, el artículo 25.1 de mismo instrumento estipula que: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 Por su parte el </w:t>
      </w:r>
      <w:r w:rsidRPr="00E0758D">
        <w:rPr>
          <w:rFonts w:ascii="Cambria" w:hAnsi="Cambria"/>
          <w:sz w:val="16"/>
          <w:szCs w:val="16"/>
          <w:lang w:val="es-US"/>
        </w:rPr>
        <w:t xml:space="preserve">artículo 2 de la Convención Americana establece lo siguiente: </w:t>
      </w:r>
      <w:r w:rsidRPr="00E0758D">
        <w:rPr>
          <w:rFonts w:ascii="Cambria" w:hAnsi="Cambria" w:cs="Tahoma"/>
          <w:bCs/>
          <w:sz w:val="16"/>
          <w:szCs w:val="16"/>
          <w:lang w:val="es-US"/>
        </w:rPr>
        <w:t>Deber de Adoptar Disposiciones de Derecho Interno.</w:t>
      </w:r>
      <w:r w:rsidRPr="00E0758D">
        <w:rPr>
          <w:rFonts w:ascii="Cambria" w:hAnsi="Cambria" w:cs="Tahoma"/>
          <w:b/>
          <w:bCs/>
          <w:sz w:val="16"/>
          <w:szCs w:val="16"/>
          <w:lang w:val="es-US"/>
        </w:rPr>
        <w:t xml:space="preserve"> </w:t>
      </w:r>
      <w:r w:rsidRPr="00E0758D">
        <w:rPr>
          <w:rFonts w:ascii="Cambria" w:hAnsi="Cambria" w:cs="Tahoma"/>
          <w:sz w:val="16"/>
          <w:szCs w:val="16"/>
          <w:lang w:val="es-US"/>
        </w:rPr>
        <w:t>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libertades.</w:t>
      </w:r>
    </w:p>
  </w:footnote>
  <w:footnote w:id="104">
    <w:p w14:paraId="641D92B2" w14:textId="77777777" w:rsidR="002F4213" w:rsidRPr="00E0758D" w:rsidRDefault="002F4213" w:rsidP="00910A5C">
      <w:pPr>
        <w:pStyle w:val="FootnoteText"/>
        <w:jc w:val="both"/>
        <w:rPr>
          <w:rFonts w:ascii="Cambria" w:hAnsi="Cambria"/>
          <w:sz w:val="16"/>
          <w:szCs w:val="16"/>
          <w:lang w:val="es-US"/>
        </w:rPr>
      </w:pPr>
      <w:r w:rsidRPr="00E0758D">
        <w:rPr>
          <w:rStyle w:val="FootnoteReference"/>
          <w:rFonts w:ascii="Cambria" w:hAnsi="Cambria"/>
          <w:sz w:val="16"/>
          <w:szCs w:val="16"/>
        </w:rPr>
        <w:footnoteRef/>
      </w:r>
      <w:r w:rsidRPr="00E0758D">
        <w:rPr>
          <w:rFonts w:ascii="Cambria" w:hAnsi="Cambria"/>
          <w:sz w:val="16"/>
          <w:szCs w:val="16"/>
          <w:lang w:val="es-US"/>
        </w:rPr>
        <w:t xml:space="preserve"> Dicho artículo establece que los Estados partes en la Convención se comprometen a: b) Sancionar en el ámbito de su jurisdicción a los autores, cómplices y encubridores del delito de desaparición forzada de personas, así como la tentativa de comisión del mismo. </w:t>
      </w:r>
    </w:p>
  </w:footnote>
  <w:footnote w:id="105">
    <w:p w14:paraId="5D91B54B" w14:textId="4846DC34" w:rsidR="002F4213" w:rsidRPr="00E0758D" w:rsidRDefault="002F4213" w:rsidP="00910A5C">
      <w:pPr>
        <w:tabs>
          <w:tab w:val="left" w:pos="900"/>
          <w:tab w:val="left" w:pos="1080"/>
        </w:tabs>
        <w:autoSpaceDE w:val="0"/>
        <w:autoSpaceDN w:val="0"/>
        <w:adjustRightInd w:val="0"/>
        <w:jc w:val="both"/>
        <w:rPr>
          <w:rFonts w:ascii="Cambria" w:hAnsi="Cambria"/>
          <w:sz w:val="16"/>
          <w:szCs w:val="16"/>
          <w:lang w:val="es-VE"/>
        </w:rPr>
      </w:pPr>
      <w:r w:rsidRPr="00E0758D">
        <w:rPr>
          <w:rFonts w:ascii="Cambria" w:hAnsi="Cambria"/>
          <w:sz w:val="16"/>
          <w:szCs w:val="16"/>
          <w:lang w:val="es-VE"/>
        </w:rPr>
        <w:t xml:space="preserve"> </w:t>
      </w:r>
      <w:r w:rsidRPr="00E0758D">
        <w:rPr>
          <w:rStyle w:val="FootnoteReference"/>
          <w:rFonts w:ascii="Cambria" w:hAnsi="Cambria"/>
          <w:sz w:val="16"/>
          <w:szCs w:val="16"/>
        </w:rPr>
        <w:footnoteRef/>
      </w:r>
      <w:r w:rsidRPr="00E0758D">
        <w:rPr>
          <w:rFonts w:ascii="Cambria" w:hAnsi="Cambria"/>
          <w:sz w:val="16"/>
          <w:szCs w:val="16"/>
          <w:lang w:val="es-CO"/>
        </w:rPr>
        <w:t xml:space="preserve"> CIDH. Informe No. 111/09. Caso 11.324. Fondo. Narciso González Medina. República Dominicana. 10 de noviembre de 2009. Párr. 225; Corte IDH. Caso Anzualdo Castro Vs. </w:t>
      </w:r>
      <w:r w:rsidRPr="00E0758D">
        <w:rPr>
          <w:rFonts w:ascii="Cambria" w:hAnsi="Cambria"/>
          <w:sz w:val="16"/>
          <w:szCs w:val="16"/>
          <w:lang w:val="es-VE"/>
        </w:rPr>
        <w:t xml:space="preserve">Perú. Excepción Preliminar, Fondo, Reparaciones y Costas. Sentencia de 22 de septiembre de 2009. Serie C No. 202, párr. 134; </w:t>
      </w:r>
      <w:r w:rsidRPr="00E0758D">
        <w:rPr>
          <w:rFonts w:ascii="Cambria" w:hAnsi="Cambria"/>
          <w:bCs/>
          <w:sz w:val="16"/>
          <w:szCs w:val="16"/>
          <w:lang w:val="es-VE"/>
        </w:rPr>
        <w:t xml:space="preserve">Caso Radilla Pacheco Vs. México. </w:t>
      </w:r>
      <w:r w:rsidRPr="00E0758D">
        <w:rPr>
          <w:rFonts w:ascii="Cambria" w:hAnsi="Cambria"/>
          <w:sz w:val="16"/>
          <w:szCs w:val="16"/>
          <w:lang w:val="es-VE"/>
        </w:rPr>
        <w:t xml:space="preserve">Excepciones Preliminares, Fondo, Reparaciones y Costas. Sentencia de 23 de noviembre de 2009. Serie C No. 209, párr. 221, </w:t>
      </w:r>
      <w:r w:rsidRPr="00E0758D">
        <w:rPr>
          <w:rFonts w:ascii="Cambria" w:hAnsi="Cambria"/>
          <w:bCs/>
          <w:sz w:val="16"/>
          <w:szCs w:val="16"/>
          <w:lang w:val="es-VE"/>
        </w:rPr>
        <w:t xml:space="preserve">Caso Ibsen Cárdenas e Ibsen Peña Vs. Bolivia. </w:t>
      </w:r>
      <w:r w:rsidRPr="00E0758D">
        <w:rPr>
          <w:rFonts w:ascii="Cambria" w:hAnsi="Cambria"/>
          <w:sz w:val="16"/>
          <w:szCs w:val="16"/>
          <w:lang w:val="es-VE"/>
        </w:rPr>
        <w:t xml:space="preserve">Fondo, Reparaciones y Costas. Sentencia de 1 de septiembre de 2010. Serie C No. 217, párr. 167. Ver también Asunto Natera Balboa. Medida Provisionales respecto de Venezuela. Resolución de la Corte de 1 de febrero de 2010, Considerando decimotercero, y Asunto Guerrero Larez. Medidas Provisionales respecto de Venezuela. Resolución de la Corte de 29 de agosto de 2013. Considerando sexto. </w:t>
      </w:r>
    </w:p>
  </w:footnote>
  <w:footnote w:id="106">
    <w:p w14:paraId="39E4D709" w14:textId="57343D42" w:rsidR="002F4213" w:rsidRPr="00E0758D" w:rsidRDefault="002F4213" w:rsidP="00910A5C">
      <w:pPr>
        <w:pStyle w:val="FootnoteText"/>
        <w:jc w:val="both"/>
        <w:rPr>
          <w:rFonts w:ascii="Cambria" w:hAnsi="Cambria"/>
          <w:sz w:val="16"/>
          <w:szCs w:val="16"/>
          <w:lang w:val="es-MX"/>
        </w:rPr>
      </w:pPr>
      <w:r w:rsidRPr="00E0758D">
        <w:rPr>
          <w:rStyle w:val="FootnoteReference"/>
          <w:rFonts w:ascii="Cambria" w:hAnsi="Cambria"/>
          <w:sz w:val="16"/>
          <w:szCs w:val="16"/>
        </w:rPr>
        <w:footnoteRef/>
      </w:r>
      <w:r w:rsidRPr="00E0758D">
        <w:rPr>
          <w:rFonts w:ascii="Cambria" w:hAnsi="Cambria"/>
          <w:sz w:val="16"/>
          <w:szCs w:val="16"/>
          <w:lang w:val="es-MX"/>
        </w:rPr>
        <w:t xml:space="preserve"> Corte IDH. Caso Velásquez Rodríguez Vs Honduras. Excepciones Preliminares. Sentencia de 26 de junio de 1987. Serie C No. 1, párr. 91; Caso</w:t>
      </w:r>
      <w:r w:rsidRPr="00E0758D">
        <w:rPr>
          <w:rFonts w:ascii="Cambria" w:hAnsi="Cambria"/>
          <w:b/>
          <w:sz w:val="16"/>
          <w:szCs w:val="16"/>
          <w:lang w:val="es-MX"/>
        </w:rPr>
        <w:t xml:space="preserve"> </w:t>
      </w:r>
      <w:r w:rsidRPr="00E0758D">
        <w:rPr>
          <w:rStyle w:val="Strong"/>
          <w:rFonts w:ascii="Cambria" w:hAnsi="Cambria"/>
          <w:b w:val="0"/>
          <w:sz w:val="16"/>
          <w:szCs w:val="16"/>
          <w:lang w:val="es-MX"/>
        </w:rPr>
        <w:t>Gutiérrez y Familia Vs. Argentina. Fondo, Reparaciones y Costas. Sentencia de 25 de noviembre de 2013. Serie C No. 271,</w:t>
      </w:r>
      <w:r w:rsidRPr="00E0758D">
        <w:rPr>
          <w:rFonts w:ascii="Cambria" w:hAnsi="Cambria"/>
          <w:b/>
          <w:sz w:val="16"/>
          <w:szCs w:val="16"/>
          <w:lang w:val="es-MX"/>
        </w:rPr>
        <w:t xml:space="preserve"> </w:t>
      </w:r>
      <w:r w:rsidRPr="00E0758D">
        <w:rPr>
          <w:rFonts w:ascii="Cambria" w:hAnsi="Cambria"/>
          <w:sz w:val="16"/>
          <w:szCs w:val="16"/>
          <w:lang w:val="es-MX"/>
        </w:rPr>
        <w:t xml:space="preserve">párr. 97; y Caso Hermanos Landaeta Mejías y otros Vs. Venezuela. Excepciones Preliminares, Fondo, Reparaciones y Costas. Sentencia de 27 de agosto de 2014. Serie C No. 281, párr. 215. </w:t>
      </w:r>
    </w:p>
  </w:footnote>
  <w:footnote w:id="107">
    <w:p w14:paraId="1B1A577A" w14:textId="6B7878BA" w:rsidR="002F4213" w:rsidRPr="00E0758D" w:rsidRDefault="002F4213" w:rsidP="00910A5C">
      <w:pPr>
        <w:widowControl w:val="0"/>
        <w:tabs>
          <w:tab w:val="left" w:pos="567"/>
        </w:tabs>
        <w:autoSpaceDE w:val="0"/>
        <w:autoSpaceDN w:val="0"/>
        <w:adjustRightInd w:val="0"/>
        <w:jc w:val="both"/>
        <w:rPr>
          <w:rFonts w:ascii="Cambria" w:hAnsi="Cambria" w:cs="Calibri"/>
          <w:color w:val="000000"/>
          <w:sz w:val="16"/>
          <w:szCs w:val="16"/>
          <w:u w:color="000000"/>
          <w:lang w:val="es-MX" w:eastAsia="es-ES"/>
        </w:rPr>
      </w:pPr>
      <w:r w:rsidRPr="00E0758D">
        <w:rPr>
          <w:rStyle w:val="FootnoteReference"/>
          <w:rFonts w:ascii="Cambria" w:hAnsi="Cambria"/>
          <w:spacing w:val="-6"/>
          <w:sz w:val="16"/>
          <w:szCs w:val="16"/>
        </w:rPr>
        <w:footnoteRef/>
      </w:r>
      <w:r w:rsidRPr="00E0758D">
        <w:rPr>
          <w:rFonts w:ascii="Cambria" w:hAnsi="Cambria"/>
          <w:spacing w:val="-6"/>
          <w:sz w:val="16"/>
          <w:szCs w:val="16"/>
          <w:lang w:val="es-CR"/>
        </w:rPr>
        <w:t xml:space="preserve"> </w:t>
      </w:r>
      <w:r w:rsidRPr="00E0758D">
        <w:rPr>
          <w:rFonts w:ascii="Cambria" w:hAnsi="Cambria" w:cs="Calibri"/>
          <w:color w:val="000000"/>
          <w:sz w:val="16"/>
          <w:szCs w:val="16"/>
          <w:u w:color="000000"/>
          <w:lang w:val="es-MX" w:eastAsia="es-ES"/>
        </w:rPr>
        <w:t>Corte IDH. Caso Velásquez Rodríguez. Vs. Honduras. Fondo. Sentencia de 29 de julio de 1988. Serie C No. 1, párr. 177; y Caso Veliz Franco y otros Vs. Guatemala. Excepciones Preliminares, Fondo, Reparaciones y Costas. Sentencia de 19 de mayo de 2014. Serie C No. 277, párr. 183.</w:t>
      </w:r>
    </w:p>
  </w:footnote>
  <w:footnote w:id="108">
    <w:p w14:paraId="5C9AA9AD" w14:textId="77777777" w:rsidR="002F4213" w:rsidRPr="00E0758D" w:rsidRDefault="002F4213" w:rsidP="00910A5C">
      <w:pPr>
        <w:pStyle w:val="FootnoteText"/>
        <w:jc w:val="both"/>
        <w:rPr>
          <w:rFonts w:ascii="Cambria" w:hAnsi="Cambria"/>
          <w:sz w:val="16"/>
          <w:szCs w:val="16"/>
          <w:lang w:val="es-MX"/>
        </w:rPr>
      </w:pPr>
      <w:r w:rsidRPr="00E0758D">
        <w:rPr>
          <w:rStyle w:val="FootnoteReference"/>
          <w:rFonts w:ascii="Cambria" w:hAnsi="Cambria"/>
          <w:sz w:val="16"/>
          <w:szCs w:val="16"/>
        </w:rPr>
        <w:footnoteRef/>
      </w:r>
      <w:r w:rsidRPr="00E0758D">
        <w:rPr>
          <w:rFonts w:ascii="Cambria" w:hAnsi="Cambria"/>
          <w:sz w:val="16"/>
          <w:szCs w:val="16"/>
          <w:lang w:val="es-MX"/>
        </w:rPr>
        <w:t xml:space="preserve"> Corte IDH. </w:t>
      </w:r>
      <w:r w:rsidRPr="00E0758D">
        <w:rPr>
          <w:rFonts w:ascii="Cambria" w:hAnsi="Cambria"/>
          <w:sz w:val="16"/>
          <w:szCs w:val="16"/>
          <w:lang w:val="es-US"/>
        </w:rPr>
        <w:t xml:space="preserve">Caso Myrna Mack Chang Vs. </w:t>
      </w:r>
      <w:r w:rsidRPr="00E0758D">
        <w:rPr>
          <w:rFonts w:ascii="Cambria" w:hAnsi="Cambria"/>
          <w:sz w:val="16"/>
          <w:szCs w:val="16"/>
          <w:lang w:val="es-MX"/>
        </w:rPr>
        <w:t>Guatemala. Fondo, Reparaciones y Costas. Sentencia de 25 de noviembre de 2003. Serie C No. 101, párr. 156; y Caso de las Comunidades Afrodescendientes Desplazadas de la Cuenca del Río Cacarica (Operación Génesis) Vs. Colombia. Excepciones Preliminares, Fondo, Reparaciones y Costas. Sentencia de 20 de noviembre de 2013. Serie C No. 270, párr. 371.</w:t>
      </w:r>
    </w:p>
  </w:footnote>
  <w:footnote w:id="109">
    <w:p w14:paraId="346C4131" w14:textId="4C2C2DCB" w:rsidR="002F4213" w:rsidRPr="00E0758D" w:rsidRDefault="002F4213" w:rsidP="00910A5C">
      <w:pPr>
        <w:tabs>
          <w:tab w:val="left" w:pos="567"/>
        </w:tabs>
        <w:jc w:val="both"/>
        <w:rPr>
          <w:rFonts w:ascii="Cambria" w:hAnsi="Cambria" w:cs="Calibri"/>
          <w:color w:val="000000"/>
          <w:sz w:val="16"/>
          <w:szCs w:val="16"/>
          <w:u w:color="000000"/>
          <w:lang w:val="es-MX" w:eastAsia="es-ES"/>
        </w:rPr>
      </w:pPr>
      <w:r w:rsidRPr="00E0758D">
        <w:rPr>
          <w:rStyle w:val="FootnoteReference"/>
          <w:rFonts w:ascii="Cambria" w:hAnsi="Cambria"/>
          <w:sz w:val="16"/>
          <w:szCs w:val="16"/>
        </w:rPr>
        <w:footnoteRef/>
      </w:r>
      <w:r w:rsidRPr="00E0758D">
        <w:rPr>
          <w:rFonts w:ascii="Cambria" w:hAnsi="Cambria" w:cs="Calibri"/>
          <w:color w:val="000000"/>
          <w:sz w:val="16"/>
          <w:szCs w:val="16"/>
          <w:u w:color="000000"/>
          <w:lang w:val="es-MX" w:eastAsia="es-ES"/>
        </w:rPr>
        <w:t xml:space="preserve"> Corte IDH. Caso Velásquez Rodríguez Vs. Honduras. Fondo. Sentencia de 29 de julio de 1988. Serie C No. 1, párr. 177; y Caso Veliz Franco y otros Vs. Guatemala. Excepciones Preliminares. Fondo, Reparaciones y Costas. Sentencia de 19 de mayo de 2014. Serie C No. 277, párr.183.</w:t>
      </w:r>
    </w:p>
  </w:footnote>
  <w:footnote w:id="110">
    <w:p w14:paraId="380DCB7E" w14:textId="7825A9A9" w:rsidR="002F4213" w:rsidRPr="00E0758D" w:rsidRDefault="002F4213" w:rsidP="00910A5C">
      <w:pPr>
        <w:widowControl w:val="0"/>
        <w:tabs>
          <w:tab w:val="left" w:pos="567"/>
        </w:tabs>
        <w:autoSpaceDE w:val="0"/>
        <w:autoSpaceDN w:val="0"/>
        <w:adjustRightInd w:val="0"/>
        <w:jc w:val="both"/>
        <w:rPr>
          <w:rFonts w:ascii="Cambria" w:hAnsi="Cambria"/>
          <w:sz w:val="16"/>
          <w:szCs w:val="16"/>
          <w:lang w:val="es-CR"/>
        </w:rPr>
      </w:pPr>
      <w:r w:rsidRPr="00E0758D">
        <w:rPr>
          <w:rStyle w:val="FootnoteReference"/>
          <w:rFonts w:ascii="Cambria" w:hAnsi="Cambria"/>
          <w:sz w:val="16"/>
          <w:szCs w:val="16"/>
        </w:rPr>
        <w:footnoteRef/>
      </w:r>
      <w:r w:rsidRPr="00E0758D">
        <w:rPr>
          <w:rFonts w:ascii="Cambria" w:hAnsi="Cambria"/>
          <w:sz w:val="16"/>
          <w:szCs w:val="16"/>
          <w:lang w:val="es-CR"/>
        </w:rPr>
        <w:t xml:space="preserve"> Corte IDH. Caso de las Masacres de Ituango vs. Colombia. Sentencia de 1 de julio de 2006, Serie C. No. 148, párr. 319; Caso Veliz Franco </w:t>
      </w:r>
      <w:r w:rsidRPr="00E0758D">
        <w:rPr>
          <w:rFonts w:ascii="Cambria" w:hAnsi="Cambria" w:cs="Verdana"/>
          <w:sz w:val="16"/>
          <w:szCs w:val="16"/>
          <w:lang w:val="es-ES"/>
        </w:rPr>
        <w:t xml:space="preserve">y otros Vs. Guatemala. Excepciones Preliminares, Fondo, Reparaciones y Costas. Sentencia de 19 de mayo de 2014. Serie C No. 277, párr. 183; y </w:t>
      </w:r>
      <w:r w:rsidRPr="00E0758D">
        <w:rPr>
          <w:rFonts w:ascii="Cambria" w:hAnsi="Cambria"/>
          <w:sz w:val="16"/>
          <w:szCs w:val="16"/>
          <w:lang w:val="es-MX"/>
        </w:rPr>
        <w:t xml:space="preserve">Caso Hermanos Landaeta Mejías y otros Vs. Venezuela. Excepciones Preliminares, Fondo, Reparaciones y Costas. Sentencia de 27 de agosto de 2014. Serie C No. 281, párr., 216. </w:t>
      </w:r>
    </w:p>
  </w:footnote>
  <w:footnote w:id="111">
    <w:p w14:paraId="044480B0" w14:textId="77777777" w:rsidR="002F4213" w:rsidRPr="00E0758D" w:rsidRDefault="002F4213" w:rsidP="00910A5C">
      <w:pPr>
        <w:pStyle w:val="FootnoteText"/>
        <w:jc w:val="both"/>
        <w:rPr>
          <w:rFonts w:ascii="Cambria" w:hAnsi="Cambria"/>
          <w:sz w:val="16"/>
          <w:szCs w:val="16"/>
          <w:lang w:val="es-PE"/>
        </w:rPr>
      </w:pPr>
      <w:r w:rsidRPr="00E0758D">
        <w:rPr>
          <w:rStyle w:val="FootnoteReference"/>
          <w:rFonts w:ascii="Cambria" w:hAnsi="Cambria"/>
          <w:sz w:val="16"/>
          <w:szCs w:val="16"/>
        </w:rPr>
        <w:footnoteRef/>
      </w:r>
      <w:r w:rsidRPr="00E0758D">
        <w:rPr>
          <w:rFonts w:ascii="Cambria" w:hAnsi="Cambria"/>
          <w:sz w:val="16"/>
          <w:szCs w:val="16"/>
          <w:lang w:val="es-MX"/>
        </w:rPr>
        <w:t xml:space="preserve"> Corte IDH. Caso Cantoral Huamaní y García Santa Cruz Vs. Perú. Excepción Preliminar, Fondo, Reparaciones y Costas. Sentencia de 10 de julio de 2007. Serie C No. 167, párr. 131.</w:t>
      </w:r>
    </w:p>
  </w:footnote>
  <w:footnote w:id="112">
    <w:p w14:paraId="5309803B" w14:textId="77777777" w:rsidR="002F4213" w:rsidRPr="00E0758D" w:rsidRDefault="002F4213" w:rsidP="00910A5C">
      <w:pPr>
        <w:jc w:val="both"/>
        <w:rPr>
          <w:rFonts w:ascii="Cambria" w:hAnsi="Cambria"/>
          <w:sz w:val="16"/>
          <w:szCs w:val="16"/>
          <w:lang w:val="pt-BR"/>
        </w:rPr>
      </w:pPr>
      <w:r w:rsidRPr="00E0758D">
        <w:rPr>
          <w:rStyle w:val="FootnoteReference"/>
          <w:rFonts w:ascii="Cambria" w:hAnsi="Cambria"/>
          <w:sz w:val="16"/>
          <w:szCs w:val="16"/>
          <w:lang w:val="es-ES"/>
        </w:rPr>
        <w:footnoteRef/>
      </w:r>
      <w:r w:rsidRPr="00E0758D">
        <w:rPr>
          <w:rFonts w:ascii="Cambria" w:hAnsi="Cambria"/>
          <w:sz w:val="16"/>
          <w:szCs w:val="16"/>
          <w:lang w:val="es-ES"/>
        </w:rPr>
        <w:t xml:space="preserve"> CIDH. Informe de Fondo, N˚ 55/97, Juan Carlos Abella y Otros (Argentina), 18 de noviembre de 1997, párr. </w:t>
      </w:r>
      <w:r w:rsidRPr="00E0758D">
        <w:rPr>
          <w:rFonts w:ascii="Cambria" w:hAnsi="Cambria"/>
          <w:sz w:val="16"/>
          <w:szCs w:val="16"/>
          <w:lang w:val="pt-BR"/>
        </w:rPr>
        <w:t>412.</w:t>
      </w:r>
    </w:p>
  </w:footnote>
  <w:footnote w:id="113">
    <w:p w14:paraId="2E893C4A" w14:textId="77777777" w:rsidR="002F4213" w:rsidRPr="00E0758D" w:rsidRDefault="002F4213" w:rsidP="00910A5C">
      <w:pPr>
        <w:pStyle w:val="FootnoteText"/>
        <w:jc w:val="both"/>
        <w:rPr>
          <w:rFonts w:ascii="Cambria" w:hAnsi="Cambria"/>
          <w:sz w:val="16"/>
          <w:szCs w:val="16"/>
          <w:lang w:val="es-PE"/>
        </w:rPr>
      </w:pPr>
      <w:r w:rsidRPr="00E0758D">
        <w:rPr>
          <w:rStyle w:val="FootnoteReference"/>
          <w:rFonts w:ascii="Cambria" w:hAnsi="Cambria"/>
          <w:sz w:val="16"/>
          <w:szCs w:val="16"/>
        </w:rPr>
        <w:footnoteRef/>
      </w:r>
      <w:r w:rsidRPr="00E0758D">
        <w:rPr>
          <w:rFonts w:ascii="Cambria" w:hAnsi="Cambria"/>
          <w:sz w:val="16"/>
          <w:szCs w:val="16"/>
          <w:lang w:val="pt-BR"/>
        </w:rPr>
        <w:t xml:space="preserve"> CIDH. Informe No. 25/09 Fondo (Sebastião Camargo Filho) Brasil, 19 de marzo de 2009, párr. </w:t>
      </w:r>
      <w:r w:rsidRPr="00E0758D">
        <w:rPr>
          <w:rFonts w:ascii="Cambria" w:hAnsi="Cambria"/>
          <w:sz w:val="16"/>
          <w:szCs w:val="16"/>
          <w:lang w:val="es-ES_tradnl"/>
        </w:rPr>
        <w:t xml:space="preserve">109. Ver también, </w:t>
      </w:r>
      <w:r w:rsidRPr="00E0758D">
        <w:rPr>
          <w:rFonts w:ascii="Cambria" w:hAnsi="Cambria"/>
          <w:sz w:val="16"/>
          <w:szCs w:val="16"/>
          <w:lang w:val="es-VE"/>
        </w:rPr>
        <w:t xml:space="preserve">CIDH, Acceso a la Justicia para las Mujeres Víctimas de Violencia en las Américas, </w:t>
      </w:r>
      <w:r w:rsidRPr="00E0758D">
        <w:rPr>
          <w:rFonts w:ascii="Cambria" w:hAnsi="Cambria"/>
          <w:sz w:val="16"/>
          <w:szCs w:val="16"/>
          <w:lang w:val="es-ES_tradnl"/>
        </w:rPr>
        <w:t>OEA/Ser. L/V/II. doc.68, 20 de enero de 2007, párr. 41.</w:t>
      </w:r>
    </w:p>
  </w:footnote>
  <w:footnote w:id="114">
    <w:p w14:paraId="61DAA917" w14:textId="77777777" w:rsidR="002F4213" w:rsidRPr="00E0758D" w:rsidRDefault="002F4213" w:rsidP="00910A5C">
      <w:pPr>
        <w:pStyle w:val="FootnoteText"/>
        <w:jc w:val="both"/>
        <w:rPr>
          <w:rFonts w:ascii="Cambria" w:hAnsi="Cambria"/>
          <w:sz w:val="16"/>
          <w:szCs w:val="16"/>
          <w:lang w:val="es-PE"/>
        </w:rPr>
      </w:pPr>
      <w:r w:rsidRPr="00E0758D">
        <w:rPr>
          <w:rStyle w:val="FootnoteReference"/>
          <w:rFonts w:ascii="Cambria" w:hAnsi="Cambria"/>
          <w:sz w:val="16"/>
          <w:szCs w:val="16"/>
        </w:rPr>
        <w:footnoteRef/>
      </w:r>
      <w:r w:rsidRPr="00E0758D">
        <w:rPr>
          <w:rFonts w:ascii="Cambria" w:hAnsi="Cambria"/>
          <w:sz w:val="16"/>
          <w:szCs w:val="16"/>
          <w:lang w:val="es-MX"/>
        </w:rPr>
        <w:t xml:space="preserve"> </w:t>
      </w:r>
      <w:r w:rsidRPr="00E0758D">
        <w:rPr>
          <w:rFonts w:ascii="Cambria" w:hAnsi="Cambria"/>
          <w:sz w:val="16"/>
          <w:szCs w:val="16"/>
          <w:lang w:val="es-PE"/>
        </w:rPr>
        <w:t xml:space="preserve">Corte IDH. </w:t>
      </w:r>
      <w:r w:rsidRPr="00E0758D">
        <w:rPr>
          <w:rFonts w:ascii="Cambria" w:hAnsi="Cambria"/>
          <w:iCs/>
          <w:sz w:val="16"/>
          <w:szCs w:val="16"/>
          <w:lang w:val="es-ES_tradnl"/>
        </w:rPr>
        <w:t>Caso de los “Niños de la Calle” (Villagrán Morales y otros).</w:t>
      </w:r>
      <w:r w:rsidRPr="00E0758D">
        <w:rPr>
          <w:rFonts w:ascii="Cambria" w:hAnsi="Cambria"/>
          <w:sz w:val="16"/>
          <w:szCs w:val="16"/>
          <w:lang w:val="es-ES_tradnl"/>
        </w:rPr>
        <w:t xml:space="preserve"> Sentencia de 19 de noviembre de 1999. Serie C No. 63,</w:t>
      </w:r>
      <w:r w:rsidRPr="00E0758D">
        <w:rPr>
          <w:rFonts w:ascii="Cambria" w:hAnsi="Cambria"/>
          <w:sz w:val="16"/>
          <w:szCs w:val="16"/>
          <w:lang w:val="es-CR"/>
        </w:rPr>
        <w:t xml:space="preserve"> párr. 230. </w:t>
      </w:r>
      <w:r w:rsidRPr="00E0758D">
        <w:rPr>
          <w:rFonts w:ascii="Cambria" w:hAnsi="Cambria"/>
          <w:sz w:val="16"/>
          <w:szCs w:val="16"/>
          <w:lang w:val="es-ES_tradnl"/>
        </w:rPr>
        <w:t xml:space="preserve">Ver también, </w:t>
      </w:r>
      <w:r w:rsidRPr="00E0758D">
        <w:rPr>
          <w:rFonts w:ascii="Cambria" w:hAnsi="Cambria"/>
          <w:sz w:val="16"/>
          <w:szCs w:val="16"/>
          <w:lang w:val="es-VE"/>
        </w:rPr>
        <w:t xml:space="preserve">CIDH, Acceso a la Justicia para las Mujeres Víctimas de Violencia en las Américas, </w:t>
      </w:r>
      <w:r w:rsidRPr="00E0758D">
        <w:rPr>
          <w:rFonts w:ascii="Cambria" w:hAnsi="Cambria"/>
          <w:sz w:val="16"/>
          <w:szCs w:val="16"/>
          <w:lang w:val="es-ES_tradnl"/>
        </w:rPr>
        <w:t>OEA/Ser. L/V/II. doc.68, 20 de enero de 2007, párr. 41.</w:t>
      </w:r>
    </w:p>
  </w:footnote>
  <w:footnote w:id="115">
    <w:p w14:paraId="1C95B8C4" w14:textId="77777777" w:rsidR="002F4213" w:rsidRPr="00E0758D" w:rsidRDefault="002F4213" w:rsidP="00910A5C">
      <w:pPr>
        <w:pStyle w:val="FootnoteText"/>
        <w:jc w:val="both"/>
        <w:rPr>
          <w:rFonts w:ascii="Cambria" w:hAnsi="Cambria"/>
          <w:color w:val="auto"/>
          <w:sz w:val="16"/>
          <w:szCs w:val="16"/>
          <w:lang w:val="es-ES_tradnl"/>
        </w:rPr>
      </w:pPr>
      <w:r w:rsidRPr="00E0758D">
        <w:rPr>
          <w:rStyle w:val="FootnoteReference"/>
          <w:rFonts w:ascii="Cambria" w:hAnsi="Cambria"/>
          <w:color w:val="auto"/>
          <w:sz w:val="16"/>
          <w:szCs w:val="16"/>
        </w:rPr>
        <w:footnoteRef/>
      </w:r>
      <w:r w:rsidRPr="00E0758D">
        <w:rPr>
          <w:rFonts w:ascii="Cambria" w:hAnsi="Cambria" w:cs="Arial"/>
          <w:color w:val="auto"/>
          <w:sz w:val="16"/>
          <w:szCs w:val="16"/>
          <w:lang w:val="es-ES"/>
        </w:rPr>
        <w:t xml:space="preserve"> CIDH. Informe No. 111/10, Caso 12.539, Fondo, Sebastián Claus Furlan y familia, Argentina, 21 de octubre de 2010, párr. 100. Corte IDH, </w:t>
      </w:r>
      <w:r w:rsidRPr="00E0758D">
        <w:rPr>
          <w:rFonts w:ascii="Cambria" w:hAnsi="Cambria" w:cs="Arial"/>
          <w:color w:val="auto"/>
          <w:sz w:val="16"/>
          <w:szCs w:val="16"/>
          <w:shd w:val="clear" w:color="auto" w:fill="FFFFFF"/>
          <w:lang w:val="es-ES"/>
        </w:rPr>
        <w:t xml:space="preserve">Caso Masacre de Santo Domingo Vs. </w:t>
      </w:r>
      <w:r w:rsidRPr="00E0758D">
        <w:rPr>
          <w:rFonts w:ascii="Cambria" w:hAnsi="Cambria" w:cs="Arial"/>
          <w:color w:val="auto"/>
          <w:sz w:val="16"/>
          <w:szCs w:val="16"/>
          <w:shd w:val="clear" w:color="auto" w:fill="FFFFFF"/>
          <w:lang w:val="es-ES_tradnl"/>
        </w:rPr>
        <w:t>Colombia. Excepciones Preliminares, Fondo y Reparaciones. Sentencia de 30 de noviembre de 2012. Serie C No. 259,</w:t>
      </w:r>
      <w:r w:rsidRPr="00E0758D">
        <w:rPr>
          <w:rFonts w:ascii="Cambria" w:hAnsi="Cambria" w:cs="Arial"/>
          <w:color w:val="auto"/>
          <w:sz w:val="16"/>
          <w:szCs w:val="16"/>
          <w:lang w:val="es-ES_tradnl"/>
        </w:rPr>
        <w:t xml:space="preserve"> párr. </w:t>
      </w:r>
      <w:r w:rsidRPr="00E0758D">
        <w:rPr>
          <w:rFonts w:ascii="Cambria" w:hAnsi="Cambria" w:cs="Arial"/>
          <w:color w:val="auto"/>
          <w:sz w:val="16"/>
          <w:szCs w:val="16"/>
          <w:lang w:val="es-ES"/>
        </w:rPr>
        <w:t>164.</w:t>
      </w:r>
    </w:p>
  </w:footnote>
  <w:footnote w:id="116">
    <w:p w14:paraId="36DDEFC6" w14:textId="77777777" w:rsidR="002F4213" w:rsidRPr="004167B7" w:rsidRDefault="002F4213" w:rsidP="00910A5C">
      <w:pPr>
        <w:pStyle w:val="FootnoteText"/>
        <w:jc w:val="both"/>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PE"/>
        </w:rPr>
        <w:t xml:space="preserve"> Corte IDH. </w:t>
      </w:r>
      <w:r w:rsidRPr="00E0758D">
        <w:rPr>
          <w:rFonts w:ascii="Cambria" w:hAnsi="Cambria"/>
          <w:iCs/>
          <w:sz w:val="16"/>
          <w:szCs w:val="16"/>
          <w:lang w:val="es-PE"/>
        </w:rPr>
        <w:t>Caso García Asto y Ramírez Rojas Vs. Perú</w:t>
      </w:r>
      <w:r w:rsidRPr="00E0758D">
        <w:rPr>
          <w:rFonts w:ascii="Cambria" w:hAnsi="Cambria"/>
          <w:sz w:val="16"/>
          <w:szCs w:val="16"/>
          <w:lang w:val="es-PE"/>
        </w:rPr>
        <w:t xml:space="preserve">. Sentencia de 25 de noviembre de 2005. Serie C No. 137, párr. </w:t>
      </w:r>
      <w:r w:rsidRPr="00E0758D">
        <w:rPr>
          <w:rFonts w:ascii="Cambria" w:hAnsi="Cambria"/>
          <w:sz w:val="16"/>
          <w:szCs w:val="16"/>
          <w:lang w:val="es-ES"/>
        </w:rPr>
        <w:t xml:space="preserve">166; </w:t>
      </w:r>
      <w:r w:rsidRPr="00E0758D">
        <w:rPr>
          <w:rFonts w:ascii="Cambria" w:hAnsi="Cambria"/>
          <w:iCs/>
          <w:sz w:val="16"/>
          <w:szCs w:val="16"/>
          <w:lang w:val="es-ES"/>
        </w:rPr>
        <w:t>Caso Gómez Palomino Vs. Perú</w:t>
      </w:r>
      <w:r w:rsidRPr="00E0758D">
        <w:rPr>
          <w:rFonts w:ascii="Cambria" w:hAnsi="Cambria"/>
          <w:sz w:val="16"/>
          <w:szCs w:val="16"/>
          <w:lang w:val="es-ES"/>
        </w:rPr>
        <w:t xml:space="preserve">. Sentencia de 22 de noviembre de 2005. Serie C No. 136, párr. 85; </w:t>
      </w:r>
      <w:r w:rsidRPr="00E0758D">
        <w:rPr>
          <w:rFonts w:ascii="Cambria" w:hAnsi="Cambria"/>
          <w:iCs/>
          <w:sz w:val="16"/>
          <w:szCs w:val="16"/>
          <w:lang w:val="es-ES"/>
        </w:rPr>
        <w:t>Caso de la Comunidad Moiwana Vs. Surinam</w:t>
      </w:r>
      <w:r w:rsidRPr="00E0758D">
        <w:rPr>
          <w:rFonts w:ascii="Cambria" w:hAnsi="Cambria"/>
          <w:sz w:val="16"/>
          <w:szCs w:val="16"/>
          <w:lang w:val="es-ES"/>
        </w:rPr>
        <w:t xml:space="preserve">. Sentencia de 15 de junio de 2005. Serie C No. 124, párr. </w:t>
      </w:r>
      <w:r w:rsidRPr="004167B7">
        <w:rPr>
          <w:rFonts w:ascii="Cambria" w:hAnsi="Cambria"/>
          <w:sz w:val="16"/>
          <w:szCs w:val="16"/>
          <w:lang w:val="es-ES"/>
        </w:rPr>
        <w:t xml:space="preserve">160.  </w:t>
      </w:r>
    </w:p>
  </w:footnote>
  <w:footnote w:id="117">
    <w:p w14:paraId="7B445E16" w14:textId="77777777" w:rsidR="002F4213" w:rsidRPr="004167B7" w:rsidRDefault="002F4213" w:rsidP="00910A5C">
      <w:pPr>
        <w:pStyle w:val="FootnoteText"/>
        <w:jc w:val="both"/>
        <w:rPr>
          <w:rFonts w:ascii="Cambria" w:hAnsi="Cambria"/>
          <w:sz w:val="16"/>
          <w:szCs w:val="16"/>
          <w:lang w:val="es-ES"/>
        </w:rPr>
      </w:pPr>
      <w:r w:rsidRPr="00E0758D">
        <w:rPr>
          <w:rStyle w:val="FootnoteReference"/>
          <w:rFonts w:ascii="Cambria" w:hAnsi="Cambria"/>
          <w:sz w:val="16"/>
          <w:szCs w:val="16"/>
        </w:rPr>
        <w:footnoteRef/>
      </w:r>
      <w:r w:rsidRPr="005A6989">
        <w:rPr>
          <w:rFonts w:ascii="Cambria" w:hAnsi="Cambria"/>
          <w:sz w:val="16"/>
          <w:szCs w:val="16"/>
          <w:lang w:val="es-ES"/>
        </w:rPr>
        <w:t xml:space="preserve">Corte IDH. </w:t>
      </w:r>
      <w:r w:rsidRPr="005A6989">
        <w:rPr>
          <w:rFonts w:ascii="Cambria" w:hAnsi="Cambria"/>
          <w:iCs/>
          <w:sz w:val="16"/>
          <w:szCs w:val="16"/>
          <w:lang w:val="es-ES"/>
        </w:rPr>
        <w:t xml:space="preserve">Caso Ricardo Canese Vs. </w:t>
      </w:r>
      <w:r w:rsidRPr="004167B7">
        <w:rPr>
          <w:rFonts w:ascii="Cambria" w:hAnsi="Cambria"/>
          <w:iCs/>
          <w:sz w:val="16"/>
          <w:szCs w:val="16"/>
          <w:lang w:val="es-ES"/>
        </w:rPr>
        <w:t>Paraguay</w:t>
      </w:r>
      <w:r w:rsidRPr="004167B7">
        <w:rPr>
          <w:rFonts w:ascii="Cambria" w:hAnsi="Cambria"/>
          <w:sz w:val="16"/>
          <w:szCs w:val="16"/>
          <w:lang w:val="es-ES"/>
        </w:rPr>
        <w:t xml:space="preserve">. Sentencia de 31 de agosto de 2004. Serie C No. 111, </w:t>
      </w:r>
      <w:r w:rsidRPr="004167B7">
        <w:rPr>
          <w:rFonts w:ascii="Cambria" w:hAnsi="Cambria"/>
          <w:sz w:val="16"/>
          <w:szCs w:val="16"/>
          <w:lang w:val="es-ES"/>
        </w:rPr>
        <w:br/>
        <w:t>párr. 142.</w:t>
      </w:r>
    </w:p>
    <w:p w14:paraId="08DA660F" w14:textId="77777777" w:rsidR="002F4213" w:rsidRPr="004167B7" w:rsidRDefault="002F4213" w:rsidP="00910A5C">
      <w:pPr>
        <w:pStyle w:val="FootnoteText"/>
        <w:jc w:val="both"/>
        <w:rPr>
          <w:rFonts w:ascii="Cambria" w:hAnsi="Cambria"/>
          <w:sz w:val="16"/>
          <w:szCs w:val="16"/>
          <w:lang w:val="es-ES"/>
        </w:rPr>
      </w:pPr>
    </w:p>
    <w:p w14:paraId="3D8A0EDD" w14:textId="77777777" w:rsidR="002F4213" w:rsidRPr="004167B7" w:rsidRDefault="002F4213" w:rsidP="00910A5C">
      <w:pPr>
        <w:pStyle w:val="FootnoteText"/>
        <w:jc w:val="both"/>
        <w:rPr>
          <w:rFonts w:ascii="Cambria" w:hAnsi="Cambria"/>
          <w:sz w:val="16"/>
          <w:szCs w:val="16"/>
          <w:lang w:val="es-ES"/>
        </w:rPr>
      </w:pPr>
    </w:p>
  </w:footnote>
  <w:footnote w:id="118">
    <w:p w14:paraId="0050293E" w14:textId="77777777" w:rsidR="002F4213" w:rsidRPr="00E0758D" w:rsidRDefault="002F4213" w:rsidP="00910A5C">
      <w:pPr>
        <w:tabs>
          <w:tab w:val="left" w:pos="720"/>
        </w:tabs>
        <w:jc w:val="both"/>
        <w:rPr>
          <w:rFonts w:ascii="Cambria" w:hAnsi="Cambria"/>
          <w:color w:val="000000" w:themeColor="text1"/>
          <w:sz w:val="16"/>
          <w:szCs w:val="16"/>
          <w:lang w:val="uz-Cyrl-UZ"/>
        </w:rPr>
      </w:pPr>
      <w:r w:rsidRPr="00E0758D">
        <w:rPr>
          <w:rStyle w:val="FootnoteReference"/>
          <w:rFonts w:ascii="Cambria" w:hAnsi="Cambria"/>
          <w:color w:val="000000" w:themeColor="text1"/>
          <w:sz w:val="16"/>
          <w:szCs w:val="16"/>
          <w:lang w:val="uz-Cyrl-UZ"/>
        </w:rPr>
        <w:footnoteRef/>
      </w:r>
      <w:r w:rsidRPr="00E0758D">
        <w:rPr>
          <w:rFonts w:ascii="Cambria" w:hAnsi="Cambria"/>
          <w:color w:val="000000" w:themeColor="text1"/>
          <w:sz w:val="16"/>
          <w:szCs w:val="16"/>
          <w:lang w:val="uz-Cyrl-UZ"/>
        </w:rPr>
        <w:t xml:space="preserve"> CIDH. Informe No. 3/16. Caso 12.916. Fondo. Nitza Paola Alvarado Espinoza, Rocío Irene Alvarado Reyes, José Angel Alvarado Herrera y otros. México. 13 de abril de 2016. Párr. 271.</w:t>
      </w:r>
    </w:p>
  </w:footnote>
  <w:footnote w:id="119">
    <w:p w14:paraId="0D52E288" w14:textId="77777777" w:rsidR="002F4213" w:rsidRPr="00E0758D" w:rsidRDefault="002F4213" w:rsidP="00BB1023">
      <w:pPr>
        <w:pStyle w:val="FootnoteText"/>
        <w:jc w:val="both"/>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VE"/>
        </w:rPr>
        <w:t xml:space="preserve"> </w:t>
      </w:r>
      <w:r w:rsidRPr="00E0758D">
        <w:rPr>
          <w:rFonts w:ascii="Cambria" w:hAnsi="Cambria"/>
          <w:sz w:val="16"/>
          <w:szCs w:val="16"/>
          <w:lang w:val="es-ES"/>
        </w:rPr>
        <w:t xml:space="preserve">El contenido relevante del artículo 4 de la Convención ya fue transcrito anteriormente. </w:t>
      </w:r>
    </w:p>
  </w:footnote>
  <w:footnote w:id="120">
    <w:p w14:paraId="3FC9249E" w14:textId="77777777" w:rsidR="002F4213" w:rsidRPr="00E0758D" w:rsidRDefault="002F4213" w:rsidP="00BB1023">
      <w:pPr>
        <w:pStyle w:val="FootnoteText"/>
        <w:jc w:val="both"/>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VE"/>
        </w:rPr>
        <w:t xml:space="preserve"> </w:t>
      </w:r>
      <w:r w:rsidRPr="00E0758D">
        <w:rPr>
          <w:rFonts w:ascii="Cambria" w:hAnsi="Cambria"/>
          <w:sz w:val="16"/>
          <w:szCs w:val="16"/>
          <w:lang w:val="es-ES"/>
        </w:rPr>
        <w:t xml:space="preserve">El contenido relevante del artículo 8 de la Convención ya fue transcrito anteriormente. </w:t>
      </w:r>
    </w:p>
  </w:footnote>
  <w:footnote w:id="121">
    <w:p w14:paraId="228E977E" w14:textId="77777777" w:rsidR="002F4213" w:rsidRPr="00E0758D" w:rsidRDefault="002F4213" w:rsidP="00BB1023">
      <w:pPr>
        <w:pStyle w:val="FootnoteText"/>
        <w:jc w:val="both"/>
        <w:rPr>
          <w:rFonts w:ascii="Cambria" w:hAnsi="Cambria"/>
          <w:sz w:val="16"/>
          <w:szCs w:val="16"/>
          <w:lang w:val="es-ES"/>
        </w:rPr>
      </w:pPr>
      <w:r w:rsidRPr="00E0758D">
        <w:rPr>
          <w:rStyle w:val="FootnoteReference"/>
          <w:rFonts w:ascii="Cambria" w:hAnsi="Cambria"/>
          <w:sz w:val="16"/>
          <w:szCs w:val="16"/>
        </w:rPr>
        <w:footnoteRef/>
      </w:r>
      <w:r w:rsidRPr="00E0758D">
        <w:rPr>
          <w:rFonts w:ascii="Cambria" w:hAnsi="Cambria"/>
          <w:sz w:val="16"/>
          <w:szCs w:val="16"/>
          <w:lang w:val="es-VE"/>
        </w:rPr>
        <w:t xml:space="preserve"> </w:t>
      </w:r>
      <w:r w:rsidRPr="00E0758D">
        <w:rPr>
          <w:rFonts w:ascii="Cambria" w:hAnsi="Cambria"/>
          <w:sz w:val="16"/>
          <w:szCs w:val="16"/>
          <w:lang w:val="es-ES"/>
        </w:rPr>
        <w:t xml:space="preserve">El contenido relevante del artículo 25 de la Convención ya fue transcrito anteriormente. </w:t>
      </w:r>
    </w:p>
  </w:footnote>
  <w:footnote w:id="122">
    <w:p w14:paraId="04F2AA08" w14:textId="77777777" w:rsidR="002F4213" w:rsidRPr="005A6989" w:rsidRDefault="002F4213" w:rsidP="00AA39DD">
      <w:pPr>
        <w:pStyle w:val="FootnoteText"/>
        <w:tabs>
          <w:tab w:val="left" w:pos="720"/>
          <w:tab w:val="left" w:pos="900"/>
          <w:tab w:val="left" w:pos="1080"/>
        </w:tabs>
        <w:jc w:val="both"/>
        <w:rPr>
          <w:rFonts w:ascii="Cambria" w:hAnsi="Cambria"/>
          <w:sz w:val="16"/>
          <w:szCs w:val="16"/>
        </w:rPr>
      </w:pPr>
      <w:r w:rsidRPr="00E0758D">
        <w:rPr>
          <w:rStyle w:val="FootnoteReference"/>
          <w:rFonts w:ascii="Cambria" w:hAnsi="Cambria"/>
          <w:sz w:val="16"/>
          <w:szCs w:val="16"/>
        </w:rPr>
        <w:footnoteRef/>
      </w:r>
      <w:r w:rsidRPr="00E0758D">
        <w:rPr>
          <w:rFonts w:ascii="Cambria" w:hAnsi="Cambria"/>
          <w:sz w:val="16"/>
          <w:szCs w:val="16"/>
          <w:lang w:val="es-ES"/>
        </w:rPr>
        <w:t xml:space="preserve"> CIDH, Caso 12.270, Informe No. 2/15, Fondo, Johan Alexis Ortiz Hernández, Venezuela, 29 de enero de 2015, párr. </w:t>
      </w:r>
      <w:r w:rsidRPr="00E0758D">
        <w:rPr>
          <w:rFonts w:ascii="Cambria" w:hAnsi="Cambria"/>
          <w:sz w:val="16"/>
          <w:szCs w:val="16"/>
        </w:rPr>
        <w:t xml:space="preserve">185.ECHR, Case McCann and others v. The United Kingdom. </w:t>
      </w:r>
      <w:r w:rsidRPr="005A6989">
        <w:rPr>
          <w:rFonts w:ascii="Cambria" w:hAnsi="Cambria"/>
          <w:sz w:val="16"/>
          <w:szCs w:val="16"/>
        </w:rPr>
        <w:t>Application No. 27229/95, 27 September 1995, § 146.</w:t>
      </w:r>
    </w:p>
  </w:footnote>
  <w:footnote w:id="123">
    <w:p w14:paraId="6C71A502" w14:textId="77777777" w:rsidR="002F4213" w:rsidRPr="00E0758D" w:rsidRDefault="002F4213" w:rsidP="00AA39DD">
      <w:pPr>
        <w:pStyle w:val="FootnoteText"/>
        <w:tabs>
          <w:tab w:val="left" w:pos="720"/>
          <w:tab w:val="left" w:pos="900"/>
          <w:tab w:val="left" w:pos="1080"/>
        </w:tabs>
        <w:jc w:val="both"/>
        <w:rPr>
          <w:rFonts w:ascii="Cambria" w:hAnsi="Cambria"/>
          <w:sz w:val="16"/>
          <w:szCs w:val="16"/>
        </w:rPr>
      </w:pPr>
      <w:r w:rsidRPr="00E0758D">
        <w:rPr>
          <w:rStyle w:val="FootnoteReference"/>
          <w:rFonts w:ascii="Cambria" w:hAnsi="Cambria"/>
          <w:sz w:val="16"/>
          <w:szCs w:val="16"/>
        </w:rPr>
        <w:footnoteRef/>
      </w:r>
      <w:r w:rsidRPr="00E0758D">
        <w:rPr>
          <w:rFonts w:ascii="Cambria" w:hAnsi="Cambria"/>
          <w:sz w:val="16"/>
          <w:szCs w:val="16"/>
          <w:lang w:val="es-ES"/>
        </w:rPr>
        <w:t xml:space="preserve"> </w:t>
      </w:r>
      <w:r w:rsidRPr="00E0758D">
        <w:rPr>
          <w:rFonts w:ascii="Cambria" w:hAnsi="Cambria"/>
          <w:sz w:val="16"/>
          <w:szCs w:val="16"/>
          <w:lang w:val="es-ES_tradnl"/>
        </w:rPr>
        <w:t xml:space="preserve">Corte IDH. </w:t>
      </w:r>
      <w:r w:rsidRPr="00E0758D">
        <w:rPr>
          <w:rFonts w:ascii="Cambria" w:hAnsi="Cambria"/>
          <w:bCs/>
          <w:sz w:val="16"/>
          <w:szCs w:val="16"/>
          <w:lang w:val="es-ES_tradnl"/>
        </w:rPr>
        <w:t xml:space="preserve">Caso Zambrano Vélez y otros Vs. Ecuador. </w:t>
      </w:r>
      <w:r w:rsidRPr="00E0758D">
        <w:rPr>
          <w:rFonts w:ascii="Cambria" w:hAnsi="Cambria"/>
          <w:sz w:val="16"/>
          <w:szCs w:val="16"/>
          <w:lang w:val="es-ES_tradnl"/>
        </w:rPr>
        <w:t xml:space="preserve">Fondo, Reparaciones y Costas. Sentencia de 4 de julio de 2007. Serie C No. 166, párr. 80. Asimismo, véase: </w:t>
      </w:r>
      <w:r w:rsidRPr="00E0758D">
        <w:rPr>
          <w:rFonts w:ascii="Cambria" w:hAnsi="Cambria"/>
          <w:sz w:val="16"/>
          <w:szCs w:val="16"/>
          <w:lang w:val="es-ES"/>
        </w:rPr>
        <w:t xml:space="preserve">CIDH, Caso 12.270, Informe No. 2/15, Fondo, Johan Alexis Ortiz Hernández, Venezuela, 29 de enero de 2015, párr. </w:t>
      </w:r>
      <w:r w:rsidRPr="00E0758D">
        <w:rPr>
          <w:rFonts w:ascii="Cambria" w:hAnsi="Cambria"/>
          <w:sz w:val="16"/>
          <w:szCs w:val="16"/>
        </w:rPr>
        <w:t>186.</w:t>
      </w:r>
    </w:p>
  </w:footnote>
  <w:footnote w:id="124">
    <w:p w14:paraId="5ED42F17" w14:textId="77777777" w:rsidR="002F4213" w:rsidRPr="005A6989" w:rsidRDefault="002F4213" w:rsidP="00AA39DD">
      <w:pPr>
        <w:pStyle w:val="FootnoteText"/>
        <w:tabs>
          <w:tab w:val="left" w:pos="720"/>
          <w:tab w:val="left" w:pos="900"/>
          <w:tab w:val="left" w:pos="1080"/>
        </w:tabs>
        <w:jc w:val="both"/>
        <w:rPr>
          <w:rFonts w:ascii="Cambria" w:hAnsi="Cambria"/>
          <w:sz w:val="16"/>
          <w:szCs w:val="16"/>
        </w:rPr>
      </w:pPr>
      <w:r w:rsidRPr="00E0758D">
        <w:rPr>
          <w:rStyle w:val="FootnoteReference"/>
          <w:rFonts w:ascii="Cambria" w:hAnsi="Cambria"/>
          <w:sz w:val="16"/>
          <w:szCs w:val="16"/>
        </w:rPr>
        <w:footnoteRef/>
      </w:r>
      <w:r w:rsidRPr="00E0758D">
        <w:rPr>
          <w:rFonts w:ascii="Cambria" w:hAnsi="Cambria"/>
          <w:sz w:val="16"/>
          <w:szCs w:val="16"/>
        </w:rPr>
        <w:t xml:space="preserve"> ECHR, Case McCann and others v. The United Kingdom. </w:t>
      </w:r>
      <w:r w:rsidRPr="005A6989">
        <w:rPr>
          <w:rFonts w:ascii="Cambria" w:hAnsi="Cambria"/>
          <w:sz w:val="16"/>
          <w:szCs w:val="16"/>
        </w:rPr>
        <w:t>Application No. 27229/95, 27 September 1995, § 146.</w:t>
      </w:r>
    </w:p>
  </w:footnote>
  <w:footnote w:id="125">
    <w:p w14:paraId="7030F9FF" w14:textId="77777777" w:rsidR="002F4213" w:rsidRPr="00E0758D" w:rsidRDefault="002F4213" w:rsidP="00AA39DD">
      <w:pPr>
        <w:pStyle w:val="FootnoteText"/>
        <w:jc w:val="both"/>
        <w:rPr>
          <w:rFonts w:ascii="Cambria" w:hAnsi="Cambria"/>
          <w:sz w:val="16"/>
          <w:szCs w:val="16"/>
          <w:lang w:val="es-US"/>
        </w:rPr>
      </w:pPr>
      <w:r w:rsidRPr="00E0758D">
        <w:rPr>
          <w:rStyle w:val="FootnoteReference"/>
          <w:rFonts w:ascii="Cambria" w:hAnsi="Cambria"/>
          <w:sz w:val="16"/>
          <w:szCs w:val="16"/>
        </w:rPr>
        <w:footnoteRef/>
      </w:r>
      <w:r w:rsidRPr="003D6AAA">
        <w:rPr>
          <w:rFonts w:ascii="Cambria" w:hAnsi="Cambria"/>
          <w:sz w:val="16"/>
          <w:szCs w:val="16"/>
          <w:lang w:val="es-US"/>
        </w:rPr>
        <w:t xml:space="preserve"> CIDH, Informe No 65/01. </w:t>
      </w:r>
      <w:r w:rsidRPr="00E0758D">
        <w:rPr>
          <w:rFonts w:ascii="Cambria" w:hAnsi="Cambria"/>
          <w:sz w:val="16"/>
          <w:szCs w:val="16"/>
          <w:lang w:val="es-US"/>
        </w:rPr>
        <w:t xml:space="preserve">Caso 11.073. Fondo. Juan Humberto Sánchez. Honduras. 6 de marzo de 2001, parr.88.   </w:t>
      </w:r>
    </w:p>
  </w:footnote>
  <w:footnote w:id="126">
    <w:p w14:paraId="5791A734" w14:textId="77777777" w:rsidR="002F4213" w:rsidRPr="00E0758D" w:rsidRDefault="002F4213" w:rsidP="00AA39DD">
      <w:pPr>
        <w:pStyle w:val="FootnoteText"/>
        <w:jc w:val="both"/>
        <w:rPr>
          <w:rFonts w:ascii="Cambria" w:hAnsi="Cambria"/>
          <w:sz w:val="16"/>
          <w:szCs w:val="16"/>
          <w:lang w:val="es-ES"/>
        </w:rPr>
      </w:pPr>
      <w:r w:rsidRPr="00E0758D">
        <w:rPr>
          <w:rStyle w:val="FootnoteReference"/>
          <w:rFonts w:ascii="Cambria" w:hAnsi="Cambria"/>
          <w:sz w:val="16"/>
          <w:szCs w:val="16"/>
          <w:lang w:val="es-ES"/>
        </w:rPr>
        <w:footnoteRef/>
      </w:r>
      <w:r w:rsidRPr="00E0758D">
        <w:rPr>
          <w:rFonts w:ascii="Cambria" w:hAnsi="Cambria"/>
          <w:sz w:val="16"/>
          <w:szCs w:val="16"/>
          <w:lang w:val="es-ES"/>
        </w:rPr>
        <w:t xml:space="preserve"> Corte IDH. Caso del Penal Miguel Castro Castro Vs. Perú. Fondo, Reparaciones y Costas. Sentencia de 25 de noviembre de 2006. Serie C No. 160, párr. 237; Caso de la Masacre de Mapiripán Vs. Colombia. Fondo, Reparaciones y Costas. Sentencia de 15 de septiembre de 2005. Serie C No. 134, párr. 231; y Caso Huilca Tecse Vs. Perú. Fondo, Reparaciones y Costas. Sentencia de 3 de marzo de 2005. Serie C No. 121, párr. 66.</w:t>
      </w:r>
    </w:p>
  </w:footnote>
  <w:footnote w:id="127">
    <w:p w14:paraId="09C85CC5" w14:textId="77777777" w:rsidR="002F4213" w:rsidRPr="00E0758D" w:rsidRDefault="002F4213" w:rsidP="00AA39DD">
      <w:pPr>
        <w:pStyle w:val="FootnoteText"/>
        <w:jc w:val="both"/>
        <w:rPr>
          <w:rFonts w:ascii="Cambria" w:hAnsi="Cambria"/>
          <w:sz w:val="16"/>
          <w:szCs w:val="16"/>
          <w:lang w:val="es-US"/>
        </w:rPr>
      </w:pPr>
      <w:r w:rsidRPr="00E0758D">
        <w:rPr>
          <w:rStyle w:val="FootnoteReference"/>
          <w:rFonts w:ascii="Cambria" w:hAnsi="Cambria"/>
          <w:sz w:val="16"/>
          <w:szCs w:val="16"/>
          <w:lang w:val="es-ES"/>
        </w:rPr>
        <w:footnoteRef/>
      </w:r>
      <w:r w:rsidRPr="00E0758D">
        <w:rPr>
          <w:rFonts w:ascii="Cambria" w:hAnsi="Cambria"/>
          <w:sz w:val="16"/>
          <w:szCs w:val="16"/>
          <w:lang w:val="es-ES"/>
        </w:rPr>
        <w:t xml:space="preserve"> CIDH, Informe Nº 25/02, Masacre de Plan de Sánchez, Caso 11.763, del 28 de febrero de 2002, párr. 114. Corte IDH. Caso de la Masacre de las Dos Erres Vs. Guatemala. Excepción Preliminar, Fondo, Reparaciones y Costas. Sentencia de 24 de noviembre de 2009. </w:t>
      </w:r>
      <w:r w:rsidRPr="00E0758D">
        <w:rPr>
          <w:rFonts w:ascii="Cambria" w:hAnsi="Cambria"/>
          <w:sz w:val="16"/>
          <w:szCs w:val="16"/>
          <w:lang w:val="es-US"/>
        </w:rPr>
        <w:t>Serie C No. 211.</w:t>
      </w:r>
    </w:p>
  </w:footnote>
  <w:footnote w:id="128">
    <w:p w14:paraId="15BCE1AC" w14:textId="25964073" w:rsidR="002F4213" w:rsidRPr="00E0758D" w:rsidRDefault="002F4213" w:rsidP="00AA39DD">
      <w:pPr>
        <w:pStyle w:val="FootnoteText"/>
        <w:tabs>
          <w:tab w:val="left" w:pos="720"/>
        </w:tabs>
        <w:jc w:val="both"/>
        <w:rPr>
          <w:rFonts w:ascii="Cambria" w:hAnsi="Cambria"/>
          <w:sz w:val="16"/>
          <w:szCs w:val="16"/>
          <w:lang w:val="es-US"/>
        </w:rPr>
      </w:pPr>
      <w:r w:rsidRPr="00E0758D">
        <w:rPr>
          <w:rStyle w:val="FootnoteReference"/>
          <w:rFonts w:ascii="Cambria" w:hAnsi="Cambria"/>
          <w:sz w:val="16"/>
          <w:szCs w:val="16"/>
        </w:rPr>
        <w:footnoteRef/>
      </w:r>
      <w:r w:rsidRPr="00E0758D">
        <w:rPr>
          <w:rFonts w:ascii="Cambria" w:hAnsi="Cambria"/>
          <w:sz w:val="16"/>
          <w:szCs w:val="16"/>
          <w:lang w:val="es-VE"/>
        </w:rPr>
        <w:t xml:space="preserve"> Corte IDH. </w:t>
      </w:r>
      <w:r w:rsidRPr="00E0758D">
        <w:rPr>
          <w:rFonts w:ascii="Cambria" w:hAnsi="Cambria"/>
          <w:iCs/>
          <w:sz w:val="16"/>
          <w:szCs w:val="16"/>
          <w:lang w:val="es-ES_tradnl"/>
        </w:rPr>
        <w:t>Caso</w:t>
      </w:r>
      <w:r w:rsidRPr="00E0758D">
        <w:rPr>
          <w:rFonts w:ascii="Cambria" w:hAnsi="Cambria"/>
          <w:sz w:val="16"/>
          <w:szCs w:val="16"/>
          <w:lang w:val="es-ES_tradnl"/>
        </w:rPr>
        <w:t xml:space="preserve"> </w:t>
      </w:r>
      <w:r w:rsidRPr="00E0758D">
        <w:rPr>
          <w:rFonts w:ascii="Cambria" w:hAnsi="Cambria"/>
          <w:iCs/>
          <w:sz w:val="16"/>
          <w:szCs w:val="16"/>
          <w:lang w:val="es-ES_tradnl"/>
        </w:rPr>
        <w:t>de la Masacre de Pueblo Bello</w:t>
      </w:r>
      <w:r w:rsidRPr="00E0758D">
        <w:rPr>
          <w:rFonts w:ascii="Cambria" w:hAnsi="Cambria"/>
          <w:sz w:val="16"/>
          <w:szCs w:val="16"/>
          <w:lang w:val="es-ES_tradnl"/>
        </w:rPr>
        <w:t>.</w:t>
      </w:r>
      <w:r w:rsidRPr="00E0758D">
        <w:rPr>
          <w:rFonts w:ascii="Cambria" w:hAnsi="Cambria"/>
          <w:sz w:val="16"/>
          <w:szCs w:val="16"/>
          <w:lang w:val="it-IT"/>
        </w:rPr>
        <w:t xml:space="preserve"> </w:t>
      </w:r>
      <w:r w:rsidRPr="00E0758D">
        <w:rPr>
          <w:rFonts w:ascii="Cambria" w:hAnsi="Cambria"/>
          <w:sz w:val="16"/>
          <w:szCs w:val="16"/>
          <w:lang w:val="es-US"/>
        </w:rPr>
        <w:t>Párr. 117.</w:t>
      </w:r>
    </w:p>
  </w:footnote>
  <w:footnote w:id="129">
    <w:p w14:paraId="0A2A2E32" w14:textId="77777777" w:rsidR="002F4213" w:rsidRPr="00E0758D" w:rsidRDefault="002F4213" w:rsidP="00AA39DD">
      <w:pPr>
        <w:jc w:val="both"/>
        <w:rPr>
          <w:rFonts w:ascii="Cambria" w:eastAsia="Times New Roman" w:hAnsi="Cambria"/>
          <w:sz w:val="16"/>
          <w:szCs w:val="16"/>
          <w:lang w:val="es-US"/>
        </w:rPr>
      </w:pPr>
      <w:r w:rsidRPr="00E0758D">
        <w:rPr>
          <w:rStyle w:val="FootnoteReference"/>
          <w:rFonts w:ascii="Cambria" w:hAnsi="Cambria"/>
          <w:sz w:val="16"/>
          <w:szCs w:val="16"/>
        </w:rPr>
        <w:footnoteRef/>
      </w:r>
      <w:r w:rsidRPr="00E0758D">
        <w:rPr>
          <w:rFonts w:ascii="Cambria" w:hAnsi="Cambria" w:cs="Arial"/>
          <w:sz w:val="16"/>
          <w:szCs w:val="16"/>
          <w:lang w:val="es-CR"/>
        </w:rPr>
        <w:t xml:space="preserve">La jurisprudencia de la Corte Europea respecto de los elementos señalando en el deber de prevención ha sido retomada por la Corte Interamericana en varias de sus sentencias. En este sentido ver: </w:t>
      </w:r>
      <w:r w:rsidRPr="00E0758D">
        <w:rPr>
          <w:rFonts w:ascii="Cambria" w:eastAsia="Times New Roman" w:hAnsi="Cambria"/>
          <w:bCs/>
          <w:color w:val="000000"/>
          <w:sz w:val="16"/>
          <w:szCs w:val="16"/>
          <w:shd w:val="clear" w:color="auto" w:fill="FFFFFF"/>
          <w:lang w:val="es-US"/>
        </w:rPr>
        <w:t>Corte IDH. Caso de la Masacre de Pueblo Bello Vs. Colombia. Sentencia de 31 de enero de 2006. Serie C No. 140, párr. 124; Corte IDH. Caso González y otras (“Campo Algodonero”) Vs. México. Excepción Preliminar, Fondo, Reparaciones y Costas. Sentencia de 16 de noviembre de 2009. Serie C No.205, párr. 284; Corte IDH. Caso Luna López Vs. Honduras. Fondo, Reparaciones y Costas. Sentencia de 10 de octubre de 2013. Serie C No. 269, párr. 124.</w:t>
      </w:r>
    </w:p>
  </w:footnote>
  <w:footnote w:id="130">
    <w:p w14:paraId="26DB8587" w14:textId="77777777" w:rsidR="00021FC4" w:rsidRPr="009312E1" w:rsidRDefault="00021FC4" w:rsidP="00021FC4">
      <w:pPr>
        <w:pStyle w:val="FootnoteText"/>
        <w:rPr>
          <w:rFonts w:asciiTheme="majorHAnsi" w:hAnsiTheme="majorHAnsi"/>
          <w:sz w:val="16"/>
          <w:szCs w:val="16"/>
          <w:lang w:val="es-ES_tradnl"/>
        </w:rPr>
      </w:pPr>
      <w:r w:rsidRPr="009312E1">
        <w:rPr>
          <w:rStyle w:val="FootnoteReference"/>
          <w:rFonts w:asciiTheme="majorHAnsi" w:hAnsiTheme="majorHAnsi"/>
          <w:sz w:val="16"/>
          <w:szCs w:val="16"/>
        </w:rPr>
        <w:footnoteRef/>
      </w:r>
      <w:r w:rsidRPr="009312E1">
        <w:rPr>
          <w:rFonts w:asciiTheme="majorHAnsi" w:hAnsiTheme="majorHAnsi"/>
          <w:sz w:val="16"/>
          <w:szCs w:val="16"/>
          <w:lang w:val="es-ES_tradnl"/>
        </w:rPr>
        <w:t xml:space="preserve"> CIDH. Las mujeres frente a la violencia y la discriminación derivadas del conflict armado en Colombia. 18 de octubre de 2006. Párr. 6.</w:t>
      </w:r>
    </w:p>
  </w:footnote>
  <w:footnote w:id="131">
    <w:p w14:paraId="4A8C1573" w14:textId="77777777" w:rsidR="002F4213" w:rsidRPr="00E0758D" w:rsidRDefault="002F4213" w:rsidP="00910A5C">
      <w:pPr>
        <w:tabs>
          <w:tab w:val="left" w:pos="900"/>
          <w:tab w:val="left" w:pos="1080"/>
        </w:tabs>
        <w:jc w:val="both"/>
        <w:rPr>
          <w:rFonts w:ascii="Cambria" w:hAnsi="Cambria"/>
          <w:sz w:val="16"/>
          <w:szCs w:val="16"/>
          <w:lang w:val="es-ES_tradnl"/>
        </w:rPr>
      </w:pPr>
      <w:r w:rsidRPr="00E0758D">
        <w:rPr>
          <w:rStyle w:val="FootnoteReference"/>
          <w:rFonts w:ascii="Cambria" w:hAnsi="Cambria" w:cs="Arial"/>
          <w:sz w:val="16"/>
          <w:szCs w:val="16"/>
          <w:lang w:val="es-SV"/>
        </w:rPr>
        <w:footnoteRef/>
      </w:r>
      <w:r w:rsidRPr="00E0758D">
        <w:rPr>
          <w:rFonts w:ascii="Cambria" w:hAnsi="Cambria" w:cs="Arial"/>
          <w:sz w:val="16"/>
          <w:szCs w:val="16"/>
          <w:lang w:val="es-ES"/>
        </w:rPr>
        <w:t xml:space="preserve"> </w:t>
      </w:r>
      <w:r w:rsidRPr="00E0758D">
        <w:rPr>
          <w:rFonts w:ascii="Cambria" w:hAnsi="Cambria"/>
          <w:sz w:val="16"/>
          <w:szCs w:val="16"/>
          <w:lang w:val="es-ES"/>
        </w:rPr>
        <w:t xml:space="preserve">CIDH. Informe No. 11/10. </w:t>
      </w:r>
      <w:r w:rsidRPr="00E0758D">
        <w:rPr>
          <w:rFonts w:ascii="Cambria" w:hAnsi="Cambria"/>
          <w:sz w:val="16"/>
          <w:szCs w:val="16"/>
          <w:lang w:val="es-CO"/>
        </w:rPr>
        <w:t>Caso 12.488. Fondo. Miembros de la Familia Barrios. Venezuela. 16 de marzo de 2010.</w:t>
      </w:r>
      <w:r w:rsidRPr="00E0758D">
        <w:rPr>
          <w:rFonts w:ascii="Cambria" w:hAnsi="Cambria"/>
          <w:sz w:val="16"/>
          <w:szCs w:val="16"/>
          <w:lang w:val="es-ES_tradnl"/>
        </w:rPr>
        <w:t xml:space="preserve">CIDH. Informe sobre Terrorismo y Derechos Humanos. Párr. 227; </w:t>
      </w:r>
      <w:r w:rsidRPr="00E0758D">
        <w:rPr>
          <w:rFonts w:ascii="Cambria" w:hAnsi="Cambria" w:cs="Arial"/>
          <w:sz w:val="16"/>
          <w:szCs w:val="16"/>
          <w:lang w:val="es-ES_tradnl"/>
        </w:rPr>
        <w:t xml:space="preserve">Corte IDH. </w:t>
      </w:r>
      <w:r w:rsidRPr="00E0758D">
        <w:rPr>
          <w:rFonts w:ascii="Cambria" w:hAnsi="Cambria" w:cs="Arial"/>
          <w:bCs/>
          <w:sz w:val="16"/>
          <w:szCs w:val="16"/>
          <w:lang w:val="es-ES_tradnl"/>
        </w:rPr>
        <w:t xml:space="preserve">Caso Cantoral Huamaní y García Santa Cruz Vs. Perú. </w:t>
      </w:r>
      <w:r w:rsidRPr="00E0758D">
        <w:rPr>
          <w:rFonts w:ascii="Cambria" w:hAnsi="Cambria" w:cs="Arial"/>
          <w:sz w:val="16"/>
          <w:szCs w:val="16"/>
          <w:lang w:val="es-ES_tradnl"/>
        </w:rPr>
        <w:t xml:space="preserve">Excepción Preliminar, Fondo, Reparaciones y Costas. Sentencia de 10 de julio de 2007. Serie C No. 167. </w:t>
      </w:r>
      <w:r w:rsidRPr="00E0758D">
        <w:rPr>
          <w:rFonts w:ascii="Cambria" w:hAnsi="Cambria" w:cs="Arial"/>
          <w:sz w:val="16"/>
          <w:szCs w:val="16"/>
          <w:lang w:val="es-CL"/>
        </w:rPr>
        <w:t xml:space="preserve">párr. 112; </w:t>
      </w:r>
      <w:r w:rsidRPr="00E0758D">
        <w:rPr>
          <w:rFonts w:ascii="Cambria" w:hAnsi="Cambria" w:cs="Arial"/>
          <w:sz w:val="16"/>
          <w:szCs w:val="16"/>
          <w:lang w:val="es-ES_tradnl"/>
        </w:rPr>
        <w:t xml:space="preserve">y Caso Bueno Alves Vs. Argentina. Fondo, Reparaciones y Costas. </w:t>
      </w:r>
      <w:r w:rsidRPr="00E0758D">
        <w:rPr>
          <w:rFonts w:ascii="Cambria" w:hAnsi="Cambria" w:cs="Arial"/>
          <w:sz w:val="16"/>
          <w:szCs w:val="16"/>
          <w:lang w:val="es-ES"/>
        </w:rPr>
        <w:t xml:space="preserve">Sentencia de 11 de mayo de 2007. Serie C. No. 164. </w:t>
      </w:r>
      <w:r w:rsidRPr="00E0758D">
        <w:rPr>
          <w:rFonts w:ascii="Cambria" w:hAnsi="Cambria" w:cs="Arial"/>
          <w:sz w:val="16"/>
          <w:szCs w:val="16"/>
          <w:lang w:val="es-ES_tradnl"/>
        </w:rPr>
        <w:t>párr. 102.</w:t>
      </w:r>
      <w:r w:rsidRPr="00E0758D">
        <w:rPr>
          <w:rFonts w:ascii="Cambria" w:hAnsi="Cambria" w:cs="Arial"/>
          <w:sz w:val="16"/>
          <w:szCs w:val="16"/>
          <w:lang w:val="es-CL"/>
        </w:rPr>
        <w:t xml:space="preserve"> </w:t>
      </w:r>
    </w:p>
  </w:footnote>
  <w:footnote w:id="132">
    <w:p w14:paraId="7B1FBB2F" w14:textId="77777777" w:rsidR="002F4213" w:rsidRPr="00E0758D" w:rsidRDefault="002F4213" w:rsidP="00910A5C">
      <w:pPr>
        <w:tabs>
          <w:tab w:val="left" w:pos="1080"/>
        </w:tabs>
        <w:jc w:val="both"/>
        <w:rPr>
          <w:rFonts w:ascii="Cambria" w:hAnsi="Cambria"/>
          <w:sz w:val="16"/>
          <w:szCs w:val="16"/>
          <w:lang w:val="es-ES_tradnl"/>
        </w:rPr>
      </w:pPr>
      <w:r w:rsidRPr="00E0758D">
        <w:rPr>
          <w:rStyle w:val="FootnoteReference"/>
          <w:rFonts w:ascii="Cambria" w:hAnsi="Cambria" w:cs="Arial"/>
          <w:sz w:val="16"/>
          <w:szCs w:val="16"/>
        </w:rPr>
        <w:footnoteRef/>
      </w:r>
      <w:r w:rsidRPr="005A6989">
        <w:rPr>
          <w:rFonts w:ascii="Cambria" w:hAnsi="Cambria" w:cs="Arial"/>
          <w:sz w:val="16"/>
          <w:szCs w:val="16"/>
          <w:lang w:val="es-ES"/>
        </w:rPr>
        <w:t xml:space="preserve"> Corte IDH. Caso Vargas Areco Vs. </w:t>
      </w:r>
      <w:r w:rsidRPr="00E0758D">
        <w:rPr>
          <w:rFonts w:ascii="Cambria" w:hAnsi="Cambria" w:cs="Arial"/>
          <w:sz w:val="16"/>
          <w:szCs w:val="16"/>
          <w:lang w:val="es-ES"/>
        </w:rPr>
        <w:t xml:space="preserve">Paraguay. </w:t>
      </w:r>
      <w:r w:rsidRPr="00E0758D">
        <w:rPr>
          <w:rFonts w:ascii="Cambria" w:hAnsi="Cambria" w:cs="Arial"/>
          <w:sz w:val="16"/>
          <w:szCs w:val="16"/>
          <w:lang w:val="es-ES_tradnl"/>
        </w:rPr>
        <w:t xml:space="preserve">Sentencia de 26 de septiembre de 2006. Serie C No. 155. párr. </w:t>
      </w:r>
      <w:r w:rsidRPr="00E0758D">
        <w:rPr>
          <w:rFonts w:ascii="Cambria" w:hAnsi="Cambria" w:cs="Arial"/>
          <w:sz w:val="16"/>
          <w:szCs w:val="16"/>
          <w:lang w:val="es-ES"/>
        </w:rPr>
        <w:t>96.</w:t>
      </w:r>
    </w:p>
  </w:footnote>
  <w:footnote w:id="133">
    <w:p w14:paraId="0B5CF52F" w14:textId="77777777" w:rsidR="002F4213" w:rsidRPr="00E0758D" w:rsidRDefault="002F4213" w:rsidP="00910A5C">
      <w:pPr>
        <w:pStyle w:val="FootnoteText"/>
        <w:jc w:val="both"/>
        <w:rPr>
          <w:rFonts w:ascii="Cambria" w:hAnsi="Cambria"/>
          <w:sz w:val="16"/>
          <w:szCs w:val="16"/>
          <w:lang w:val="es-ES"/>
        </w:rPr>
      </w:pPr>
      <w:r w:rsidRPr="00E0758D">
        <w:rPr>
          <w:rStyle w:val="FootnoteReference"/>
          <w:rFonts w:ascii="Cambria" w:hAnsi="Cambria"/>
          <w:sz w:val="16"/>
          <w:szCs w:val="16"/>
          <w:lang w:val="es-ES"/>
        </w:rPr>
        <w:footnoteRef/>
      </w:r>
      <w:r w:rsidRPr="005A6989">
        <w:rPr>
          <w:rFonts w:ascii="Cambria" w:hAnsi="Cambria"/>
          <w:sz w:val="16"/>
          <w:szCs w:val="16"/>
          <w:lang w:val="es-US"/>
        </w:rPr>
        <w:t xml:space="preserve"> Corte IDH. </w:t>
      </w:r>
      <w:r w:rsidRPr="005A6989">
        <w:rPr>
          <w:rFonts w:ascii="Cambria" w:hAnsi="Cambria"/>
          <w:iCs/>
          <w:sz w:val="16"/>
          <w:szCs w:val="16"/>
          <w:lang w:val="es-US"/>
        </w:rPr>
        <w:t xml:space="preserve">Caso Blake Vs. </w:t>
      </w:r>
      <w:r w:rsidRPr="00E0758D">
        <w:rPr>
          <w:rFonts w:ascii="Cambria" w:hAnsi="Cambria"/>
          <w:iCs/>
          <w:sz w:val="16"/>
          <w:szCs w:val="16"/>
          <w:lang w:val="es-ES"/>
        </w:rPr>
        <w:t>Guatemala</w:t>
      </w:r>
      <w:r w:rsidRPr="00E0758D">
        <w:rPr>
          <w:rFonts w:ascii="Cambria" w:hAnsi="Cambria"/>
          <w:sz w:val="16"/>
          <w:szCs w:val="16"/>
          <w:lang w:val="es-ES"/>
        </w:rPr>
        <w:t xml:space="preserve">. Fondo. Sentencia de 24 de enero de 1998. Serie C No. 36, párr. 114; </w:t>
      </w:r>
      <w:r w:rsidRPr="00E0758D">
        <w:rPr>
          <w:rFonts w:ascii="Cambria" w:hAnsi="Cambria"/>
          <w:iCs/>
          <w:sz w:val="16"/>
          <w:szCs w:val="16"/>
          <w:lang w:val="es-ES"/>
        </w:rPr>
        <w:t>Caso Ticona Estrada Vs. Bolivia</w:t>
      </w:r>
      <w:r w:rsidRPr="00E0758D">
        <w:rPr>
          <w:rFonts w:ascii="Cambria" w:hAnsi="Cambria"/>
          <w:sz w:val="16"/>
          <w:szCs w:val="16"/>
          <w:lang w:val="es-ES"/>
        </w:rPr>
        <w:t xml:space="preserve">. Fondo, Reparaciones y Costas. Sentencia de 27 de noviembre de 2008. Serie C No. 191, párr. 87; </w:t>
      </w:r>
      <w:r w:rsidRPr="00E0758D">
        <w:rPr>
          <w:rFonts w:ascii="Cambria" w:hAnsi="Cambria"/>
          <w:iCs/>
          <w:sz w:val="16"/>
          <w:szCs w:val="16"/>
          <w:lang w:val="es-ES"/>
        </w:rPr>
        <w:t>Caso La Cantuta Vs. Perú</w:t>
      </w:r>
      <w:r w:rsidRPr="00E0758D">
        <w:rPr>
          <w:rFonts w:ascii="Cambria" w:hAnsi="Cambria"/>
          <w:sz w:val="16"/>
          <w:szCs w:val="16"/>
          <w:lang w:val="es-ES"/>
        </w:rPr>
        <w:t xml:space="preserve">. Fondo, Reparaciones y Costas. Sentencia de 29 de noviembre de 2006. Serie C No. 162, párr. 123 y </w:t>
      </w:r>
      <w:r w:rsidRPr="00E0758D">
        <w:rPr>
          <w:rFonts w:ascii="Cambria" w:hAnsi="Cambria"/>
          <w:iCs/>
          <w:sz w:val="16"/>
          <w:szCs w:val="16"/>
          <w:lang w:val="es-ES"/>
        </w:rPr>
        <w:t>Caso Anzualdo Castro Vs. Perú</w:t>
      </w:r>
      <w:r w:rsidRPr="00E0758D">
        <w:rPr>
          <w:rFonts w:ascii="Cambria" w:hAnsi="Cambria"/>
          <w:sz w:val="16"/>
          <w:szCs w:val="16"/>
          <w:lang w:val="es-ES"/>
        </w:rPr>
        <w:t>, Sentencia de 22 de septiembre de 2009, Serie C No. 202, párr. 105.</w:t>
      </w:r>
    </w:p>
  </w:footnote>
  <w:footnote w:id="134">
    <w:p w14:paraId="16A21CF5" w14:textId="77777777" w:rsidR="008A2AE6" w:rsidRPr="008E443D" w:rsidRDefault="008A2AE6" w:rsidP="00FF0EEC">
      <w:pPr>
        <w:pStyle w:val="FootnoteText"/>
        <w:jc w:val="both"/>
        <w:rPr>
          <w:rFonts w:asciiTheme="majorHAnsi" w:hAnsiTheme="majorHAnsi"/>
          <w:lang w:val="es-US"/>
        </w:rPr>
      </w:pPr>
      <w:r w:rsidRPr="00CC202D">
        <w:rPr>
          <w:rStyle w:val="FootnoteReference"/>
          <w:rFonts w:asciiTheme="majorHAnsi" w:hAnsiTheme="majorHAnsi"/>
          <w:sz w:val="16"/>
          <w:szCs w:val="16"/>
        </w:rPr>
        <w:footnoteRef/>
      </w:r>
      <w:r w:rsidRPr="00CC202D">
        <w:rPr>
          <w:rFonts w:asciiTheme="majorHAnsi" w:hAnsiTheme="majorHAnsi"/>
          <w:sz w:val="16"/>
          <w:szCs w:val="16"/>
          <w:lang w:val="es-US"/>
        </w:rPr>
        <w:t xml:space="preserve"> </w:t>
      </w:r>
      <w:r w:rsidRPr="00CC202D">
        <w:rPr>
          <w:rFonts w:asciiTheme="majorHAnsi" w:eastAsia="Cambria" w:hAnsiTheme="majorHAnsi" w:cs="Cambria"/>
          <w:sz w:val="16"/>
          <w:szCs w:val="16"/>
          <w:lang w:val="es-CO"/>
        </w:rPr>
        <w:t>Ana Eugenia Rojas de Moreno, Yeison Quiroga Carpio, Consuelo Quitian Quiroga, Joshua Alexander Villamarín Gelves y Vicente Fuentes Méndez.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4D05" w14:textId="77777777" w:rsidR="002F4213" w:rsidRDefault="002F4213" w:rsidP="006A407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2A68D8F" w14:textId="77777777" w:rsidR="002F4213" w:rsidRDefault="002F4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9A38" w14:textId="77777777" w:rsidR="002F4213" w:rsidRDefault="002F4213" w:rsidP="006A407F">
    <w:pPr>
      <w:pStyle w:val="Header"/>
      <w:tabs>
        <w:tab w:val="clear" w:pos="4320"/>
        <w:tab w:val="clear" w:pos="8640"/>
      </w:tabs>
      <w:jc w:val="center"/>
      <w:rPr>
        <w:sz w:val="22"/>
        <w:szCs w:val="22"/>
      </w:rPr>
    </w:pPr>
    <w:r>
      <w:rPr>
        <w:noProof/>
        <w:sz w:val="22"/>
        <w:szCs w:val="22"/>
      </w:rPr>
      <w:drawing>
        <wp:inline distT="0" distB="0" distL="0" distR="0" wp14:anchorId="0A2AE898" wp14:editId="2B29B9C8">
          <wp:extent cx="1971040" cy="106680"/>
          <wp:effectExtent l="0" t="0" r="0" b="7620"/>
          <wp:docPr id="16" name="Picture 3" descr="Description: 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040" cy="106680"/>
                  </a:xfrm>
                  <a:prstGeom prst="rect">
                    <a:avLst/>
                  </a:prstGeom>
                  <a:noFill/>
                  <a:ln>
                    <a:noFill/>
                  </a:ln>
                </pic:spPr>
              </pic:pic>
            </a:graphicData>
          </a:graphic>
        </wp:inline>
      </w:drawing>
    </w:r>
  </w:p>
  <w:p w14:paraId="76340B17" w14:textId="77777777" w:rsidR="002F4213" w:rsidRPr="00EC7D62" w:rsidRDefault="00CF3CC8" w:rsidP="006A407F">
    <w:pPr>
      <w:pStyle w:val="Header"/>
      <w:tabs>
        <w:tab w:val="clear" w:pos="4320"/>
        <w:tab w:val="clear" w:pos="8640"/>
      </w:tabs>
      <w:jc w:val="center"/>
      <w:rPr>
        <w:sz w:val="22"/>
        <w:szCs w:val="22"/>
      </w:rPr>
    </w:pPr>
    <w:r>
      <w:rPr>
        <w:noProof/>
        <w:sz w:val="22"/>
        <w:szCs w:val="22"/>
      </w:rPr>
      <w:pict w14:anchorId="3D72BF16">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60E0D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Universal"/>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Universal"/>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Universal"/>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Universal"/>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Universal"/>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Universal"/>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Universal"/>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Universal"/>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Universal"/>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3" w15:restartNumberingAfterBreak="0">
    <w:nsid w:val="087D5CCB"/>
    <w:multiLevelType w:val="hybridMultilevel"/>
    <w:tmpl w:val="287ED0F4"/>
    <w:lvl w:ilvl="0" w:tplc="90D23E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5" w15:restartNumberingAfterBreak="0">
    <w:nsid w:val="0C77523A"/>
    <w:multiLevelType w:val="hybridMultilevel"/>
    <w:tmpl w:val="9BF47FF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Universal"/>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Universal"/>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Universal"/>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Universal"/>
        <w:color w:val="000000"/>
        <w:position w:val="0"/>
        <w:sz w:val="22"/>
        <w:szCs w:val="22"/>
        <w:u w:color="000000"/>
        <w:lang w:val="es-ES_tradnl"/>
      </w:rPr>
    </w:lvl>
  </w:abstractNum>
  <w:abstractNum w:abstractNumId="7" w15:restartNumberingAfterBreak="0">
    <w:nsid w:val="12993213"/>
    <w:multiLevelType w:val="hybridMultilevel"/>
    <w:tmpl w:val="33AE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Universal"/>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Universal"/>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Universal"/>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Universal"/>
        <w:color w:val="000000"/>
        <w:position w:val="0"/>
        <w:sz w:val="22"/>
        <w:szCs w:val="22"/>
        <w:u w:color="000000"/>
        <w:lang w:val="es-ES_tradnl"/>
      </w:rPr>
    </w:lvl>
  </w:abstractNum>
  <w:abstractNum w:abstractNumId="9" w15:restartNumberingAfterBreak="0">
    <w:nsid w:val="19050020"/>
    <w:multiLevelType w:val="hybridMultilevel"/>
    <w:tmpl w:val="2FC28742"/>
    <w:lvl w:ilvl="0" w:tplc="E60CDE40">
      <w:start w:val="1"/>
      <w:numFmt w:val="decimal"/>
      <w:lvlText w:val="%1."/>
      <w:lvlJc w:val="left"/>
      <w:pPr>
        <w:tabs>
          <w:tab w:val="num" w:pos="1440"/>
        </w:tabs>
        <w:ind w:firstLine="720"/>
      </w:pPr>
      <w:rPr>
        <w:rFonts w:ascii="Univers" w:hAnsi="Univers" w:cs="Times New Roman" w:hint="default"/>
        <w:b w:val="0"/>
        <w:i w:val="0"/>
        <w:sz w:val="20"/>
        <w:szCs w:val="20"/>
      </w:rPr>
    </w:lvl>
    <w:lvl w:ilvl="1" w:tplc="04090019">
      <w:start w:val="1"/>
      <w:numFmt w:val="lowerLetter"/>
      <w:lvlText w:val="%2."/>
      <w:lvlJc w:val="left"/>
      <w:pPr>
        <w:tabs>
          <w:tab w:val="num" w:pos="1440"/>
        </w:tabs>
        <w:ind w:left="1440" w:hanging="360"/>
      </w:pPr>
      <w:rPr>
        <w:rFonts w:cs="Times New Roman"/>
      </w:rPr>
    </w:lvl>
    <w:lvl w:ilvl="2" w:tplc="F37C6C04">
      <w:start w:val="2"/>
      <w:numFmt w:val="upperLetter"/>
      <w:pStyle w:val="Heading8"/>
      <w:lvlText w:val="%3."/>
      <w:lvlJc w:val="left"/>
      <w:pPr>
        <w:tabs>
          <w:tab w:val="num" w:pos="2685"/>
        </w:tabs>
        <w:ind w:left="2685" w:hanging="705"/>
      </w:pPr>
      <w:rPr>
        <w:rFonts w:cs="Times New Roman" w:hint="default"/>
      </w:rPr>
    </w:lvl>
    <w:lvl w:ilvl="3" w:tplc="5C34C9A8">
      <w:start w:val="12"/>
      <w:numFmt w:val="upperRoman"/>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62145B"/>
    <w:multiLevelType w:val="hybridMultilevel"/>
    <w:tmpl w:val="C46E6192"/>
    <w:lvl w:ilvl="0" w:tplc="A5BCB49E">
      <w:start w:val="1"/>
      <w:numFmt w:val="upperLetter"/>
      <w:lvlText w:val="%1."/>
      <w:lvlJc w:val="left"/>
      <w:pPr>
        <w:ind w:left="117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890" w:hanging="360"/>
      </w:pPr>
    </w:lvl>
    <w:lvl w:ilvl="2" w:tplc="F12E0CEC">
      <w:start w:val="1"/>
      <w:numFmt w:val="bullet"/>
      <w:lvlText w:val="-"/>
      <w:lvlJc w:val="left"/>
      <w:pPr>
        <w:ind w:left="2790" w:hanging="360"/>
      </w:pPr>
      <w:rPr>
        <w:rFonts w:ascii="Cambria" w:eastAsia="Arial Unicode MS" w:hAnsi="Cambria" w:cs="Times New Roman"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Universal"/>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12"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Universal"/>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Universal"/>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Universal"/>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Universal"/>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Universal"/>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Universal"/>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Universal"/>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Universal"/>
        <w:b/>
        <w:bCs/>
        <w:color w:val="000000"/>
        <w:position w:val="0"/>
        <w:sz w:val="22"/>
        <w:szCs w:val="22"/>
        <w:u w:color="000000"/>
        <w:lang w:val="es-ES_tradnl"/>
      </w:rPr>
    </w:lvl>
  </w:abstractNum>
  <w:abstractNum w:abstractNumId="13" w15:restartNumberingAfterBreak="0">
    <w:nsid w:val="1DA57FB7"/>
    <w:multiLevelType w:val="hybridMultilevel"/>
    <w:tmpl w:val="5F329D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15"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16"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17" w15:restartNumberingAfterBreak="0">
    <w:nsid w:val="1F6D453C"/>
    <w:multiLevelType w:val="hybridMultilevel"/>
    <w:tmpl w:val="A24A8C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19"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20"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21"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22"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23" w15:restartNumberingAfterBreak="0">
    <w:nsid w:val="27EC4556"/>
    <w:multiLevelType w:val="hybridMultilevel"/>
    <w:tmpl w:val="2E00237C"/>
    <w:lvl w:ilvl="0" w:tplc="90A47FC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25"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26"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27"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28"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29"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30"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Universal"/>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31"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32" w15:restartNumberingAfterBreak="0">
    <w:nsid w:val="347A6438"/>
    <w:multiLevelType w:val="multilevel"/>
    <w:tmpl w:val="0DE8C0EA"/>
    <w:lvl w:ilvl="0">
      <w:start w:val="1"/>
      <w:numFmt w:val="decimal"/>
      <w:lvlText w:val="%1."/>
      <w:lvlJc w:val="left"/>
      <w:pPr>
        <w:ind w:left="1425" w:hanging="705"/>
      </w:pPr>
      <w:rPr>
        <w:rFonts w:hint="default"/>
        <w:sz w:val="20"/>
        <w:szCs w:val="20"/>
      </w:rPr>
    </w:lvl>
    <w:lvl w:ilvl="1">
      <w:start w:val="1"/>
      <w:numFmt w:val="decimal"/>
      <w:isLgl/>
      <w:lvlText w:val="%1.%2"/>
      <w:lvlJc w:val="left"/>
      <w:pPr>
        <w:ind w:left="1776" w:hanging="360"/>
      </w:pPr>
      <w:rPr>
        <w:rFonts w:hint="default"/>
      </w:rPr>
    </w:lvl>
    <w:lvl w:ilvl="2">
      <w:start w:val="1"/>
      <w:numFmt w:val="decimal"/>
      <w:isLgl/>
      <w:lvlText w:val="%1.%2.%3"/>
      <w:lvlJc w:val="left"/>
      <w:pPr>
        <w:ind w:left="2832"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24" w:hanging="72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5976" w:hanging="1080"/>
      </w:pPr>
      <w:rPr>
        <w:rFonts w:hint="default"/>
      </w:rPr>
    </w:lvl>
    <w:lvl w:ilvl="7">
      <w:start w:val="1"/>
      <w:numFmt w:val="decimal"/>
      <w:isLgl/>
      <w:lvlText w:val="%1.%2.%3.%4.%5.%6.%7.%8"/>
      <w:lvlJc w:val="left"/>
      <w:pPr>
        <w:ind w:left="7032" w:hanging="1440"/>
      </w:pPr>
      <w:rPr>
        <w:rFonts w:hint="default"/>
      </w:rPr>
    </w:lvl>
    <w:lvl w:ilvl="8">
      <w:start w:val="1"/>
      <w:numFmt w:val="decimal"/>
      <w:isLgl/>
      <w:lvlText w:val="%1.%2.%3.%4.%5.%6.%7.%8.%9"/>
      <w:lvlJc w:val="left"/>
      <w:pPr>
        <w:ind w:left="7728" w:hanging="1440"/>
      </w:pPr>
      <w:rPr>
        <w:rFonts w:hint="default"/>
      </w:rPr>
    </w:lvl>
  </w:abstractNum>
  <w:abstractNum w:abstractNumId="33" w15:restartNumberingAfterBreak="0">
    <w:nsid w:val="34973E03"/>
    <w:multiLevelType w:val="hybridMultilevel"/>
    <w:tmpl w:val="B9C2CCBE"/>
    <w:lvl w:ilvl="0" w:tplc="F6CEC608">
      <w:start w:val="1"/>
      <w:numFmt w:val="decimal"/>
      <w:pStyle w:val="Heading4"/>
      <w:lvlText w:val="%1."/>
      <w:lvlJc w:val="left"/>
      <w:pPr>
        <w:tabs>
          <w:tab w:val="num" w:pos="1440"/>
        </w:tabs>
        <w:ind w:left="1440" w:hanging="720"/>
      </w:pPr>
      <w:rPr>
        <w:rFonts w:hint="default"/>
      </w:rPr>
    </w:lvl>
    <w:lvl w:ilvl="1" w:tplc="56520B06">
      <w:start w:val="3"/>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16DA1AA8">
      <w:start w:val="1"/>
      <w:numFmt w:val="lowerLetter"/>
      <w:lvlText w:val="%5."/>
      <w:lvlJc w:val="left"/>
      <w:pPr>
        <w:tabs>
          <w:tab w:val="num" w:pos="3960"/>
        </w:tabs>
        <w:ind w:left="3960" w:hanging="360"/>
      </w:pPr>
      <w:rPr>
        <w:rFonts w:asciiTheme="majorHAnsi" w:eastAsia="Times New Roman" w:hAnsiTheme="majorHAnsi" w:cs="Wingding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3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Universal"/>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Universal"/>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Universal"/>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Universal"/>
        <w:color w:val="000000"/>
        <w:position w:val="0"/>
        <w:sz w:val="22"/>
        <w:szCs w:val="22"/>
        <w:u w:color="000000"/>
        <w:lang w:val="es-ES_tradnl"/>
      </w:rPr>
    </w:lvl>
  </w:abstractNum>
  <w:abstractNum w:abstractNumId="36"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37" w15:restartNumberingAfterBreak="0">
    <w:nsid w:val="3C8F70A1"/>
    <w:multiLevelType w:val="multilevel"/>
    <w:tmpl w:val="8F541278"/>
    <w:lvl w:ilvl="0">
      <w:start w:val="1"/>
      <w:numFmt w:val="decimal"/>
      <w:lvlText w:val="%1."/>
      <w:lvlJc w:val="left"/>
      <w:pPr>
        <w:ind w:left="1425" w:hanging="705"/>
      </w:pPr>
      <w:rPr>
        <w:rFonts w:hint="default"/>
        <w:sz w:val="20"/>
        <w:szCs w:val="20"/>
      </w:rPr>
    </w:lvl>
    <w:lvl w:ilvl="1">
      <w:start w:val="1"/>
      <w:numFmt w:val="decimal"/>
      <w:isLgl/>
      <w:lvlText w:val="%1.%2"/>
      <w:lvlJc w:val="left"/>
      <w:pPr>
        <w:ind w:left="1776" w:hanging="360"/>
      </w:pPr>
      <w:rPr>
        <w:rFonts w:hint="default"/>
      </w:rPr>
    </w:lvl>
    <w:lvl w:ilvl="2">
      <w:start w:val="1"/>
      <w:numFmt w:val="decimal"/>
      <w:isLgl/>
      <w:lvlText w:val="%1.%2.%3"/>
      <w:lvlJc w:val="left"/>
      <w:pPr>
        <w:ind w:left="2832"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24" w:hanging="72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5976" w:hanging="1080"/>
      </w:pPr>
      <w:rPr>
        <w:rFonts w:hint="default"/>
      </w:rPr>
    </w:lvl>
    <w:lvl w:ilvl="7">
      <w:start w:val="1"/>
      <w:numFmt w:val="decimal"/>
      <w:isLgl/>
      <w:lvlText w:val="%1.%2.%3.%4.%5.%6.%7.%8"/>
      <w:lvlJc w:val="left"/>
      <w:pPr>
        <w:ind w:left="7032" w:hanging="1440"/>
      </w:pPr>
      <w:rPr>
        <w:rFonts w:hint="default"/>
      </w:rPr>
    </w:lvl>
    <w:lvl w:ilvl="8">
      <w:start w:val="1"/>
      <w:numFmt w:val="decimal"/>
      <w:isLgl/>
      <w:lvlText w:val="%1.%2.%3.%4.%5.%6.%7.%8.%9"/>
      <w:lvlJc w:val="left"/>
      <w:pPr>
        <w:ind w:left="7728" w:hanging="1440"/>
      </w:pPr>
      <w:rPr>
        <w:rFonts w:hint="default"/>
      </w:rPr>
    </w:lvl>
  </w:abstractNum>
  <w:abstractNum w:abstractNumId="38" w15:restartNumberingAfterBreak="0">
    <w:nsid w:val="3DC61D90"/>
    <w:multiLevelType w:val="hybridMultilevel"/>
    <w:tmpl w:val="3C9A35F2"/>
    <w:lvl w:ilvl="0" w:tplc="FCB4136E">
      <w:start w:val="1"/>
      <w:numFmt w:val="decimal"/>
      <w:lvlText w:val="%1."/>
      <w:lvlJc w:val="left"/>
      <w:pPr>
        <w:tabs>
          <w:tab w:val="num" w:pos="1260"/>
        </w:tabs>
        <w:ind w:left="1260" w:hanging="360"/>
      </w:pPr>
      <w:rPr>
        <w:rFonts w:ascii="Cambria" w:hAnsi="Cambria" w:cs="Times New Roman" w:hint="default"/>
        <w:b w:val="0"/>
        <w:i w:val="0"/>
        <w:sz w:val="20"/>
        <w:szCs w:val="20"/>
        <w:lang w:val="es-ES_tradn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40" w15:restartNumberingAfterBreak="0">
    <w:nsid w:val="42DF19D7"/>
    <w:multiLevelType w:val="multilevel"/>
    <w:tmpl w:val="E7265BB0"/>
    <w:styleLink w:val="List511"/>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41"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42"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43"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44"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45" w15:restartNumberingAfterBreak="0">
    <w:nsid w:val="492723E7"/>
    <w:multiLevelType w:val="multilevel"/>
    <w:tmpl w:val="0CF8CC36"/>
    <w:styleLink w:val="List211"/>
    <w:lvl w:ilvl="0">
      <w:start w:val="1"/>
      <w:numFmt w:val="decimal"/>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46"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Universal"/>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Universal"/>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Universal"/>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Universal"/>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Universal"/>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Universal"/>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Universal"/>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Universal"/>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Universal"/>
        <w:b/>
        <w:bCs/>
        <w:color w:val="000000"/>
        <w:position w:val="0"/>
        <w:sz w:val="22"/>
        <w:szCs w:val="22"/>
        <w:u w:val="single" w:color="000000"/>
        <w:lang w:val="es-ES_tradnl"/>
      </w:rPr>
    </w:lvl>
  </w:abstractNum>
  <w:abstractNum w:abstractNumId="47"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Universal"/>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Universal"/>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val="single" w:color="000000"/>
        <w:lang w:val="es-ES_tradnl"/>
      </w:rPr>
    </w:lvl>
  </w:abstractNum>
  <w:abstractNum w:abstractNumId="48" w15:restartNumberingAfterBreak="0">
    <w:nsid w:val="4F7B63B5"/>
    <w:multiLevelType w:val="hybridMultilevel"/>
    <w:tmpl w:val="E688A1C0"/>
    <w:lvl w:ilvl="0" w:tplc="6B26211C">
      <w:start w:val="1"/>
      <w:numFmt w:val="upperRoman"/>
      <w:lvlText w:val="%1."/>
      <w:lvlJc w:val="left"/>
      <w:pPr>
        <w:tabs>
          <w:tab w:val="num" w:pos="1080"/>
        </w:tabs>
        <w:ind w:left="1080" w:hanging="720"/>
      </w:pPr>
      <w:rPr>
        <w:rFonts w:hint="default"/>
      </w:rPr>
    </w:lvl>
    <w:lvl w:ilvl="1" w:tplc="736A0FE4">
      <w:start w:val="2"/>
      <w:numFmt w:val="upperLetter"/>
      <w:lvlText w:val="%2."/>
      <w:lvlJc w:val="left"/>
      <w:pPr>
        <w:tabs>
          <w:tab w:val="num" w:pos="2520"/>
        </w:tabs>
        <w:ind w:left="2520" w:hanging="1440"/>
      </w:pPr>
      <w:rPr>
        <w:rFonts w:hint="default"/>
      </w:rPr>
    </w:lvl>
    <w:lvl w:ilvl="2" w:tplc="CD1C34CE">
      <w:start w:val="1"/>
      <w:numFmt w:val="decimal"/>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50"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51"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52"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53" w15:restartNumberingAfterBreak="0">
    <w:nsid w:val="55F02AA2"/>
    <w:multiLevelType w:val="hybridMultilevel"/>
    <w:tmpl w:val="6298CAC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4" w15:restartNumberingAfterBreak="0">
    <w:nsid w:val="5A151BD6"/>
    <w:multiLevelType w:val="hybridMultilevel"/>
    <w:tmpl w:val="1B387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681F10"/>
    <w:multiLevelType w:val="multilevel"/>
    <w:tmpl w:val="3D22AA9C"/>
    <w:lvl w:ilvl="0">
      <w:start w:val="1"/>
      <w:numFmt w:val="decimal"/>
      <w:lvlText w:val="%1."/>
      <w:lvlJc w:val="left"/>
      <w:pPr>
        <w:ind w:left="1425" w:hanging="705"/>
      </w:pPr>
      <w:rPr>
        <w:rFonts w:hint="default"/>
        <w:sz w:val="20"/>
        <w:szCs w:val="20"/>
      </w:rPr>
    </w:lvl>
    <w:lvl w:ilvl="1">
      <w:start w:val="1"/>
      <w:numFmt w:val="decimal"/>
      <w:isLgl/>
      <w:lvlText w:val="%1.%2"/>
      <w:lvlJc w:val="left"/>
      <w:pPr>
        <w:ind w:left="1776" w:hanging="360"/>
      </w:pPr>
      <w:rPr>
        <w:rFonts w:hint="default"/>
      </w:rPr>
    </w:lvl>
    <w:lvl w:ilvl="2">
      <w:start w:val="1"/>
      <w:numFmt w:val="decimal"/>
      <w:isLgl/>
      <w:lvlText w:val="%1.%2.%3"/>
      <w:lvlJc w:val="left"/>
      <w:pPr>
        <w:ind w:left="2832"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24" w:hanging="72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5976" w:hanging="1080"/>
      </w:pPr>
      <w:rPr>
        <w:rFonts w:hint="default"/>
      </w:rPr>
    </w:lvl>
    <w:lvl w:ilvl="7">
      <w:start w:val="1"/>
      <w:numFmt w:val="decimal"/>
      <w:isLgl/>
      <w:lvlText w:val="%1.%2.%3.%4.%5.%6.%7.%8"/>
      <w:lvlJc w:val="left"/>
      <w:pPr>
        <w:ind w:left="7032" w:hanging="1440"/>
      </w:pPr>
      <w:rPr>
        <w:rFonts w:hint="default"/>
      </w:rPr>
    </w:lvl>
    <w:lvl w:ilvl="8">
      <w:start w:val="1"/>
      <w:numFmt w:val="decimal"/>
      <w:isLgl/>
      <w:lvlText w:val="%1.%2.%3.%4.%5.%6.%7.%8.%9"/>
      <w:lvlJc w:val="left"/>
      <w:pPr>
        <w:ind w:left="7728" w:hanging="1440"/>
      </w:pPr>
      <w:rPr>
        <w:rFonts w:hint="default"/>
      </w:rPr>
    </w:lvl>
  </w:abstractNum>
  <w:abstractNum w:abstractNumId="56"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Universal"/>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val="single" w:color="000000"/>
        <w:lang w:val="es-ES_tradnl"/>
      </w:rPr>
    </w:lvl>
  </w:abstractNum>
  <w:abstractNum w:abstractNumId="57"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58" w15:restartNumberingAfterBreak="0">
    <w:nsid w:val="5D7D4B9D"/>
    <w:multiLevelType w:val="hybridMultilevel"/>
    <w:tmpl w:val="72FA7D3C"/>
    <w:lvl w:ilvl="0" w:tplc="0B5AC478">
      <w:start w:val="1"/>
      <w:numFmt w:val="decimal"/>
      <w:lvlText w:val="%1."/>
      <w:lvlJc w:val="left"/>
      <w:pPr>
        <w:ind w:left="8280" w:hanging="360"/>
      </w:pPr>
      <w:rPr>
        <w:rFonts w:ascii="Cambria" w:hAnsi="Cambria" w:hint="default"/>
        <w:b w:val="0"/>
        <w:i w:val="0"/>
        <w:color w:val="auto"/>
        <w:sz w:val="20"/>
        <w:szCs w:val="20"/>
        <w:lang w:val="es-E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6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61" w15:restartNumberingAfterBreak="0">
    <w:nsid w:val="68D15E19"/>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Universal"/>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Universal"/>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Universal"/>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Universal"/>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Universal"/>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Universal"/>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Universal"/>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Universal"/>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Universal"/>
        <w:b/>
        <w:bCs/>
        <w:color w:val="000000"/>
        <w:position w:val="0"/>
        <w:sz w:val="22"/>
        <w:szCs w:val="22"/>
        <w:u w:val="single" w:color="000000"/>
        <w:lang w:val="es-ES_tradnl"/>
      </w:rPr>
    </w:lvl>
  </w:abstractNum>
  <w:abstractNum w:abstractNumId="6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64" w15:restartNumberingAfterBreak="0">
    <w:nsid w:val="73792EAB"/>
    <w:multiLevelType w:val="hybridMultilevel"/>
    <w:tmpl w:val="7A46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5A711E"/>
    <w:multiLevelType w:val="multilevel"/>
    <w:tmpl w:val="ED88159C"/>
    <w:styleLink w:val="List411"/>
    <w:lvl w:ilvl="0">
      <w:start w:val="1"/>
      <w:numFmt w:val="decimal"/>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66" w15:restartNumberingAfterBreak="0">
    <w:nsid w:val="78C26FCF"/>
    <w:multiLevelType w:val="multilevel"/>
    <w:tmpl w:val="2FCAD168"/>
    <w:styleLink w:val="List311"/>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6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Universal"/>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Universal"/>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Universal"/>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Universal"/>
        <w:b/>
        <w:bCs/>
        <w:color w:val="000000"/>
        <w:position w:val="0"/>
        <w:sz w:val="22"/>
        <w:szCs w:val="22"/>
        <w:u w:color="000000"/>
        <w:lang w:val="es-ES_tradnl"/>
      </w:rPr>
    </w:lvl>
  </w:abstractNum>
  <w:abstractNum w:abstractNumId="6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6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7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7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7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Universal"/>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val="single" w:color="000000"/>
        <w:lang w:val="es-ES_tradnl"/>
      </w:rPr>
    </w:lvl>
  </w:abstractNum>
  <w:num w:numId="1" w16cid:durableId="995183999">
    <w:abstractNumId w:val="6"/>
  </w:num>
  <w:num w:numId="2" w16cid:durableId="2075350040">
    <w:abstractNumId w:val="8"/>
  </w:num>
  <w:num w:numId="3" w16cid:durableId="2110588552">
    <w:abstractNumId w:val="67"/>
  </w:num>
  <w:num w:numId="4" w16cid:durableId="108667049">
    <w:abstractNumId w:val="28"/>
  </w:num>
  <w:num w:numId="5" w16cid:durableId="1442408209">
    <w:abstractNumId w:val="60"/>
  </w:num>
  <w:num w:numId="6" w16cid:durableId="1375422556">
    <w:abstractNumId w:val="35"/>
  </w:num>
  <w:num w:numId="7" w16cid:durableId="1196193007">
    <w:abstractNumId w:val="11"/>
  </w:num>
  <w:num w:numId="8" w16cid:durableId="398862739">
    <w:abstractNumId w:val="24"/>
  </w:num>
  <w:num w:numId="9" w16cid:durableId="1846164205">
    <w:abstractNumId w:val="52"/>
  </w:num>
  <w:num w:numId="10" w16cid:durableId="1142426590">
    <w:abstractNumId w:val="1"/>
  </w:num>
  <w:num w:numId="11" w16cid:durableId="574510427">
    <w:abstractNumId w:val="46"/>
  </w:num>
  <w:num w:numId="12" w16cid:durableId="114296037">
    <w:abstractNumId w:val="47"/>
  </w:num>
  <w:num w:numId="13" w16cid:durableId="1593706897">
    <w:abstractNumId w:val="56"/>
  </w:num>
  <w:num w:numId="14" w16cid:durableId="1079520674">
    <w:abstractNumId w:val="2"/>
  </w:num>
  <w:num w:numId="15" w16cid:durableId="1056052068">
    <w:abstractNumId w:val="4"/>
  </w:num>
  <w:num w:numId="16" w16cid:durableId="1536234848">
    <w:abstractNumId w:val="12"/>
  </w:num>
  <w:num w:numId="17" w16cid:durableId="953443009">
    <w:abstractNumId w:val="14"/>
  </w:num>
  <w:num w:numId="18" w16cid:durableId="782119218">
    <w:abstractNumId w:val="15"/>
  </w:num>
  <w:num w:numId="19" w16cid:durableId="1234122074">
    <w:abstractNumId w:val="16"/>
  </w:num>
  <w:num w:numId="20" w16cid:durableId="2096588169">
    <w:abstractNumId w:val="18"/>
  </w:num>
  <w:num w:numId="21" w16cid:durableId="1454012751">
    <w:abstractNumId w:val="19"/>
  </w:num>
  <w:num w:numId="22" w16cid:durableId="696081903">
    <w:abstractNumId w:val="20"/>
  </w:num>
  <w:num w:numId="23" w16cid:durableId="143737180">
    <w:abstractNumId w:val="21"/>
  </w:num>
  <w:num w:numId="24" w16cid:durableId="462578127">
    <w:abstractNumId w:val="22"/>
  </w:num>
  <w:num w:numId="25" w16cid:durableId="462575663">
    <w:abstractNumId w:val="25"/>
  </w:num>
  <w:num w:numId="26" w16cid:durableId="279529412">
    <w:abstractNumId w:val="26"/>
  </w:num>
  <w:num w:numId="27" w16cid:durableId="438187332">
    <w:abstractNumId w:val="29"/>
  </w:num>
  <w:num w:numId="28" w16cid:durableId="347753546">
    <w:abstractNumId w:val="30"/>
  </w:num>
  <w:num w:numId="29" w16cid:durableId="1363050207">
    <w:abstractNumId w:val="31"/>
  </w:num>
  <w:num w:numId="30" w16cid:durableId="707417567">
    <w:abstractNumId w:val="34"/>
  </w:num>
  <w:num w:numId="31" w16cid:durableId="137847517">
    <w:abstractNumId w:val="36"/>
  </w:num>
  <w:num w:numId="32" w16cid:durableId="1547521855">
    <w:abstractNumId w:val="39"/>
  </w:num>
  <w:num w:numId="33" w16cid:durableId="426540673">
    <w:abstractNumId w:val="40"/>
  </w:num>
  <w:num w:numId="34" w16cid:durableId="1420979030">
    <w:abstractNumId w:val="41"/>
  </w:num>
  <w:num w:numId="35" w16cid:durableId="1157914030">
    <w:abstractNumId w:val="42"/>
  </w:num>
  <w:num w:numId="36" w16cid:durableId="1742562579">
    <w:abstractNumId w:val="43"/>
  </w:num>
  <w:num w:numId="37" w16cid:durableId="1732847611">
    <w:abstractNumId w:val="44"/>
  </w:num>
  <w:num w:numId="38" w16cid:durableId="50006828">
    <w:abstractNumId w:val="45"/>
  </w:num>
  <w:num w:numId="39" w16cid:durableId="1783106229">
    <w:abstractNumId w:val="49"/>
  </w:num>
  <w:num w:numId="40" w16cid:durableId="2057387800">
    <w:abstractNumId w:val="50"/>
  </w:num>
  <w:num w:numId="41" w16cid:durableId="464785102">
    <w:abstractNumId w:val="59"/>
  </w:num>
  <w:num w:numId="42" w16cid:durableId="1222330733">
    <w:abstractNumId w:val="62"/>
  </w:num>
  <w:num w:numId="43" w16cid:durableId="464735872">
    <w:abstractNumId w:val="63"/>
  </w:num>
  <w:num w:numId="44" w16cid:durableId="2009091287">
    <w:abstractNumId w:val="65"/>
  </w:num>
  <w:num w:numId="45" w16cid:durableId="1656837497">
    <w:abstractNumId w:val="66"/>
  </w:num>
  <w:num w:numId="46" w16cid:durableId="349189435">
    <w:abstractNumId w:val="68"/>
  </w:num>
  <w:num w:numId="47" w16cid:durableId="576475916">
    <w:abstractNumId w:val="69"/>
  </w:num>
  <w:num w:numId="48" w16cid:durableId="411051207">
    <w:abstractNumId w:val="70"/>
  </w:num>
  <w:num w:numId="49" w16cid:durableId="2016228833">
    <w:abstractNumId w:val="71"/>
  </w:num>
  <w:num w:numId="50" w16cid:durableId="1941257348">
    <w:abstractNumId w:val="72"/>
  </w:num>
  <w:num w:numId="51" w16cid:durableId="624703882">
    <w:abstractNumId w:val="27"/>
  </w:num>
  <w:num w:numId="52" w16cid:durableId="982851049">
    <w:abstractNumId w:val="51"/>
  </w:num>
  <w:num w:numId="53" w16cid:durableId="747581562">
    <w:abstractNumId w:val="57"/>
  </w:num>
  <w:num w:numId="54" w16cid:durableId="734619695">
    <w:abstractNumId w:val="0"/>
  </w:num>
  <w:num w:numId="55" w16cid:durableId="345986551">
    <w:abstractNumId w:val="9"/>
  </w:num>
  <w:num w:numId="56" w16cid:durableId="994529381">
    <w:abstractNumId w:val="61"/>
  </w:num>
  <w:num w:numId="57" w16cid:durableId="133983250">
    <w:abstractNumId w:val="33"/>
  </w:num>
  <w:num w:numId="58" w16cid:durableId="1825780749">
    <w:abstractNumId w:val="7"/>
  </w:num>
  <w:num w:numId="59" w16cid:durableId="678697834">
    <w:abstractNumId w:val="48"/>
    <w:lvlOverride w:ilvl="0">
      <w:startOverride w:val="1"/>
    </w:lvlOverride>
    <w:lvlOverride w:ilvl="1">
      <w:startOverride w:val="1"/>
    </w:lvlOverride>
  </w:num>
  <w:num w:numId="60" w16cid:durableId="1921407957">
    <w:abstractNumId w:val="3"/>
  </w:num>
  <w:num w:numId="61" w16cid:durableId="1295214241">
    <w:abstractNumId w:val="13"/>
  </w:num>
  <w:num w:numId="62" w16cid:durableId="360479119">
    <w:abstractNumId w:val="17"/>
  </w:num>
  <w:num w:numId="63" w16cid:durableId="1305238382">
    <w:abstractNumId w:val="10"/>
    <w:lvlOverride w:ilvl="0">
      <w:startOverride w:val="1"/>
    </w:lvlOverride>
  </w:num>
  <w:num w:numId="64" w16cid:durableId="1854761249">
    <w:abstractNumId w:val="58"/>
  </w:num>
  <w:num w:numId="65" w16cid:durableId="351107965">
    <w:abstractNumId w:val="23"/>
  </w:num>
  <w:num w:numId="66" w16cid:durableId="1026828659">
    <w:abstractNumId w:val="38"/>
  </w:num>
  <w:num w:numId="67" w16cid:durableId="1249467258">
    <w:abstractNumId w:val="55"/>
  </w:num>
  <w:num w:numId="68" w16cid:durableId="1925066032">
    <w:abstractNumId w:val="37"/>
  </w:num>
  <w:num w:numId="69" w16cid:durableId="999311446">
    <w:abstractNumId w:val="5"/>
  </w:num>
  <w:num w:numId="70" w16cid:durableId="302470762">
    <w:abstractNumId w:val="53"/>
  </w:num>
  <w:num w:numId="71" w16cid:durableId="1785615625">
    <w:abstractNumId w:val="64"/>
  </w:num>
  <w:num w:numId="72" w16cid:durableId="1384253292">
    <w:abstractNumId w:val="54"/>
  </w:num>
  <w:num w:numId="73" w16cid:durableId="992030316">
    <w:abstractNumId w:val="3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8E2"/>
    <w:rsid w:val="000016EC"/>
    <w:rsid w:val="00002107"/>
    <w:rsid w:val="00002518"/>
    <w:rsid w:val="000025A7"/>
    <w:rsid w:val="000032E0"/>
    <w:rsid w:val="00003688"/>
    <w:rsid w:val="000037B2"/>
    <w:rsid w:val="00003DE0"/>
    <w:rsid w:val="00004422"/>
    <w:rsid w:val="000053D6"/>
    <w:rsid w:val="00005E8A"/>
    <w:rsid w:val="0000744E"/>
    <w:rsid w:val="000074B4"/>
    <w:rsid w:val="00007B38"/>
    <w:rsid w:val="00007D73"/>
    <w:rsid w:val="00010DC0"/>
    <w:rsid w:val="00011F67"/>
    <w:rsid w:val="0001281A"/>
    <w:rsid w:val="000132DC"/>
    <w:rsid w:val="0001337E"/>
    <w:rsid w:val="0001360F"/>
    <w:rsid w:val="00013929"/>
    <w:rsid w:val="000142FC"/>
    <w:rsid w:val="0001491A"/>
    <w:rsid w:val="000150A2"/>
    <w:rsid w:val="0001544E"/>
    <w:rsid w:val="00015E31"/>
    <w:rsid w:val="00016B37"/>
    <w:rsid w:val="00017114"/>
    <w:rsid w:val="00017342"/>
    <w:rsid w:val="0002024A"/>
    <w:rsid w:val="000202E3"/>
    <w:rsid w:val="00020E57"/>
    <w:rsid w:val="00020F07"/>
    <w:rsid w:val="000211DD"/>
    <w:rsid w:val="00021FC4"/>
    <w:rsid w:val="0002260C"/>
    <w:rsid w:val="0002293C"/>
    <w:rsid w:val="00022ED9"/>
    <w:rsid w:val="0002418A"/>
    <w:rsid w:val="00024C13"/>
    <w:rsid w:val="0002596E"/>
    <w:rsid w:val="00025A44"/>
    <w:rsid w:val="0002618C"/>
    <w:rsid w:val="000263FA"/>
    <w:rsid w:val="00026D3D"/>
    <w:rsid w:val="00026F13"/>
    <w:rsid w:val="00027302"/>
    <w:rsid w:val="000274CC"/>
    <w:rsid w:val="00027BA4"/>
    <w:rsid w:val="00027CA5"/>
    <w:rsid w:val="00027F99"/>
    <w:rsid w:val="000303DD"/>
    <w:rsid w:val="00031BBC"/>
    <w:rsid w:val="00031D52"/>
    <w:rsid w:val="00031D5B"/>
    <w:rsid w:val="00032390"/>
    <w:rsid w:val="00033552"/>
    <w:rsid w:val="00034057"/>
    <w:rsid w:val="000343A9"/>
    <w:rsid w:val="00034724"/>
    <w:rsid w:val="00034CC5"/>
    <w:rsid w:val="00034CFE"/>
    <w:rsid w:val="000353A7"/>
    <w:rsid w:val="000356D4"/>
    <w:rsid w:val="00036118"/>
    <w:rsid w:val="00037212"/>
    <w:rsid w:val="0003753F"/>
    <w:rsid w:val="0003778C"/>
    <w:rsid w:val="0004003B"/>
    <w:rsid w:val="0004032D"/>
    <w:rsid w:val="00040404"/>
    <w:rsid w:val="000404A1"/>
    <w:rsid w:val="00040F1C"/>
    <w:rsid w:val="000411D4"/>
    <w:rsid w:val="000415A0"/>
    <w:rsid w:val="00041602"/>
    <w:rsid w:val="0004162F"/>
    <w:rsid w:val="000436BA"/>
    <w:rsid w:val="000451B0"/>
    <w:rsid w:val="00046789"/>
    <w:rsid w:val="00046DA1"/>
    <w:rsid w:val="00046FDE"/>
    <w:rsid w:val="000472DA"/>
    <w:rsid w:val="00050DDF"/>
    <w:rsid w:val="00051860"/>
    <w:rsid w:val="0005216B"/>
    <w:rsid w:val="000522F3"/>
    <w:rsid w:val="000525D2"/>
    <w:rsid w:val="00052C10"/>
    <w:rsid w:val="000538DF"/>
    <w:rsid w:val="00054FE2"/>
    <w:rsid w:val="00055333"/>
    <w:rsid w:val="00055801"/>
    <w:rsid w:val="0005597D"/>
    <w:rsid w:val="00055EF8"/>
    <w:rsid w:val="00056156"/>
    <w:rsid w:val="00056400"/>
    <w:rsid w:val="0005685B"/>
    <w:rsid w:val="00056A2C"/>
    <w:rsid w:val="00056E47"/>
    <w:rsid w:val="000577D4"/>
    <w:rsid w:val="0006032A"/>
    <w:rsid w:val="000605A2"/>
    <w:rsid w:val="0006088A"/>
    <w:rsid w:val="00060A27"/>
    <w:rsid w:val="000611A5"/>
    <w:rsid w:val="000619F2"/>
    <w:rsid w:val="00061CE5"/>
    <w:rsid w:val="00062A8F"/>
    <w:rsid w:val="00062CB9"/>
    <w:rsid w:val="000640DC"/>
    <w:rsid w:val="000645C3"/>
    <w:rsid w:val="000646DB"/>
    <w:rsid w:val="00064B90"/>
    <w:rsid w:val="000656EF"/>
    <w:rsid w:val="00066709"/>
    <w:rsid w:val="0006685B"/>
    <w:rsid w:val="00066ED3"/>
    <w:rsid w:val="000678E0"/>
    <w:rsid w:val="00067A7B"/>
    <w:rsid w:val="00067DE9"/>
    <w:rsid w:val="00070DE0"/>
    <w:rsid w:val="00071626"/>
    <w:rsid w:val="000718AD"/>
    <w:rsid w:val="00071CC7"/>
    <w:rsid w:val="00072309"/>
    <w:rsid w:val="00072389"/>
    <w:rsid w:val="000725A9"/>
    <w:rsid w:val="0007265A"/>
    <w:rsid w:val="0007269D"/>
    <w:rsid w:val="00072920"/>
    <w:rsid w:val="0007519A"/>
    <w:rsid w:val="0007574B"/>
    <w:rsid w:val="00075925"/>
    <w:rsid w:val="000778F6"/>
    <w:rsid w:val="000811F8"/>
    <w:rsid w:val="0008165D"/>
    <w:rsid w:val="00081B55"/>
    <w:rsid w:val="00081D74"/>
    <w:rsid w:val="00081E85"/>
    <w:rsid w:val="00082187"/>
    <w:rsid w:val="000821E2"/>
    <w:rsid w:val="0008224E"/>
    <w:rsid w:val="000823E7"/>
    <w:rsid w:val="000823F3"/>
    <w:rsid w:val="0008243B"/>
    <w:rsid w:val="000836FC"/>
    <w:rsid w:val="00083888"/>
    <w:rsid w:val="00083EA1"/>
    <w:rsid w:val="00084049"/>
    <w:rsid w:val="00084260"/>
    <w:rsid w:val="00084521"/>
    <w:rsid w:val="00085CCA"/>
    <w:rsid w:val="00086BB9"/>
    <w:rsid w:val="00086D7C"/>
    <w:rsid w:val="00087365"/>
    <w:rsid w:val="00087BC4"/>
    <w:rsid w:val="00090449"/>
    <w:rsid w:val="000906C7"/>
    <w:rsid w:val="00091A3A"/>
    <w:rsid w:val="000925C3"/>
    <w:rsid w:val="00093330"/>
    <w:rsid w:val="00094ACE"/>
    <w:rsid w:val="00094E8F"/>
    <w:rsid w:val="00095873"/>
    <w:rsid w:val="00095897"/>
    <w:rsid w:val="00095C8D"/>
    <w:rsid w:val="00096989"/>
    <w:rsid w:val="00096C81"/>
    <w:rsid w:val="00097B40"/>
    <w:rsid w:val="000A051B"/>
    <w:rsid w:val="000A06B8"/>
    <w:rsid w:val="000A0A02"/>
    <w:rsid w:val="000A0E19"/>
    <w:rsid w:val="000A267E"/>
    <w:rsid w:val="000A293C"/>
    <w:rsid w:val="000A2C4F"/>
    <w:rsid w:val="000A303E"/>
    <w:rsid w:val="000A30A2"/>
    <w:rsid w:val="000A310B"/>
    <w:rsid w:val="000A3531"/>
    <w:rsid w:val="000A3B7D"/>
    <w:rsid w:val="000A3D00"/>
    <w:rsid w:val="000A3E65"/>
    <w:rsid w:val="000A4291"/>
    <w:rsid w:val="000A42BE"/>
    <w:rsid w:val="000A47F4"/>
    <w:rsid w:val="000A49BE"/>
    <w:rsid w:val="000A50E9"/>
    <w:rsid w:val="000A64E8"/>
    <w:rsid w:val="000A6AD9"/>
    <w:rsid w:val="000A7174"/>
    <w:rsid w:val="000A736F"/>
    <w:rsid w:val="000B0C87"/>
    <w:rsid w:val="000B208E"/>
    <w:rsid w:val="000B24C3"/>
    <w:rsid w:val="000B3531"/>
    <w:rsid w:val="000B3D0D"/>
    <w:rsid w:val="000B3D37"/>
    <w:rsid w:val="000B3F84"/>
    <w:rsid w:val="000B4D06"/>
    <w:rsid w:val="000B4DDF"/>
    <w:rsid w:val="000B5FDD"/>
    <w:rsid w:val="000B63DE"/>
    <w:rsid w:val="000B65CE"/>
    <w:rsid w:val="000B7C29"/>
    <w:rsid w:val="000B7DE9"/>
    <w:rsid w:val="000B7F8B"/>
    <w:rsid w:val="000C0133"/>
    <w:rsid w:val="000C062F"/>
    <w:rsid w:val="000C1825"/>
    <w:rsid w:val="000C1D2F"/>
    <w:rsid w:val="000C23EF"/>
    <w:rsid w:val="000C2974"/>
    <w:rsid w:val="000C32A3"/>
    <w:rsid w:val="000C3387"/>
    <w:rsid w:val="000C43B1"/>
    <w:rsid w:val="000C44F1"/>
    <w:rsid w:val="000C4CA0"/>
    <w:rsid w:val="000C5115"/>
    <w:rsid w:val="000C51FA"/>
    <w:rsid w:val="000C5420"/>
    <w:rsid w:val="000C55E2"/>
    <w:rsid w:val="000C6C71"/>
    <w:rsid w:val="000C6DE4"/>
    <w:rsid w:val="000C734B"/>
    <w:rsid w:val="000C78B2"/>
    <w:rsid w:val="000D00A4"/>
    <w:rsid w:val="000D00E4"/>
    <w:rsid w:val="000D07C0"/>
    <w:rsid w:val="000D0B5F"/>
    <w:rsid w:val="000D1708"/>
    <w:rsid w:val="000D184B"/>
    <w:rsid w:val="000D1BA8"/>
    <w:rsid w:val="000D1D15"/>
    <w:rsid w:val="000D291F"/>
    <w:rsid w:val="000D2DCD"/>
    <w:rsid w:val="000D36F5"/>
    <w:rsid w:val="000D38FB"/>
    <w:rsid w:val="000D428B"/>
    <w:rsid w:val="000D42F6"/>
    <w:rsid w:val="000D4A30"/>
    <w:rsid w:val="000D55B3"/>
    <w:rsid w:val="000D5DF9"/>
    <w:rsid w:val="000E058F"/>
    <w:rsid w:val="000E1388"/>
    <w:rsid w:val="000E1662"/>
    <w:rsid w:val="000E1D75"/>
    <w:rsid w:val="000E232E"/>
    <w:rsid w:val="000E26E4"/>
    <w:rsid w:val="000E3797"/>
    <w:rsid w:val="000E3AD9"/>
    <w:rsid w:val="000E41F5"/>
    <w:rsid w:val="000E456A"/>
    <w:rsid w:val="000E4B74"/>
    <w:rsid w:val="000E5E89"/>
    <w:rsid w:val="000E6715"/>
    <w:rsid w:val="000E7205"/>
    <w:rsid w:val="000E75F5"/>
    <w:rsid w:val="000E7F5C"/>
    <w:rsid w:val="000F1651"/>
    <w:rsid w:val="000F2054"/>
    <w:rsid w:val="000F2223"/>
    <w:rsid w:val="000F2412"/>
    <w:rsid w:val="000F2FA6"/>
    <w:rsid w:val="000F3293"/>
    <w:rsid w:val="000F32DA"/>
    <w:rsid w:val="000F39D2"/>
    <w:rsid w:val="000F3A00"/>
    <w:rsid w:val="000F5B60"/>
    <w:rsid w:val="000F5BE5"/>
    <w:rsid w:val="000F5CCA"/>
    <w:rsid w:val="000F60D0"/>
    <w:rsid w:val="000F630D"/>
    <w:rsid w:val="000F67A8"/>
    <w:rsid w:val="000F6DB0"/>
    <w:rsid w:val="000F70AB"/>
    <w:rsid w:val="000F7F67"/>
    <w:rsid w:val="00100D41"/>
    <w:rsid w:val="0010158D"/>
    <w:rsid w:val="00103016"/>
    <w:rsid w:val="0010358C"/>
    <w:rsid w:val="00103667"/>
    <w:rsid w:val="00103D98"/>
    <w:rsid w:val="00103F3F"/>
    <w:rsid w:val="0010442D"/>
    <w:rsid w:val="00104D69"/>
    <w:rsid w:val="00104F74"/>
    <w:rsid w:val="00105153"/>
    <w:rsid w:val="00105496"/>
    <w:rsid w:val="001058F7"/>
    <w:rsid w:val="00105994"/>
    <w:rsid w:val="001063E3"/>
    <w:rsid w:val="00106BBB"/>
    <w:rsid w:val="00106C93"/>
    <w:rsid w:val="00106F0D"/>
    <w:rsid w:val="001073B0"/>
    <w:rsid w:val="00107C8D"/>
    <w:rsid w:val="00107CA2"/>
    <w:rsid w:val="0011027B"/>
    <w:rsid w:val="0011043B"/>
    <w:rsid w:val="0011054B"/>
    <w:rsid w:val="001107BF"/>
    <w:rsid w:val="00110AA4"/>
    <w:rsid w:val="001114D1"/>
    <w:rsid w:val="00111639"/>
    <w:rsid w:val="001126B7"/>
    <w:rsid w:val="00112E93"/>
    <w:rsid w:val="00113804"/>
    <w:rsid w:val="00114BAF"/>
    <w:rsid w:val="001152DA"/>
    <w:rsid w:val="001153F2"/>
    <w:rsid w:val="0011549D"/>
    <w:rsid w:val="00116731"/>
    <w:rsid w:val="00116CA1"/>
    <w:rsid w:val="0011790F"/>
    <w:rsid w:val="001205FF"/>
    <w:rsid w:val="00120916"/>
    <w:rsid w:val="00120D7A"/>
    <w:rsid w:val="00121145"/>
    <w:rsid w:val="001211C5"/>
    <w:rsid w:val="00121530"/>
    <w:rsid w:val="001217DC"/>
    <w:rsid w:val="00121AE2"/>
    <w:rsid w:val="00122603"/>
    <w:rsid w:val="00122E41"/>
    <w:rsid w:val="001234A5"/>
    <w:rsid w:val="00123740"/>
    <w:rsid w:val="00123B73"/>
    <w:rsid w:val="00123D14"/>
    <w:rsid w:val="0012454C"/>
    <w:rsid w:val="0012492A"/>
    <w:rsid w:val="00124A74"/>
    <w:rsid w:val="00125944"/>
    <w:rsid w:val="00125BFF"/>
    <w:rsid w:val="00126115"/>
    <w:rsid w:val="00126C6F"/>
    <w:rsid w:val="00126E14"/>
    <w:rsid w:val="00126F67"/>
    <w:rsid w:val="0012751C"/>
    <w:rsid w:val="0012765C"/>
    <w:rsid w:val="00127B6F"/>
    <w:rsid w:val="00127EA1"/>
    <w:rsid w:val="00130C38"/>
    <w:rsid w:val="00130E7A"/>
    <w:rsid w:val="001314C9"/>
    <w:rsid w:val="00132F06"/>
    <w:rsid w:val="00134752"/>
    <w:rsid w:val="00134C23"/>
    <w:rsid w:val="00135637"/>
    <w:rsid w:val="00136A79"/>
    <w:rsid w:val="001371D6"/>
    <w:rsid w:val="00140054"/>
    <w:rsid w:val="00140F8F"/>
    <w:rsid w:val="00140F93"/>
    <w:rsid w:val="00140F9F"/>
    <w:rsid w:val="001415A4"/>
    <w:rsid w:val="001426D0"/>
    <w:rsid w:val="00143203"/>
    <w:rsid w:val="00143DFB"/>
    <w:rsid w:val="0014405F"/>
    <w:rsid w:val="001442E8"/>
    <w:rsid w:val="00144AB9"/>
    <w:rsid w:val="00145042"/>
    <w:rsid w:val="00145338"/>
    <w:rsid w:val="001454A7"/>
    <w:rsid w:val="001455AF"/>
    <w:rsid w:val="00145DDD"/>
    <w:rsid w:val="00146338"/>
    <w:rsid w:val="00146639"/>
    <w:rsid w:val="001467DA"/>
    <w:rsid w:val="00146A6A"/>
    <w:rsid w:val="00146AA5"/>
    <w:rsid w:val="00147BBF"/>
    <w:rsid w:val="00147F19"/>
    <w:rsid w:val="001504CF"/>
    <w:rsid w:val="00151EAE"/>
    <w:rsid w:val="001528D5"/>
    <w:rsid w:val="00152D3C"/>
    <w:rsid w:val="00154131"/>
    <w:rsid w:val="001542E4"/>
    <w:rsid w:val="00155623"/>
    <w:rsid w:val="0015697D"/>
    <w:rsid w:val="00156D84"/>
    <w:rsid w:val="001572CC"/>
    <w:rsid w:val="00157CF3"/>
    <w:rsid w:val="00157EB3"/>
    <w:rsid w:val="00157FBB"/>
    <w:rsid w:val="00160096"/>
    <w:rsid w:val="00160C4F"/>
    <w:rsid w:val="001615F6"/>
    <w:rsid w:val="00161A96"/>
    <w:rsid w:val="00161AF3"/>
    <w:rsid w:val="00161F1C"/>
    <w:rsid w:val="00162E4F"/>
    <w:rsid w:val="001632EE"/>
    <w:rsid w:val="00163AE6"/>
    <w:rsid w:val="00164F8F"/>
    <w:rsid w:val="00165171"/>
    <w:rsid w:val="00165258"/>
    <w:rsid w:val="00166059"/>
    <w:rsid w:val="00166105"/>
    <w:rsid w:val="0016660E"/>
    <w:rsid w:val="00166914"/>
    <w:rsid w:val="001678AC"/>
    <w:rsid w:val="001705D6"/>
    <w:rsid w:val="0017096C"/>
    <w:rsid w:val="00170A54"/>
    <w:rsid w:val="00170AA0"/>
    <w:rsid w:val="00170BE2"/>
    <w:rsid w:val="00171167"/>
    <w:rsid w:val="0017126E"/>
    <w:rsid w:val="00171684"/>
    <w:rsid w:val="001719D8"/>
    <w:rsid w:val="00171EEE"/>
    <w:rsid w:val="00171EF0"/>
    <w:rsid w:val="001722FF"/>
    <w:rsid w:val="00172466"/>
    <w:rsid w:val="00172708"/>
    <w:rsid w:val="00172CF3"/>
    <w:rsid w:val="00173276"/>
    <w:rsid w:val="00174D28"/>
    <w:rsid w:val="00175814"/>
    <w:rsid w:val="00175ECF"/>
    <w:rsid w:val="001763E6"/>
    <w:rsid w:val="00176857"/>
    <w:rsid w:val="001769BC"/>
    <w:rsid w:val="00176A0F"/>
    <w:rsid w:val="00176B13"/>
    <w:rsid w:val="00176D32"/>
    <w:rsid w:val="001772FA"/>
    <w:rsid w:val="0017771F"/>
    <w:rsid w:val="001779C1"/>
    <w:rsid w:val="00177A00"/>
    <w:rsid w:val="00180ACC"/>
    <w:rsid w:val="00180E29"/>
    <w:rsid w:val="001814AB"/>
    <w:rsid w:val="00181648"/>
    <w:rsid w:val="00181742"/>
    <w:rsid w:val="00182C47"/>
    <w:rsid w:val="00182F12"/>
    <w:rsid w:val="00183382"/>
    <w:rsid w:val="00183728"/>
    <w:rsid w:val="0018392E"/>
    <w:rsid w:val="00183EAA"/>
    <w:rsid w:val="00185F2E"/>
    <w:rsid w:val="0018746C"/>
    <w:rsid w:val="00187719"/>
    <w:rsid w:val="0019062D"/>
    <w:rsid w:val="001909DE"/>
    <w:rsid w:val="00190EC4"/>
    <w:rsid w:val="00190FF0"/>
    <w:rsid w:val="0019137D"/>
    <w:rsid w:val="00191621"/>
    <w:rsid w:val="00191E6B"/>
    <w:rsid w:val="001924D3"/>
    <w:rsid w:val="00192E2F"/>
    <w:rsid w:val="001938E6"/>
    <w:rsid w:val="00193A5D"/>
    <w:rsid w:val="00193C77"/>
    <w:rsid w:val="00193C85"/>
    <w:rsid w:val="0019403C"/>
    <w:rsid w:val="00194244"/>
    <w:rsid w:val="00195D77"/>
    <w:rsid w:val="001965B8"/>
    <w:rsid w:val="00196828"/>
    <w:rsid w:val="00197C4A"/>
    <w:rsid w:val="00197FF5"/>
    <w:rsid w:val="001A1503"/>
    <w:rsid w:val="001A1770"/>
    <w:rsid w:val="001A1B62"/>
    <w:rsid w:val="001A2B3A"/>
    <w:rsid w:val="001A2D3A"/>
    <w:rsid w:val="001A35B6"/>
    <w:rsid w:val="001A38C8"/>
    <w:rsid w:val="001A5790"/>
    <w:rsid w:val="001A666B"/>
    <w:rsid w:val="001A679F"/>
    <w:rsid w:val="001A6D68"/>
    <w:rsid w:val="001A7668"/>
    <w:rsid w:val="001A76BB"/>
    <w:rsid w:val="001A7DC5"/>
    <w:rsid w:val="001B09F3"/>
    <w:rsid w:val="001B21F1"/>
    <w:rsid w:val="001B2665"/>
    <w:rsid w:val="001B441D"/>
    <w:rsid w:val="001B4E06"/>
    <w:rsid w:val="001B5288"/>
    <w:rsid w:val="001B644E"/>
    <w:rsid w:val="001B6BED"/>
    <w:rsid w:val="001B7468"/>
    <w:rsid w:val="001B7910"/>
    <w:rsid w:val="001B79CA"/>
    <w:rsid w:val="001B7EEF"/>
    <w:rsid w:val="001C0607"/>
    <w:rsid w:val="001C1CF6"/>
    <w:rsid w:val="001C368F"/>
    <w:rsid w:val="001C3D46"/>
    <w:rsid w:val="001C42EA"/>
    <w:rsid w:val="001C49C2"/>
    <w:rsid w:val="001C4C98"/>
    <w:rsid w:val="001C4F0E"/>
    <w:rsid w:val="001C59A1"/>
    <w:rsid w:val="001C5E17"/>
    <w:rsid w:val="001C60D9"/>
    <w:rsid w:val="001C689C"/>
    <w:rsid w:val="001C6A05"/>
    <w:rsid w:val="001C6D03"/>
    <w:rsid w:val="001C7DBB"/>
    <w:rsid w:val="001D00FA"/>
    <w:rsid w:val="001D0488"/>
    <w:rsid w:val="001D08E4"/>
    <w:rsid w:val="001D0C76"/>
    <w:rsid w:val="001D196B"/>
    <w:rsid w:val="001D273D"/>
    <w:rsid w:val="001D2DBF"/>
    <w:rsid w:val="001D3424"/>
    <w:rsid w:val="001D3452"/>
    <w:rsid w:val="001D3DA7"/>
    <w:rsid w:val="001D4263"/>
    <w:rsid w:val="001D42E0"/>
    <w:rsid w:val="001D48A9"/>
    <w:rsid w:val="001D5002"/>
    <w:rsid w:val="001D54A9"/>
    <w:rsid w:val="001D5A1B"/>
    <w:rsid w:val="001D5E52"/>
    <w:rsid w:val="001D5F72"/>
    <w:rsid w:val="001D6DC5"/>
    <w:rsid w:val="001D714E"/>
    <w:rsid w:val="001D782D"/>
    <w:rsid w:val="001D7EF1"/>
    <w:rsid w:val="001E038E"/>
    <w:rsid w:val="001E197E"/>
    <w:rsid w:val="001E25E9"/>
    <w:rsid w:val="001E27E0"/>
    <w:rsid w:val="001E2BFB"/>
    <w:rsid w:val="001E3B14"/>
    <w:rsid w:val="001E443F"/>
    <w:rsid w:val="001E5793"/>
    <w:rsid w:val="001E605B"/>
    <w:rsid w:val="001E6747"/>
    <w:rsid w:val="001E6D8D"/>
    <w:rsid w:val="001E7312"/>
    <w:rsid w:val="001F05BC"/>
    <w:rsid w:val="001F07EE"/>
    <w:rsid w:val="001F126F"/>
    <w:rsid w:val="001F1DB0"/>
    <w:rsid w:val="001F2067"/>
    <w:rsid w:val="001F2B00"/>
    <w:rsid w:val="001F2C74"/>
    <w:rsid w:val="001F3151"/>
    <w:rsid w:val="001F3254"/>
    <w:rsid w:val="001F3CFD"/>
    <w:rsid w:val="001F416F"/>
    <w:rsid w:val="001F440E"/>
    <w:rsid w:val="001F4E3B"/>
    <w:rsid w:val="001F4EFC"/>
    <w:rsid w:val="001F5847"/>
    <w:rsid w:val="001F5A98"/>
    <w:rsid w:val="001F5BAE"/>
    <w:rsid w:val="001F5C76"/>
    <w:rsid w:val="001F5F15"/>
    <w:rsid w:val="001F756B"/>
    <w:rsid w:val="001F7CCD"/>
    <w:rsid w:val="00200ECA"/>
    <w:rsid w:val="002010CA"/>
    <w:rsid w:val="00201917"/>
    <w:rsid w:val="00201D7F"/>
    <w:rsid w:val="00201EA9"/>
    <w:rsid w:val="002025C1"/>
    <w:rsid w:val="00202B1C"/>
    <w:rsid w:val="00202FB5"/>
    <w:rsid w:val="00203036"/>
    <w:rsid w:val="0020341B"/>
    <w:rsid w:val="002039C1"/>
    <w:rsid w:val="00203D51"/>
    <w:rsid w:val="00205150"/>
    <w:rsid w:val="0020682C"/>
    <w:rsid w:val="00207FF1"/>
    <w:rsid w:val="002104E9"/>
    <w:rsid w:val="00210545"/>
    <w:rsid w:val="0021149D"/>
    <w:rsid w:val="002114C3"/>
    <w:rsid w:val="00211649"/>
    <w:rsid w:val="00211914"/>
    <w:rsid w:val="00211F45"/>
    <w:rsid w:val="00211F50"/>
    <w:rsid w:val="00211F8A"/>
    <w:rsid w:val="00212A7E"/>
    <w:rsid w:val="0021412C"/>
    <w:rsid w:val="002141BC"/>
    <w:rsid w:val="002169B4"/>
    <w:rsid w:val="00216B34"/>
    <w:rsid w:val="002170D7"/>
    <w:rsid w:val="00217A9C"/>
    <w:rsid w:val="00220088"/>
    <w:rsid w:val="00220229"/>
    <w:rsid w:val="002213DB"/>
    <w:rsid w:val="0022236F"/>
    <w:rsid w:val="00222CA5"/>
    <w:rsid w:val="0022330E"/>
    <w:rsid w:val="002236C0"/>
    <w:rsid w:val="00223DDD"/>
    <w:rsid w:val="00223DF8"/>
    <w:rsid w:val="00224161"/>
    <w:rsid w:val="002245F7"/>
    <w:rsid w:val="002259F3"/>
    <w:rsid w:val="0022602B"/>
    <w:rsid w:val="0022614A"/>
    <w:rsid w:val="00226F05"/>
    <w:rsid w:val="0022792C"/>
    <w:rsid w:val="002300EA"/>
    <w:rsid w:val="0023036D"/>
    <w:rsid w:val="00231A02"/>
    <w:rsid w:val="00233262"/>
    <w:rsid w:val="00233280"/>
    <w:rsid w:val="00233D01"/>
    <w:rsid w:val="00233E8B"/>
    <w:rsid w:val="00234FDC"/>
    <w:rsid w:val="00235321"/>
    <w:rsid w:val="00235DAB"/>
    <w:rsid w:val="00236195"/>
    <w:rsid w:val="00236AA7"/>
    <w:rsid w:val="00236B18"/>
    <w:rsid w:val="00236E8F"/>
    <w:rsid w:val="00236FFE"/>
    <w:rsid w:val="002370C9"/>
    <w:rsid w:val="002374E2"/>
    <w:rsid w:val="0023759B"/>
    <w:rsid w:val="002379B5"/>
    <w:rsid w:val="0024089B"/>
    <w:rsid w:val="0024098F"/>
    <w:rsid w:val="00240CA8"/>
    <w:rsid w:val="00241825"/>
    <w:rsid w:val="00241886"/>
    <w:rsid w:val="002418E9"/>
    <w:rsid w:val="00241B33"/>
    <w:rsid w:val="00241C97"/>
    <w:rsid w:val="00241CAB"/>
    <w:rsid w:val="00241FEC"/>
    <w:rsid w:val="002421AE"/>
    <w:rsid w:val="00242B3E"/>
    <w:rsid w:val="00244087"/>
    <w:rsid w:val="002444A9"/>
    <w:rsid w:val="00245585"/>
    <w:rsid w:val="00245644"/>
    <w:rsid w:val="00245A87"/>
    <w:rsid w:val="002460B3"/>
    <w:rsid w:val="00246349"/>
    <w:rsid w:val="00246413"/>
    <w:rsid w:val="0024656A"/>
    <w:rsid w:val="00246C32"/>
    <w:rsid w:val="002476CB"/>
    <w:rsid w:val="002502A2"/>
    <w:rsid w:val="00251060"/>
    <w:rsid w:val="0025159C"/>
    <w:rsid w:val="00251BE9"/>
    <w:rsid w:val="00252078"/>
    <w:rsid w:val="00252A6A"/>
    <w:rsid w:val="00252A75"/>
    <w:rsid w:val="0025314D"/>
    <w:rsid w:val="0025315C"/>
    <w:rsid w:val="00253D33"/>
    <w:rsid w:val="00253E5F"/>
    <w:rsid w:val="00253F24"/>
    <w:rsid w:val="00254303"/>
    <w:rsid w:val="00254B2D"/>
    <w:rsid w:val="002553D9"/>
    <w:rsid w:val="00256FC5"/>
    <w:rsid w:val="00257580"/>
    <w:rsid w:val="0026092B"/>
    <w:rsid w:val="00260C94"/>
    <w:rsid w:val="0026197C"/>
    <w:rsid w:val="00261D3A"/>
    <w:rsid w:val="00261E8A"/>
    <w:rsid w:val="00262726"/>
    <w:rsid w:val="002647AB"/>
    <w:rsid w:val="002649BD"/>
    <w:rsid w:val="00265D87"/>
    <w:rsid w:val="0026621E"/>
    <w:rsid w:val="0026640E"/>
    <w:rsid w:val="002664B5"/>
    <w:rsid w:val="00266DC8"/>
    <w:rsid w:val="0027046F"/>
    <w:rsid w:val="002704D9"/>
    <w:rsid w:val="0027092C"/>
    <w:rsid w:val="002713EC"/>
    <w:rsid w:val="002717F4"/>
    <w:rsid w:val="00271DC0"/>
    <w:rsid w:val="00271F0A"/>
    <w:rsid w:val="00273002"/>
    <w:rsid w:val="0027392D"/>
    <w:rsid w:val="00273A46"/>
    <w:rsid w:val="00274430"/>
    <w:rsid w:val="00274686"/>
    <w:rsid w:val="00274BD8"/>
    <w:rsid w:val="00275F1E"/>
    <w:rsid w:val="00276173"/>
    <w:rsid w:val="00276F22"/>
    <w:rsid w:val="00277077"/>
    <w:rsid w:val="002803E1"/>
    <w:rsid w:val="00280B3E"/>
    <w:rsid w:val="00280C6B"/>
    <w:rsid w:val="00280C76"/>
    <w:rsid w:val="00280FDF"/>
    <w:rsid w:val="0028185C"/>
    <w:rsid w:val="00282641"/>
    <w:rsid w:val="002828A0"/>
    <w:rsid w:val="00282BDE"/>
    <w:rsid w:val="00282C91"/>
    <w:rsid w:val="00282DF4"/>
    <w:rsid w:val="00283314"/>
    <w:rsid w:val="002839CE"/>
    <w:rsid w:val="002839DE"/>
    <w:rsid w:val="00283C34"/>
    <w:rsid w:val="00283CE3"/>
    <w:rsid w:val="00284538"/>
    <w:rsid w:val="002846A2"/>
    <w:rsid w:val="00284C64"/>
    <w:rsid w:val="00284D37"/>
    <w:rsid w:val="00284DE4"/>
    <w:rsid w:val="002852FA"/>
    <w:rsid w:val="0028599F"/>
    <w:rsid w:val="00285A2F"/>
    <w:rsid w:val="00285B5E"/>
    <w:rsid w:val="00286362"/>
    <w:rsid w:val="00286C44"/>
    <w:rsid w:val="00287D4A"/>
    <w:rsid w:val="0029005F"/>
    <w:rsid w:val="0029044D"/>
    <w:rsid w:val="00290A60"/>
    <w:rsid w:val="00291106"/>
    <w:rsid w:val="002920C2"/>
    <w:rsid w:val="00292B49"/>
    <w:rsid w:val="00292D17"/>
    <w:rsid w:val="00292DE8"/>
    <w:rsid w:val="00292F4D"/>
    <w:rsid w:val="002938BE"/>
    <w:rsid w:val="00293F89"/>
    <w:rsid w:val="002940E5"/>
    <w:rsid w:val="00294E65"/>
    <w:rsid w:val="002955DB"/>
    <w:rsid w:val="002958FC"/>
    <w:rsid w:val="00295DF3"/>
    <w:rsid w:val="002966FB"/>
    <w:rsid w:val="00296784"/>
    <w:rsid w:val="00296C66"/>
    <w:rsid w:val="002975DD"/>
    <w:rsid w:val="00297999"/>
    <w:rsid w:val="002A00A2"/>
    <w:rsid w:val="002A02F2"/>
    <w:rsid w:val="002A064D"/>
    <w:rsid w:val="002A06D5"/>
    <w:rsid w:val="002A0AF0"/>
    <w:rsid w:val="002A1511"/>
    <w:rsid w:val="002A1723"/>
    <w:rsid w:val="002A1DDF"/>
    <w:rsid w:val="002A201A"/>
    <w:rsid w:val="002A287B"/>
    <w:rsid w:val="002A3DD3"/>
    <w:rsid w:val="002A3E58"/>
    <w:rsid w:val="002A4ECD"/>
    <w:rsid w:val="002A5472"/>
    <w:rsid w:val="002A59DB"/>
    <w:rsid w:val="002A5A83"/>
    <w:rsid w:val="002A602F"/>
    <w:rsid w:val="002A6397"/>
    <w:rsid w:val="002A70D7"/>
    <w:rsid w:val="002A7B81"/>
    <w:rsid w:val="002B0210"/>
    <w:rsid w:val="002B03A1"/>
    <w:rsid w:val="002B04F7"/>
    <w:rsid w:val="002B0C22"/>
    <w:rsid w:val="002B1386"/>
    <w:rsid w:val="002B21FC"/>
    <w:rsid w:val="002B2CE5"/>
    <w:rsid w:val="002B37A2"/>
    <w:rsid w:val="002B408C"/>
    <w:rsid w:val="002B4AA3"/>
    <w:rsid w:val="002B5172"/>
    <w:rsid w:val="002B59E4"/>
    <w:rsid w:val="002B6E46"/>
    <w:rsid w:val="002B7148"/>
    <w:rsid w:val="002C0485"/>
    <w:rsid w:val="002C1A18"/>
    <w:rsid w:val="002C1CD1"/>
    <w:rsid w:val="002C1D52"/>
    <w:rsid w:val="002C1D7C"/>
    <w:rsid w:val="002C1FBA"/>
    <w:rsid w:val="002C2024"/>
    <w:rsid w:val="002C2B87"/>
    <w:rsid w:val="002C2D3A"/>
    <w:rsid w:val="002C2F42"/>
    <w:rsid w:val="002C304E"/>
    <w:rsid w:val="002C370D"/>
    <w:rsid w:val="002C38F8"/>
    <w:rsid w:val="002C3A0D"/>
    <w:rsid w:val="002C3BA8"/>
    <w:rsid w:val="002C3CEF"/>
    <w:rsid w:val="002C3EC8"/>
    <w:rsid w:val="002C42D6"/>
    <w:rsid w:val="002C4C10"/>
    <w:rsid w:val="002C5B12"/>
    <w:rsid w:val="002C65F2"/>
    <w:rsid w:val="002C6B38"/>
    <w:rsid w:val="002C7026"/>
    <w:rsid w:val="002C768F"/>
    <w:rsid w:val="002C7B3B"/>
    <w:rsid w:val="002D0B10"/>
    <w:rsid w:val="002D1245"/>
    <w:rsid w:val="002D18CE"/>
    <w:rsid w:val="002D1AD9"/>
    <w:rsid w:val="002D1B19"/>
    <w:rsid w:val="002D1B36"/>
    <w:rsid w:val="002D1FC4"/>
    <w:rsid w:val="002D205A"/>
    <w:rsid w:val="002D21C9"/>
    <w:rsid w:val="002D21FB"/>
    <w:rsid w:val="002D34CC"/>
    <w:rsid w:val="002D3774"/>
    <w:rsid w:val="002D3907"/>
    <w:rsid w:val="002D3C85"/>
    <w:rsid w:val="002D50D7"/>
    <w:rsid w:val="002D558A"/>
    <w:rsid w:val="002D570F"/>
    <w:rsid w:val="002D666C"/>
    <w:rsid w:val="002D674F"/>
    <w:rsid w:val="002D6ED6"/>
    <w:rsid w:val="002D72A4"/>
    <w:rsid w:val="002D72F3"/>
    <w:rsid w:val="002D74C0"/>
    <w:rsid w:val="002D7611"/>
    <w:rsid w:val="002D7F84"/>
    <w:rsid w:val="002E0154"/>
    <w:rsid w:val="002E1737"/>
    <w:rsid w:val="002E1A23"/>
    <w:rsid w:val="002E2241"/>
    <w:rsid w:val="002E22E9"/>
    <w:rsid w:val="002E26D0"/>
    <w:rsid w:val="002E275E"/>
    <w:rsid w:val="002E333D"/>
    <w:rsid w:val="002E3648"/>
    <w:rsid w:val="002E3A12"/>
    <w:rsid w:val="002E3C07"/>
    <w:rsid w:val="002E4A8D"/>
    <w:rsid w:val="002E5770"/>
    <w:rsid w:val="002E59AF"/>
    <w:rsid w:val="002E5C2C"/>
    <w:rsid w:val="002E7246"/>
    <w:rsid w:val="002E7407"/>
    <w:rsid w:val="002E7712"/>
    <w:rsid w:val="002E7F98"/>
    <w:rsid w:val="002F001D"/>
    <w:rsid w:val="002F0A3C"/>
    <w:rsid w:val="002F0D9C"/>
    <w:rsid w:val="002F0E9A"/>
    <w:rsid w:val="002F1403"/>
    <w:rsid w:val="002F2674"/>
    <w:rsid w:val="002F2DCF"/>
    <w:rsid w:val="002F336F"/>
    <w:rsid w:val="002F344F"/>
    <w:rsid w:val="002F34B0"/>
    <w:rsid w:val="002F3948"/>
    <w:rsid w:val="002F3DAA"/>
    <w:rsid w:val="002F4027"/>
    <w:rsid w:val="002F4213"/>
    <w:rsid w:val="002F44F0"/>
    <w:rsid w:val="002F4CAE"/>
    <w:rsid w:val="002F523E"/>
    <w:rsid w:val="002F5248"/>
    <w:rsid w:val="002F5DFA"/>
    <w:rsid w:val="002F64FD"/>
    <w:rsid w:val="002F6A14"/>
    <w:rsid w:val="002F75E6"/>
    <w:rsid w:val="002F7E50"/>
    <w:rsid w:val="0030036F"/>
    <w:rsid w:val="003011EA"/>
    <w:rsid w:val="003014BF"/>
    <w:rsid w:val="00301FF7"/>
    <w:rsid w:val="00302145"/>
    <w:rsid w:val="00302536"/>
    <w:rsid w:val="00302A1B"/>
    <w:rsid w:val="003047C4"/>
    <w:rsid w:val="00304C67"/>
    <w:rsid w:val="003051E8"/>
    <w:rsid w:val="00306374"/>
    <w:rsid w:val="0030642B"/>
    <w:rsid w:val="00306623"/>
    <w:rsid w:val="00306F47"/>
    <w:rsid w:val="0030764F"/>
    <w:rsid w:val="003100B0"/>
    <w:rsid w:val="0031085D"/>
    <w:rsid w:val="00310E17"/>
    <w:rsid w:val="0031144F"/>
    <w:rsid w:val="00312567"/>
    <w:rsid w:val="003126B2"/>
    <w:rsid w:val="00312799"/>
    <w:rsid w:val="00314438"/>
    <w:rsid w:val="00315226"/>
    <w:rsid w:val="00315DF4"/>
    <w:rsid w:val="003161E1"/>
    <w:rsid w:val="003170BE"/>
    <w:rsid w:val="00317225"/>
    <w:rsid w:val="00317712"/>
    <w:rsid w:val="00317E59"/>
    <w:rsid w:val="00317FEE"/>
    <w:rsid w:val="0032010C"/>
    <w:rsid w:val="0032039E"/>
    <w:rsid w:val="00320778"/>
    <w:rsid w:val="0032098F"/>
    <w:rsid w:val="00320BA0"/>
    <w:rsid w:val="00321525"/>
    <w:rsid w:val="003217A6"/>
    <w:rsid w:val="0032183A"/>
    <w:rsid w:val="00321B02"/>
    <w:rsid w:val="00321F54"/>
    <w:rsid w:val="00322825"/>
    <w:rsid w:val="003228FD"/>
    <w:rsid w:val="00322E0F"/>
    <w:rsid w:val="00323950"/>
    <w:rsid w:val="00323C38"/>
    <w:rsid w:val="0032437B"/>
    <w:rsid w:val="003243AA"/>
    <w:rsid w:val="003244BA"/>
    <w:rsid w:val="00324EF2"/>
    <w:rsid w:val="00325634"/>
    <w:rsid w:val="00325A4F"/>
    <w:rsid w:val="00325B89"/>
    <w:rsid w:val="00325C8C"/>
    <w:rsid w:val="00326142"/>
    <w:rsid w:val="003261AB"/>
    <w:rsid w:val="003261FD"/>
    <w:rsid w:val="00326564"/>
    <w:rsid w:val="003278BF"/>
    <w:rsid w:val="00330480"/>
    <w:rsid w:val="003305C1"/>
    <w:rsid w:val="00330DCD"/>
    <w:rsid w:val="003315F4"/>
    <w:rsid w:val="00332CD4"/>
    <w:rsid w:val="00332DF6"/>
    <w:rsid w:val="0033323A"/>
    <w:rsid w:val="003337A5"/>
    <w:rsid w:val="00333888"/>
    <w:rsid w:val="00334948"/>
    <w:rsid w:val="00334A80"/>
    <w:rsid w:val="00335414"/>
    <w:rsid w:val="00335762"/>
    <w:rsid w:val="003359A4"/>
    <w:rsid w:val="00335AD3"/>
    <w:rsid w:val="00335B98"/>
    <w:rsid w:val="00335F3D"/>
    <w:rsid w:val="00336C7A"/>
    <w:rsid w:val="00337562"/>
    <w:rsid w:val="00337B87"/>
    <w:rsid w:val="003404EB"/>
    <w:rsid w:val="00340536"/>
    <w:rsid w:val="00340782"/>
    <w:rsid w:val="00340861"/>
    <w:rsid w:val="00340C3C"/>
    <w:rsid w:val="00340FA5"/>
    <w:rsid w:val="0034151F"/>
    <w:rsid w:val="0034294D"/>
    <w:rsid w:val="00343288"/>
    <w:rsid w:val="003439C1"/>
    <w:rsid w:val="00343B43"/>
    <w:rsid w:val="00343F1B"/>
    <w:rsid w:val="00344924"/>
    <w:rsid w:val="00344D22"/>
    <w:rsid w:val="00344DC8"/>
    <w:rsid w:val="003453A6"/>
    <w:rsid w:val="00345B56"/>
    <w:rsid w:val="00345C75"/>
    <w:rsid w:val="00345D82"/>
    <w:rsid w:val="00345DDB"/>
    <w:rsid w:val="00346CBF"/>
    <w:rsid w:val="00346FF8"/>
    <w:rsid w:val="003470E6"/>
    <w:rsid w:val="003474F4"/>
    <w:rsid w:val="003475A2"/>
    <w:rsid w:val="003476CF"/>
    <w:rsid w:val="0035046E"/>
    <w:rsid w:val="0035081D"/>
    <w:rsid w:val="00350D14"/>
    <w:rsid w:val="00351155"/>
    <w:rsid w:val="003514B6"/>
    <w:rsid w:val="0035162C"/>
    <w:rsid w:val="003519DD"/>
    <w:rsid w:val="00351D81"/>
    <w:rsid w:val="00352789"/>
    <w:rsid w:val="00352BC5"/>
    <w:rsid w:val="0035331D"/>
    <w:rsid w:val="0035365B"/>
    <w:rsid w:val="00353D63"/>
    <w:rsid w:val="00354130"/>
    <w:rsid w:val="003546F9"/>
    <w:rsid w:val="00354E77"/>
    <w:rsid w:val="00355BBA"/>
    <w:rsid w:val="00355DF4"/>
    <w:rsid w:val="00356F46"/>
    <w:rsid w:val="003570D2"/>
    <w:rsid w:val="0035719F"/>
    <w:rsid w:val="00357FD7"/>
    <w:rsid w:val="003602AF"/>
    <w:rsid w:val="00360E85"/>
    <w:rsid w:val="0036175A"/>
    <w:rsid w:val="00361D9F"/>
    <w:rsid w:val="00362A8F"/>
    <w:rsid w:val="00362B50"/>
    <w:rsid w:val="003633BB"/>
    <w:rsid w:val="00363EE4"/>
    <w:rsid w:val="003644C2"/>
    <w:rsid w:val="0036474E"/>
    <w:rsid w:val="00364817"/>
    <w:rsid w:val="0036497F"/>
    <w:rsid w:val="0036501F"/>
    <w:rsid w:val="0036555E"/>
    <w:rsid w:val="00365EC3"/>
    <w:rsid w:val="00366030"/>
    <w:rsid w:val="00367B4E"/>
    <w:rsid w:val="00367DA3"/>
    <w:rsid w:val="00370585"/>
    <w:rsid w:val="00370FDE"/>
    <w:rsid w:val="00371942"/>
    <w:rsid w:val="00371C30"/>
    <w:rsid w:val="00372C35"/>
    <w:rsid w:val="003732C7"/>
    <w:rsid w:val="00374669"/>
    <w:rsid w:val="0037469A"/>
    <w:rsid w:val="0037562A"/>
    <w:rsid w:val="00375EF1"/>
    <w:rsid w:val="00376050"/>
    <w:rsid w:val="0037649E"/>
    <w:rsid w:val="003770C1"/>
    <w:rsid w:val="0037764A"/>
    <w:rsid w:val="00377967"/>
    <w:rsid w:val="00380B3D"/>
    <w:rsid w:val="00381D89"/>
    <w:rsid w:val="003820C8"/>
    <w:rsid w:val="003829DF"/>
    <w:rsid w:val="00382C08"/>
    <w:rsid w:val="0038310F"/>
    <w:rsid w:val="00383999"/>
    <w:rsid w:val="00383D1F"/>
    <w:rsid w:val="003842C1"/>
    <w:rsid w:val="003848FD"/>
    <w:rsid w:val="00384AAC"/>
    <w:rsid w:val="00384C20"/>
    <w:rsid w:val="00384FCB"/>
    <w:rsid w:val="003853A2"/>
    <w:rsid w:val="00385C62"/>
    <w:rsid w:val="003860F7"/>
    <w:rsid w:val="00386FDD"/>
    <w:rsid w:val="0038770D"/>
    <w:rsid w:val="00387731"/>
    <w:rsid w:val="00387C6A"/>
    <w:rsid w:val="00387DB9"/>
    <w:rsid w:val="00390A53"/>
    <w:rsid w:val="00391330"/>
    <w:rsid w:val="003919D1"/>
    <w:rsid w:val="00391A9D"/>
    <w:rsid w:val="003927CF"/>
    <w:rsid w:val="0039285B"/>
    <w:rsid w:val="00392A3F"/>
    <w:rsid w:val="00393379"/>
    <w:rsid w:val="00394F08"/>
    <w:rsid w:val="00395EAE"/>
    <w:rsid w:val="0039646C"/>
    <w:rsid w:val="00396A02"/>
    <w:rsid w:val="00397048"/>
    <w:rsid w:val="0039792A"/>
    <w:rsid w:val="00397AD5"/>
    <w:rsid w:val="003A0107"/>
    <w:rsid w:val="003A0AA1"/>
    <w:rsid w:val="003A0BB9"/>
    <w:rsid w:val="003A13D9"/>
    <w:rsid w:val="003A27F8"/>
    <w:rsid w:val="003A2BB4"/>
    <w:rsid w:val="003A3B7B"/>
    <w:rsid w:val="003A577F"/>
    <w:rsid w:val="003A5A75"/>
    <w:rsid w:val="003A5C63"/>
    <w:rsid w:val="003A5EE6"/>
    <w:rsid w:val="003A6691"/>
    <w:rsid w:val="003A69BD"/>
    <w:rsid w:val="003A6AC0"/>
    <w:rsid w:val="003A6AEC"/>
    <w:rsid w:val="003A6D6B"/>
    <w:rsid w:val="003A6DF1"/>
    <w:rsid w:val="003A7722"/>
    <w:rsid w:val="003A7F0E"/>
    <w:rsid w:val="003B0946"/>
    <w:rsid w:val="003B174F"/>
    <w:rsid w:val="003B3B53"/>
    <w:rsid w:val="003B5116"/>
    <w:rsid w:val="003B5493"/>
    <w:rsid w:val="003B653C"/>
    <w:rsid w:val="003B67F0"/>
    <w:rsid w:val="003B73A9"/>
    <w:rsid w:val="003B76E8"/>
    <w:rsid w:val="003B7707"/>
    <w:rsid w:val="003B795C"/>
    <w:rsid w:val="003B7A2B"/>
    <w:rsid w:val="003B7CC1"/>
    <w:rsid w:val="003B7F2D"/>
    <w:rsid w:val="003C0242"/>
    <w:rsid w:val="003C048D"/>
    <w:rsid w:val="003C1AAE"/>
    <w:rsid w:val="003C1E4D"/>
    <w:rsid w:val="003C1ED1"/>
    <w:rsid w:val="003C1EE0"/>
    <w:rsid w:val="003C3601"/>
    <w:rsid w:val="003C36DB"/>
    <w:rsid w:val="003C4034"/>
    <w:rsid w:val="003C4BF0"/>
    <w:rsid w:val="003C4EE5"/>
    <w:rsid w:val="003C5803"/>
    <w:rsid w:val="003C67DD"/>
    <w:rsid w:val="003C6B13"/>
    <w:rsid w:val="003C6BE5"/>
    <w:rsid w:val="003C71E4"/>
    <w:rsid w:val="003C7331"/>
    <w:rsid w:val="003C7657"/>
    <w:rsid w:val="003C77D7"/>
    <w:rsid w:val="003D00AE"/>
    <w:rsid w:val="003D081B"/>
    <w:rsid w:val="003D10E1"/>
    <w:rsid w:val="003D16D1"/>
    <w:rsid w:val="003D20B0"/>
    <w:rsid w:val="003D21BC"/>
    <w:rsid w:val="003D241D"/>
    <w:rsid w:val="003D2E3D"/>
    <w:rsid w:val="003D35D1"/>
    <w:rsid w:val="003D38AA"/>
    <w:rsid w:val="003D4C87"/>
    <w:rsid w:val="003D50EC"/>
    <w:rsid w:val="003D5762"/>
    <w:rsid w:val="003D5CD0"/>
    <w:rsid w:val="003D67E3"/>
    <w:rsid w:val="003D6AAA"/>
    <w:rsid w:val="003D6B86"/>
    <w:rsid w:val="003D6DB4"/>
    <w:rsid w:val="003D7B58"/>
    <w:rsid w:val="003E0F22"/>
    <w:rsid w:val="003E0F72"/>
    <w:rsid w:val="003E1302"/>
    <w:rsid w:val="003E144F"/>
    <w:rsid w:val="003E1AC2"/>
    <w:rsid w:val="003E2A47"/>
    <w:rsid w:val="003E305D"/>
    <w:rsid w:val="003E3088"/>
    <w:rsid w:val="003E3592"/>
    <w:rsid w:val="003E35B6"/>
    <w:rsid w:val="003E429C"/>
    <w:rsid w:val="003E4C49"/>
    <w:rsid w:val="003E4E2A"/>
    <w:rsid w:val="003E512D"/>
    <w:rsid w:val="003E546F"/>
    <w:rsid w:val="003E5E54"/>
    <w:rsid w:val="003E69E5"/>
    <w:rsid w:val="003E6B4C"/>
    <w:rsid w:val="003E6EF9"/>
    <w:rsid w:val="003E77AF"/>
    <w:rsid w:val="003E78E2"/>
    <w:rsid w:val="003E7B9A"/>
    <w:rsid w:val="003E7CD7"/>
    <w:rsid w:val="003F07C3"/>
    <w:rsid w:val="003F0ACE"/>
    <w:rsid w:val="003F0BAB"/>
    <w:rsid w:val="003F0D27"/>
    <w:rsid w:val="003F12EE"/>
    <w:rsid w:val="003F13CE"/>
    <w:rsid w:val="003F17CD"/>
    <w:rsid w:val="003F21C9"/>
    <w:rsid w:val="003F2415"/>
    <w:rsid w:val="003F280B"/>
    <w:rsid w:val="003F283E"/>
    <w:rsid w:val="003F2AB4"/>
    <w:rsid w:val="003F3219"/>
    <w:rsid w:val="003F3AED"/>
    <w:rsid w:val="003F4690"/>
    <w:rsid w:val="003F46D3"/>
    <w:rsid w:val="003F5E54"/>
    <w:rsid w:val="003F61FB"/>
    <w:rsid w:val="003F6763"/>
    <w:rsid w:val="003F7069"/>
    <w:rsid w:val="003F70DC"/>
    <w:rsid w:val="003F71DD"/>
    <w:rsid w:val="00400C9C"/>
    <w:rsid w:val="00401293"/>
    <w:rsid w:val="00401324"/>
    <w:rsid w:val="0040342C"/>
    <w:rsid w:val="00403561"/>
    <w:rsid w:val="00403688"/>
    <w:rsid w:val="004036B5"/>
    <w:rsid w:val="00403743"/>
    <w:rsid w:val="00403779"/>
    <w:rsid w:val="00403AE3"/>
    <w:rsid w:val="00403F48"/>
    <w:rsid w:val="00404A32"/>
    <w:rsid w:val="00404C99"/>
    <w:rsid w:val="00404CA4"/>
    <w:rsid w:val="00404CEE"/>
    <w:rsid w:val="00405000"/>
    <w:rsid w:val="00405930"/>
    <w:rsid w:val="00406254"/>
    <w:rsid w:val="004068AA"/>
    <w:rsid w:val="004069C3"/>
    <w:rsid w:val="0040733A"/>
    <w:rsid w:val="004073C9"/>
    <w:rsid w:val="00407455"/>
    <w:rsid w:val="00410041"/>
    <w:rsid w:val="0041009C"/>
    <w:rsid w:val="004104CF"/>
    <w:rsid w:val="0041088F"/>
    <w:rsid w:val="00410AB0"/>
    <w:rsid w:val="00410B98"/>
    <w:rsid w:val="00411783"/>
    <w:rsid w:val="0041222D"/>
    <w:rsid w:val="00412792"/>
    <w:rsid w:val="00412ADB"/>
    <w:rsid w:val="00412BEB"/>
    <w:rsid w:val="00413263"/>
    <w:rsid w:val="00413801"/>
    <w:rsid w:val="004139DE"/>
    <w:rsid w:val="00413D5C"/>
    <w:rsid w:val="004140F1"/>
    <w:rsid w:val="00414B68"/>
    <w:rsid w:val="00414F72"/>
    <w:rsid w:val="00415B30"/>
    <w:rsid w:val="00415B46"/>
    <w:rsid w:val="00415F78"/>
    <w:rsid w:val="004164C3"/>
    <w:rsid w:val="004167B7"/>
    <w:rsid w:val="00417C4F"/>
    <w:rsid w:val="00420720"/>
    <w:rsid w:val="004213FC"/>
    <w:rsid w:val="0042289A"/>
    <w:rsid w:val="00423071"/>
    <w:rsid w:val="004231AE"/>
    <w:rsid w:val="00424913"/>
    <w:rsid w:val="00424C0D"/>
    <w:rsid w:val="00425528"/>
    <w:rsid w:val="0042727A"/>
    <w:rsid w:val="004274C6"/>
    <w:rsid w:val="00427CF5"/>
    <w:rsid w:val="00427DAA"/>
    <w:rsid w:val="004307B4"/>
    <w:rsid w:val="00430A34"/>
    <w:rsid w:val="0043170A"/>
    <w:rsid w:val="00431F29"/>
    <w:rsid w:val="00432BAA"/>
    <w:rsid w:val="00432EFD"/>
    <w:rsid w:val="00433428"/>
    <w:rsid w:val="004335B7"/>
    <w:rsid w:val="00433C37"/>
    <w:rsid w:val="0043426B"/>
    <w:rsid w:val="00434328"/>
    <w:rsid w:val="00434BA7"/>
    <w:rsid w:val="00434DBE"/>
    <w:rsid w:val="004363B2"/>
    <w:rsid w:val="00436521"/>
    <w:rsid w:val="0043663A"/>
    <w:rsid w:val="00436743"/>
    <w:rsid w:val="00436D63"/>
    <w:rsid w:val="004372CE"/>
    <w:rsid w:val="004377F6"/>
    <w:rsid w:val="00437AC2"/>
    <w:rsid w:val="00440D78"/>
    <w:rsid w:val="00440E9D"/>
    <w:rsid w:val="00441988"/>
    <w:rsid w:val="00441BC5"/>
    <w:rsid w:val="00442026"/>
    <w:rsid w:val="00442035"/>
    <w:rsid w:val="00442349"/>
    <w:rsid w:val="00442DB8"/>
    <w:rsid w:val="00442EDD"/>
    <w:rsid w:val="00443A5A"/>
    <w:rsid w:val="00443BDA"/>
    <w:rsid w:val="00443C56"/>
    <w:rsid w:val="00443D1B"/>
    <w:rsid w:val="004445CB"/>
    <w:rsid w:val="00446148"/>
    <w:rsid w:val="004468DD"/>
    <w:rsid w:val="00446B95"/>
    <w:rsid w:val="00446C19"/>
    <w:rsid w:val="004477FC"/>
    <w:rsid w:val="00447C9A"/>
    <w:rsid w:val="004500BC"/>
    <w:rsid w:val="004504D4"/>
    <w:rsid w:val="00450934"/>
    <w:rsid w:val="00450AB7"/>
    <w:rsid w:val="00450F00"/>
    <w:rsid w:val="00451534"/>
    <w:rsid w:val="0045157A"/>
    <w:rsid w:val="004519BA"/>
    <w:rsid w:val="00451B7B"/>
    <w:rsid w:val="00452745"/>
    <w:rsid w:val="00452801"/>
    <w:rsid w:val="00452C71"/>
    <w:rsid w:val="004535A5"/>
    <w:rsid w:val="00453BAE"/>
    <w:rsid w:val="00453E7A"/>
    <w:rsid w:val="00454192"/>
    <w:rsid w:val="00454A26"/>
    <w:rsid w:val="0045658B"/>
    <w:rsid w:val="00456950"/>
    <w:rsid w:val="00456C82"/>
    <w:rsid w:val="0045711F"/>
    <w:rsid w:val="00457461"/>
    <w:rsid w:val="004575E7"/>
    <w:rsid w:val="004603B8"/>
    <w:rsid w:val="00460508"/>
    <w:rsid w:val="00460AD4"/>
    <w:rsid w:val="00461198"/>
    <w:rsid w:val="004615C5"/>
    <w:rsid w:val="004617F2"/>
    <w:rsid w:val="00461B58"/>
    <w:rsid w:val="00462A8A"/>
    <w:rsid w:val="00462BF2"/>
    <w:rsid w:val="00462C23"/>
    <w:rsid w:val="00462D84"/>
    <w:rsid w:val="00462E41"/>
    <w:rsid w:val="00462F7C"/>
    <w:rsid w:val="00463A72"/>
    <w:rsid w:val="00463CDF"/>
    <w:rsid w:val="0046459A"/>
    <w:rsid w:val="00465E9C"/>
    <w:rsid w:val="0046679C"/>
    <w:rsid w:val="004668E1"/>
    <w:rsid w:val="00467342"/>
    <w:rsid w:val="00470C4F"/>
    <w:rsid w:val="0047171C"/>
    <w:rsid w:val="00471CEC"/>
    <w:rsid w:val="0047263F"/>
    <w:rsid w:val="0047283B"/>
    <w:rsid w:val="00472A9D"/>
    <w:rsid w:val="004732B5"/>
    <w:rsid w:val="00473A23"/>
    <w:rsid w:val="00473C4C"/>
    <w:rsid w:val="00473F45"/>
    <w:rsid w:val="0047423F"/>
    <w:rsid w:val="0047473E"/>
    <w:rsid w:val="00475062"/>
    <w:rsid w:val="00475221"/>
    <w:rsid w:val="004756CB"/>
    <w:rsid w:val="00475FF6"/>
    <w:rsid w:val="00476A6E"/>
    <w:rsid w:val="00477664"/>
    <w:rsid w:val="004776EA"/>
    <w:rsid w:val="00477A05"/>
    <w:rsid w:val="00477A9E"/>
    <w:rsid w:val="004801E1"/>
    <w:rsid w:val="004801F0"/>
    <w:rsid w:val="004806A4"/>
    <w:rsid w:val="0048119F"/>
    <w:rsid w:val="00481788"/>
    <w:rsid w:val="00481A4C"/>
    <w:rsid w:val="00481F2B"/>
    <w:rsid w:val="0048212D"/>
    <w:rsid w:val="004826DC"/>
    <w:rsid w:val="00482D30"/>
    <w:rsid w:val="00482F02"/>
    <w:rsid w:val="004839F9"/>
    <w:rsid w:val="00483C42"/>
    <w:rsid w:val="00483FF9"/>
    <w:rsid w:val="00485269"/>
    <w:rsid w:val="00485C33"/>
    <w:rsid w:val="00485F08"/>
    <w:rsid w:val="0048664A"/>
    <w:rsid w:val="004868A6"/>
    <w:rsid w:val="00486978"/>
    <w:rsid w:val="004869E5"/>
    <w:rsid w:val="00486D98"/>
    <w:rsid w:val="00487AC6"/>
    <w:rsid w:val="00490310"/>
    <w:rsid w:val="00490551"/>
    <w:rsid w:val="004906E5"/>
    <w:rsid w:val="00490BDC"/>
    <w:rsid w:val="004915A6"/>
    <w:rsid w:val="004916B8"/>
    <w:rsid w:val="00491758"/>
    <w:rsid w:val="00491B08"/>
    <w:rsid w:val="00491C85"/>
    <w:rsid w:val="00491E80"/>
    <w:rsid w:val="0049203E"/>
    <w:rsid w:val="0049268B"/>
    <w:rsid w:val="00493243"/>
    <w:rsid w:val="00493410"/>
    <w:rsid w:val="0049463E"/>
    <w:rsid w:val="00494687"/>
    <w:rsid w:val="0049472F"/>
    <w:rsid w:val="00495539"/>
    <w:rsid w:val="00495993"/>
    <w:rsid w:val="00495A04"/>
    <w:rsid w:val="00496223"/>
    <w:rsid w:val="004967F2"/>
    <w:rsid w:val="00496AF8"/>
    <w:rsid w:val="0049726A"/>
    <w:rsid w:val="004974DD"/>
    <w:rsid w:val="004A0857"/>
    <w:rsid w:val="004A09B2"/>
    <w:rsid w:val="004A0DA4"/>
    <w:rsid w:val="004A0EED"/>
    <w:rsid w:val="004A13DE"/>
    <w:rsid w:val="004A1C0B"/>
    <w:rsid w:val="004A1D5B"/>
    <w:rsid w:val="004A1F38"/>
    <w:rsid w:val="004A2087"/>
    <w:rsid w:val="004A29F5"/>
    <w:rsid w:val="004A5F60"/>
    <w:rsid w:val="004A6B8C"/>
    <w:rsid w:val="004A7780"/>
    <w:rsid w:val="004A7ABF"/>
    <w:rsid w:val="004B07E1"/>
    <w:rsid w:val="004B277B"/>
    <w:rsid w:val="004B2CDC"/>
    <w:rsid w:val="004B3946"/>
    <w:rsid w:val="004B3BA6"/>
    <w:rsid w:val="004B3C46"/>
    <w:rsid w:val="004B4A1D"/>
    <w:rsid w:val="004B55CD"/>
    <w:rsid w:val="004B5869"/>
    <w:rsid w:val="004B63E0"/>
    <w:rsid w:val="004B64F8"/>
    <w:rsid w:val="004B69B4"/>
    <w:rsid w:val="004B6DEB"/>
    <w:rsid w:val="004B6FBD"/>
    <w:rsid w:val="004B7B3F"/>
    <w:rsid w:val="004B7F27"/>
    <w:rsid w:val="004C019B"/>
    <w:rsid w:val="004C0262"/>
    <w:rsid w:val="004C0D60"/>
    <w:rsid w:val="004C0E73"/>
    <w:rsid w:val="004C2A3F"/>
    <w:rsid w:val="004C2B3A"/>
    <w:rsid w:val="004C30B0"/>
    <w:rsid w:val="004C3402"/>
    <w:rsid w:val="004C4152"/>
    <w:rsid w:val="004C4643"/>
    <w:rsid w:val="004C4962"/>
    <w:rsid w:val="004C49CC"/>
    <w:rsid w:val="004C53EA"/>
    <w:rsid w:val="004C53FB"/>
    <w:rsid w:val="004C55DE"/>
    <w:rsid w:val="004C5F48"/>
    <w:rsid w:val="004C6416"/>
    <w:rsid w:val="004C6C54"/>
    <w:rsid w:val="004C75D2"/>
    <w:rsid w:val="004D0597"/>
    <w:rsid w:val="004D05DC"/>
    <w:rsid w:val="004D1159"/>
    <w:rsid w:val="004D1269"/>
    <w:rsid w:val="004D24E6"/>
    <w:rsid w:val="004D28B5"/>
    <w:rsid w:val="004D2B0A"/>
    <w:rsid w:val="004D2F8A"/>
    <w:rsid w:val="004D3B4E"/>
    <w:rsid w:val="004D424E"/>
    <w:rsid w:val="004D4289"/>
    <w:rsid w:val="004D450D"/>
    <w:rsid w:val="004D4BF5"/>
    <w:rsid w:val="004D52C7"/>
    <w:rsid w:val="004D58E3"/>
    <w:rsid w:val="004D5C39"/>
    <w:rsid w:val="004D67DA"/>
    <w:rsid w:val="004D6CEE"/>
    <w:rsid w:val="004D6D49"/>
    <w:rsid w:val="004D7873"/>
    <w:rsid w:val="004E0686"/>
    <w:rsid w:val="004E0950"/>
    <w:rsid w:val="004E147F"/>
    <w:rsid w:val="004E1F9F"/>
    <w:rsid w:val="004E2484"/>
    <w:rsid w:val="004E24BD"/>
    <w:rsid w:val="004E2732"/>
    <w:rsid w:val="004E2B7E"/>
    <w:rsid w:val="004E361C"/>
    <w:rsid w:val="004E3C0A"/>
    <w:rsid w:val="004E3CE8"/>
    <w:rsid w:val="004E3F78"/>
    <w:rsid w:val="004E4CEF"/>
    <w:rsid w:val="004E5017"/>
    <w:rsid w:val="004E52A6"/>
    <w:rsid w:val="004E5975"/>
    <w:rsid w:val="004E5C9F"/>
    <w:rsid w:val="004E601E"/>
    <w:rsid w:val="004E6595"/>
    <w:rsid w:val="004E695C"/>
    <w:rsid w:val="004E6F82"/>
    <w:rsid w:val="004E70AC"/>
    <w:rsid w:val="004E71C6"/>
    <w:rsid w:val="004E7B95"/>
    <w:rsid w:val="004E7BF6"/>
    <w:rsid w:val="004E7D5B"/>
    <w:rsid w:val="004F095D"/>
    <w:rsid w:val="004F0EB3"/>
    <w:rsid w:val="004F1A7A"/>
    <w:rsid w:val="004F2D35"/>
    <w:rsid w:val="004F31FF"/>
    <w:rsid w:val="004F4900"/>
    <w:rsid w:val="004F5E71"/>
    <w:rsid w:val="004F61BA"/>
    <w:rsid w:val="004F6E28"/>
    <w:rsid w:val="004F6FFB"/>
    <w:rsid w:val="004F73D2"/>
    <w:rsid w:val="004F7ADD"/>
    <w:rsid w:val="004F7B12"/>
    <w:rsid w:val="00500D2C"/>
    <w:rsid w:val="005018F0"/>
    <w:rsid w:val="00501C50"/>
    <w:rsid w:val="00501EF5"/>
    <w:rsid w:val="0050217B"/>
    <w:rsid w:val="0050269D"/>
    <w:rsid w:val="0050279F"/>
    <w:rsid w:val="00502984"/>
    <w:rsid w:val="00502D2A"/>
    <w:rsid w:val="00502DCE"/>
    <w:rsid w:val="00503D69"/>
    <w:rsid w:val="00504416"/>
    <w:rsid w:val="00504445"/>
    <w:rsid w:val="00504DA7"/>
    <w:rsid w:val="00504F2E"/>
    <w:rsid w:val="00505E09"/>
    <w:rsid w:val="00505ECF"/>
    <w:rsid w:val="00506771"/>
    <w:rsid w:val="005069FC"/>
    <w:rsid w:val="0050756E"/>
    <w:rsid w:val="00507669"/>
    <w:rsid w:val="00510CCE"/>
    <w:rsid w:val="00511083"/>
    <w:rsid w:val="00511592"/>
    <w:rsid w:val="00512A85"/>
    <w:rsid w:val="005137EC"/>
    <w:rsid w:val="005138EB"/>
    <w:rsid w:val="005139B8"/>
    <w:rsid w:val="00513B1A"/>
    <w:rsid w:val="005144BB"/>
    <w:rsid w:val="00514BE3"/>
    <w:rsid w:val="00514CAF"/>
    <w:rsid w:val="00514E26"/>
    <w:rsid w:val="00516356"/>
    <w:rsid w:val="0051677F"/>
    <w:rsid w:val="005170BD"/>
    <w:rsid w:val="0052007C"/>
    <w:rsid w:val="00520080"/>
    <w:rsid w:val="005200FB"/>
    <w:rsid w:val="0052145E"/>
    <w:rsid w:val="005224C1"/>
    <w:rsid w:val="005228CE"/>
    <w:rsid w:val="005229D1"/>
    <w:rsid w:val="0052311A"/>
    <w:rsid w:val="00523220"/>
    <w:rsid w:val="005232D0"/>
    <w:rsid w:val="0052350F"/>
    <w:rsid w:val="00523680"/>
    <w:rsid w:val="005236C1"/>
    <w:rsid w:val="00523B00"/>
    <w:rsid w:val="005241F6"/>
    <w:rsid w:val="005242D3"/>
    <w:rsid w:val="00524721"/>
    <w:rsid w:val="005247C1"/>
    <w:rsid w:val="005248D2"/>
    <w:rsid w:val="00524AA2"/>
    <w:rsid w:val="00524F58"/>
    <w:rsid w:val="00525F00"/>
    <w:rsid w:val="00526CD5"/>
    <w:rsid w:val="00527CA1"/>
    <w:rsid w:val="00530217"/>
    <w:rsid w:val="00530756"/>
    <w:rsid w:val="005308AB"/>
    <w:rsid w:val="00530A5B"/>
    <w:rsid w:val="00530CBC"/>
    <w:rsid w:val="00531350"/>
    <w:rsid w:val="00531A24"/>
    <w:rsid w:val="00531D3D"/>
    <w:rsid w:val="00532F52"/>
    <w:rsid w:val="00534182"/>
    <w:rsid w:val="00534354"/>
    <w:rsid w:val="00534F22"/>
    <w:rsid w:val="00535BA6"/>
    <w:rsid w:val="0053687F"/>
    <w:rsid w:val="005370BC"/>
    <w:rsid w:val="005379B9"/>
    <w:rsid w:val="00537AA9"/>
    <w:rsid w:val="005401DE"/>
    <w:rsid w:val="005418AD"/>
    <w:rsid w:val="00541AA0"/>
    <w:rsid w:val="00541CA6"/>
    <w:rsid w:val="00542162"/>
    <w:rsid w:val="00543D93"/>
    <w:rsid w:val="00544058"/>
    <w:rsid w:val="00544087"/>
    <w:rsid w:val="00544507"/>
    <w:rsid w:val="0054514D"/>
    <w:rsid w:val="005457B8"/>
    <w:rsid w:val="00545B4E"/>
    <w:rsid w:val="00545FA8"/>
    <w:rsid w:val="00546A88"/>
    <w:rsid w:val="005471FB"/>
    <w:rsid w:val="005476B2"/>
    <w:rsid w:val="005478F7"/>
    <w:rsid w:val="00547B8D"/>
    <w:rsid w:val="00547D6D"/>
    <w:rsid w:val="00550608"/>
    <w:rsid w:val="00550753"/>
    <w:rsid w:val="00551E5E"/>
    <w:rsid w:val="00552DDC"/>
    <w:rsid w:val="0055378D"/>
    <w:rsid w:val="00554F87"/>
    <w:rsid w:val="0055543E"/>
    <w:rsid w:val="0055557A"/>
    <w:rsid w:val="005565CA"/>
    <w:rsid w:val="00557EB6"/>
    <w:rsid w:val="0056006E"/>
    <w:rsid w:val="005603CA"/>
    <w:rsid w:val="00560444"/>
    <w:rsid w:val="00560F8E"/>
    <w:rsid w:val="0056109F"/>
    <w:rsid w:val="00563D07"/>
    <w:rsid w:val="005652F1"/>
    <w:rsid w:val="005656DF"/>
    <w:rsid w:val="005658BF"/>
    <w:rsid w:val="0056597E"/>
    <w:rsid w:val="00565DCD"/>
    <w:rsid w:val="00566BAE"/>
    <w:rsid w:val="00566CB6"/>
    <w:rsid w:val="0056766E"/>
    <w:rsid w:val="00567DCF"/>
    <w:rsid w:val="00567E5F"/>
    <w:rsid w:val="00567F21"/>
    <w:rsid w:val="005703E3"/>
    <w:rsid w:val="0057052C"/>
    <w:rsid w:val="00570549"/>
    <w:rsid w:val="005705CB"/>
    <w:rsid w:val="00570A3F"/>
    <w:rsid w:val="00570A5A"/>
    <w:rsid w:val="00570E5E"/>
    <w:rsid w:val="00571085"/>
    <w:rsid w:val="005712ED"/>
    <w:rsid w:val="0057142C"/>
    <w:rsid w:val="00571551"/>
    <w:rsid w:val="00571974"/>
    <w:rsid w:val="005728F4"/>
    <w:rsid w:val="00572C6D"/>
    <w:rsid w:val="0057319A"/>
    <w:rsid w:val="005734DD"/>
    <w:rsid w:val="00573960"/>
    <w:rsid w:val="005758C8"/>
    <w:rsid w:val="00575A71"/>
    <w:rsid w:val="0057626A"/>
    <w:rsid w:val="0057628B"/>
    <w:rsid w:val="0057658B"/>
    <w:rsid w:val="0057691E"/>
    <w:rsid w:val="00577798"/>
    <w:rsid w:val="00577B6C"/>
    <w:rsid w:val="00577C9C"/>
    <w:rsid w:val="00577E42"/>
    <w:rsid w:val="005805F6"/>
    <w:rsid w:val="00581364"/>
    <w:rsid w:val="00581D78"/>
    <w:rsid w:val="00581DCA"/>
    <w:rsid w:val="00581EC5"/>
    <w:rsid w:val="00581FA2"/>
    <w:rsid w:val="00582226"/>
    <w:rsid w:val="005824E9"/>
    <w:rsid w:val="00582ED7"/>
    <w:rsid w:val="00584456"/>
    <w:rsid w:val="00584840"/>
    <w:rsid w:val="005851FB"/>
    <w:rsid w:val="00585262"/>
    <w:rsid w:val="00585D9E"/>
    <w:rsid w:val="00585E42"/>
    <w:rsid w:val="005860C3"/>
    <w:rsid w:val="00586306"/>
    <w:rsid w:val="00586F85"/>
    <w:rsid w:val="00587958"/>
    <w:rsid w:val="00587AC7"/>
    <w:rsid w:val="00587B74"/>
    <w:rsid w:val="00587F42"/>
    <w:rsid w:val="0059020F"/>
    <w:rsid w:val="005909B3"/>
    <w:rsid w:val="00590F09"/>
    <w:rsid w:val="0059134E"/>
    <w:rsid w:val="005914EF"/>
    <w:rsid w:val="005919CF"/>
    <w:rsid w:val="00591B0B"/>
    <w:rsid w:val="00592FD5"/>
    <w:rsid w:val="00593805"/>
    <w:rsid w:val="00594104"/>
    <w:rsid w:val="0059434E"/>
    <w:rsid w:val="00594ABA"/>
    <w:rsid w:val="00594E6D"/>
    <w:rsid w:val="00594F59"/>
    <w:rsid w:val="00595D7C"/>
    <w:rsid w:val="00596A08"/>
    <w:rsid w:val="00596E98"/>
    <w:rsid w:val="00596F6C"/>
    <w:rsid w:val="00596FAB"/>
    <w:rsid w:val="00597A13"/>
    <w:rsid w:val="005A02B9"/>
    <w:rsid w:val="005A0CA8"/>
    <w:rsid w:val="005A0F27"/>
    <w:rsid w:val="005A189F"/>
    <w:rsid w:val="005A1A5D"/>
    <w:rsid w:val="005A1C1D"/>
    <w:rsid w:val="005A2044"/>
    <w:rsid w:val="005A27AF"/>
    <w:rsid w:val="005A29E7"/>
    <w:rsid w:val="005A2D7F"/>
    <w:rsid w:val="005A2F91"/>
    <w:rsid w:val="005A3645"/>
    <w:rsid w:val="005A379D"/>
    <w:rsid w:val="005A3927"/>
    <w:rsid w:val="005A48B9"/>
    <w:rsid w:val="005A4D63"/>
    <w:rsid w:val="005A52E6"/>
    <w:rsid w:val="005A5A72"/>
    <w:rsid w:val="005A5CD9"/>
    <w:rsid w:val="005A5F45"/>
    <w:rsid w:val="005A5FF6"/>
    <w:rsid w:val="005A66AE"/>
    <w:rsid w:val="005A6989"/>
    <w:rsid w:val="005A6D10"/>
    <w:rsid w:val="005A6EB0"/>
    <w:rsid w:val="005A7AF0"/>
    <w:rsid w:val="005A7F43"/>
    <w:rsid w:val="005B019A"/>
    <w:rsid w:val="005B065F"/>
    <w:rsid w:val="005B0DBB"/>
    <w:rsid w:val="005B0EC5"/>
    <w:rsid w:val="005B194B"/>
    <w:rsid w:val="005B1F92"/>
    <w:rsid w:val="005B1FB0"/>
    <w:rsid w:val="005B21C6"/>
    <w:rsid w:val="005B2570"/>
    <w:rsid w:val="005B2A9D"/>
    <w:rsid w:val="005B2E38"/>
    <w:rsid w:val="005B32BA"/>
    <w:rsid w:val="005B37F4"/>
    <w:rsid w:val="005B3B89"/>
    <w:rsid w:val="005B3C5C"/>
    <w:rsid w:val="005B4174"/>
    <w:rsid w:val="005B4650"/>
    <w:rsid w:val="005B4907"/>
    <w:rsid w:val="005B58CE"/>
    <w:rsid w:val="005B5C56"/>
    <w:rsid w:val="005B6339"/>
    <w:rsid w:val="005B75F7"/>
    <w:rsid w:val="005B7B75"/>
    <w:rsid w:val="005B7E47"/>
    <w:rsid w:val="005C0EA8"/>
    <w:rsid w:val="005C1701"/>
    <w:rsid w:val="005C1AD9"/>
    <w:rsid w:val="005C2104"/>
    <w:rsid w:val="005C2B00"/>
    <w:rsid w:val="005C3192"/>
    <w:rsid w:val="005C392C"/>
    <w:rsid w:val="005C4639"/>
    <w:rsid w:val="005C5802"/>
    <w:rsid w:val="005C5853"/>
    <w:rsid w:val="005C5C24"/>
    <w:rsid w:val="005C5F41"/>
    <w:rsid w:val="005C6B86"/>
    <w:rsid w:val="005C7127"/>
    <w:rsid w:val="005C7172"/>
    <w:rsid w:val="005D0494"/>
    <w:rsid w:val="005D0FB6"/>
    <w:rsid w:val="005D1DD9"/>
    <w:rsid w:val="005D1E6F"/>
    <w:rsid w:val="005D1F99"/>
    <w:rsid w:val="005D2374"/>
    <w:rsid w:val="005D28F3"/>
    <w:rsid w:val="005D29F0"/>
    <w:rsid w:val="005D2DF1"/>
    <w:rsid w:val="005D4049"/>
    <w:rsid w:val="005D4E1D"/>
    <w:rsid w:val="005D5FB2"/>
    <w:rsid w:val="005D6D7C"/>
    <w:rsid w:val="005D6DB9"/>
    <w:rsid w:val="005D6E31"/>
    <w:rsid w:val="005D6F53"/>
    <w:rsid w:val="005D7DDA"/>
    <w:rsid w:val="005E0D6C"/>
    <w:rsid w:val="005E0D94"/>
    <w:rsid w:val="005E0DA8"/>
    <w:rsid w:val="005E1BC5"/>
    <w:rsid w:val="005E2E93"/>
    <w:rsid w:val="005E321E"/>
    <w:rsid w:val="005E3470"/>
    <w:rsid w:val="005E397C"/>
    <w:rsid w:val="005E3CD5"/>
    <w:rsid w:val="005E4D37"/>
    <w:rsid w:val="005E4FFA"/>
    <w:rsid w:val="005E6B90"/>
    <w:rsid w:val="005E6EA8"/>
    <w:rsid w:val="005E7EDA"/>
    <w:rsid w:val="005F0489"/>
    <w:rsid w:val="005F0D02"/>
    <w:rsid w:val="005F0D7C"/>
    <w:rsid w:val="005F1085"/>
    <w:rsid w:val="005F10D9"/>
    <w:rsid w:val="005F18B8"/>
    <w:rsid w:val="005F1CA9"/>
    <w:rsid w:val="005F1EA4"/>
    <w:rsid w:val="005F3BEC"/>
    <w:rsid w:val="005F3BFE"/>
    <w:rsid w:val="005F3C76"/>
    <w:rsid w:val="005F43E6"/>
    <w:rsid w:val="005F65CA"/>
    <w:rsid w:val="005F6D02"/>
    <w:rsid w:val="005F6D81"/>
    <w:rsid w:val="005F7146"/>
    <w:rsid w:val="005F774A"/>
    <w:rsid w:val="005F7FF1"/>
    <w:rsid w:val="00600034"/>
    <w:rsid w:val="00600040"/>
    <w:rsid w:val="00601050"/>
    <w:rsid w:val="00601482"/>
    <w:rsid w:val="00601E88"/>
    <w:rsid w:val="00602D43"/>
    <w:rsid w:val="00602FF9"/>
    <w:rsid w:val="00603F07"/>
    <w:rsid w:val="0060421C"/>
    <w:rsid w:val="00604EED"/>
    <w:rsid w:val="0060558E"/>
    <w:rsid w:val="00605817"/>
    <w:rsid w:val="0060581A"/>
    <w:rsid w:val="00606231"/>
    <w:rsid w:val="00606F25"/>
    <w:rsid w:val="00607EF5"/>
    <w:rsid w:val="00607F9E"/>
    <w:rsid w:val="00610500"/>
    <w:rsid w:val="0061059B"/>
    <w:rsid w:val="0061089B"/>
    <w:rsid w:val="0061095F"/>
    <w:rsid w:val="00610BE8"/>
    <w:rsid w:val="00610F84"/>
    <w:rsid w:val="006114E0"/>
    <w:rsid w:val="00611641"/>
    <w:rsid w:val="00612615"/>
    <w:rsid w:val="006137EE"/>
    <w:rsid w:val="006142C8"/>
    <w:rsid w:val="00614556"/>
    <w:rsid w:val="00614B15"/>
    <w:rsid w:val="00615606"/>
    <w:rsid w:val="006157F2"/>
    <w:rsid w:val="00615948"/>
    <w:rsid w:val="00616053"/>
    <w:rsid w:val="00616265"/>
    <w:rsid w:val="006165B7"/>
    <w:rsid w:val="00616B3B"/>
    <w:rsid w:val="00616F3E"/>
    <w:rsid w:val="00617868"/>
    <w:rsid w:val="00617DBF"/>
    <w:rsid w:val="00620566"/>
    <w:rsid w:val="006207D6"/>
    <w:rsid w:val="006208BB"/>
    <w:rsid w:val="00620F47"/>
    <w:rsid w:val="006212F6"/>
    <w:rsid w:val="006212F7"/>
    <w:rsid w:val="00621468"/>
    <w:rsid w:val="00621695"/>
    <w:rsid w:val="00621A7A"/>
    <w:rsid w:val="00621CFC"/>
    <w:rsid w:val="00622086"/>
    <w:rsid w:val="00622577"/>
    <w:rsid w:val="00622D92"/>
    <w:rsid w:val="00622DE2"/>
    <w:rsid w:val="00623996"/>
    <w:rsid w:val="00623D29"/>
    <w:rsid w:val="006240A2"/>
    <w:rsid w:val="00625310"/>
    <w:rsid w:val="006253CA"/>
    <w:rsid w:val="00625D43"/>
    <w:rsid w:val="0062640B"/>
    <w:rsid w:val="00626E7D"/>
    <w:rsid w:val="00627017"/>
    <w:rsid w:val="006270DB"/>
    <w:rsid w:val="006304C5"/>
    <w:rsid w:val="006308B7"/>
    <w:rsid w:val="00630D0B"/>
    <w:rsid w:val="0063149F"/>
    <w:rsid w:val="006323B1"/>
    <w:rsid w:val="006324A1"/>
    <w:rsid w:val="00632625"/>
    <w:rsid w:val="00632819"/>
    <w:rsid w:val="00632DE6"/>
    <w:rsid w:val="00633EE2"/>
    <w:rsid w:val="00634110"/>
    <w:rsid w:val="006347A7"/>
    <w:rsid w:val="00634C3D"/>
    <w:rsid w:val="00634D4F"/>
    <w:rsid w:val="006356C5"/>
    <w:rsid w:val="00635F97"/>
    <w:rsid w:val="00636866"/>
    <w:rsid w:val="00636EC5"/>
    <w:rsid w:val="006372BA"/>
    <w:rsid w:val="00637313"/>
    <w:rsid w:val="006374C8"/>
    <w:rsid w:val="006379FF"/>
    <w:rsid w:val="00642926"/>
    <w:rsid w:val="00643009"/>
    <w:rsid w:val="006431B7"/>
    <w:rsid w:val="0064335B"/>
    <w:rsid w:val="006437F8"/>
    <w:rsid w:val="006443E8"/>
    <w:rsid w:val="00644DEB"/>
    <w:rsid w:val="006456B6"/>
    <w:rsid w:val="006458E5"/>
    <w:rsid w:val="00645C6C"/>
    <w:rsid w:val="006461C2"/>
    <w:rsid w:val="0064660F"/>
    <w:rsid w:val="0064715A"/>
    <w:rsid w:val="006473AE"/>
    <w:rsid w:val="0064743F"/>
    <w:rsid w:val="006508EC"/>
    <w:rsid w:val="00650A98"/>
    <w:rsid w:val="00650BB3"/>
    <w:rsid w:val="006513A7"/>
    <w:rsid w:val="006513C9"/>
    <w:rsid w:val="006516A9"/>
    <w:rsid w:val="00651808"/>
    <w:rsid w:val="00651AB4"/>
    <w:rsid w:val="00651CCC"/>
    <w:rsid w:val="00653C87"/>
    <w:rsid w:val="00654471"/>
    <w:rsid w:val="00654ADD"/>
    <w:rsid w:val="00655780"/>
    <w:rsid w:val="0065613A"/>
    <w:rsid w:val="00657650"/>
    <w:rsid w:val="00660398"/>
    <w:rsid w:val="0066057F"/>
    <w:rsid w:val="00660A34"/>
    <w:rsid w:val="00660FBD"/>
    <w:rsid w:val="00661D33"/>
    <w:rsid w:val="006623A5"/>
    <w:rsid w:val="00663571"/>
    <w:rsid w:val="006640C4"/>
    <w:rsid w:val="00664C55"/>
    <w:rsid w:val="0066640B"/>
    <w:rsid w:val="00666849"/>
    <w:rsid w:val="00666D3B"/>
    <w:rsid w:val="00666FB0"/>
    <w:rsid w:val="0066706C"/>
    <w:rsid w:val="006672AB"/>
    <w:rsid w:val="006674FE"/>
    <w:rsid w:val="00667940"/>
    <w:rsid w:val="00667C47"/>
    <w:rsid w:val="00667E76"/>
    <w:rsid w:val="0067008F"/>
    <w:rsid w:val="0067020A"/>
    <w:rsid w:val="00670976"/>
    <w:rsid w:val="006714A7"/>
    <w:rsid w:val="006715C2"/>
    <w:rsid w:val="006715E8"/>
    <w:rsid w:val="00671853"/>
    <w:rsid w:val="00671E00"/>
    <w:rsid w:val="0067285F"/>
    <w:rsid w:val="00673327"/>
    <w:rsid w:val="0067349D"/>
    <w:rsid w:val="00673730"/>
    <w:rsid w:val="00673EC1"/>
    <w:rsid w:val="00673ED0"/>
    <w:rsid w:val="0067492E"/>
    <w:rsid w:val="00674A1F"/>
    <w:rsid w:val="00674A2E"/>
    <w:rsid w:val="00674A62"/>
    <w:rsid w:val="0067561A"/>
    <w:rsid w:val="006759BC"/>
    <w:rsid w:val="00675C76"/>
    <w:rsid w:val="00676FC3"/>
    <w:rsid w:val="00676FEC"/>
    <w:rsid w:val="00677667"/>
    <w:rsid w:val="006777EA"/>
    <w:rsid w:val="00680669"/>
    <w:rsid w:val="00680962"/>
    <w:rsid w:val="00680992"/>
    <w:rsid w:val="006814C2"/>
    <w:rsid w:val="00681F45"/>
    <w:rsid w:val="00682679"/>
    <w:rsid w:val="0068296D"/>
    <w:rsid w:val="0068396D"/>
    <w:rsid w:val="006841D1"/>
    <w:rsid w:val="006844AD"/>
    <w:rsid w:val="00684709"/>
    <w:rsid w:val="00684AD7"/>
    <w:rsid w:val="0068568B"/>
    <w:rsid w:val="0068597C"/>
    <w:rsid w:val="00686558"/>
    <w:rsid w:val="00686BA0"/>
    <w:rsid w:val="006905B6"/>
    <w:rsid w:val="006906D7"/>
    <w:rsid w:val="006907A3"/>
    <w:rsid w:val="00690BF3"/>
    <w:rsid w:val="00691EFB"/>
    <w:rsid w:val="0069271A"/>
    <w:rsid w:val="00692AA6"/>
    <w:rsid w:val="00692B94"/>
    <w:rsid w:val="00692BC3"/>
    <w:rsid w:val="00694005"/>
    <w:rsid w:val="006944C0"/>
    <w:rsid w:val="006948ED"/>
    <w:rsid w:val="00694CAA"/>
    <w:rsid w:val="006956D2"/>
    <w:rsid w:val="00695C4B"/>
    <w:rsid w:val="00696314"/>
    <w:rsid w:val="00697484"/>
    <w:rsid w:val="00697611"/>
    <w:rsid w:val="0069773E"/>
    <w:rsid w:val="006A0152"/>
    <w:rsid w:val="006A03E1"/>
    <w:rsid w:val="006A05B5"/>
    <w:rsid w:val="006A15D2"/>
    <w:rsid w:val="006A17AE"/>
    <w:rsid w:val="006A1BB9"/>
    <w:rsid w:val="006A1E66"/>
    <w:rsid w:val="006A2633"/>
    <w:rsid w:val="006A2E40"/>
    <w:rsid w:val="006A3C24"/>
    <w:rsid w:val="006A407F"/>
    <w:rsid w:val="006A5195"/>
    <w:rsid w:val="006A52CD"/>
    <w:rsid w:val="006A5893"/>
    <w:rsid w:val="006A5D26"/>
    <w:rsid w:val="006A67E1"/>
    <w:rsid w:val="006A689C"/>
    <w:rsid w:val="006A75FB"/>
    <w:rsid w:val="006A7FDD"/>
    <w:rsid w:val="006B003C"/>
    <w:rsid w:val="006B00F7"/>
    <w:rsid w:val="006B0457"/>
    <w:rsid w:val="006B0C64"/>
    <w:rsid w:val="006B0D10"/>
    <w:rsid w:val="006B0E05"/>
    <w:rsid w:val="006B0FAD"/>
    <w:rsid w:val="006B1024"/>
    <w:rsid w:val="006B1499"/>
    <w:rsid w:val="006B1984"/>
    <w:rsid w:val="006B2061"/>
    <w:rsid w:val="006B2D5C"/>
    <w:rsid w:val="006B2DC5"/>
    <w:rsid w:val="006B3073"/>
    <w:rsid w:val="006B3215"/>
    <w:rsid w:val="006B36E0"/>
    <w:rsid w:val="006B423F"/>
    <w:rsid w:val="006B46F9"/>
    <w:rsid w:val="006B4A8C"/>
    <w:rsid w:val="006B520A"/>
    <w:rsid w:val="006B53D5"/>
    <w:rsid w:val="006B5C95"/>
    <w:rsid w:val="006B6944"/>
    <w:rsid w:val="006B7108"/>
    <w:rsid w:val="006B7410"/>
    <w:rsid w:val="006C0364"/>
    <w:rsid w:val="006C0658"/>
    <w:rsid w:val="006C0D10"/>
    <w:rsid w:val="006C123E"/>
    <w:rsid w:val="006C12AD"/>
    <w:rsid w:val="006C1500"/>
    <w:rsid w:val="006C1DFA"/>
    <w:rsid w:val="006C20DE"/>
    <w:rsid w:val="006C220C"/>
    <w:rsid w:val="006C24E0"/>
    <w:rsid w:val="006C276C"/>
    <w:rsid w:val="006C2B25"/>
    <w:rsid w:val="006C3035"/>
    <w:rsid w:val="006C4144"/>
    <w:rsid w:val="006C41C8"/>
    <w:rsid w:val="006C438B"/>
    <w:rsid w:val="006C46E0"/>
    <w:rsid w:val="006C4B05"/>
    <w:rsid w:val="006C69EE"/>
    <w:rsid w:val="006C71A2"/>
    <w:rsid w:val="006C72F2"/>
    <w:rsid w:val="006C7C0B"/>
    <w:rsid w:val="006C7CBB"/>
    <w:rsid w:val="006D0097"/>
    <w:rsid w:val="006D00A2"/>
    <w:rsid w:val="006D0512"/>
    <w:rsid w:val="006D092B"/>
    <w:rsid w:val="006D1173"/>
    <w:rsid w:val="006D1724"/>
    <w:rsid w:val="006D1911"/>
    <w:rsid w:val="006D1AF5"/>
    <w:rsid w:val="006D1E18"/>
    <w:rsid w:val="006D1FB9"/>
    <w:rsid w:val="006D245C"/>
    <w:rsid w:val="006D280A"/>
    <w:rsid w:val="006D3A76"/>
    <w:rsid w:val="006D3DBA"/>
    <w:rsid w:val="006D413B"/>
    <w:rsid w:val="006D4A46"/>
    <w:rsid w:val="006D4E22"/>
    <w:rsid w:val="006D5928"/>
    <w:rsid w:val="006D5A12"/>
    <w:rsid w:val="006D5C92"/>
    <w:rsid w:val="006D5F00"/>
    <w:rsid w:val="006D60CC"/>
    <w:rsid w:val="006D615C"/>
    <w:rsid w:val="006E015D"/>
    <w:rsid w:val="006E03C6"/>
    <w:rsid w:val="006E0D69"/>
    <w:rsid w:val="006E115D"/>
    <w:rsid w:val="006E177C"/>
    <w:rsid w:val="006E2017"/>
    <w:rsid w:val="006E22AE"/>
    <w:rsid w:val="006E2606"/>
    <w:rsid w:val="006E2DAE"/>
    <w:rsid w:val="006E3368"/>
    <w:rsid w:val="006E3C91"/>
    <w:rsid w:val="006E47E9"/>
    <w:rsid w:val="006E4BC3"/>
    <w:rsid w:val="006E543F"/>
    <w:rsid w:val="006E585C"/>
    <w:rsid w:val="006E5FA2"/>
    <w:rsid w:val="006E742F"/>
    <w:rsid w:val="006E751E"/>
    <w:rsid w:val="006E76A7"/>
    <w:rsid w:val="006E7A03"/>
    <w:rsid w:val="006F0EEE"/>
    <w:rsid w:val="006F2187"/>
    <w:rsid w:val="006F254F"/>
    <w:rsid w:val="006F25D7"/>
    <w:rsid w:val="006F272F"/>
    <w:rsid w:val="006F2AE2"/>
    <w:rsid w:val="006F2CD9"/>
    <w:rsid w:val="006F37F6"/>
    <w:rsid w:val="006F3E96"/>
    <w:rsid w:val="006F3ECC"/>
    <w:rsid w:val="006F4F4F"/>
    <w:rsid w:val="006F5257"/>
    <w:rsid w:val="006F550B"/>
    <w:rsid w:val="0070008E"/>
    <w:rsid w:val="00700C76"/>
    <w:rsid w:val="00701135"/>
    <w:rsid w:val="00701140"/>
    <w:rsid w:val="00701D61"/>
    <w:rsid w:val="0070288D"/>
    <w:rsid w:val="00702B35"/>
    <w:rsid w:val="00702BF1"/>
    <w:rsid w:val="00703D00"/>
    <w:rsid w:val="00703D90"/>
    <w:rsid w:val="007042B9"/>
    <w:rsid w:val="007042F5"/>
    <w:rsid w:val="0070466E"/>
    <w:rsid w:val="00704FBC"/>
    <w:rsid w:val="007060FF"/>
    <w:rsid w:val="007072A5"/>
    <w:rsid w:val="00707380"/>
    <w:rsid w:val="00707382"/>
    <w:rsid w:val="0070744B"/>
    <w:rsid w:val="0070779F"/>
    <w:rsid w:val="00707982"/>
    <w:rsid w:val="00707E0E"/>
    <w:rsid w:val="00710791"/>
    <w:rsid w:val="00710843"/>
    <w:rsid w:val="00710981"/>
    <w:rsid w:val="00711E8E"/>
    <w:rsid w:val="0071225B"/>
    <w:rsid w:val="00712982"/>
    <w:rsid w:val="00712BF9"/>
    <w:rsid w:val="00712F40"/>
    <w:rsid w:val="0071327C"/>
    <w:rsid w:val="007142D7"/>
    <w:rsid w:val="00714FCB"/>
    <w:rsid w:val="0071509C"/>
    <w:rsid w:val="00715530"/>
    <w:rsid w:val="0071574F"/>
    <w:rsid w:val="00715AC2"/>
    <w:rsid w:val="00715AD5"/>
    <w:rsid w:val="00715C27"/>
    <w:rsid w:val="00715F23"/>
    <w:rsid w:val="007165F8"/>
    <w:rsid w:val="00716668"/>
    <w:rsid w:val="007212A6"/>
    <w:rsid w:val="007212BA"/>
    <w:rsid w:val="007220E8"/>
    <w:rsid w:val="007223AB"/>
    <w:rsid w:val="00722447"/>
    <w:rsid w:val="007225B8"/>
    <w:rsid w:val="007225BE"/>
    <w:rsid w:val="007227F0"/>
    <w:rsid w:val="00722C42"/>
    <w:rsid w:val="00722DB3"/>
    <w:rsid w:val="00723912"/>
    <w:rsid w:val="0072403F"/>
    <w:rsid w:val="0072588E"/>
    <w:rsid w:val="00726B05"/>
    <w:rsid w:val="007271FF"/>
    <w:rsid w:val="00727664"/>
    <w:rsid w:val="00727823"/>
    <w:rsid w:val="007279EC"/>
    <w:rsid w:val="00727C07"/>
    <w:rsid w:val="0073036E"/>
    <w:rsid w:val="007303F2"/>
    <w:rsid w:val="007307F5"/>
    <w:rsid w:val="00730AE7"/>
    <w:rsid w:val="00733F60"/>
    <w:rsid w:val="007342F0"/>
    <w:rsid w:val="007343FF"/>
    <w:rsid w:val="0073466E"/>
    <w:rsid w:val="00734AE3"/>
    <w:rsid w:val="00734D3B"/>
    <w:rsid w:val="0073505C"/>
    <w:rsid w:val="00735372"/>
    <w:rsid w:val="00735BE4"/>
    <w:rsid w:val="00736B2C"/>
    <w:rsid w:val="00736BDA"/>
    <w:rsid w:val="007378F8"/>
    <w:rsid w:val="00737D2D"/>
    <w:rsid w:val="007413FC"/>
    <w:rsid w:val="00741640"/>
    <w:rsid w:val="0074176F"/>
    <w:rsid w:val="00741A47"/>
    <w:rsid w:val="00741F79"/>
    <w:rsid w:val="00741FDD"/>
    <w:rsid w:val="007427C2"/>
    <w:rsid w:val="00742A1E"/>
    <w:rsid w:val="0074323B"/>
    <w:rsid w:val="00743713"/>
    <w:rsid w:val="00744026"/>
    <w:rsid w:val="007447FE"/>
    <w:rsid w:val="00744B54"/>
    <w:rsid w:val="0074510C"/>
    <w:rsid w:val="00745402"/>
    <w:rsid w:val="00745776"/>
    <w:rsid w:val="00745A7E"/>
    <w:rsid w:val="00745D94"/>
    <w:rsid w:val="00745F8B"/>
    <w:rsid w:val="007463AC"/>
    <w:rsid w:val="00746538"/>
    <w:rsid w:val="0074715B"/>
    <w:rsid w:val="007478AC"/>
    <w:rsid w:val="00747E7F"/>
    <w:rsid w:val="00750587"/>
    <w:rsid w:val="00750F04"/>
    <w:rsid w:val="0075165A"/>
    <w:rsid w:val="007516CC"/>
    <w:rsid w:val="00751A55"/>
    <w:rsid w:val="0075207D"/>
    <w:rsid w:val="0075238C"/>
    <w:rsid w:val="007523B2"/>
    <w:rsid w:val="007523DB"/>
    <w:rsid w:val="0075263B"/>
    <w:rsid w:val="00753642"/>
    <w:rsid w:val="00754526"/>
    <w:rsid w:val="00754ACF"/>
    <w:rsid w:val="0075512F"/>
    <w:rsid w:val="00755161"/>
    <w:rsid w:val="00755220"/>
    <w:rsid w:val="00755A96"/>
    <w:rsid w:val="00755D79"/>
    <w:rsid w:val="00756081"/>
    <w:rsid w:val="00756237"/>
    <w:rsid w:val="0075636C"/>
    <w:rsid w:val="0075736B"/>
    <w:rsid w:val="00757A25"/>
    <w:rsid w:val="00757D2A"/>
    <w:rsid w:val="00760460"/>
    <w:rsid w:val="0076085F"/>
    <w:rsid w:val="00761843"/>
    <w:rsid w:val="00761FC7"/>
    <w:rsid w:val="0076313F"/>
    <w:rsid w:val="0076348A"/>
    <w:rsid w:val="0076381D"/>
    <w:rsid w:val="0076509B"/>
    <w:rsid w:val="00765401"/>
    <w:rsid w:val="0076596B"/>
    <w:rsid w:val="00765B9F"/>
    <w:rsid w:val="00765DC7"/>
    <w:rsid w:val="00766C66"/>
    <w:rsid w:val="00766C9A"/>
    <w:rsid w:val="007679B6"/>
    <w:rsid w:val="00767F64"/>
    <w:rsid w:val="00770125"/>
    <w:rsid w:val="007705A8"/>
    <w:rsid w:val="00771293"/>
    <w:rsid w:val="00771482"/>
    <w:rsid w:val="0077189D"/>
    <w:rsid w:val="00772055"/>
    <w:rsid w:val="00772484"/>
    <w:rsid w:val="00772A60"/>
    <w:rsid w:val="0077379B"/>
    <w:rsid w:val="00773B3A"/>
    <w:rsid w:val="00774B43"/>
    <w:rsid w:val="00774F2C"/>
    <w:rsid w:val="007755B4"/>
    <w:rsid w:val="00775BD3"/>
    <w:rsid w:val="0077620F"/>
    <w:rsid w:val="00776227"/>
    <w:rsid w:val="0077649D"/>
    <w:rsid w:val="007765E9"/>
    <w:rsid w:val="00776A06"/>
    <w:rsid w:val="00776AAF"/>
    <w:rsid w:val="0077717F"/>
    <w:rsid w:val="00777356"/>
    <w:rsid w:val="007773DD"/>
    <w:rsid w:val="00777A9A"/>
    <w:rsid w:val="0078007F"/>
    <w:rsid w:val="00780529"/>
    <w:rsid w:val="00780836"/>
    <w:rsid w:val="00780C49"/>
    <w:rsid w:val="007818F0"/>
    <w:rsid w:val="0078203A"/>
    <w:rsid w:val="00782073"/>
    <w:rsid w:val="00782157"/>
    <w:rsid w:val="0078273A"/>
    <w:rsid w:val="00782A5E"/>
    <w:rsid w:val="0078371B"/>
    <w:rsid w:val="00783C96"/>
    <w:rsid w:val="007843AC"/>
    <w:rsid w:val="00784970"/>
    <w:rsid w:val="007852A8"/>
    <w:rsid w:val="00785319"/>
    <w:rsid w:val="007857A3"/>
    <w:rsid w:val="00785829"/>
    <w:rsid w:val="00785E71"/>
    <w:rsid w:val="00786B48"/>
    <w:rsid w:val="00786F55"/>
    <w:rsid w:val="007875B9"/>
    <w:rsid w:val="007876DE"/>
    <w:rsid w:val="0078781A"/>
    <w:rsid w:val="0078790A"/>
    <w:rsid w:val="00787A21"/>
    <w:rsid w:val="007908AC"/>
    <w:rsid w:val="00791AE6"/>
    <w:rsid w:val="00791C68"/>
    <w:rsid w:val="00791D3D"/>
    <w:rsid w:val="00791D99"/>
    <w:rsid w:val="00792096"/>
    <w:rsid w:val="00792834"/>
    <w:rsid w:val="00793790"/>
    <w:rsid w:val="00795DB8"/>
    <w:rsid w:val="00796B57"/>
    <w:rsid w:val="007A0A49"/>
    <w:rsid w:val="007A0BF2"/>
    <w:rsid w:val="007A1F3A"/>
    <w:rsid w:val="007A1F6D"/>
    <w:rsid w:val="007A246B"/>
    <w:rsid w:val="007A31E4"/>
    <w:rsid w:val="007A3504"/>
    <w:rsid w:val="007A3D7E"/>
    <w:rsid w:val="007A3F99"/>
    <w:rsid w:val="007A416F"/>
    <w:rsid w:val="007A486E"/>
    <w:rsid w:val="007A56A0"/>
    <w:rsid w:val="007A5810"/>
    <w:rsid w:val="007A61DE"/>
    <w:rsid w:val="007A66A6"/>
    <w:rsid w:val="007A68F4"/>
    <w:rsid w:val="007A7326"/>
    <w:rsid w:val="007A7783"/>
    <w:rsid w:val="007B02B7"/>
    <w:rsid w:val="007B03DC"/>
    <w:rsid w:val="007B0CA7"/>
    <w:rsid w:val="007B10ED"/>
    <w:rsid w:val="007B147F"/>
    <w:rsid w:val="007B1C5C"/>
    <w:rsid w:val="007B1F8E"/>
    <w:rsid w:val="007B2050"/>
    <w:rsid w:val="007B2F96"/>
    <w:rsid w:val="007B3276"/>
    <w:rsid w:val="007B328A"/>
    <w:rsid w:val="007B484E"/>
    <w:rsid w:val="007B4995"/>
    <w:rsid w:val="007B4B26"/>
    <w:rsid w:val="007B5BFF"/>
    <w:rsid w:val="007B5F18"/>
    <w:rsid w:val="007B62C2"/>
    <w:rsid w:val="007B659B"/>
    <w:rsid w:val="007B6B0F"/>
    <w:rsid w:val="007B73E0"/>
    <w:rsid w:val="007B771C"/>
    <w:rsid w:val="007B79D2"/>
    <w:rsid w:val="007B7F46"/>
    <w:rsid w:val="007B7F8E"/>
    <w:rsid w:val="007C03CA"/>
    <w:rsid w:val="007C03DC"/>
    <w:rsid w:val="007C0BF3"/>
    <w:rsid w:val="007C12BE"/>
    <w:rsid w:val="007C171E"/>
    <w:rsid w:val="007C26EB"/>
    <w:rsid w:val="007C3F8F"/>
    <w:rsid w:val="007C4C17"/>
    <w:rsid w:val="007C4D44"/>
    <w:rsid w:val="007C549B"/>
    <w:rsid w:val="007C567B"/>
    <w:rsid w:val="007C56D1"/>
    <w:rsid w:val="007C589A"/>
    <w:rsid w:val="007C6753"/>
    <w:rsid w:val="007C6891"/>
    <w:rsid w:val="007C7285"/>
    <w:rsid w:val="007C7AC4"/>
    <w:rsid w:val="007D12FB"/>
    <w:rsid w:val="007D1516"/>
    <w:rsid w:val="007D19FE"/>
    <w:rsid w:val="007D1AAF"/>
    <w:rsid w:val="007D1BF9"/>
    <w:rsid w:val="007D2019"/>
    <w:rsid w:val="007D2904"/>
    <w:rsid w:val="007D3440"/>
    <w:rsid w:val="007D3547"/>
    <w:rsid w:val="007D35B1"/>
    <w:rsid w:val="007D3709"/>
    <w:rsid w:val="007D38AE"/>
    <w:rsid w:val="007D54AF"/>
    <w:rsid w:val="007D5949"/>
    <w:rsid w:val="007D5A1A"/>
    <w:rsid w:val="007D5CA7"/>
    <w:rsid w:val="007D5FD3"/>
    <w:rsid w:val="007D5FD6"/>
    <w:rsid w:val="007D612A"/>
    <w:rsid w:val="007D6319"/>
    <w:rsid w:val="007D6511"/>
    <w:rsid w:val="007D67A1"/>
    <w:rsid w:val="007D7607"/>
    <w:rsid w:val="007D7B7E"/>
    <w:rsid w:val="007E02DA"/>
    <w:rsid w:val="007E0911"/>
    <w:rsid w:val="007E12CC"/>
    <w:rsid w:val="007E1BC2"/>
    <w:rsid w:val="007E22EA"/>
    <w:rsid w:val="007E2311"/>
    <w:rsid w:val="007E2F6D"/>
    <w:rsid w:val="007E303D"/>
    <w:rsid w:val="007E3F6A"/>
    <w:rsid w:val="007E4338"/>
    <w:rsid w:val="007E4589"/>
    <w:rsid w:val="007E45FE"/>
    <w:rsid w:val="007E4A8B"/>
    <w:rsid w:val="007E56EC"/>
    <w:rsid w:val="007E589D"/>
    <w:rsid w:val="007E5A21"/>
    <w:rsid w:val="007E6996"/>
    <w:rsid w:val="007E7EBD"/>
    <w:rsid w:val="007F0008"/>
    <w:rsid w:val="007F078E"/>
    <w:rsid w:val="007F10FC"/>
    <w:rsid w:val="007F18D8"/>
    <w:rsid w:val="007F1CFF"/>
    <w:rsid w:val="007F21BD"/>
    <w:rsid w:val="007F2603"/>
    <w:rsid w:val="007F293B"/>
    <w:rsid w:val="007F4735"/>
    <w:rsid w:val="007F47B7"/>
    <w:rsid w:val="007F48E7"/>
    <w:rsid w:val="007F48FD"/>
    <w:rsid w:val="007F4B6A"/>
    <w:rsid w:val="007F4D89"/>
    <w:rsid w:val="007F4ED1"/>
    <w:rsid w:val="007F6217"/>
    <w:rsid w:val="007F663D"/>
    <w:rsid w:val="007F6664"/>
    <w:rsid w:val="007F6BD7"/>
    <w:rsid w:val="007F6EA7"/>
    <w:rsid w:val="007F71C7"/>
    <w:rsid w:val="007F77A8"/>
    <w:rsid w:val="007F791D"/>
    <w:rsid w:val="007F7EB1"/>
    <w:rsid w:val="00800CE2"/>
    <w:rsid w:val="008015AC"/>
    <w:rsid w:val="008024B1"/>
    <w:rsid w:val="0080268E"/>
    <w:rsid w:val="008028A6"/>
    <w:rsid w:val="00802E63"/>
    <w:rsid w:val="00802FB3"/>
    <w:rsid w:val="00803007"/>
    <w:rsid w:val="00803495"/>
    <w:rsid w:val="0080399D"/>
    <w:rsid w:val="00804124"/>
    <w:rsid w:val="0080466C"/>
    <w:rsid w:val="008047DC"/>
    <w:rsid w:val="00805E8B"/>
    <w:rsid w:val="008070D4"/>
    <w:rsid w:val="00807278"/>
    <w:rsid w:val="00807A73"/>
    <w:rsid w:val="0081056B"/>
    <w:rsid w:val="008105FB"/>
    <w:rsid w:val="00810F06"/>
    <w:rsid w:val="00811F41"/>
    <w:rsid w:val="0081241B"/>
    <w:rsid w:val="00812B81"/>
    <w:rsid w:val="00813CF5"/>
    <w:rsid w:val="00815215"/>
    <w:rsid w:val="0081563F"/>
    <w:rsid w:val="00815CA0"/>
    <w:rsid w:val="00816141"/>
    <w:rsid w:val="00816E6F"/>
    <w:rsid w:val="008170A9"/>
    <w:rsid w:val="00817BE2"/>
    <w:rsid w:val="00817C6D"/>
    <w:rsid w:val="00820892"/>
    <w:rsid w:val="008208E1"/>
    <w:rsid w:val="00820FFD"/>
    <w:rsid w:val="0082198F"/>
    <w:rsid w:val="00821CA3"/>
    <w:rsid w:val="00822116"/>
    <w:rsid w:val="008225E7"/>
    <w:rsid w:val="00822C1D"/>
    <w:rsid w:val="00823A49"/>
    <w:rsid w:val="00824B43"/>
    <w:rsid w:val="00824C9A"/>
    <w:rsid w:val="0082541F"/>
    <w:rsid w:val="008256A5"/>
    <w:rsid w:val="00825A00"/>
    <w:rsid w:val="00825BC7"/>
    <w:rsid w:val="00826138"/>
    <w:rsid w:val="008265EE"/>
    <w:rsid w:val="00826D67"/>
    <w:rsid w:val="00826E46"/>
    <w:rsid w:val="00827226"/>
    <w:rsid w:val="00827627"/>
    <w:rsid w:val="00827C2C"/>
    <w:rsid w:val="00827CC5"/>
    <w:rsid w:val="00830781"/>
    <w:rsid w:val="0083124D"/>
    <w:rsid w:val="00831299"/>
    <w:rsid w:val="00831D67"/>
    <w:rsid w:val="0083235F"/>
    <w:rsid w:val="00832CB6"/>
    <w:rsid w:val="00833041"/>
    <w:rsid w:val="008331CB"/>
    <w:rsid w:val="008332E9"/>
    <w:rsid w:val="00833312"/>
    <w:rsid w:val="00833802"/>
    <w:rsid w:val="00833D92"/>
    <w:rsid w:val="00834FA4"/>
    <w:rsid w:val="00835975"/>
    <w:rsid w:val="00835A0F"/>
    <w:rsid w:val="00836E9E"/>
    <w:rsid w:val="00836FBA"/>
    <w:rsid w:val="0083703D"/>
    <w:rsid w:val="00837626"/>
    <w:rsid w:val="00837AF8"/>
    <w:rsid w:val="00837CA2"/>
    <w:rsid w:val="00840281"/>
    <w:rsid w:val="00840434"/>
    <w:rsid w:val="00840812"/>
    <w:rsid w:val="00840C2F"/>
    <w:rsid w:val="00840D9F"/>
    <w:rsid w:val="00840E66"/>
    <w:rsid w:val="00840F5C"/>
    <w:rsid w:val="00841488"/>
    <w:rsid w:val="00841A74"/>
    <w:rsid w:val="008420F5"/>
    <w:rsid w:val="0084260E"/>
    <w:rsid w:val="00842803"/>
    <w:rsid w:val="008432FA"/>
    <w:rsid w:val="008438BF"/>
    <w:rsid w:val="00843DBF"/>
    <w:rsid w:val="00843F82"/>
    <w:rsid w:val="00844833"/>
    <w:rsid w:val="00844ACA"/>
    <w:rsid w:val="008457FF"/>
    <w:rsid w:val="00845B38"/>
    <w:rsid w:val="00845CCE"/>
    <w:rsid w:val="00845E09"/>
    <w:rsid w:val="0084611D"/>
    <w:rsid w:val="008462DE"/>
    <w:rsid w:val="008464F6"/>
    <w:rsid w:val="00846616"/>
    <w:rsid w:val="00846826"/>
    <w:rsid w:val="00846A11"/>
    <w:rsid w:val="00846E9E"/>
    <w:rsid w:val="00847232"/>
    <w:rsid w:val="00847B0F"/>
    <w:rsid w:val="00847E08"/>
    <w:rsid w:val="008501FC"/>
    <w:rsid w:val="00850543"/>
    <w:rsid w:val="0085074B"/>
    <w:rsid w:val="00850D11"/>
    <w:rsid w:val="00850EA9"/>
    <w:rsid w:val="00851EC2"/>
    <w:rsid w:val="008522B1"/>
    <w:rsid w:val="00852801"/>
    <w:rsid w:val="00852C47"/>
    <w:rsid w:val="0085330D"/>
    <w:rsid w:val="00853696"/>
    <w:rsid w:val="008556AF"/>
    <w:rsid w:val="0085590B"/>
    <w:rsid w:val="00855918"/>
    <w:rsid w:val="00855DC3"/>
    <w:rsid w:val="00855FAF"/>
    <w:rsid w:val="008561C9"/>
    <w:rsid w:val="00856384"/>
    <w:rsid w:val="00856D11"/>
    <w:rsid w:val="00857769"/>
    <w:rsid w:val="00857B2C"/>
    <w:rsid w:val="00860A96"/>
    <w:rsid w:val="00860C10"/>
    <w:rsid w:val="00860F28"/>
    <w:rsid w:val="008610FF"/>
    <w:rsid w:val="00861D08"/>
    <w:rsid w:val="0086280E"/>
    <w:rsid w:val="0086289E"/>
    <w:rsid w:val="00862DCD"/>
    <w:rsid w:val="008635C8"/>
    <w:rsid w:val="00863BDB"/>
    <w:rsid w:val="00863EF8"/>
    <w:rsid w:val="0086553F"/>
    <w:rsid w:val="0086587E"/>
    <w:rsid w:val="0086608A"/>
    <w:rsid w:val="00866466"/>
    <w:rsid w:val="0086687E"/>
    <w:rsid w:val="00866DA1"/>
    <w:rsid w:val="00866E66"/>
    <w:rsid w:val="0086717A"/>
    <w:rsid w:val="00867A92"/>
    <w:rsid w:val="00867ACF"/>
    <w:rsid w:val="008702B3"/>
    <w:rsid w:val="008704A9"/>
    <w:rsid w:val="008708F1"/>
    <w:rsid w:val="00870AF1"/>
    <w:rsid w:val="008710AF"/>
    <w:rsid w:val="008711A5"/>
    <w:rsid w:val="0087133F"/>
    <w:rsid w:val="008714D0"/>
    <w:rsid w:val="00871BA3"/>
    <w:rsid w:val="00872569"/>
    <w:rsid w:val="00872932"/>
    <w:rsid w:val="00872D12"/>
    <w:rsid w:val="00874E17"/>
    <w:rsid w:val="00875219"/>
    <w:rsid w:val="00876188"/>
    <w:rsid w:val="00876C6B"/>
    <w:rsid w:val="00876D22"/>
    <w:rsid w:val="00876DE7"/>
    <w:rsid w:val="00877005"/>
    <w:rsid w:val="00877591"/>
    <w:rsid w:val="00880BBE"/>
    <w:rsid w:val="00881232"/>
    <w:rsid w:val="00881400"/>
    <w:rsid w:val="00881476"/>
    <w:rsid w:val="008816F7"/>
    <w:rsid w:val="008819A9"/>
    <w:rsid w:val="00881D2F"/>
    <w:rsid w:val="00882632"/>
    <w:rsid w:val="00882874"/>
    <w:rsid w:val="00882B41"/>
    <w:rsid w:val="00882BF7"/>
    <w:rsid w:val="00882E08"/>
    <w:rsid w:val="008831A7"/>
    <w:rsid w:val="008836C8"/>
    <w:rsid w:val="00883C81"/>
    <w:rsid w:val="00883D32"/>
    <w:rsid w:val="0088442E"/>
    <w:rsid w:val="00884C53"/>
    <w:rsid w:val="008850AA"/>
    <w:rsid w:val="00885A5A"/>
    <w:rsid w:val="008860F6"/>
    <w:rsid w:val="0088618D"/>
    <w:rsid w:val="0088730A"/>
    <w:rsid w:val="00887588"/>
    <w:rsid w:val="008875F7"/>
    <w:rsid w:val="008878BB"/>
    <w:rsid w:val="00887B10"/>
    <w:rsid w:val="00890CB0"/>
    <w:rsid w:val="00890D39"/>
    <w:rsid w:val="00893354"/>
    <w:rsid w:val="008940F4"/>
    <w:rsid w:val="00894AC8"/>
    <w:rsid w:val="00894B95"/>
    <w:rsid w:val="00894D1C"/>
    <w:rsid w:val="008953E6"/>
    <w:rsid w:val="00895842"/>
    <w:rsid w:val="00895B11"/>
    <w:rsid w:val="008961CE"/>
    <w:rsid w:val="00896A88"/>
    <w:rsid w:val="00896B9D"/>
    <w:rsid w:val="00896C6B"/>
    <w:rsid w:val="008970E4"/>
    <w:rsid w:val="00897780"/>
    <w:rsid w:val="0089785F"/>
    <w:rsid w:val="00897A5C"/>
    <w:rsid w:val="00897A6B"/>
    <w:rsid w:val="00897BF3"/>
    <w:rsid w:val="008A036B"/>
    <w:rsid w:val="008A1DFD"/>
    <w:rsid w:val="008A1E97"/>
    <w:rsid w:val="008A1FF9"/>
    <w:rsid w:val="008A2545"/>
    <w:rsid w:val="008A264C"/>
    <w:rsid w:val="008A2AE6"/>
    <w:rsid w:val="008A2BB9"/>
    <w:rsid w:val="008A328F"/>
    <w:rsid w:val="008A3F31"/>
    <w:rsid w:val="008A5029"/>
    <w:rsid w:val="008A515A"/>
    <w:rsid w:val="008A67EE"/>
    <w:rsid w:val="008A6C4B"/>
    <w:rsid w:val="008A6F24"/>
    <w:rsid w:val="008A73AC"/>
    <w:rsid w:val="008A7891"/>
    <w:rsid w:val="008B1E26"/>
    <w:rsid w:val="008B27EC"/>
    <w:rsid w:val="008B3AD8"/>
    <w:rsid w:val="008B3ED1"/>
    <w:rsid w:val="008B463D"/>
    <w:rsid w:val="008B4A5B"/>
    <w:rsid w:val="008B54D0"/>
    <w:rsid w:val="008B5515"/>
    <w:rsid w:val="008B67C0"/>
    <w:rsid w:val="008B7174"/>
    <w:rsid w:val="008B775A"/>
    <w:rsid w:val="008C0417"/>
    <w:rsid w:val="008C04BD"/>
    <w:rsid w:val="008C07FF"/>
    <w:rsid w:val="008C125D"/>
    <w:rsid w:val="008C137C"/>
    <w:rsid w:val="008C14AF"/>
    <w:rsid w:val="008C1C78"/>
    <w:rsid w:val="008C232A"/>
    <w:rsid w:val="008C24B1"/>
    <w:rsid w:val="008C3F23"/>
    <w:rsid w:val="008C44A3"/>
    <w:rsid w:val="008C462B"/>
    <w:rsid w:val="008C4D87"/>
    <w:rsid w:val="008C5915"/>
    <w:rsid w:val="008C5B47"/>
    <w:rsid w:val="008C5C45"/>
    <w:rsid w:val="008C5FA6"/>
    <w:rsid w:val="008C6491"/>
    <w:rsid w:val="008C667B"/>
    <w:rsid w:val="008C680E"/>
    <w:rsid w:val="008C6926"/>
    <w:rsid w:val="008C7119"/>
    <w:rsid w:val="008D01D3"/>
    <w:rsid w:val="008D02FC"/>
    <w:rsid w:val="008D08A6"/>
    <w:rsid w:val="008D0B13"/>
    <w:rsid w:val="008D191F"/>
    <w:rsid w:val="008D26B8"/>
    <w:rsid w:val="008D2F81"/>
    <w:rsid w:val="008D36A0"/>
    <w:rsid w:val="008D3AD2"/>
    <w:rsid w:val="008D3CF6"/>
    <w:rsid w:val="008D3D56"/>
    <w:rsid w:val="008D4B2F"/>
    <w:rsid w:val="008D501F"/>
    <w:rsid w:val="008D5F48"/>
    <w:rsid w:val="008D6461"/>
    <w:rsid w:val="008D6830"/>
    <w:rsid w:val="008D6B02"/>
    <w:rsid w:val="008D758A"/>
    <w:rsid w:val="008D75CD"/>
    <w:rsid w:val="008E05DE"/>
    <w:rsid w:val="008E1390"/>
    <w:rsid w:val="008E14FF"/>
    <w:rsid w:val="008E18EA"/>
    <w:rsid w:val="008E1988"/>
    <w:rsid w:val="008E2211"/>
    <w:rsid w:val="008E2516"/>
    <w:rsid w:val="008E2630"/>
    <w:rsid w:val="008E28D3"/>
    <w:rsid w:val="008E3055"/>
    <w:rsid w:val="008E33CC"/>
    <w:rsid w:val="008E3695"/>
    <w:rsid w:val="008E37B5"/>
    <w:rsid w:val="008E43FB"/>
    <w:rsid w:val="008E443D"/>
    <w:rsid w:val="008E4F71"/>
    <w:rsid w:val="008E5662"/>
    <w:rsid w:val="008E568A"/>
    <w:rsid w:val="008E5AFF"/>
    <w:rsid w:val="008E6170"/>
    <w:rsid w:val="008E6B33"/>
    <w:rsid w:val="008E7424"/>
    <w:rsid w:val="008E777D"/>
    <w:rsid w:val="008F01D5"/>
    <w:rsid w:val="008F0868"/>
    <w:rsid w:val="008F09AE"/>
    <w:rsid w:val="008F1844"/>
    <w:rsid w:val="008F2511"/>
    <w:rsid w:val="008F2D73"/>
    <w:rsid w:val="008F3726"/>
    <w:rsid w:val="008F3B5B"/>
    <w:rsid w:val="008F3F5A"/>
    <w:rsid w:val="008F451A"/>
    <w:rsid w:val="008F5B44"/>
    <w:rsid w:val="008F6682"/>
    <w:rsid w:val="008F796E"/>
    <w:rsid w:val="008F7A1F"/>
    <w:rsid w:val="00900523"/>
    <w:rsid w:val="00900648"/>
    <w:rsid w:val="0090081E"/>
    <w:rsid w:val="009009FB"/>
    <w:rsid w:val="00900C53"/>
    <w:rsid w:val="00901547"/>
    <w:rsid w:val="00901570"/>
    <w:rsid w:val="00902631"/>
    <w:rsid w:val="00903EA7"/>
    <w:rsid w:val="009049A5"/>
    <w:rsid w:val="00904D5F"/>
    <w:rsid w:val="009051E7"/>
    <w:rsid w:val="009054ED"/>
    <w:rsid w:val="00905AB3"/>
    <w:rsid w:val="009069AE"/>
    <w:rsid w:val="00906A03"/>
    <w:rsid w:val="00906CC8"/>
    <w:rsid w:val="00907CB5"/>
    <w:rsid w:val="00907CE6"/>
    <w:rsid w:val="00910076"/>
    <w:rsid w:val="00910A5C"/>
    <w:rsid w:val="009115A9"/>
    <w:rsid w:val="009118FB"/>
    <w:rsid w:val="00911B31"/>
    <w:rsid w:val="00911B5F"/>
    <w:rsid w:val="00911B7B"/>
    <w:rsid w:val="00912739"/>
    <w:rsid w:val="00912B18"/>
    <w:rsid w:val="00913197"/>
    <w:rsid w:val="00913927"/>
    <w:rsid w:val="00913DCC"/>
    <w:rsid w:val="00914000"/>
    <w:rsid w:val="009142DF"/>
    <w:rsid w:val="0091479F"/>
    <w:rsid w:val="00914E3B"/>
    <w:rsid w:val="00915416"/>
    <w:rsid w:val="009154BD"/>
    <w:rsid w:val="00915A2A"/>
    <w:rsid w:val="00916192"/>
    <w:rsid w:val="00916946"/>
    <w:rsid w:val="00916961"/>
    <w:rsid w:val="00916E6F"/>
    <w:rsid w:val="009171EB"/>
    <w:rsid w:val="009172D4"/>
    <w:rsid w:val="00917FE5"/>
    <w:rsid w:val="009216F9"/>
    <w:rsid w:val="00921B11"/>
    <w:rsid w:val="00921F0A"/>
    <w:rsid w:val="009222DC"/>
    <w:rsid w:val="00922891"/>
    <w:rsid w:val="00922975"/>
    <w:rsid w:val="00922DDD"/>
    <w:rsid w:val="00923749"/>
    <w:rsid w:val="0092376B"/>
    <w:rsid w:val="00923EEF"/>
    <w:rsid w:val="00924106"/>
    <w:rsid w:val="009242FE"/>
    <w:rsid w:val="009247CB"/>
    <w:rsid w:val="00925C49"/>
    <w:rsid w:val="009267F6"/>
    <w:rsid w:val="00926B92"/>
    <w:rsid w:val="00927346"/>
    <w:rsid w:val="009275A5"/>
    <w:rsid w:val="009303A5"/>
    <w:rsid w:val="00930E4A"/>
    <w:rsid w:val="00930EF5"/>
    <w:rsid w:val="00932129"/>
    <w:rsid w:val="0093241A"/>
    <w:rsid w:val="0093285C"/>
    <w:rsid w:val="0093294E"/>
    <w:rsid w:val="009330E0"/>
    <w:rsid w:val="00933168"/>
    <w:rsid w:val="009339FD"/>
    <w:rsid w:val="0093431F"/>
    <w:rsid w:val="00934A2C"/>
    <w:rsid w:val="00935358"/>
    <w:rsid w:val="00935ABB"/>
    <w:rsid w:val="00935B93"/>
    <w:rsid w:val="00936AB1"/>
    <w:rsid w:val="009374FE"/>
    <w:rsid w:val="00937F5B"/>
    <w:rsid w:val="00940404"/>
    <w:rsid w:val="00940876"/>
    <w:rsid w:val="009409F5"/>
    <w:rsid w:val="00940E74"/>
    <w:rsid w:val="009412CF"/>
    <w:rsid w:val="00941916"/>
    <w:rsid w:val="00941BAF"/>
    <w:rsid w:val="00942044"/>
    <w:rsid w:val="0094278E"/>
    <w:rsid w:val="0094383D"/>
    <w:rsid w:val="0094585A"/>
    <w:rsid w:val="00946617"/>
    <w:rsid w:val="00946776"/>
    <w:rsid w:val="00946BC8"/>
    <w:rsid w:val="009475CD"/>
    <w:rsid w:val="0094795F"/>
    <w:rsid w:val="0095046F"/>
    <w:rsid w:val="009504FF"/>
    <w:rsid w:val="0095068A"/>
    <w:rsid w:val="00950BDE"/>
    <w:rsid w:val="00950DFA"/>
    <w:rsid w:val="00950E28"/>
    <w:rsid w:val="00951C7C"/>
    <w:rsid w:val="00951CE6"/>
    <w:rsid w:val="009523B0"/>
    <w:rsid w:val="00952A2F"/>
    <w:rsid w:val="00952E7C"/>
    <w:rsid w:val="00953A04"/>
    <w:rsid w:val="00953E28"/>
    <w:rsid w:val="009553C1"/>
    <w:rsid w:val="0095563B"/>
    <w:rsid w:val="00955A5D"/>
    <w:rsid w:val="00955FB8"/>
    <w:rsid w:val="009561CA"/>
    <w:rsid w:val="00956A37"/>
    <w:rsid w:val="009578BB"/>
    <w:rsid w:val="009578E5"/>
    <w:rsid w:val="00960A97"/>
    <w:rsid w:val="00961C33"/>
    <w:rsid w:val="00962193"/>
    <w:rsid w:val="009627F1"/>
    <w:rsid w:val="00962E04"/>
    <w:rsid w:val="00963C83"/>
    <w:rsid w:val="00963EC4"/>
    <w:rsid w:val="00964871"/>
    <w:rsid w:val="009648BE"/>
    <w:rsid w:val="00964954"/>
    <w:rsid w:val="00964B8E"/>
    <w:rsid w:val="00964CBA"/>
    <w:rsid w:val="00965165"/>
    <w:rsid w:val="00965DFA"/>
    <w:rsid w:val="009666A7"/>
    <w:rsid w:val="00966862"/>
    <w:rsid w:val="0096692C"/>
    <w:rsid w:val="009669DB"/>
    <w:rsid w:val="009672E2"/>
    <w:rsid w:val="00967F42"/>
    <w:rsid w:val="0097040E"/>
    <w:rsid w:val="009708CC"/>
    <w:rsid w:val="00972421"/>
    <w:rsid w:val="00972CE7"/>
    <w:rsid w:val="0097313C"/>
    <w:rsid w:val="00973193"/>
    <w:rsid w:val="00973210"/>
    <w:rsid w:val="00973B59"/>
    <w:rsid w:val="00973B63"/>
    <w:rsid w:val="00973DF3"/>
    <w:rsid w:val="00973F0B"/>
    <w:rsid w:val="009740F9"/>
    <w:rsid w:val="00974173"/>
    <w:rsid w:val="00974B5C"/>
    <w:rsid w:val="00975115"/>
    <w:rsid w:val="0097516D"/>
    <w:rsid w:val="009751C8"/>
    <w:rsid w:val="009759B5"/>
    <w:rsid w:val="00977C29"/>
    <w:rsid w:val="009804AF"/>
    <w:rsid w:val="00980A17"/>
    <w:rsid w:val="00980EDA"/>
    <w:rsid w:val="00981715"/>
    <w:rsid w:val="00982116"/>
    <w:rsid w:val="00982F1F"/>
    <w:rsid w:val="00982FE3"/>
    <w:rsid w:val="00982FE7"/>
    <w:rsid w:val="0098321D"/>
    <w:rsid w:val="00983AFD"/>
    <w:rsid w:val="00984480"/>
    <w:rsid w:val="00984DD8"/>
    <w:rsid w:val="009863FF"/>
    <w:rsid w:val="00986466"/>
    <w:rsid w:val="009869B6"/>
    <w:rsid w:val="00986C87"/>
    <w:rsid w:val="00987C3A"/>
    <w:rsid w:val="009903C9"/>
    <w:rsid w:val="00990E25"/>
    <w:rsid w:val="00990EA7"/>
    <w:rsid w:val="00991040"/>
    <w:rsid w:val="00991DA7"/>
    <w:rsid w:val="00991EF4"/>
    <w:rsid w:val="009923DB"/>
    <w:rsid w:val="00992493"/>
    <w:rsid w:val="0099255F"/>
    <w:rsid w:val="009926AD"/>
    <w:rsid w:val="009927AC"/>
    <w:rsid w:val="00993215"/>
    <w:rsid w:val="00993FAB"/>
    <w:rsid w:val="009944A8"/>
    <w:rsid w:val="00994BE4"/>
    <w:rsid w:val="009955B7"/>
    <w:rsid w:val="00997FD1"/>
    <w:rsid w:val="009A1106"/>
    <w:rsid w:val="009A1203"/>
    <w:rsid w:val="009A1738"/>
    <w:rsid w:val="009A1907"/>
    <w:rsid w:val="009A1DA5"/>
    <w:rsid w:val="009A1DAE"/>
    <w:rsid w:val="009A2499"/>
    <w:rsid w:val="009A261A"/>
    <w:rsid w:val="009A28BA"/>
    <w:rsid w:val="009A41AD"/>
    <w:rsid w:val="009A527A"/>
    <w:rsid w:val="009A550D"/>
    <w:rsid w:val="009A5B7A"/>
    <w:rsid w:val="009A5CAB"/>
    <w:rsid w:val="009A6016"/>
    <w:rsid w:val="009A6227"/>
    <w:rsid w:val="009A655F"/>
    <w:rsid w:val="009A688E"/>
    <w:rsid w:val="009A7533"/>
    <w:rsid w:val="009A7B76"/>
    <w:rsid w:val="009A7EB1"/>
    <w:rsid w:val="009B10B8"/>
    <w:rsid w:val="009B1281"/>
    <w:rsid w:val="009B1B98"/>
    <w:rsid w:val="009B1DB4"/>
    <w:rsid w:val="009B21D3"/>
    <w:rsid w:val="009B32FD"/>
    <w:rsid w:val="009B39BA"/>
    <w:rsid w:val="009B4311"/>
    <w:rsid w:val="009B453B"/>
    <w:rsid w:val="009B4913"/>
    <w:rsid w:val="009B4B99"/>
    <w:rsid w:val="009B66B1"/>
    <w:rsid w:val="009B67D9"/>
    <w:rsid w:val="009B6A19"/>
    <w:rsid w:val="009B6EE2"/>
    <w:rsid w:val="009B71AD"/>
    <w:rsid w:val="009B792D"/>
    <w:rsid w:val="009C0062"/>
    <w:rsid w:val="009C12B0"/>
    <w:rsid w:val="009C1BF9"/>
    <w:rsid w:val="009C1CFF"/>
    <w:rsid w:val="009C20D7"/>
    <w:rsid w:val="009C2B28"/>
    <w:rsid w:val="009C3C39"/>
    <w:rsid w:val="009C710F"/>
    <w:rsid w:val="009C770D"/>
    <w:rsid w:val="009C7BC6"/>
    <w:rsid w:val="009C7D9A"/>
    <w:rsid w:val="009D0209"/>
    <w:rsid w:val="009D1871"/>
    <w:rsid w:val="009D1923"/>
    <w:rsid w:val="009D2559"/>
    <w:rsid w:val="009D3996"/>
    <w:rsid w:val="009D3C8E"/>
    <w:rsid w:val="009D3F10"/>
    <w:rsid w:val="009D55BC"/>
    <w:rsid w:val="009D59A9"/>
    <w:rsid w:val="009D6516"/>
    <w:rsid w:val="009D6543"/>
    <w:rsid w:val="009D6B68"/>
    <w:rsid w:val="009D6D76"/>
    <w:rsid w:val="009D7318"/>
    <w:rsid w:val="009E04C3"/>
    <w:rsid w:val="009E0E55"/>
    <w:rsid w:val="009E10C5"/>
    <w:rsid w:val="009E2584"/>
    <w:rsid w:val="009E299A"/>
    <w:rsid w:val="009E37B0"/>
    <w:rsid w:val="009E3B8E"/>
    <w:rsid w:val="009E3BF3"/>
    <w:rsid w:val="009E4B24"/>
    <w:rsid w:val="009E4BB9"/>
    <w:rsid w:val="009E5794"/>
    <w:rsid w:val="009E57E5"/>
    <w:rsid w:val="009E5943"/>
    <w:rsid w:val="009E5A04"/>
    <w:rsid w:val="009E5B1D"/>
    <w:rsid w:val="009E6A1D"/>
    <w:rsid w:val="009E6B05"/>
    <w:rsid w:val="009E7B20"/>
    <w:rsid w:val="009F0A65"/>
    <w:rsid w:val="009F1BF2"/>
    <w:rsid w:val="009F2803"/>
    <w:rsid w:val="009F40B6"/>
    <w:rsid w:val="009F447F"/>
    <w:rsid w:val="009F50DB"/>
    <w:rsid w:val="009F6023"/>
    <w:rsid w:val="009F6E24"/>
    <w:rsid w:val="009F6E32"/>
    <w:rsid w:val="009F6E69"/>
    <w:rsid w:val="009F720A"/>
    <w:rsid w:val="009F742F"/>
    <w:rsid w:val="00A004F0"/>
    <w:rsid w:val="00A00BCE"/>
    <w:rsid w:val="00A010D4"/>
    <w:rsid w:val="00A01469"/>
    <w:rsid w:val="00A01755"/>
    <w:rsid w:val="00A01A3E"/>
    <w:rsid w:val="00A01DF0"/>
    <w:rsid w:val="00A022EA"/>
    <w:rsid w:val="00A0252F"/>
    <w:rsid w:val="00A033A4"/>
    <w:rsid w:val="00A038F4"/>
    <w:rsid w:val="00A03DA8"/>
    <w:rsid w:val="00A03DCA"/>
    <w:rsid w:val="00A04164"/>
    <w:rsid w:val="00A041F8"/>
    <w:rsid w:val="00A04E66"/>
    <w:rsid w:val="00A05D37"/>
    <w:rsid w:val="00A067FE"/>
    <w:rsid w:val="00A06E51"/>
    <w:rsid w:val="00A06E60"/>
    <w:rsid w:val="00A06EC7"/>
    <w:rsid w:val="00A07162"/>
    <w:rsid w:val="00A07C15"/>
    <w:rsid w:val="00A10B50"/>
    <w:rsid w:val="00A11FD7"/>
    <w:rsid w:val="00A13884"/>
    <w:rsid w:val="00A139DA"/>
    <w:rsid w:val="00A150EA"/>
    <w:rsid w:val="00A16B44"/>
    <w:rsid w:val="00A17956"/>
    <w:rsid w:val="00A2068B"/>
    <w:rsid w:val="00A20E2D"/>
    <w:rsid w:val="00A210FA"/>
    <w:rsid w:val="00A2123A"/>
    <w:rsid w:val="00A213DA"/>
    <w:rsid w:val="00A223CE"/>
    <w:rsid w:val="00A224B3"/>
    <w:rsid w:val="00A22834"/>
    <w:rsid w:val="00A239B7"/>
    <w:rsid w:val="00A24C9A"/>
    <w:rsid w:val="00A24DC0"/>
    <w:rsid w:val="00A24F11"/>
    <w:rsid w:val="00A25172"/>
    <w:rsid w:val="00A25532"/>
    <w:rsid w:val="00A262F3"/>
    <w:rsid w:val="00A303CF"/>
    <w:rsid w:val="00A3060F"/>
    <w:rsid w:val="00A3075E"/>
    <w:rsid w:val="00A3237B"/>
    <w:rsid w:val="00A3264E"/>
    <w:rsid w:val="00A32D21"/>
    <w:rsid w:val="00A32D48"/>
    <w:rsid w:val="00A33197"/>
    <w:rsid w:val="00A336E2"/>
    <w:rsid w:val="00A33DED"/>
    <w:rsid w:val="00A33E31"/>
    <w:rsid w:val="00A34429"/>
    <w:rsid w:val="00A344ED"/>
    <w:rsid w:val="00A346A0"/>
    <w:rsid w:val="00A351BF"/>
    <w:rsid w:val="00A352F7"/>
    <w:rsid w:val="00A35DD5"/>
    <w:rsid w:val="00A36869"/>
    <w:rsid w:val="00A3739C"/>
    <w:rsid w:val="00A37458"/>
    <w:rsid w:val="00A37EDB"/>
    <w:rsid w:val="00A42DD6"/>
    <w:rsid w:val="00A4342F"/>
    <w:rsid w:val="00A43CB0"/>
    <w:rsid w:val="00A44C5B"/>
    <w:rsid w:val="00A45655"/>
    <w:rsid w:val="00A45CA2"/>
    <w:rsid w:val="00A46572"/>
    <w:rsid w:val="00A46ED3"/>
    <w:rsid w:val="00A46EDF"/>
    <w:rsid w:val="00A4717F"/>
    <w:rsid w:val="00A47742"/>
    <w:rsid w:val="00A47F33"/>
    <w:rsid w:val="00A5122D"/>
    <w:rsid w:val="00A51316"/>
    <w:rsid w:val="00A520B1"/>
    <w:rsid w:val="00A531BC"/>
    <w:rsid w:val="00A53BD8"/>
    <w:rsid w:val="00A541EC"/>
    <w:rsid w:val="00A552AF"/>
    <w:rsid w:val="00A55877"/>
    <w:rsid w:val="00A56E6C"/>
    <w:rsid w:val="00A579D8"/>
    <w:rsid w:val="00A57A84"/>
    <w:rsid w:val="00A602CD"/>
    <w:rsid w:val="00A60AE7"/>
    <w:rsid w:val="00A60C38"/>
    <w:rsid w:val="00A622EB"/>
    <w:rsid w:val="00A62AC0"/>
    <w:rsid w:val="00A62EB6"/>
    <w:rsid w:val="00A6344C"/>
    <w:rsid w:val="00A634EE"/>
    <w:rsid w:val="00A6400E"/>
    <w:rsid w:val="00A64D1D"/>
    <w:rsid w:val="00A652D7"/>
    <w:rsid w:val="00A65C6C"/>
    <w:rsid w:val="00A66239"/>
    <w:rsid w:val="00A6639E"/>
    <w:rsid w:val="00A66AFD"/>
    <w:rsid w:val="00A70A47"/>
    <w:rsid w:val="00A70B7D"/>
    <w:rsid w:val="00A70C24"/>
    <w:rsid w:val="00A710AB"/>
    <w:rsid w:val="00A71A20"/>
    <w:rsid w:val="00A7286D"/>
    <w:rsid w:val="00A72887"/>
    <w:rsid w:val="00A7440C"/>
    <w:rsid w:val="00A74CD9"/>
    <w:rsid w:val="00A74EEB"/>
    <w:rsid w:val="00A75291"/>
    <w:rsid w:val="00A75439"/>
    <w:rsid w:val="00A755E7"/>
    <w:rsid w:val="00A75BE1"/>
    <w:rsid w:val="00A76D44"/>
    <w:rsid w:val="00A76F41"/>
    <w:rsid w:val="00A779F7"/>
    <w:rsid w:val="00A80260"/>
    <w:rsid w:val="00A8173B"/>
    <w:rsid w:val="00A825DD"/>
    <w:rsid w:val="00A82F6A"/>
    <w:rsid w:val="00A8382C"/>
    <w:rsid w:val="00A83A4C"/>
    <w:rsid w:val="00A83D59"/>
    <w:rsid w:val="00A84062"/>
    <w:rsid w:val="00A84662"/>
    <w:rsid w:val="00A847BD"/>
    <w:rsid w:val="00A84F7B"/>
    <w:rsid w:val="00A85364"/>
    <w:rsid w:val="00A8596D"/>
    <w:rsid w:val="00A85B10"/>
    <w:rsid w:val="00A86177"/>
    <w:rsid w:val="00A86C5C"/>
    <w:rsid w:val="00A86E25"/>
    <w:rsid w:val="00A86FF9"/>
    <w:rsid w:val="00A8763A"/>
    <w:rsid w:val="00A8774E"/>
    <w:rsid w:val="00A90165"/>
    <w:rsid w:val="00A90680"/>
    <w:rsid w:val="00A90C8B"/>
    <w:rsid w:val="00A91680"/>
    <w:rsid w:val="00A91C64"/>
    <w:rsid w:val="00A9222D"/>
    <w:rsid w:val="00A92320"/>
    <w:rsid w:val="00A9268E"/>
    <w:rsid w:val="00A932EC"/>
    <w:rsid w:val="00A932FA"/>
    <w:rsid w:val="00A93B4D"/>
    <w:rsid w:val="00A93BCC"/>
    <w:rsid w:val="00A94E6D"/>
    <w:rsid w:val="00A950B7"/>
    <w:rsid w:val="00A956D6"/>
    <w:rsid w:val="00A95B65"/>
    <w:rsid w:val="00A95E0A"/>
    <w:rsid w:val="00A96035"/>
    <w:rsid w:val="00A9699B"/>
    <w:rsid w:val="00A96B77"/>
    <w:rsid w:val="00A97068"/>
    <w:rsid w:val="00A979D3"/>
    <w:rsid w:val="00AA0303"/>
    <w:rsid w:val="00AA04FA"/>
    <w:rsid w:val="00AA225E"/>
    <w:rsid w:val="00AA24EE"/>
    <w:rsid w:val="00AA2AFC"/>
    <w:rsid w:val="00AA2D96"/>
    <w:rsid w:val="00AA33AA"/>
    <w:rsid w:val="00AA39DD"/>
    <w:rsid w:val="00AA4240"/>
    <w:rsid w:val="00AA4242"/>
    <w:rsid w:val="00AA4AA2"/>
    <w:rsid w:val="00AA4E4E"/>
    <w:rsid w:val="00AA4F27"/>
    <w:rsid w:val="00AA512B"/>
    <w:rsid w:val="00AA5A71"/>
    <w:rsid w:val="00AA61CF"/>
    <w:rsid w:val="00AA69C3"/>
    <w:rsid w:val="00AA6AC0"/>
    <w:rsid w:val="00AA6DB4"/>
    <w:rsid w:val="00AA7BB7"/>
    <w:rsid w:val="00AA7D06"/>
    <w:rsid w:val="00AA7E34"/>
    <w:rsid w:val="00AB02A2"/>
    <w:rsid w:val="00AB1072"/>
    <w:rsid w:val="00AB171F"/>
    <w:rsid w:val="00AB1FD0"/>
    <w:rsid w:val="00AB2128"/>
    <w:rsid w:val="00AB2572"/>
    <w:rsid w:val="00AB2619"/>
    <w:rsid w:val="00AB2B9A"/>
    <w:rsid w:val="00AB2E3B"/>
    <w:rsid w:val="00AB3538"/>
    <w:rsid w:val="00AB3911"/>
    <w:rsid w:val="00AB3948"/>
    <w:rsid w:val="00AB3D3F"/>
    <w:rsid w:val="00AB41A9"/>
    <w:rsid w:val="00AB4352"/>
    <w:rsid w:val="00AB49C1"/>
    <w:rsid w:val="00AB4A12"/>
    <w:rsid w:val="00AB5A6D"/>
    <w:rsid w:val="00AB6225"/>
    <w:rsid w:val="00AB6676"/>
    <w:rsid w:val="00AB6A46"/>
    <w:rsid w:val="00AB6E74"/>
    <w:rsid w:val="00AB76BF"/>
    <w:rsid w:val="00AB7847"/>
    <w:rsid w:val="00AB7B24"/>
    <w:rsid w:val="00AB7E6C"/>
    <w:rsid w:val="00AC09EB"/>
    <w:rsid w:val="00AC0EA1"/>
    <w:rsid w:val="00AC142C"/>
    <w:rsid w:val="00AC17E9"/>
    <w:rsid w:val="00AC1F0C"/>
    <w:rsid w:val="00AC2F08"/>
    <w:rsid w:val="00AC2F51"/>
    <w:rsid w:val="00AC3CEA"/>
    <w:rsid w:val="00AC4150"/>
    <w:rsid w:val="00AC4BBE"/>
    <w:rsid w:val="00AC50EE"/>
    <w:rsid w:val="00AC52BC"/>
    <w:rsid w:val="00AC5677"/>
    <w:rsid w:val="00AC647B"/>
    <w:rsid w:val="00AC6E29"/>
    <w:rsid w:val="00AC72B9"/>
    <w:rsid w:val="00AC7B97"/>
    <w:rsid w:val="00AD00A1"/>
    <w:rsid w:val="00AD0243"/>
    <w:rsid w:val="00AD0849"/>
    <w:rsid w:val="00AD0EF7"/>
    <w:rsid w:val="00AD1164"/>
    <w:rsid w:val="00AD1558"/>
    <w:rsid w:val="00AD16A1"/>
    <w:rsid w:val="00AD1784"/>
    <w:rsid w:val="00AD1DFB"/>
    <w:rsid w:val="00AD20DA"/>
    <w:rsid w:val="00AD2B0A"/>
    <w:rsid w:val="00AD2F7F"/>
    <w:rsid w:val="00AD382B"/>
    <w:rsid w:val="00AD3CF7"/>
    <w:rsid w:val="00AD505C"/>
    <w:rsid w:val="00AD5433"/>
    <w:rsid w:val="00AD5691"/>
    <w:rsid w:val="00AD5F28"/>
    <w:rsid w:val="00AD60C2"/>
    <w:rsid w:val="00AD734D"/>
    <w:rsid w:val="00AD7663"/>
    <w:rsid w:val="00AE05A5"/>
    <w:rsid w:val="00AE05FC"/>
    <w:rsid w:val="00AE0EFB"/>
    <w:rsid w:val="00AE166C"/>
    <w:rsid w:val="00AE1A8F"/>
    <w:rsid w:val="00AE24C9"/>
    <w:rsid w:val="00AE2620"/>
    <w:rsid w:val="00AE29FA"/>
    <w:rsid w:val="00AE2F6F"/>
    <w:rsid w:val="00AE3898"/>
    <w:rsid w:val="00AE3BD2"/>
    <w:rsid w:val="00AE3E47"/>
    <w:rsid w:val="00AE45C5"/>
    <w:rsid w:val="00AE4668"/>
    <w:rsid w:val="00AE46FC"/>
    <w:rsid w:val="00AE4E33"/>
    <w:rsid w:val="00AE5373"/>
    <w:rsid w:val="00AE5B36"/>
    <w:rsid w:val="00AE5B5B"/>
    <w:rsid w:val="00AE7114"/>
    <w:rsid w:val="00AE7806"/>
    <w:rsid w:val="00AE7856"/>
    <w:rsid w:val="00AE7C48"/>
    <w:rsid w:val="00AE7D46"/>
    <w:rsid w:val="00AE7E7A"/>
    <w:rsid w:val="00AF0078"/>
    <w:rsid w:val="00AF0808"/>
    <w:rsid w:val="00AF0BD9"/>
    <w:rsid w:val="00AF0EB8"/>
    <w:rsid w:val="00AF1970"/>
    <w:rsid w:val="00AF1DC6"/>
    <w:rsid w:val="00AF2781"/>
    <w:rsid w:val="00AF290B"/>
    <w:rsid w:val="00AF2F08"/>
    <w:rsid w:val="00AF3383"/>
    <w:rsid w:val="00AF343E"/>
    <w:rsid w:val="00AF3E62"/>
    <w:rsid w:val="00AF4B24"/>
    <w:rsid w:val="00AF4BE3"/>
    <w:rsid w:val="00AF5348"/>
    <w:rsid w:val="00AF57DA"/>
    <w:rsid w:val="00AF5851"/>
    <w:rsid w:val="00AF5912"/>
    <w:rsid w:val="00AF5A85"/>
    <w:rsid w:val="00AF5EDD"/>
    <w:rsid w:val="00AF626D"/>
    <w:rsid w:val="00AF6900"/>
    <w:rsid w:val="00AF71F4"/>
    <w:rsid w:val="00AF788D"/>
    <w:rsid w:val="00AF7A6C"/>
    <w:rsid w:val="00AF7C1F"/>
    <w:rsid w:val="00B008DC"/>
    <w:rsid w:val="00B0105A"/>
    <w:rsid w:val="00B0185E"/>
    <w:rsid w:val="00B01CEB"/>
    <w:rsid w:val="00B037BE"/>
    <w:rsid w:val="00B03A6F"/>
    <w:rsid w:val="00B03D19"/>
    <w:rsid w:val="00B04E75"/>
    <w:rsid w:val="00B05A84"/>
    <w:rsid w:val="00B05CC0"/>
    <w:rsid w:val="00B05D38"/>
    <w:rsid w:val="00B06033"/>
    <w:rsid w:val="00B06428"/>
    <w:rsid w:val="00B06963"/>
    <w:rsid w:val="00B07029"/>
    <w:rsid w:val="00B07215"/>
    <w:rsid w:val="00B10017"/>
    <w:rsid w:val="00B109AA"/>
    <w:rsid w:val="00B1145C"/>
    <w:rsid w:val="00B11779"/>
    <w:rsid w:val="00B11DA3"/>
    <w:rsid w:val="00B12292"/>
    <w:rsid w:val="00B1246A"/>
    <w:rsid w:val="00B12CF8"/>
    <w:rsid w:val="00B130C8"/>
    <w:rsid w:val="00B13154"/>
    <w:rsid w:val="00B13287"/>
    <w:rsid w:val="00B139F0"/>
    <w:rsid w:val="00B13BC8"/>
    <w:rsid w:val="00B14765"/>
    <w:rsid w:val="00B1477B"/>
    <w:rsid w:val="00B14B8D"/>
    <w:rsid w:val="00B1555A"/>
    <w:rsid w:val="00B1569E"/>
    <w:rsid w:val="00B15C1B"/>
    <w:rsid w:val="00B16631"/>
    <w:rsid w:val="00B20AF0"/>
    <w:rsid w:val="00B2120C"/>
    <w:rsid w:val="00B2132F"/>
    <w:rsid w:val="00B220D9"/>
    <w:rsid w:val="00B2258E"/>
    <w:rsid w:val="00B22A66"/>
    <w:rsid w:val="00B22AC2"/>
    <w:rsid w:val="00B22C58"/>
    <w:rsid w:val="00B23881"/>
    <w:rsid w:val="00B23C17"/>
    <w:rsid w:val="00B23C67"/>
    <w:rsid w:val="00B23EAC"/>
    <w:rsid w:val="00B24146"/>
    <w:rsid w:val="00B24A03"/>
    <w:rsid w:val="00B2514B"/>
    <w:rsid w:val="00B25F59"/>
    <w:rsid w:val="00B26665"/>
    <w:rsid w:val="00B270B0"/>
    <w:rsid w:val="00B30C8B"/>
    <w:rsid w:val="00B324DC"/>
    <w:rsid w:val="00B32760"/>
    <w:rsid w:val="00B32C92"/>
    <w:rsid w:val="00B33A02"/>
    <w:rsid w:val="00B33BCA"/>
    <w:rsid w:val="00B340FC"/>
    <w:rsid w:val="00B3453B"/>
    <w:rsid w:val="00B34B60"/>
    <w:rsid w:val="00B34F63"/>
    <w:rsid w:val="00B356BA"/>
    <w:rsid w:val="00B3571D"/>
    <w:rsid w:val="00B35D55"/>
    <w:rsid w:val="00B364DA"/>
    <w:rsid w:val="00B3797C"/>
    <w:rsid w:val="00B3798F"/>
    <w:rsid w:val="00B40580"/>
    <w:rsid w:val="00B405CA"/>
    <w:rsid w:val="00B40BEE"/>
    <w:rsid w:val="00B40DA7"/>
    <w:rsid w:val="00B4142D"/>
    <w:rsid w:val="00B42E57"/>
    <w:rsid w:val="00B432A3"/>
    <w:rsid w:val="00B437D0"/>
    <w:rsid w:val="00B43A34"/>
    <w:rsid w:val="00B43ED1"/>
    <w:rsid w:val="00B44107"/>
    <w:rsid w:val="00B441AD"/>
    <w:rsid w:val="00B4435B"/>
    <w:rsid w:val="00B44471"/>
    <w:rsid w:val="00B445B9"/>
    <w:rsid w:val="00B4470C"/>
    <w:rsid w:val="00B44711"/>
    <w:rsid w:val="00B44866"/>
    <w:rsid w:val="00B449C7"/>
    <w:rsid w:val="00B456D1"/>
    <w:rsid w:val="00B45DE5"/>
    <w:rsid w:val="00B465BC"/>
    <w:rsid w:val="00B466C7"/>
    <w:rsid w:val="00B46A83"/>
    <w:rsid w:val="00B4749A"/>
    <w:rsid w:val="00B4749D"/>
    <w:rsid w:val="00B477CC"/>
    <w:rsid w:val="00B5074E"/>
    <w:rsid w:val="00B50967"/>
    <w:rsid w:val="00B50A03"/>
    <w:rsid w:val="00B51639"/>
    <w:rsid w:val="00B51791"/>
    <w:rsid w:val="00B51895"/>
    <w:rsid w:val="00B5283E"/>
    <w:rsid w:val="00B5287F"/>
    <w:rsid w:val="00B53408"/>
    <w:rsid w:val="00B53CC4"/>
    <w:rsid w:val="00B53DA7"/>
    <w:rsid w:val="00B54801"/>
    <w:rsid w:val="00B55248"/>
    <w:rsid w:val="00B55345"/>
    <w:rsid w:val="00B5656C"/>
    <w:rsid w:val="00B569F4"/>
    <w:rsid w:val="00B573C8"/>
    <w:rsid w:val="00B607FA"/>
    <w:rsid w:val="00B60AED"/>
    <w:rsid w:val="00B61179"/>
    <w:rsid w:val="00B612B5"/>
    <w:rsid w:val="00B627D0"/>
    <w:rsid w:val="00B6289D"/>
    <w:rsid w:val="00B62ED1"/>
    <w:rsid w:val="00B63CE9"/>
    <w:rsid w:val="00B63DA9"/>
    <w:rsid w:val="00B6557B"/>
    <w:rsid w:val="00B664A0"/>
    <w:rsid w:val="00B66651"/>
    <w:rsid w:val="00B66F0A"/>
    <w:rsid w:val="00B67230"/>
    <w:rsid w:val="00B673FA"/>
    <w:rsid w:val="00B67D91"/>
    <w:rsid w:val="00B7067E"/>
    <w:rsid w:val="00B71110"/>
    <w:rsid w:val="00B712F8"/>
    <w:rsid w:val="00B713D6"/>
    <w:rsid w:val="00B71CE9"/>
    <w:rsid w:val="00B71FA6"/>
    <w:rsid w:val="00B721A6"/>
    <w:rsid w:val="00B72823"/>
    <w:rsid w:val="00B72839"/>
    <w:rsid w:val="00B733D8"/>
    <w:rsid w:val="00B7476B"/>
    <w:rsid w:val="00B74949"/>
    <w:rsid w:val="00B757D3"/>
    <w:rsid w:val="00B75978"/>
    <w:rsid w:val="00B75E95"/>
    <w:rsid w:val="00B76498"/>
    <w:rsid w:val="00B765C1"/>
    <w:rsid w:val="00B76660"/>
    <w:rsid w:val="00B76F09"/>
    <w:rsid w:val="00B77357"/>
    <w:rsid w:val="00B77621"/>
    <w:rsid w:val="00B77C4D"/>
    <w:rsid w:val="00B8034E"/>
    <w:rsid w:val="00B803F0"/>
    <w:rsid w:val="00B80B3E"/>
    <w:rsid w:val="00B80C06"/>
    <w:rsid w:val="00B80F82"/>
    <w:rsid w:val="00B810DC"/>
    <w:rsid w:val="00B81C15"/>
    <w:rsid w:val="00B8255C"/>
    <w:rsid w:val="00B8301C"/>
    <w:rsid w:val="00B83033"/>
    <w:rsid w:val="00B83849"/>
    <w:rsid w:val="00B8387B"/>
    <w:rsid w:val="00B83A30"/>
    <w:rsid w:val="00B84368"/>
    <w:rsid w:val="00B845D1"/>
    <w:rsid w:val="00B845E9"/>
    <w:rsid w:val="00B86D34"/>
    <w:rsid w:val="00B874DF"/>
    <w:rsid w:val="00B90095"/>
    <w:rsid w:val="00B910DB"/>
    <w:rsid w:val="00B9133D"/>
    <w:rsid w:val="00B91964"/>
    <w:rsid w:val="00B9280E"/>
    <w:rsid w:val="00B92A7C"/>
    <w:rsid w:val="00B92BB0"/>
    <w:rsid w:val="00B9314E"/>
    <w:rsid w:val="00B93CA8"/>
    <w:rsid w:val="00B94FCE"/>
    <w:rsid w:val="00B95543"/>
    <w:rsid w:val="00B95CF7"/>
    <w:rsid w:val="00B95CFB"/>
    <w:rsid w:val="00BA0992"/>
    <w:rsid w:val="00BA14E6"/>
    <w:rsid w:val="00BA16BF"/>
    <w:rsid w:val="00BA177F"/>
    <w:rsid w:val="00BA1D04"/>
    <w:rsid w:val="00BA26BC"/>
    <w:rsid w:val="00BA3A17"/>
    <w:rsid w:val="00BA41E1"/>
    <w:rsid w:val="00BA4B8E"/>
    <w:rsid w:val="00BA5E20"/>
    <w:rsid w:val="00BA5EE6"/>
    <w:rsid w:val="00BA6B44"/>
    <w:rsid w:val="00BA7650"/>
    <w:rsid w:val="00BA7684"/>
    <w:rsid w:val="00BA7D89"/>
    <w:rsid w:val="00BB027D"/>
    <w:rsid w:val="00BB0CF3"/>
    <w:rsid w:val="00BB1023"/>
    <w:rsid w:val="00BB1090"/>
    <w:rsid w:val="00BB1FB2"/>
    <w:rsid w:val="00BB2CAE"/>
    <w:rsid w:val="00BB2F69"/>
    <w:rsid w:val="00BB43A3"/>
    <w:rsid w:val="00BB4693"/>
    <w:rsid w:val="00BB4A22"/>
    <w:rsid w:val="00BB5FC9"/>
    <w:rsid w:val="00BB6200"/>
    <w:rsid w:val="00BB6AE7"/>
    <w:rsid w:val="00BB6DF7"/>
    <w:rsid w:val="00BB7180"/>
    <w:rsid w:val="00BB79F8"/>
    <w:rsid w:val="00BC01A4"/>
    <w:rsid w:val="00BC0255"/>
    <w:rsid w:val="00BC0DBD"/>
    <w:rsid w:val="00BC0EB6"/>
    <w:rsid w:val="00BC14F2"/>
    <w:rsid w:val="00BC1F4C"/>
    <w:rsid w:val="00BC255F"/>
    <w:rsid w:val="00BC2CA6"/>
    <w:rsid w:val="00BC2DB7"/>
    <w:rsid w:val="00BC3C6E"/>
    <w:rsid w:val="00BC3EB8"/>
    <w:rsid w:val="00BC636A"/>
    <w:rsid w:val="00BC68C1"/>
    <w:rsid w:val="00BC6906"/>
    <w:rsid w:val="00BC72A5"/>
    <w:rsid w:val="00BC74F2"/>
    <w:rsid w:val="00BC7535"/>
    <w:rsid w:val="00BD01E3"/>
    <w:rsid w:val="00BD0E79"/>
    <w:rsid w:val="00BD248C"/>
    <w:rsid w:val="00BD2819"/>
    <w:rsid w:val="00BD2BA3"/>
    <w:rsid w:val="00BD34C2"/>
    <w:rsid w:val="00BD472F"/>
    <w:rsid w:val="00BD4EB3"/>
    <w:rsid w:val="00BD4FF2"/>
    <w:rsid w:val="00BD5C79"/>
    <w:rsid w:val="00BD5D2A"/>
    <w:rsid w:val="00BD6799"/>
    <w:rsid w:val="00BD6EBE"/>
    <w:rsid w:val="00BD7DDD"/>
    <w:rsid w:val="00BD7F3E"/>
    <w:rsid w:val="00BE0096"/>
    <w:rsid w:val="00BE0AC6"/>
    <w:rsid w:val="00BE1186"/>
    <w:rsid w:val="00BE1921"/>
    <w:rsid w:val="00BE1CAD"/>
    <w:rsid w:val="00BE1D5D"/>
    <w:rsid w:val="00BE2091"/>
    <w:rsid w:val="00BE33BF"/>
    <w:rsid w:val="00BE33C1"/>
    <w:rsid w:val="00BE3532"/>
    <w:rsid w:val="00BE39DF"/>
    <w:rsid w:val="00BE39FF"/>
    <w:rsid w:val="00BE45A1"/>
    <w:rsid w:val="00BE64FA"/>
    <w:rsid w:val="00BE71E4"/>
    <w:rsid w:val="00BE7317"/>
    <w:rsid w:val="00BF01CB"/>
    <w:rsid w:val="00BF03C5"/>
    <w:rsid w:val="00BF041C"/>
    <w:rsid w:val="00BF0608"/>
    <w:rsid w:val="00BF0EB2"/>
    <w:rsid w:val="00BF11F5"/>
    <w:rsid w:val="00BF12F8"/>
    <w:rsid w:val="00BF131B"/>
    <w:rsid w:val="00BF1480"/>
    <w:rsid w:val="00BF22FB"/>
    <w:rsid w:val="00BF2616"/>
    <w:rsid w:val="00BF2A07"/>
    <w:rsid w:val="00BF2AF1"/>
    <w:rsid w:val="00BF2C83"/>
    <w:rsid w:val="00BF34A5"/>
    <w:rsid w:val="00BF34C6"/>
    <w:rsid w:val="00BF3AAA"/>
    <w:rsid w:val="00BF4B19"/>
    <w:rsid w:val="00BF50AF"/>
    <w:rsid w:val="00BF5421"/>
    <w:rsid w:val="00BF5734"/>
    <w:rsid w:val="00BF5F5C"/>
    <w:rsid w:val="00BF7173"/>
    <w:rsid w:val="00BF7B1E"/>
    <w:rsid w:val="00BF7C75"/>
    <w:rsid w:val="00C005AC"/>
    <w:rsid w:val="00C01015"/>
    <w:rsid w:val="00C014B0"/>
    <w:rsid w:val="00C014C9"/>
    <w:rsid w:val="00C01B55"/>
    <w:rsid w:val="00C01E29"/>
    <w:rsid w:val="00C02CF9"/>
    <w:rsid w:val="00C02D1C"/>
    <w:rsid w:val="00C03475"/>
    <w:rsid w:val="00C04D05"/>
    <w:rsid w:val="00C05035"/>
    <w:rsid w:val="00C064DB"/>
    <w:rsid w:val="00C06B3F"/>
    <w:rsid w:val="00C07366"/>
    <w:rsid w:val="00C07D9A"/>
    <w:rsid w:val="00C11502"/>
    <w:rsid w:val="00C117AB"/>
    <w:rsid w:val="00C119CC"/>
    <w:rsid w:val="00C1238D"/>
    <w:rsid w:val="00C12B79"/>
    <w:rsid w:val="00C135B4"/>
    <w:rsid w:val="00C13D34"/>
    <w:rsid w:val="00C13FEA"/>
    <w:rsid w:val="00C14E35"/>
    <w:rsid w:val="00C152A8"/>
    <w:rsid w:val="00C158A8"/>
    <w:rsid w:val="00C16881"/>
    <w:rsid w:val="00C17A3C"/>
    <w:rsid w:val="00C17D9D"/>
    <w:rsid w:val="00C20E25"/>
    <w:rsid w:val="00C21B9B"/>
    <w:rsid w:val="00C22596"/>
    <w:rsid w:val="00C22766"/>
    <w:rsid w:val="00C22874"/>
    <w:rsid w:val="00C229AE"/>
    <w:rsid w:val="00C22FC6"/>
    <w:rsid w:val="00C23096"/>
    <w:rsid w:val="00C2360D"/>
    <w:rsid w:val="00C24250"/>
    <w:rsid w:val="00C24ED2"/>
    <w:rsid w:val="00C25379"/>
    <w:rsid w:val="00C25551"/>
    <w:rsid w:val="00C2570C"/>
    <w:rsid w:val="00C264E9"/>
    <w:rsid w:val="00C26BD2"/>
    <w:rsid w:val="00C26CF7"/>
    <w:rsid w:val="00C26D46"/>
    <w:rsid w:val="00C270DA"/>
    <w:rsid w:val="00C27884"/>
    <w:rsid w:val="00C27A76"/>
    <w:rsid w:val="00C3092F"/>
    <w:rsid w:val="00C31DD2"/>
    <w:rsid w:val="00C3260E"/>
    <w:rsid w:val="00C32AF0"/>
    <w:rsid w:val="00C32B2E"/>
    <w:rsid w:val="00C3313C"/>
    <w:rsid w:val="00C33511"/>
    <w:rsid w:val="00C33832"/>
    <w:rsid w:val="00C33E81"/>
    <w:rsid w:val="00C352F8"/>
    <w:rsid w:val="00C356BA"/>
    <w:rsid w:val="00C3612F"/>
    <w:rsid w:val="00C3640B"/>
    <w:rsid w:val="00C36600"/>
    <w:rsid w:val="00C3694B"/>
    <w:rsid w:val="00C3746A"/>
    <w:rsid w:val="00C378DE"/>
    <w:rsid w:val="00C4018E"/>
    <w:rsid w:val="00C412E7"/>
    <w:rsid w:val="00C41D64"/>
    <w:rsid w:val="00C42599"/>
    <w:rsid w:val="00C429FE"/>
    <w:rsid w:val="00C4326D"/>
    <w:rsid w:val="00C4345F"/>
    <w:rsid w:val="00C43C83"/>
    <w:rsid w:val="00C44316"/>
    <w:rsid w:val="00C4481E"/>
    <w:rsid w:val="00C45355"/>
    <w:rsid w:val="00C4535A"/>
    <w:rsid w:val="00C453DD"/>
    <w:rsid w:val="00C45791"/>
    <w:rsid w:val="00C46804"/>
    <w:rsid w:val="00C473D6"/>
    <w:rsid w:val="00C47465"/>
    <w:rsid w:val="00C506F9"/>
    <w:rsid w:val="00C50CF5"/>
    <w:rsid w:val="00C51144"/>
    <w:rsid w:val="00C51285"/>
    <w:rsid w:val="00C51A24"/>
    <w:rsid w:val="00C51FF2"/>
    <w:rsid w:val="00C52633"/>
    <w:rsid w:val="00C527B3"/>
    <w:rsid w:val="00C527FE"/>
    <w:rsid w:val="00C536D2"/>
    <w:rsid w:val="00C53ACB"/>
    <w:rsid w:val="00C53B75"/>
    <w:rsid w:val="00C53CC0"/>
    <w:rsid w:val="00C54832"/>
    <w:rsid w:val="00C5527D"/>
    <w:rsid w:val="00C55F47"/>
    <w:rsid w:val="00C5600A"/>
    <w:rsid w:val="00C56516"/>
    <w:rsid w:val="00C567AA"/>
    <w:rsid w:val="00C573DD"/>
    <w:rsid w:val="00C60B1E"/>
    <w:rsid w:val="00C60FCE"/>
    <w:rsid w:val="00C61204"/>
    <w:rsid w:val="00C61D9F"/>
    <w:rsid w:val="00C620F7"/>
    <w:rsid w:val="00C6212E"/>
    <w:rsid w:val="00C62669"/>
    <w:rsid w:val="00C62723"/>
    <w:rsid w:val="00C6273A"/>
    <w:rsid w:val="00C62E06"/>
    <w:rsid w:val="00C62EFB"/>
    <w:rsid w:val="00C63905"/>
    <w:rsid w:val="00C641F4"/>
    <w:rsid w:val="00C64857"/>
    <w:rsid w:val="00C6489F"/>
    <w:rsid w:val="00C65C70"/>
    <w:rsid w:val="00C660F0"/>
    <w:rsid w:val="00C663D6"/>
    <w:rsid w:val="00C66487"/>
    <w:rsid w:val="00C6655C"/>
    <w:rsid w:val="00C6705C"/>
    <w:rsid w:val="00C676D2"/>
    <w:rsid w:val="00C71084"/>
    <w:rsid w:val="00C720CB"/>
    <w:rsid w:val="00C72299"/>
    <w:rsid w:val="00C72B78"/>
    <w:rsid w:val="00C732FB"/>
    <w:rsid w:val="00C76632"/>
    <w:rsid w:val="00C766D9"/>
    <w:rsid w:val="00C77002"/>
    <w:rsid w:val="00C77490"/>
    <w:rsid w:val="00C775CE"/>
    <w:rsid w:val="00C77E19"/>
    <w:rsid w:val="00C80157"/>
    <w:rsid w:val="00C802E2"/>
    <w:rsid w:val="00C816EE"/>
    <w:rsid w:val="00C8188D"/>
    <w:rsid w:val="00C819A0"/>
    <w:rsid w:val="00C82B7B"/>
    <w:rsid w:val="00C82D22"/>
    <w:rsid w:val="00C83106"/>
    <w:rsid w:val="00C83191"/>
    <w:rsid w:val="00C835DA"/>
    <w:rsid w:val="00C83668"/>
    <w:rsid w:val="00C83B5D"/>
    <w:rsid w:val="00C844BA"/>
    <w:rsid w:val="00C84837"/>
    <w:rsid w:val="00C84986"/>
    <w:rsid w:val="00C84B35"/>
    <w:rsid w:val="00C8552A"/>
    <w:rsid w:val="00C85ADA"/>
    <w:rsid w:val="00C86524"/>
    <w:rsid w:val="00C866CD"/>
    <w:rsid w:val="00C869DB"/>
    <w:rsid w:val="00C8794E"/>
    <w:rsid w:val="00C87989"/>
    <w:rsid w:val="00C90612"/>
    <w:rsid w:val="00C907D9"/>
    <w:rsid w:val="00C90A12"/>
    <w:rsid w:val="00C910D4"/>
    <w:rsid w:val="00C926E5"/>
    <w:rsid w:val="00C931CE"/>
    <w:rsid w:val="00C93E59"/>
    <w:rsid w:val="00C943DF"/>
    <w:rsid w:val="00C94AB4"/>
    <w:rsid w:val="00C953A7"/>
    <w:rsid w:val="00C96EF8"/>
    <w:rsid w:val="00C96FBC"/>
    <w:rsid w:val="00C971FD"/>
    <w:rsid w:val="00CA05F6"/>
    <w:rsid w:val="00CA0B89"/>
    <w:rsid w:val="00CA15BE"/>
    <w:rsid w:val="00CA2711"/>
    <w:rsid w:val="00CA3349"/>
    <w:rsid w:val="00CA3479"/>
    <w:rsid w:val="00CA394C"/>
    <w:rsid w:val="00CA47EB"/>
    <w:rsid w:val="00CA4B4C"/>
    <w:rsid w:val="00CA5B62"/>
    <w:rsid w:val="00CA6C98"/>
    <w:rsid w:val="00CA6E2A"/>
    <w:rsid w:val="00CA74B6"/>
    <w:rsid w:val="00CA7EA5"/>
    <w:rsid w:val="00CB02DF"/>
    <w:rsid w:val="00CB092C"/>
    <w:rsid w:val="00CB0DE7"/>
    <w:rsid w:val="00CB1556"/>
    <w:rsid w:val="00CB1C6D"/>
    <w:rsid w:val="00CB2255"/>
    <w:rsid w:val="00CB2886"/>
    <w:rsid w:val="00CB34FB"/>
    <w:rsid w:val="00CB36E6"/>
    <w:rsid w:val="00CB3D2A"/>
    <w:rsid w:val="00CB3E9E"/>
    <w:rsid w:val="00CB44D5"/>
    <w:rsid w:val="00CB4550"/>
    <w:rsid w:val="00CB45A2"/>
    <w:rsid w:val="00CB4A73"/>
    <w:rsid w:val="00CB510A"/>
    <w:rsid w:val="00CB5376"/>
    <w:rsid w:val="00CB5523"/>
    <w:rsid w:val="00CB5D30"/>
    <w:rsid w:val="00CB648D"/>
    <w:rsid w:val="00CB75A5"/>
    <w:rsid w:val="00CB777D"/>
    <w:rsid w:val="00CB7C7C"/>
    <w:rsid w:val="00CB7CDD"/>
    <w:rsid w:val="00CC007E"/>
    <w:rsid w:val="00CC02FB"/>
    <w:rsid w:val="00CC171A"/>
    <w:rsid w:val="00CC1D50"/>
    <w:rsid w:val="00CC202D"/>
    <w:rsid w:val="00CC22AB"/>
    <w:rsid w:val="00CC2D46"/>
    <w:rsid w:val="00CC2F7A"/>
    <w:rsid w:val="00CC305C"/>
    <w:rsid w:val="00CC32F4"/>
    <w:rsid w:val="00CC330C"/>
    <w:rsid w:val="00CC3CFC"/>
    <w:rsid w:val="00CC3F06"/>
    <w:rsid w:val="00CC3F6F"/>
    <w:rsid w:val="00CC4099"/>
    <w:rsid w:val="00CC4973"/>
    <w:rsid w:val="00CC49EC"/>
    <w:rsid w:val="00CC508C"/>
    <w:rsid w:val="00CC6257"/>
    <w:rsid w:val="00CC65F5"/>
    <w:rsid w:val="00CC66E3"/>
    <w:rsid w:val="00CC70CB"/>
    <w:rsid w:val="00CD083C"/>
    <w:rsid w:val="00CD0E4A"/>
    <w:rsid w:val="00CD1761"/>
    <w:rsid w:val="00CD18AF"/>
    <w:rsid w:val="00CD21A8"/>
    <w:rsid w:val="00CD2FEA"/>
    <w:rsid w:val="00CD3AB8"/>
    <w:rsid w:val="00CD3DC1"/>
    <w:rsid w:val="00CD4392"/>
    <w:rsid w:val="00CD43CE"/>
    <w:rsid w:val="00CD48DF"/>
    <w:rsid w:val="00CD4F49"/>
    <w:rsid w:val="00CD5019"/>
    <w:rsid w:val="00CD5779"/>
    <w:rsid w:val="00CD624F"/>
    <w:rsid w:val="00CD6C24"/>
    <w:rsid w:val="00CD6EE6"/>
    <w:rsid w:val="00CE05E8"/>
    <w:rsid w:val="00CE10EC"/>
    <w:rsid w:val="00CE26D5"/>
    <w:rsid w:val="00CE2EEE"/>
    <w:rsid w:val="00CE3249"/>
    <w:rsid w:val="00CE3FF8"/>
    <w:rsid w:val="00CE44BF"/>
    <w:rsid w:val="00CE45BA"/>
    <w:rsid w:val="00CE60CC"/>
    <w:rsid w:val="00CE6B8B"/>
    <w:rsid w:val="00CE7B43"/>
    <w:rsid w:val="00CF15DB"/>
    <w:rsid w:val="00CF187C"/>
    <w:rsid w:val="00CF1E44"/>
    <w:rsid w:val="00CF2C40"/>
    <w:rsid w:val="00CF3C13"/>
    <w:rsid w:val="00CF3CC8"/>
    <w:rsid w:val="00CF46FC"/>
    <w:rsid w:val="00CF4C63"/>
    <w:rsid w:val="00CF4CFF"/>
    <w:rsid w:val="00CF5F2B"/>
    <w:rsid w:val="00CF65DA"/>
    <w:rsid w:val="00CF676F"/>
    <w:rsid w:val="00CF6A79"/>
    <w:rsid w:val="00CF6BDD"/>
    <w:rsid w:val="00D001AB"/>
    <w:rsid w:val="00D02C74"/>
    <w:rsid w:val="00D04835"/>
    <w:rsid w:val="00D04926"/>
    <w:rsid w:val="00D05682"/>
    <w:rsid w:val="00D05A81"/>
    <w:rsid w:val="00D0637C"/>
    <w:rsid w:val="00D06583"/>
    <w:rsid w:val="00D06C25"/>
    <w:rsid w:val="00D076D8"/>
    <w:rsid w:val="00D07AAE"/>
    <w:rsid w:val="00D106B2"/>
    <w:rsid w:val="00D117A1"/>
    <w:rsid w:val="00D117B6"/>
    <w:rsid w:val="00D121BC"/>
    <w:rsid w:val="00D126C8"/>
    <w:rsid w:val="00D13380"/>
    <w:rsid w:val="00D14785"/>
    <w:rsid w:val="00D14E3B"/>
    <w:rsid w:val="00D15167"/>
    <w:rsid w:val="00D164A8"/>
    <w:rsid w:val="00D16575"/>
    <w:rsid w:val="00D168C5"/>
    <w:rsid w:val="00D16DC3"/>
    <w:rsid w:val="00D1709F"/>
    <w:rsid w:val="00D17773"/>
    <w:rsid w:val="00D17E15"/>
    <w:rsid w:val="00D2010D"/>
    <w:rsid w:val="00D204EB"/>
    <w:rsid w:val="00D210AB"/>
    <w:rsid w:val="00D21166"/>
    <w:rsid w:val="00D22C88"/>
    <w:rsid w:val="00D23CEB"/>
    <w:rsid w:val="00D23FE4"/>
    <w:rsid w:val="00D240E3"/>
    <w:rsid w:val="00D2440E"/>
    <w:rsid w:val="00D24837"/>
    <w:rsid w:val="00D249F7"/>
    <w:rsid w:val="00D250A0"/>
    <w:rsid w:val="00D2547A"/>
    <w:rsid w:val="00D275C7"/>
    <w:rsid w:val="00D27C96"/>
    <w:rsid w:val="00D308CD"/>
    <w:rsid w:val="00D30C39"/>
    <w:rsid w:val="00D314D1"/>
    <w:rsid w:val="00D3165E"/>
    <w:rsid w:val="00D316C8"/>
    <w:rsid w:val="00D31918"/>
    <w:rsid w:val="00D319B1"/>
    <w:rsid w:val="00D32370"/>
    <w:rsid w:val="00D32687"/>
    <w:rsid w:val="00D32714"/>
    <w:rsid w:val="00D32C83"/>
    <w:rsid w:val="00D33563"/>
    <w:rsid w:val="00D33D85"/>
    <w:rsid w:val="00D33EFE"/>
    <w:rsid w:val="00D34041"/>
    <w:rsid w:val="00D34631"/>
    <w:rsid w:val="00D3464A"/>
    <w:rsid w:val="00D34D90"/>
    <w:rsid w:val="00D356EF"/>
    <w:rsid w:val="00D35736"/>
    <w:rsid w:val="00D35B80"/>
    <w:rsid w:val="00D35CF0"/>
    <w:rsid w:val="00D365C0"/>
    <w:rsid w:val="00D36E2E"/>
    <w:rsid w:val="00D3709E"/>
    <w:rsid w:val="00D40631"/>
    <w:rsid w:val="00D40C86"/>
    <w:rsid w:val="00D40DC8"/>
    <w:rsid w:val="00D41929"/>
    <w:rsid w:val="00D41DB9"/>
    <w:rsid w:val="00D4239C"/>
    <w:rsid w:val="00D4289A"/>
    <w:rsid w:val="00D42CA0"/>
    <w:rsid w:val="00D43249"/>
    <w:rsid w:val="00D43A14"/>
    <w:rsid w:val="00D43E35"/>
    <w:rsid w:val="00D443E8"/>
    <w:rsid w:val="00D44799"/>
    <w:rsid w:val="00D4542B"/>
    <w:rsid w:val="00D4570A"/>
    <w:rsid w:val="00D4664F"/>
    <w:rsid w:val="00D46929"/>
    <w:rsid w:val="00D46DC8"/>
    <w:rsid w:val="00D47046"/>
    <w:rsid w:val="00D472E2"/>
    <w:rsid w:val="00D4750D"/>
    <w:rsid w:val="00D476A7"/>
    <w:rsid w:val="00D4777A"/>
    <w:rsid w:val="00D50C7B"/>
    <w:rsid w:val="00D51151"/>
    <w:rsid w:val="00D51794"/>
    <w:rsid w:val="00D51843"/>
    <w:rsid w:val="00D51A72"/>
    <w:rsid w:val="00D51E16"/>
    <w:rsid w:val="00D51E86"/>
    <w:rsid w:val="00D52036"/>
    <w:rsid w:val="00D529F2"/>
    <w:rsid w:val="00D53C95"/>
    <w:rsid w:val="00D5437E"/>
    <w:rsid w:val="00D5467B"/>
    <w:rsid w:val="00D547B3"/>
    <w:rsid w:val="00D54B66"/>
    <w:rsid w:val="00D553F2"/>
    <w:rsid w:val="00D55A42"/>
    <w:rsid w:val="00D5621C"/>
    <w:rsid w:val="00D565BB"/>
    <w:rsid w:val="00D56C2E"/>
    <w:rsid w:val="00D56C6D"/>
    <w:rsid w:val="00D572E5"/>
    <w:rsid w:val="00D5738E"/>
    <w:rsid w:val="00D57C36"/>
    <w:rsid w:val="00D602FA"/>
    <w:rsid w:val="00D609CC"/>
    <w:rsid w:val="00D61975"/>
    <w:rsid w:val="00D639F7"/>
    <w:rsid w:val="00D64486"/>
    <w:rsid w:val="00D654AB"/>
    <w:rsid w:val="00D66845"/>
    <w:rsid w:val="00D67073"/>
    <w:rsid w:val="00D67F3A"/>
    <w:rsid w:val="00D7052F"/>
    <w:rsid w:val="00D7198D"/>
    <w:rsid w:val="00D72A8A"/>
    <w:rsid w:val="00D72DC5"/>
    <w:rsid w:val="00D7331F"/>
    <w:rsid w:val="00D74468"/>
    <w:rsid w:val="00D75148"/>
    <w:rsid w:val="00D75167"/>
    <w:rsid w:val="00D7589E"/>
    <w:rsid w:val="00D75B5B"/>
    <w:rsid w:val="00D77E91"/>
    <w:rsid w:val="00D80042"/>
    <w:rsid w:val="00D80270"/>
    <w:rsid w:val="00D8043C"/>
    <w:rsid w:val="00D80FA1"/>
    <w:rsid w:val="00D82ED9"/>
    <w:rsid w:val="00D82FAA"/>
    <w:rsid w:val="00D8333A"/>
    <w:rsid w:val="00D84002"/>
    <w:rsid w:val="00D846F9"/>
    <w:rsid w:val="00D84E6E"/>
    <w:rsid w:val="00D864D4"/>
    <w:rsid w:val="00D86B5D"/>
    <w:rsid w:val="00D876F0"/>
    <w:rsid w:val="00D87CFD"/>
    <w:rsid w:val="00D87D18"/>
    <w:rsid w:val="00D902A3"/>
    <w:rsid w:val="00D90865"/>
    <w:rsid w:val="00D91259"/>
    <w:rsid w:val="00D93469"/>
    <w:rsid w:val="00D93B2C"/>
    <w:rsid w:val="00D93DC8"/>
    <w:rsid w:val="00D93F43"/>
    <w:rsid w:val="00D9428C"/>
    <w:rsid w:val="00D966B9"/>
    <w:rsid w:val="00D9670D"/>
    <w:rsid w:val="00D967DF"/>
    <w:rsid w:val="00D9746D"/>
    <w:rsid w:val="00D97C53"/>
    <w:rsid w:val="00D97F9B"/>
    <w:rsid w:val="00DA07E3"/>
    <w:rsid w:val="00DA099D"/>
    <w:rsid w:val="00DA0AEF"/>
    <w:rsid w:val="00DA164F"/>
    <w:rsid w:val="00DA165E"/>
    <w:rsid w:val="00DA16CB"/>
    <w:rsid w:val="00DA1E28"/>
    <w:rsid w:val="00DA24E8"/>
    <w:rsid w:val="00DA316D"/>
    <w:rsid w:val="00DA3F82"/>
    <w:rsid w:val="00DA4081"/>
    <w:rsid w:val="00DA429B"/>
    <w:rsid w:val="00DA48FB"/>
    <w:rsid w:val="00DA4A09"/>
    <w:rsid w:val="00DA4C86"/>
    <w:rsid w:val="00DA53B4"/>
    <w:rsid w:val="00DA6FF9"/>
    <w:rsid w:val="00DA71AF"/>
    <w:rsid w:val="00DA7719"/>
    <w:rsid w:val="00DA7B56"/>
    <w:rsid w:val="00DA7CAA"/>
    <w:rsid w:val="00DA7D26"/>
    <w:rsid w:val="00DB0882"/>
    <w:rsid w:val="00DB14BD"/>
    <w:rsid w:val="00DB2004"/>
    <w:rsid w:val="00DB22E7"/>
    <w:rsid w:val="00DB2B79"/>
    <w:rsid w:val="00DB32F7"/>
    <w:rsid w:val="00DB3751"/>
    <w:rsid w:val="00DB4103"/>
    <w:rsid w:val="00DB4FF6"/>
    <w:rsid w:val="00DB5AEE"/>
    <w:rsid w:val="00DB5D4C"/>
    <w:rsid w:val="00DB639D"/>
    <w:rsid w:val="00DB7831"/>
    <w:rsid w:val="00DB78FA"/>
    <w:rsid w:val="00DB7DCB"/>
    <w:rsid w:val="00DC0077"/>
    <w:rsid w:val="00DC07CB"/>
    <w:rsid w:val="00DC0C81"/>
    <w:rsid w:val="00DC0E46"/>
    <w:rsid w:val="00DC1D04"/>
    <w:rsid w:val="00DC239F"/>
    <w:rsid w:val="00DC4AFE"/>
    <w:rsid w:val="00DC54F5"/>
    <w:rsid w:val="00DC61FE"/>
    <w:rsid w:val="00DC62AC"/>
    <w:rsid w:val="00DC6A5B"/>
    <w:rsid w:val="00DC6D4D"/>
    <w:rsid w:val="00DC734D"/>
    <w:rsid w:val="00DD00F2"/>
    <w:rsid w:val="00DD0410"/>
    <w:rsid w:val="00DD0493"/>
    <w:rsid w:val="00DD07A0"/>
    <w:rsid w:val="00DD0985"/>
    <w:rsid w:val="00DD0D15"/>
    <w:rsid w:val="00DD15F5"/>
    <w:rsid w:val="00DD1E24"/>
    <w:rsid w:val="00DD2FDF"/>
    <w:rsid w:val="00DD318B"/>
    <w:rsid w:val="00DD320B"/>
    <w:rsid w:val="00DD3EF5"/>
    <w:rsid w:val="00DD45A6"/>
    <w:rsid w:val="00DD4F4E"/>
    <w:rsid w:val="00DD5543"/>
    <w:rsid w:val="00DD568B"/>
    <w:rsid w:val="00DD56DC"/>
    <w:rsid w:val="00DD5901"/>
    <w:rsid w:val="00DD5B2F"/>
    <w:rsid w:val="00DD5B71"/>
    <w:rsid w:val="00DD6EFF"/>
    <w:rsid w:val="00DD70FB"/>
    <w:rsid w:val="00DD7241"/>
    <w:rsid w:val="00DD78A2"/>
    <w:rsid w:val="00DD7E7E"/>
    <w:rsid w:val="00DD7EB7"/>
    <w:rsid w:val="00DE0EED"/>
    <w:rsid w:val="00DE14BD"/>
    <w:rsid w:val="00DE15D4"/>
    <w:rsid w:val="00DE17E6"/>
    <w:rsid w:val="00DE1F4E"/>
    <w:rsid w:val="00DE1F78"/>
    <w:rsid w:val="00DE2009"/>
    <w:rsid w:val="00DE249A"/>
    <w:rsid w:val="00DE30EF"/>
    <w:rsid w:val="00DE31FF"/>
    <w:rsid w:val="00DE3375"/>
    <w:rsid w:val="00DE37D9"/>
    <w:rsid w:val="00DE3C53"/>
    <w:rsid w:val="00DE3FA1"/>
    <w:rsid w:val="00DE4250"/>
    <w:rsid w:val="00DE47E0"/>
    <w:rsid w:val="00DE4B72"/>
    <w:rsid w:val="00DE4C9B"/>
    <w:rsid w:val="00DE4F83"/>
    <w:rsid w:val="00DE546A"/>
    <w:rsid w:val="00DE5E9D"/>
    <w:rsid w:val="00DE67C9"/>
    <w:rsid w:val="00DE752E"/>
    <w:rsid w:val="00DE75F6"/>
    <w:rsid w:val="00DE7657"/>
    <w:rsid w:val="00DF0060"/>
    <w:rsid w:val="00DF08DA"/>
    <w:rsid w:val="00DF0A02"/>
    <w:rsid w:val="00DF0E26"/>
    <w:rsid w:val="00DF1B82"/>
    <w:rsid w:val="00DF2CBE"/>
    <w:rsid w:val="00DF3648"/>
    <w:rsid w:val="00DF38C3"/>
    <w:rsid w:val="00DF50C5"/>
    <w:rsid w:val="00DF53CC"/>
    <w:rsid w:val="00DF54AD"/>
    <w:rsid w:val="00DF5A2E"/>
    <w:rsid w:val="00DF5CF7"/>
    <w:rsid w:val="00DF5F2E"/>
    <w:rsid w:val="00DF6301"/>
    <w:rsid w:val="00DF6C9D"/>
    <w:rsid w:val="00DF6E2B"/>
    <w:rsid w:val="00DF6F21"/>
    <w:rsid w:val="00DF7110"/>
    <w:rsid w:val="00DF7EDB"/>
    <w:rsid w:val="00E0022C"/>
    <w:rsid w:val="00E0040A"/>
    <w:rsid w:val="00E004A9"/>
    <w:rsid w:val="00E0052D"/>
    <w:rsid w:val="00E00A64"/>
    <w:rsid w:val="00E00F0E"/>
    <w:rsid w:val="00E010FD"/>
    <w:rsid w:val="00E01369"/>
    <w:rsid w:val="00E01478"/>
    <w:rsid w:val="00E0164D"/>
    <w:rsid w:val="00E019A5"/>
    <w:rsid w:val="00E02739"/>
    <w:rsid w:val="00E03816"/>
    <w:rsid w:val="00E03D6E"/>
    <w:rsid w:val="00E03F03"/>
    <w:rsid w:val="00E04003"/>
    <w:rsid w:val="00E04223"/>
    <w:rsid w:val="00E04333"/>
    <w:rsid w:val="00E049D4"/>
    <w:rsid w:val="00E04B6F"/>
    <w:rsid w:val="00E05313"/>
    <w:rsid w:val="00E069D8"/>
    <w:rsid w:val="00E06BDF"/>
    <w:rsid w:val="00E0758D"/>
    <w:rsid w:val="00E0782B"/>
    <w:rsid w:val="00E102BC"/>
    <w:rsid w:val="00E11025"/>
    <w:rsid w:val="00E11131"/>
    <w:rsid w:val="00E1126E"/>
    <w:rsid w:val="00E117C5"/>
    <w:rsid w:val="00E12DA2"/>
    <w:rsid w:val="00E12FB6"/>
    <w:rsid w:val="00E13308"/>
    <w:rsid w:val="00E133E6"/>
    <w:rsid w:val="00E13B28"/>
    <w:rsid w:val="00E13CDD"/>
    <w:rsid w:val="00E13ED5"/>
    <w:rsid w:val="00E1485E"/>
    <w:rsid w:val="00E15D2B"/>
    <w:rsid w:val="00E15E5B"/>
    <w:rsid w:val="00E15F79"/>
    <w:rsid w:val="00E1667F"/>
    <w:rsid w:val="00E16B17"/>
    <w:rsid w:val="00E1708D"/>
    <w:rsid w:val="00E1748C"/>
    <w:rsid w:val="00E200BA"/>
    <w:rsid w:val="00E20A33"/>
    <w:rsid w:val="00E20CA7"/>
    <w:rsid w:val="00E21247"/>
    <w:rsid w:val="00E215BE"/>
    <w:rsid w:val="00E220D1"/>
    <w:rsid w:val="00E23DDC"/>
    <w:rsid w:val="00E24209"/>
    <w:rsid w:val="00E2497B"/>
    <w:rsid w:val="00E24F73"/>
    <w:rsid w:val="00E2566E"/>
    <w:rsid w:val="00E25C9E"/>
    <w:rsid w:val="00E26114"/>
    <w:rsid w:val="00E264D6"/>
    <w:rsid w:val="00E2651B"/>
    <w:rsid w:val="00E26550"/>
    <w:rsid w:val="00E26C94"/>
    <w:rsid w:val="00E26E1C"/>
    <w:rsid w:val="00E271B9"/>
    <w:rsid w:val="00E27385"/>
    <w:rsid w:val="00E278C2"/>
    <w:rsid w:val="00E301C0"/>
    <w:rsid w:val="00E3098B"/>
    <w:rsid w:val="00E30B50"/>
    <w:rsid w:val="00E30C42"/>
    <w:rsid w:val="00E3187C"/>
    <w:rsid w:val="00E320E0"/>
    <w:rsid w:val="00E32956"/>
    <w:rsid w:val="00E3299E"/>
    <w:rsid w:val="00E32CB1"/>
    <w:rsid w:val="00E330DA"/>
    <w:rsid w:val="00E331E1"/>
    <w:rsid w:val="00E34E15"/>
    <w:rsid w:val="00E34E7F"/>
    <w:rsid w:val="00E359D5"/>
    <w:rsid w:val="00E35A99"/>
    <w:rsid w:val="00E362AD"/>
    <w:rsid w:val="00E36904"/>
    <w:rsid w:val="00E36DC9"/>
    <w:rsid w:val="00E37214"/>
    <w:rsid w:val="00E379DE"/>
    <w:rsid w:val="00E37CC4"/>
    <w:rsid w:val="00E37FFD"/>
    <w:rsid w:val="00E402AF"/>
    <w:rsid w:val="00E411E6"/>
    <w:rsid w:val="00E41461"/>
    <w:rsid w:val="00E41629"/>
    <w:rsid w:val="00E421DC"/>
    <w:rsid w:val="00E42D20"/>
    <w:rsid w:val="00E42D6F"/>
    <w:rsid w:val="00E43583"/>
    <w:rsid w:val="00E43EED"/>
    <w:rsid w:val="00E4555F"/>
    <w:rsid w:val="00E45643"/>
    <w:rsid w:val="00E45C3C"/>
    <w:rsid w:val="00E45D7F"/>
    <w:rsid w:val="00E45F4B"/>
    <w:rsid w:val="00E46488"/>
    <w:rsid w:val="00E467AA"/>
    <w:rsid w:val="00E47A46"/>
    <w:rsid w:val="00E47B11"/>
    <w:rsid w:val="00E50F76"/>
    <w:rsid w:val="00E50F81"/>
    <w:rsid w:val="00E5100F"/>
    <w:rsid w:val="00E51502"/>
    <w:rsid w:val="00E52439"/>
    <w:rsid w:val="00E535AF"/>
    <w:rsid w:val="00E53A5F"/>
    <w:rsid w:val="00E54099"/>
    <w:rsid w:val="00E5467E"/>
    <w:rsid w:val="00E54B8E"/>
    <w:rsid w:val="00E550C0"/>
    <w:rsid w:val="00E550D9"/>
    <w:rsid w:val="00E559DF"/>
    <w:rsid w:val="00E560DC"/>
    <w:rsid w:val="00E61583"/>
    <w:rsid w:val="00E61823"/>
    <w:rsid w:val="00E62D07"/>
    <w:rsid w:val="00E6343A"/>
    <w:rsid w:val="00E64F4E"/>
    <w:rsid w:val="00E65DAE"/>
    <w:rsid w:val="00E65EF6"/>
    <w:rsid w:val="00E665A2"/>
    <w:rsid w:val="00E66AB4"/>
    <w:rsid w:val="00E674E4"/>
    <w:rsid w:val="00E67598"/>
    <w:rsid w:val="00E67C08"/>
    <w:rsid w:val="00E70493"/>
    <w:rsid w:val="00E71FAB"/>
    <w:rsid w:val="00E7209A"/>
    <w:rsid w:val="00E720F6"/>
    <w:rsid w:val="00E723CF"/>
    <w:rsid w:val="00E72B47"/>
    <w:rsid w:val="00E74130"/>
    <w:rsid w:val="00E75167"/>
    <w:rsid w:val="00E7542C"/>
    <w:rsid w:val="00E759D8"/>
    <w:rsid w:val="00E75B81"/>
    <w:rsid w:val="00E75C38"/>
    <w:rsid w:val="00E75CCD"/>
    <w:rsid w:val="00E76B22"/>
    <w:rsid w:val="00E76B6E"/>
    <w:rsid w:val="00E770CE"/>
    <w:rsid w:val="00E77487"/>
    <w:rsid w:val="00E77BF1"/>
    <w:rsid w:val="00E77CE3"/>
    <w:rsid w:val="00E77FC1"/>
    <w:rsid w:val="00E80014"/>
    <w:rsid w:val="00E808D1"/>
    <w:rsid w:val="00E80AAA"/>
    <w:rsid w:val="00E80EEE"/>
    <w:rsid w:val="00E8126C"/>
    <w:rsid w:val="00E814E8"/>
    <w:rsid w:val="00E8184F"/>
    <w:rsid w:val="00E81D0C"/>
    <w:rsid w:val="00E81EEC"/>
    <w:rsid w:val="00E8226C"/>
    <w:rsid w:val="00E8232A"/>
    <w:rsid w:val="00E8389D"/>
    <w:rsid w:val="00E84429"/>
    <w:rsid w:val="00E8459A"/>
    <w:rsid w:val="00E8460A"/>
    <w:rsid w:val="00E8515C"/>
    <w:rsid w:val="00E858C2"/>
    <w:rsid w:val="00E86C05"/>
    <w:rsid w:val="00E90023"/>
    <w:rsid w:val="00E901D6"/>
    <w:rsid w:val="00E90678"/>
    <w:rsid w:val="00E90776"/>
    <w:rsid w:val="00E90B13"/>
    <w:rsid w:val="00E91144"/>
    <w:rsid w:val="00E91CF0"/>
    <w:rsid w:val="00E9434F"/>
    <w:rsid w:val="00E94A9D"/>
    <w:rsid w:val="00E94EC6"/>
    <w:rsid w:val="00E9509E"/>
    <w:rsid w:val="00E9518C"/>
    <w:rsid w:val="00E954F5"/>
    <w:rsid w:val="00E95BAF"/>
    <w:rsid w:val="00E95D7D"/>
    <w:rsid w:val="00E961DD"/>
    <w:rsid w:val="00E96467"/>
    <w:rsid w:val="00E96C95"/>
    <w:rsid w:val="00E97EBD"/>
    <w:rsid w:val="00EA0298"/>
    <w:rsid w:val="00EA04AD"/>
    <w:rsid w:val="00EA0F5E"/>
    <w:rsid w:val="00EA1B37"/>
    <w:rsid w:val="00EA1BE1"/>
    <w:rsid w:val="00EA274F"/>
    <w:rsid w:val="00EA2760"/>
    <w:rsid w:val="00EA3595"/>
    <w:rsid w:val="00EA362B"/>
    <w:rsid w:val="00EA3C35"/>
    <w:rsid w:val="00EA3E55"/>
    <w:rsid w:val="00EA413E"/>
    <w:rsid w:val="00EA434B"/>
    <w:rsid w:val="00EA4A27"/>
    <w:rsid w:val="00EA5BD5"/>
    <w:rsid w:val="00EA5CF1"/>
    <w:rsid w:val="00EA72CF"/>
    <w:rsid w:val="00EA730F"/>
    <w:rsid w:val="00EA7A12"/>
    <w:rsid w:val="00EA7FD0"/>
    <w:rsid w:val="00EB01E4"/>
    <w:rsid w:val="00EB0521"/>
    <w:rsid w:val="00EB0B2F"/>
    <w:rsid w:val="00EB1D86"/>
    <w:rsid w:val="00EB20CB"/>
    <w:rsid w:val="00EB30EB"/>
    <w:rsid w:val="00EB3745"/>
    <w:rsid w:val="00EB3F53"/>
    <w:rsid w:val="00EB4628"/>
    <w:rsid w:val="00EB4788"/>
    <w:rsid w:val="00EB48F4"/>
    <w:rsid w:val="00EB4A4A"/>
    <w:rsid w:val="00EB55D3"/>
    <w:rsid w:val="00EB5923"/>
    <w:rsid w:val="00EB64AE"/>
    <w:rsid w:val="00EB77C5"/>
    <w:rsid w:val="00EB783B"/>
    <w:rsid w:val="00EB78EF"/>
    <w:rsid w:val="00EC0143"/>
    <w:rsid w:val="00EC0792"/>
    <w:rsid w:val="00EC07BE"/>
    <w:rsid w:val="00EC202F"/>
    <w:rsid w:val="00EC2548"/>
    <w:rsid w:val="00EC25D6"/>
    <w:rsid w:val="00EC29BD"/>
    <w:rsid w:val="00EC2A5E"/>
    <w:rsid w:val="00EC3728"/>
    <w:rsid w:val="00EC3EC1"/>
    <w:rsid w:val="00EC4554"/>
    <w:rsid w:val="00EC47BF"/>
    <w:rsid w:val="00EC5B8E"/>
    <w:rsid w:val="00EC6264"/>
    <w:rsid w:val="00EC6656"/>
    <w:rsid w:val="00EC70C2"/>
    <w:rsid w:val="00EC7C0D"/>
    <w:rsid w:val="00ED0951"/>
    <w:rsid w:val="00ED0A83"/>
    <w:rsid w:val="00ED0DAE"/>
    <w:rsid w:val="00ED2AC0"/>
    <w:rsid w:val="00ED3867"/>
    <w:rsid w:val="00ED3AE7"/>
    <w:rsid w:val="00ED4E01"/>
    <w:rsid w:val="00ED4E13"/>
    <w:rsid w:val="00ED501A"/>
    <w:rsid w:val="00ED517D"/>
    <w:rsid w:val="00ED57FC"/>
    <w:rsid w:val="00ED725C"/>
    <w:rsid w:val="00ED7600"/>
    <w:rsid w:val="00ED7979"/>
    <w:rsid w:val="00ED7AA5"/>
    <w:rsid w:val="00ED7AD4"/>
    <w:rsid w:val="00ED7BB6"/>
    <w:rsid w:val="00EE0AC4"/>
    <w:rsid w:val="00EE0F7C"/>
    <w:rsid w:val="00EE1390"/>
    <w:rsid w:val="00EE1C0A"/>
    <w:rsid w:val="00EE2062"/>
    <w:rsid w:val="00EE2C75"/>
    <w:rsid w:val="00EE4037"/>
    <w:rsid w:val="00EE45C4"/>
    <w:rsid w:val="00EE4A33"/>
    <w:rsid w:val="00EE4ADF"/>
    <w:rsid w:val="00EE5B27"/>
    <w:rsid w:val="00EE6769"/>
    <w:rsid w:val="00EE678A"/>
    <w:rsid w:val="00EE6ABA"/>
    <w:rsid w:val="00EE6F21"/>
    <w:rsid w:val="00EE6F96"/>
    <w:rsid w:val="00EE759B"/>
    <w:rsid w:val="00EE7779"/>
    <w:rsid w:val="00EE7AD7"/>
    <w:rsid w:val="00EF0E45"/>
    <w:rsid w:val="00EF11B8"/>
    <w:rsid w:val="00EF13AD"/>
    <w:rsid w:val="00EF2262"/>
    <w:rsid w:val="00EF2781"/>
    <w:rsid w:val="00EF2971"/>
    <w:rsid w:val="00EF2A52"/>
    <w:rsid w:val="00EF37FD"/>
    <w:rsid w:val="00EF3996"/>
    <w:rsid w:val="00EF3C43"/>
    <w:rsid w:val="00EF3CCE"/>
    <w:rsid w:val="00EF3E8E"/>
    <w:rsid w:val="00EF4913"/>
    <w:rsid w:val="00EF5004"/>
    <w:rsid w:val="00EF50B9"/>
    <w:rsid w:val="00EF556F"/>
    <w:rsid w:val="00EF5625"/>
    <w:rsid w:val="00EF57E2"/>
    <w:rsid w:val="00EF5905"/>
    <w:rsid w:val="00EF606E"/>
    <w:rsid w:val="00EF6738"/>
    <w:rsid w:val="00EF6B75"/>
    <w:rsid w:val="00EF6E56"/>
    <w:rsid w:val="00EF7FF5"/>
    <w:rsid w:val="00F00131"/>
    <w:rsid w:val="00F0071A"/>
    <w:rsid w:val="00F01A82"/>
    <w:rsid w:val="00F020C7"/>
    <w:rsid w:val="00F02C2E"/>
    <w:rsid w:val="00F036D1"/>
    <w:rsid w:val="00F04409"/>
    <w:rsid w:val="00F053F8"/>
    <w:rsid w:val="00F060E0"/>
    <w:rsid w:val="00F0665E"/>
    <w:rsid w:val="00F06940"/>
    <w:rsid w:val="00F06E49"/>
    <w:rsid w:val="00F06FB8"/>
    <w:rsid w:val="00F06FE4"/>
    <w:rsid w:val="00F071BF"/>
    <w:rsid w:val="00F07CE1"/>
    <w:rsid w:val="00F07FBA"/>
    <w:rsid w:val="00F1017E"/>
    <w:rsid w:val="00F11048"/>
    <w:rsid w:val="00F111E4"/>
    <w:rsid w:val="00F11522"/>
    <w:rsid w:val="00F120EA"/>
    <w:rsid w:val="00F12D51"/>
    <w:rsid w:val="00F13265"/>
    <w:rsid w:val="00F13CB4"/>
    <w:rsid w:val="00F1411C"/>
    <w:rsid w:val="00F14527"/>
    <w:rsid w:val="00F14666"/>
    <w:rsid w:val="00F14C19"/>
    <w:rsid w:val="00F14F2B"/>
    <w:rsid w:val="00F14F49"/>
    <w:rsid w:val="00F1513E"/>
    <w:rsid w:val="00F15168"/>
    <w:rsid w:val="00F16346"/>
    <w:rsid w:val="00F16935"/>
    <w:rsid w:val="00F16EB9"/>
    <w:rsid w:val="00F16EFC"/>
    <w:rsid w:val="00F1701A"/>
    <w:rsid w:val="00F176E6"/>
    <w:rsid w:val="00F17E27"/>
    <w:rsid w:val="00F2047A"/>
    <w:rsid w:val="00F2058B"/>
    <w:rsid w:val="00F20BBF"/>
    <w:rsid w:val="00F21449"/>
    <w:rsid w:val="00F21671"/>
    <w:rsid w:val="00F21ACF"/>
    <w:rsid w:val="00F21E1E"/>
    <w:rsid w:val="00F220DC"/>
    <w:rsid w:val="00F220E8"/>
    <w:rsid w:val="00F2217F"/>
    <w:rsid w:val="00F22644"/>
    <w:rsid w:val="00F22A81"/>
    <w:rsid w:val="00F22F8B"/>
    <w:rsid w:val="00F230B9"/>
    <w:rsid w:val="00F2318A"/>
    <w:rsid w:val="00F23C55"/>
    <w:rsid w:val="00F2454F"/>
    <w:rsid w:val="00F2458E"/>
    <w:rsid w:val="00F246EB"/>
    <w:rsid w:val="00F24E3F"/>
    <w:rsid w:val="00F2591C"/>
    <w:rsid w:val="00F262BA"/>
    <w:rsid w:val="00F2671E"/>
    <w:rsid w:val="00F2707F"/>
    <w:rsid w:val="00F2750A"/>
    <w:rsid w:val="00F3023C"/>
    <w:rsid w:val="00F307F7"/>
    <w:rsid w:val="00F30B78"/>
    <w:rsid w:val="00F319AA"/>
    <w:rsid w:val="00F32A5A"/>
    <w:rsid w:val="00F32AB5"/>
    <w:rsid w:val="00F32F91"/>
    <w:rsid w:val="00F333DE"/>
    <w:rsid w:val="00F34399"/>
    <w:rsid w:val="00F34471"/>
    <w:rsid w:val="00F34807"/>
    <w:rsid w:val="00F349F6"/>
    <w:rsid w:val="00F35395"/>
    <w:rsid w:val="00F358AB"/>
    <w:rsid w:val="00F359A1"/>
    <w:rsid w:val="00F35D57"/>
    <w:rsid w:val="00F3613B"/>
    <w:rsid w:val="00F36211"/>
    <w:rsid w:val="00F3640D"/>
    <w:rsid w:val="00F36FDC"/>
    <w:rsid w:val="00F37286"/>
    <w:rsid w:val="00F37CD3"/>
    <w:rsid w:val="00F40EAB"/>
    <w:rsid w:val="00F410A7"/>
    <w:rsid w:val="00F413AD"/>
    <w:rsid w:val="00F41741"/>
    <w:rsid w:val="00F4206C"/>
    <w:rsid w:val="00F426C8"/>
    <w:rsid w:val="00F429B7"/>
    <w:rsid w:val="00F42DD2"/>
    <w:rsid w:val="00F433F5"/>
    <w:rsid w:val="00F43E11"/>
    <w:rsid w:val="00F4402B"/>
    <w:rsid w:val="00F4497C"/>
    <w:rsid w:val="00F44AFC"/>
    <w:rsid w:val="00F45318"/>
    <w:rsid w:val="00F45494"/>
    <w:rsid w:val="00F45816"/>
    <w:rsid w:val="00F45B33"/>
    <w:rsid w:val="00F45D46"/>
    <w:rsid w:val="00F4685D"/>
    <w:rsid w:val="00F46A05"/>
    <w:rsid w:val="00F473BC"/>
    <w:rsid w:val="00F47AE4"/>
    <w:rsid w:val="00F47D87"/>
    <w:rsid w:val="00F501DC"/>
    <w:rsid w:val="00F50612"/>
    <w:rsid w:val="00F5099C"/>
    <w:rsid w:val="00F5099E"/>
    <w:rsid w:val="00F512B3"/>
    <w:rsid w:val="00F51521"/>
    <w:rsid w:val="00F51C74"/>
    <w:rsid w:val="00F524AB"/>
    <w:rsid w:val="00F52587"/>
    <w:rsid w:val="00F52C60"/>
    <w:rsid w:val="00F52D2C"/>
    <w:rsid w:val="00F52E5E"/>
    <w:rsid w:val="00F530DE"/>
    <w:rsid w:val="00F53EEA"/>
    <w:rsid w:val="00F53EFA"/>
    <w:rsid w:val="00F53F51"/>
    <w:rsid w:val="00F540AC"/>
    <w:rsid w:val="00F54107"/>
    <w:rsid w:val="00F5498F"/>
    <w:rsid w:val="00F54A3C"/>
    <w:rsid w:val="00F565A9"/>
    <w:rsid w:val="00F565D9"/>
    <w:rsid w:val="00F572C9"/>
    <w:rsid w:val="00F575F4"/>
    <w:rsid w:val="00F57605"/>
    <w:rsid w:val="00F57736"/>
    <w:rsid w:val="00F57C99"/>
    <w:rsid w:val="00F601A7"/>
    <w:rsid w:val="00F602C4"/>
    <w:rsid w:val="00F609CF"/>
    <w:rsid w:val="00F60C2B"/>
    <w:rsid w:val="00F6126E"/>
    <w:rsid w:val="00F6203F"/>
    <w:rsid w:val="00F62A5C"/>
    <w:rsid w:val="00F643B3"/>
    <w:rsid w:val="00F649CD"/>
    <w:rsid w:val="00F64C76"/>
    <w:rsid w:val="00F64F4E"/>
    <w:rsid w:val="00F655A4"/>
    <w:rsid w:val="00F67160"/>
    <w:rsid w:val="00F673B1"/>
    <w:rsid w:val="00F70669"/>
    <w:rsid w:val="00F7069A"/>
    <w:rsid w:val="00F7111D"/>
    <w:rsid w:val="00F716F9"/>
    <w:rsid w:val="00F71A54"/>
    <w:rsid w:val="00F723D5"/>
    <w:rsid w:val="00F72487"/>
    <w:rsid w:val="00F72B89"/>
    <w:rsid w:val="00F7307E"/>
    <w:rsid w:val="00F7376C"/>
    <w:rsid w:val="00F743C5"/>
    <w:rsid w:val="00F748DA"/>
    <w:rsid w:val="00F7539B"/>
    <w:rsid w:val="00F753F5"/>
    <w:rsid w:val="00F7579B"/>
    <w:rsid w:val="00F76489"/>
    <w:rsid w:val="00F764AB"/>
    <w:rsid w:val="00F765B4"/>
    <w:rsid w:val="00F76AB1"/>
    <w:rsid w:val="00F778E8"/>
    <w:rsid w:val="00F7794D"/>
    <w:rsid w:val="00F77F03"/>
    <w:rsid w:val="00F806F1"/>
    <w:rsid w:val="00F80C82"/>
    <w:rsid w:val="00F81A21"/>
    <w:rsid w:val="00F81DE0"/>
    <w:rsid w:val="00F82537"/>
    <w:rsid w:val="00F82A35"/>
    <w:rsid w:val="00F82B9C"/>
    <w:rsid w:val="00F82D2F"/>
    <w:rsid w:val="00F8336A"/>
    <w:rsid w:val="00F83C56"/>
    <w:rsid w:val="00F83DCF"/>
    <w:rsid w:val="00F83EFD"/>
    <w:rsid w:val="00F84ED9"/>
    <w:rsid w:val="00F8544B"/>
    <w:rsid w:val="00F85643"/>
    <w:rsid w:val="00F85A95"/>
    <w:rsid w:val="00F85E00"/>
    <w:rsid w:val="00F86747"/>
    <w:rsid w:val="00F8677B"/>
    <w:rsid w:val="00F87B6E"/>
    <w:rsid w:val="00F87F14"/>
    <w:rsid w:val="00F87F3F"/>
    <w:rsid w:val="00F90BD6"/>
    <w:rsid w:val="00F912E7"/>
    <w:rsid w:val="00F91EEE"/>
    <w:rsid w:val="00F92015"/>
    <w:rsid w:val="00F92AB8"/>
    <w:rsid w:val="00F93299"/>
    <w:rsid w:val="00F93618"/>
    <w:rsid w:val="00F93A44"/>
    <w:rsid w:val="00F940AD"/>
    <w:rsid w:val="00F94EC4"/>
    <w:rsid w:val="00F9536D"/>
    <w:rsid w:val="00F957EA"/>
    <w:rsid w:val="00F959DB"/>
    <w:rsid w:val="00F960A8"/>
    <w:rsid w:val="00F9668F"/>
    <w:rsid w:val="00F9679C"/>
    <w:rsid w:val="00F96AD7"/>
    <w:rsid w:val="00F971AC"/>
    <w:rsid w:val="00F9751A"/>
    <w:rsid w:val="00F9784D"/>
    <w:rsid w:val="00FA076A"/>
    <w:rsid w:val="00FA0D21"/>
    <w:rsid w:val="00FA1160"/>
    <w:rsid w:val="00FA140D"/>
    <w:rsid w:val="00FA1918"/>
    <w:rsid w:val="00FA38A5"/>
    <w:rsid w:val="00FA534C"/>
    <w:rsid w:val="00FA5469"/>
    <w:rsid w:val="00FA5ABB"/>
    <w:rsid w:val="00FA5C51"/>
    <w:rsid w:val="00FA6971"/>
    <w:rsid w:val="00FA726A"/>
    <w:rsid w:val="00FA7F1E"/>
    <w:rsid w:val="00FB1D26"/>
    <w:rsid w:val="00FB2800"/>
    <w:rsid w:val="00FB37E4"/>
    <w:rsid w:val="00FB393E"/>
    <w:rsid w:val="00FB40B8"/>
    <w:rsid w:val="00FB4D1D"/>
    <w:rsid w:val="00FB51F2"/>
    <w:rsid w:val="00FB5579"/>
    <w:rsid w:val="00FB6356"/>
    <w:rsid w:val="00FB6798"/>
    <w:rsid w:val="00FB6E14"/>
    <w:rsid w:val="00FB6FF1"/>
    <w:rsid w:val="00FB7010"/>
    <w:rsid w:val="00FB73C9"/>
    <w:rsid w:val="00FB73E4"/>
    <w:rsid w:val="00FB77F5"/>
    <w:rsid w:val="00FB7AC8"/>
    <w:rsid w:val="00FC0409"/>
    <w:rsid w:val="00FC080F"/>
    <w:rsid w:val="00FC0BD0"/>
    <w:rsid w:val="00FC0ECC"/>
    <w:rsid w:val="00FC14C4"/>
    <w:rsid w:val="00FC176D"/>
    <w:rsid w:val="00FC2A03"/>
    <w:rsid w:val="00FC2BB1"/>
    <w:rsid w:val="00FC3A6C"/>
    <w:rsid w:val="00FC3C30"/>
    <w:rsid w:val="00FC4616"/>
    <w:rsid w:val="00FC46E9"/>
    <w:rsid w:val="00FC5427"/>
    <w:rsid w:val="00FC5D0A"/>
    <w:rsid w:val="00FC67A2"/>
    <w:rsid w:val="00FC699E"/>
    <w:rsid w:val="00FC69A7"/>
    <w:rsid w:val="00FC6B10"/>
    <w:rsid w:val="00FC6D6B"/>
    <w:rsid w:val="00FC6DD3"/>
    <w:rsid w:val="00FC6E0E"/>
    <w:rsid w:val="00FC6E20"/>
    <w:rsid w:val="00FC7CDA"/>
    <w:rsid w:val="00FD03FD"/>
    <w:rsid w:val="00FD066C"/>
    <w:rsid w:val="00FD1CCC"/>
    <w:rsid w:val="00FD30DA"/>
    <w:rsid w:val="00FD317D"/>
    <w:rsid w:val="00FD325C"/>
    <w:rsid w:val="00FD358F"/>
    <w:rsid w:val="00FD3648"/>
    <w:rsid w:val="00FD397E"/>
    <w:rsid w:val="00FD3AEC"/>
    <w:rsid w:val="00FD3EAA"/>
    <w:rsid w:val="00FD3EF4"/>
    <w:rsid w:val="00FD4BA4"/>
    <w:rsid w:val="00FD56CD"/>
    <w:rsid w:val="00FD573C"/>
    <w:rsid w:val="00FD6003"/>
    <w:rsid w:val="00FD6040"/>
    <w:rsid w:val="00FD619D"/>
    <w:rsid w:val="00FD64D3"/>
    <w:rsid w:val="00FD69B0"/>
    <w:rsid w:val="00FD6F22"/>
    <w:rsid w:val="00FD74DE"/>
    <w:rsid w:val="00FD75F8"/>
    <w:rsid w:val="00FD783B"/>
    <w:rsid w:val="00FD78E2"/>
    <w:rsid w:val="00FD7D92"/>
    <w:rsid w:val="00FE0424"/>
    <w:rsid w:val="00FE086D"/>
    <w:rsid w:val="00FE1E91"/>
    <w:rsid w:val="00FE323E"/>
    <w:rsid w:val="00FE346A"/>
    <w:rsid w:val="00FE3D3E"/>
    <w:rsid w:val="00FE4F3A"/>
    <w:rsid w:val="00FE53CD"/>
    <w:rsid w:val="00FE6104"/>
    <w:rsid w:val="00FE613A"/>
    <w:rsid w:val="00FE635F"/>
    <w:rsid w:val="00FE6973"/>
    <w:rsid w:val="00FE6C41"/>
    <w:rsid w:val="00FF02EC"/>
    <w:rsid w:val="00FF04F9"/>
    <w:rsid w:val="00FF0B2A"/>
    <w:rsid w:val="00FF0C95"/>
    <w:rsid w:val="00FF0D4E"/>
    <w:rsid w:val="00FF0EEC"/>
    <w:rsid w:val="00FF12D2"/>
    <w:rsid w:val="00FF217E"/>
    <w:rsid w:val="00FF3041"/>
    <w:rsid w:val="00FF3447"/>
    <w:rsid w:val="00FF3EBC"/>
    <w:rsid w:val="00FF5D7D"/>
    <w:rsid w:val="00FF639D"/>
    <w:rsid w:val="00FF670C"/>
    <w:rsid w:val="00FF6F7F"/>
    <w:rsid w:val="00FF7858"/>
    <w:rsid w:val="2526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FF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046"/>
    <w:pPr>
      <w:pBdr>
        <w:top w:val="nil"/>
        <w:left w:val="nil"/>
        <w:bottom w:val="nil"/>
        <w:right w:val="nil"/>
        <w:between w:val="nil"/>
        <w:bar w:val="nil"/>
      </w:pBdr>
    </w:pPr>
    <w:rPr>
      <w:bdr w:val="nil"/>
    </w:rPr>
  </w:style>
  <w:style w:type="paragraph" w:styleId="Heading1">
    <w:name w:val="heading 1"/>
    <w:basedOn w:val="Normal"/>
    <w:next w:val="Normal"/>
    <w:link w:val="Heading1Char"/>
    <w:uiPriority w:val="9"/>
    <w:qFormat/>
    <w:rsid w:val="001B4E06"/>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Cambria" w:eastAsia="MS Gothic" w:hAnsi="Cambria"/>
      <w:b/>
      <w:bCs/>
      <w:sz w:val="20"/>
      <w:szCs w:val="20"/>
      <w:lang w:val="es-ES"/>
    </w:rPr>
  </w:style>
  <w:style w:type="paragraph" w:styleId="Heading2">
    <w:name w:val="heading 2"/>
    <w:basedOn w:val="Normal"/>
    <w:next w:val="Normal"/>
    <w:link w:val="Heading2Char"/>
    <w:qFormat/>
    <w:rsid w:val="007602A6"/>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ascii="Cambria" w:eastAsia="Times New Roman" w:hAnsi="Cambria" w:cs="Arial"/>
      <w:b/>
      <w:bCs/>
      <w:iCs/>
      <w:sz w:val="20"/>
      <w:szCs w:val="20"/>
      <w:bdr w:val="none" w:sz="0" w:space="0" w:color="auto"/>
    </w:rPr>
  </w:style>
  <w:style w:type="paragraph" w:styleId="Heading3">
    <w:name w:val="heading 3"/>
    <w:basedOn w:val="Normal"/>
    <w:next w:val="Normal"/>
    <w:link w:val="Heading3Char"/>
    <w:qFormat/>
    <w:rsid w:val="007602A6"/>
    <w:pPr>
      <w:keepNext/>
      <w:pBdr>
        <w:top w:val="none" w:sz="0" w:space="0" w:color="auto"/>
        <w:left w:val="none" w:sz="0" w:space="0" w:color="auto"/>
        <w:bottom w:val="none" w:sz="0" w:space="0" w:color="auto"/>
        <w:right w:val="none" w:sz="0" w:space="0" w:color="auto"/>
        <w:between w:val="none" w:sz="0" w:space="0" w:color="auto"/>
        <w:bar w:val="none" w:sz="0" w:color="auto"/>
      </w:pBdr>
      <w:ind w:firstLine="720"/>
      <w:outlineLvl w:val="2"/>
    </w:pPr>
    <w:rPr>
      <w:rFonts w:ascii="Cambria" w:eastAsia="Times New Roman" w:hAnsi="Cambria" w:cs="Arial"/>
      <w:b/>
      <w:bCs/>
      <w:sz w:val="20"/>
      <w:szCs w:val="20"/>
      <w:bdr w:val="none" w:sz="0" w:space="0" w:color="auto"/>
      <w:lang w:val="es-ES"/>
    </w:rPr>
  </w:style>
  <w:style w:type="paragraph" w:styleId="Heading4">
    <w:name w:val="heading 4"/>
    <w:basedOn w:val="Normal"/>
    <w:next w:val="Normal"/>
    <w:link w:val="Heading4Char"/>
    <w:qFormat/>
    <w:rsid w:val="001B4E06"/>
    <w:pPr>
      <w:keepNext/>
      <w:numPr>
        <w:numId w:val="57"/>
      </w:numPr>
      <w:pBdr>
        <w:top w:val="none" w:sz="0" w:space="0" w:color="auto"/>
        <w:left w:val="none" w:sz="0" w:space="0" w:color="auto"/>
        <w:bottom w:val="none" w:sz="0" w:space="0" w:color="auto"/>
        <w:right w:val="none" w:sz="0" w:space="0" w:color="auto"/>
        <w:between w:val="none" w:sz="0" w:space="0" w:color="auto"/>
        <w:bar w:val="none" w:sz="0" w:color="auto"/>
      </w:pBdr>
      <w:jc w:val="both"/>
      <w:outlineLvl w:val="3"/>
    </w:pPr>
    <w:rPr>
      <w:rFonts w:ascii="Cambria" w:eastAsia="MS Gothic" w:hAnsi="Cambria"/>
      <w:b/>
      <w:bCs/>
      <w:iCs/>
      <w:sz w:val="20"/>
      <w:szCs w:val="20"/>
      <w:lang w:val="es-ES"/>
    </w:rPr>
  </w:style>
  <w:style w:type="paragraph" w:styleId="Heading5">
    <w:name w:val="heading 5"/>
    <w:basedOn w:val="Normal"/>
    <w:next w:val="Normal"/>
    <w:link w:val="Heading5Char"/>
    <w:qFormat/>
    <w:rsid w:val="00A43C93"/>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eastAsia="Times New Roman"/>
      <w:sz w:val="22"/>
      <w:szCs w:val="20"/>
      <w:bdr w:val="none" w:sz="0" w:space="0" w:color="auto"/>
    </w:rPr>
  </w:style>
  <w:style w:type="paragraph" w:styleId="Heading6">
    <w:name w:val="heading 6"/>
    <w:basedOn w:val="Normal"/>
    <w:next w:val="Normal"/>
    <w:link w:val="Heading6Char"/>
    <w:qFormat/>
    <w:rsid w:val="00A43C93"/>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5"/>
    </w:pPr>
    <w:rPr>
      <w:rFonts w:eastAsia="Times New Roman"/>
      <w:i/>
      <w:sz w:val="22"/>
      <w:szCs w:val="20"/>
      <w:bdr w:val="none" w:sz="0" w:space="0" w:color="auto"/>
    </w:rPr>
  </w:style>
  <w:style w:type="paragraph" w:styleId="Heading7">
    <w:name w:val="heading 7"/>
    <w:basedOn w:val="Normal"/>
    <w:next w:val="Normal"/>
    <w:link w:val="Heading7Char"/>
    <w:qFormat/>
    <w:rsid w:val="00A43C93"/>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ascii="Arial" w:eastAsia="Times New Roman" w:hAnsi="Arial"/>
      <w:sz w:val="20"/>
      <w:szCs w:val="20"/>
      <w:bdr w:val="none" w:sz="0" w:space="0" w:color="auto"/>
    </w:rPr>
  </w:style>
  <w:style w:type="paragraph" w:styleId="Heading8">
    <w:name w:val="heading 8"/>
    <w:basedOn w:val="Normal"/>
    <w:next w:val="Normal"/>
    <w:link w:val="Heading8Char"/>
    <w:qFormat/>
    <w:rsid w:val="007602A6"/>
    <w:pPr>
      <w:keepNext/>
      <w:numPr>
        <w:ilvl w:val="2"/>
        <w:numId w:val="55"/>
      </w:numPr>
      <w:pBdr>
        <w:top w:val="none" w:sz="0" w:space="0" w:color="auto"/>
        <w:left w:val="none" w:sz="0" w:space="0" w:color="auto"/>
        <w:bottom w:val="none" w:sz="0" w:space="0" w:color="auto"/>
        <w:right w:val="none" w:sz="0" w:space="0" w:color="auto"/>
        <w:between w:val="none" w:sz="0" w:space="0" w:color="auto"/>
        <w:bar w:val="none" w:sz="0" w:color="auto"/>
      </w:pBdr>
      <w:tabs>
        <w:tab w:val="clear" w:pos="2685"/>
        <w:tab w:val="num" w:pos="1440"/>
      </w:tabs>
      <w:ind w:hanging="1965"/>
      <w:jc w:val="both"/>
      <w:outlineLvl w:val="7"/>
    </w:pPr>
    <w:rPr>
      <w:rFonts w:ascii="Univers" w:eastAsia="MS ??" w:hAnsi="Univers" w:cs="Arial"/>
      <w:b/>
      <w:bCs/>
      <w:sz w:val="20"/>
      <w:szCs w:val="20"/>
      <w:bdr w:val="none" w:sz="0" w:space="0" w:color="auto"/>
      <w:lang w:val="es-AR"/>
    </w:rPr>
  </w:style>
  <w:style w:type="paragraph" w:styleId="Heading9">
    <w:name w:val="heading 9"/>
    <w:basedOn w:val="Normal"/>
    <w:next w:val="Normal"/>
    <w:link w:val="Heading9Char"/>
    <w:qFormat/>
    <w:rsid w:val="00A43C93"/>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pPr>
    <w:rPr>
      <w:rFonts w:ascii="Arial" w:eastAsia="Times New Roman" w:hAnsi="Arial"/>
      <w:b/>
      <w:i/>
      <w:sz w:val="18"/>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pBdr>
        <w:top w:val="nil"/>
        <w:left w:val="nil"/>
        <w:bottom w:val="nil"/>
        <w:right w:val="nil"/>
        <w:between w:val="nil"/>
        <w:bar w:val="nil"/>
      </w:pBdr>
      <w:tabs>
        <w:tab w:val="right" w:pos="9020"/>
      </w:tabs>
    </w:pPr>
    <w:rPr>
      <w:rFonts w:ascii="Helvetica" w:hAnsi="Arial Unicode MS" w:cs="Arial Unicode MS"/>
      <w:color w:val="000000"/>
      <w:bdr w:val="nil"/>
      <w:lang w:val="es-ES" w:eastAsia="es-ES"/>
    </w:rPr>
  </w:style>
  <w:style w:type="paragraph" w:styleId="Footer">
    <w:name w:val="footer"/>
    <w:link w:val="FooterChar"/>
    <w:pPr>
      <w:pBdr>
        <w:top w:val="nil"/>
        <w:left w:val="nil"/>
        <w:bottom w:val="nil"/>
        <w:right w:val="nil"/>
        <w:between w:val="nil"/>
        <w:bar w:val="nil"/>
      </w:pBdr>
      <w:tabs>
        <w:tab w:val="center" w:pos="4513"/>
        <w:tab w:val="right" w:pos="9026"/>
      </w:tabs>
    </w:pPr>
    <w:rPr>
      <w:rFonts w:ascii="Cambria" w:eastAsia="Cambria" w:hAnsi="Cambria" w:cs="Cambria"/>
      <w:color w:val="000000"/>
      <w:u w:color="000000"/>
      <w:bdr w:val="nil"/>
      <w:lang w:eastAsia="es-ES"/>
    </w:rPr>
  </w:style>
  <w:style w:type="paragraph" w:customStyle="1" w:styleId="Cuerpo">
    <w:name w:val="Cuerpo"/>
    <w:pPr>
      <w:pBdr>
        <w:top w:val="nil"/>
        <w:left w:val="nil"/>
        <w:bottom w:val="nil"/>
        <w:right w:val="nil"/>
        <w:between w:val="nil"/>
        <w:bar w:val="nil"/>
      </w:pBdr>
    </w:pPr>
    <w:rPr>
      <w:rFonts w:ascii="Cambria" w:eastAsia="Cambria" w:hAnsi="Cambria" w:cs="Cambria"/>
      <w:color w:val="000000"/>
      <w:u w:color="000000"/>
      <w:bdr w:val="nil"/>
      <w:lang w:val="es-ES" w:eastAsia="es-ES"/>
    </w:rPr>
  </w:style>
  <w:style w:type="paragraph" w:styleId="BodyTextIndent">
    <w:name w:val="Body Text Indent"/>
    <w:link w:val="BodyTextIndentChar"/>
    <w:pPr>
      <w:pBdr>
        <w:top w:val="nil"/>
        <w:left w:val="nil"/>
        <w:bottom w:val="nil"/>
        <w:right w:val="nil"/>
        <w:between w:val="nil"/>
        <w:bar w:val="nil"/>
      </w:pBdr>
      <w:ind w:left="2160" w:hanging="720"/>
    </w:pPr>
    <w:rPr>
      <w:rFonts w:eastAsia="Times New Roman"/>
      <w:color w:val="000000"/>
      <w:u w:color="000000"/>
      <w:bdr w:val="nil"/>
      <w:lang w:val="es-ES_tradnl" w:eastAsia="es-ES"/>
    </w:rPr>
  </w:style>
  <w:style w:type="paragraph" w:customStyle="1" w:styleId="ColorfulList-Accent12">
    <w:name w:val="Colorful List - Accent 12"/>
    <w:link w:val="ColorfulList-Accent1Char"/>
    <w:uiPriority w:val="34"/>
    <w:qFormat/>
    <w:pPr>
      <w:pBdr>
        <w:top w:val="nil"/>
        <w:left w:val="nil"/>
        <w:bottom w:val="nil"/>
        <w:right w:val="nil"/>
        <w:between w:val="nil"/>
        <w:bar w:val="nil"/>
      </w:pBdr>
      <w:ind w:left="720"/>
    </w:pPr>
    <w:rPr>
      <w:rFonts w:ascii="Cambria" w:eastAsia="Cambria" w:hAnsi="Cambria" w:cs="Cambria"/>
      <w:color w:val="000000"/>
      <w:u w:color="000000"/>
      <w:bdr w:val="nil"/>
      <w:lang w:eastAsia="es-E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3"/>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1">
    <w:name w:val="List 21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1">
    <w:name w:val="List 31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uiPriority w:val="99"/>
    <w:qFormat/>
    <w:pPr>
      <w:pBdr>
        <w:top w:val="nil"/>
        <w:left w:val="nil"/>
        <w:bottom w:val="nil"/>
        <w:right w:val="nil"/>
        <w:between w:val="nil"/>
        <w:bar w:val="nil"/>
      </w:pBdr>
    </w:pPr>
    <w:rPr>
      <w:rFonts w:ascii="Calibri" w:eastAsia="Calibri" w:hAnsi="Calibri" w:cs="Calibri"/>
      <w:color w:val="000000"/>
      <w:u w:color="000000"/>
      <w:bdr w:val="nil"/>
      <w:lang w:eastAsia="es-E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1">
    <w:name w:val="List 41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1">
    <w:name w:val="List 51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semiHidden/>
    <w:unhideWhenUsed/>
    <w:rsid w:val="009B381B"/>
    <w:rPr>
      <w:rFonts w:ascii="Tahoma" w:hAnsi="Tahoma" w:cs="Tahoma"/>
      <w:sz w:val="16"/>
      <w:szCs w:val="16"/>
    </w:rPr>
  </w:style>
  <w:style w:type="character" w:customStyle="1" w:styleId="BalloonTextChar">
    <w:name w:val="Balloon Text Char"/>
    <w:link w:val="BalloonText"/>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link w:val="Header"/>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link w:val="Heading1"/>
    <w:uiPriority w:val="9"/>
    <w:rsid w:val="001B4E06"/>
    <w:rPr>
      <w:rFonts w:ascii="Cambria" w:eastAsia="MS Gothic" w:hAnsi="Cambria"/>
      <w:b/>
      <w:bCs/>
      <w:bdr w:val="nil"/>
      <w:lang w:val="es-ES"/>
    </w:rPr>
  </w:style>
  <w:style w:type="table" w:styleId="MediumGrid2-Accent1">
    <w:name w:val="Medium Grid 2 Accent 1"/>
    <w:basedOn w:val="TableNormal"/>
    <w:uiPriority w:val="63"/>
    <w:rsid w:val="006A17D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F42DD2"/>
    <w:pPr>
      <w:tabs>
        <w:tab w:val="left" w:pos="720"/>
        <w:tab w:val="left" w:pos="1440"/>
        <w:tab w:val="left" w:pos="4406"/>
        <w:tab w:val="right" w:pos="9360"/>
      </w:tabs>
      <w:spacing w:after="100"/>
      <w:jc w:val="both"/>
    </w:pPr>
    <w:rPr>
      <w:rFonts w:asciiTheme="majorHAnsi" w:hAnsiTheme="majorHAnsi"/>
      <w:sz w:val="20"/>
      <w:szCs w:val="20"/>
      <w:lang w:val="es-MX"/>
    </w:rPr>
  </w:style>
  <w:style w:type="paragraph" w:styleId="TOC3">
    <w:name w:val="toc 3"/>
    <w:basedOn w:val="Normal"/>
    <w:next w:val="Normal"/>
    <w:autoRedefine/>
    <w:uiPriority w:val="39"/>
    <w:unhideWhenUsed/>
    <w:rsid w:val="004D1269"/>
    <w:pPr>
      <w:tabs>
        <w:tab w:val="left" w:pos="720"/>
        <w:tab w:val="left" w:pos="1440"/>
        <w:tab w:val="left" w:pos="2160"/>
        <w:tab w:val="right" w:leader="dot" w:pos="9350"/>
      </w:tabs>
      <w:spacing w:after="100"/>
      <w:ind w:left="2160" w:hanging="144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link w:val="Footer"/>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11,4_G,16 Point,Superscript 6 Point,Footnote symbol,Footnote,Texto nota al pie,Ref. de nota al"/>
    <w:link w:val="FootnotesrefssChar1Char"/>
    <w:uiPriority w:val="99"/>
    <w:unhideWhenUsed/>
    <w:qFormat/>
    <w:rsid w:val="000F35ED"/>
    <w:rPr>
      <w:vertAlign w:val="superscript"/>
    </w:rPr>
  </w:style>
  <w:style w:type="paragraph" w:styleId="BodyTextIndent2">
    <w:name w:val="Body Text Indent 2"/>
    <w:basedOn w:val="Normal"/>
    <w:link w:val="BodyTextIndent2Char"/>
    <w:unhideWhenUsed/>
    <w:rsid w:val="000F35ED"/>
    <w:pPr>
      <w:spacing w:after="120" w:line="480" w:lineRule="auto"/>
      <w:ind w:left="360"/>
    </w:pPr>
  </w:style>
  <w:style w:type="character" w:customStyle="1" w:styleId="BodyTextIndent2Char">
    <w:name w:val="Body Text Indent 2 Char"/>
    <w:link w:val="BodyTextIndent2"/>
    <w:semiHidden/>
    <w:rsid w:val="000F35ED"/>
    <w:rPr>
      <w:sz w:val="24"/>
      <w:szCs w:val="24"/>
      <w:lang w:val="en-US" w:eastAsia="en-US"/>
    </w:rPr>
  </w:style>
  <w:style w:type="paragraph" w:styleId="BodyText">
    <w:name w:val="Body Text"/>
    <w:aliases w:val="Body Text Char Car Car Car Car Car Car Car Car Car Car Car Car Car,Body Text Char Car Car Car Car Car Car Car Car Car Car Car Car"/>
    <w:basedOn w:val="Normal"/>
    <w:link w:val="BodyTextChar"/>
    <w:unhideWhenUsed/>
    <w:rsid w:val="0031535D"/>
    <w:pPr>
      <w:spacing w:after="120"/>
    </w:pPr>
  </w:style>
  <w:style w:type="character" w:customStyle="1" w:styleId="BodyTextChar">
    <w:name w:val="Body Text Char"/>
    <w:aliases w:val="Body Text Char Car Car Car Car Car Car Car Car Car Car Car Car Car Char,Body Text Char Car Car Car Car Car Car Car Car Car Car Car Car Char"/>
    <w:link w:val="BodyText"/>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uiPriority w:val="99"/>
    <w:qFormat/>
    <w:locked/>
    <w:rsid w:val="0031535D"/>
    <w:rPr>
      <w:rFonts w:ascii="Calibri" w:eastAsia="Calibri" w:hAnsi="Calibri" w:cs="Calibri"/>
      <w:color w:val="000000"/>
      <w:u w:color="000000"/>
      <w:lang w:val="en-US"/>
    </w:rPr>
  </w:style>
  <w:style w:type="character" w:customStyle="1" w:styleId="Heading2Char">
    <w:name w:val="Heading 2 Char"/>
    <w:link w:val="Heading2"/>
    <w:rsid w:val="007602A6"/>
    <w:rPr>
      <w:rFonts w:ascii="Cambria" w:eastAsia="Times New Roman" w:hAnsi="Cambria" w:cs="Arial"/>
      <w:b/>
      <w:bCs/>
      <w:iCs/>
    </w:rPr>
  </w:style>
  <w:style w:type="character" w:customStyle="1" w:styleId="Heading3Char">
    <w:name w:val="Heading 3 Char"/>
    <w:link w:val="Heading3"/>
    <w:rsid w:val="007602A6"/>
    <w:rPr>
      <w:rFonts w:ascii="Cambria" w:eastAsia="Times New Roman" w:hAnsi="Cambria" w:cs="Arial"/>
      <w:b/>
      <w:bCs/>
      <w:bdr w:val="none" w:sz="0" w:space="0" w:color="auto"/>
      <w:lang w:eastAsia="en-US"/>
    </w:rPr>
  </w:style>
  <w:style w:type="paragraph" w:customStyle="1" w:styleId="Default">
    <w:name w:val="Default"/>
    <w:link w:val="DefaultChar"/>
    <w:rsid w:val="00DF1EC4"/>
    <w:pPr>
      <w:autoSpaceDE w:val="0"/>
      <w:autoSpaceDN w:val="0"/>
      <w:adjustRightInd w:val="0"/>
    </w:pPr>
    <w:rPr>
      <w:rFonts w:eastAsia="Times New Roman"/>
      <w:color w:val="000000"/>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character" w:customStyle="1" w:styleId="Heading4Char">
    <w:name w:val="Heading 4 Char"/>
    <w:link w:val="Heading4"/>
    <w:rsid w:val="001B4E06"/>
    <w:rPr>
      <w:rFonts w:ascii="Cambria" w:eastAsia="MS Gothic" w:hAnsi="Cambria"/>
      <w:b/>
      <w:bCs/>
      <w:iCs/>
      <w:sz w:val="20"/>
      <w:szCs w:val="20"/>
      <w:bdr w:val="nil"/>
      <w:lang w:val="es-ES"/>
    </w:rPr>
  </w:style>
  <w:style w:type="character" w:customStyle="1" w:styleId="Heading8Char">
    <w:name w:val="Heading 8 Char"/>
    <w:link w:val="Heading8"/>
    <w:rsid w:val="007602A6"/>
    <w:rPr>
      <w:rFonts w:ascii="Univers" w:eastAsia="MS ??" w:hAnsi="Univers" w:cs="Arial"/>
      <w:b/>
      <w:bCs/>
      <w:sz w:val="20"/>
      <w:szCs w:val="20"/>
      <w:lang w:val="es-AR"/>
    </w:rPr>
  </w:style>
  <w:style w:type="table" w:customStyle="1" w:styleId="MediumShading1-Accent11">
    <w:name w:val="Medium Shading 1 - Accent 11"/>
    <w:rsid w:val="007602A6"/>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BodyTextIndentChar">
    <w:name w:val="Body Text Indent Char"/>
    <w:link w:val="BodyTextIndent"/>
    <w:locked/>
    <w:rsid w:val="007602A6"/>
    <w:rPr>
      <w:rFonts w:eastAsia="Times New Roman"/>
      <w:color w:val="000000"/>
      <w:sz w:val="24"/>
      <w:szCs w:val="24"/>
      <w:u w:color="000000"/>
      <w:lang w:val="es-ES_tradnl"/>
    </w:rPr>
  </w:style>
  <w:style w:type="character" w:customStyle="1" w:styleId="Heading1Char1">
    <w:name w:val="Heading 1 Char1"/>
    <w:locked/>
    <w:rsid w:val="007602A6"/>
    <w:rPr>
      <w:rFonts w:ascii="Arial" w:hAnsi="Arial"/>
      <w:b/>
      <w:kern w:val="32"/>
      <w:sz w:val="32"/>
      <w:lang w:val="en-US" w:eastAsia="x-none"/>
    </w:rPr>
  </w:style>
  <w:style w:type="paragraph" w:customStyle="1" w:styleId="Style2">
    <w:name w:val="Style 2"/>
    <w:basedOn w:val="Normal"/>
    <w:rsid w:val="007602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
      <w:jc w:val="both"/>
    </w:pPr>
    <w:rPr>
      <w:rFonts w:eastAsia="MS ??"/>
      <w:bdr w:val="none" w:sz="0" w:space="0" w:color="auto"/>
    </w:rPr>
  </w:style>
  <w:style w:type="character" w:customStyle="1" w:styleId="FootnoteTextChar1">
    <w:name w:val="Footnote Text Char1"/>
    <w:aliases w:val="FA Fu Char1,Footnote Text Char Char Char Char Char Char1,Footnote Text Char Char Char Char Char2,Footnote reference Char1,Footnote Text Char Char Char Char2,Footnote Text Cha Char1,FA Fußnotentext Char1,FA Fuﬂnotentext Char1,Ca Char1"/>
    <w:locked/>
    <w:rsid w:val="007602A6"/>
    <w:rPr>
      <w:rFonts w:ascii="Times New Roman" w:hAnsi="Times New Roman"/>
      <w:sz w:val="20"/>
      <w:lang w:val="en-US" w:eastAsia="x-none"/>
    </w:rPr>
  </w:style>
  <w:style w:type="character" w:customStyle="1" w:styleId="FootnoteTextChar2">
    <w:name w:val="Footnote Text Char2"/>
    <w:aliases w:val="FA Fu Char2,Footnote Text Char Char Char Char Char Char2,Footnote Text Char Char Char Char Char11,Footnote reference Char2,Footnote Text Char Char Char Char11,Footnote Text Cha Char2,FA Fußnotentext Char2,FA Fuﬂnotentext Char2,f Cha"/>
    <w:semiHidden/>
    <w:rsid w:val="007602A6"/>
    <w:rPr>
      <w:rFonts w:ascii="Times New Roman" w:hAnsi="Times New Roman"/>
      <w:lang w:val="en-US" w:eastAsia="x-none"/>
    </w:rPr>
  </w:style>
  <w:style w:type="paragraph" w:styleId="NormalWeb">
    <w:name w:val="Normal (Web)"/>
    <w:aliases w:val="Normal (Web) Char1,Normal (Web) Char Char,Normal (Web) Char1 Char,Normal (Web) Char Char Char"/>
    <w:basedOn w:val="Normal"/>
    <w:uiPriority w:val="99"/>
    <w:rsid w:val="007602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MS ??"/>
      <w:bdr w:val="none" w:sz="0" w:space="0" w:color="auto"/>
    </w:rPr>
  </w:style>
  <w:style w:type="paragraph" w:styleId="BodyText2">
    <w:name w:val="Body Text 2"/>
    <w:basedOn w:val="Normal"/>
    <w:link w:val="BodyText2Char"/>
    <w:rsid w:val="007602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MS ??"/>
      <w:bdr w:val="none" w:sz="0" w:space="0" w:color="auto"/>
    </w:rPr>
  </w:style>
  <w:style w:type="character" w:customStyle="1" w:styleId="BodyText2Char">
    <w:name w:val="Body Text 2 Char"/>
    <w:link w:val="BodyText2"/>
    <w:rsid w:val="007602A6"/>
    <w:rPr>
      <w:rFonts w:eastAsia="MS ??"/>
      <w:sz w:val="24"/>
      <w:szCs w:val="24"/>
      <w:bdr w:val="none" w:sz="0" w:space="0" w:color="auto"/>
      <w:lang w:val="en-US" w:eastAsia="en-US"/>
    </w:rPr>
  </w:style>
  <w:style w:type="paragraph" w:styleId="BlockText">
    <w:name w:val="Block Text"/>
    <w:basedOn w:val="Normal"/>
    <w:rsid w:val="007602A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ight="720"/>
      <w:jc w:val="both"/>
    </w:pPr>
    <w:rPr>
      <w:rFonts w:ascii="Verdana" w:eastAsia="MS ??" w:hAnsi="Verdana"/>
      <w:sz w:val="16"/>
      <w:szCs w:val="20"/>
      <w:bdr w:val="none" w:sz="0" w:space="0" w:color="auto"/>
      <w:lang w:val="es-ES_tradnl"/>
    </w:rPr>
  </w:style>
  <w:style w:type="paragraph" w:styleId="BodyTextIndent3">
    <w:name w:val="Body Text Indent 3"/>
    <w:basedOn w:val="Normal"/>
    <w:link w:val="BodyTextIndent3Char"/>
    <w:rsid w:val="007602A6"/>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pPr>
    <w:rPr>
      <w:rFonts w:eastAsia="MS ??"/>
      <w:sz w:val="16"/>
      <w:szCs w:val="16"/>
      <w:bdr w:val="none" w:sz="0" w:space="0" w:color="auto"/>
    </w:rPr>
  </w:style>
  <w:style w:type="character" w:customStyle="1" w:styleId="BodyTextIndent3Char">
    <w:name w:val="Body Text Indent 3 Char"/>
    <w:link w:val="BodyTextIndent3"/>
    <w:rsid w:val="007602A6"/>
    <w:rPr>
      <w:rFonts w:eastAsia="MS ??"/>
      <w:sz w:val="16"/>
      <w:szCs w:val="16"/>
      <w:bdr w:val="none" w:sz="0" w:space="0" w:color="auto"/>
      <w:lang w:val="en-US" w:eastAsia="en-US"/>
    </w:rPr>
  </w:style>
  <w:style w:type="paragraph" w:styleId="ListBullet">
    <w:name w:val="List Bullet"/>
    <w:basedOn w:val="Normal"/>
    <w:rsid w:val="007602A6"/>
    <w:pPr>
      <w:numPr>
        <w:numId w:val="5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00" w:beforeAutospacing="1" w:after="100" w:afterAutospacing="1"/>
      <w:ind w:left="0" w:firstLine="0"/>
    </w:pPr>
    <w:rPr>
      <w:rFonts w:eastAsia="MS ??"/>
      <w:bdr w:val="none" w:sz="0" w:space="0" w:color="auto"/>
    </w:rPr>
  </w:style>
  <w:style w:type="paragraph" w:customStyle="1" w:styleId="textoindependiente">
    <w:name w:val="textoindependiente"/>
    <w:basedOn w:val="Normal"/>
    <w:rsid w:val="007602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MS ??"/>
      <w:bdr w:val="none" w:sz="0" w:space="0" w:color="auto"/>
    </w:rPr>
  </w:style>
  <w:style w:type="paragraph" w:styleId="BodyText3">
    <w:name w:val="Body Text 3"/>
    <w:basedOn w:val="Normal"/>
    <w:link w:val="BodyText3Char1"/>
    <w:rsid w:val="007602A6"/>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MS ??"/>
      <w:sz w:val="16"/>
      <w:szCs w:val="16"/>
      <w:bdr w:val="none" w:sz="0" w:space="0" w:color="auto"/>
    </w:rPr>
  </w:style>
  <w:style w:type="character" w:customStyle="1" w:styleId="BodyText3Char">
    <w:name w:val="Body Text 3 Char"/>
    <w:rsid w:val="007602A6"/>
    <w:rPr>
      <w:sz w:val="16"/>
      <w:szCs w:val="16"/>
      <w:lang w:val="en-US" w:eastAsia="en-US"/>
    </w:rPr>
  </w:style>
  <w:style w:type="character" w:customStyle="1" w:styleId="BodyText3Char1">
    <w:name w:val="Body Text 3 Char1"/>
    <w:link w:val="BodyText3"/>
    <w:locked/>
    <w:rsid w:val="007602A6"/>
    <w:rPr>
      <w:rFonts w:eastAsia="MS ??"/>
      <w:sz w:val="16"/>
      <w:szCs w:val="16"/>
      <w:bdr w:val="none" w:sz="0" w:space="0" w:color="auto"/>
      <w:lang w:val="en-US" w:eastAsia="en-US"/>
    </w:rPr>
  </w:style>
  <w:style w:type="character" w:styleId="FollowedHyperlink">
    <w:name w:val="FollowedHyperlink"/>
    <w:rsid w:val="007602A6"/>
    <w:rPr>
      <w:color w:val="800080"/>
      <w:u w:val="single"/>
    </w:rPr>
  </w:style>
  <w:style w:type="character" w:customStyle="1" w:styleId="apple-converted-space">
    <w:name w:val="apple-converted-space"/>
    <w:rsid w:val="007602A6"/>
  </w:style>
  <w:style w:type="character" w:styleId="CommentReference">
    <w:name w:val="annotation reference"/>
    <w:semiHidden/>
    <w:rsid w:val="007602A6"/>
    <w:rPr>
      <w:sz w:val="18"/>
    </w:rPr>
  </w:style>
  <w:style w:type="paragraph" w:styleId="CommentText">
    <w:name w:val="annotation text"/>
    <w:basedOn w:val="Normal"/>
    <w:link w:val="CommentTextChar1"/>
    <w:rsid w:val="007602A6"/>
    <w:pPr>
      <w:pBdr>
        <w:top w:val="none" w:sz="0" w:space="0" w:color="auto"/>
        <w:left w:val="none" w:sz="0" w:space="0" w:color="auto"/>
        <w:bottom w:val="none" w:sz="0" w:space="0" w:color="auto"/>
        <w:right w:val="none" w:sz="0" w:space="0" w:color="auto"/>
        <w:between w:val="none" w:sz="0" w:space="0" w:color="auto"/>
        <w:bar w:val="none" w:sz="0" w:color="auto"/>
      </w:pBdr>
    </w:pPr>
    <w:rPr>
      <w:rFonts w:eastAsia="MS ??"/>
      <w:bdr w:val="none" w:sz="0" w:space="0" w:color="auto"/>
    </w:rPr>
  </w:style>
  <w:style w:type="character" w:customStyle="1" w:styleId="CommentTextChar">
    <w:name w:val="Comment Text Char"/>
    <w:uiPriority w:val="99"/>
    <w:semiHidden/>
    <w:rsid w:val="007602A6"/>
    <w:rPr>
      <w:lang w:val="en-US" w:eastAsia="en-US"/>
    </w:rPr>
  </w:style>
  <w:style w:type="character" w:customStyle="1" w:styleId="CommentTextChar1">
    <w:name w:val="Comment Text Char1"/>
    <w:link w:val="CommentText"/>
    <w:locked/>
    <w:rsid w:val="007602A6"/>
    <w:rPr>
      <w:rFonts w:eastAsia="MS ??"/>
      <w:sz w:val="24"/>
      <w:szCs w:val="24"/>
      <w:bdr w:val="none" w:sz="0" w:space="0" w:color="auto"/>
      <w:lang w:val="en-US" w:eastAsia="en-US"/>
    </w:rPr>
  </w:style>
  <w:style w:type="character" w:customStyle="1" w:styleId="CommentSubjectChar">
    <w:name w:val="Comment Subject Char"/>
    <w:link w:val="CommentSubject"/>
    <w:semiHidden/>
    <w:locked/>
    <w:rsid w:val="007602A6"/>
    <w:rPr>
      <w:rFonts w:eastAsia="MS ??"/>
      <w:sz w:val="24"/>
      <w:szCs w:val="24"/>
      <w:bdr w:val="none" w:sz="0" w:space="0" w:color="auto"/>
      <w:lang w:val="en-US" w:eastAsia="en-US"/>
    </w:rPr>
  </w:style>
  <w:style w:type="paragraph" w:styleId="CommentSubject">
    <w:name w:val="annotation subject"/>
    <w:basedOn w:val="CommentText"/>
    <w:next w:val="CommentText"/>
    <w:link w:val="CommentSubjectChar"/>
    <w:semiHidden/>
    <w:rsid w:val="007602A6"/>
  </w:style>
  <w:style w:type="character" w:customStyle="1" w:styleId="CommentSubjectChar1">
    <w:name w:val="Comment Subject Char1"/>
    <w:semiHidden/>
    <w:rsid w:val="007602A6"/>
    <w:rPr>
      <w:b/>
      <w:bCs/>
      <w:lang w:val="en-US" w:eastAsia="en-US"/>
    </w:rPr>
  </w:style>
  <w:style w:type="character" w:customStyle="1" w:styleId="s6b621b36">
    <w:name w:val="s6b621b36"/>
    <w:rsid w:val="007602A6"/>
  </w:style>
  <w:style w:type="paragraph" w:customStyle="1" w:styleId="ColorfulList-Accent11">
    <w:name w:val="Colorful List - Accent 11"/>
    <w:basedOn w:val="Normal"/>
    <w:rsid w:val="007602A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Cambria" w:eastAsia="MS ??" w:hAnsi="Cambria"/>
      <w:bdr w:val="none" w:sz="0" w:space="0" w:color="auto"/>
      <w:lang w:val="es-ES_tradnl"/>
    </w:rPr>
  </w:style>
  <w:style w:type="character" w:styleId="Emphasis">
    <w:name w:val="Emphasis"/>
    <w:qFormat/>
    <w:rsid w:val="007602A6"/>
    <w:rPr>
      <w:i/>
    </w:rPr>
  </w:style>
  <w:style w:type="character" w:customStyle="1" w:styleId="sb8d990e2">
    <w:name w:val="sb8d990e2"/>
    <w:rsid w:val="007602A6"/>
  </w:style>
  <w:style w:type="character" w:customStyle="1" w:styleId="ju-005fpara--char">
    <w:name w:val="ju-005fpara--char"/>
    <w:rsid w:val="007602A6"/>
    <w:rPr>
      <w:rFonts w:cs="Times New Roman"/>
    </w:rPr>
  </w:style>
  <w:style w:type="character" w:customStyle="1" w:styleId="sf1c7242dhasverticalalignsuper">
    <w:name w:val="sf1c7242d hasverticalalignsuper"/>
    <w:rsid w:val="007602A6"/>
    <w:rPr>
      <w:rFonts w:cs="Times New Roman"/>
    </w:rPr>
  </w:style>
  <w:style w:type="paragraph" w:styleId="Subtitle">
    <w:name w:val="Subtitle"/>
    <w:basedOn w:val="Normal"/>
    <w:link w:val="SubtitleChar"/>
    <w:qFormat/>
    <w:rsid w:val="00D515B2"/>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1"/>
    </w:pPr>
    <w:rPr>
      <w:rFonts w:ascii="Arial" w:eastAsia="Times New Roman" w:hAnsi="Arial" w:cs="Arial"/>
      <w:bdr w:val="none" w:sz="0" w:space="0" w:color="auto"/>
      <w:lang w:val="es-ES_tradnl"/>
    </w:rPr>
  </w:style>
  <w:style w:type="character" w:customStyle="1" w:styleId="SubtitleChar">
    <w:name w:val="Subtitle Char"/>
    <w:link w:val="Subtitle"/>
    <w:rsid w:val="00D515B2"/>
    <w:rPr>
      <w:rFonts w:ascii="Arial" w:eastAsia="Times New Roman" w:hAnsi="Arial" w:cs="Arial"/>
      <w:sz w:val="24"/>
      <w:szCs w:val="24"/>
      <w:bdr w:val="none" w:sz="0" w:space="0" w:color="auto"/>
      <w:lang w:val="es-ES_tradnl" w:eastAsia="en-US"/>
    </w:rPr>
  </w:style>
  <w:style w:type="paragraph" w:styleId="List">
    <w:name w:val="List"/>
    <w:basedOn w:val="Normal"/>
    <w:rsid w:val="005466E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3" w:hanging="283"/>
    </w:pPr>
    <w:rPr>
      <w:rFonts w:eastAsia="Times New Roman"/>
      <w:bdr w:val="none" w:sz="0" w:space="0" w:color="auto"/>
      <w:lang w:val="es-ES" w:eastAsia="es-CO"/>
    </w:rPr>
  </w:style>
  <w:style w:type="character" w:styleId="Strong">
    <w:name w:val="Strong"/>
    <w:uiPriority w:val="22"/>
    <w:qFormat/>
    <w:rsid w:val="00E638BD"/>
    <w:rPr>
      <w:b/>
      <w:bCs/>
    </w:rPr>
  </w:style>
  <w:style w:type="paragraph" w:styleId="List2">
    <w:name w:val="List 2"/>
    <w:basedOn w:val="Normal"/>
    <w:rsid w:val="00470AB8"/>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ascii="Univers" w:eastAsia="Times New Roman" w:hAnsi="Univers"/>
      <w:sz w:val="22"/>
      <w:szCs w:val="20"/>
      <w:bdr w:val="none" w:sz="0" w:space="0" w:color="auto"/>
      <w:lang w:val="es-ES_tradnl"/>
    </w:rPr>
  </w:style>
  <w:style w:type="character" w:customStyle="1" w:styleId="NormalWebChar">
    <w:name w:val="Normal (Web) Char"/>
    <w:aliases w:val="Normal (Web) Char1 Char1,Normal (Web) Char Char Char1,Normal (Web) Char1 Char Char,Normal (Web) Char Char Char Char"/>
    <w:rsid w:val="00470AB8"/>
    <w:rPr>
      <w:noProof w:val="0"/>
      <w:sz w:val="24"/>
      <w:szCs w:val="24"/>
      <w:lang w:val="en-US" w:eastAsia="en-US" w:bidi="ar-SA"/>
    </w:rPr>
  </w:style>
  <w:style w:type="paragraph" w:styleId="List3">
    <w:name w:val="List 3"/>
    <w:basedOn w:val="Normal"/>
    <w:rsid w:val="00470AB8"/>
    <w:pPr>
      <w:pBdr>
        <w:top w:val="none" w:sz="0" w:space="0" w:color="auto"/>
        <w:left w:val="none" w:sz="0" w:space="0" w:color="auto"/>
        <w:bottom w:val="none" w:sz="0" w:space="0" w:color="auto"/>
        <w:right w:val="none" w:sz="0" w:space="0" w:color="auto"/>
        <w:between w:val="none" w:sz="0" w:space="0" w:color="auto"/>
        <w:bar w:val="none" w:sz="0" w:color="auto"/>
      </w:pBdr>
      <w:ind w:left="1080" w:hanging="360"/>
    </w:pPr>
    <w:rPr>
      <w:rFonts w:ascii="Univers" w:eastAsia="Times New Roman" w:hAnsi="Univers"/>
      <w:sz w:val="22"/>
      <w:szCs w:val="20"/>
      <w:bdr w:val="none" w:sz="0" w:space="0" w:color="auto"/>
      <w:lang w:val="es-ES_tradnl"/>
    </w:rPr>
  </w:style>
  <w:style w:type="paragraph" w:customStyle="1" w:styleId="Sangradetindependiente">
    <w:name w:val="SangrÌa de t. independiente"/>
    <w:basedOn w:val="Normal"/>
    <w:rsid w:val="00470AB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tLeast"/>
    </w:pPr>
    <w:rPr>
      <w:rFonts w:ascii="Garamond" w:eastAsia="Times New Roman" w:hAnsi="Garamond"/>
      <w:szCs w:val="20"/>
      <w:bdr w:val="none" w:sz="0" w:space="0" w:color="auto"/>
      <w:lang w:val="es-ES_tradnl" w:eastAsia="ar-SA"/>
    </w:rPr>
  </w:style>
  <w:style w:type="paragraph" w:customStyle="1" w:styleId="Heading410pt">
    <w:name w:val="Heading 4 + 10 pt"/>
    <w:basedOn w:val="Heading3"/>
    <w:uiPriority w:val="99"/>
    <w:rsid w:val="00470AB8"/>
    <w:pPr>
      <w:tabs>
        <w:tab w:val="num" w:pos="3240"/>
      </w:tabs>
      <w:spacing w:before="240" w:after="60"/>
      <w:ind w:left="3240" w:hanging="360"/>
    </w:pPr>
    <w:rPr>
      <w:rFonts w:ascii="Arial" w:hAnsi="Arial"/>
      <w:lang w:val="es-ES_tradnl"/>
    </w:rPr>
  </w:style>
  <w:style w:type="paragraph" w:styleId="DocumentMap">
    <w:name w:val="Document Map"/>
    <w:basedOn w:val="Normal"/>
    <w:link w:val="DocumentMapChar"/>
    <w:semiHidden/>
    <w:unhideWhenUsed/>
    <w:rsid w:val="00A43C93"/>
    <w:rPr>
      <w:rFonts w:ascii="Lucida Grande" w:hAnsi="Lucida Grande" w:cs="Lucida Grande"/>
    </w:rPr>
  </w:style>
  <w:style w:type="character" w:customStyle="1" w:styleId="DocumentMapChar">
    <w:name w:val="Document Map Char"/>
    <w:link w:val="DocumentMap"/>
    <w:uiPriority w:val="99"/>
    <w:semiHidden/>
    <w:rsid w:val="00A43C93"/>
    <w:rPr>
      <w:rFonts w:ascii="Lucida Grande" w:hAnsi="Lucida Grande" w:cs="Lucida Grande"/>
      <w:sz w:val="24"/>
      <w:szCs w:val="24"/>
      <w:bdr w:val="nil"/>
      <w:lang w:val="en-US"/>
    </w:rPr>
  </w:style>
  <w:style w:type="character" w:customStyle="1" w:styleId="Heading5Char">
    <w:name w:val="Heading 5 Char"/>
    <w:link w:val="Heading5"/>
    <w:rsid w:val="00A43C93"/>
    <w:rPr>
      <w:rFonts w:eastAsia="Times New Roman"/>
      <w:sz w:val="22"/>
      <w:lang w:val="en-US"/>
    </w:rPr>
  </w:style>
  <w:style w:type="character" w:customStyle="1" w:styleId="Heading6Char">
    <w:name w:val="Heading 6 Char"/>
    <w:link w:val="Heading6"/>
    <w:rsid w:val="00A43C93"/>
    <w:rPr>
      <w:rFonts w:eastAsia="Times New Roman"/>
      <w:i/>
      <w:sz w:val="22"/>
      <w:lang w:val="en-US"/>
    </w:rPr>
  </w:style>
  <w:style w:type="character" w:customStyle="1" w:styleId="Heading7Char">
    <w:name w:val="Heading 7 Char"/>
    <w:link w:val="Heading7"/>
    <w:rsid w:val="00A43C93"/>
    <w:rPr>
      <w:rFonts w:ascii="Arial" w:eastAsia="Times New Roman" w:hAnsi="Arial"/>
      <w:lang w:val="en-US"/>
    </w:rPr>
  </w:style>
  <w:style w:type="character" w:customStyle="1" w:styleId="Heading9Char">
    <w:name w:val="Heading 9 Char"/>
    <w:link w:val="Heading9"/>
    <w:rsid w:val="00A43C93"/>
    <w:rPr>
      <w:rFonts w:ascii="Arial" w:eastAsia="Times New Roman" w:hAnsi="Arial"/>
      <w:b/>
      <w:i/>
      <w:sz w:val="18"/>
      <w:lang w:val="en-US"/>
    </w:rPr>
  </w:style>
  <w:style w:type="character" w:customStyle="1" w:styleId="Style">
    <w:name w:val="Style"/>
    <w:rsid w:val="00A43C93"/>
    <w:rPr>
      <w:rFonts w:ascii="Times New Roman" w:hAnsi="Times New Roman"/>
      <w:sz w:val="22"/>
      <w:vertAlign w:val="superscript"/>
    </w:rPr>
  </w:style>
  <w:style w:type="paragraph" w:customStyle="1" w:styleId="Style1">
    <w:name w:val="Style1"/>
    <w:basedOn w:val="FootnoteText"/>
    <w:autoRedefine/>
    <w:rsid w:val="00A43C9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ascii="Univers" w:eastAsia="Times New Roman" w:hAnsi="Univers" w:cs="Times New Roman"/>
      <w:color w:val="auto"/>
      <w:sz w:val="16"/>
      <w:szCs w:val="16"/>
      <w:bdr w:val="none" w:sz="0" w:space="0" w:color="auto"/>
      <w:lang w:val="es-PY" w:eastAsia="en-US"/>
    </w:rPr>
  </w:style>
  <w:style w:type="paragraph" w:customStyle="1" w:styleId="Style10">
    <w:name w:val="Style 1"/>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6" w:line="408" w:lineRule="atLeast"/>
      <w:jc w:val="both"/>
    </w:pPr>
    <w:rPr>
      <w:rFonts w:eastAsia="Times New Roman"/>
      <w:bdr w:val="none" w:sz="0" w:space="0" w:color="auto"/>
    </w:rPr>
  </w:style>
  <w:style w:type="paragraph" w:customStyle="1" w:styleId="Style4">
    <w:name w:val="Style 4"/>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408" w:lineRule="atLeast"/>
      <w:jc w:val="both"/>
    </w:pPr>
    <w:rPr>
      <w:rFonts w:eastAsia="Times New Roman"/>
      <w:bdr w:val="none" w:sz="0" w:space="0" w:color="auto"/>
    </w:rPr>
  </w:style>
  <w:style w:type="paragraph" w:customStyle="1" w:styleId="Style31">
    <w:name w:val="Style 31"/>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3204" w:line="1116" w:lineRule="exact"/>
      <w:jc w:val="center"/>
    </w:pPr>
    <w:rPr>
      <w:rFonts w:eastAsia="Times New Roman"/>
      <w:bdr w:val="none" w:sz="0" w:space="0" w:color="auto"/>
    </w:rPr>
  </w:style>
  <w:style w:type="paragraph" w:customStyle="1" w:styleId="Style36">
    <w:name w:val="Style 36"/>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60" w:line="384" w:lineRule="atLeast"/>
      <w:ind w:right="72"/>
      <w:jc w:val="both"/>
    </w:pPr>
    <w:rPr>
      <w:rFonts w:eastAsia="Times New Roman"/>
      <w:bdr w:val="none" w:sz="0" w:space="0" w:color="auto"/>
    </w:rPr>
  </w:style>
  <w:style w:type="paragraph" w:customStyle="1" w:styleId="Style11">
    <w:name w:val="Style 11"/>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60" w:line="360" w:lineRule="auto"/>
      <w:jc w:val="both"/>
    </w:pPr>
    <w:rPr>
      <w:rFonts w:eastAsia="Times New Roman"/>
      <w:bdr w:val="none" w:sz="0" w:space="0" w:color="auto"/>
    </w:rPr>
  </w:style>
  <w:style w:type="paragraph" w:customStyle="1" w:styleId="Style14">
    <w:name w:val="Style 14"/>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60" w:line="384" w:lineRule="atLeast"/>
      <w:ind w:left="504" w:right="72" w:hanging="504"/>
      <w:jc w:val="both"/>
    </w:pPr>
    <w:rPr>
      <w:rFonts w:eastAsia="Times New Roman"/>
      <w:bdr w:val="none" w:sz="0" w:space="0" w:color="auto"/>
    </w:rPr>
  </w:style>
  <w:style w:type="paragraph" w:customStyle="1" w:styleId="Style27">
    <w:name w:val="Style 27"/>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6" w:line="360" w:lineRule="auto"/>
      <w:ind w:left="360" w:hanging="360"/>
      <w:jc w:val="both"/>
    </w:pPr>
    <w:rPr>
      <w:rFonts w:eastAsia="Times New Roman"/>
      <w:bdr w:val="none" w:sz="0" w:space="0" w:color="auto"/>
    </w:rPr>
  </w:style>
  <w:style w:type="paragraph" w:customStyle="1" w:styleId="Style16">
    <w:name w:val="Style 16"/>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60" w:hanging="360"/>
      <w:jc w:val="both"/>
    </w:pPr>
    <w:rPr>
      <w:rFonts w:eastAsia="Times New Roman"/>
      <w:bdr w:val="none" w:sz="0" w:space="0" w:color="auto"/>
    </w:rPr>
  </w:style>
  <w:style w:type="paragraph" w:customStyle="1" w:styleId="Style17">
    <w:name w:val="Style 17"/>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9">
    <w:name w:val="Style 19"/>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504" w:right="72" w:hanging="504"/>
      <w:jc w:val="both"/>
    </w:pPr>
    <w:rPr>
      <w:rFonts w:eastAsia="Times New Roman"/>
      <w:bdr w:val="none" w:sz="0" w:space="0" w:color="auto"/>
    </w:rPr>
  </w:style>
  <w:style w:type="paragraph" w:customStyle="1" w:styleId="Style21">
    <w:name w:val="Style 21"/>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16"/>
      <w:ind w:right="864"/>
      <w:jc w:val="both"/>
    </w:pPr>
    <w:rPr>
      <w:rFonts w:eastAsia="Times New Roman"/>
      <w:bdr w:val="none" w:sz="0" w:space="0" w:color="auto"/>
    </w:rPr>
  </w:style>
  <w:style w:type="paragraph" w:customStyle="1" w:styleId="Style22">
    <w:name w:val="Style 22"/>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16"/>
      <w:ind w:right="864"/>
    </w:pPr>
    <w:rPr>
      <w:rFonts w:eastAsia="Times New Roman"/>
      <w:bdr w:val="none" w:sz="0" w:space="0" w:color="auto"/>
    </w:rPr>
  </w:style>
  <w:style w:type="paragraph" w:customStyle="1" w:styleId="Style24">
    <w:name w:val="Style 24"/>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60" w:line="360" w:lineRule="auto"/>
      <w:ind w:left="504" w:right="72" w:hanging="504"/>
      <w:jc w:val="both"/>
    </w:pPr>
    <w:rPr>
      <w:rFonts w:eastAsia="Times New Roman"/>
      <w:bdr w:val="none" w:sz="0" w:space="0" w:color="auto"/>
    </w:rPr>
  </w:style>
  <w:style w:type="paragraph" w:customStyle="1" w:styleId="Style6">
    <w:name w:val="Style 6"/>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52"/>
      <w:jc w:val="both"/>
    </w:pPr>
    <w:rPr>
      <w:rFonts w:eastAsia="Times New Roman"/>
      <w:bdr w:val="none" w:sz="0" w:space="0" w:color="auto"/>
    </w:rPr>
  </w:style>
  <w:style w:type="paragraph" w:customStyle="1" w:styleId="Style29">
    <w:name w:val="Style 29"/>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52"/>
      <w:ind w:right="72"/>
      <w:jc w:val="both"/>
    </w:pPr>
    <w:rPr>
      <w:rFonts w:eastAsia="Times New Roman"/>
      <w:bdr w:val="none" w:sz="0" w:space="0" w:color="auto"/>
    </w:rPr>
  </w:style>
  <w:style w:type="paragraph" w:customStyle="1" w:styleId="Style28">
    <w:name w:val="Style 28"/>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52"/>
      <w:ind w:left="72"/>
      <w:jc w:val="both"/>
    </w:pPr>
    <w:rPr>
      <w:rFonts w:eastAsia="Times New Roman"/>
      <w:bdr w:val="none" w:sz="0" w:space="0" w:color="auto"/>
    </w:rPr>
  </w:style>
  <w:style w:type="paragraph" w:customStyle="1" w:styleId="Style26">
    <w:name w:val="Style 26"/>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bdr w:val="none" w:sz="0" w:space="0" w:color="auto"/>
    </w:rPr>
  </w:style>
  <w:style w:type="paragraph" w:customStyle="1" w:styleId="Style100">
    <w:name w:val="Style 10"/>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jc w:val="both"/>
    </w:pPr>
    <w:rPr>
      <w:rFonts w:eastAsia="Times New Roman"/>
      <w:bdr w:val="none" w:sz="0" w:space="0" w:color="auto"/>
    </w:rPr>
  </w:style>
  <w:style w:type="paragraph" w:customStyle="1" w:styleId="Style12">
    <w:name w:val="Style 12"/>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bdr w:val="none" w:sz="0" w:space="0" w:color="auto"/>
    </w:rPr>
  </w:style>
  <w:style w:type="paragraph" w:customStyle="1" w:styleId="Style13">
    <w:name w:val="Style 13"/>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 w:firstLine="72"/>
      <w:jc w:val="both"/>
    </w:pPr>
    <w:rPr>
      <w:rFonts w:eastAsia="Times New Roman"/>
      <w:bdr w:val="none" w:sz="0" w:space="0" w:color="auto"/>
    </w:rPr>
  </w:style>
  <w:style w:type="paragraph" w:customStyle="1" w:styleId="Style15">
    <w:name w:val="Style 15"/>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648" w:right="72"/>
    </w:pPr>
    <w:rPr>
      <w:rFonts w:eastAsia="Times New Roman"/>
      <w:bdr w:val="none" w:sz="0" w:space="0" w:color="auto"/>
    </w:rPr>
  </w:style>
  <w:style w:type="paragraph" w:customStyle="1" w:styleId="Style25">
    <w:name w:val="Style 25"/>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pPr>
    <w:rPr>
      <w:rFonts w:eastAsia="Times New Roman"/>
      <w:bdr w:val="none" w:sz="0" w:space="0" w:color="auto"/>
    </w:rPr>
  </w:style>
  <w:style w:type="paragraph" w:customStyle="1" w:styleId="Style18">
    <w:name w:val="Style 18"/>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20">
    <w:name w:val="Style 20"/>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
    </w:pPr>
    <w:rPr>
      <w:rFonts w:eastAsia="Times New Roman"/>
      <w:bdr w:val="none" w:sz="0" w:space="0" w:color="auto"/>
    </w:rPr>
  </w:style>
  <w:style w:type="table" w:styleId="TableGrid">
    <w:name w:val="Table Grid"/>
    <w:basedOn w:val="TableNormal"/>
    <w:rsid w:val="00A43C93"/>
    <w:rPr>
      <w:rFonts w:eastAsia="Times New Roman"/>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CharCharCharChar">
    <w:name w:val="Heading 1 Char Char Char Char Char Char"/>
    <w:rsid w:val="00A43C93"/>
    <w:rPr>
      <w:rFonts w:ascii="Univers" w:hAnsi="Univers" w:cs="Arial"/>
      <w:kern w:val="36"/>
      <w:sz w:val="22"/>
      <w:szCs w:val="22"/>
      <w:lang w:val="en-US" w:eastAsia="en-US" w:bidi="ar-SA"/>
    </w:rPr>
  </w:style>
  <w:style w:type="paragraph" w:customStyle="1" w:styleId="Sinespaciado1">
    <w:name w:val="Sin espaciado1"/>
    <w:qFormat/>
    <w:rsid w:val="00A43C93"/>
    <w:rPr>
      <w:rFonts w:ascii="Calibri" w:eastAsia="Calibri" w:hAnsi="Calibri"/>
      <w:sz w:val="22"/>
      <w:szCs w:val="22"/>
      <w:lang w:val="es-ES"/>
    </w:rPr>
  </w:style>
  <w:style w:type="character" w:customStyle="1" w:styleId="normal--char">
    <w:name w:val="normal--char"/>
    <w:rsid w:val="00A43C93"/>
  </w:style>
  <w:style w:type="paragraph" w:styleId="Title">
    <w:name w:val="Title"/>
    <w:basedOn w:val="Normal"/>
    <w:link w:val="TitleChar"/>
    <w:qFormat/>
    <w:rsid w:val="00A43C9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Univers" w:eastAsia="Times New Roman" w:hAnsi="Univers"/>
      <w:b/>
      <w:sz w:val="22"/>
      <w:szCs w:val="20"/>
      <w:bdr w:val="none" w:sz="0" w:space="0" w:color="auto"/>
      <w:lang w:val="es-ES"/>
    </w:rPr>
  </w:style>
  <w:style w:type="character" w:customStyle="1" w:styleId="TitleChar">
    <w:name w:val="Title Char"/>
    <w:link w:val="Title"/>
    <w:rsid w:val="00A43C93"/>
    <w:rPr>
      <w:rFonts w:ascii="Univers" w:eastAsia="Times New Roman" w:hAnsi="Univers"/>
      <w:b/>
      <w:sz w:val="22"/>
      <w:lang w:val="es-ES"/>
    </w:rPr>
  </w:style>
  <w:style w:type="character" w:customStyle="1" w:styleId="antetitulo1">
    <w:name w:val="antetitulo1"/>
    <w:rsid w:val="00A43C93"/>
    <w:rPr>
      <w:rFonts w:ascii="Verdana" w:hAnsi="Verdana"/>
      <w:b w:val="0"/>
      <w:bCs w:val="0"/>
      <w:strike w:val="0"/>
      <w:dstrike w:val="0"/>
      <w:color w:val="CC0000"/>
      <w:sz w:val="15"/>
      <w:szCs w:val="15"/>
      <w:u w:val="none"/>
      <w:effect w:val="none"/>
    </w:rPr>
  </w:style>
  <w:style w:type="character" w:customStyle="1" w:styleId="ju-005fcase-0020char--char">
    <w:name w:val="ju-005fcase-0020char--char"/>
    <w:rsid w:val="00A43C93"/>
  </w:style>
  <w:style w:type="paragraph" w:customStyle="1" w:styleId="Blockquote">
    <w:name w:val="Blockquote"/>
    <w:basedOn w:val="Normal"/>
    <w:rsid w:val="00A43C93"/>
    <w:pPr>
      <w:pBdr>
        <w:top w:val="none" w:sz="0" w:space="0" w:color="auto"/>
        <w:left w:val="none" w:sz="0" w:space="0" w:color="auto"/>
        <w:bottom w:val="none" w:sz="0" w:space="0" w:color="auto"/>
        <w:right w:val="none" w:sz="0" w:space="0" w:color="auto"/>
        <w:between w:val="none" w:sz="0" w:space="0" w:color="auto"/>
        <w:bar w:val="none" w:sz="0" w:color="auto"/>
      </w:pBdr>
      <w:spacing w:before="100" w:after="100"/>
      <w:ind w:left="360" w:right="360"/>
    </w:pPr>
    <w:rPr>
      <w:rFonts w:eastAsia="Times New Roman"/>
      <w:snapToGrid w:val="0"/>
      <w:szCs w:val="20"/>
      <w:bdr w:val="none" w:sz="0" w:space="0" w:color="auto"/>
    </w:rPr>
  </w:style>
  <w:style w:type="paragraph" w:styleId="TOC5">
    <w:name w:val="toc 5"/>
    <w:basedOn w:val="Normal"/>
    <w:next w:val="Normal"/>
    <w:autoRedefine/>
    <w:semiHidden/>
    <w:rsid w:val="00A43C93"/>
    <w:pPr>
      <w:pBdr>
        <w:top w:val="none" w:sz="0" w:space="0" w:color="auto"/>
        <w:left w:val="none" w:sz="0" w:space="0" w:color="auto"/>
        <w:bottom w:val="none" w:sz="0" w:space="0" w:color="auto"/>
        <w:right w:val="none" w:sz="0" w:space="0" w:color="auto"/>
        <w:between w:val="none" w:sz="0" w:space="0" w:color="auto"/>
        <w:bar w:val="none" w:sz="0" w:color="auto"/>
      </w:pBdr>
      <w:ind w:left="800"/>
    </w:pPr>
    <w:rPr>
      <w:rFonts w:eastAsia="Times New Roman"/>
      <w:sz w:val="20"/>
      <w:szCs w:val="20"/>
      <w:bdr w:val="none" w:sz="0" w:space="0" w:color="auto"/>
    </w:rPr>
  </w:style>
  <w:style w:type="character" w:customStyle="1" w:styleId="TextonotapieCar1">
    <w:name w:val="Texto nota pie Car1"/>
    <w:aliases w:val="ft Car,FA Fu Car,Footnote Text Char Char Char Char Char Car,Footnote Text Char Char Char Char Car,Footnote reference Car,Texto nota pie Car Car,Footnote Text Char Char Char Car,texto de nota al pie Car,FA Fußnotentext Car"/>
    <w:semiHidden/>
    <w:locked/>
    <w:rsid w:val="00A43C93"/>
    <w:rPr>
      <w:rFonts w:cs="Times New Roman"/>
      <w:lang w:val="es-ES_tradnl" w:eastAsia="en-US" w:bidi="ar-SA"/>
    </w:rPr>
  </w:style>
  <w:style w:type="paragraph" w:customStyle="1" w:styleId="Car">
    <w:name w:val="Car"/>
    <w:basedOn w:val="Normal"/>
    <w:rsid w:val="00A43C93"/>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eastAsia="Times New Roman"/>
      <w:noProof/>
      <w:color w:val="000000"/>
      <w:sz w:val="20"/>
      <w:szCs w:val="20"/>
      <w:bdr w:val="none" w:sz="0" w:space="0" w:color="auto"/>
      <w:lang w:val="es-CO" w:eastAsia="es-ES"/>
    </w:rPr>
  </w:style>
  <w:style w:type="paragraph" w:customStyle="1" w:styleId="Prrafonumerado">
    <w:name w:val="Párrafo numerado"/>
    <w:basedOn w:val="Normal"/>
    <w:autoRedefine/>
    <w:rsid w:val="00A43C9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20" w:right="760"/>
      <w:jc w:val="both"/>
    </w:pPr>
    <w:rPr>
      <w:rFonts w:ascii="Univers" w:eastAsia="Times New Roman" w:hAnsi="Univers"/>
      <w:sz w:val="18"/>
      <w:szCs w:val="18"/>
      <w:bdr w:val="none" w:sz="0" w:space="0" w:color="auto"/>
      <w:lang w:val="es-CO" w:eastAsia="es-ES"/>
    </w:rPr>
  </w:style>
  <w:style w:type="character" w:customStyle="1" w:styleId="FootnoteCharacters">
    <w:name w:val="Footnote Characters"/>
    <w:rsid w:val="00A43C93"/>
    <w:rPr>
      <w:vertAlign w:val="superscript"/>
    </w:rPr>
  </w:style>
  <w:style w:type="character" w:customStyle="1" w:styleId="WW-FootnoteCharacters">
    <w:name w:val="WW-Footnote Characters"/>
    <w:rsid w:val="00A43C93"/>
    <w:rPr>
      <w:rFonts w:ascii="Universal" w:hAnsi="Universal"/>
      <w:sz w:val="16"/>
      <w:vertAlign w:val="superscript"/>
    </w:rPr>
  </w:style>
  <w:style w:type="character" w:customStyle="1" w:styleId="textonavy1">
    <w:name w:val="texto_navy1"/>
    <w:rsid w:val="00A43C93"/>
    <w:rPr>
      <w:color w:val="000080"/>
    </w:rPr>
  </w:style>
  <w:style w:type="paragraph" w:customStyle="1" w:styleId="Style3">
    <w:name w:val="Style 3"/>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jc w:val="both"/>
    </w:pPr>
    <w:rPr>
      <w:rFonts w:eastAsia="Times New Roman"/>
      <w:bdr w:val="none" w:sz="0" w:space="0" w:color="auto"/>
    </w:rPr>
  </w:style>
  <w:style w:type="paragraph" w:customStyle="1" w:styleId="Style5">
    <w:name w:val="Style 5"/>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52" w:line="360" w:lineRule="auto"/>
      <w:jc w:val="both"/>
    </w:pPr>
    <w:rPr>
      <w:rFonts w:eastAsia="Times New Roman"/>
      <w:bdr w:val="none" w:sz="0" w:space="0" w:color="auto"/>
    </w:rPr>
  </w:style>
  <w:style w:type="paragraph" w:customStyle="1" w:styleId="Style7">
    <w:name w:val="Style 7"/>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60" w:line="360" w:lineRule="auto"/>
      <w:ind w:right="72"/>
      <w:jc w:val="both"/>
    </w:pPr>
    <w:rPr>
      <w:rFonts w:eastAsia="Times New Roman"/>
      <w:bdr w:val="none" w:sz="0" w:space="0" w:color="auto"/>
    </w:rPr>
  </w:style>
  <w:style w:type="paragraph" w:customStyle="1" w:styleId="2Footnotes">
    <w:name w:val="2. Footnotes"/>
    <w:basedOn w:val="FootnoteText"/>
    <w:autoRedefine/>
    <w:qFormat/>
    <w:rsid w:val="00A43C9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Verdana" w:eastAsia="Times New Roman" w:hAnsi="Verdana" w:cs="Palatino-Italic"/>
      <w:iCs/>
      <w:noProof/>
      <w:color w:val="auto"/>
      <w:sz w:val="16"/>
      <w:szCs w:val="18"/>
      <w:bdr w:val="none" w:sz="0" w:space="0" w:color="auto"/>
      <w:lang w:val="es-ES" w:eastAsia="en-US"/>
    </w:rPr>
  </w:style>
  <w:style w:type="paragraph" w:customStyle="1" w:styleId="Style23">
    <w:name w:val="Style2"/>
    <w:basedOn w:val="Normal"/>
    <w:qFormat/>
    <w:rsid w:val="00A43C93"/>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ind w:firstLine="720"/>
      <w:jc w:val="both"/>
    </w:pPr>
    <w:rPr>
      <w:rFonts w:ascii="Cambria" w:hAnsi="Cambria"/>
      <w:sz w:val="20"/>
      <w:szCs w:val="20"/>
      <w:lang w:val="es-ES"/>
    </w:rPr>
  </w:style>
  <w:style w:type="character" w:customStyle="1" w:styleId="ColorfulList-Accent1Char">
    <w:name w:val="Colorful List - Accent 1 Char"/>
    <w:link w:val="ColorfulList-Accent12"/>
    <w:uiPriority w:val="34"/>
    <w:locked/>
    <w:rsid w:val="00A43C93"/>
    <w:rPr>
      <w:rFonts w:ascii="Cambria" w:eastAsia="Cambria" w:hAnsi="Cambria" w:cs="Cambria"/>
      <w:color w:val="000000"/>
      <w:sz w:val="24"/>
      <w:szCs w:val="24"/>
      <w:u w:color="000000"/>
      <w:bdr w:val="nil"/>
      <w:lang w:val="en-US" w:eastAsia="es-ES"/>
    </w:rPr>
  </w:style>
  <w:style w:type="paragraph" w:styleId="ListParagraph">
    <w:name w:val="List Paragraph"/>
    <w:aliases w:val="Párrafo de lista1,List Paragraph1,List Paragraph11,List Paragraph2,Lista vistosa - Énfasis 11"/>
    <w:basedOn w:val="Normal"/>
    <w:link w:val="ListParagraphChar"/>
    <w:qFormat/>
    <w:rsid w:val="005C0B08"/>
    <w:pPr>
      <w:ind w:left="720"/>
    </w:p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uiPriority w:val="99"/>
    <w:qFormat/>
    <w:rsid w:val="007526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bdr w:val="none" w:sz="0" w:space="0" w:color="auto"/>
      <w:vertAlign w:val="superscript"/>
    </w:rPr>
  </w:style>
  <w:style w:type="paragraph" w:customStyle="1" w:styleId="parrafos">
    <w:name w:val="parrafos"/>
    <w:basedOn w:val="Normal"/>
    <w:link w:val="parrafosChar"/>
    <w:qFormat/>
    <w:rsid w:val="0075263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rPr>
      <w:rFonts w:asciiTheme="majorHAnsi" w:hAnsiTheme="majorHAnsi"/>
      <w:color w:val="000000" w:themeColor="text1"/>
      <w:sz w:val="20"/>
      <w:szCs w:val="20"/>
      <w:lang w:val="es-VE"/>
    </w:rPr>
  </w:style>
  <w:style w:type="character" w:customStyle="1" w:styleId="parrafosChar">
    <w:name w:val="parrafos Char"/>
    <w:basedOn w:val="DefaultParagraphFont"/>
    <w:link w:val="parrafos"/>
    <w:rsid w:val="0075263B"/>
    <w:rPr>
      <w:rFonts w:asciiTheme="majorHAnsi" w:hAnsiTheme="majorHAnsi"/>
      <w:color w:val="000000" w:themeColor="text1"/>
      <w:bdr w:val="nil"/>
      <w:lang w:val="es-VE"/>
    </w:rPr>
  </w:style>
  <w:style w:type="character" w:customStyle="1" w:styleId="ListParagraphChar">
    <w:name w:val="List Paragraph Char"/>
    <w:aliases w:val="Párrafo de lista1 Char,List Paragraph1 Char,List Paragraph11 Char,List Paragraph2 Char,Lista vistosa - Énfasis 11 Char"/>
    <w:link w:val="ListParagraph"/>
    <w:locked/>
    <w:rsid w:val="00453BAE"/>
    <w:rPr>
      <w:bdr w:val="nil"/>
    </w:rPr>
  </w:style>
  <w:style w:type="paragraph" w:customStyle="1" w:styleId="1">
    <w:name w:val="1"/>
    <w:basedOn w:val="Normal"/>
    <w:rsid w:val="00453B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heme="minorHAnsi" w:eastAsiaTheme="minorHAnsi" w:hAnsiTheme="minorHAnsi" w:cstheme="minorBidi"/>
      <w:bdr w:val="none" w:sz="0" w:space="0" w:color="auto"/>
      <w:vertAlign w:val="superscript"/>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475221"/>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40" w:lineRule="exact"/>
    </w:pPr>
    <w:rPr>
      <w:rFonts w:ascii="Verdana" w:eastAsia="Batang" w:hAnsi="Verdana"/>
      <w:sz w:val="22"/>
      <w:szCs w:val="20"/>
      <w:bdr w:val="none" w:sz="0" w:space="0" w:color="auto"/>
      <w:vertAlign w:val="superscript"/>
      <w:lang w:val="es-CO"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rsid w:val="006679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MS Mincho" w:hAnsi="Calibri"/>
      <w:sz w:val="20"/>
      <w:szCs w:val="20"/>
      <w:bdr w:val="none" w:sz="0" w:space="0" w:color="auto"/>
      <w:vertAlign w:val="superscript"/>
    </w:rPr>
  </w:style>
  <w:style w:type="paragraph" w:styleId="TOCHeading">
    <w:name w:val="TOC Heading"/>
    <w:basedOn w:val="Heading1"/>
    <w:next w:val="Normal"/>
    <w:uiPriority w:val="39"/>
    <w:unhideWhenUsed/>
    <w:qFormat/>
    <w:rsid w:val="007223AB"/>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bdr w:val="none" w:sz="0" w:space="0" w:color="auto"/>
      <w:lang w:val="en-US"/>
    </w:rPr>
  </w:style>
  <w:style w:type="paragraph" w:styleId="Revision">
    <w:name w:val="Revision"/>
    <w:hidden/>
    <w:uiPriority w:val="99"/>
    <w:semiHidden/>
    <w:rsid w:val="002421AE"/>
    <w:rPr>
      <w:bdr w:val="nil"/>
    </w:rPr>
  </w:style>
  <w:style w:type="character" w:customStyle="1" w:styleId="fontstyle01">
    <w:name w:val="fontstyle01"/>
    <w:basedOn w:val="DefaultParagraphFont"/>
    <w:rsid w:val="006E47E9"/>
    <w:rPr>
      <w:rFonts w:ascii="Verdana" w:hAnsi="Verdana" w:hint="default"/>
      <w:b w:val="0"/>
      <w:bCs w:val="0"/>
      <w:i w:val="0"/>
      <w:iCs w:val="0"/>
      <w:color w:val="000000"/>
      <w:sz w:val="22"/>
      <w:szCs w:val="22"/>
    </w:rPr>
  </w:style>
  <w:style w:type="character" w:customStyle="1" w:styleId="normaltextrun">
    <w:name w:val="normaltextrun"/>
    <w:basedOn w:val="DefaultParagraphFont"/>
    <w:rsid w:val="005F6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1643">
      <w:bodyDiv w:val="1"/>
      <w:marLeft w:val="0"/>
      <w:marRight w:val="0"/>
      <w:marTop w:val="0"/>
      <w:marBottom w:val="0"/>
      <w:divBdr>
        <w:top w:val="none" w:sz="0" w:space="0" w:color="auto"/>
        <w:left w:val="none" w:sz="0" w:space="0" w:color="auto"/>
        <w:bottom w:val="none" w:sz="0" w:space="0" w:color="auto"/>
        <w:right w:val="none" w:sz="0" w:space="0" w:color="auto"/>
      </w:divBdr>
    </w:div>
    <w:div w:id="448554476">
      <w:bodyDiv w:val="1"/>
      <w:marLeft w:val="0"/>
      <w:marRight w:val="0"/>
      <w:marTop w:val="0"/>
      <w:marBottom w:val="0"/>
      <w:divBdr>
        <w:top w:val="none" w:sz="0" w:space="0" w:color="auto"/>
        <w:left w:val="none" w:sz="0" w:space="0" w:color="auto"/>
        <w:bottom w:val="none" w:sz="0" w:space="0" w:color="auto"/>
        <w:right w:val="none" w:sz="0" w:space="0" w:color="auto"/>
      </w:divBdr>
    </w:div>
    <w:div w:id="479661089">
      <w:bodyDiv w:val="1"/>
      <w:marLeft w:val="0"/>
      <w:marRight w:val="0"/>
      <w:marTop w:val="0"/>
      <w:marBottom w:val="0"/>
      <w:divBdr>
        <w:top w:val="none" w:sz="0" w:space="0" w:color="auto"/>
        <w:left w:val="none" w:sz="0" w:space="0" w:color="auto"/>
        <w:bottom w:val="none" w:sz="0" w:space="0" w:color="auto"/>
        <w:right w:val="none" w:sz="0" w:space="0" w:color="auto"/>
      </w:divBdr>
    </w:div>
    <w:div w:id="605621394">
      <w:bodyDiv w:val="1"/>
      <w:marLeft w:val="0"/>
      <w:marRight w:val="0"/>
      <w:marTop w:val="0"/>
      <w:marBottom w:val="0"/>
      <w:divBdr>
        <w:top w:val="none" w:sz="0" w:space="0" w:color="auto"/>
        <w:left w:val="none" w:sz="0" w:space="0" w:color="auto"/>
        <w:bottom w:val="none" w:sz="0" w:space="0" w:color="auto"/>
        <w:right w:val="none" w:sz="0" w:space="0" w:color="auto"/>
      </w:divBdr>
    </w:div>
    <w:div w:id="949386932">
      <w:bodyDiv w:val="1"/>
      <w:marLeft w:val="0"/>
      <w:marRight w:val="0"/>
      <w:marTop w:val="0"/>
      <w:marBottom w:val="0"/>
      <w:divBdr>
        <w:top w:val="none" w:sz="0" w:space="0" w:color="auto"/>
        <w:left w:val="none" w:sz="0" w:space="0" w:color="auto"/>
        <w:bottom w:val="none" w:sz="0" w:space="0" w:color="auto"/>
        <w:right w:val="none" w:sz="0" w:space="0" w:color="auto"/>
      </w:divBdr>
      <w:divsChild>
        <w:div w:id="737090013">
          <w:marLeft w:val="0"/>
          <w:marRight w:val="0"/>
          <w:marTop w:val="0"/>
          <w:marBottom w:val="0"/>
          <w:divBdr>
            <w:top w:val="none" w:sz="0" w:space="0" w:color="auto"/>
            <w:left w:val="none" w:sz="0" w:space="0" w:color="auto"/>
            <w:bottom w:val="none" w:sz="0" w:space="0" w:color="auto"/>
            <w:right w:val="none" w:sz="0" w:space="0" w:color="auto"/>
          </w:divBdr>
          <w:divsChild>
            <w:div w:id="538125869">
              <w:marLeft w:val="0"/>
              <w:marRight w:val="0"/>
              <w:marTop w:val="0"/>
              <w:marBottom w:val="0"/>
              <w:divBdr>
                <w:top w:val="none" w:sz="0" w:space="0" w:color="auto"/>
                <w:left w:val="none" w:sz="0" w:space="0" w:color="auto"/>
                <w:bottom w:val="none" w:sz="0" w:space="0" w:color="auto"/>
                <w:right w:val="none" w:sz="0" w:space="0" w:color="auto"/>
              </w:divBdr>
              <w:divsChild>
                <w:div w:id="6024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48885">
      <w:bodyDiv w:val="1"/>
      <w:marLeft w:val="0"/>
      <w:marRight w:val="0"/>
      <w:marTop w:val="0"/>
      <w:marBottom w:val="0"/>
      <w:divBdr>
        <w:top w:val="none" w:sz="0" w:space="0" w:color="auto"/>
        <w:left w:val="none" w:sz="0" w:space="0" w:color="auto"/>
        <w:bottom w:val="none" w:sz="0" w:space="0" w:color="auto"/>
        <w:right w:val="none" w:sz="0" w:space="0" w:color="auto"/>
      </w:divBdr>
    </w:div>
    <w:div w:id="1178042227">
      <w:bodyDiv w:val="1"/>
      <w:marLeft w:val="0"/>
      <w:marRight w:val="0"/>
      <w:marTop w:val="0"/>
      <w:marBottom w:val="0"/>
      <w:divBdr>
        <w:top w:val="none" w:sz="0" w:space="0" w:color="auto"/>
        <w:left w:val="none" w:sz="0" w:space="0" w:color="auto"/>
        <w:bottom w:val="none" w:sz="0" w:space="0" w:color="auto"/>
        <w:right w:val="none" w:sz="0" w:space="0" w:color="auto"/>
      </w:divBdr>
    </w:div>
    <w:div w:id="1380783089">
      <w:bodyDiv w:val="1"/>
      <w:marLeft w:val="0"/>
      <w:marRight w:val="0"/>
      <w:marTop w:val="0"/>
      <w:marBottom w:val="0"/>
      <w:divBdr>
        <w:top w:val="none" w:sz="0" w:space="0" w:color="auto"/>
        <w:left w:val="none" w:sz="0" w:space="0" w:color="auto"/>
        <w:bottom w:val="none" w:sz="0" w:space="0" w:color="auto"/>
        <w:right w:val="none" w:sz="0" w:space="0" w:color="auto"/>
      </w:divBdr>
    </w:div>
    <w:div w:id="1822111453">
      <w:bodyDiv w:val="1"/>
      <w:marLeft w:val="0"/>
      <w:marRight w:val="0"/>
      <w:marTop w:val="0"/>
      <w:marBottom w:val="0"/>
      <w:divBdr>
        <w:top w:val="none" w:sz="0" w:space="0" w:color="auto"/>
        <w:left w:val="none" w:sz="0" w:space="0" w:color="auto"/>
        <w:bottom w:val="none" w:sz="0" w:space="0" w:color="auto"/>
        <w:right w:val="none" w:sz="0" w:space="0" w:color="auto"/>
      </w:divBdr>
    </w:div>
    <w:div w:id="202913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96ab0fc-bb98-41ac-b264-64d49f623a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7353BFE9827438EBF19872927A460" ma:contentTypeVersion="16" ma:contentTypeDescription="Create a new document." ma:contentTypeScope="" ma:versionID="f8f27290aae51a739495793fee17a2c3">
  <xsd:schema xmlns:xsd="http://www.w3.org/2001/XMLSchema" xmlns:xs="http://www.w3.org/2001/XMLSchema" xmlns:p="http://schemas.microsoft.com/office/2006/metadata/properties" xmlns:ns3="d96ab0fc-bb98-41ac-b264-64d49f623ac2" xmlns:ns4="6691804d-c530-47b1-9b8c-031a554c30cd" targetNamespace="http://schemas.microsoft.com/office/2006/metadata/properties" ma:root="true" ma:fieldsID="bc338112b86a84fbc6f8982f3de8ade7" ns3:_="" ns4:_="">
    <xsd:import namespace="d96ab0fc-bb98-41ac-b264-64d49f623ac2"/>
    <xsd:import namespace="6691804d-c530-47b1-9b8c-031a554c30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ab0fc-bb98-41ac-b264-64d49f623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91804d-c530-47b1-9b8c-031a554c3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12888-408F-487E-A34F-24AB9F5B4744}">
  <ds:schemaRefs>
    <ds:schemaRef ds:uri="http://schemas.openxmlformats.org/officeDocument/2006/bibliography"/>
  </ds:schemaRefs>
</ds:datastoreItem>
</file>

<file path=customXml/itemProps2.xml><?xml version="1.0" encoding="utf-8"?>
<ds:datastoreItem xmlns:ds="http://schemas.openxmlformats.org/officeDocument/2006/customXml" ds:itemID="{B5A48B0A-2D28-4616-B048-65861D298775}">
  <ds:schemaRefs>
    <ds:schemaRef ds:uri="http://schemas.microsoft.com/office/2006/metadata/properties"/>
    <ds:schemaRef ds:uri="http://schemas.microsoft.com/office/infopath/2007/PartnerControls"/>
    <ds:schemaRef ds:uri="d96ab0fc-bb98-41ac-b264-64d49f623ac2"/>
  </ds:schemaRefs>
</ds:datastoreItem>
</file>

<file path=customXml/itemProps3.xml><?xml version="1.0" encoding="utf-8"?>
<ds:datastoreItem xmlns:ds="http://schemas.openxmlformats.org/officeDocument/2006/customXml" ds:itemID="{D2213748-55C2-402A-8C8A-1F5D93132A72}">
  <ds:schemaRefs>
    <ds:schemaRef ds:uri="http://schemas.microsoft.com/sharepoint/v3/contenttype/forms"/>
  </ds:schemaRefs>
</ds:datastoreItem>
</file>

<file path=customXml/itemProps4.xml><?xml version="1.0" encoding="utf-8"?>
<ds:datastoreItem xmlns:ds="http://schemas.openxmlformats.org/officeDocument/2006/customXml" ds:itemID="{5550C9E8-61F4-4109-87F0-DED9EED0D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ab0fc-bb98-41ac-b264-64d49f623ac2"/>
    <ds:schemaRef ds:uri="6691804d-c530-47b1-9b8c-031a554c3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24656</Words>
  <Characters>140543</Characters>
  <Application>Microsoft Office Word</Application>
  <DocSecurity>0</DocSecurity>
  <Lines>1171</Lines>
  <Paragraphs>329</Paragraphs>
  <ScaleCrop>false</ScaleCrop>
  <Company/>
  <LinksUpToDate>false</LinksUpToDate>
  <CharactersWithSpaces>164870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2025-12-12T20:06:00Z</dcterms:created>
  <dcterms:modified xsi:type="dcterms:W3CDTF">2025-12-12T20:06:00Z</dcterms:modified>
</cp:coreProperties>
</file>